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lang w:val="en-US" w:eastAsia="es-AR"/>
        </w:rPr>
      </w:pPr>
      <w:r>
        <w:rPr>
          <w:lang w:val="en-US" w:eastAsia="es-AR"/>
        </w:rPr>
        <w:t>second Meeting of the Expert Working Group on Surveillance and Reporting Obligations e-Learning (2020-012)</w:t>
      </w:r>
    </w:p>
    <w:p>
      <w:pPr>
        <w:tabs>
          <w:tab w:val="left" w:pos="0"/>
        </w:tabs>
        <w:jc w:val="center"/>
        <w:rPr>
          <w:rFonts w:eastAsia="Times New Roman" w:cs="Times New Roman"/>
          <w:sz w:val="24"/>
          <w:lang w:val="en-US" w:eastAsia="es-AR"/>
        </w:rPr>
      </w:pPr>
      <w:r>
        <w:rPr>
          <w:rFonts w:eastAsia="Times New Roman" w:cs="Times New Roman"/>
          <w:b/>
          <w:bCs/>
          <w:smallCaps/>
          <w:color w:val="000000" w:themeColor="text1"/>
          <w:sz w:val="24"/>
          <w:lang w:val="en-US" w:eastAsia="es-AR"/>
        </w:rPr>
        <w:t>PROVISIONAL AGENDA</w:t>
      </w:r>
    </w:p>
    <w:p>
      <w:pPr>
        <w:jc w:val="center"/>
        <w:rPr>
          <w:i/>
          <w:iCs/>
        </w:rPr>
      </w:pPr>
      <w:r>
        <w:rPr>
          <w:i/>
          <w:iCs/>
        </w:rPr>
        <w:t xml:space="preserve">21 December 2021 (3:00 pm – 5:30 pm), Rome Time </w:t>
      </w:r>
    </w:p>
    <w:p>
      <w:pPr>
        <w:jc w:val="center"/>
        <w:rPr>
          <w:i/>
          <w:iCs/>
        </w:rPr>
      </w:pPr>
    </w:p>
    <w:p>
      <w:pPr>
        <w:spacing w:before="60" w:after="60"/>
        <w:jc w:val="center"/>
        <w:rPr>
          <w:rFonts w:eastAsia="Times New Roman" w:cs="Times New Roman"/>
          <w:sz w:val="24"/>
          <w:lang w:val="en-US" w:eastAsia="es-AR"/>
        </w:rPr>
      </w:pPr>
      <w:r>
        <w:rPr>
          <w:rFonts w:eastAsia="Times New Roman" w:cs="Times New Roman"/>
          <w:i/>
          <w:iCs/>
          <w:color w:val="000000" w:themeColor="text1"/>
          <w:lang w:val="en-US" w:eastAsia="es-AR"/>
        </w:rPr>
        <w:t>Updated 2022-12-18</w:t>
      </w:r>
    </w:p>
    <w:p>
      <w:pPr>
        <w:spacing w:before="60" w:after="60"/>
        <w:jc w:val="center"/>
        <w:rPr>
          <w:rFonts w:eastAsia="Times New Roman" w:cs="Times New Roman"/>
          <w:i/>
          <w:iCs/>
          <w:color w:val="000000" w:themeColor="text1"/>
          <w:lang w:val="en-US" w:eastAsia="es-AR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3193"/>
        <w:gridCol w:w="1276"/>
        <w:gridCol w:w="2409"/>
        <w:gridCol w:w="1701"/>
      </w:tblGrid>
      <w:tr>
        <w:tc>
          <w:tcPr>
            <w:tcW w:w="4112" w:type="dxa"/>
            <w:gridSpan w:val="2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AGENDA ITEM</w:t>
            </w:r>
          </w:p>
        </w:tc>
        <w:tc>
          <w:tcPr>
            <w:tcW w:w="1276" w:type="dxa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Duration</w:t>
            </w:r>
          </w:p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(mn)</w:t>
            </w:r>
          </w:p>
        </w:tc>
        <w:tc>
          <w:tcPr>
            <w:tcW w:w="2409" w:type="dxa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DOCUMENT NO.</w:t>
            </w:r>
          </w:p>
        </w:tc>
        <w:tc>
          <w:tcPr>
            <w:tcW w:w="1701" w:type="dxa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PRESENTER</w:t>
            </w:r>
          </w:p>
        </w:tc>
      </w:tr>
      <w:tr>
        <w:trPr>
          <w:trHeight w:val="70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>Opening of the Meeting and welcome to participants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</w:t>
            </w:r>
          </w:p>
        </w:tc>
      </w:tr>
      <w:tr>
        <w:trPr>
          <w:trHeight w:val="70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Meeting Arrangements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15’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Juan Rull</w:t>
            </w:r>
          </w:p>
        </w:tc>
      </w:tr>
      <w:tr>
        <w:trPr>
          <w:trHeight w:val="70"/>
        </w:trPr>
        <w:tc>
          <w:tcPr>
            <w:tcW w:w="91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2.1</w:t>
            </w:r>
          </w:p>
        </w:tc>
        <w:tc>
          <w:tcPr>
            <w:tcW w:w="319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Election of the chairperson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IPPC Secretariat/</w:t>
            </w:r>
          </w:p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All participants</w:t>
            </w:r>
          </w:p>
        </w:tc>
      </w:tr>
      <w:tr>
        <w:trPr>
          <w:trHeight w:val="70"/>
        </w:trPr>
        <w:tc>
          <w:tcPr>
            <w:tcW w:w="91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2.2 </w:t>
            </w:r>
          </w:p>
        </w:tc>
        <w:tc>
          <w:tcPr>
            <w:tcW w:w="319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Election of the rapporteur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70"/>
        </w:trPr>
        <w:tc>
          <w:tcPr>
            <w:tcW w:w="91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2.3</w:t>
            </w:r>
          </w:p>
        </w:tc>
        <w:tc>
          <w:tcPr>
            <w:tcW w:w="319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Adoption of the Agenda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AR" w:eastAsia="es-AR"/>
              </w:rPr>
              <w:t>VM02_01_ WG e-L Surv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 </w:t>
            </w:r>
          </w:p>
        </w:tc>
      </w:tr>
      <w:tr>
        <w:trPr>
          <w:trHeight w:val="70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Administrative matters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>
        <w:trPr>
          <w:trHeight w:val="242"/>
        </w:trPr>
        <w:tc>
          <w:tcPr>
            <w:tcW w:w="91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3.2</w:t>
            </w:r>
          </w:p>
        </w:tc>
        <w:tc>
          <w:tcPr>
            <w:tcW w:w="319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Participant list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AR" w:eastAsia="es-AR"/>
              </w:rPr>
              <w:t>VM02_02_ WG e-L Surv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 </w:t>
            </w:r>
          </w:p>
        </w:tc>
      </w:tr>
      <w:tr>
        <w:trPr>
          <w:trHeight w:val="242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>Development of content on the basis of the structure of the IPPC Surveillance and Pest Status guides and other documents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Chairperson </w:t>
            </w:r>
          </w:p>
          <w:p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</w:tr>
      <w:tr>
        <w:trPr>
          <w:trHeight w:val="242"/>
        </w:trPr>
        <w:tc>
          <w:tcPr>
            <w:tcW w:w="9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7.1</w:t>
            </w:r>
          </w:p>
        </w:tc>
        <w:tc>
          <w:tcPr>
            <w:tcW w:w="3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Modules 1-7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Learning objectives 1-3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Content (headings)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Drafting (12-18 pages)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Peer review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  <w:t>110´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val="en-US" w:eastAsia="es-AR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402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Any Other Business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 xml:space="preserve"> Chairperson </w:t>
            </w:r>
          </w:p>
          <w:p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</w:tr>
      <w:tr>
        <w:trPr>
          <w:trHeight w:val="402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2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>Date and arrangement of the Next Meeting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402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>10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>Evaluation of the meeting process 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274"/>
        </w:trPr>
        <w:tc>
          <w:tcPr>
            <w:tcW w:w="91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3193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Close of the Meeting</w:t>
            </w:r>
          </w:p>
        </w:tc>
        <w:tc>
          <w:tcPr>
            <w:tcW w:w="1276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170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 xml:space="preserve"> Chairperson </w:t>
            </w:r>
          </w:p>
          <w:p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</w:tr>
    </w:tbl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Footer"/>
      <w:pBdr>
        <w:top w:val="single" w:sz="4" w:space="2" w:color="auto"/>
      </w:pBdr>
      <w:jc w:val="left"/>
    </w:pPr>
    <w:r>
      <w:rPr>
        <w:rStyle w:val="Nmerodepgina"/>
        <w:b/>
        <w:bCs/>
      </w:rPr>
      <w:t xml:space="preserve">Page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  <w:r>
      <w:rPr>
        <w:rStyle w:val="Nmerodepgina"/>
        <w:b/>
        <w:bCs/>
      </w:rPr>
      <w:t xml:space="preserve"> of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NUMPAGES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  <w:r>
      <w:tab/>
      <w:t xml:space="preserve"> 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Footer"/>
      <w:pBdr>
        <w:top w:val="single" w:sz="4" w:space="2" w:color="auto"/>
      </w:pBdr>
      <w:rPr>
        <w:b w:val="0"/>
      </w:rPr>
    </w:pPr>
    <w:r>
      <w:t>International Plant Protection Convention</w:t>
    </w:r>
    <w:r>
      <w:tab/>
    </w:r>
    <w:r>
      <w:rPr>
        <w:rStyle w:val="Nmerodepgina"/>
        <w:b/>
        <w:bCs/>
      </w:rPr>
      <w:t xml:space="preserve">Page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  <w:r>
      <w:rPr>
        <w:rStyle w:val="Nmerodepgina"/>
        <w:b/>
        <w:bCs/>
      </w:rPr>
      <w:t xml:space="preserve"> of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NUMPAGES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Header"/>
    </w:pPr>
    <w:r>
      <w:t xml:space="preserve">VM01_01_ WG e-L Surv </w:t>
    </w:r>
    <w:r>
      <w:tab/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-816552</wp:posOffset>
          </wp:positionH>
          <wp:positionV relativeFrom="paragraph">
            <wp:posOffset>55707</wp:posOffset>
          </wp:positionV>
          <wp:extent cx="632460" cy="32448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International Plant Protection Convention</w:t>
    </w:r>
    <w:r>
      <w:tab/>
    </w:r>
    <w:r>
      <w:rPr>
        <w:rFonts w:cs="Arial"/>
        <w:szCs w:val="18"/>
      </w:rPr>
      <w:t>VM02_01_ WG e-L Surv</w:t>
    </w:r>
    <w:r>
      <w:br/>
    </w:r>
    <w:r>
      <w:rPr>
        <w:i/>
        <w:iCs/>
      </w:rPr>
      <w:t>Agenda</w:t>
    </w:r>
    <w:r>
      <w:rPr>
        <w:i/>
        <w:iCs/>
      </w:rPr>
      <w:tab/>
    </w:r>
    <w:r>
      <w:rPr>
        <w:i/>
        <w:iCs/>
      </w:rPr>
      <w:tab/>
      <w:t>Agenda item:2.4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8E8"/>
    <w:multiLevelType w:val="multilevel"/>
    <w:tmpl w:val="C24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0" w:nlCheck="1" w:checkStyle="0"/>
  <w:attachedTemplate r:id="rId1"/>
  <w:linkStyle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51DEE0-69D3-4304-8C13-1DB3A02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Pr>
      <w:rFonts w:ascii="Times New Roman" w:eastAsia="MS Mincho" w:hAnsi="Times New Roman"/>
      <w:b/>
      <w:bCs/>
      <w:szCs w:val="24"/>
      <w:lang w:val="en-GB" w:eastAsia="zh-CN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eastAsia="MS Mincho" w:hAnsi="Tahoma" w:cs="Tahoma"/>
      <w:sz w:val="16"/>
      <w:szCs w:val="16"/>
      <w:lang w:val="en-GB" w:eastAsia="zh-CN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MS Mincho" w:hAnsi="Times New Roman"/>
      <w:szCs w:val="24"/>
      <w:lang w:val="en-GB" w:eastAsia="zh-CN"/>
    </w:rPr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Nmerodepgina">
    <w:name w:val="page number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Textosinformato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extosinformato">
    <w:name w:val="Plain Text"/>
    <w:basedOn w:val="Normal"/>
    <w:link w:val="TextosinformatoCar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" w:eastAsia="Times" w:hAnsi="Courier"/>
      <w:sz w:val="21"/>
      <w:szCs w:val="21"/>
      <w:lang w:val="en-AU" w:eastAsia="zh-CN"/>
    </w:rPr>
  </w:style>
  <w:style w:type="character" w:customStyle="1" w:styleId="Ttulo2Car">
    <w:name w:val="Título 2 Car"/>
    <w:basedOn w:val="Fuentedeprrafopredeter"/>
    <w:link w:val="Ttulo2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Ttulo3Car">
    <w:name w:val="Título 3 Car"/>
    <w:basedOn w:val="Fuentedeprrafopredeter"/>
    <w:link w:val="Ttulo3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Textonotapie">
    <w:name w:val="footnote text"/>
    <w:basedOn w:val="Normal"/>
    <w:link w:val="TextonotapieCar"/>
    <w:semiHidden/>
    <w:pPr>
      <w:spacing w:before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ascii="Times New Roman" w:eastAsia="MS Mincho" w:hAnsi="Times New Roman"/>
      <w:sz w:val="20"/>
      <w:szCs w:val="24"/>
      <w:lang w:val="en-GB" w:eastAsia="zh-C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Style">
    <w:name w:val="Style"/>
    <w:basedOn w:val="Piedepgina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table" w:styleId="Tablaconcuadrcula">
    <w:name w:val="Table Grid"/>
    <w:basedOn w:val="Tablanormal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Fuentedeprrafopredeter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osinformatoCar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Fuentedeprrafopredeter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pPr>
      <w:numPr>
        <w:numId w:val="7"/>
      </w:numPr>
    </w:p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DC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DC2">
    <w:name w:val="toc 2"/>
    <w:basedOn w:val="TDC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DC3">
    <w:name w:val="toc 3"/>
    <w:basedOn w:val="TDC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DC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DC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DC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DC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DC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DC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pPr>
      <w:numPr>
        <w:numId w:val="17"/>
      </w:numPr>
    </w:p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OneDrive%20-%20Food%20and%20Agriculture%20Organization\Documents\IPPC_2015-06-0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998A74B66DBF46BDC07F173D88C9F8" ma:contentTypeVersion="4" ma:contentTypeDescription="Creare un nuovo documento." ma:contentTypeScope="" ma:versionID="a235091a077d000d2ce97a67ff28d601">
  <xsd:schema xmlns:xsd="http://www.w3.org/2001/XMLSchema" xmlns:xs="http://www.w3.org/2001/XMLSchema" xmlns:p="http://schemas.microsoft.com/office/2006/metadata/properties" xmlns:ns2="111a90fe-d2ef-4db8-bd94-01ef11bdbde5" targetNamespace="http://schemas.microsoft.com/office/2006/metadata/properties" ma:root="true" ma:fieldsID="00649c70b7c6194243cec11f2e6db6e8" ns2:_="">
    <xsd:import namespace="111a90fe-d2ef-4db8-bd94-01ef11bdb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90fe-d2ef-4db8-bd94-01ef11bdb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8F158-ECB7-4698-B514-59862EF1A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90fe-d2ef-4db8-bd94-01ef11bdb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CA28A-6695-40B9-B337-05743FC20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C35E5-7D4E-4A20-ABC4-0CAD92B2C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rull gabayet</dc:creator>
  <cp:keywords/>
  <dc:description/>
  <cp:lastModifiedBy>juan rull gabayet</cp:lastModifiedBy>
  <cp:revision>3</cp:revision>
  <dcterms:created xsi:type="dcterms:W3CDTF">2021-12-19T08:52:00Z</dcterms:created>
  <dcterms:modified xsi:type="dcterms:W3CDTF">2021-12-19T13:01:00Z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0x0101006B998A74B66DBF46BDC07F173D88C9F8</vt:lpwstr>
  </property>
</Properties>
</file>