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2CBC1" w14:textId="00B428F3" w:rsidR="00D73939" w:rsidRDefault="0058486D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UK</w:t>
      </w:r>
      <w:r w:rsidR="00431A16" w:rsidRPr="00431A16">
        <w:rPr>
          <w:b/>
          <w:bCs/>
          <w:sz w:val="32"/>
          <w:szCs w:val="28"/>
        </w:rPr>
        <w:t xml:space="preserve"> pest report </w:t>
      </w:r>
      <w:r>
        <w:rPr>
          <w:b/>
          <w:bCs/>
          <w:sz w:val="32"/>
          <w:szCs w:val="28"/>
        </w:rPr>
        <w:t>for</w:t>
      </w:r>
      <w:r w:rsidR="00142751">
        <w:rPr>
          <w:b/>
          <w:bCs/>
          <w:sz w:val="32"/>
          <w:szCs w:val="28"/>
        </w:rPr>
        <w:t>m</w:t>
      </w:r>
      <w:r w:rsidR="00294E34">
        <w:rPr>
          <w:b/>
          <w:bCs/>
          <w:sz w:val="32"/>
          <w:szCs w:val="28"/>
        </w:rPr>
        <w:t xml:space="preserve"> - </w:t>
      </w:r>
      <w:r w:rsidR="00294E34" w:rsidRPr="00294E34">
        <w:rPr>
          <w:b/>
          <w:bCs/>
          <w:iCs/>
          <w:sz w:val="32"/>
          <w:szCs w:val="28"/>
        </w:rPr>
        <w:t>Tomato brown rugose fruit virus</w:t>
      </w:r>
      <w:r>
        <w:rPr>
          <w:b/>
          <w:bCs/>
          <w:sz w:val="32"/>
          <w:szCs w:val="28"/>
        </w:rPr>
        <w:t xml:space="preserve"> </w:t>
      </w:r>
    </w:p>
    <w:tbl>
      <w:tblPr>
        <w:tblStyle w:val="GridTable4-Accent2"/>
        <w:tblW w:w="0" w:type="auto"/>
        <w:tblInd w:w="-431" w:type="dxa"/>
        <w:tblLook w:val="04A0" w:firstRow="1" w:lastRow="0" w:firstColumn="1" w:lastColumn="0" w:noHBand="0" w:noVBand="1"/>
      </w:tblPr>
      <w:tblGrid>
        <w:gridCol w:w="4815"/>
        <w:gridCol w:w="5109"/>
      </w:tblGrid>
      <w:tr w:rsidR="00431A16" w14:paraId="620F2A87" w14:textId="77777777" w:rsidTr="00A65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263015A" w14:textId="317981C5" w:rsidR="00431A16" w:rsidRDefault="00431A16">
            <w:r>
              <w:t>Field</w:t>
            </w:r>
          </w:p>
        </w:tc>
        <w:tc>
          <w:tcPr>
            <w:tcW w:w="5109" w:type="dxa"/>
          </w:tcPr>
          <w:p w14:paraId="3B37ADB1" w14:textId="7B94CDCD" w:rsidR="00431A16" w:rsidRDefault="00431A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</w:t>
            </w:r>
            <w:bookmarkStart w:id="0" w:name="_GoBack"/>
            <w:bookmarkEnd w:id="0"/>
          </w:p>
        </w:tc>
      </w:tr>
      <w:tr w:rsidR="001C543E" w14:paraId="5B976EAC" w14:textId="77777777" w:rsidTr="00A6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CFBFC20" w14:textId="2C7B3210" w:rsidR="001C543E" w:rsidRDefault="005B5D1F">
            <w:r>
              <w:t>Pest species name</w:t>
            </w:r>
          </w:p>
        </w:tc>
        <w:tc>
          <w:tcPr>
            <w:tcW w:w="5109" w:type="dxa"/>
          </w:tcPr>
          <w:p w14:paraId="0A0421F5" w14:textId="7A1F261D" w:rsidR="001C543E" w:rsidRPr="000142AE" w:rsidRDefault="00142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751">
              <w:rPr>
                <w:i/>
                <w:iCs/>
              </w:rPr>
              <w:t>Tomato brown rugose fruit virus</w:t>
            </w:r>
            <w:r>
              <w:t xml:space="preserve"> </w:t>
            </w:r>
          </w:p>
        </w:tc>
      </w:tr>
      <w:tr w:rsidR="000959D5" w14:paraId="062BA2D3" w14:textId="77777777" w:rsidTr="00A65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4318585" w14:textId="0D1280F6" w:rsidR="000959D5" w:rsidRDefault="000959D5">
            <w:r>
              <w:t>Pest</w:t>
            </w:r>
            <w:r w:rsidR="001C543E">
              <w:t xml:space="preserve"> species name</w:t>
            </w:r>
            <w:r w:rsidR="005B5D1F">
              <w:t xml:space="preserve"> Taxon (order, family)</w:t>
            </w:r>
          </w:p>
        </w:tc>
        <w:tc>
          <w:tcPr>
            <w:tcW w:w="5109" w:type="dxa"/>
          </w:tcPr>
          <w:p w14:paraId="1ADC0800" w14:textId="4EC3822A" w:rsidR="000959D5" w:rsidRDefault="00142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Family: Virgaviridae Genus: Tobamovirus</w:t>
            </w:r>
          </w:p>
        </w:tc>
      </w:tr>
      <w:tr w:rsidR="001C543E" w14:paraId="1C0ECF3D" w14:textId="77777777" w:rsidTr="00A6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D37C424" w14:textId="6CEC6267" w:rsidR="001C543E" w:rsidRDefault="001C543E">
            <w:r>
              <w:t>Pest common name</w:t>
            </w:r>
          </w:p>
        </w:tc>
        <w:tc>
          <w:tcPr>
            <w:tcW w:w="5109" w:type="dxa"/>
          </w:tcPr>
          <w:p w14:paraId="1F6C6296" w14:textId="129EFA3B" w:rsidR="001C543E" w:rsidRPr="001C543E" w:rsidRDefault="00142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Tomato brown rugose fruit virus (ToBRFV)</w:t>
            </w:r>
          </w:p>
        </w:tc>
      </w:tr>
      <w:tr w:rsidR="00431A16" w14:paraId="6AA861E9" w14:textId="77777777" w:rsidTr="00A65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ADF64F7" w14:textId="7B6E121C" w:rsidR="00431A16" w:rsidRDefault="00431A16">
            <w:r>
              <w:t>Country</w:t>
            </w:r>
          </w:p>
        </w:tc>
        <w:tc>
          <w:tcPr>
            <w:tcW w:w="5109" w:type="dxa"/>
          </w:tcPr>
          <w:p w14:paraId="67315575" w14:textId="2AD4466F" w:rsidR="00431A16" w:rsidRDefault="00142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</w:t>
            </w:r>
          </w:p>
        </w:tc>
      </w:tr>
      <w:tr w:rsidR="00431A16" w14:paraId="433B1F0C" w14:textId="77777777" w:rsidTr="00A6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8C123E0" w14:textId="515F98D7" w:rsidR="00431A16" w:rsidRDefault="00431A16">
            <w:r>
              <w:t>Report status</w:t>
            </w:r>
            <w:r w:rsidR="00A65521">
              <w:t xml:space="preserve"> </w:t>
            </w:r>
            <w:r w:rsidR="00A65521" w:rsidRPr="00A65521">
              <w:rPr>
                <w:i/>
                <w:iCs/>
                <w:sz w:val="20"/>
                <w:szCs w:val="20"/>
              </w:rPr>
              <w:t>(</w:t>
            </w:r>
            <w:r w:rsidR="00A65521">
              <w:rPr>
                <w:i/>
                <w:iCs/>
                <w:sz w:val="20"/>
                <w:szCs w:val="20"/>
              </w:rPr>
              <w:t>first</w:t>
            </w:r>
            <w:r w:rsidR="00A65521" w:rsidRPr="00A65521">
              <w:rPr>
                <w:i/>
                <w:iCs/>
                <w:sz w:val="20"/>
                <w:szCs w:val="20"/>
              </w:rPr>
              <w:t>, update number or final.  Include date</w:t>
            </w:r>
            <w:r w:rsidR="00A65521">
              <w:rPr>
                <w:i/>
                <w:iCs/>
                <w:sz w:val="20"/>
                <w:szCs w:val="20"/>
              </w:rPr>
              <w:t>.</w:t>
            </w:r>
            <w:r w:rsidR="00A65521" w:rsidRPr="00A6552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9" w:type="dxa"/>
          </w:tcPr>
          <w:p w14:paraId="048A285D" w14:textId="10376081" w:rsidR="00431A16" w:rsidRDefault="00931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Fourth report on EPPO Reporting Service (Final). 27</w:t>
            </w:r>
            <w:r w:rsidRPr="009315E3">
              <w:rPr>
                <w:vertAlign w:val="superscript"/>
              </w:rPr>
              <w:t>th</w:t>
            </w:r>
            <w:r>
              <w:t xml:space="preserve"> November 2021.</w:t>
            </w:r>
          </w:p>
        </w:tc>
      </w:tr>
      <w:tr w:rsidR="00431A16" w14:paraId="12C35ADC" w14:textId="77777777" w:rsidTr="00A65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E22F017" w14:textId="0225E410" w:rsidR="00431A16" w:rsidRDefault="00431A16">
            <w:r>
              <w:t>Host</w:t>
            </w:r>
            <w:r w:rsidR="005B5D1F">
              <w:t>(</w:t>
            </w:r>
            <w:r>
              <w:t>s</w:t>
            </w:r>
            <w:r w:rsidR="005B5D1F">
              <w:t xml:space="preserve">) present </w:t>
            </w:r>
            <w:r w:rsidR="00690E3E">
              <w:t>on</w:t>
            </w:r>
          </w:p>
        </w:tc>
        <w:tc>
          <w:tcPr>
            <w:tcW w:w="5109" w:type="dxa"/>
          </w:tcPr>
          <w:p w14:paraId="2D618F4D" w14:textId="72BE20AA" w:rsidR="00431A16" w:rsidRDefault="00142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751">
              <w:rPr>
                <w:i/>
                <w:iCs/>
              </w:rPr>
              <w:t>Solanum lycopersicum</w:t>
            </w:r>
            <w:r>
              <w:t xml:space="preserve"> (tomato)</w:t>
            </w:r>
          </w:p>
        </w:tc>
      </w:tr>
      <w:tr w:rsidR="00690E3E" w14:paraId="4D771BA8" w14:textId="77777777" w:rsidTr="00A6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6365E35" w14:textId="5F9A2361" w:rsidR="00690E3E" w:rsidRDefault="00690E3E">
            <w:r>
              <w:t xml:space="preserve">Host range (indicate if </w:t>
            </w:r>
            <w:r w:rsidR="00D111C3">
              <w:t xml:space="preserve">the host is </w:t>
            </w:r>
            <w:r>
              <w:t>major, wild</w:t>
            </w:r>
            <w:r w:rsidR="00D111C3">
              <w:t>-</w:t>
            </w:r>
            <w:r>
              <w:t xml:space="preserve">weed, alternate, </w:t>
            </w:r>
            <w:r w:rsidR="00D111C3">
              <w:t>experimental,</w:t>
            </w:r>
            <w:r>
              <w:t xml:space="preserve"> or doubtful</w:t>
            </w:r>
            <w:r w:rsidR="00D111C3">
              <w:t>,</w:t>
            </w:r>
            <w:r>
              <w:t xml:space="preserve"> if known)</w:t>
            </w:r>
          </w:p>
        </w:tc>
        <w:tc>
          <w:tcPr>
            <w:tcW w:w="5109" w:type="dxa"/>
          </w:tcPr>
          <w:p w14:paraId="0EC8EEA0" w14:textId="7EEB620D" w:rsidR="00690E3E" w:rsidRPr="00431A16" w:rsidRDefault="00142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Major</w:t>
            </w:r>
          </w:p>
        </w:tc>
      </w:tr>
      <w:tr w:rsidR="00431A16" w14:paraId="4F5958B0" w14:textId="77777777" w:rsidTr="00A65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B817440" w14:textId="54525945" w:rsidR="00431A16" w:rsidRDefault="00431A16">
            <w:r>
              <w:t>Pest status</w:t>
            </w:r>
            <w:r w:rsidR="00F17856">
              <w:t xml:space="preserve"> (as per ISPM 8)</w:t>
            </w:r>
          </w:p>
        </w:tc>
        <w:tc>
          <w:tcPr>
            <w:tcW w:w="5109" w:type="dxa"/>
          </w:tcPr>
          <w:p w14:paraId="60559C48" w14:textId="2EFC3DB5" w:rsidR="001A635D" w:rsidRDefault="00142751" w:rsidP="00F45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Absent: pest eradicated</w:t>
            </w:r>
          </w:p>
        </w:tc>
      </w:tr>
      <w:tr w:rsidR="00431A16" w14:paraId="0B2C5B1B" w14:textId="77777777" w:rsidTr="00A6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1AC2C4F" w14:textId="2F06B74D" w:rsidR="00431A16" w:rsidRDefault="00431A16">
            <w:r>
              <w:lastRenderedPageBreak/>
              <w:t>Geographical distribution</w:t>
            </w:r>
          </w:p>
        </w:tc>
        <w:tc>
          <w:tcPr>
            <w:tcW w:w="5109" w:type="dxa"/>
          </w:tcPr>
          <w:p w14:paraId="352C9A68" w14:textId="6C30F0A4" w:rsidR="00431A16" w:rsidRDefault="00142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longer present in the UK. Previous outbreaks</w:t>
            </w:r>
            <w:r w:rsidR="007C3431">
              <w:t xml:space="preserve"> were</w:t>
            </w:r>
            <w:r>
              <w:t xml:space="preserve"> at one site in Kent (2019), four sites in the West Midlands (2020) and one site in the East of England (2020).</w:t>
            </w:r>
          </w:p>
        </w:tc>
      </w:tr>
      <w:tr w:rsidR="001A635D" w14:paraId="696FEDD1" w14:textId="77777777" w:rsidTr="00A65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447DE7E" w14:textId="66324704" w:rsidR="001A635D" w:rsidRDefault="001A635D">
            <w:r>
              <w:t>Official control in place</w:t>
            </w:r>
          </w:p>
        </w:tc>
        <w:tc>
          <w:tcPr>
            <w:tcW w:w="5109" w:type="dxa"/>
          </w:tcPr>
          <w:p w14:paraId="442F662F" w14:textId="532D9B7B" w:rsidR="001A635D" w:rsidRPr="00431A16" w:rsidRDefault="007C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Statutory action is no longer being taken at the outbreak sites, following eradication of the virus.</w:t>
            </w:r>
          </w:p>
        </w:tc>
      </w:tr>
      <w:tr w:rsidR="00431A16" w14:paraId="056D1A12" w14:textId="77777777" w:rsidTr="00A6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FAFCDAF" w14:textId="2CCBB420" w:rsidR="00431A16" w:rsidRDefault="00431A16">
            <w:r>
              <w:t>Summary</w:t>
            </w:r>
            <w:r w:rsidR="00B628C6">
              <w:t xml:space="preserve"> (nature of the finding and phytosanitary measures taken)</w:t>
            </w:r>
          </w:p>
        </w:tc>
        <w:tc>
          <w:tcPr>
            <w:tcW w:w="5109" w:type="dxa"/>
          </w:tcPr>
          <w:p w14:paraId="5672993A" w14:textId="5E5BD1D5" w:rsidR="00431A16" w:rsidRDefault="00F0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Phytosanitary measures at all six outbreak sites included the destruction of the affected crop and the cleansing and disinfection of the affected glasshouses and areas. </w:t>
            </w:r>
            <w:r w:rsidR="000048F5">
              <w:t>N</w:t>
            </w:r>
            <w:r>
              <w:t>ewly planted crops</w:t>
            </w:r>
            <w:r w:rsidR="000048F5">
              <w:t xml:space="preserve"> at these sites were inspected, sampled and tested for ToBRFV and no positives were found. The affected glasshouse at one site did not have a </w:t>
            </w:r>
            <w:r w:rsidR="009315E3">
              <w:t>follow-on</w:t>
            </w:r>
            <w:r w:rsidR="000048F5">
              <w:t xml:space="preserve"> </w:t>
            </w:r>
            <w:r w:rsidR="009315E3">
              <w:t xml:space="preserve">host </w:t>
            </w:r>
            <w:r w:rsidR="000048F5">
              <w:t>crop and was left empty after cleansing and disinfection.</w:t>
            </w:r>
            <w:r>
              <w:t xml:space="preserve">  </w:t>
            </w:r>
          </w:p>
        </w:tc>
      </w:tr>
      <w:tr w:rsidR="00431A16" w14:paraId="6A077355" w14:textId="77777777" w:rsidTr="00A65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58DC967" w14:textId="46FDCE68" w:rsidR="00431A16" w:rsidRDefault="00431A16">
            <w:r>
              <w:t>Danger</w:t>
            </w:r>
            <w:r w:rsidR="00F17856">
              <w:t>/risk posed</w:t>
            </w:r>
          </w:p>
        </w:tc>
        <w:tc>
          <w:tcPr>
            <w:tcW w:w="5109" w:type="dxa"/>
          </w:tcPr>
          <w:p w14:paraId="39ECAE9B" w14:textId="77777777" w:rsidR="00145361" w:rsidRDefault="007C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ToBRFV is a damaging virus of tomato and pepper. </w:t>
            </w:r>
            <w:r w:rsidRPr="007C3431">
              <w:t>Symptoms of the virus include mosaic patterning and deformation of leaves, necrosis of pedicels, calyces, petioles and flowers, and discoloration, deformation and necrosis of fruit</w:t>
            </w:r>
            <w:r>
              <w:t xml:space="preserve">. </w:t>
            </w:r>
            <w:r w:rsidRPr="007C3431">
              <w:t xml:space="preserve">In severe cases, ToBRFV </w:t>
            </w:r>
            <w:r w:rsidRPr="007C3431">
              <w:lastRenderedPageBreak/>
              <w:t>may lead to the wilting and yellowing, and eventually the death, of the plant</w:t>
            </w:r>
            <w:r>
              <w:t>.</w:t>
            </w:r>
          </w:p>
          <w:p w14:paraId="6B745C57" w14:textId="4BCC6ACB" w:rsidR="007C3431" w:rsidRDefault="007C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431">
              <w:t>ToBRFV was first observed in Israel in 2014, and in Jordan in the following year</w:t>
            </w:r>
            <w:r>
              <w:t xml:space="preserve">. Since then, the virus has spread rapidly across </w:t>
            </w:r>
            <w:r w:rsidR="00F06D64">
              <w:t>Asia</w:t>
            </w:r>
            <w:r>
              <w:t xml:space="preserve">, </w:t>
            </w:r>
            <w:r w:rsidR="00F06D64">
              <w:t xml:space="preserve">Europe and North America. </w:t>
            </w:r>
            <w:r w:rsidR="00F06D64" w:rsidRPr="00F06D64">
              <w:t>The main pathways for long distance spread of the virus are seed, plants for planting and fruit</w:t>
            </w:r>
            <w:r w:rsidR="00F06D64">
              <w:t>.</w:t>
            </w:r>
          </w:p>
        </w:tc>
      </w:tr>
      <w:tr w:rsidR="000959D5" w14:paraId="1287F471" w14:textId="77777777" w:rsidTr="00A6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1633AAF" w14:textId="6A78F776" w:rsidR="000959D5" w:rsidRDefault="000959D5">
            <w:r>
              <w:lastRenderedPageBreak/>
              <w:t>Report files</w:t>
            </w:r>
          </w:p>
        </w:tc>
        <w:tc>
          <w:tcPr>
            <w:tcW w:w="5109" w:type="dxa"/>
          </w:tcPr>
          <w:p w14:paraId="46CF1C92" w14:textId="763BCDFA" w:rsidR="000959D5" w:rsidRPr="000959D5" w:rsidRDefault="00F0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959D5" w14:paraId="10F53D60" w14:textId="77777777" w:rsidTr="00A65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B9C3AB3" w14:textId="2639D583" w:rsidR="000959D5" w:rsidRDefault="000959D5">
            <w:r>
              <w:t>Website</w:t>
            </w:r>
            <w:r w:rsidR="00F17856">
              <w:t>(s)</w:t>
            </w:r>
          </w:p>
        </w:tc>
        <w:tc>
          <w:tcPr>
            <w:tcW w:w="5109" w:type="dxa"/>
          </w:tcPr>
          <w:p w14:paraId="0384992E" w14:textId="6F59E229" w:rsidR="000959D5" w:rsidRPr="000959D5" w:rsidRDefault="00F0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14:paraId="1F57668D" w14:textId="51453FA2" w:rsidR="00721F9B" w:rsidRPr="00721F9B" w:rsidRDefault="00721F9B" w:rsidP="00721F9B">
      <w:pPr>
        <w:rPr>
          <w:b/>
          <w:bCs/>
          <w:i/>
          <w:iCs/>
        </w:rPr>
      </w:pPr>
    </w:p>
    <w:sectPr w:rsidR="00721F9B" w:rsidRPr="00721F9B" w:rsidSect="00F17856">
      <w:footerReference w:type="default" r:id="rId8"/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53C1D" w14:textId="77777777" w:rsidR="00F17856" w:rsidRDefault="00F17856" w:rsidP="00F17856">
      <w:pPr>
        <w:spacing w:before="0" w:after="0" w:line="240" w:lineRule="auto"/>
      </w:pPr>
      <w:r>
        <w:separator/>
      </w:r>
    </w:p>
  </w:endnote>
  <w:endnote w:type="continuationSeparator" w:id="0">
    <w:p w14:paraId="096929BF" w14:textId="77777777" w:rsidR="00F17856" w:rsidRDefault="00F17856" w:rsidP="00F178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3518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873913" w14:textId="47723433" w:rsidR="00A65521" w:rsidRDefault="00A65521">
            <w:pPr>
              <w:pStyle w:val="Footer"/>
              <w:jc w:val="right"/>
            </w:pPr>
            <w:r w:rsidRPr="00A65521">
              <w:rPr>
                <w:sz w:val="20"/>
                <w:szCs w:val="20"/>
              </w:rPr>
              <w:t xml:space="preserve">Page </w:t>
            </w:r>
            <w:r w:rsidRPr="00A65521">
              <w:rPr>
                <w:b/>
                <w:bCs/>
                <w:sz w:val="20"/>
                <w:szCs w:val="20"/>
              </w:rPr>
              <w:fldChar w:fldCharType="begin"/>
            </w:r>
            <w:r w:rsidRPr="00A6552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A65521">
              <w:rPr>
                <w:b/>
                <w:bCs/>
                <w:sz w:val="20"/>
                <w:szCs w:val="20"/>
              </w:rPr>
              <w:fldChar w:fldCharType="separate"/>
            </w:r>
            <w:r w:rsidR="00294E34">
              <w:rPr>
                <w:b/>
                <w:bCs/>
                <w:noProof/>
                <w:sz w:val="20"/>
                <w:szCs w:val="20"/>
              </w:rPr>
              <w:t>1</w:t>
            </w:r>
            <w:r w:rsidRPr="00A65521">
              <w:rPr>
                <w:b/>
                <w:bCs/>
                <w:sz w:val="20"/>
                <w:szCs w:val="20"/>
              </w:rPr>
              <w:fldChar w:fldCharType="end"/>
            </w:r>
            <w:r w:rsidRPr="00A65521">
              <w:rPr>
                <w:sz w:val="20"/>
                <w:szCs w:val="20"/>
              </w:rPr>
              <w:t xml:space="preserve"> of </w:t>
            </w:r>
            <w:r w:rsidRPr="00A65521">
              <w:rPr>
                <w:b/>
                <w:bCs/>
                <w:sz w:val="20"/>
                <w:szCs w:val="20"/>
              </w:rPr>
              <w:fldChar w:fldCharType="begin"/>
            </w:r>
            <w:r w:rsidRPr="00A6552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A65521">
              <w:rPr>
                <w:b/>
                <w:bCs/>
                <w:sz w:val="20"/>
                <w:szCs w:val="20"/>
              </w:rPr>
              <w:fldChar w:fldCharType="separate"/>
            </w:r>
            <w:r w:rsidR="00294E34">
              <w:rPr>
                <w:b/>
                <w:bCs/>
                <w:noProof/>
                <w:sz w:val="20"/>
                <w:szCs w:val="20"/>
              </w:rPr>
              <w:t>2</w:t>
            </w:r>
            <w:r w:rsidRPr="00A6552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8014F64" w14:textId="77777777" w:rsidR="00A65521" w:rsidRDefault="00A65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8C7B5" w14:textId="77777777" w:rsidR="00F17856" w:rsidRDefault="00F17856" w:rsidP="00F17856">
      <w:pPr>
        <w:spacing w:before="0" w:after="0" w:line="240" w:lineRule="auto"/>
      </w:pPr>
      <w:r>
        <w:separator/>
      </w:r>
    </w:p>
  </w:footnote>
  <w:footnote w:type="continuationSeparator" w:id="0">
    <w:p w14:paraId="28E0BBF9" w14:textId="77777777" w:rsidR="00F17856" w:rsidRDefault="00F17856" w:rsidP="00F1785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052DD"/>
    <w:multiLevelType w:val="hybridMultilevel"/>
    <w:tmpl w:val="83D04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16"/>
    <w:rsid w:val="000048F5"/>
    <w:rsid w:val="000142AE"/>
    <w:rsid w:val="000959D5"/>
    <w:rsid w:val="00142751"/>
    <w:rsid w:val="00145361"/>
    <w:rsid w:val="001930DA"/>
    <w:rsid w:val="001A61AD"/>
    <w:rsid w:val="001A635D"/>
    <w:rsid w:val="001C543E"/>
    <w:rsid w:val="001E5F22"/>
    <w:rsid w:val="001F62A8"/>
    <w:rsid w:val="00293EF4"/>
    <w:rsid w:val="00294E34"/>
    <w:rsid w:val="0042516D"/>
    <w:rsid w:val="00431A16"/>
    <w:rsid w:val="0058486D"/>
    <w:rsid w:val="005B5D1F"/>
    <w:rsid w:val="00690E3E"/>
    <w:rsid w:val="006E45BA"/>
    <w:rsid w:val="00721F9B"/>
    <w:rsid w:val="007C3431"/>
    <w:rsid w:val="00911C4C"/>
    <w:rsid w:val="009315E3"/>
    <w:rsid w:val="00955EF9"/>
    <w:rsid w:val="00A448EB"/>
    <w:rsid w:val="00A65521"/>
    <w:rsid w:val="00A77771"/>
    <w:rsid w:val="00A9590C"/>
    <w:rsid w:val="00B30172"/>
    <w:rsid w:val="00B628C6"/>
    <w:rsid w:val="00BD11B1"/>
    <w:rsid w:val="00C12C3E"/>
    <w:rsid w:val="00C637E0"/>
    <w:rsid w:val="00CA15D9"/>
    <w:rsid w:val="00D111C3"/>
    <w:rsid w:val="00D73939"/>
    <w:rsid w:val="00DD2032"/>
    <w:rsid w:val="00E233FA"/>
    <w:rsid w:val="00EE1A8F"/>
    <w:rsid w:val="00F06D64"/>
    <w:rsid w:val="00F17856"/>
    <w:rsid w:val="00F45941"/>
    <w:rsid w:val="00F47383"/>
    <w:rsid w:val="00F6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D7F6E7"/>
  <w15:chartTrackingRefBased/>
  <w15:docId w15:val="{4F724965-720D-467E-854E-D25CFD73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EB"/>
    <w:pPr>
      <w:spacing w:before="240" w:after="12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A448EB"/>
    <w:pPr>
      <w:keepNext/>
      <w:keepLines/>
      <w:spacing w:before="480"/>
      <w:outlineLvl w:val="0"/>
    </w:pPr>
    <w:rPr>
      <w:rFonts w:eastAsia="Times New Roman"/>
      <w:b/>
      <w:bCs/>
      <w:color w:val="008938"/>
      <w:sz w:val="44"/>
      <w:szCs w:val="28"/>
    </w:rPr>
  </w:style>
  <w:style w:type="paragraph" w:styleId="Heading2">
    <w:name w:val="heading 2"/>
    <w:next w:val="Normal"/>
    <w:link w:val="Heading2Char"/>
    <w:autoRedefine/>
    <w:qFormat/>
    <w:rsid w:val="00A448EB"/>
    <w:pPr>
      <w:keepNext/>
      <w:spacing w:before="480" w:after="120"/>
      <w:outlineLvl w:val="1"/>
    </w:pPr>
    <w:rPr>
      <w:rFonts w:eastAsia="Times New Roman"/>
      <w:b/>
      <w:bCs/>
      <w:iCs/>
      <w:color w:val="008938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448EB"/>
    <w:pPr>
      <w:keepNext/>
      <w:keepLines/>
      <w:spacing w:before="360" w:after="0"/>
      <w:outlineLvl w:val="2"/>
    </w:pPr>
    <w:rPr>
      <w:rFonts w:eastAsia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A448EB"/>
    <w:pPr>
      <w:keepNext/>
      <w:keepLines/>
      <w:spacing w:before="200"/>
      <w:outlineLvl w:val="3"/>
    </w:pPr>
    <w:rPr>
      <w:rFonts w:eastAsia="Times New Roman"/>
      <w:b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subtitle">
    <w:name w:val="Report subtitle"/>
    <w:uiPriority w:val="1"/>
    <w:qFormat/>
    <w:rsid w:val="00A448EB"/>
    <w:pPr>
      <w:spacing w:after="200"/>
    </w:pPr>
    <w:rPr>
      <w:color w:val="008938"/>
      <w:sz w:val="40"/>
      <w:szCs w:val="28"/>
    </w:rPr>
  </w:style>
  <w:style w:type="paragraph" w:customStyle="1" w:styleId="Reporttitledarkgreen">
    <w:name w:val="Report title dark green"/>
    <w:qFormat/>
    <w:rsid w:val="00A448EB"/>
    <w:pPr>
      <w:spacing w:after="280"/>
    </w:pPr>
    <w:rPr>
      <w:color w:val="008938"/>
      <w:sz w:val="56"/>
      <w:szCs w:val="22"/>
    </w:rPr>
  </w:style>
  <w:style w:type="paragraph" w:customStyle="1" w:styleId="Contents">
    <w:name w:val="Contents"/>
    <w:basedOn w:val="Normal"/>
    <w:next w:val="Normal"/>
    <w:uiPriority w:val="2"/>
    <w:qFormat/>
    <w:rsid w:val="00A448EB"/>
    <w:rPr>
      <w:b/>
      <w:color w:val="008938"/>
      <w:sz w:val="28"/>
      <w:lang w:eastAsia="en-GB"/>
    </w:rPr>
  </w:style>
  <w:style w:type="paragraph" w:customStyle="1" w:styleId="Dateandversion">
    <w:name w:val="Date and version"/>
    <w:basedOn w:val="Normal"/>
    <w:uiPriority w:val="2"/>
    <w:qFormat/>
    <w:rsid w:val="00A448EB"/>
    <w:rPr>
      <w:sz w:val="28"/>
    </w:rPr>
  </w:style>
  <w:style w:type="character" w:customStyle="1" w:styleId="Heading1Char">
    <w:name w:val="Heading 1 Char"/>
    <w:basedOn w:val="DefaultParagraphFont"/>
    <w:link w:val="Heading1"/>
    <w:rsid w:val="00A448EB"/>
    <w:rPr>
      <w:rFonts w:eastAsia="Times New Roman"/>
      <w:b/>
      <w:bCs/>
      <w:color w:val="008938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A448EB"/>
    <w:rPr>
      <w:rFonts w:eastAsia="Times New Roman"/>
      <w:b/>
      <w:bCs/>
      <w:iCs/>
      <w:color w:val="008938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448EB"/>
    <w:rPr>
      <w:rFonts w:eastAsia="Times New Roman"/>
      <w:b/>
      <w:bCs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A448EB"/>
    <w:rPr>
      <w:rFonts w:eastAsia="Times New Roman"/>
      <w:b/>
      <w:bCs/>
      <w:iCs/>
      <w:sz w:val="24"/>
      <w:szCs w:val="22"/>
    </w:rPr>
  </w:style>
  <w:style w:type="paragraph" w:styleId="Caption">
    <w:name w:val="caption"/>
    <w:basedOn w:val="Normal"/>
    <w:next w:val="Normal"/>
    <w:uiPriority w:val="4"/>
    <w:qFormat/>
    <w:rsid w:val="00A448EB"/>
    <w:pPr>
      <w:spacing w:before="360" w:after="0"/>
    </w:pPr>
    <w:rPr>
      <w:b/>
      <w:iCs/>
      <w:sz w:val="22"/>
      <w:szCs w:val="18"/>
    </w:rPr>
  </w:style>
  <w:style w:type="table" w:styleId="TableGrid">
    <w:name w:val="Table Grid"/>
    <w:basedOn w:val="TableNormal"/>
    <w:uiPriority w:val="39"/>
    <w:rsid w:val="0043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31A16"/>
    <w:tblPr>
      <w:tblStyleRowBandSize w:val="1"/>
      <w:tblStyleColBandSize w:val="1"/>
      <w:tblBorders>
        <w:top w:val="single" w:sz="4" w:space="0" w:color="36FF80" w:themeColor="accent1" w:themeTint="99"/>
        <w:left w:val="single" w:sz="4" w:space="0" w:color="36FF80" w:themeColor="accent1" w:themeTint="99"/>
        <w:bottom w:val="single" w:sz="4" w:space="0" w:color="36FF80" w:themeColor="accent1" w:themeTint="99"/>
        <w:right w:val="single" w:sz="4" w:space="0" w:color="36FF80" w:themeColor="accent1" w:themeTint="99"/>
        <w:insideH w:val="single" w:sz="4" w:space="0" w:color="36FF80" w:themeColor="accent1" w:themeTint="99"/>
        <w:insideV w:val="single" w:sz="4" w:space="0" w:color="36FF8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F41" w:themeColor="accent1"/>
          <w:left w:val="single" w:sz="4" w:space="0" w:color="00AF41" w:themeColor="accent1"/>
          <w:bottom w:val="single" w:sz="4" w:space="0" w:color="00AF41" w:themeColor="accent1"/>
          <w:right w:val="single" w:sz="4" w:space="0" w:color="00AF41" w:themeColor="accent1"/>
          <w:insideH w:val="nil"/>
          <w:insideV w:val="nil"/>
        </w:tcBorders>
        <w:shd w:val="clear" w:color="auto" w:fill="00AF41" w:themeFill="accent1"/>
      </w:tcPr>
    </w:tblStylePr>
    <w:tblStylePr w:type="lastRow">
      <w:rPr>
        <w:b/>
        <w:bCs/>
      </w:rPr>
      <w:tblPr/>
      <w:tcPr>
        <w:tcBorders>
          <w:top w:val="double" w:sz="4" w:space="0" w:color="00AF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4" w:themeFill="accent1" w:themeFillTint="33"/>
      </w:tcPr>
    </w:tblStylePr>
    <w:tblStylePr w:type="band1Horz">
      <w:tblPr/>
      <w:tcPr>
        <w:shd w:val="clear" w:color="auto" w:fill="BCFFD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31A16"/>
    <w:tblPr>
      <w:tblStyleRowBandSize w:val="1"/>
      <w:tblStyleColBandSize w:val="1"/>
      <w:tblBorders>
        <w:top w:val="single" w:sz="4" w:space="0" w:color="2597FA" w:themeColor="accent2" w:themeTint="99"/>
        <w:left w:val="single" w:sz="4" w:space="0" w:color="2597FA" w:themeColor="accent2" w:themeTint="99"/>
        <w:bottom w:val="single" w:sz="4" w:space="0" w:color="2597FA" w:themeColor="accent2" w:themeTint="99"/>
        <w:right w:val="single" w:sz="4" w:space="0" w:color="2597FA" w:themeColor="accent2" w:themeTint="99"/>
        <w:insideH w:val="single" w:sz="4" w:space="0" w:color="2597FA" w:themeColor="accent2" w:themeTint="99"/>
        <w:insideV w:val="single" w:sz="4" w:space="0" w:color="2597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4B89" w:themeColor="accent2"/>
          <w:left w:val="single" w:sz="4" w:space="0" w:color="034B89" w:themeColor="accent2"/>
          <w:bottom w:val="single" w:sz="4" w:space="0" w:color="034B89" w:themeColor="accent2"/>
          <w:right w:val="single" w:sz="4" w:space="0" w:color="034B89" w:themeColor="accent2"/>
          <w:insideH w:val="nil"/>
          <w:insideV w:val="nil"/>
        </w:tcBorders>
        <w:shd w:val="clear" w:color="auto" w:fill="034B89" w:themeFill="accent2"/>
      </w:tcPr>
    </w:tblStylePr>
    <w:tblStylePr w:type="lastRow">
      <w:rPr>
        <w:b/>
        <w:bCs/>
      </w:rPr>
      <w:tblPr/>
      <w:tcPr>
        <w:tcBorders>
          <w:top w:val="double" w:sz="4" w:space="0" w:color="034B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CFD" w:themeFill="accent2" w:themeFillTint="33"/>
      </w:tcPr>
    </w:tblStylePr>
    <w:tblStylePr w:type="band1Horz">
      <w:tblPr/>
      <w:tcPr>
        <w:shd w:val="clear" w:color="auto" w:fill="B6DCFD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93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0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0D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7856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7856"/>
  </w:style>
  <w:style w:type="character" w:styleId="FootnoteReference">
    <w:name w:val="footnote reference"/>
    <w:basedOn w:val="DefaultParagraphFont"/>
    <w:uiPriority w:val="99"/>
    <w:semiHidden/>
    <w:unhideWhenUsed/>
    <w:rsid w:val="00F1785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7856"/>
    <w:rPr>
      <w:color w:val="0000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785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17856"/>
    <w:rPr>
      <w:i/>
      <w:iCs/>
    </w:rPr>
  </w:style>
  <w:style w:type="paragraph" w:styleId="ListParagraph">
    <w:name w:val="List Paragraph"/>
    <w:basedOn w:val="Normal"/>
    <w:uiPriority w:val="34"/>
    <w:rsid w:val="00F17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52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2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6552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21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A 2017">
      <a:dk1>
        <a:srgbClr val="000000"/>
      </a:dk1>
      <a:lt1>
        <a:srgbClr val="FFFFFF"/>
      </a:lt1>
      <a:dk2>
        <a:srgbClr val="00AF41"/>
      </a:dk2>
      <a:lt2>
        <a:srgbClr val="034B89"/>
      </a:lt2>
      <a:accent1>
        <a:srgbClr val="00AF41"/>
      </a:accent1>
      <a:accent2>
        <a:srgbClr val="034B89"/>
      </a:accent2>
      <a:accent3>
        <a:srgbClr val="B2C326"/>
      </a:accent3>
      <a:accent4>
        <a:srgbClr val="54BCE7"/>
      </a:accent4>
      <a:accent5>
        <a:srgbClr val="D95F15"/>
      </a:accent5>
      <a:accent6>
        <a:srgbClr val="7F7F7F"/>
      </a:accent6>
      <a:hlink>
        <a:srgbClr val="000000"/>
      </a:hlink>
      <a:folHlink>
        <a:srgbClr val="B2C326"/>
      </a:folHlink>
    </a:clrScheme>
    <a:fontScheme name="Environment Agenc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4281-5115-444B-A30A-6A95F26A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Everatt, Matthew</dc:creator>
  <cp:keywords/>
  <dc:description/>
  <cp:lastModifiedBy>Anning, Simon (DEFRA)</cp:lastModifiedBy>
  <cp:revision>2</cp:revision>
  <cp:lastPrinted>2021-10-22T07:48:00Z</cp:lastPrinted>
  <dcterms:created xsi:type="dcterms:W3CDTF">2021-12-07T16:37:00Z</dcterms:created>
  <dcterms:modified xsi:type="dcterms:W3CDTF">2021-12-07T16:37:00Z</dcterms:modified>
</cp:coreProperties>
</file>