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26" w:rsidRDefault="009E4826">
      <w:bookmarkStart w:id="0" w:name="_GoBack"/>
      <w:bookmarkEnd w:id="0"/>
      <w:r>
        <w:rPr>
          <w:b/>
          <w:i/>
          <w:noProof/>
          <w:color w:val="0000FF"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1D67EA7D" wp14:editId="369B7814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833695" cy="819510"/>
            <wp:effectExtent l="0" t="0" r="5080" b="0"/>
            <wp:wrapNone/>
            <wp:docPr id="2" name="Imagen 2" descr="logo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q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95" cy="81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826" w:rsidRDefault="009E4826" w:rsidP="009E4826">
      <w:pPr>
        <w:jc w:val="center"/>
        <w:rPr>
          <w:rFonts w:ascii="Arial" w:hAnsi="Arial" w:cs="Arial"/>
          <w:b/>
          <w:i/>
          <w:lang w:val="en-US"/>
        </w:rPr>
      </w:pPr>
    </w:p>
    <w:p w:rsidR="009E4826" w:rsidRPr="009E4826" w:rsidRDefault="009E4826" w:rsidP="009E4826">
      <w:pPr>
        <w:jc w:val="center"/>
        <w:rPr>
          <w:rFonts w:ascii="Arial" w:hAnsi="Arial" w:cs="Arial"/>
          <w:b/>
          <w:i/>
          <w:lang w:val="en-US"/>
        </w:rPr>
      </w:pPr>
      <w:r w:rsidRPr="009E4826">
        <w:rPr>
          <w:rFonts w:ascii="Arial" w:hAnsi="Arial" w:cs="Arial"/>
          <w:b/>
          <w:i/>
          <w:lang w:val="en-US"/>
        </w:rPr>
        <w:t>MINISTRY OF AGRICULTURAL DEVELOPMENT</w:t>
      </w:r>
    </w:p>
    <w:p w:rsidR="009E4826" w:rsidRPr="009E4826" w:rsidRDefault="009E4826" w:rsidP="009E4826">
      <w:pPr>
        <w:jc w:val="center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NATIONAL DIRECTION FOR PLANT HEALTH</w:t>
      </w:r>
    </w:p>
    <w:p w:rsidR="009E4826" w:rsidRPr="009E4826" w:rsidRDefault="009E4826" w:rsidP="009E4826">
      <w:pPr>
        <w:jc w:val="center"/>
        <w:rPr>
          <w:rFonts w:ascii="Arial" w:hAnsi="Arial" w:cs="Arial"/>
          <w:b/>
          <w:lang w:val="en-US"/>
        </w:rPr>
      </w:pPr>
    </w:p>
    <w:p w:rsidR="009E4826" w:rsidRPr="009E4826" w:rsidRDefault="009E4826" w:rsidP="009E4826">
      <w:pPr>
        <w:jc w:val="center"/>
        <w:rPr>
          <w:rFonts w:ascii="Arial" w:hAnsi="Arial" w:cs="Arial"/>
          <w:b/>
          <w:lang w:val="en-US"/>
        </w:rPr>
      </w:pPr>
      <w:r w:rsidRPr="009E4826">
        <w:rPr>
          <w:rFonts w:ascii="Arial" w:hAnsi="Arial" w:cs="Arial"/>
          <w:b/>
          <w:lang w:val="en-US"/>
        </w:rPr>
        <w:t>NOTIFICATION</w:t>
      </w:r>
    </w:p>
    <w:p w:rsidR="009E4826" w:rsidRPr="009E4826" w:rsidRDefault="009E4826" w:rsidP="009E4826">
      <w:pPr>
        <w:jc w:val="both"/>
        <w:rPr>
          <w:rFonts w:ascii="Arial" w:hAnsi="Arial" w:cs="Arial"/>
          <w:b/>
          <w:lang w:val="en-US"/>
        </w:rPr>
      </w:pPr>
      <w:r w:rsidRPr="009E4826">
        <w:rPr>
          <w:rFonts w:ascii="Arial" w:hAnsi="Arial" w:cs="Arial"/>
          <w:lang w:val="en-US"/>
        </w:rPr>
        <w:t xml:space="preserve">The Republic of Panama, through MIDA (Ministry of Agricultural Development) and the National Plant Protection Authority (DNSV), reports the country's phytosanitary situation </w:t>
      </w:r>
      <w:r>
        <w:rPr>
          <w:rFonts w:ascii="Arial" w:hAnsi="Arial" w:cs="Arial"/>
          <w:lang w:val="en-US"/>
        </w:rPr>
        <w:t>about</w:t>
      </w:r>
      <w:r w:rsidRPr="009E4826">
        <w:rPr>
          <w:rFonts w:ascii="Arial" w:hAnsi="Arial" w:cs="Arial"/>
          <w:lang w:val="en-US"/>
        </w:rPr>
        <w:t xml:space="preserve"> the pest known as </w:t>
      </w:r>
      <w:proofErr w:type="spellStart"/>
      <w:r w:rsidRPr="009E4826">
        <w:rPr>
          <w:rFonts w:ascii="Arial" w:hAnsi="Arial" w:cs="Arial"/>
          <w:b/>
          <w:lang w:val="en-US"/>
        </w:rPr>
        <w:t>Huanglongbing</w:t>
      </w:r>
      <w:proofErr w:type="spellEnd"/>
      <w:r w:rsidRPr="009E4826">
        <w:rPr>
          <w:rFonts w:ascii="Arial" w:hAnsi="Arial" w:cs="Arial"/>
          <w:b/>
          <w:lang w:val="en-US"/>
        </w:rPr>
        <w:t xml:space="preserve"> or HLB of citrus, caused by the bacterium </w:t>
      </w:r>
      <w:proofErr w:type="spellStart"/>
      <w:r w:rsidRPr="009E4826">
        <w:rPr>
          <w:rFonts w:ascii="Arial" w:hAnsi="Arial" w:cs="Arial"/>
          <w:b/>
          <w:lang w:val="en-US"/>
        </w:rPr>
        <w:t>Candidatus</w:t>
      </w:r>
      <w:proofErr w:type="spellEnd"/>
      <w:r w:rsidRPr="009E4826">
        <w:rPr>
          <w:rFonts w:ascii="Arial" w:hAnsi="Arial" w:cs="Arial"/>
          <w:b/>
          <w:lang w:val="en-US"/>
        </w:rPr>
        <w:t xml:space="preserve"> </w:t>
      </w:r>
      <w:proofErr w:type="spellStart"/>
      <w:r w:rsidRPr="009E4826">
        <w:rPr>
          <w:rFonts w:ascii="Arial" w:hAnsi="Arial" w:cs="Arial"/>
          <w:b/>
          <w:lang w:val="en-US"/>
        </w:rPr>
        <w:t>liberibacter</w:t>
      </w:r>
      <w:proofErr w:type="spellEnd"/>
      <w:r w:rsidRPr="009E4826">
        <w:rPr>
          <w:rFonts w:ascii="Arial" w:hAnsi="Arial" w:cs="Arial"/>
          <w:b/>
          <w:lang w:val="en-US"/>
        </w:rPr>
        <w:t xml:space="preserve"> </w:t>
      </w:r>
      <w:proofErr w:type="spellStart"/>
      <w:r w:rsidRPr="009E4826">
        <w:rPr>
          <w:rFonts w:ascii="Arial" w:hAnsi="Arial" w:cs="Arial"/>
          <w:b/>
          <w:lang w:val="en-US"/>
        </w:rPr>
        <w:t>Spp</w:t>
      </w:r>
      <w:proofErr w:type="spellEnd"/>
      <w:r w:rsidRPr="009E4826">
        <w:rPr>
          <w:rFonts w:ascii="Arial" w:hAnsi="Arial" w:cs="Arial"/>
          <w:b/>
          <w:lang w:val="en-US"/>
        </w:rPr>
        <w:t xml:space="preserve"> and transmitted by its vector </w:t>
      </w:r>
      <w:proofErr w:type="spellStart"/>
      <w:r w:rsidRPr="009E4826">
        <w:rPr>
          <w:rFonts w:ascii="Arial" w:hAnsi="Arial" w:cs="Arial"/>
          <w:b/>
          <w:lang w:val="en-US"/>
        </w:rPr>
        <w:t>Diaphorina</w:t>
      </w:r>
      <w:proofErr w:type="spellEnd"/>
      <w:r w:rsidRPr="009E4826">
        <w:rPr>
          <w:rFonts w:ascii="Arial" w:hAnsi="Arial" w:cs="Arial"/>
          <w:b/>
          <w:lang w:val="en-US"/>
        </w:rPr>
        <w:t xml:space="preserve"> </w:t>
      </w:r>
      <w:proofErr w:type="spellStart"/>
      <w:r w:rsidRPr="009E4826">
        <w:rPr>
          <w:rFonts w:ascii="Arial" w:hAnsi="Arial" w:cs="Arial"/>
          <w:b/>
          <w:lang w:val="en-US"/>
        </w:rPr>
        <w:t>citri</w:t>
      </w:r>
      <w:proofErr w:type="spellEnd"/>
      <w:r w:rsidRPr="009E4826">
        <w:rPr>
          <w:rFonts w:ascii="Arial" w:hAnsi="Arial" w:cs="Arial"/>
          <w:b/>
          <w:lang w:val="en-US"/>
        </w:rPr>
        <w:t>.</w:t>
      </w:r>
    </w:p>
    <w:p w:rsidR="009E4826" w:rsidRPr="009E4826" w:rsidRDefault="009E4826" w:rsidP="009E4826">
      <w:pPr>
        <w:jc w:val="both"/>
        <w:rPr>
          <w:rFonts w:ascii="Arial" w:hAnsi="Arial" w:cs="Arial"/>
          <w:b/>
          <w:lang w:val="en-US"/>
        </w:rPr>
      </w:pPr>
      <w:r w:rsidRPr="009E4826">
        <w:rPr>
          <w:rFonts w:ascii="Arial" w:hAnsi="Arial" w:cs="Arial"/>
          <w:lang w:val="en-US"/>
        </w:rPr>
        <w:t xml:space="preserve">For the purpose of this notification, the provisions of </w:t>
      </w:r>
      <w:r w:rsidRPr="009E4826">
        <w:rPr>
          <w:rFonts w:ascii="Arial" w:hAnsi="Arial" w:cs="Arial"/>
          <w:b/>
          <w:lang w:val="en-US"/>
        </w:rPr>
        <w:t>ISPM No. 17 "NOTIFICATION OF PESTS" and ISPM No. 8 "DETERMINATION OF THE SITUATION OF A PLAGUE IN AN AREA" of the International Plant Protection Convention (IPPC).</w:t>
      </w:r>
    </w:p>
    <w:p w:rsidR="009E4826" w:rsidRPr="009E4826" w:rsidRDefault="009E4826" w:rsidP="009E482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9E4826">
        <w:rPr>
          <w:rFonts w:ascii="Arial" w:hAnsi="Arial" w:cs="Arial"/>
          <w:lang w:val="en-US"/>
        </w:rPr>
        <w:t>The Department of Phytosanitary Surveillance of the DNSV through the Specific Pests Section, carried out in 2016 epidemiological surveillance actions, attending a report on the presence of a tree with symptoms similar to those reported for this disease, in the Republic of Costa Rica, very close to the border with Panama in the province of Bocas del To</w:t>
      </w:r>
      <w:r>
        <w:rPr>
          <w:rFonts w:ascii="Arial" w:hAnsi="Arial" w:cs="Arial"/>
          <w:lang w:val="en-US"/>
        </w:rPr>
        <w:t xml:space="preserve">ro in the community of </w:t>
      </w:r>
      <w:proofErr w:type="spellStart"/>
      <w:r>
        <w:rPr>
          <w:rFonts w:ascii="Arial" w:hAnsi="Arial" w:cs="Arial"/>
          <w:lang w:val="en-US"/>
        </w:rPr>
        <w:t>Guabito</w:t>
      </w:r>
      <w:proofErr w:type="spellEnd"/>
      <w:r>
        <w:rPr>
          <w:rFonts w:ascii="Arial" w:hAnsi="Arial" w:cs="Arial"/>
          <w:lang w:val="en-US"/>
        </w:rPr>
        <w:t>.</w:t>
      </w: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 xml:space="preserve">The procedure was to apply a detection survey in the border area, which included sampling of citrus plants with characteristic symptoms of the disease and performing field test (starch - iodine); </w:t>
      </w:r>
      <w:proofErr w:type="gramStart"/>
      <w:r w:rsidRPr="009E4826">
        <w:rPr>
          <w:rFonts w:ascii="Arial" w:hAnsi="Arial" w:cs="Arial"/>
          <w:lang w:val="en-US"/>
        </w:rPr>
        <w:t>The</w:t>
      </w:r>
      <w:proofErr w:type="gramEnd"/>
      <w:r w:rsidRPr="009E4826">
        <w:rPr>
          <w:rFonts w:ascii="Arial" w:hAnsi="Arial" w:cs="Arial"/>
          <w:lang w:val="en-US"/>
        </w:rPr>
        <w:t xml:space="preserve"> samples that reacted to this test were sent to the Plant Health Laboratory for confirmation through the </w:t>
      </w:r>
      <w:r w:rsidRPr="009E4826">
        <w:rPr>
          <w:rFonts w:ascii="Arial" w:hAnsi="Arial" w:cs="Arial"/>
          <w:b/>
          <w:lang w:val="en-US"/>
        </w:rPr>
        <w:t>PCR</w:t>
      </w:r>
      <w:r w:rsidRPr="009E4826">
        <w:rPr>
          <w:rFonts w:ascii="Arial" w:hAnsi="Arial" w:cs="Arial"/>
          <w:lang w:val="en-US"/>
        </w:rPr>
        <w:t xml:space="preserve"> (Polymerase Chain Reaction) test.</w:t>
      </w: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 xml:space="preserve">When positive samples in the community of Las </w:t>
      </w:r>
      <w:proofErr w:type="spellStart"/>
      <w:r w:rsidRPr="009E4826">
        <w:rPr>
          <w:rFonts w:ascii="Arial" w:hAnsi="Arial" w:cs="Arial"/>
          <w:lang w:val="en-US"/>
        </w:rPr>
        <w:t>Tablas</w:t>
      </w:r>
      <w:proofErr w:type="spellEnd"/>
      <w:r>
        <w:rPr>
          <w:rFonts w:ascii="Arial" w:hAnsi="Arial" w:cs="Arial"/>
          <w:lang w:val="en-US"/>
        </w:rPr>
        <w:t xml:space="preserve"> were </w:t>
      </w:r>
      <w:r w:rsidRPr="009E4826">
        <w:rPr>
          <w:rFonts w:ascii="Arial" w:hAnsi="Arial" w:cs="Arial"/>
          <w:lang w:val="en-US"/>
        </w:rPr>
        <w:t xml:space="preserve">confirmed, </w:t>
      </w:r>
      <w:r>
        <w:rPr>
          <w:rFonts w:ascii="Arial" w:hAnsi="Arial" w:cs="Arial"/>
          <w:lang w:val="en-US"/>
        </w:rPr>
        <w:t xml:space="preserve">it was </w:t>
      </w:r>
      <w:r w:rsidRPr="009E4826">
        <w:rPr>
          <w:rFonts w:ascii="Arial" w:hAnsi="Arial" w:cs="Arial"/>
          <w:lang w:val="en-US"/>
        </w:rPr>
        <w:t>established as a strategy for the surveillance of this disease the following:</w:t>
      </w:r>
    </w:p>
    <w:p w:rsidR="009E4826" w:rsidRDefault="009E4826" w:rsidP="009E48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Delimitation surveys to know how far the disease had spread.</w:t>
      </w:r>
    </w:p>
    <w:p w:rsidR="009E4826" w:rsidRDefault="009E4826" w:rsidP="009E48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Record of data on the results obtained in the field.</w:t>
      </w:r>
    </w:p>
    <w:p w:rsidR="009E4826" w:rsidRDefault="009E4826" w:rsidP="009E48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Declare the presence of HLB and implement an Emergency Plan.</w:t>
      </w:r>
    </w:p>
    <w:p w:rsidR="009E4826" w:rsidRDefault="009E4826" w:rsidP="009E48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 xml:space="preserve">Prohibition of the mobilization of citrus material from Bocas </w:t>
      </w:r>
      <w:proofErr w:type="gramStart"/>
      <w:r w:rsidRPr="009E4826">
        <w:rPr>
          <w:rFonts w:ascii="Arial" w:hAnsi="Arial" w:cs="Arial"/>
          <w:lang w:val="en-US"/>
        </w:rPr>
        <w:t>del</w:t>
      </w:r>
      <w:proofErr w:type="gramEnd"/>
      <w:r w:rsidRPr="009E4826">
        <w:rPr>
          <w:rFonts w:ascii="Arial" w:hAnsi="Arial" w:cs="Arial"/>
          <w:lang w:val="en-US"/>
        </w:rPr>
        <w:t xml:space="preserve"> Toro to the rest of the country.</w:t>
      </w:r>
    </w:p>
    <w:p w:rsidR="009E4826" w:rsidRPr="009E4826" w:rsidRDefault="009E4826" w:rsidP="009E4826">
      <w:p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Surveys were conducted throughout the province of Bocas del Toro, also in the provinces of Chiriquí, Veraguas, Coclé, Panama We</w:t>
      </w:r>
      <w:r>
        <w:rPr>
          <w:rFonts w:ascii="Arial" w:hAnsi="Arial" w:cs="Arial"/>
          <w:lang w:val="en-US"/>
        </w:rPr>
        <w:t>st and the rest of the country.</w:t>
      </w: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 xml:space="preserve">The results of the detection and delimitation surveys determined that HLB has been dispersed within the province of Bocas del Toro, from Las </w:t>
      </w:r>
      <w:proofErr w:type="spellStart"/>
      <w:r w:rsidRPr="009E4826">
        <w:rPr>
          <w:rFonts w:ascii="Arial" w:hAnsi="Arial" w:cs="Arial"/>
          <w:lang w:val="en-US"/>
        </w:rPr>
        <w:t>Tablas</w:t>
      </w:r>
      <w:proofErr w:type="spellEnd"/>
      <w:r w:rsidRPr="009E4826">
        <w:rPr>
          <w:rFonts w:ascii="Arial" w:hAnsi="Arial" w:cs="Arial"/>
          <w:lang w:val="en-US"/>
        </w:rPr>
        <w:t xml:space="preserve"> and </w:t>
      </w:r>
      <w:proofErr w:type="spellStart"/>
      <w:r w:rsidRPr="009E4826">
        <w:rPr>
          <w:rFonts w:ascii="Arial" w:hAnsi="Arial" w:cs="Arial"/>
          <w:lang w:val="en-US"/>
        </w:rPr>
        <w:t>Guabito</w:t>
      </w:r>
      <w:proofErr w:type="spellEnd"/>
      <w:r w:rsidRPr="009E4826">
        <w:rPr>
          <w:rFonts w:ascii="Arial" w:hAnsi="Arial" w:cs="Arial"/>
          <w:lang w:val="en-US"/>
        </w:rPr>
        <w:t xml:space="preserve"> on the border to Catalina Pass, in the municipality of Punta de Peña, in the district o</w:t>
      </w:r>
      <w:r>
        <w:rPr>
          <w:rFonts w:ascii="Arial" w:hAnsi="Arial" w:cs="Arial"/>
          <w:lang w:val="en-US"/>
        </w:rPr>
        <w:t>f Chiriquí Grande, 119 km Away.</w:t>
      </w:r>
    </w:p>
    <w:p w:rsidR="009E4826" w:rsidRPr="009E4826" w:rsidRDefault="009E4826" w:rsidP="009E4826">
      <w:pPr>
        <w:jc w:val="both"/>
        <w:rPr>
          <w:rFonts w:ascii="Arial" w:hAnsi="Arial" w:cs="Arial"/>
          <w:lang w:val="en-US"/>
        </w:rPr>
      </w:pP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</w:t>
      </w:r>
      <w:r w:rsidRPr="009E4826">
        <w:rPr>
          <w:rFonts w:ascii="Arial" w:hAnsi="Arial" w:cs="Arial"/>
          <w:lang w:val="en-US"/>
        </w:rPr>
        <w:t xml:space="preserve">ata </w:t>
      </w:r>
      <w:r>
        <w:rPr>
          <w:rFonts w:ascii="Arial" w:hAnsi="Arial" w:cs="Arial"/>
          <w:lang w:val="en-US"/>
        </w:rPr>
        <w:t xml:space="preserve">was </w:t>
      </w:r>
      <w:r w:rsidRPr="009E4826">
        <w:rPr>
          <w:rFonts w:ascii="Arial" w:hAnsi="Arial" w:cs="Arial"/>
          <w:lang w:val="en-US"/>
        </w:rPr>
        <w:t>collected inside and outside the province of Bocas del Toro to May 2017:</w:t>
      </w: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</w:p>
    <w:p w:rsidR="009E4826" w:rsidRDefault="009E4826" w:rsidP="009E4826">
      <w:pPr>
        <w:jc w:val="both"/>
        <w:rPr>
          <w:rFonts w:ascii="Arial" w:hAnsi="Arial" w:cs="Arial"/>
          <w:lang w:val="en-US"/>
        </w:rPr>
      </w:pP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E4826">
        <w:rPr>
          <w:rFonts w:ascii="Arial" w:hAnsi="Arial" w:cs="Arial"/>
          <w:b/>
          <w:lang w:val="en-US"/>
        </w:rPr>
        <w:lastRenderedPageBreak/>
        <w:t>Rest of the country: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Surveys of detection: 534 farms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Suspicious samples analyzed in laboratory: 379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</w:rPr>
      </w:pPr>
      <w:r w:rsidRPr="009E4826">
        <w:rPr>
          <w:rFonts w:ascii="Arial" w:hAnsi="Arial" w:cs="Arial"/>
        </w:rPr>
        <w:t xml:space="preserve">Positive </w:t>
      </w:r>
      <w:proofErr w:type="spellStart"/>
      <w:r w:rsidRPr="009E4826">
        <w:rPr>
          <w:rFonts w:ascii="Arial" w:hAnsi="Arial" w:cs="Arial"/>
        </w:rPr>
        <w:t>Samples</w:t>
      </w:r>
      <w:proofErr w:type="spellEnd"/>
      <w:r w:rsidRPr="009E4826">
        <w:rPr>
          <w:rFonts w:ascii="Arial" w:hAnsi="Arial" w:cs="Arial"/>
        </w:rPr>
        <w:t>: 0</w:t>
      </w:r>
    </w:p>
    <w:p w:rsidR="009E4826" w:rsidRDefault="009E4826" w:rsidP="009E4826">
      <w:pPr>
        <w:spacing w:after="0" w:line="240" w:lineRule="auto"/>
        <w:jc w:val="both"/>
        <w:rPr>
          <w:rFonts w:ascii="Arial" w:hAnsi="Arial" w:cs="Arial"/>
        </w:rPr>
      </w:pP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</w:rPr>
      </w:pP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b/>
        </w:rPr>
      </w:pPr>
      <w:r w:rsidRPr="009E4826">
        <w:rPr>
          <w:rFonts w:ascii="Arial" w:hAnsi="Arial" w:cs="Arial"/>
          <w:b/>
        </w:rPr>
        <w:t>In Bocas del Toro</w:t>
      </w:r>
      <w:r>
        <w:rPr>
          <w:rFonts w:ascii="Arial" w:hAnsi="Arial" w:cs="Arial"/>
          <w:b/>
        </w:rPr>
        <w:t>: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Delimitation surveys: 842 farms and / or backyards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Samples analyzed in laboratory: 445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Positive Samples: 44.</w:t>
      </w:r>
    </w:p>
    <w:p w:rsidR="009E4826" w:rsidRPr="009E4826" w:rsidRDefault="009E4826" w:rsidP="009E4826">
      <w:pPr>
        <w:jc w:val="both"/>
        <w:rPr>
          <w:rFonts w:ascii="Arial" w:hAnsi="Arial" w:cs="Arial"/>
          <w:lang w:val="en-US"/>
        </w:rPr>
      </w:pP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E4826">
        <w:rPr>
          <w:rFonts w:ascii="Arial" w:hAnsi="Arial" w:cs="Arial"/>
          <w:b/>
          <w:lang w:val="en-US"/>
        </w:rPr>
        <w:t>Official control: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HLB containment actions: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Elimination of diseased trees: 333 trees</w:t>
      </w:r>
    </w:p>
    <w:p w:rsidR="009E4826" w:rsidRP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 xml:space="preserve">Control of </w:t>
      </w:r>
      <w:proofErr w:type="spellStart"/>
      <w:r w:rsidRPr="009E4826">
        <w:rPr>
          <w:rFonts w:ascii="Arial" w:hAnsi="Arial" w:cs="Arial"/>
          <w:lang w:val="en-US"/>
        </w:rPr>
        <w:t>Psilido</w:t>
      </w:r>
      <w:proofErr w:type="spellEnd"/>
      <w:r w:rsidRPr="009E4826">
        <w:rPr>
          <w:rFonts w:ascii="Arial" w:hAnsi="Arial" w:cs="Arial"/>
          <w:lang w:val="en-US"/>
        </w:rPr>
        <w:t xml:space="preserve"> vector: 20,248 trees sprayed with insecticides.</w:t>
      </w:r>
    </w:p>
    <w:p w:rsid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E4826">
        <w:rPr>
          <w:rFonts w:ascii="Arial" w:hAnsi="Arial" w:cs="Arial"/>
          <w:lang w:val="en-US"/>
        </w:rPr>
        <w:t>Control of mobilization: 2 interceptions with 200 citrus plants seized and destroyed.</w:t>
      </w:r>
    </w:p>
    <w:p w:rsidR="009E4826" w:rsidRDefault="009E4826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E4826" w:rsidRPr="00E70BC5" w:rsidRDefault="009E4826" w:rsidP="009E482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E4826">
        <w:rPr>
          <w:rFonts w:ascii="Arial" w:hAnsi="Arial" w:cs="Arial"/>
          <w:lang w:val="en-US"/>
        </w:rPr>
        <w:t xml:space="preserve">The National Plant Protection Authority, based on the provisions of ISPMs 8 and 17, states that the phytosanitary status of the </w:t>
      </w:r>
      <w:proofErr w:type="spellStart"/>
      <w:r w:rsidRPr="009E4826">
        <w:rPr>
          <w:rFonts w:ascii="Arial" w:hAnsi="Arial" w:cs="Arial"/>
          <w:lang w:val="en-US"/>
        </w:rPr>
        <w:t>Hua</w:t>
      </w:r>
      <w:r w:rsidR="00F65E2C">
        <w:rPr>
          <w:rFonts w:ascii="Arial" w:hAnsi="Arial" w:cs="Arial"/>
          <w:lang w:val="en-US"/>
        </w:rPr>
        <w:t>nglongbing</w:t>
      </w:r>
      <w:proofErr w:type="spellEnd"/>
      <w:r w:rsidR="00F65E2C">
        <w:rPr>
          <w:rFonts w:ascii="Arial" w:hAnsi="Arial" w:cs="Arial"/>
          <w:lang w:val="en-US"/>
        </w:rPr>
        <w:t xml:space="preserve"> citrus or HLB pest i</w:t>
      </w:r>
      <w:r w:rsidRPr="009E4826">
        <w:rPr>
          <w:rFonts w:ascii="Arial" w:hAnsi="Arial" w:cs="Arial"/>
          <w:lang w:val="en-US"/>
        </w:rPr>
        <w:t xml:space="preserve">n the Republic of Panama, is of plague </w:t>
      </w:r>
      <w:r w:rsidRPr="00E70BC5">
        <w:rPr>
          <w:rFonts w:ascii="Arial" w:hAnsi="Arial" w:cs="Arial"/>
          <w:b/>
          <w:lang w:val="en-US"/>
        </w:rPr>
        <w:t>Present in the province of Bocas del Toro, under official control, confirmed by surveys</w:t>
      </w:r>
      <w:r w:rsidR="00F65E2C" w:rsidRPr="00E70BC5">
        <w:rPr>
          <w:rFonts w:ascii="Arial" w:hAnsi="Arial" w:cs="Arial"/>
          <w:b/>
          <w:lang w:val="en-US"/>
        </w:rPr>
        <w:t>.</w:t>
      </w:r>
    </w:p>
    <w:p w:rsidR="00F65E2C" w:rsidRDefault="00F65E2C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65E2C" w:rsidRDefault="00F65E2C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400675" cy="3752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2C" w:rsidRDefault="00F65E2C" w:rsidP="009E482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94682" w:rsidRPr="007D7473" w:rsidRDefault="00494682" w:rsidP="009E4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C251A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8505C" wp14:editId="3E6FAF3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675" cy="1047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E2C" w:rsidRDefault="00F65E2C" w:rsidP="00F65E2C">
                            <w:pPr>
                              <w:jc w:val="center"/>
                            </w:pPr>
                            <w:r w:rsidRPr="00F65E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E2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8505C" id="Elipse 3" o:spid="_x0000_s1026" style="position:absolute;left:0;text-align:left;margin-left:0;margin-top:.6pt;width:5.2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" fillcolor="red" strokecolor="#1f4d78 [1604]" strokeweight="1pt">
                <v:stroke joinstyle="miter"/>
                <v:textbox>
                  <w:txbxContent>
                    <w:p w:rsidR="00F65E2C" w:rsidRDefault="00F65E2C" w:rsidP="00F65E2C">
                      <w:pPr>
                        <w:jc w:val="center"/>
                      </w:pPr>
                      <w:r w:rsidRPr="00F65E2C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E2C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92091">
        <w:rPr>
          <w:rFonts w:ascii="Arial" w:hAnsi="Arial" w:cs="Arial"/>
          <w:lang w:val="en-US"/>
        </w:rPr>
        <w:t xml:space="preserve">   </w:t>
      </w:r>
      <w:r w:rsidR="007D7473" w:rsidRPr="007D7473">
        <w:rPr>
          <w:rFonts w:ascii="Times New Roman" w:hAnsi="Times New Roman" w:cs="Times New Roman"/>
          <w:sz w:val="16"/>
          <w:szCs w:val="16"/>
          <w:lang w:val="en-US"/>
        </w:rPr>
        <w:t>Positive farms or back yards</w:t>
      </w:r>
    </w:p>
    <w:p w:rsidR="00F65E2C" w:rsidRPr="007D7473" w:rsidRDefault="00494682" w:rsidP="009E48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D7473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5BE20" wp14:editId="7B1BBCF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5725" cy="857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59583" id="Elipse 6" o:spid="_x0000_s1026" style="position:absolute;margin-left:0;margin-top:.7pt;width:6.75pt;height: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7D7473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7D7473" w:rsidRPr="007D7473">
        <w:rPr>
          <w:rFonts w:ascii="Times New Roman" w:hAnsi="Times New Roman" w:cs="Times New Roman"/>
          <w:sz w:val="16"/>
          <w:szCs w:val="16"/>
          <w:lang w:val="en-US"/>
        </w:rPr>
        <w:t>Negative farms or back yards</w:t>
      </w:r>
    </w:p>
    <w:sectPr w:rsidR="00F65E2C" w:rsidRPr="007D7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A7316"/>
    <w:multiLevelType w:val="hybridMultilevel"/>
    <w:tmpl w:val="E5D60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6"/>
    <w:rsid w:val="00092091"/>
    <w:rsid w:val="00106ED0"/>
    <w:rsid w:val="00494682"/>
    <w:rsid w:val="00664F89"/>
    <w:rsid w:val="007D7473"/>
    <w:rsid w:val="009E4826"/>
    <w:rsid w:val="00E70BC5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344BE-F252-4686-9F9C-87BEBC8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Castillo de Quintero</dc:creator>
  <cp:keywords/>
  <dc:description/>
  <cp:lastModifiedBy>Sentinelli, Paola (AGDI)</cp:lastModifiedBy>
  <cp:revision>2</cp:revision>
  <dcterms:created xsi:type="dcterms:W3CDTF">2017-09-28T07:41:00Z</dcterms:created>
  <dcterms:modified xsi:type="dcterms:W3CDTF">2017-09-28T07:41:00Z</dcterms:modified>
</cp:coreProperties>
</file>