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F625" w14:textId="5BBE6F8C" w:rsidR="0052430E" w:rsidRPr="00F4103A" w:rsidRDefault="0052430E" w:rsidP="00D0327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F4103A">
        <w:rPr>
          <w:rFonts w:asciiTheme="minorHAnsi" w:hAnsiTheme="minorHAnsi" w:cstheme="minorHAnsi"/>
          <w:b/>
          <w:sz w:val="22"/>
          <w:szCs w:val="22"/>
          <w:u w:val="single"/>
        </w:rPr>
        <w:t xml:space="preserve">International Plant Protection Convention (IPPC) country report by the National Plant Protection Organization (NPPO) of South Africa: </w:t>
      </w:r>
      <w:r w:rsidR="00981705" w:rsidRPr="00F4103A">
        <w:rPr>
          <w:rFonts w:asciiTheme="minorHAnsi" w:hAnsiTheme="minorHAnsi" w:cstheme="minorHAnsi"/>
          <w:b/>
          <w:sz w:val="22"/>
          <w:szCs w:val="22"/>
          <w:u w:val="single"/>
        </w:rPr>
        <w:t xml:space="preserve">Notification on the detection </w:t>
      </w:r>
      <w:r w:rsidR="00EA477D" w:rsidRPr="00F4103A">
        <w:rPr>
          <w:rFonts w:asciiTheme="minorHAnsi" w:hAnsiTheme="minorHAnsi" w:cstheme="minorHAnsi"/>
          <w:b/>
          <w:sz w:val="22"/>
          <w:szCs w:val="22"/>
          <w:u w:val="single"/>
        </w:rPr>
        <w:t xml:space="preserve">of </w:t>
      </w:r>
      <w:proofErr w:type="spellStart"/>
      <w:r w:rsidR="00F654B5" w:rsidRPr="00F4103A">
        <w:rPr>
          <w:rFonts w:asciiTheme="minorHAnsi" w:hAnsiTheme="minorHAnsi" w:cstheme="minorHAnsi"/>
          <w:b/>
          <w:i/>
          <w:sz w:val="22"/>
          <w:szCs w:val="22"/>
          <w:u w:val="single"/>
        </w:rPr>
        <w:t>Bactrocera</w:t>
      </w:r>
      <w:proofErr w:type="spellEnd"/>
      <w:r w:rsidR="00F654B5" w:rsidRPr="00F4103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dorsalis</w:t>
      </w:r>
      <w:r w:rsidR="00F654B5" w:rsidRPr="00F4103A">
        <w:rPr>
          <w:rFonts w:asciiTheme="minorHAnsi" w:hAnsiTheme="minorHAnsi" w:cstheme="minorHAnsi"/>
          <w:b/>
          <w:sz w:val="22"/>
          <w:szCs w:val="22"/>
          <w:u w:val="single"/>
        </w:rPr>
        <w:t xml:space="preserve"> (Oriental Fruit Fly) in</w:t>
      </w:r>
      <w:r w:rsidR="007C5ABE" w:rsidRPr="00F4103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A62168">
        <w:rPr>
          <w:rFonts w:asciiTheme="minorHAnsi" w:hAnsiTheme="minorHAnsi" w:cstheme="minorHAnsi"/>
          <w:b/>
          <w:sz w:val="22"/>
          <w:szCs w:val="22"/>
          <w:u w:val="single"/>
        </w:rPr>
        <w:t>Addo</w:t>
      </w:r>
      <w:proofErr w:type="spellEnd"/>
      <w:r w:rsidR="00A62168">
        <w:rPr>
          <w:rFonts w:asciiTheme="minorHAnsi" w:hAnsiTheme="minorHAnsi" w:cstheme="minorHAnsi"/>
          <w:b/>
          <w:sz w:val="22"/>
          <w:szCs w:val="22"/>
          <w:u w:val="single"/>
        </w:rPr>
        <w:t xml:space="preserve"> area, Eastern</w:t>
      </w:r>
      <w:r w:rsidR="00F4103A">
        <w:rPr>
          <w:rFonts w:asciiTheme="minorHAnsi" w:hAnsiTheme="minorHAnsi" w:cstheme="minorHAnsi"/>
          <w:b/>
          <w:sz w:val="22"/>
          <w:szCs w:val="22"/>
          <w:u w:val="single"/>
        </w:rPr>
        <w:t xml:space="preserve"> Cape</w:t>
      </w:r>
      <w:r w:rsidR="00F654B5" w:rsidRPr="00F4103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C5ABE" w:rsidRPr="00F4103A">
        <w:rPr>
          <w:rFonts w:asciiTheme="minorHAnsi" w:hAnsiTheme="minorHAnsi" w:cstheme="minorHAnsi"/>
          <w:b/>
          <w:sz w:val="22"/>
          <w:szCs w:val="22"/>
          <w:u w:val="single"/>
        </w:rPr>
        <w:t>Province</w:t>
      </w:r>
      <w:r w:rsidR="00F654B5" w:rsidRPr="00F4103A">
        <w:rPr>
          <w:rFonts w:asciiTheme="minorHAnsi" w:hAnsiTheme="minorHAnsi" w:cstheme="minorHAnsi"/>
          <w:b/>
          <w:sz w:val="22"/>
          <w:szCs w:val="22"/>
          <w:u w:val="single"/>
        </w:rPr>
        <w:t xml:space="preserve"> of South Africa</w:t>
      </w:r>
    </w:p>
    <w:p w14:paraId="6413BB43" w14:textId="77777777" w:rsidR="0052430E" w:rsidRPr="00F4103A" w:rsidRDefault="005243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1"/>
        <w:gridCol w:w="6521"/>
      </w:tblGrid>
      <w:tr w:rsidR="00F4103A" w:rsidRPr="00F4103A" w14:paraId="4FCEAFFF" w14:textId="77777777" w:rsidTr="00F4103A">
        <w:tc>
          <w:tcPr>
            <w:tcW w:w="3119" w:type="dxa"/>
            <w:shd w:val="clear" w:color="auto" w:fill="E6E6E6"/>
          </w:tcPr>
          <w:p w14:paraId="6403E0AA" w14:textId="77777777" w:rsidR="00F4103A" w:rsidRPr="00F4103A" w:rsidRDefault="00F4103A" w:rsidP="00AB6E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Pest </w:t>
            </w:r>
          </w:p>
        </w:tc>
        <w:tc>
          <w:tcPr>
            <w:tcW w:w="6521" w:type="dxa"/>
          </w:tcPr>
          <w:p w14:paraId="03CEC61C" w14:textId="77777777" w:rsidR="00F4103A" w:rsidRPr="00F4103A" w:rsidRDefault="00F4103A" w:rsidP="00AC596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103A">
              <w:rPr>
                <w:rFonts w:asciiTheme="minorHAnsi" w:hAnsiTheme="minorHAnsi" w:cs="Tahoma"/>
                <w:i/>
                <w:iCs/>
                <w:sz w:val="22"/>
                <w:szCs w:val="22"/>
                <w:lang w:val="en-GB"/>
              </w:rPr>
              <w:t>Bactrocera</w:t>
            </w:r>
            <w:proofErr w:type="spellEnd"/>
            <w:r w:rsidRPr="00F4103A">
              <w:rPr>
                <w:rFonts w:asciiTheme="minorHAnsi" w:hAnsiTheme="minorHAnsi" w:cs="Tahoma"/>
                <w:i/>
                <w:iCs/>
                <w:sz w:val="22"/>
                <w:szCs w:val="22"/>
                <w:lang w:val="en-GB"/>
              </w:rPr>
              <w:t xml:space="preserve"> dorsalis </w:t>
            </w:r>
            <w:r w:rsidRPr="00F4103A">
              <w:rPr>
                <w:rFonts w:asciiTheme="minorHAnsi" w:hAnsiTheme="minorHAnsi" w:cs="Tahoma"/>
                <w:sz w:val="22"/>
                <w:szCs w:val="22"/>
              </w:rPr>
              <w:t>(Oriental Fruit Fly)</w:t>
            </w:r>
          </w:p>
        </w:tc>
        <w:tc>
          <w:tcPr>
            <w:tcW w:w="6521" w:type="dxa"/>
          </w:tcPr>
          <w:p w14:paraId="2E92C650" w14:textId="77777777" w:rsidR="00F4103A" w:rsidRPr="00F4103A" w:rsidRDefault="00F4103A" w:rsidP="00AC5964">
            <w:pPr>
              <w:spacing w:line="360" w:lineRule="auto"/>
              <w:rPr>
                <w:rFonts w:asciiTheme="minorHAnsi" w:hAnsiTheme="minorHAnsi" w:cs="Tahoma"/>
                <w:i/>
                <w:iCs/>
                <w:sz w:val="22"/>
                <w:szCs w:val="22"/>
                <w:lang w:val="en-GB"/>
              </w:rPr>
            </w:pPr>
          </w:p>
        </w:tc>
      </w:tr>
      <w:tr w:rsidR="00F4103A" w:rsidRPr="00F4103A" w14:paraId="78714856" w14:textId="77777777" w:rsidTr="00F4103A">
        <w:trPr>
          <w:trHeight w:val="722"/>
        </w:trPr>
        <w:tc>
          <w:tcPr>
            <w:tcW w:w="3119" w:type="dxa"/>
            <w:shd w:val="clear" w:color="auto" w:fill="E6E6E6"/>
          </w:tcPr>
          <w:p w14:paraId="4742A7AC" w14:textId="77777777" w:rsidR="00F4103A" w:rsidRPr="00F4103A" w:rsidRDefault="00F4103A" w:rsidP="00AB6E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Status of pest </w:t>
            </w:r>
          </w:p>
        </w:tc>
        <w:tc>
          <w:tcPr>
            <w:tcW w:w="6521" w:type="dxa"/>
          </w:tcPr>
          <w:p w14:paraId="632749C0" w14:textId="77777777" w:rsidR="00F4103A" w:rsidRPr="00F4103A" w:rsidRDefault="00F4103A" w:rsidP="009817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103A">
              <w:rPr>
                <w:rFonts w:asciiTheme="minorHAnsi" w:hAnsiTheme="minorHAnsi" w:cstheme="minorHAnsi"/>
                <w:sz w:val="22"/>
                <w:szCs w:val="22"/>
              </w:rPr>
              <w:t xml:space="preserve">Transient: actionable, under eradication; </w:t>
            </w:r>
          </w:p>
        </w:tc>
        <w:tc>
          <w:tcPr>
            <w:tcW w:w="6521" w:type="dxa"/>
          </w:tcPr>
          <w:p w14:paraId="75452389" w14:textId="77777777" w:rsidR="00F4103A" w:rsidRPr="00F4103A" w:rsidRDefault="00F4103A" w:rsidP="009817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03A" w:rsidRPr="00F4103A" w14:paraId="6BEB1908" w14:textId="77777777" w:rsidTr="00F4103A">
        <w:tc>
          <w:tcPr>
            <w:tcW w:w="3119" w:type="dxa"/>
            <w:shd w:val="clear" w:color="auto" w:fill="E6E6E6"/>
          </w:tcPr>
          <w:p w14:paraId="2CF0F7F7" w14:textId="77777777" w:rsidR="00F4103A" w:rsidRPr="00F4103A" w:rsidRDefault="00F4103A" w:rsidP="00AB6E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03A">
              <w:rPr>
                <w:rFonts w:asciiTheme="minorHAnsi" w:hAnsiTheme="minorHAnsi" w:cstheme="minorHAnsi"/>
                <w:b/>
                <w:sz w:val="22"/>
                <w:szCs w:val="22"/>
              </w:rPr>
              <w:t>Host or articles concerned</w:t>
            </w:r>
          </w:p>
        </w:tc>
        <w:tc>
          <w:tcPr>
            <w:tcW w:w="6521" w:type="dxa"/>
          </w:tcPr>
          <w:p w14:paraId="336587C9" w14:textId="77777777" w:rsidR="00F4103A" w:rsidRPr="00F4103A" w:rsidRDefault="00F4103A" w:rsidP="00AC5964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4103A">
              <w:rPr>
                <w:rFonts w:asciiTheme="minorHAnsi" w:hAnsiTheme="minorHAnsi" w:cs="Tahoma"/>
                <w:i/>
                <w:sz w:val="22"/>
                <w:szCs w:val="22"/>
              </w:rPr>
              <w:t>Citrus</w:t>
            </w:r>
            <w:r w:rsidR="00890FF4">
              <w:rPr>
                <w:rFonts w:asciiTheme="minorHAnsi" w:hAnsiTheme="minorHAnsi" w:cs="Tahoma"/>
                <w:sz w:val="22"/>
                <w:szCs w:val="22"/>
              </w:rPr>
              <w:t xml:space="preserve"> spp. </w:t>
            </w:r>
            <w:r>
              <w:rPr>
                <w:rFonts w:asciiTheme="minorHAnsi" w:hAnsiTheme="minorHAnsi" w:cs="Tahoma"/>
                <w:sz w:val="22"/>
                <w:szCs w:val="22"/>
              </w:rPr>
              <w:t>and other commodities that are exported and considered hosts of this pest and</w:t>
            </w:r>
            <w:r w:rsidRPr="00F4103A">
              <w:rPr>
                <w:rFonts w:asciiTheme="minorHAnsi" w:hAnsiTheme="minorHAnsi" w:cs="Tahoma"/>
                <w:sz w:val="22"/>
                <w:szCs w:val="22"/>
              </w:rPr>
              <w:t xml:space="preserve"> produced or present in this area in South Africa are under threat. </w:t>
            </w:r>
          </w:p>
          <w:p w14:paraId="591707AE" w14:textId="77777777" w:rsidR="00F4103A" w:rsidRPr="00F4103A" w:rsidRDefault="00F4103A" w:rsidP="00B545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38E79FF" w14:textId="77777777" w:rsidR="00F4103A" w:rsidRPr="00F4103A" w:rsidRDefault="00F4103A" w:rsidP="00AC5964">
            <w:pPr>
              <w:spacing w:line="360" w:lineRule="auto"/>
              <w:jc w:val="both"/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</w:tr>
      <w:tr w:rsidR="00F4103A" w:rsidRPr="00F4103A" w14:paraId="56E9DAA6" w14:textId="77777777" w:rsidTr="00F4103A">
        <w:trPr>
          <w:trHeight w:val="1592"/>
        </w:trPr>
        <w:tc>
          <w:tcPr>
            <w:tcW w:w="3119" w:type="dxa"/>
            <w:shd w:val="clear" w:color="auto" w:fill="E6E6E6"/>
          </w:tcPr>
          <w:p w14:paraId="352C293D" w14:textId="77777777" w:rsidR="00F4103A" w:rsidRPr="00F4103A" w:rsidRDefault="00F4103A" w:rsidP="00AB6E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03A">
              <w:rPr>
                <w:rFonts w:asciiTheme="minorHAnsi" w:hAnsiTheme="minorHAnsi" w:cstheme="minorHAnsi"/>
                <w:b/>
                <w:sz w:val="22"/>
                <w:szCs w:val="22"/>
              </w:rPr>
              <w:t>Geographic distribution</w:t>
            </w:r>
          </w:p>
        </w:tc>
        <w:tc>
          <w:tcPr>
            <w:tcW w:w="6521" w:type="dxa"/>
          </w:tcPr>
          <w:p w14:paraId="7A36E133" w14:textId="605FAAED" w:rsidR="00F4103A" w:rsidRPr="00F4103A" w:rsidRDefault="00A97E88" w:rsidP="00B24C6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Several</w:t>
            </w:r>
            <w:r w:rsidR="007D7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460" w:rsidRPr="007D7460">
              <w:rPr>
                <w:rFonts w:asciiTheme="minorHAnsi" w:hAnsiTheme="minorHAnsi" w:cstheme="minorHAnsi"/>
                <w:i/>
                <w:sz w:val="22"/>
                <w:szCs w:val="22"/>
              </w:rPr>
              <w:t>B. dorsalis</w:t>
            </w:r>
            <w:r w:rsidR="00A62168">
              <w:rPr>
                <w:rFonts w:asciiTheme="minorHAnsi" w:hAnsiTheme="minorHAnsi" w:cstheme="minorHAnsi"/>
                <w:sz w:val="22"/>
                <w:szCs w:val="22"/>
              </w:rPr>
              <w:t xml:space="preserve"> specimens</w:t>
            </w:r>
            <w:r w:rsidR="007D7460">
              <w:rPr>
                <w:rFonts w:asciiTheme="minorHAnsi" w:hAnsiTheme="minorHAnsi" w:cstheme="minorHAnsi"/>
                <w:sz w:val="22"/>
                <w:szCs w:val="22"/>
              </w:rPr>
              <w:t xml:space="preserve"> were</w:t>
            </w:r>
            <w:r w:rsidR="00F4103A">
              <w:rPr>
                <w:rFonts w:asciiTheme="minorHAnsi" w:hAnsiTheme="minorHAnsi" w:cstheme="minorHAnsi"/>
                <w:sz w:val="22"/>
                <w:szCs w:val="22"/>
              </w:rPr>
              <w:t xml:space="preserve"> collected from </w:t>
            </w:r>
            <w:r w:rsidR="00F4103A" w:rsidRPr="00F410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="00A62168">
              <w:rPr>
                <w:rFonts w:asciiTheme="minorHAnsi" w:hAnsiTheme="minorHAnsi" w:cstheme="minorHAnsi"/>
                <w:sz w:val="22"/>
                <w:szCs w:val="22"/>
              </w:rPr>
              <w:t>Addo</w:t>
            </w:r>
            <w:proofErr w:type="spellEnd"/>
            <w:r w:rsidR="00F4103A">
              <w:rPr>
                <w:rFonts w:asciiTheme="minorHAnsi" w:hAnsiTheme="minorHAnsi" w:cstheme="minorHAnsi"/>
                <w:sz w:val="22"/>
                <w:szCs w:val="22"/>
              </w:rPr>
              <w:t xml:space="preserve"> area of the</w:t>
            </w:r>
            <w:r w:rsidR="00A62168">
              <w:rPr>
                <w:rFonts w:asciiTheme="minorHAnsi" w:hAnsiTheme="minorHAnsi" w:cstheme="minorHAnsi"/>
                <w:sz w:val="22"/>
                <w:szCs w:val="22"/>
              </w:rPr>
              <w:t xml:space="preserve"> Eastern Cape Province,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between 5 May </w:t>
            </w:r>
            <w:r w:rsidR="00B24C62">
              <w:rPr>
                <w:rFonts w:asciiTheme="minorHAnsi" w:hAnsiTheme="minorHAnsi" w:cstheme="minorHAnsi"/>
                <w:sz w:val="22"/>
                <w:szCs w:val="22"/>
              </w:rPr>
              <w:t>and 4 June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within a 40km trapping network.</w:t>
            </w:r>
          </w:p>
        </w:tc>
        <w:tc>
          <w:tcPr>
            <w:tcW w:w="6521" w:type="dxa"/>
          </w:tcPr>
          <w:p w14:paraId="266A4BC7" w14:textId="77777777" w:rsidR="00F4103A" w:rsidRPr="00F4103A" w:rsidRDefault="00F4103A" w:rsidP="00F4103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03A" w:rsidRPr="00F4103A" w14:paraId="57D21C10" w14:textId="77777777" w:rsidTr="00F4103A">
        <w:tc>
          <w:tcPr>
            <w:tcW w:w="3119" w:type="dxa"/>
            <w:shd w:val="clear" w:color="auto" w:fill="E6E6E6"/>
          </w:tcPr>
          <w:p w14:paraId="6475E579" w14:textId="77777777" w:rsidR="00F4103A" w:rsidRPr="00F4103A" w:rsidRDefault="00F4103A" w:rsidP="00AB6E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03A">
              <w:rPr>
                <w:rFonts w:asciiTheme="minorHAnsi" w:hAnsiTheme="minorHAnsi" w:cstheme="minorHAnsi"/>
                <w:b/>
                <w:sz w:val="22"/>
                <w:szCs w:val="22"/>
              </w:rPr>
              <w:t>Nature of immediate or potential danger</w:t>
            </w:r>
          </w:p>
        </w:tc>
        <w:tc>
          <w:tcPr>
            <w:tcW w:w="6521" w:type="dxa"/>
          </w:tcPr>
          <w:p w14:paraId="19F144A0" w14:textId="77777777" w:rsidR="00F4103A" w:rsidRPr="00F4103A" w:rsidRDefault="00F4103A" w:rsidP="009E051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103A">
              <w:rPr>
                <w:rFonts w:ascii="Calibri" w:hAnsi="Calibri" w:cs="Calibri"/>
                <w:sz w:val="22"/>
                <w:szCs w:val="22"/>
              </w:rPr>
              <w:t xml:space="preserve">Potential spread or establishment of </w:t>
            </w:r>
            <w:proofErr w:type="spellStart"/>
            <w:r w:rsidRPr="00F4103A">
              <w:rPr>
                <w:rFonts w:ascii="Calibri" w:hAnsi="Calibri" w:cs="Calibri"/>
                <w:i/>
                <w:sz w:val="22"/>
                <w:szCs w:val="22"/>
              </w:rPr>
              <w:t>B.dorsalis</w:t>
            </w:r>
            <w:proofErr w:type="spellEnd"/>
            <w:r w:rsidRPr="00F4103A">
              <w:rPr>
                <w:rFonts w:ascii="Calibri" w:hAnsi="Calibri" w:cs="Calibri"/>
                <w:sz w:val="22"/>
                <w:szCs w:val="22"/>
              </w:rPr>
              <w:t xml:space="preserve"> into other production areas where its presence may impede the export potential of the relevant host commodities affected.</w:t>
            </w:r>
          </w:p>
          <w:p w14:paraId="57E276A8" w14:textId="77777777" w:rsidR="00F4103A" w:rsidRPr="00F4103A" w:rsidRDefault="00F4103A" w:rsidP="009E051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1" w:type="dxa"/>
          </w:tcPr>
          <w:p w14:paraId="25EEDE47" w14:textId="77777777" w:rsidR="00F4103A" w:rsidRPr="00F4103A" w:rsidRDefault="00F4103A" w:rsidP="009E051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103A" w:rsidRPr="00F4103A" w14:paraId="0CFCDE77" w14:textId="77777777" w:rsidTr="00F4103A">
        <w:trPr>
          <w:trHeight w:val="1408"/>
        </w:trPr>
        <w:tc>
          <w:tcPr>
            <w:tcW w:w="3119" w:type="dxa"/>
            <w:shd w:val="clear" w:color="auto" w:fill="E6E6E6"/>
          </w:tcPr>
          <w:p w14:paraId="328B7C96" w14:textId="77777777" w:rsidR="00F4103A" w:rsidRPr="00F4103A" w:rsidRDefault="00F4103A" w:rsidP="00AB6E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03A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</w:p>
        </w:tc>
        <w:tc>
          <w:tcPr>
            <w:tcW w:w="6521" w:type="dxa"/>
          </w:tcPr>
          <w:p w14:paraId="2C375A1D" w14:textId="30912F1A" w:rsidR="00F4103A" w:rsidRPr="00F4103A" w:rsidRDefault="00A97E88" w:rsidP="00F4103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 w:rsidR="007D74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7460" w:rsidRPr="003065D5">
              <w:rPr>
                <w:rFonts w:ascii="Calibri" w:hAnsi="Calibri" w:cs="Calibri"/>
                <w:i/>
                <w:sz w:val="22"/>
                <w:szCs w:val="22"/>
              </w:rPr>
              <w:t>B. dorsalis</w:t>
            </w:r>
            <w:r w:rsidR="007D7460">
              <w:rPr>
                <w:rFonts w:ascii="Calibri" w:hAnsi="Calibri" w:cs="Calibri"/>
                <w:sz w:val="22"/>
                <w:szCs w:val="22"/>
              </w:rPr>
              <w:t xml:space="preserve"> specimen</w:t>
            </w:r>
            <w:r w:rsidR="00A62168">
              <w:rPr>
                <w:rFonts w:ascii="Calibri" w:hAnsi="Calibri" w:cs="Calibri"/>
                <w:sz w:val="22"/>
                <w:szCs w:val="22"/>
              </w:rPr>
              <w:t>s were detected from</w:t>
            </w:r>
            <w:r w:rsidR="007D74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Methyl Eugenol (</w:t>
            </w:r>
            <w:r w:rsidR="007D7460">
              <w:rPr>
                <w:rFonts w:ascii="Calibri" w:hAnsi="Calibri" w:cs="Calibri"/>
                <w:sz w:val="22"/>
                <w:szCs w:val="22"/>
              </w:rPr>
              <w:t>ME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7D7460">
              <w:rPr>
                <w:rFonts w:ascii="Calibri" w:hAnsi="Calibri" w:cs="Calibri"/>
                <w:sz w:val="22"/>
                <w:szCs w:val="22"/>
              </w:rPr>
              <w:t xml:space="preserve"> baited traps in </w:t>
            </w:r>
            <w:r w:rsidR="00A62168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spellStart"/>
            <w:r w:rsidR="00A62168">
              <w:rPr>
                <w:rFonts w:ascii="Calibri" w:hAnsi="Calibri" w:cs="Calibri"/>
                <w:sz w:val="22"/>
                <w:szCs w:val="22"/>
              </w:rPr>
              <w:t>Addo</w:t>
            </w:r>
            <w:proofErr w:type="spellEnd"/>
            <w:r w:rsidR="00A62168">
              <w:rPr>
                <w:rFonts w:ascii="Calibri" w:hAnsi="Calibri" w:cs="Calibri"/>
                <w:sz w:val="22"/>
                <w:szCs w:val="22"/>
              </w:rPr>
              <w:t xml:space="preserve"> area of the Eastern</w:t>
            </w:r>
            <w:r w:rsidR="007D7460">
              <w:rPr>
                <w:rFonts w:ascii="Calibri" w:hAnsi="Calibri" w:cs="Calibri"/>
                <w:sz w:val="22"/>
                <w:szCs w:val="22"/>
              </w:rPr>
              <w:t xml:space="preserve"> Cape Province of South Africa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which is approximately </w:t>
            </w:r>
            <w:r w:rsidR="00FD56D0">
              <w:rPr>
                <w:rFonts w:ascii="Calibri" w:hAnsi="Calibri" w:cs="Calibri"/>
                <w:sz w:val="22"/>
                <w:szCs w:val="22"/>
              </w:rPr>
              <w:t>40km North from Port Elizabeth</w:t>
            </w:r>
            <w:r w:rsidR="007D746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288D948" w14:textId="3F9D4AAE" w:rsidR="00F4103A" w:rsidRPr="00F4103A" w:rsidRDefault="00F4103A" w:rsidP="00AC59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103A">
              <w:rPr>
                <w:rFonts w:ascii="Calibri" w:hAnsi="Calibri" w:cs="Calibri"/>
                <w:sz w:val="22"/>
                <w:szCs w:val="22"/>
              </w:rPr>
              <w:t xml:space="preserve">The identifications of the specimens were confirmed </w:t>
            </w:r>
            <w:r w:rsidR="00FD56D0">
              <w:rPr>
                <w:rFonts w:ascii="Calibri" w:hAnsi="Calibri" w:cs="Calibri"/>
                <w:sz w:val="22"/>
                <w:szCs w:val="22"/>
              </w:rPr>
              <w:t>through molecular analysis.</w:t>
            </w:r>
          </w:p>
          <w:p w14:paraId="3DA260EE" w14:textId="512D2A80" w:rsidR="00FD56D0" w:rsidRPr="00FD56D0" w:rsidRDefault="00FD56D0" w:rsidP="00FD56D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56D0">
              <w:rPr>
                <w:rFonts w:ascii="Calibri" w:hAnsi="Calibri" w:cs="Calibri"/>
                <w:sz w:val="22"/>
                <w:szCs w:val="22"/>
              </w:rPr>
              <w:t>Phytosanitary actions were implemented to control the movement of fruit from the area under delimitation</w:t>
            </w:r>
            <w:r w:rsidR="00A02327">
              <w:rPr>
                <w:rFonts w:ascii="Calibri" w:hAnsi="Calibri" w:cs="Calibri"/>
                <w:sz w:val="22"/>
                <w:szCs w:val="22"/>
              </w:rPr>
              <w:t xml:space="preserve"> and eradication</w:t>
            </w:r>
            <w:r w:rsidRPr="00FD56D0">
              <w:rPr>
                <w:rFonts w:ascii="Calibri" w:hAnsi="Calibri" w:cs="Calibri"/>
                <w:sz w:val="22"/>
                <w:szCs w:val="22"/>
              </w:rPr>
              <w:t>. Eradication include</w:t>
            </w:r>
            <w:r w:rsidR="00A02327">
              <w:rPr>
                <w:rFonts w:ascii="Calibri" w:hAnsi="Calibri" w:cs="Calibri"/>
                <w:sz w:val="22"/>
                <w:szCs w:val="22"/>
              </w:rPr>
              <w:t>s</w:t>
            </w:r>
            <w:r w:rsidRPr="00FD56D0">
              <w:rPr>
                <w:rFonts w:ascii="Calibri" w:hAnsi="Calibri" w:cs="Calibri"/>
                <w:sz w:val="22"/>
                <w:szCs w:val="22"/>
              </w:rPr>
              <w:t xml:space="preserve"> the application of protein bait sprays, deployment of male annihilation (MAT) blocks and strict field sanitation within the quarantine area. Eradication actions will be deployed for a minimum period of eight weeks or over two life cycles of the OFF if it is longer than 8 weeks. After implementation of eradication actions, a monitoring period of four weeks or one life cycle will be conducted. If there are no further detections during the monitoring period, the </w:t>
            </w:r>
            <w:r w:rsidRPr="00FD56D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quarantine areas can be declared as free from the presence of </w:t>
            </w:r>
            <w:proofErr w:type="spellStart"/>
            <w:r w:rsidRPr="00FD56D0">
              <w:rPr>
                <w:rFonts w:ascii="Calibri" w:hAnsi="Calibri" w:cs="Calibri"/>
                <w:sz w:val="22"/>
                <w:szCs w:val="22"/>
              </w:rPr>
              <w:t>Bactrocera</w:t>
            </w:r>
            <w:proofErr w:type="spellEnd"/>
            <w:r w:rsidRPr="00FD56D0">
              <w:rPr>
                <w:rFonts w:ascii="Calibri" w:hAnsi="Calibri" w:cs="Calibri"/>
                <w:sz w:val="22"/>
                <w:szCs w:val="22"/>
              </w:rPr>
              <w:t xml:space="preserve"> dorsalis.</w:t>
            </w:r>
          </w:p>
          <w:p w14:paraId="196D6427" w14:textId="77777777" w:rsidR="00FD56D0" w:rsidRPr="00FD56D0" w:rsidRDefault="00FD56D0" w:rsidP="00FD56D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D5846E" w14:textId="39830541" w:rsidR="00F4103A" w:rsidRPr="00F4103A" w:rsidRDefault="00FD56D0" w:rsidP="00FD56D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56D0">
              <w:rPr>
                <w:rFonts w:ascii="Calibri" w:hAnsi="Calibri" w:cs="Calibri"/>
                <w:sz w:val="22"/>
                <w:szCs w:val="22"/>
              </w:rPr>
              <w:t xml:space="preserve">The status of the pest in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spellStart"/>
            <w:r w:rsidRPr="00FD56D0">
              <w:rPr>
                <w:rFonts w:ascii="Calibri" w:hAnsi="Calibri" w:cs="Calibri"/>
                <w:sz w:val="22"/>
                <w:szCs w:val="22"/>
              </w:rPr>
              <w:t>Addo</w:t>
            </w:r>
            <w:proofErr w:type="spellEnd"/>
            <w:r w:rsidRPr="00FD56D0">
              <w:rPr>
                <w:rFonts w:ascii="Calibri" w:hAnsi="Calibri" w:cs="Calibri"/>
                <w:sz w:val="22"/>
                <w:szCs w:val="22"/>
              </w:rPr>
              <w:t xml:space="preserve"> area 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 w:rsidRPr="00FD56D0">
              <w:rPr>
                <w:rFonts w:ascii="Calibri" w:hAnsi="Calibri" w:cs="Calibri"/>
                <w:sz w:val="22"/>
                <w:szCs w:val="22"/>
              </w:rPr>
              <w:t>: Transient, actionable and under eradication to prevent establishment.</w:t>
            </w:r>
          </w:p>
        </w:tc>
        <w:tc>
          <w:tcPr>
            <w:tcW w:w="6521" w:type="dxa"/>
          </w:tcPr>
          <w:p w14:paraId="08465378" w14:textId="77777777" w:rsidR="00F4103A" w:rsidRPr="00F4103A" w:rsidRDefault="00F4103A" w:rsidP="00AC59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EF33BA" w14:textId="77777777" w:rsidR="0052430E" w:rsidRPr="00F4103A" w:rsidRDefault="0052430E" w:rsidP="00AB6E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03EC4" w14:textId="77777777" w:rsidR="0097451A" w:rsidRPr="00F4103A" w:rsidRDefault="0097451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7451A" w:rsidRPr="00F4103A" w:rsidSect="00844C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0D1"/>
    <w:multiLevelType w:val="hybridMultilevel"/>
    <w:tmpl w:val="9CDA0558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D32052"/>
    <w:multiLevelType w:val="multilevel"/>
    <w:tmpl w:val="F5043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1B20434"/>
    <w:multiLevelType w:val="hybridMultilevel"/>
    <w:tmpl w:val="BAE8F8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7"/>
    <w:rsid w:val="00016EF4"/>
    <w:rsid w:val="000412D2"/>
    <w:rsid w:val="000415C4"/>
    <w:rsid w:val="00051791"/>
    <w:rsid w:val="00097778"/>
    <w:rsid w:val="000A0283"/>
    <w:rsid w:val="000C016E"/>
    <w:rsid w:val="000C35A8"/>
    <w:rsid w:val="000D3A7C"/>
    <w:rsid w:val="000D59A7"/>
    <w:rsid w:val="000E2D1D"/>
    <w:rsid w:val="000F0EFC"/>
    <w:rsid w:val="000F5C35"/>
    <w:rsid w:val="0011301B"/>
    <w:rsid w:val="00150F8D"/>
    <w:rsid w:val="00166790"/>
    <w:rsid w:val="001942F6"/>
    <w:rsid w:val="00196FF1"/>
    <w:rsid w:val="00197FF7"/>
    <w:rsid w:val="001A0CEC"/>
    <w:rsid w:val="001B13DE"/>
    <w:rsid w:val="001B4B46"/>
    <w:rsid w:val="001D1CDE"/>
    <w:rsid w:val="00212F3D"/>
    <w:rsid w:val="00224563"/>
    <w:rsid w:val="00245DD8"/>
    <w:rsid w:val="002A7CBC"/>
    <w:rsid w:val="002B46B4"/>
    <w:rsid w:val="002C308F"/>
    <w:rsid w:val="002F4018"/>
    <w:rsid w:val="00304A71"/>
    <w:rsid w:val="003065D5"/>
    <w:rsid w:val="00307F54"/>
    <w:rsid w:val="0035617F"/>
    <w:rsid w:val="003660C9"/>
    <w:rsid w:val="0037277C"/>
    <w:rsid w:val="00385056"/>
    <w:rsid w:val="0038620D"/>
    <w:rsid w:val="003914F2"/>
    <w:rsid w:val="003920E6"/>
    <w:rsid w:val="003B597B"/>
    <w:rsid w:val="003D58AE"/>
    <w:rsid w:val="003E24C6"/>
    <w:rsid w:val="003E756F"/>
    <w:rsid w:val="003F0A87"/>
    <w:rsid w:val="00406C64"/>
    <w:rsid w:val="0042086E"/>
    <w:rsid w:val="00455CD9"/>
    <w:rsid w:val="00461BD4"/>
    <w:rsid w:val="0048776A"/>
    <w:rsid w:val="004A2034"/>
    <w:rsid w:val="004D2E3A"/>
    <w:rsid w:val="004E675A"/>
    <w:rsid w:val="004F0609"/>
    <w:rsid w:val="0052430E"/>
    <w:rsid w:val="00527FF3"/>
    <w:rsid w:val="00540C46"/>
    <w:rsid w:val="00540DF6"/>
    <w:rsid w:val="00571750"/>
    <w:rsid w:val="005921F2"/>
    <w:rsid w:val="005B17AD"/>
    <w:rsid w:val="005D19B7"/>
    <w:rsid w:val="00610765"/>
    <w:rsid w:val="00613A0A"/>
    <w:rsid w:val="006336B2"/>
    <w:rsid w:val="00634DF3"/>
    <w:rsid w:val="0063523D"/>
    <w:rsid w:val="00663980"/>
    <w:rsid w:val="0067181F"/>
    <w:rsid w:val="00671991"/>
    <w:rsid w:val="00677D2C"/>
    <w:rsid w:val="00685CD3"/>
    <w:rsid w:val="006939FD"/>
    <w:rsid w:val="006A3216"/>
    <w:rsid w:val="006D33F8"/>
    <w:rsid w:val="006E77A4"/>
    <w:rsid w:val="006E7C97"/>
    <w:rsid w:val="006F5878"/>
    <w:rsid w:val="0070387C"/>
    <w:rsid w:val="00725960"/>
    <w:rsid w:val="00777D28"/>
    <w:rsid w:val="007A2869"/>
    <w:rsid w:val="007C3243"/>
    <w:rsid w:val="007C5ABE"/>
    <w:rsid w:val="007D4818"/>
    <w:rsid w:val="007D7460"/>
    <w:rsid w:val="007E04E7"/>
    <w:rsid w:val="007E1B65"/>
    <w:rsid w:val="007F1447"/>
    <w:rsid w:val="00844C78"/>
    <w:rsid w:val="008537B4"/>
    <w:rsid w:val="008579C8"/>
    <w:rsid w:val="00890549"/>
    <w:rsid w:val="00890FF4"/>
    <w:rsid w:val="008A3FD4"/>
    <w:rsid w:val="008B6075"/>
    <w:rsid w:val="008D34FA"/>
    <w:rsid w:val="008E1CAC"/>
    <w:rsid w:val="008F52F9"/>
    <w:rsid w:val="009001ED"/>
    <w:rsid w:val="00941F5F"/>
    <w:rsid w:val="00942105"/>
    <w:rsid w:val="0097451A"/>
    <w:rsid w:val="00981705"/>
    <w:rsid w:val="00995DE5"/>
    <w:rsid w:val="009A044E"/>
    <w:rsid w:val="009C1273"/>
    <w:rsid w:val="009C3A60"/>
    <w:rsid w:val="009E0511"/>
    <w:rsid w:val="009E3AA9"/>
    <w:rsid w:val="009E609A"/>
    <w:rsid w:val="00A02327"/>
    <w:rsid w:val="00A029F5"/>
    <w:rsid w:val="00A043F9"/>
    <w:rsid w:val="00A134EF"/>
    <w:rsid w:val="00A15053"/>
    <w:rsid w:val="00A215C9"/>
    <w:rsid w:val="00A30D4A"/>
    <w:rsid w:val="00A570BC"/>
    <w:rsid w:val="00A616D4"/>
    <w:rsid w:val="00A62168"/>
    <w:rsid w:val="00A7208B"/>
    <w:rsid w:val="00A77AFA"/>
    <w:rsid w:val="00A924BE"/>
    <w:rsid w:val="00A97E88"/>
    <w:rsid w:val="00AA191F"/>
    <w:rsid w:val="00AA22FE"/>
    <w:rsid w:val="00AB28DE"/>
    <w:rsid w:val="00AB4646"/>
    <w:rsid w:val="00AB54CC"/>
    <w:rsid w:val="00AB6EF8"/>
    <w:rsid w:val="00AC1EB4"/>
    <w:rsid w:val="00AC5964"/>
    <w:rsid w:val="00AE4304"/>
    <w:rsid w:val="00AE4D97"/>
    <w:rsid w:val="00B01AC3"/>
    <w:rsid w:val="00B137BA"/>
    <w:rsid w:val="00B14437"/>
    <w:rsid w:val="00B165C5"/>
    <w:rsid w:val="00B24C62"/>
    <w:rsid w:val="00B2796A"/>
    <w:rsid w:val="00B545E6"/>
    <w:rsid w:val="00B750BD"/>
    <w:rsid w:val="00B848F9"/>
    <w:rsid w:val="00B86537"/>
    <w:rsid w:val="00B947BC"/>
    <w:rsid w:val="00B950DD"/>
    <w:rsid w:val="00BC0873"/>
    <w:rsid w:val="00BC3FA1"/>
    <w:rsid w:val="00BF1E8F"/>
    <w:rsid w:val="00C10251"/>
    <w:rsid w:val="00C22AE3"/>
    <w:rsid w:val="00C364DC"/>
    <w:rsid w:val="00C40D23"/>
    <w:rsid w:val="00C5012C"/>
    <w:rsid w:val="00C56124"/>
    <w:rsid w:val="00C574FE"/>
    <w:rsid w:val="00C65AC3"/>
    <w:rsid w:val="00C9739E"/>
    <w:rsid w:val="00CD1FBA"/>
    <w:rsid w:val="00CE5662"/>
    <w:rsid w:val="00CF17AA"/>
    <w:rsid w:val="00CF6F9D"/>
    <w:rsid w:val="00D03270"/>
    <w:rsid w:val="00D04812"/>
    <w:rsid w:val="00D2745D"/>
    <w:rsid w:val="00D30691"/>
    <w:rsid w:val="00D31AD4"/>
    <w:rsid w:val="00D359F3"/>
    <w:rsid w:val="00D60C43"/>
    <w:rsid w:val="00D76168"/>
    <w:rsid w:val="00D808CD"/>
    <w:rsid w:val="00D91FFE"/>
    <w:rsid w:val="00D93BD0"/>
    <w:rsid w:val="00DC36DB"/>
    <w:rsid w:val="00DC7B60"/>
    <w:rsid w:val="00DD586D"/>
    <w:rsid w:val="00DF0C21"/>
    <w:rsid w:val="00E4668A"/>
    <w:rsid w:val="00E476A6"/>
    <w:rsid w:val="00E54D11"/>
    <w:rsid w:val="00E5795D"/>
    <w:rsid w:val="00E720D1"/>
    <w:rsid w:val="00E951C1"/>
    <w:rsid w:val="00EA2C07"/>
    <w:rsid w:val="00EA477D"/>
    <w:rsid w:val="00EC2DCF"/>
    <w:rsid w:val="00EC56C0"/>
    <w:rsid w:val="00ED7CA2"/>
    <w:rsid w:val="00F05DA2"/>
    <w:rsid w:val="00F13EEC"/>
    <w:rsid w:val="00F4103A"/>
    <w:rsid w:val="00F50D97"/>
    <w:rsid w:val="00F557E8"/>
    <w:rsid w:val="00F654B5"/>
    <w:rsid w:val="00F730FD"/>
    <w:rsid w:val="00F92963"/>
    <w:rsid w:val="00FB6CBB"/>
    <w:rsid w:val="00FC1038"/>
    <w:rsid w:val="00FD56D0"/>
    <w:rsid w:val="00FF53D7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4387B"/>
  <w15:docId w15:val="{D8C05358-5E12-4580-AC44-88EE8D8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D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844C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4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9F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1D1"/>
    <w:rPr>
      <w:rFonts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718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0744-A4DA-4923-9A7F-E9628040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Plant Protection Convention (IPPC) country report by the National Plant Protection Organization (NPPO) of South Africa:   Pest Report on the first detection of Bactrocera invadens in South Africa</vt:lpstr>
    </vt:vector>
  </TitlesOfParts>
  <Company>Department of Agriculture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Plant Protection Convention (IPPC) country report by the National Plant Protection Organization (NPPO) of South Africa:   Pest Report on the first detection of Bactrocera invadens in South Africa</dc:title>
  <dc:creator>MarianneT</dc:creator>
  <cp:lastModifiedBy>YolandaT</cp:lastModifiedBy>
  <cp:revision>2</cp:revision>
  <cp:lastPrinted>2018-05-11T07:38:00Z</cp:lastPrinted>
  <dcterms:created xsi:type="dcterms:W3CDTF">2020-06-23T07:38:00Z</dcterms:created>
  <dcterms:modified xsi:type="dcterms:W3CDTF">2020-06-23T07:38:00Z</dcterms:modified>
</cp:coreProperties>
</file>