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CBC1" w14:textId="7E42AE40" w:rsidR="00D73939" w:rsidRDefault="00BB32A7">
      <w:pPr>
        <w:rPr>
          <w:b/>
          <w:bCs/>
          <w:sz w:val="32"/>
          <w:szCs w:val="28"/>
        </w:rPr>
      </w:pPr>
      <w:r w:rsidRPr="00BB32A7">
        <w:rPr>
          <w:b/>
          <w:bCs/>
          <w:i/>
          <w:iCs/>
          <w:sz w:val="32"/>
          <w:szCs w:val="28"/>
        </w:rPr>
        <w:t xml:space="preserve">Phytophthora </w:t>
      </w:r>
      <w:proofErr w:type="spellStart"/>
      <w:r w:rsidRPr="00BB32A7">
        <w:rPr>
          <w:b/>
          <w:bCs/>
          <w:i/>
          <w:iCs/>
          <w:sz w:val="32"/>
          <w:szCs w:val="28"/>
        </w:rPr>
        <w:t>pluvialis</w:t>
      </w:r>
      <w:proofErr w:type="spellEnd"/>
      <w:r>
        <w:rPr>
          <w:i/>
          <w:iCs/>
        </w:rPr>
        <w:t xml:space="preserve"> </w:t>
      </w:r>
      <w:r w:rsidR="00431A16" w:rsidRPr="00431A16">
        <w:rPr>
          <w:b/>
          <w:bCs/>
          <w:sz w:val="32"/>
          <w:szCs w:val="28"/>
        </w:rPr>
        <w:t>pest report</w:t>
      </w:r>
      <w:r w:rsidR="00F17856">
        <w:rPr>
          <w:rStyle w:val="FootnoteReference"/>
          <w:b/>
          <w:bCs/>
          <w:sz w:val="32"/>
          <w:szCs w:val="28"/>
        </w:rPr>
        <w:footnoteReference w:id="1"/>
      </w:r>
    </w:p>
    <w:tbl>
      <w:tblPr>
        <w:tblStyle w:val="GridTable4-Accent2"/>
        <w:tblW w:w="0" w:type="auto"/>
        <w:tblInd w:w="-431" w:type="dxa"/>
        <w:tblLook w:val="04A0" w:firstRow="1" w:lastRow="0" w:firstColumn="1" w:lastColumn="0" w:noHBand="0" w:noVBand="1"/>
      </w:tblPr>
      <w:tblGrid>
        <w:gridCol w:w="4815"/>
        <w:gridCol w:w="5109"/>
      </w:tblGrid>
      <w:tr w:rsidR="00431A16" w14:paraId="620F2A87" w14:textId="77777777" w:rsidTr="00A65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263015A" w14:textId="317981C5" w:rsidR="00431A16" w:rsidRDefault="00431A16">
            <w:r>
              <w:t>Field</w:t>
            </w:r>
          </w:p>
        </w:tc>
        <w:tc>
          <w:tcPr>
            <w:tcW w:w="5109" w:type="dxa"/>
          </w:tcPr>
          <w:p w14:paraId="3B37ADB1" w14:textId="7B94CDCD" w:rsidR="00431A16" w:rsidRDefault="00431A16">
            <w:pPr>
              <w:cnfStyle w:val="100000000000" w:firstRow="1" w:lastRow="0" w:firstColumn="0" w:lastColumn="0" w:oddVBand="0" w:evenVBand="0" w:oddHBand="0" w:evenHBand="0" w:firstRowFirstColumn="0" w:firstRowLastColumn="0" w:lastRowFirstColumn="0" w:lastRowLastColumn="0"/>
            </w:pPr>
            <w:r>
              <w:t>Detail</w:t>
            </w:r>
          </w:p>
        </w:tc>
      </w:tr>
      <w:tr w:rsidR="001C543E" w14:paraId="5B976EAC" w14:textId="77777777" w:rsidTr="00A6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CFBFC20" w14:textId="2C7B3210" w:rsidR="001C543E" w:rsidRDefault="005B5D1F">
            <w:r>
              <w:t>Pest species name</w:t>
            </w:r>
          </w:p>
        </w:tc>
        <w:tc>
          <w:tcPr>
            <w:tcW w:w="5109" w:type="dxa"/>
          </w:tcPr>
          <w:p w14:paraId="0A0421F5" w14:textId="21706DCC" w:rsidR="001C543E" w:rsidRPr="000142AE" w:rsidRDefault="000142AE">
            <w:pPr>
              <w:cnfStyle w:val="000000100000" w:firstRow="0" w:lastRow="0" w:firstColumn="0" w:lastColumn="0" w:oddVBand="0" w:evenVBand="0" w:oddHBand="1" w:evenHBand="0" w:firstRowFirstColumn="0" w:firstRowLastColumn="0" w:lastRowFirstColumn="0" w:lastRowLastColumn="0"/>
            </w:pPr>
            <w:r w:rsidRPr="000142AE">
              <w:rPr>
                <w:i/>
                <w:iCs/>
              </w:rPr>
              <w:t>Phytophthora pluvialis</w:t>
            </w:r>
            <w:r>
              <w:rPr>
                <w:i/>
                <w:iCs/>
              </w:rPr>
              <w:t xml:space="preserve"> </w:t>
            </w:r>
            <w:r>
              <w:t>(</w:t>
            </w:r>
            <w:r w:rsidRPr="000142AE">
              <w:t>Reeser, Sutton &amp; Hansen, 2013</w:t>
            </w:r>
            <w:r>
              <w:t>)</w:t>
            </w:r>
          </w:p>
        </w:tc>
      </w:tr>
      <w:tr w:rsidR="000959D5" w14:paraId="062BA2D3" w14:textId="77777777" w:rsidTr="00A65521">
        <w:tc>
          <w:tcPr>
            <w:cnfStyle w:val="001000000000" w:firstRow="0" w:lastRow="0" w:firstColumn="1" w:lastColumn="0" w:oddVBand="0" w:evenVBand="0" w:oddHBand="0" w:evenHBand="0" w:firstRowFirstColumn="0" w:firstRowLastColumn="0" w:lastRowFirstColumn="0" w:lastRowLastColumn="0"/>
            <w:tcW w:w="4815" w:type="dxa"/>
          </w:tcPr>
          <w:p w14:paraId="24318585" w14:textId="0D1280F6" w:rsidR="000959D5" w:rsidRDefault="000959D5">
            <w:r>
              <w:t>Pest</w:t>
            </w:r>
            <w:r w:rsidR="001C543E">
              <w:t xml:space="preserve"> species name</w:t>
            </w:r>
            <w:r w:rsidR="005B5D1F">
              <w:t xml:space="preserve"> Taxon (order, family)</w:t>
            </w:r>
          </w:p>
        </w:tc>
        <w:tc>
          <w:tcPr>
            <w:tcW w:w="5109" w:type="dxa"/>
          </w:tcPr>
          <w:p w14:paraId="1ADC0800" w14:textId="59850A84" w:rsidR="000959D5" w:rsidRDefault="000142AE">
            <w:pPr>
              <w:cnfStyle w:val="000000000000" w:firstRow="0" w:lastRow="0" w:firstColumn="0" w:lastColumn="0" w:oddVBand="0" w:evenVBand="0" w:oddHBand="0" w:evenHBand="0" w:firstRowFirstColumn="0" w:firstRowLastColumn="0" w:lastRowFirstColumn="0" w:lastRowLastColumn="0"/>
            </w:pPr>
            <w:r w:rsidRPr="000142AE">
              <w:t>Peronosporale</w:t>
            </w:r>
            <w:r w:rsidR="006E45BA">
              <w:t>s</w:t>
            </w:r>
            <w:r>
              <w:t xml:space="preserve">, </w:t>
            </w:r>
            <w:proofErr w:type="spellStart"/>
            <w:r w:rsidRPr="000142AE">
              <w:t>Peronosporaceae</w:t>
            </w:r>
            <w:proofErr w:type="spellEnd"/>
          </w:p>
        </w:tc>
      </w:tr>
      <w:tr w:rsidR="001C543E" w14:paraId="1C0ECF3D" w14:textId="77777777" w:rsidTr="00A6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D37C424" w14:textId="6CEC6267" w:rsidR="001C543E" w:rsidRDefault="001C543E">
            <w:r>
              <w:t>Pest common name</w:t>
            </w:r>
          </w:p>
        </w:tc>
        <w:tc>
          <w:tcPr>
            <w:tcW w:w="5109" w:type="dxa"/>
          </w:tcPr>
          <w:p w14:paraId="1F6C6296" w14:textId="271AB55E" w:rsidR="001C543E" w:rsidRPr="001C543E" w:rsidRDefault="000142AE">
            <w:pPr>
              <w:cnfStyle w:val="000000100000" w:firstRow="0" w:lastRow="0" w:firstColumn="0" w:lastColumn="0" w:oddVBand="0" w:evenVBand="0" w:oddHBand="1" w:evenHBand="0" w:firstRowFirstColumn="0" w:firstRowLastColumn="0" w:lastRowFirstColumn="0" w:lastRowLastColumn="0"/>
            </w:pPr>
            <w:r w:rsidRPr="000142AE">
              <w:rPr>
                <w:i/>
                <w:iCs/>
              </w:rPr>
              <w:t>Phytophthora pluvialis</w:t>
            </w:r>
            <w:r w:rsidR="001F62A8">
              <w:rPr>
                <w:i/>
                <w:iCs/>
              </w:rPr>
              <w:t>; red needle cast disease</w:t>
            </w:r>
            <w:r w:rsidR="001E5F22">
              <w:rPr>
                <w:i/>
                <w:iCs/>
              </w:rPr>
              <w:t xml:space="preserve"> of radiata pine</w:t>
            </w:r>
          </w:p>
        </w:tc>
      </w:tr>
      <w:tr w:rsidR="00431A16" w14:paraId="6AA861E9" w14:textId="77777777" w:rsidTr="00A65521">
        <w:tc>
          <w:tcPr>
            <w:cnfStyle w:val="001000000000" w:firstRow="0" w:lastRow="0" w:firstColumn="1" w:lastColumn="0" w:oddVBand="0" w:evenVBand="0" w:oddHBand="0" w:evenHBand="0" w:firstRowFirstColumn="0" w:firstRowLastColumn="0" w:lastRowFirstColumn="0" w:lastRowLastColumn="0"/>
            <w:tcW w:w="4815" w:type="dxa"/>
          </w:tcPr>
          <w:p w14:paraId="7ADF64F7" w14:textId="7B6E121C" w:rsidR="00431A16" w:rsidRDefault="00431A16">
            <w:r>
              <w:t>Country</w:t>
            </w:r>
          </w:p>
        </w:tc>
        <w:tc>
          <w:tcPr>
            <w:tcW w:w="5109" w:type="dxa"/>
          </w:tcPr>
          <w:p w14:paraId="67315575" w14:textId="59918F8C" w:rsidR="00431A16" w:rsidRDefault="000142AE">
            <w:pPr>
              <w:cnfStyle w:val="000000000000" w:firstRow="0" w:lastRow="0" w:firstColumn="0" w:lastColumn="0" w:oddVBand="0" w:evenVBand="0" w:oddHBand="0" w:evenHBand="0" w:firstRowFirstColumn="0" w:firstRowLastColumn="0" w:lastRowFirstColumn="0" w:lastRowLastColumn="0"/>
            </w:pPr>
            <w:r>
              <w:t>United Kingdom</w:t>
            </w:r>
          </w:p>
        </w:tc>
      </w:tr>
      <w:tr w:rsidR="00431A16" w14:paraId="433B1F0C" w14:textId="77777777" w:rsidTr="00A6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8C123E0" w14:textId="515F98D7" w:rsidR="00431A16" w:rsidRDefault="00431A16">
            <w:r>
              <w:t>Report status</w:t>
            </w:r>
            <w:r w:rsidR="00A65521">
              <w:t xml:space="preserve"> </w:t>
            </w:r>
            <w:r w:rsidR="00A65521" w:rsidRPr="00A65521">
              <w:rPr>
                <w:i/>
                <w:iCs/>
                <w:sz w:val="20"/>
                <w:szCs w:val="20"/>
              </w:rPr>
              <w:t>(</w:t>
            </w:r>
            <w:r w:rsidR="00A65521">
              <w:rPr>
                <w:i/>
                <w:iCs/>
                <w:sz w:val="20"/>
                <w:szCs w:val="20"/>
              </w:rPr>
              <w:t>first</w:t>
            </w:r>
            <w:r w:rsidR="00A65521" w:rsidRPr="00A65521">
              <w:rPr>
                <w:i/>
                <w:iCs/>
                <w:sz w:val="20"/>
                <w:szCs w:val="20"/>
              </w:rPr>
              <w:t>, update number or final.  Include date</w:t>
            </w:r>
            <w:r w:rsidR="00A65521">
              <w:rPr>
                <w:i/>
                <w:iCs/>
                <w:sz w:val="20"/>
                <w:szCs w:val="20"/>
              </w:rPr>
              <w:t>.</w:t>
            </w:r>
            <w:r w:rsidR="00A65521" w:rsidRPr="00A65521">
              <w:rPr>
                <w:i/>
                <w:iCs/>
                <w:sz w:val="20"/>
                <w:szCs w:val="20"/>
              </w:rPr>
              <w:t>)</w:t>
            </w:r>
          </w:p>
        </w:tc>
        <w:tc>
          <w:tcPr>
            <w:tcW w:w="5109" w:type="dxa"/>
          </w:tcPr>
          <w:p w14:paraId="048A285D" w14:textId="521CD171" w:rsidR="00431A16" w:rsidRDefault="000142AE">
            <w:pPr>
              <w:cnfStyle w:val="000000100000" w:firstRow="0" w:lastRow="0" w:firstColumn="0" w:lastColumn="0" w:oddVBand="0" w:evenVBand="0" w:oddHBand="1" w:evenHBand="0" w:firstRowFirstColumn="0" w:firstRowLastColumn="0" w:lastRowFirstColumn="0" w:lastRowLastColumn="0"/>
            </w:pPr>
            <w:r>
              <w:t>First</w:t>
            </w:r>
          </w:p>
        </w:tc>
      </w:tr>
      <w:tr w:rsidR="00431A16" w14:paraId="12C35ADC" w14:textId="77777777" w:rsidTr="00A65521">
        <w:tc>
          <w:tcPr>
            <w:cnfStyle w:val="001000000000" w:firstRow="0" w:lastRow="0" w:firstColumn="1" w:lastColumn="0" w:oddVBand="0" w:evenVBand="0" w:oddHBand="0" w:evenHBand="0" w:firstRowFirstColumn="0" w:firstRowLastColumn="0" w:lastRowFirstColumn="0" w:lastRowLastColumn="0"/>
            <w:tcW w:w="4815" w:type="dxa"/>
          </w:tcPr>
          <w:p w14:paraId="4E22F017" w14:textId="0225E410" w:rsidR="00431A16" w:rsidRDefault="00431A16">
            <w:r>
              <w:t>Host</w:t>
            </w:r>
            <w:r w:rsidR="005B5D1F">
              <w:t>(</w:t>
            </w:r>
            <w:r>
              <w:t>s</w:t>
            </w:r>
            <w:r w:rsidR="005B5D1F">
              <w:t xml:space="preserve">) present </w:t>
            </w:r>
            <w:r w:rsidR="00690E3E">
              <w:t>on</w:t>
            </w:r>
          </w:p>
        </w:tc>
        <w:tc>
          <w:tcPr>
            <w:tcW w:w="5109" w:type="dxa"/>
          </w:tcPr>
          <w:p w14:paraId="2D618F4D" w14:textId="5B30D427" w:rsidR="00431A16" w:rsidRDefault="000142AE">
            <w:pPr>
              <w:cnfStyle w:val="000000000000" w:firstRow="0" w:lastRow="0" w:firstColumn="0" w:lastColumn="0" w:oddVBand="0" w:evenVBand="0" w:oddHBand="0" w:evenHBand="0" w:firstRowFirstColumn="0" w:firstRowLastColumn="0" w:lastRowFirstColumn="0" w:lastRowLastColumn="0"/>
            </w:pPr>
            <w:r>
              <w:t>Western hemlock (</w:t>
            </w:r>
            <w:r w:rsidRPr="000142AE">
              <w:rPr>
                <w:i/>
                <w:iCs/>
              </w:rPr>
              <w:t>Tsuga heterophylla</w:t>
            </w:r>
            <w:r>
              <w:t>); Douglas fir (</w:t>
            </w:r>
            <w:r w:rsidRPr="000142AE">
              <w:rPr>
                <w:i/>
                <w:iCs/>
              </w:rPr>
              <w:t>Pseudotsuga menziesii</w:t>
            </w:r>
            <w:r>
              <w:t>)</w:t>
            </w:r>
          </w:p>
        </w:tc>
      </w:tr>
      <w:tr w:rsidR="00690E3E" w14:paraId="4D771BA8" w14:textId="77777777" w:rsidTr="00A6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6365E35" w14:textId="5F9A2361" w:rsidR="00690E3E" w:rsidRDefault="00690E3E">
            <w:r>
              <w:t xml:space="preserve">Host range (indicate if </w:t>
            </w:r>
            <w:r w:rsidR="00D111C3">
              <w:t xml:space="preserve">the host is </w:t>
            </w:r>
            <w:r>
              <w:t>major, wild</w:t>
            </w:r>
            <w:r w:rsidR="00D111C3">
              <w:t>-</w:t>
            </w:r>
            <w:r>
              <w:t xml:space="preserve">weed, alternate, </w:t>
            </w:r>
            <w:r w:rsidR="00D111C3">
              <w:t>experimental,</w:t>
            </w:r>
            <w:r>
              <w:t xml:space="preserve"> or doubtful</w:t>
            </w:r>
            <w:r w:rsidR="00D111C3">
              <w:t>,</w:t>
            </w:r>
            <w:r>
              <w:t xml:space="preserve"> if known)</w:t>
            </w:r>
          </w:p>
        </w:tc>
        <w:tc>
          <w:tcPr>
            <w:tcW w:w="5109" w:type="dxa"/>
          </w:tcPr>
          <w:p w14:paraId="0EC8EEA0" w14:textId="63B51DE3" w:rsidR="00690E3E" w:rsidRPr="00431A16" w:rsidRDefault="000142AE">
            <w:pPr>
              <w:cnfStyle w:val="000000100000" w:firstRow="0" w:lastRow="0" w:firstColumn="0" w:lastColumn="0" w:oddVBand="0" w:evenVBand="0" w:oddHBand="1" w:evenHBand="0" w:firstRowFirstColumn="0" w:firstRowLastColumn="0" w:lastRowFirstColumn="0" w:lastRowLastColumn="0"/>
            </w:pPr>
            <w:r>
              <w:t xml:space="preserve">Major – UK woodland </w:t>
            </w:r>
          </w:p>
        </w:tc>
      </w:tr>
      <w:tr w:rsidR="00431A16" w14:paraId="4F5958B0" w14:textId="77777777" w:rsidTr="00A65521">
        <w:tc>
          <w:tcPr>
            <w:cnfStyle w:val="001000000000" w:firstRow="0" w:lastRow="0" w:firstColumn="1" w:lastColumn="0" w:oddVBand="0" w:evenVBand="0" w:oddHBand="0" w:evenHBand="0" w:firstRowFirstColumn="0" w:firstRowLastColumn="0" w:lastRowFirstColumn="0" w:lastRowLastColumn="0"/>
            <w:tcW w:w="4815" w:type="dxa"/>
          </w:tcPr>
          <w:p w14:paraId="6B817440" w14:textId="5352D5B3" w:rsidR="00431A16" w:rsidRDefault="00431A16">
            <w:r>
              <w:t>Pest status</w:t>
            </w:r>
            <w:r w:rsidR="00F17856">
              <w:t xml:space="preserve"> (as per ISPM 8)</w:t>
            </w:r>
            <w:r w:rsidR="00F17856">
              <w:rPr>
                <w:rStyle w:val="FootnoteReference"/>
              </w:rPr>
              <w:footnoteReference w:id="2"/>
            </w:r>
          </w:p>
        </w:tc>
        <w:tc>
          <w:tcPr>
            <w:tcW w:w="5109" w:type="dxa"/>
          </w:tcPr>
          <w:p w14:paraId="60559C48" w14:textId="5ED63B59" w:rsidR="001A635D" w:rsidRDefault="00F45941" w:rsidP="00F45941">
            <w:pPr>
              <w:cnfStyle w:val="000000000000" w:firstRow="0" w:lastRow="0" w:firstColumn="0" w:lastColumn="0" w:oddVBand="0" w:evenVBand="0" w:oddHBand="0" w:evenHBand="0" w:firstRowFirstColumn="0" w:firstRowLastColumn="0" w:lastRowFirstColumn="0" w:lastRowLastColumn="0"/>
            </w:pPr>
            <w:r>
              <w:t xml:space="preserve">Present: not widely distributed and under official control </w:t>
            </w:r>
          </w:p>
        </w:tc>
      </w:tr>
      <w:tr w:rsidR="00431A16" w14:paraId="0B2C5B1B" w14:textId="77777777" w:rsidTr="00A6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1AC2C4F" w14:textId="2F06B74D" w:rsidR="00431A16" w:rsidRDefault="00431A16">
            <w:r>
              <w:t>Geographical distribution</w:t>
            </w:r>
          </w:p>
        </w:tc>
        <w:tc>
          <w:tcPr>
            <w:tcW w:w="5109" w:type="dxa"/>
          </w:tcPr>
          <w:p w14:paraId="352C9A68" w14:textId="1752AF8C" w:rsidR="00431A16" w:rsidRDefault="004D33B5">
            <w:pPr>
              <w:cnfStyle w:val="000000100000" w:firstRow="0" w:lastRow="0" w:firstColumn="0" w:lastColumn="0" w:oddVBand="0" w:evenVBand="0" w:oddHBand="1" w:evenHBand="0" w:firstRowFirstColumn="0" w:firstRowLastColumn="0" w:lastRowFirstColumn="0" w:lastRowLastColumn="0"/>
            </w:pPr>
            <w:r>
              <w:t xml:space="preserve">Limited distribution – first found in a woodland site in </w:t>
            </w:r>
            <w:r w:rsidR="00B30172">
              <w:t xml:space="preserve">Cornwall, </w:t>
            </w:r>
            <w:r w:rsidR="000142AE">
              <w:t>England</w:t>
            </w:r>
            <w:r w:rsidR="00955EF9">
              <w:t>, UK</w:t>
            </w:r>
            <w:r w:rsidR="000142AE">
              <w:t>.</w:t>
            </w:r>
          </w:p>
        </w:tc>
      </w:tr>
      <w:tr w:rsidR="001A635D" w14:paraId="696FEDD1" w14:textId="77777777" w:rsidTr="00A65521">
        <w:tc>
          <w:tcPr>
            <w:cnfStyle w:val="001000000000" w:firstRow="0" w:lastRow="0" w:firstColumn="1" w:lastColumn="0" w:oddVBand="0" w:evenVBand="0" w:oddHBand="0" w:evenHBand="0" w:firstRowFirstColumn="0" w:firstRowLastColumn="0" w:lastRowFirstColumn="0" w:lastRowLastColumn="0"/>
            <w:tcW w:w="4815" w:type="dxa"/>
          </w:tcPr>
          <w:p w14:paraId="3447DE7E" w14:textId="66324704" w:rsidR="001A635D" w:rsidRDefault="001A635D">
            <w:r>
              <w:t>Official control in place</w:t>
            </w:r>
          </w:p>
        </w:tc>
        <w:tc>
          <w:tcPr>
            <w:tcW w:w="5109" w:type="dxa"/>
          </w:tcPr>
          <w:p w14:paraId="442F662F" w14:textId="5A253EF0" w:rsidR="001A635D" w:rsidRPr="00431A16" w:rsidRDefault="00F45941">
            <w:pPr>
              <w:cnfStyle w:val="000000000000" w:firstRow="0" w:lastRow="0" w:firstColumn="0" w:lastColumn="0" w:oddVBand="0" w:evenVBand="0" w:oddHBand="0" w:evenHBand="0" w:firstRowFirstColumn="0" w:firstRowLastColumn="0" w:lastRowFirstColumn="0" w:lastRowLastColumn="0"/>
            </w:pPr>
            <w:r>
              <w:t>U</w:t>
            </w:r>
            <w:r w:rsidRPr="00F45941">
              <w:t xml:space="preserve">nder powers conferred by The Official Controls (Plant Health and Genetically Modified Organisms) (England) Regulations 2019, the Forestry Commission has introduced a demarcated area around the confirmed outbreak site and introduced movement restrictions on materials capable of spreading the disease using the Plant </w:t>
            </w:r>
            <w:r w:rsidRPr="00F45941">
              <w:lastRenderedPageBreak/>
              <w:t>Health (</w:t>
            </w:r>
            <w:r w:rsidRPr="00172D0D">
              <w:rPr>
                <w:i/>
                <w:iCs/>
              </w:rPr>
              <w:t>Phytophthora pluvialis</w:t>
            </w:r>
            <w:r w:rsidRPr="00F45941">
              <w:t xml:space="preserve">) (Demarcated Area No. 1) which </w:t>
            </w:r>
            <w:r w:rsidR="00955EF9">
              <w:t>came</w:t>
            </w:r>
            <w:r w:rsidRPr="00F45941">
              <w:t xml:space="preserve"> in to force on the 27th October 2021.</w:t>
            </w:r>
          </w:p>
        </w:tc>
      </w:tr>
      <w:tr w:rsidR="00431A16" w14:paraId="056D1A12" w14:textId="77777777" w:rsidTr="00A6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FAFCDAF" w14:textId="2CCBB420" w:rsidR="00431A16" w:rsidRDefault="00431A16">
            <w:r>
              <w:lastRenderedPageBreak/>
              <w:t>Summary</w:t>
            </w:r>
            <w:r w:rsidR="00B628C6">
              <w:t xml:space="preserve"> (nature of the finding and phytosanitary measures taken)</w:t>
            </w:r>
          </w:p>
        </w:tc>
        <w:tc>
          <w:tcPr>
            <w:tcW w:w="5109" w:type="dxa"/>
          </w:tcPr>
          <w:p w14:paraId="27BCA0FA" w14:textId="7B991314" w:rsidR="00F45941" w:rsidRDefault="00F45941" w:rsidP="00F45941">
            <w:pPr>
              <w:cnfStyle w:val="000000100000" w:firstRow="0" w:lastRow="0" w:firstColumn="0" w:lastColumn="0" w:oddVBand="0" w:evenVBand="0" w:oddHBand="1" w:evenHBand="0" w:firstRowFirstColumn="0" w:firstRowLastColumn="0" w:lastRowFirstColumn="0" w:lastRowLastColumn="0"/>
            </w:pPr>
            <w:r>
              <w:t>•</w:t>
            </w:r>
            <w:r>
              <w:tab/>
              <w:t xml:space="preserve">As part of the surveillance programme for </w:t>
            </w:r>
            <w:proofErr w:type="spellStart"/>
            <w:r w:rsidRPr="00F45941">
              <w:rPr>
                <w:i/>
                <w:iCs/>
              </w:rPr>
              <w:t>Phytopthora</w:t>
            </w:r>
            <w:proofErr w:type="spellEnd"/>
            <w:r w:rsidRPr="00F45941">
              <w:rPr>
                <w:i/>
                <w:iCs/>
              </w:rPr>
              <w:t xml:space="preserve"> ramorum</w:t>
            </w:r>
            <w:r>
              <w:t xml:space="preserve">, aerial survey flights undertaken in late August identified a stand of western hemlock in Cornwall which appeared to be expressing very characteristic symptoms of this pathogen on a significant scale.  Although western hemlock is a known host, disease expression on this scale and intensity has not previously been observed. Follow-up ground surveys by the Forestry Commission identified symptoms characteristic of Phytophthora and subsequent laboratory analysis confirmed </w:t>
            </w:r>
            <w:r w:rsidRPr="00F45941">
              <w:rPr>
                <w:i/>
                <w:iCs/>
              </w:rPr>
              <w:t>Phytophthora pluvialis</w:t>
            </w:r>
            <w:r>
              <w:t xml:space="preserve"> was present. </w:t>
            </w:r>
          </w:p>
          <w:p w14:paraId="0A7862CD" w14:textId="77777777" w:rsidR="00F45941" w:rsidRDefault="00F45941" w:rsidP="00F45941">
            <w:pPr>
              <w:cnfStyle w:val="000000100000" w:firstRow="0" w:lastRow="0" w:firstColumn="0" w:lastColumn="0" w:oddVBand="0" w:evenVBand="0" w:oddHBand="1" w:evenHBand="0" w:firstRowFirstColumn="0" w:firstRowLastColumn="0" w:lastRowFirstColumn="0" w:lastRowLastColumn="0"/>
            </w:pPr>
            <w:r>
              <w:t>•</w:t>
            </w:r>
            <w:r>
              <w:tab/>
              <w:t>This is the first report of this pathogen in Europe, as well as the first published report on western hemlock.</w:t>
            </w:r>
          </w:p>
          <w:p w14:paraId="47730CFE" w14:textId="77777777" w:rsidR="00F45941" w:rsidRDefault="00F45941" w:rsidP="00F45941">
            <w:pPr>
              <w:cnfStyle w:val="000000100000" w:firstRow="0" w:lastRow="0" w:firstColumn="0" w:lastColumn="0" w:oddVBand="0" w:evenVBand="0" w:oddHBand="1" w:evenHBand="0" w:firstRowFirstColumn="0" w:firstRowLastColumn="0" w:lastRowFirstColumn="0" w:lastRowLastColumn="0"/>
            </w:pPr>
            <w:r>
              <w:t>•</w:t>
            </w:r>
            <w:r>
              <w:tab/>
              <w:t xml:space="preserve">At this stage it is unknown if </w:t>
            </w:r>
            <w:r w:rsidRPr="00F45941">
              <w:rPr>
                <w:i/>
                <w:iCs/>
              </w:rPr>
              <w:t>P. pluvialis</w:t>
            </w:r>
            <w:r>
              <w:t xml:space="preserve"> it is the causal agent of the observed symptoms in the western hemlock. Further sampling and diagnostic analysis is underway to determine the cause. Additional surveillance activity is ongoing, including to investigate other sites, and eradication action is likely to be required.</w:t>
            </w:r>
          </w:p>
          <w:p w14:paraId="4EED7C2D" w14:textId="61EC560D" w:rsidR="00F45941" w:rsidRDefault="00F45941" w:rsidP="00F45941">
            <w:pPr>
              <w:cnfStyle w:val="000000100000" w:firstRow="0" w:lastRow="0" w:firstColumn="0" w:lastColumn="0" w:oddVBand="0" w:evenVBand="0" w:oddHBand="1" w:evenHBand="0" w:firstRowFirstColumn="0" w:firstRowLastColumn="0" w:lastRowFirstColumn="0" w:lastRowLastColumn="0"/>
            </w:pPr>
            <w:r>
              <w:t>•</w:t>
            </w:r>
            <w:r>
              <w:tab/>
              <w:t xml:space="preserve">The Forestry Commission has introduced a demarcated area in Cornwall, to restrict the movement of materials capable of spreading the disease. A Notice </w:t>
            </w:r>
            <w:r w:rsidR="00F47383">
              <w:t xml:space="preserve">came </w:t>
            </w:r>
            <w:r>
              <w:t xml:space="preserve">into force on the 27th October 2021 prohibiting the movement of any wood, isolated bark and trees (tanoak, western hemlock, pine and Douglas-fir) originating from within the demarcated area, and any plants for planting that has originated or resides within the demarcated area. </w:t>
            </w:r>
          </w:p>
          <w:p w14:paraId="5672993A" w14:textId="7400B2AD" w:rsidR="00431A16" w:rsidRDefault="00431A16">
            <w:pPr>
              <w:cnfStyle w:val="000000100000" w:firstRow="0" w:lastRow="0" w:firstColumn="0" w:lastColumn="0" w:oddVBand="0" w:evenVBand="0" w:oddHBand="1" w:evenHBand="0" w:firstRowFirstColumn="0" w:firstRowLastColumn="0" w:lastRowFirstColumn="0" w:lastRowLastColumn="0"/>
            </w:pPr>
          </w:p>
        </w:tc>
      </w:tr>
      <w:tr w:rsidR="00431A16" w14:paraId="6A077355" w14:textId="77777777" w:rsidTr="00A65521">
        <w:tc>
          <w:tcPr>
            <w:cnfStyle w:val="001000000000" w:firstRow="0" w:lastRow="0" w:firstColumn="1" w:lastColumn="0" w:oddVBand="0" w:evenVBand="0" w:oddHBand="0" w:evenHBand="0" w:firstRowFirstColumn="0" w:firstRowLastColumn="0" w:lastRowFirstColumn="0" w:lastRowLastColumn="0"/>
            <w:tcW w:w="4815" w:type="dxa"/>
          </w:tcPr>
          <w:p w14:paraId="458DC967" w14:textId="46FDCE68" w:rsidR="00431A16" w:rsidRDefault="00431A16">
            <w:r>
              <w:lastRenderedPageBreak/>
              <w:t>Danger</w:t>
            </w:r>
            <w:r w:rsidR="00F17856">
              <w:t>/risk posed</w:t>
            </w:r>
          </w:p>
        </w:tc>
        <w:tc>
          <w:tcPr>
            <w:tcW w:w="5109" w:type="dxa"/>
          </w:tcPr>
          <w:p w14:paraId="16084070" w14:textId="77777777" w:rsidR="00431A16" w:rsidRDefault="00145361">
            <w:pPr>
              <w:cnfStyle w:val="000000000000" w:firstRow="0" w:lastRow="0" w:firstColumn="0" w:lastColumn="0" w:oddVBand="0" w:evenVBand="0" w:oddHBand="0" w:evenHBand="0" w:firstRowFirstColumn="0" w:firstRowLastColumn="0" w:lastRowFirstColumn="0" w:lastRowLastColumn="0"/>
            </w:pPr>
            <w:r w:rsidRPr="00145361">
              <w:rPr>
                <w:i/>
                <w:iCs/>
              </w:rPr>
              <w:t>Phytophthora pluvialis</w:t>
            </w:r>
            <w:r>
              <w:t xml:space="preserve"> is reported to cause needle cast, shoot dieback, stem lesions, and has also been isolated from soil and rainwater. On the UK Plant Health Risk Register, the pathogen has a high unmitigated risk rating of 60, with a high likelihood of spread should it be introduced, and a high impact, particularly given the potential commercial value of trees at risk.</w:t>
            </w:r>
          </w:p>
          <w:p w14:paraId="6B745C57" w14:textId="2D4FCC08" w:rsidR="00145361" w:rsidRDefault="00145361">
            <w:pPr>
              <w:cnfStyle w:val="000000000000" w:firstRow="0" w:lastRow="0" w:firstColumn="0" w:lastColumn="0" w:oddVBand="0" w:evenVBand="0" w:oddHBand="0" w:evenHBand="0" w:firstRowFirstColumn="0" w:firstRowLastColumn="0" w:lastRowFirstColumn="0" w:lastRowLastColumn="0"/>
            </w:pPr>
            <w:r>
              <w:t xml:space="preserve">A risk assessment has been done by the UK Plant Health Risk Group, which has concluded that </w:t>
            </w:r>
            <w:r w:rsidRPr="00145361">
              <w:rPr>
                <w:i/>
                <w:iCs/>
              </w:rPr>
              <w:t>Phytophthora pluvialis</w:t>
            </w:r>
            <w:r>
              <w:t xml:space="preserve"> meets the criteria to be classified as a GB quarantine pest for regulatory purposes. </w:t>
            </w:r>
          </w:p>
        </w:tc>
      </w:tr>
      <w:tr w:rsidR="000959D5" w14:paraId="1287F471" w14:textId="77777777" w:rsidTr="00A6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1633AAF" w14:textId="6A78F776" w:rsidR="000959D5" w:rsidRDefault="000959D5">
            <w:r>
              <w:t>Report files</w:t>
            </w:r>
          </w:p>
        </w:tc>
        <w:tc>
          <w:tcPr>
            <w:tcW w:w="5109" w:type="dxa"/>
          </w:tcPr>
          <w:p w14:paraId="46CF1C92" w14:textId="40E25E7E" w:rsidR="000959D5" w:rsidRPr="000959D5" w:rsidRDefault="00145361">
            <w:pPr>
              <w:cnfStyle w:val="000000100000" w:firstRow="0" w:lastRow="0" w:firstColumn="0" w:lastColumn="0" w:oddVBand="0" w:evenVBand="0" w:oddHBand="1" w:evenHBand="0" w:firstRowFirstColumn="0" w:firstRowLastColumn="0" w:lastRowFirstColumn="0" w:lastRowLastColumn="0"/>
            </w:pPr>
            <w:r>
              <w:t>None (link to this report pdf)</w:t>
            </w:r>
          </w:p>
        </w:tc>
      </w:tr>
      <w:tr w:rsidR="000959D5" w14:paraId="10F53D60" w14:textId="77777777" w:rsidTr="00A65521">
        <w:tc>
          <w:tcPr>
            <w:cnfStyle w:val="001000000000" w:firstRow="0" w:lastRow="0" w:firstColumn="1" w:lastColumn="0" w:oddVBand="0" w:evenVBand="0" w:oddHBand="0" w:evenHBand="0" w:firstRowFirstColumn="0" w:firstRowLastColumn="0" w:lastRowFirstColumn="0" w:lastRowLastColumn="0"/>
            <w:tcW w:w="4815" w:type="dxa"/>
          </w:tcPr>
          <w:p w14:paraId="0B9C3AB3" w14:textId="2639D583" w:rsidR="000959D5" w:rsidRDefault="000959D5">
            <w:r>
              <w:t>Website</w:t>
            </w:r>
            <w:r w:rsidR="00F17856">
              <w:t>(s)</w:t>
            </w:r>
          </w:p>
        </w:tc>
        <w:tc>
          <w:tcPr>
            <w:tcW w:w="5109" w:type="dxa"/>
          </w:tcPr>
          <w:p w14:paraId="0384992E" w14:textId="64EAE18B" w:rsidR="000959D5" w:rsidRPr="000959D5" w:rsidRDefault="00F45941">
            <w:pPr>
              <w:cnfStyle w:val="000000000000" w:firstRow="0" w:lastRow="0" w:firstColumn="0" w:lastColumn="0" w:oddVBand="0" w:evenVBand="0" w:oddHBand="0" w:evenHBand="0" w:firstRowFirstColumn="0" w:firstRowLastColumn="0" w:lastRowFirstColumn="0" w:lastRowLastColumn="0"/>
            </w:pPr>
            <w:r w:rsidRPr="00F45941">
              <w:t>https://www.gov.uk/guidance/phytophthora-pluvialis</w:t>
            </w:r>
          </w:p>
        </w:tc>
      </w:tr>
    </w:tbl>
    <w:p w14:paraId="1F57668D" w14:textId="6C445B3F" w:rsidR="00721F9B" w:rsidRPr="00721F9B" w:rsidRDefault="00721F9B" w:rsidP="00721F9B">
      <w:pPr>
        <w:rPr>
          <w:b/>
          <w:bCs/>
          <w:i/>
          <w:iCs/>
        </w:rPr>
      </w:pPr>
    </w:p>
    <w:sectPr w:rsidR="00721F9B" w:rsidRPr="00721F9B" w:rsidSect="00F17856">
      <w:footerReference w:type="default" r:id="rId8"/>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1C203" w14:textId="77777777" w:rsidR="00BB2FDD" w:rsidRDefault="00BB2FDD" w:rsidP="00F17856">
      <w:pPr>
        <w:spacing w:before="0" w:after="0" w:line="240" w:lineRule="auto"/>
      </w:pPr>
      <w:r>
        <w:separator/>
      </w:r>
    </w:p>
  </w:endnote>
  <w:endnote w:type="continuationSeparator" w:id="0">
    <w:p w14:paraId="565B3973" w14:textId="77777777" w:rsidR="00BB2FDD" w:rsidRDefault="00BB2FDD" w:rsidP="00F178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351867"/>
      <w:docPartObj>
        <w:docPartGallery w:val="Page Numbers (Bottom of Page)"/>
        <w:docPartUnique/>
      </w:docPartObj>
    </w:sdtPr>
    <w:sdtEndPr/>
    <w:sdtContent>
      <w:sdt>
        <w:sdtPr>
          <w:id w:val="-1769616900"/>
          <w:docPartObj>
            <w:docPartGallery w:val="Page Numbers (Top of Page)"/>
            <w:docPartUnique/>
          </w:docPartObj>
        </w:sdtPr>
        <w:sdtEndPr/>
        <w:sdtContent>
          <w:p w14:paraId="6A873913" w14:textId="47723433" w:rsidR="00A65521" w:rsidRDefault="00A65521">
            <w:pPr>
              <w:pStyle w:val="Footer"/>
              <w:jc w:val="right"/>
            </w:pPr>
            <w:r w:rsidRPr="00A65521">
              <w:rPr>
                <w:sz w:val="20"/>
                <w:szCs w:val="20"/>
              </w:rPr>
              <w:t xml:space="preserve">Page </w:t>
            </w:r>
            <w:r w:rsidRPr="00A65521">
              <w:rPr>
                <w:b/>
                <w:bCs/>
                <w:sz w:val="20"/>
                <w:szCs w:val="20"/>
              </w:rPr>
              <w:fldChar w:fldCharType="begin"/>
            </w:r>
            <w:r w:rsidRPr="00A65521">
              <w:rPr>
                <w:b/>
                <w:bCs/>
                <w:sz w:val="20"/>
                <w:szCs w:val="20"/>
              </w:rPr>
              <w:instrText xml:space="preserve"> PAGE </w:instrText>
            </w:r>
            <w:r w:rsidRPr="00A65521">
              <w:rPr>
                <w:b/>
                <w:bCs/>
                <w:sz w:val="20"/>
                <w:szCs w:val="20"/>
              </w:rPr>
              <w:fldChar w:fldCharType="separate"/>
            </w:r>
            <w:r w:rsidRPr="00A65521">
              <w:rPr>
                <w:b/>
                <w:bCs/>
                <w:noProof/>
                <w:sz w:val="20"/>
                <w:szCs w:val="20"/>
              </w:rPr>
              <w:t>2</w:t>
            </w:r>
            <w:r w:rsidRPr="00A65521">
              <w:rPr>
                <w:b/>
                <w:bCs/>
                <w:sz w:val="20"/>
                <w:szCs w:val="20"/>
              </w:rPr>
              <w:fldChar w:fldCharType="end"/>
            </w:r>
            <w:r w:rsidRPr="00A65521">
              <w:rPr>
                <w:sz w:val="20"/>
                <w:szCs w:val="20"/>
              </w:rPr>
              <w:t xml:space="preserve"> of </w:t>
            </w:r>
            <w:r w:rsidRPr="00A65521">
              <w:rPr>
                <w:b/>
                <w:bCs/>
                <w:sz w:val="20"/>
                <w:szCs w:val="20"/>
              </w:rPr>
              <w:fldChar w:fldCharType="begin"/>
            </w:r>
            <w:r w:rsidRPr="00A65521">
              <w:rPr>
                <w:b/>
                <w:bCs/>
                <w:sz w:val="20"/>
                <w:szCs w:val="20"/>
              </w:rPr>
              <w:instrText xml:space="preserve"> NUMPAGES  </w:instrText>
            </w:r>
            <w:r w:rsidRPr="00A65521">
              <w:rPr>
                <w:b/>
                <w:bCs/>
                <w:sz w:val="20"/>
                <w:szCs w:val="20"/>
              </w:rPr>
              <w:fldChar w:fldCharType="separate"/>
            </w:r>
            <w:r w:rsidRPr="00A65521">
              <w:rPr>
                <w:b/>
                <w:bCs/>
                <w:noProof/>
                <w:sz w:val="20"/>
                <w:szCs w:val="20"/>
              </w:rPr>
              <w:t>2</w:t>
            </w:r>
            <w:r w:rsidRPr="00A65521">
              <w:rPr>
                <w:b/>
                <w:bCs/>
                <w:sz w:val="20"/>
                <w:szCs w:val="20"/>
              </w:rPr>
              <w:fldChar w:fldCharType="end"/>
            </w:r>
          </w:p>
        </w:sdtContent>
      </w:sdt>
    </w:sdtContent>
  </w:sdt>
  <w:p w14:paraId="48014F64" w14:textId="77777777" w:rsidR="00A65521" w:rsidRDefault="00A6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E6B1A" w14:textId="77777777" w:rsidR="00BB2FDD" w:rsidRDefault="00BB2FDD" w:rsidP="00F17856">
      <w:pPr>
        <w:spacing w:before="0" w:after="0" w:line="240" w:lineRule="auto"/>
      </w:pPr>
      <w:r>
        <w:separator/>
      </w:r>
    </w:p>
  </w:footnote>
  <w:footnote w:type="continuationSeparator" w:id="0">
    <w:p w14:paraId="565950B6" w14:textId="77777777" w:rsidR="00BB2FDD" w:rsidRDefault="00BB2FDD" w:rsidP="00F17856">
      <w:pPr>
        <w:spacing w:before="0" w:after="0" w:line="240" w:lineRule="auto"/>
      </w:pPr>
      <w:r>
        <w:continuationSeparator/>
      </w:r>
    </w:p>
  </w:footnote>
  <w:footnote w:id="1">
    <w:p w14:paraId="0EECD836" w14:textId="2E607160" w:rsidR="00F17856" w:rsidRDefault="00F17856">
      <w:pPr>
        <w:pStyle w:val="FootnoteText"/>
      </w:pPr>
      <w:r>
        <w:rPr>
          <w:rStyle w:val="FootnoteReference"/>
        </w:rPr>
        <w:footnoteRef/>
      </w:r>
      <w:r>
        <w:t xml:space="preserve"> </w:t>
      </w:r>
      <w:hyperlink r:id="rId1" w:history="1">
        <w:r>
          <w:rPr>
            <w:rStyle w:val="Hyperlink"/>
          </w:rPr>
          <w:t>International Standard for Phytosanitary Measures (ISPM) 17 Pest reporting</w:t>
        </w:r>
      </w:hyperlink>
    </w:p>
  </w:footnote>
  <w:footnote w:id="2">
    <w:p w14:paraId="4671C8E6" w14:textId="77777777" w:rsidR="00F17856" w:rsidRPr="00F17856" w:rsidRDefault="00F17856" w:rsidP="00F17856">
      <w:pPr>
        <w:rPr>
          <w:sz w:val="20"/>
          <w:szCs w:val="20"/>
        </w:rPr>
      </w:pPr>
      <w:r w:rsidRPr="00F17856">
        <w:rPr>
          <w:rStyle w:val="FootnoteReference"/>
          <w:sz w:val="20"/>
          <w:szCs w:val="20"/>
        </w:rPr>
        <w:footnoteRef/>
      </w:r>
      <w:r w:rsidRPr="00F17856">
        <w:rPr>
          <w:sz w:val="20"/>
          <w:szCs w:val="20"/>
        </w:rPr>
        <w:t xml:space="preserve"> </w:t>
      </w:r>
      <w:hyperlink r:id="rId2" w:history="1">
        <w:r w:rsidRPr="00F17856">
          <w:rPr>
            <w:rStyle w:val="Hyperlink"/>
            <w:sz w:val="20"/>
            <w:szCs w:val="20"/>
          </w:rPr>
          <w:t>International Standard for Phytosanitary Measures (ISPM) 8 Determination of pest status in an area</w:t>
        </w:r>
      </w:hyperlink>
    </w:p>
    <w:p w14:paraId="2BDD19EE" w14:textId="1634EB2A" w:rsidR="00F17856" w:rsidRDefault="00F178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052DD"/>
    <w:multiLevelType w:val="hybridMultilevel"/>
    <w:tmpl w:val="83D0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16"/>
    <w:rsid w:val="000142AE"/>
    <w:rsid w:val="000959D5"/>
    <w:rsid w:val="0013514E"/>
    <w:rsid w:val="00145361"/>
    <w:rsid w:val="00172D0D"/>
    <w:rsid w:val="001930DA"/>
    <w:rsid w:val="001A61AD"/>
    <w:rsid w:val="001A635D"/>
    <w:rsid w:val="001C543E"/>
    <w:rsid w:val="001E5F22"/>
    <w:rsid w:val="001F62A8"/>
    <w:rsid w:val="00267716"/>
    <w:rsid w:val="00293EF4"/>
    <w:rsid w:val="0042516D"/>
    <w:rsid w:val="00431A16"/>
    <w:rsid w:val="004D33B5"/>
    <w:rsid w:val="005B5D1F"/>
    <w:rsid w:val="00690E3E"/>
    <w:rsid w:val="006E45BA"/>
    <w:rsid w:val="006F252B"/>
    <w:rsid w:val="00721F9B"/>
    <w:rsid w:val="00911C4C"/>
    <w:rsid w:val="00955EF9"/>
    <w:rsid w:val="00A448EB"/>
    <w:rsid w:val="00A65521"/>
    <w:rsid w:val="00A77771"/>
    <w:rsid w:val="00A9590C"/>
    <w:rsid w:val="00B30172"/>
    <w:rsid w:val="00B628C6"/>
    <w:rsid w:val="00BB2FDD"/>
    <w:rsid w:val="00BB32A7"/>
    <w:rsid w:val="00C637E0"/>
    <w:rsid w:val="00D111C3"/>
    <w:rsid w:val="00D73939"/>
    <w:rsid w:val="00DD2032"/>
    <w:rsid w:val="00E233FA"/>
    <w:rsid w:val="00EE1A8F"/>
    <w:rsid w:val="00F17856"/>
    <w:rsid w:val="00F45941"/>
    <w:rsid w:val="00F47383"/>
    <w:rsid w:val="00F675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F6E7"/>
  <w15:chartTrackingRefBased/>
  <w15:docId w15:val="{4F724965-720D-467E-854E-D25CFD73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EB"/>
    <w:pPr>
      <w:spacing w:before="240" w:after="120" w:line="276" w:lineRule="auto"/>
    </w:pPr>
    <w:rPr>
      <w:sz w:val="24"/>
      <w:szCs w:val="22"/>
    </w:rPr>
  </w:style>
  <w:style w:type="paragraph" w:styleId="Heading1">
    <w:name w:val="heading 1"/>
    <w:basedOn w:val="Normal"/>
    <w:next w:val="Normal"/>
    <w:link w:val="Heading1Char"/>
    <w:qFormat/>
    <w:rsid w:val="00A448EB"/>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A448EB"/>
    <w:pPr>
      <w:keepNext/>
      <w:spacing w:before="480" w:after="120"/>
      <w:outlineLvl w:val="1"/>
    </w:pPr>
    <w:rPr>
      <w:rFonts w:eastAsia="Times New Roman"/>
      <w:b/>
      <w:bCs/>
      <w:iCs/>
      <w:color w:val="008938"/>
      <w:sz w:val="36"/>
      <w:szCs w:val="28"/>
    </w:rPr>
  </w:style>
  <w:style w:type="paragraph" w:styleId="Heading3">
    <w:name w:val="heading 3"/>
    <w:basedOn w:val="Normal"/>
    <w:next w:val="Normal"/>
    <w:link w:val="Heading3Char"/>
    <w:qFormat/>
    <w:rsid w:val="00A448EB"/>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A448EB"/>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uiPriority w:val="1"/>
    <w:qFormat/>
    <w:rsid w:val="00A448EB"/>
    <w:pPr>
      <w:spacing w:after="200"/>
    </w:pPr>
    <w:rPr>
      <w:color w:val="008938"/>
      <w:sz w:val="40"/>
      <w:szCs w:val="28"/>
    </w:rPr>
  </w:style>
  <w:style w:type="paragraph" w:customStyle="1" w:styleId="Reporttitledarkgreen">
    <w:name w:val="Report title dark green"/>
    <w:qFormat/>
    <w:rsid w:val="00A448EB"/>
    <w:pPr>
      <w:spacing w:after="280"/>
    </w:pPr>
    <w:rPr>
      <w:color w:val="008938"/>
      <w:sz w:val="56"/>
      <w:szCs w:val="22"/>
    </w:rPr>
  </w:style>
  <w:style w:type="paragraph" w:customStyle="1" w:styleId="Contents">
    <w:name w:val="Contents"/>
    <w:basedOn w:val="Normal"/>
    <w:next w:val="Normal"/>
    <w:uiPriority w:val="2"/>
    <w:qFormat/>
    <w:rsid w:val="00A448EB"/>
    <w:rPr>
      <w:b/>
      <w:color w:val="008938"/>
      <w:sz w:val="28"/>
      <w:lang w:eastAsia="en-GB"/>
    </w:rPr>
  </w:style>
  <w:style w:type="paragraph" w:customStyle="1" w:styleId="Dateandversion">
    <w:name w:val="Date and version"/>
    <w:basedOn w:val="Normal"/>
    <w:uiPriority w:val="2"/>
    <w:qFormat/>
    <w:rsid w:val="00A448EB"/>
    <w:rPr>
      <w:sz w:val="28"/>
    </w:rPr>
  </w:style>
  <w:style w:type="character" w:customStyle="1" w:styleId="Heading1Char">
    <w:name w:val="Heading 1 Char"/>
    <w:basedOn w:val="DefaultParagraphFont"/>
    <w:link w:val="Heading1"/>
    <w:rsid w:val="00A448EB"/>
    <w:rPr>
      <w:rFonts w:eastAsia="Times New Roman"/>
      <w:b/>
      <w:bCs/>
      <w:color w:val="008938"/>
      <w:sz w:val="44"/>
      <w:szCs w:val="28"/>
    </w:rPr>
  </w:style>
  <w:style w:type="character" w:customStyle="1" w:styleId="Heading2Char">
    <w:name w:val="Heading 2 Char"/>
    <w:basedOn w:val="DefaultParagraphFont"/>
    <w:link w:val="Heading2"/>
    <w:rsid w:val="00A448EB"/>
    <w:rPr>
      <w:rFonts w:eastAsia="Times New Roman"/>
      <w:b/>
      <w:bCs/>
      <w:iCs/>
      <w:color w:val="008938"/>
      <w:sz w:val="36"/>
      <w:szCs w:val="28"/>
    </w:rPr>
  </w:style>
  <w:style w:type="character" w:customStyle="1" w:styleId="Heading3Char">
    <w:name w:val="Heading 3 Char"/>
    <w:basedOn w:val="DefaultParagraphFont"/>
    <w:link w:val="Heading3"/>
    <w:rsid w:val="00A448EB"/>
    <w:rPr>
      <w:rFonts w:eastAsia="Times New Roman"/>
      <w:b/>
      <w:bCs/>
      <w:sz w:val="28"/>
      <w:szCs w:val="22"/>
    </w:rPr>
  </w:style>
  <w:style w:type="character" w:customStyle="1" w:styleId="Heading4Char">
    <w:name w:val="Heading 4 Char"/>
    <w:basedOn w:val="DefaultParagraphFont"/>
    <w:link w:val="Heading4"/>
    <w:rsid w:val="00A448EB"/>
    <w:rPr>
      <w:rFonts w:eastAsia="Times New Roman"/>
      <w:b/>
      <w:bCs/>
      <w:iCs/>
      <w:sz w:val="24"/>
      <w:szCs w:val="22"/>
    </w:rPr>
  </w:style>
  <w:style w:type="paragraph" w:styleId="Caption">
    <w:name w:val="caption"/>
    <w:basedOn w:val="Normal"/>
    <w:next w:val="Normal"/>
    <w:uiPriority w:val="4"/>
    <w:qFormat/>
    <w:rsid w:val="00A448EB"/>
    <w:pPr>
      <w:spacing w:before="360" w:after="0"/>
    </w:pPr>
    <w:rPr>
      <w:b/>
      <w:iCs/>
      <w:sz w:val="22"/>
      <w:szCs w:val="18"/>
    </w:rPr>
  </w:style>
  <w:style w:type="table" w:styleId="TableGrid">
    <w:name w:val="Table Grid"/>
    <w:basedOn w:val="TableNormal"/>
    <w:uiPriority w:val="39"/>
    <w:rsid w:val="0043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31A16"/>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color w:val="FFFFFF" w:themeColor="background1"/>
      </w:rPr>
      <w:tblPr/>
      <w:tcPr>
        <w:tcBorders>
          <w:top w:val="single" w:sz="4" w:space="0" w:color="00AF41" w:themeColor="accent1"/>
          <w:left w:val="single" w:sz="4" w:space="0" w:color="00AF41" w:themeColor="accent1"/>
          <w:bottom w:val="single" w:sz="4" w:space="0" w:color="00AF41" w:themeColor="accent1"/>
          <w:right w:val="single" w:sz="4" w:space="0" w:color="00AF41" w:themeColor="accent1"/>
          <w:insideH w:val="nil"/>
          <w:insideV w:val="nil"/>
        </w:tcBorders>
        <w:shd w:val="clear" w:color="auto" w:fill="00AF41" w:themeFill="accent1"/>
      </w:tcPr>
    </w:tblStylePr>
    <w:tblStylePr w:type="lastRow">
      <w:rPr>
        <w:b/>
        <w:bCs/>
      </w:rPr>
      <w:tblPr/>
      <w:tcPr>
        <w:tcBorders>
          <w:top w:val="double" w:sz="4" w:space="0" w:color="00AF41" w:themeColor="accent1"/>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GridTable4-Accent2">
    <w:name w:val="Grid Table 4 Accent 2"/>
    <w:basedOn w:val="TableNormal"/>
    <w:uiPriority w:val="49"/>
    <w:rsid w:val="00431A16"/>
    <w:tblPr>
      <w:tblStyleRowBandSize w:val="1"/>
      <w:tblStyleColBandSize w:val="1"/>
      <w:tblBorders>
        <w:top w:val="single" w:sz="4" w:space="0" w:color="2597FA" w:themeColor="accent2" w:themeTint="99"/>
        <w:left w:val="single" w:sz="4" w:space="0" w:color="2597FA" w:themeColor="accent2" w:themeTint="99"/>
        <w:bottom w:val="single" w:sz="4" w:space="0" w:color="2597FA" w:themeColor="accent2" w:themeTint="99"/>
        <w:right w:val="single" w:sz="4" w:space="0" w:color="2597FA" w:themeColor="accent2" w:themeTint="99"/>
        <w:insideH w:val="single" w:sz="4" w:space="0" w:color="2597FA" w:themeColor="accent2" w:themeTint="99"/>
        <w:insideV w:val="single" w:sz="4" w:space="0" w:color="2597FA" w:themeColor="accent2" w:themeTint="99"/>
      </w:tblBorders>
    </w:tblPr>
    <w:tblStylePr w:type="firstRow">
      <w:rPr>
        <w:b/>
        <w:bCs/>
        <w:color w:val="FFFFFF" w:themeColor="background1"/>
      </w:rPr>
      <w:tblPr/>
      <w:tcPr>
        <w:tcBorders>
          <w:top w:val="single" w:sz="4" w:space="0" w:color="034B89" w:themeColor="accent2"/>
          <w:left w:val="single" w:sz="4" w:space="0" w:color="034B89" w:themeColor="accent2"/>
          <w:bottom w:val="single" w:sz="4" w:space="0" w:color="034B89" w:themeColor="accent2"/>
          <w:right w:val="single" w:sz="4" w:space="0" w:color="034B89" w:themeColor="accent2"/>
          <w:insideH w:val="nil"/>
          <w:insideV w:val="nil"/>
        </w:tcBorders>
        <w:shd w:val="clear" w:color="auto" w:fill="034B89" w:themeFill="accent2"/>
      </w:tcPr>
    </w:tblStylePr>
    <w:tblStylePr w:type="lastRow">
      <w:rPr>
        <w:b/>
        <w:bCs/>
      </w:rPr>
      <w:tblPr/>
      <w:tcPr>
        <w:tcBorders>
          <w:top w:val="double" w:sz="4" w:space="0" w:color="034B89" w:themeColor="accent2"/>
        </w:tcBorders>
      </w:tcPr>
    </w:tblStylePr>
    <w:tblStylePr w:type="firstCol">
      <w:rPr>
        <w:b/>
        <w:bCs/>
      </w:rPr>
    </w:tblStylePr>
    <w:tblStylePr w:type="lastCol">
      <w:rPr>
        <w:b/>
        <w:bCs/>
      </w:rPr>
    </w:tblStylePr>
    <w:tblStylePr w:type="band1Vert">
      <w:tblPr/>
      <w:tcPr>
        <w:shd w:val="clear" w:color="auto" w:fill="B6DCFD" w:themeFill="accent2" w:themeFillTint="33"/>
      </w:tcPr>
    </w:tblStylePr>
    <w:tblStylePr w:type="band1Horz">
      <w:tblPr/>
      <w:tcPr>
        <w:shd w:val="clear" w:color="auto" w:fill="B6DCFD" w:themeFill="accent2" w:themeFillTint="33"/>
      </w:tcPr>
    </w:tblStylePr>
  </w:style>
  <w:style w:type="character" w:styleId="CommentReference">
    <w:name w:val="annotation reference"/>
    <w:basedOn w:val="DefaultParagraphFont"/>
    <w:uiPriority w:val="99"/>
    <w:semiHidden/>
    <w:unhideWhenUsed/>
    <w:rsid w:val="001930DA"/>
    <w:rPr>
      <w:sz w:val="16"/>
      <w:szCs w:val="16"/>
    </w:rPr>
  </w:style>
  <w:style w:type="paragraph" w:styleId="CommentText">
    <w:name w:val="annotation text"/>
    <w:basedOn w:val="Normal"/>
    <w:link w:val="CommentTextChar"/>
    <w:uiPriority w:val="99"/>
    <w:semiHidden/>
    <w:unhideWhenUsed/>
    <w:rsid w:val="001930DA"/>
    <w:pPr>
      <w:spacing w:line="240" w:lineRule="auto"/>
    </w:pPr>
    <w:rPr>
      <w:sz w:val="20"/>
      <w:szCs w:val="20"/>
    </w:rPr>
  </w:style>
  <w:style w:type="character" w:customStyle="1" w:styleId="CommentTextChar">
    <w:name w:val="Comment Text Char"/>
    <w:basedOn w:val="DefaultParagraphFont"/>
    <w:link w:val="CommentText"/>
    <w:uiPriority w:val="99"/>
    <w:semiHidden/>
    <w:rsid w:val="001930DA"/>
  </w:style>
  <w:style w:type="paragraph" w:styleId="CommentSubject">
    <w:name w:val="annotation subject"/>
    <w:basedOn w:val="CommentText"/>
    <w:next w:val="CommentText"/>
    <w:link w:val="CommentSubjectChar"/>
    <w:uiPriority w:val="99"/>
    <w:semiHidden/>
    <w:unhideWhenUsed/>
    <w:rsid w:val="001930DA"/>
    <w:rPr>
      <w:b/>
      <w:bCs/>
    </w:rPr>
  </w:style>
  <w:style w:type="character" w:customStyle="1" w:styleId="CommentSubjectChar">
    <w:name w:val="Comment Subject Char"/>
    <w:basedOn w:val="CommentTextChar"/>
    <w:link w:val="CommentSubject"/>
    <w:uiPriority w:val="99"/>
    <w:semiHidden/>
    <w:rsid w:val="001930DA"/>
    <w:rPr>
      <w:b/>
      <w:bCs/>
    </w:rPr>
  </w:style>
  <w:style w:type="paragraph" w:styleId="FootnoteText">
    <w:name w:val="footnote text"/>
    <w:basedOn w:val="Normal"/>
    <w:link w:val="FootnoteTextChar"/>
    <w:uiPriority w:val="99"/>
    <w:semiHidden/>
    <w:unhideWhenUsed/>
    <w:rsid w:val="00F1785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17856"/>
  </w:style>
  <w:style w:type="character" w:styleId="FootnoteReference">
    <w:name w:val="footnote reference"/>
    <w:basedOn w:val="DefaultParagraphFont"/>
    <w:uiPriority w:val="99"/>
    <w:semiHidden/>
    <w:unhideWhenUsed/>
    <w:rsid w:val="00F17856"/>
    <w:rPr>
      <w:vertAlign w:val="superscript"/>
    </w:rPr>
  </w:style>
  <w:style w:type="character" w:styleId="Hyperlink">
    <w:name w:val="Hyperlink"/>
    <w:basedOn w:val="DefaultParagraphFont"/>
    <w:uiPriority w:val="99"/>
    <w:unhideWhenUsed/>
    <w:rsid w:val="00F17856"/>
    <w:rPr>
      <w:color w:val="000000" w:themeColor="hyperlink"/>
      <w:u w:val="single"/>
    </w:rPr>
  </w:style>
  <w:style w:type="character" w:styleId="UnresolvedMention">
    <w:name w:val="Unresolved Mention"/>
    <w:basedOn w:val="DefaultParagraphFont"/>
    <w:uiPriority w:val="99"/>
    <w:semiHidden/>
    <w:unhideWhenUsed/>
    <w:rsid w:val="00F17856"/>
    <w:rPr>
      <w:color w:val="605E5C"/>
      <w:shd w:val="clear" w:color="auto" w:fill="E1DFDD"/>
    </w:rPr>
  </w:style>
  <w:style w:type="character" w:styleId="Emphasis">
    <w:name w:val="Emphasis"/>
    <w:basedOn w:val="DefaultParagraphFont"/>
    <w:uiPriority w:val="20"/>
    <w:qFormat/>
    <w:rsid w:val="00F17856"/>
    <w:rPr>
      <w:i/>
      <w:iCs/>
    </w:rPr>
  </w:style>
  <w:style w:type="paragraph" w:styleId="ListParagraph">
    <w:name w:val="List Paragraph"/>
    <w:basedOn w:val="Normal"/>
    <w:uiPriority w:val="34"/>
    <w:rsid w:val="00F17856"/>
    <w:pPr>
      <w:ind w:left="720"/>
      <w:contextualSpacing/>
    </w:pPr>
  </w:style>
  <w:style w:type="paragraph" w:styleId="Header">
    <w:name w:val="header"/>
    <w:basedOn w:val="Normal"/>
    <w:link w:val="HeaderChar"/>
    <w:uiPriority w:val="99"/>
    <w:unhideWhenUsed/>
    <w:rsid w:val="00A6552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5521"/>
    <w:rPr>
      <w:sz w:val="24"/>
      <w:szCs w:val="22"/>
    </w:rPr>
  </w:style>
  <w:style w:type="paragraph" w:styleId="Footer">
    <w:name w:val="footer"/>
    <w:basedOn w:val="Normal"/>
    <w:link w:val="FooterChar"/>
    <w:uiPriority w:val="99"/>
    <w:unhideWhenUsed/>
    <w:rsid w:val="00A6552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6552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84963">
      <w:bodyDiv w:val="1"/>
      <w:marLeft w:val="0"/>
      <w:marRight w:val="0"/>
      <w:marTop w:val="0"/>
      <w:marBottom w:val="0"/>
      <w:divBdr>
        <w:top w:val="none" w:sz="0" w:space="0" w:color="auto"/>
        <w:left w:val="none" w:sz="0" w:space="0" w:color="auto"/>
        <w:bottom w:val="none" w:sz="0" w:space="0" w:color="auto"/>
        <w:right w:val="none" w:sz="0" w:space="0" w:color="auto"/>
      </w:divBdr>
    </w:div>
    <w:div w:id="1914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ao.org/3/x2968e/x2968e.pdf" TargetMode="External"/><Relationship Id="rId1" Type="http://schemas.openxmlformats.org/officeDocument/2006/relationships/hyperlink" Target="https://www.fao.org/3/y4224e/y4224e.pdf"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FC4F-BE6F-4DDB-B6BF-9644C3BA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Everatt, Matthew</dc:creator>
  <cp:keywords/>
  <dc:description/>
  <cp:lastModifiedBy>Bishop, Sam</cp:lastModifiedBy>
  <cp:revision>2</cp:revision>
  <cp:lastPrinted>2021-10-22T07:48:00Z</cp:lastPrinted>
  <dcterms:created xsi:type="dcterms:W3CDTF">2021-12-02T13:12:00Z</dcterms:created>
  <dcterms:modified xsi:type="dcterms:W3CDTF">2021-12-02T13:12:00Z</dcterms:modified>
</cp:coreProperties>
</file>