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76" w:rsidRDefault="001568A2" w:rsidP="0020101C">
      <w:pPr>
        <w:pStyle w:val="IPPHeadSection"/>
        <w:jc w:val="center"/>
      </w:pPr>
      <w:r>
        <w:t>Secretariat</w:t>
      </w:r>
      <w:r w:rsidR="00E467DF">
        <w:t xml:space="preserve"> update</w:t>
      </w:r>
    </w:p>
    <w:p w:rsidR="00E56F76" w:rsidRPr="00675E5C" w:rsidRDefault="00B54C8D" w:rsidP="00B54C8D">
      <w:pPr>
        <w:pStyle w:val="IPPNormal"/>
        <w:jc w:val="center"/>
        <w:rPr>
          <w:i/>
          <w:iCs/>
        </w:rPr>
      </w:pPr>
      <w:r w:rsidRPr="00675E5C">
        <w:rPr>
          <w:i/>
          <w:iCs/>
        </w:rPr>
        <w:t>(</w:t>
      </w:r>
      <w:proofErr w:type="gramStart"/>
      <w:r w:rsidRPr="00675E5C">
        <w:rPr>
          <w:i/>
          <w:iCs/>
        </w:rPr>
        <w:t>last</w:t>
      </w:r>
      <w:proofErr w:type="gramEnd"/>
      <w:r w:rsidRPr="00675E5C">
        <w:rPr>
          <w:i/>
          <w:iCs/>
        </w:rPr>
        <w:t xml:space="preserve"> updated </w:t>
      </w:r>
      <w:r w:rsidR="004429CC">
        <w:rPr>
          <w:i/>
          <w:iCs/>
        </w:rPr>
        <w:t>02</w:t>
      </w:r>
      <w:r w:rsidR="00591080">
        <w:rPr>
          <w:i/>
          <w:iCs/>
        </w:rPr>
        <w:t xml:space="preserve"> </w:t>
      </w:r>
      <w:r w:rsidR="004429CC">
        <w:rPr>
          <w:i/>
          <w:iCs/>
        </w:rPr>
        <w:t>June 2015</w:t>
      </w:r>
      <w:r w:rsidRPr="00675E5C">
        <w:rPr>
          <w:i/>
          <w:iCs/>
        </w:rPr>
        <w:t>)</w:t>
      </w:r>
    </w:p>
    <w:p w:rsidR="00FF3685" w:rsidRPr="00FF3685" w:rsidRDefault="00FF3685" w:rsidP="00B54C8D">
      <w:pPr>
        <w:pStyle w:val="IPPNormal"/>
        <w:jc w:val="center"/>
        <w:rPr>
          <w:i/>
          <w:iCs/>
        </w:rPr>
      </w:pPr>
      <w:r w:rsidRPr="007B5F75">
        <w:rPr>
          <w:i/>
          <w:lang w:val="en-US"/>
        </w:rPr>
        <w:t>Prepared by: IPPC Secretariat</w:t>
      </w:r>
    </w:p>
    <w:p w:rsidR="00921C2F" w:rsidRDefault="00921C2F" w:rsidP="00E72AD8"/>
    <w:p w:rsidR="004429CC" w:rsidRDefault="004429CC" w:rsidP="00CA3DC3">
      <w:pPr>
        <w:pStyle w:val="IPPHdg1Num"/>
        <w:numPr>
          <w:ilvl w:val="0"/>
          <w:numId w:val="8"/>
        </w:numPr>
        <w:spacing w:before="360" w:after="240"/>
        <w:rPr>
          <w:lang w:val="en-US"/>
        </w:rPr>
      </w:pPr>
      <w:r>
        <w:rPr>
          <w:lang w:val="en-US"/>
        </w:rPr>
        <w:t>Items arising from CPM-10 (March</w:t>
      </w:r>
      <w:bookmarkStart w:id="0" w:name="_GoBack"/>
      <w:bookmarkEnd w:id="0"/>
      <w:r>
        <w:rPr>
          <w:lang w:val="en-US"/>
        </w:rPr>
        <w:t xml:space="preserve"> 2015)</w:t>
      </w:r>
    </w:p>
    <w:p w:rsidR="00F842F9" w:rsidRPr="00DC65D0" w:rsidRDefault="00F842F9" w:rsidP="00F842F9">
      <w:pPr>
        <w:pStyle w:val="IPPPargraphnumbering"/>
        <w:rPr>
          <w:lang w:val="en-GB" w:eastAsia="zh-CN"/>
        </w:rPr>
      </w:pPr>
      <w:r w:rsidRPr="00DC65D0">
        <w:rPr>
          <w:lang w:val="en-GB" w:eastAsia="zh-CN"/>
        </w:rPr>
        <w:t xml:space="preserve">A </w:t>
      </w:r>
      <w:r>
        <w:rPr>
          <w:lang w:val="en-GB"/>
        </w:rPr>
        <w:t>formal objection received</w:t>
      </w:r>
      <w:r w:rsidRPr="00581FCE">
        <w:rPr>
          <w:lang w:val="en-GB"/>
        </w:rPr>
        <w:t xml:space="preserve"> 14 days prior to the CPM-10 (2015) session </w:t>
      </w:r>
      <w:r>
        <w:rPr>
          <w:lang w:val="en-GB"/>
        </w:rPr>
        <w:t>noted that</w:t>
      </w:r>
      <w:r w:rsidRPr="00DC65D0">
        <w:rPr>
          <w:lang w:val="en-GB" w:eastAsia="zh-CN"/>
        </w:rPr>
        <w:t xml:space="preserve"> the </w:t>
      </w:r>
      <w:r>
        <w:rPr>
          <w:lang w:val="en-GB" w:eastAsia="zh-CN"/>
        </w:rPr>
        <w:t xml:space="preserve">content of the draft </w:t>
      </w:r>
      <w:r w:rsidRPr="00DC65D0">
        <w:rPr>
          <w:lang w:val="en-GB" w:eastAsia="zh-CN"/>
        </w:rPr>
        <w:t xml:space="preserve">ISPM on </w:t>
      </w:r>
      <w:r w:rsidRPr="00DC65D0">
        <w:rPr>
          <w:rFonts w:eastAsia="SimSun"/>
          <w:i/>
          <w:iCs/>
          <w:color w:val="000000"/>
          <w:szCs w:val="22"/>
          <w:lang w:val="en-GB" w:eastAsia="en-GB"/>
        </w:rPr>
        <w:t xml:space="preserve">International movement of wood </w:t>
      </w:r>
      <w:r w:rsidRPr="00DC65D0">
        <w:rPr>
          <w:rFonts w:eastAsia="SimSun"/>
          <w:color w:val="000000"/>
          <w:szCs w:val="22"/>
          <w:lang w:val="en-GB" w:eastAsia="en-GB"/>
        </w:rPr>
        <w:t xml:space="preserve">(2006-029) </w:t>
      </w:r>
      <w:r w:rsidRPr="00DC65D0">
        <w:rPr>
          <w:lang w:val="en-GB" w:eastAsia="zh-CN"/>
        </w:rPr>
        <w:t>was not consistent with current standards, which brought up the issue in general of the content of a commodity standard. It was suggested that the SC examine this issue and develop criteria for the content of commodity standard and their mode of development.</w:t>
      </w:r>
    </w:p>
    <w:p w:rsidR="00F842F9" w:rsidRPr="00DC65D0" w:rsidRDefault="00F842F9" w:rsidP="00F842F9">
      <w:pPr>
        <w:pStyle w:val="IPPPargraphnumbering"/>
        <w:rPr>
          <w:lang w:val="en-GB"/>
        </w:rPr>
      </w:pPr>
      <w:r w:rsidRPr="00DC65D0">
        <w:rPr>
          <w:lang w:val="en-GB" w:eastAsia="zh-CN"/>
        </w:rPr>
        <w:t>One CP underlined the importance of commodity standards such as ISPM</w:t>
      </w:r>
      <w:r>
        <w:rPr>
          <w:lang w:val="en-GB" w:eastAsia="zh-CN"/>
        </w:rPr>
        <w:t> </w:t>
      </w:r>
      <w:r w:rsidRPr="00DC65D0">
        <w:rPr>
          <w:lang w:val="en-GB" w:eastAsia="zh-CN"/>
        </w:rPr>
        <w:t>15 (</w:t>
      </w:r>
      <w:r w:rsidRPr="00DC65D0">
        <w:rPr>
          <w:i/>
          <w:lang w:val="en-GB" w:eastAsia="zh-CN"/>
        </w:rPr>
        <w:t>Regulation of wood packaging material in international trade</w:t>
      </w:r>
      <w:r w:rsidRPr="00DC65D0">
        <w:rPr>
          <w:lang w:val="en-GB" w:eastAsia="zh-CN"/>
        </w:rPr>
        <w:t>). They</w:t>
      </w:r>
      <w:r>
        <w:rPr>
          <w:lang w:val="en-GB" w:eastAsia="zh-CN"/>
        </w:rPr>
        <w:t xml:space="preserve"> hoped </w:t>
      </w:r>
      <w:r w:rsidRPr="00DC65D0">
        <w:rPr>
          <w:lang w:val="en-GB" w:eastAsia="zh-CN"/>
        </w:rPr>
        <w:t xml:space="preserve">that </w:t>
      </w:r>
      <w:r>
        <w:rPr>
          <w:lang w:val="en-GB" w:eastAsia="zh-CN"/>
        </w:rPr>
        <w:t xml:space="preserve">issues related to commodity standards </w:t>
      </w:r>
      <w:r w:rsidRPr="00DC65D0">
        <w:rPr>
          <w:lang w:val="en-GB" w:eastAsia="zh-CN"/>
        </w:rPr>
        <w:t xml:space="preserve">be </w:t>
      </w:r>
      <w:r w:rsidRPr="00DC65D0">
        <w:rPr>
          <w:lang w:val="en-GB"/>
        </w:rPr>
        <w:t>addressed as soon as possible</w:t>
      </w:r>
      <w:r>
        <w:rPr>
          <w:lang w:val="en-GB" w:eastAsia="zh-CN"/>
        </w:rPr>
        <w:t xml:space="preserve">, specifically those concerns related to the draft ISPMs on the </w:t>
      </w:r>
      <w:r w:rsidRPr="00DC65D0">
        <w:rPr>
          <w:rFonts w:eastAsia="SimSun"/>
          <w:i/>
          <w:iCs/>
          <w:color w:val="000000"/>
          <w:szCs w:val="22"/>
          <w:lang w:val="en-GB" w:eastAsia="en-GB"/>
        </w:rPr>
        <w:t xml:space="preserve">International movement of wood </w:t>
      </w:r>
      <w:r w:rsidRPr="00DC65D0">
        <w:rPr>
          <w:rFonts w:eastAsia="SimSun"/>
          <w:color w:val="000000"/>
          <w:szCs w:val="22"/>
          <w:lang w:val="en-GB" w:eastAsia="en-GB"/>
        </w:rPr>
        <w:t xml:space="preserve">(2006-029) </w:t>
      </w:r>
      <w:r>
        <w:rPr>
          <w:lang w:val="en-GB" w:eastAsia="zh-CN"/>
        </w:rPr>
        <w:t xml:space="preserve">that </w:t>
      </w:r>
      <w:r w:rsidRPr="00DC65D0">
        <w:rPr>
          <w:lang w:val="en-GB" w:eastAsia="zh-CN"/>
        </w:rPr>
        <w:t xml:space="preserve">had received </w:t>
      </w:r>
      <w:r>
        <w:rPr>
          <w:lang w:val="en-GB" w:eastAsia="zh-CN"/>
        </w:rPr>
        <w:t xml:space="preserve">a </w:t>
      </w:r>
      <w:r w:rsidRPr="00DC65D0">
        <w:rPr>
          <w:lang w:val="en-GB" w:eastAsia="zh-CN"/>
        </w:rPr>
        <w:t>formal objection</w:t>
      </w:r>
      <w:r>
        <w:rPr>
          <w:lang w:val="en-GB" w:eastAsia="zh-CN"/>
        </w:rPr>
        <w:t xml:space="preserve"> prior to this CPM</w:t>
      </w:r>
      <w:r w:rsidRPr="00DC65D0">
        <w:rPr>
          <w:lang w:val="en-GB"/>
        </w:rPr>
        <w:t xml:space="preserve">. </w:t>
      </w:r>
      <w:r>
        <w:rPr>
          <w:lang w:val="en-GB"/>
        </w:rPr>
        <w:t>As this CP was concerned that the SC would not have time fully to consider and discuss this issue, t</w:t>
      </w:r>
      <w:r w:rsidRPr="00DC65D0">
        <w:rPr>
          <w:lang w:val="en-GB"/>
        </w:rPr>
        <w:t xml:space="preserve">hey </w:t>
      </w:r>
      <w:r>
        <w:rPr>
          <w:lang w:val="en-GB"/>
        </w:rPr>
        <w:t>suggested</w:t>
      </w:r>
      <w:r w:rsidRPr="00DC65D0">
        <w:rPr>
          <w:lang w:val="en-GB"/>
        </w:rPr>
        <w:t xml:space="preserve"> the CPM authorize the creation of a working group to consider the issue in order to enable the </w:t>
      </w:r>
      <w:r>
        <w:rPr>
          <w:lang w:val="en-GB"/>
        </w:rPr>
        <w:t xml:space="preserve">continued </w:t>
      </w:r>
      <w:r w:rsidRPr="00DC65D0">
        <w:rPr>
          <w:lang w:val="en-GB"/>
        </w:rPr>
        <w:t>development of commodity standards.</w:t>
      </w:r>
    </w:p>
    <w:p w:rsidR="00F842F9" w:rsidRPr="00DC65D0" w:rsidRDefault="00F842F9" w:rsidP="00F842F9">
      <w:pPr>
        <w:pStyle w:val="IPPPargraphnumbering"/>
        <w:rPr>
          <w:lang w:val="en-GB"/>
        </w:rPr>
      </w:pPr>
      <w:r>
        <w:rPr>
          <w:lang w:val="en-GB"/>
        </w:rPr>
        <w:t>T</w:t>
      </w:r>
      <w:r w:rsidRPr="00DC65D0">
        <w:rPr>
          <w:lang w:val="en-GB"/>
        </w:rPr>
        <w:t>he CPM agreed that the concept of a commodity standard should be determined and a small group was convened</w:t>
      </w:r>
      <w:r>
        <w:rPr>
          <w:lang w:val="en-GB"/>
        </w:rPr>
        <w:t xml:space="preserve"> in the margins of the CPM</w:t>
      </w:r>
      <w:r w:rsidRPr="00DC65D0">
        <w:rPr>
          <w:lang w:val="en-GB"/>
        </w:rPr>
        <w:t xml:space="preserve"> with Argentina</w:t>
      </w:r>
      <w:r>
        <w:rPr>
          <w:lang w:val="en-GB"/>
        </w:rPr>
        <w:t>, Australia</w:t>
      </w:r>
      <w:r w:rsidRPr="00DC65D0">
        <w:rPr>
          <w:lang w:val="en-GB"/>
        </w:rPr>
        <w:t>, Canada, EU</w:t>
      </w:r>
      <w:r>
        <w:rPr>
          <w:lang w:val="en-GB"/>
        </w:rPr>
        <w:t>,</w:t>
      </w:r>
      <w:r w:rsidRPr="00DC65D0">
        <w:rPr>
          <w:lang w:val="en-GB"/>
        </w:rPr>
        <w:t xml:space="preserve"> Japan, New Zealand, Sudan </w:t>
      </w:r>
      <w:r>
        <w:rPr>
          <w:lang w:val="en-GB"/>
        </w:rPr>
        <w:t xml:space="preserve">and </w:t>
      </w:r>
      <w:r w:rsidRPr="00DC65D0">
        <w:rPr>
          <w:lang w:val="en-GB"/>
        </w:rPr>
        <w:t>United States.</w:t>
      </w:r>
      <w:r>
        <w:rPr>
          <w:lang w:val="en-GB"/>
        </w:rPr>
        <w:t xml:space="preserve"> </w:t>
      </w:r>
    </w:p>
    <w:p w:rsidR="004429CC" w:rsidRPr="00E64C9B" w:rsidRDefault="00F842F9" w:rsidP="00F842F9">
      <w:pPr>
        <w:pStyle w:val="IPPPargraphnumbering"/>
      </w:pPr>
      <w:r w:rsidRPr="00651DF0">
        <w:rPr>
          <w:lang w:val="en-GB"/>
        </w:rPr>
        <w:t xml:space="preserve">The </w:t>
      </w:r>
      <w:r>
        <w:rPr>
          <w:lang w:val="en-GB"/>
        </w:rPr>
        <w:t>group</w:t>
      </w:r>
      <w:r w:rsidRPr="00651DF0">
        <w:rPr>
          <w:lang w:val="en-GB"/>
        </w:rPr>
        <w:t xml:space="preserve"> reported back to the CPM </w:t>
      </w:r>
      <w:r>
        <w:rPr>
          <w:lang w:val="en-GB"/>
        </w:rPr>
        <w:t>with</w:t>
      </w:r>
      <w:r w:rsidRPr="00651DF0">
        <w:rPr>
          <w:lang w:val="en-GB"/>
        </w:rPr>
        <w:t xml:space="preserve"> terms of reference</w:t>
      </w:r>
      <w:r w:rsidRPr="00651DF0">
        <w:rPr>
          <w:rStyle w:val="FootnoteReference"/>
        </w:rPr>
        <w:footnoteReference w:id="1"/>
      </w:r>
      <w:r w:rsidRPr="00651DF0">
        <w:rPr>
          <w:lang w:val="en-GB"/>
        </w:rPr>
        <w:t xml:space="preserve"> for </w:t>
      </w:r>
      <w:r>
        <w:rPr>
          <w:lang w:val="en-GB"/>
        </w:rPr>
        <w:t>the</w:t>
      </w:r>
      <w:r w:rsidRPr="00651DF0">
        <w:rPr>
          <w:lang w:val="en-GB"/>
        </w:rPr>
        <w:t xml:space="preserve"> working group</w:t>
      </w:r>
      <w:r>
        <w:rPr>
          <w:lang w:val="en-GB"/>
        </w:rPr>
        <w:t xml:space="preserve"> </w:t>
      </w:r>
      <w:r w:rsidRPr="006D1B97">
        <w:rPr>
          <w:lang w:val="en-GB"/>
        </w:rPr>
        <w:t xml:space="preserve">to </w:t>
      </w:r>
      <w:r>
        <w:rPr>
          <w:lang w:val="en-GB"/>
        </w:rPr>
        <w:t xml:space="preserve">discuss the concept of a </w:t>
      </w:r>
      <w:r w:rsidRPr="006D1B97">
        <w:rPr>
          <w:lang w:val="en-GB"/>
        </w:rPr>
        <w:t>commodity standard</w:t>
      </w:r>
      <w:r w:rsidRPr="00651DF0">
        <w:rPr>
          <w:lang w:val="en-GB"/>
        </w:rPr>
        <w:t xml:space="preserve">. </w:t>
      </w:r>
      <w:r>
        <w:rPr>
          <w:lang w:val="en-GB"/>
        </w:rPr>
        <w:t>It was</w:t>
      </w:r>
      <w:r w:rsidRPr="00651DF0">
        <w:rPr>
          <w:lang w:val="en-GB"/>
        </w:rPr>
        <w:t xml:space="preserve"> noted that discussion papers would be welcomed for the </w:t>
      </w:r>
      <w:r>
        <w:rPr>
          <w:lang w:val="en-GB"/>
        </w:rPr>
        <w:t xml:space="preserve">working </w:t>
      </w:r>
      <w:r w:rsidRPr="00651DF0">
        <w:rPr>
          <w:lang w:val="en-GB"/>
        </w:rPr>
        <w:t>group to consider.</w:t>
      </w:r>
      <w:r>
        <w:rPr>
          <w:lang w:val="en-GB"/>
        </w:rPr>
        <w:t xml:space="preserve"> </w:t>
      </w:r>
    </w:p>
    <w:p w:rsidR="00E64C9B" w:rsidRPr="00E64C9B" w:rsidRDefault="00E64C9B" w:rsidP="00F842F9">
      <w:pPr>
        <w:pStyle w:val="IPPPargraphnumbering"/>
        <w:rPr>
          <w:b/>
          <w:i/>
        </w:rPr>
      </w:pPr>
      <w:r w:rsidRPr="00E64C9B">
        <w:rPr>
          <w:b/>
          <w:i/>
        </w:rPr>
        <w:t>Status of ISPM 15 Symbol Registration</w:t>
      </w:r>
    </w:p>
    <w:p w:rsidR="00E64C9B" w:rsidRPr="006D1B97" w:rsidRDefault="00E64C9B" w:rsidP="00E64C9B">
      <w:pPr>
        <w:pStyle w:val="IPPPargraphnumbering"/>
        <w:rPr>
          <w:lang w:val="en-GB"/>
        </w:rPr>
      </w:pPr>
      <w:r w:rsidRPr="006D1B97">
        <w:rPr>
          <w:lang w:val="en-GB"/>
        </w:rPr>
        <w:t xml:space="preserve">The FAO Legal </w:t>
      </w:r>
      <w:r>
        <w:rPr>
          <w:lang w:val="en-GB"/>
        </w:rPr>
        <w:t>Officer</w:t>
      </w:r>
      <w:r w:rsidRPr="006D1B97">
        <w:rPr>
          <w:lang w:val="en-GB"/>
        </w:rPr>
        <w:t xml:space="preserve"> updated the CPM on the Secretariat’s efforts to facilitate the ISPM 15 symbol registration process</w:t>
      </w:r>
      <w:r w:rsidRPr="006D1B97">
        <w:rPr>
          <w:rStyle w:val="FootnoteReference"/>
        </w:rPr>
        <w:footnoteReference w:id="2"/>
      </w:r>
      <w:r w:rsidRPr="006D1B97">
        <w:rPr>
          <w:lang w:val="en-GB"/>
        </w:rPr>
        <w:t>.</w:t>
      </w:r>
      <w:r>
        <w:rPr>
          <w:lang w:val="en-GB"/>
        </w:rPr>
        <w:t xml:space="preserve"> </w:t>
      </w:r>
      <w:r w:rsidRPr="006D1B97">
        <w:rPr>
          <w:lang w:val="en-GB"/>
        </w:rPr>
        <w:t>In 2014, the IPPC Secretariat initiated new registrations for 17 countries which were identified as the first group based on the prioritization criteria.</w:t>
      </w:r>
      <w:r>
        <w:rPr>
          <w:lang w:val="en-GB"/>
        </w:rPr>
        <w:t xml:space="preserve"> </w:t>
      </w:r>
      <w:r w:rsidRPr="006D1B97">
        <w:rPr>
          <w:lang w:val="en-GB"/>
        </w:rPr>
        <w:t>In addition, in order to raise awareness about the importance of protecting the symbol and assist NPPOs in their interaction with their respective government, a letter was sent to the responsible Minister in each country explaining the purpose of registration and highlighting the need for political and financial support in registering or renewing the registration. Another letter was also sent to NPPOs providing information on the reimbursement procedures for compensating the costs of registration renewals done in 2013. In addition, the Secretariat informed the CPM of the work plan for 2015.</w:t>
      </w:r>
      <w:r>
        <w:rPr>
          <w:lang w:val="en-GB"/>
        </w:rPr>
        <w:t xml:space="preserve"> </w:t>
      </w:r>
    </w:p>
    <w:p w:rsidR="00E64C9B" w:rsidRPr="006D1B97" w:rsidRDefault="00E64C9B" w:rsidP="00E64C9B">
      <w:pPr>
        <w:pStyle w:val="IPPPargraphnumbering"/>
        <w:rPr>
          <w:lang w:val="en-GB"/>
        </w:rPr>
      </w:pPr>
      <w:r w:rsidRPr="006D1B97">
        <w:rPr>
          <w:lang w:val="en-GB"/>
        </w:rPr>
        <w:t xml:space="preserve">The CPM: </w:t>
      </w:r>
    </w:p>
    <w:p w:rsidR="00E64C9B" w:rsidRPr="006D1B97" w:rsidRDefault="00E64C9B" w:rsidP="00ED3D0A">
      <w:pPr>
        <w:pStyle w:val="IPPNumberedList"/>
        <w:numPr>
          <w:ilvl w:val="0"/>
          <w:numId w:val="17"/>
        </w:numPr>
        <w:rPr>
          <w:lang w:val="en-GB"/>
        </w:rPr>
      </w:pPr>
      <w:proofErr w:type="gramStart"/>
      <w:r w:rsidRPr="006D1B97">
        <w:rPr>
          <w:i/>
          <w:lang w:val="en-GB"/>
        </w:rPr>
        <w:t>noted</w:t>
      </w:r>
      <w:proofErr w:type="gramEnd"/>
      <w:r w:rsidRPr="006D1B97">
        <w:rPr>
          <w:lang w:val="en-GB"/>
        </w:rPr>
        <w:t xml:space="preserve"> the progress made in 2014 and the work plan for 2015 with regard to registration of the ISPM 15 symbol.</w:t>
      </w:r>
    </w:p>
    <w:p w:rsidR="00E64C9B" w:rsidRPr="006D1B97" w:rsidRDefault="00E64C9B" w:rsidP="00E64C9B">
      <w:pPr>
        <w:pStyle w:val="IPPNumberedList"/>
        <w:rPr>
          <w:lang w:val="en-GB"/>
        </w:rPr>
      </w:pPr>
      <w:r w:rsidRPr="006D1B97">
        <w:rPr>
          <w:i/>
          <w:lang w:val="en-GB"/>
        </w:rPr>
        <w:t>encouraged</w:t>
      </w:r>
      <w:r w:rsidRPr="006D1B97">
        <w:rPr>
          <w:lang w:val="en-GB"/>
        </w:rPr>
        <w:t xml:space="preserve"> contracting parties to continuously support the process of registration of the ISPM 15 symbol, including renewals of registrations that are due to expire.</w:t>
      </w:r>
    </w:p>
    <w:p w:rsidR="00E64C9B" w:rsidRDefault="00E64C9B" w:rsidP="005A65E2">
      <w:pPr>
        <w:pStyle w:val="IPPNumberedList"/>
      </w:pPr>
      <w:proofErr w:type="gramStart"/>
      <w:r w:rsidRPr="006D1B97">
        <w:rPr>
          <w:i/>
          <w:lang w:val="en-GB"/>
        </w:rPr>
        <w:lastRenderedPageBreak/>
        <w:t>encouraged</w:t>
      </w:r>
      <w:proofErr w:type="gramEnd"/>
      <w:r w:rsidRPr="006D1B97">
        <w:rPr>
          <w:lang w:val="en-GB"/>
        </w:rPr>
        <w:t xml:space="preserve"> contracting parties to reimburse the IPPC Secretariat for registration and registration renewal costs as soon as practically possible.</w:t>
      </w:r>
    </w:p>
    <w:p w:rsidR="00E64C9B" w:rsidRPr="008D2789" w:rsidRDefault="00E64C9B" w:rsidP="00E64C9B">
      <w:pPr>
        <w:pStyle w:val="IPPHeading30"/>
      </w:pPr>
      <w:r w:rsidRPr="008D2789">
        <w:t>Implementation of the ISPM 15</w:t>
      </w:r>
    </w:p>
    <w:p w:rsidR="00E64C9B" w:rsidRPr="00AD1EE8" w:rsidRDefault="00E64C9B" w:rsidP="00E64C9B">
      <w:pPr>
        <w:pStyle w:val="IPPPargraphnumbering"/>
        <w:rPr>
          <w:lang w:val="en-GB"/>
        </w:rPr>
      </w:pPr>
      <w:r w:rsidRPr="00AD1EE8">
        <w:rPr>
          <w:lang w:val="en-GB"/>
        </w:rPr>
        <w:t>Canada and NAPPO presented the paper</w:t>
      </w:r>
      <w:r w:rsidRPr="008D2789">
        <w:rPr>
          <w:rStyle w:val="FootnoteReference"/>
        </w:rPr>
        <w:footnoteReference w:id="3"/>
      </w:r>
      <w:r w:rsidRPr="00AD1EE8">
        <w:rPr>
          <w:lang w:val="en-GB"/>
        </w:rPr>
        <w:t xml:space="preserve"> and spoke of the benefits of ISPM 15. They stated that due to the large volumes of wood packaging moving in international trade, the level of non-compliance continued to present a significant pest risk to forests. </w:t>
      </w:r>
    </w:p>
    <w:p w:rsidR="00E64C9B" w:rsidRPr="008D2789" w:rsidRDefault="00E64C9B" w:rsidP="00E64C9B">
      <w:pPr>
        <w:pStyle w:val="IPPPargraphnumbering"/>
        <w:rPr>
          <w:lang w:val="en-GB"/>
        </w:rPr>
      </w:pPr>
      <w:r w:rsidRPr="00AD1EE8">
        <w:rPr>
          <w:lang w:val="en-GB"/>
        </w:rPr>
        <w:t>Canada proposed that the IPPC Secretariat, NAPPO and other interested RPPOs</w:t>
      </w:r>
      <w:r w:rsidRPr="003B1DB0">
        <w:rPr>
          <w:lang w:val="en-GB"/>
        </w:rPr>
        <w:t xml:space="preserve"> work to organize an international workshop to discuss the challenges of implementation;</w:t>
      </w:r>
      <w:r w:rsidRPr="008D2789">
        <w:rPr>
          <w:lang w:val="en-GB"/>
        </w:rPr>
        <w:t xml:space="preserve"> recommendations to improve </w:t>
      </w:r>
      <w:r>
        <w:rPr>
          <w:lang w:val="en-GB"/>
        </w:rPr>
        <w:t>ISPM 15</w:t>
      </w:r>
      <w:r w:rsidRPr="008D2789">
        <w:rPr>
          <w:lang w:val="en-GB"/>
        </w:rPr>
        <w:t xml:space="preserve">and to explore opportunities for cooperative approaches for enforcement. </w:t>
      </w:r>
      <w:r>
        <w:rPr>
          <w:lang w:val="en-GB"/>
        </w:rPr>
        <w:t>Some CPs and RPPOs supported this proposal.</w:t>
      </w:r>
    </w:p>
    <w:p w:rsidR="002E6020" w:rsidRPr="005A65E2" w:rsidRDefault="00E64C9B" w:rsidP="005A65E2">
      <w:pPr>
        <w:pStyle w:val="IPPPargraphnumbering"/>
        <w:rPr>
          <w:lang w:val="en-GB"/>
        </w:rPr>
      </w:pPr>
      <w:r w:rsidRPr="008D2789">
        <w:rPr>
          <w:lang w:val="en-GB"/>
        </w:rPr>
        <w:t>CPs shared the concern regarding non-compliance and supported continued collaboration on the implementation of ISPM</w:t>
      </w:r>
      <w:r>
        <w:rPr>
          <w:lang w:val="en-GB"/>
        </w:rPr>
        <w:t> </w:t>
      </w:r>
      <w:r w:rsidRPr="008D2789">
        <w:rPr>
          <w:lang w:val="en-GB"/>
        </w:rPr>
        <w:t>15.</w:t>
      </w:r>
    </w:p>
    <w:p w:rsidR="00921C2F" w:rsidRDefault="00921C2F" w:rsidP="00CA3DC3">
      <w:pPr>
        <w:pStyle w:val="IPPHdg1Num"/>
        <w:numPr>
          <w:ilvl w:val="0"/>
          <w:numId w:val="8"/>
        </w:numPr>
        <w:spacing w:before="360" w:after="240"/>
        <w:rPr>
          <w:lang w:val="en-US"/>
        </w:rPr>
      </w:pPr>
      <w:r>
        <w:rPr>
          <w:lang w:val="en-US"/>
        </w:rPr>
        <w:t xml:space="preserve">Items arising from </w:t>
      </w:r>
      <w:r w:rsidR="00E64C9B">
        <w:rPr>
          <w:bCs/>
          <w:sz w:val="23"/>
          <w:szCs w:val="23"/>
        </w:rPr>
        <w:t>May 2015</w:t>
      </w:r>
      <w:r w:rsidR="00224B71">
        <w:rPr>
          <w:bCs/>
          <w:sz w:val="23"/>
          <w:szCs w:val="23"/>
        </w:rPr>
        <w:t xml:space="preserve"> meeting of the SC</w:t>
      </w:r>
    </w:p>
    <w:p w:rsidR="00B05FE3" w:rsidRPr="00B05FE3" w:rsidRDefault="00B05FE3" w:rsidP="00B05FE3">
      <w:pPr>
        <w:pStyle w:val="IPPPargraphnumbering"/>
        <w:rPr>
          <w:szCs w:val="22"/>
        </w:rPr>
      </w:pPr>
      <w:r w:rsidRPr="00B05FE3">
        <w:rPr>
          <w:szCs w:val="22"/>
        </w:rPr>
        <w:t xml:space="preserve">2008-008 </w:t>
      </w:r>
      <w:r w:rsidRPr="00B05FE3">
        <w:rPr>
          <w:i/>
          <w:iCs/>
          <w:szCs w:val="22"/>
        </w:rPr>
        <w:t xml:space="preserve">International movement of wood products and handicrafts made from wood. </w:t>
      </w:r>
      <w:proofErr w:type="spellStart"/>
      <w:r w:rsidRPr="00B05FE3">
        <w:rPr>
          <w:szCs w:val="22"/>
        </w:rPr>
        <w:t>Ms</w:t>
      </w:r>
      <w:proofErr w:type="spellEnd"/>
      <w:r w:rsidRPr="00B05FE3">
        <w:rPr>
          <w:szCs w:val="22"/>
        </w:rPr>
        <w:t xml:space="preserve"> Alice NDIKONTAR (Cameroon) was assigned steward and </w:t>
      </w:r>
      <w:proofErr w:type="spellStart"/>
      <w:r w:rsidRPr="00B05FE3">
        <w:rPr>
          <w:szCs w:val="22"/>
        </w:rPr>
        <w:t>Mr</w:t>
      </w:r>
      <w:proofErr w:type="spellEnd"/>
      <w:r w:rsidRPr="00B05FE3">
        <w:rPr>
          <w:szCs w:val="22"/>
        </w:rPr>
        <w:t xml:space="preserve"> </w:t>
      </w:r>
      <w:proofErr w:type="spellStart"/>
      <w:r w:rsidRPr="00B05FE3">
        <w:rPr>
          <w:szCs w:val="22"/>
        </w:rPr>
        <w:t>Lifeng</w:t>
      </w:r>
      <w:proofErr w:type="spellEnd"/>
      <w:r w:rsidRPr="00B05FE3">
        <w:rPr>
          <w:szCs w:val="22"/>
        </w:rPr>
        <w:t xml:space="preserve"> WU (China) was assigned assistant-steward. This decision was taken because the previous steward, </w:t>
      </w:r>
      <w:proofErr w:type="spellStart"/>
      <w:r w:rsidRPr="00B05FE3">
        <w:rPr>
          <w:szCs w:val="22"/>
        </w:rPr>
        <w:t>Mr</w:t>
      </w:r>
      <w:proofErr w:type="spellEnd"/>
      <w:r w:rsidRPr="00B05FE3">
        <w:rPr>
          <w:szCs w:val="22"/>
        </w:rPr>
        <w:t xml:space="preserve"> DDK SHARMA (India), had not attended this SC meeting’s discussions on the draft. </w:t>
      </w:r>
    </w:p>
    <w:p w:rsidR="00B05FE3" w:rsidRPr="00B05FE3" w:rsidRDefault="00B05FE3" w:rsidP="00B05FE3">
      <w:pPr>
        <w:pStyle w:val="IPPPargraphnumbering"/>
        <w:rPr>
          <w:szCs w:val="22"/>
        </w:rPr>
      </w:pPr>
      <w:r w:rsidRPr="00B05FE3">
        <w:rPr>
          <w:szCs w:val="22"/>
        </w:rPr>
        <w:t xml:space="preserve">2006-010A </w:t>
      </w:r>
      <w:r w:rsidRPr="00B05FE3">
        <w:rPr>
          <w:i/>
          <w:iCs/>
          <w:szCs w:val="22"/>
        </w:rPr>
        <w:t>Inclusion of the PT Sulphuryl fluoride fumigation of wood packaging material in annexes 1 and 2 of ISPM 15</w:t>
      </w:r>
      <w:r w:rsidRPr="00B05FE3">
        <w:rPr>
          <w:szCs w:val="22"/>
        </w:rPr>
        <w:t xml:space="preserve">. </w:t>
      </w:r>
      <w:proofErr w:type="spellStart"/>
      <w:r w:rsidRPr="00B05FE3">
        <w:rPr>
          <w:szCs w:val="22"/>
        </w:rPr>
        <w:t>Mr</w:t>
      </w:r>
      <w:proofErr w:type="spellEnd"/>
      <w:r w:rsidRPr="00B05FE3">
        <w:rPr>
          <w:szCs w:val="22"/>
        </w:rPr>
        <w:t xml:space="preserve"> Piotr WLODARCZYK (Poland) was assigned steward and </w:t>
      </w:r>
      <w:proofErr w:type="spellStart"/>
      <w:r w:rsidRPr="00B05FE3">
        <w:rPr>
          <w:szCs w:val="22"/>
        </w:rPr>
        <w:t>Ms</w:t>
      </w:r>
      <w:proofErr w:type="spellEnd"/>
      <w:r w:rsidRPr="00B05FE3">
        <w:rPr>
          <w:szCs w:val="22"/>
        </w:rPr>
        <w:t xml:space="preserve"> Marie-Claude FOREST (Canada) was assigned assistant-steward. </w:t>
      </w:r>
    </w:p>
    <w:p w:rsidR="00B05FE3" w:rsidRPr="00B05FE3" w:rsidRDefault="00B05FE3" w:rsidP="00B05FE3">
      <w:pPr>
        <w:pStyle w:val="IPPPargraphnumbering"/>
        <w:rPr>
          <w:szCs w:val="22"/>
        </w:rPr>
      </w:pPr>
      <w:r w:rsidRPr="00B05FE3">
        <w:rPr>
          <w:szCs w:val="22"/>
        </w:rPr>
        <w:t xml:space="preserve">2006-010B </w:t>
      </w:r>
      <w:r w:rsidRPr="00B05FE3">
        <w:rPr>
          <w:i/>
          <w:iCs/>
          <w:szCs w:val="22"/>
        </w:rPr>
        <w:t>Revision of dielectric heating section in Annex 1 of ISPM 15</w:t>
      </w:r>
      <w:r w:rsidRPr="00B05FE3">
        <w:rPr>
          <w:szCs w:val="22"/>
        </w:rPr>
        <w:t xml:space="preserve">. </w:t>
      </w:r>
      <w:proofErr w:type="spellStart"/>
      <w:r w:rsidRPr="00B05FE3">
        <w:rPr>
          <w:szCs w:val="22"/>
        </w:rPr>
        <w:t>Mr</w:t>
      </w:r>
      <w:proofErr w:type="spellEnd"/>
      <w:r w:rsidRPr="00B05FE3">
        <w:rPr>
          <w:szCs w:val="22"/>
        </w:rPr>
        <w:t xml:space="preserve"> Piotr WLODARCZYK (Poland) was assigned steward and </w:t>
      </w:r>
      <w:proofErr w:type="spellStart"/>
      <w:r w:rsidRPr="00B05FE3">
        <w:rPr>
          <w:szCs w:val="22"/>
        </w:rPr>
        <w:t>Ms</w:t>
      </w:r>
      <w:proofErr w:type="spellEnd"/>
      <w:r w:rsidRPr="00B05FE3">
        <w:rPr>
          <w:szCs w:val="22"/>
        </w:rPr>
        <w:t xml:space="preserve"> Marie-Claude FOREST (Canada) was assigned assistant-steward. </w:t>
      </w:r>
    </w:p>
    <w:p w:rsidR="00CD663F" w:rsidRDefault="00CD663F" w:rsidP="00CD663F">
      <w:pPr>
        <w:pStyle w:val="IPPHeading30"/>
      </w:pPr>
      <w:r w:rsidRPr="00CD663F">
        <w:t>International movement of wood products and handicrafts made from wood (2008-008), Priority 2</w:t>
      </w:r>
    </w:p>
    <w:p w:rsidR="00CD663F" w:rsidRPr="00CD663F" w:rsidRDefault="00CD663F" w:rsidP="00CD663F">
      <w:pPr>
        <w:pStyle w:val="IPPPargraphnumbering"/>
        <w:rPr>
          <w:szCs w:val="22"/>
        </w:rPr>
      </w:pPr>
      <w:r w:rsidRPr="00CD663F">
        <w:rPr>
          <w:szCs w:val="22"/>
        </w:rPr>
        <w:t xml:space="preserve">The SC discussed the following general issues: </w:t>
      </w:r>
    </w:p>
    <w:p w:rsidR="00CD663F" w:rsidRPr="00CD663F" w:rsidRDefault="00CD663F" w:rsidP="00CD663F">
      <w:pPr>
        <w:pStyle w:val="IPPPargraphnumbering"/>
        <w:rPr>
          <w:szCs w:val="22"/>
        </w:rPr>
      </w:pPr>
      <w:r w:rsidRPr="00CD663F">
        <w:rPr>
          <w:szCs w:val="22"/>
          <w:u w:val="single"/>
        </w:rPr>
        <w:t xml:space="preserve">The need for the standard to describe the practical aspects related to the production of wood products and handicrafts made from wood that may affect pest risk </w:t>
      </w:r>
      <w:r w:rsidRPr="00CD663F">
        <w:rPr>
          <w:szCs w:val="22"/>
        </w:rPr>
        <w:t xml:space="preserve">(task 4 of the specification). Some members felt that this aspect had not been elaborated sufficiently in order to identify all products that fall under the scope and group them into categories, nor were the processes that would affect pest risk clearly identified and explained, and lastly it was not clear which phytosanitary measures could be applied. </w:t>
      </w:r>
    </w:p>
    <w:p w:rsidR="00CD663F" w:rsidRPr="00CD663F" w:rsidRDefault="00CD663F" w:rsidP="00CD663F">
      <w:pPr>
        <w:pStyle w:val="IPPPargraphnumbering"/>
        <w:rPr>
          <w:szCs w:val="22"/>
        </w:rPr>
      </w:pPr>
      <w:r>
        <w:rPr>
          <w:rFonts w:ascii="Arial" w:hAnsi="Arial" w:cs="Arial"/>
          <w:i/>
          <w:iCs/>
          <w:sz w:val="16"/>
          <w:szCs w:val="16"/>
        </w:rPr>
        <w:t>[</w:t>
      </w:r>
      <w:r w:rsidRPr="00CD663F">
        <w:rPr>
          <w:szCs w:val="22"/>
          <w:u w:val="single"/>
        </w:rPr>
        <w:t>Scope</w:t>
      </w:r>
      <w:r w:rsidRPr="00CD663F">
        <w:rPr>
          <w:szCs w:val="22"/>
        </w:rPr>
        <w:t xml:space="preserve">. The SC agreed with the small SC group’s proposal to narrow the scope to handicrafts instead of the EWG proposal to cover manufactured or crafted products. The Assistant-steward noted that the draft should continue to include bamboo products because the pest risks are similar to wood, although this should be reviewed by the Technical Panel on Forest Quarantine (TPFQ) and there were several issues to be considered further such as the range of species covered by the term “bamboo”, for example, other cane material and associated risks, and what is intended to be covered by “handicrafts”. </w:t>
      </w:r>
    </w:p>
    <w:p w:rsidR="00CD663F" w:rsidRPr="00CD663F" w:rsidRDefault="00CD663F" w:rsidP="00CD663F">
      <w:pPr>
        <w:pStyle w:val="IPPPargraphnumbering"/>
        <w:rPr>
          <w:szCs w:val="22"/>
        </w:rPr>
      </w:pPr>
      <w:r w:rsidRPr="00CD663F">
        <w:rPr>
          <w:szCs w:val="22"/>
          <w:u w:val="single"/>
        </w:rPr>
        <w:t>ISPM 15 wood treatments as the basis for treatments</w:t>
      </w:r>
      <w:r w:rsidRPr="00CD663F">
        <w:rPr>
          <w:szCs w:val="22"/>
        </w:rPr>
        <w:t>. Some members stressed that ISPM 15 treatments are only approved for wood packaging material and hence the standard should not refer to these treatments. The SC agreed that reference to ISPM 15 treatments be left out of the draft and other risk ma</w:t>
      </w:r>
      <w:r>
        <w:rPr>
          <w:szCs w:val="22"/>
        </w:rPr>
        <w:t>nagement options be considered.</w:t>
      </w:r>
    </w:p>
    <w:p w:rsidR="00CD663F" w:rsidRPr="00CD663F" w:rsidRDefault="00CD663F" w:rsidP="00CD663F">
      <w:pPr>
        <w:pStyle w:val="IPPPargraphnumbering"/>
        <w:rPr>
          <w:szCs w:val="22"/>
        </w:rPr>
      </w:pPr>
      <w:r w:rsidRPr="00CD663F">
        <w:rPr>
          <w:szCs w:val="22"/>
          <w:u w:val="single"/>
        </w:rPr>
        <w:lastRenderedPageBreak/>
        <w:t xml:space="preserve">Customs harmonized codes. </w:t>
      </w:r>
      <w:r w:rsidRPr="00CD663F">
        <w:rPr>
          <w:szCs w:val="22"/>
        </w:rPr>
        <w:t xml:space="preserve">Also, customs harmonized codes were not considered appropriate for use in the draft as it would be hard to maintain them and keep them up-to-date. </w:t>
      </w:r>
    </w:p>
    <w:p w:rsidR="00CD663F" w:rsidRPr="00CD663F" w:rsidRDefault="00CD663F" w:rsidP="00CD663F">
      <w:pPr>
        <w:pStyle w:val="IPPPargraphnumbering"/>
        <w:rPr>
          <w:szCs w:val="22"/>
        </w:rPr>
      </w:pPr>
      <w:r w:rsidRPr="00CD663F">
        <w:rPr>
          <w:szCs w:val="22"/>
          <w:u w:val="single"/>
        </w:rPr>
        <w:t>Need for a list of products and major pest groups</w:t>
      </w:r>
      <w:r w:rsidRPr="00CD663F">
        <w:rPr>
          <w:szCs w:val="22"/>
        </w:rPr>
        <w:t xml:space="preserve">. Several members noted that this would be helpful to include in the draft as an appendix. </w:t>
      </w:r>
    </w:p>
    <w:p w:rsidR="00CD663F" w:rsidRPr="00CD663F" w:rsidRDefault="00CD663F" w:rsidP="00CD663F">
      <w:pPr>
        <w:pStyle w:val="IPPPargraphnumbering"/>
        <w:rPr>
          <w:szCs w:val="22"/>
        </w:rPr>
      </w:pPr>
      <w:r w:rsidRPr="00CD663F">
        <w:rPr>
          <w:szCs w:val="22"/>
          <w:u w:val="single"/>
        </w:rPr>
        <w:t>Official mark or symbol / certificate of compliance</w:t>
      </w:r>
      <w:r w:rsidRPr="00CD663F">
        <w:rPr>
          <w:szCs w:val="22"/>
        </w:rPr>
        <w:t xml:space="preserve">. It was pointed out that it was difficult to envisage the application of an official mark or symbol and it was not clear if this was a nationally authorized mark or symbol or an IPPC mark or symbol. The Secretariat warned of the resource implications of the latter. It was also not clear how the certificates of compliance would operate or whether they would replace phytosanitary certificates. This should be clarified or consider removal from the draft. </w:t>
      </w:r>
    </w:p>
    <w:p w:rsidR="00CD663F" w:rsidRPr="00CD663F" w:rsidRDefault="00CD663F" w:rsidP="00CD663F">
      <w:pPr>
        <w:pStyle w:val="IPPPargraphnumbering"/>
        <w:rPr>
          <w:szCs w:val="22"/>
        </w:rPr>
      </w:pPr>
      <w:r w:rsidRPr="00CD663F">
        <w:rPr>
          <w:szCs w:val="22"/>
          <w:u w:val="single"/>
        </w:rPr>
        <w:t>Commercial vs personal import</w:t>
      </w:r>
      <w:r w:rsidRPr="00CD663F">
        <w:rPr>
          <w:szCs w:val="22"/>
        </w:rPr>
        <w:t>. One member found that the import of wood products and handicrafts of a personal nature was not properly addressed and that some countries require declarations for “personal import” of such items, while others do not. It was not clear how this issue could be handled,</w:t>
      </w:r>
      <w:r>
        <w:rPr>
          <w:szCs w:val="22"/>
        </w:rPr>
        <w:t xml:space="preserve"> </w:t>
      </w:r>
      <w:r w:rsidRPr="00CD663F">
        <w:rPr>
          <w:szCs w:val="22"/>
        </w:rPr>
        <w:t xml:space="preserve">but it was suggested that perhaps a label attesting the phytosanitary compliance could be used, as seen in The Netherlands for bulbs for personal use that are sold for export to USA and Canada. </w:t>
      </w:r>
    </w:p>
    <w:p w:rsidR="00CD663F" w:rsidRPr="00CD663F" w:rsidRDefault="00CD663F" w:rsidP="00CD663F">
      <w:pPr>
        <w:pStyle w:val="IPPPargraphnumbering"/>
        <w:rPr>
          <w:szCs w:val="22"/>
        </w:rPr>
      </w:pPr>
      <w:r w:rsidRPr="00CD663F">
        <w:rPr>
          <w:szCs w:val="22"/>
          <w:u w:val="single"/>
        </w:rPr>
        <w:t>PRA and justification to develop this standard</w:t>
      </w:r>
      <w:r w:rsidRPr="00CD663F">
        <w:rPr>
          <w:szCs w:val="22"/>
        </w:rPr>
        <w:t xml:space="preserve">. Several members felt the standard was providing conflicting views: on one hand it was too difficult to do a PRA as there were so many different types of products from so many different areas. On the other hand, the EWG concluded there was sufficient pest risk to warrant the development of mandatory requirements in this standard. Some SC members considered the draft standard needed more work on this because, as currently worded, it could mean that any kind of phytosanitary measure was technically justified. They felt pest risk still needed to be identified, considering the categories of wood and bamboo handicrafts. </w:t>
      </w:r>
    </w:p>
    <w:p w:rsidR="00CD663F" w:rsidRPr="00CD663F" w:rsidRDefault="00CD663F" w:rsidP="00CD663F">
      <w:pPr>
        <w:pStyle w:val="IPPPargraphnumbering"/>
        <w:rPr>
          <w:szCs w:val="22"/>
        </w:rPr>
      </w:pPr>
      <w:r w:rsidRPr="00CD663F">
        <w:rPr>
          <w:szCs w:val="22"/>
        </w:rPr>
        <w:t xml:space="preserve">It was suggested that Table 2 could be used to identify the pest risks and the level of processing that affect the pest risk, and based on this information, countries could evaluate if there was justification for applying phytosanitary measures. Nevertheless, the processing methods listed in Table 2 should be further developed. Several members stressed that it would be challenging to carry out PRA on handicrafts which are often made from different types of wood or bamboo derived from different origins and having been subjected to different levels of processing. They felt there may be an opportunity to take an “ISPM 15” type approach where phytosanitary measures could be agreed globally for certain categories of products. </w:t>
      </w:r>
    </w:p>
    <w:p w:rsidR="00CD663F" w:rsidRPr="00CD663F" w:rsidRDefault="00CD663F" w:rsidP="00CD663F">
      <w:pPr>
        <w:pStyle w:val="IPPPargraphnumbering"/>
        <w:rPr>
          <w:szCs w:val="22"/>
        </w:rPr>
      </w:pPr>
      <w:r w:rsidRPr="00CD663F">
        <w:rPr>
          <w:szCs w:val="22"/>
        </w:rPr>
        <w:t xml:space="preserve">The SC felt that the draft standard needed additional work by experts and agreed that the Assistant-steward (lead because Steward was absent at the SC May 2015) and Steward should revise the draft based on SC member comments and forward the revised draft to the TPFQ for their review. </w:t>
      </w:r>
    </w:p>
    <w:p w:rsidR="00CD663F" w:rsidRPr="00CD663F" w:rsidRDefault="00CD663F" w:rsidP="00CD663F">
      <w:pPr>
        <w:pStyle w:val="IPPPargraphnumbering"/>
        <w:rPr>
          <w:szCs w:val="22"/>
        </w:rPr>
      </w:pPr>
      <w:r w:rsidRPr="00CD663F">
        <w:rPr>
          <w:szCs w:val="22"/>
        </w:rPr>
        <w:t xml:space="preserve">The SC discussed the EWG recommendations. </w:t>
      </w:r>
    </w:p>
    <w:p w:rsidR="00CD663F" w:rsidRPr="00CD663F" w:rsidRDefault="00CD663F" w:rsidP="00CD663F">
      <w:pPr>
        <w:pStyle w:val="IPPPargraphnumbering"/>
        <w:rPr>
          <w:szCs w:val="22"/>
        </w:rPr>
      </w:pPr>
      <w:r w:rsidRPr="00CD663F">
        <w:rPr>
          <w:szCs w:val="22"/>
        </w:rPr>
        <w:t xml:space="preserve">Regarding the EWG’s proposal for liaison with the World Customs Organization, several members felt it was important to include this organization as much as possible in the development of the draft, while others felt that it may be better to wait until the draft is ready for member consultation. This also applied to notification of industry stakeholders and other international organizations, recognizing that many NPPOs do this as a normal practice at member consultation. </w:t>
      </w:r>
    </w:p>
    <w:p w:rsidR="00CD663F" w:rsidRPr="00CD663F" w:rsidRDefault="00CD663F" w:rsidP="00CD663F">
      <w:pPr>
        <w:pStyle w:val="IPPPargraphnumbering"/>
        <w:spacing w:after="60"/>
        <w:rPr>
          <w:szCs w:val="22"/>
        </w:rPr>
      </w:pPr>
      <w:r w:rsidRPr="00CD663F">
        <w:rPr>
          <w:szCs w:val="22"/>
        </w:rPr>
        <w:t xml:space="preserve">Regarding setting up a system on the IPP to display examples of certificates of compliance, the SC felt this issue needed to be discussed after the final content of the draft was decided. </w:t>
      </w:r>
    </w:p>
    <w:p w:rsidR="00CD663F" w:rsidRPr="00CD663F" w:rsidRDefault="00CD663F" w:rsidP="00CD663F">
      <w:pPr>
        <w:pStyle w:val="IPPPargraphnumbering"/>
        <w:spacing w:after="60"/>
        <w:rPr>
          <w:szCs w:val="22"/>
        </w:rPr>
      </w:pPr>
      <w:r w:rsidRPr="00CD663F">
        <w:rPr>
          <w:szCs w:val="22"/>
        </w:rPr>
        <w:t xml:space="preserve">The SC: </w:t>
      </w:r>
    </w:p>
    <w:p w:rsidR="00CD663F" w:rsidRPr="00CD663F" w:rsidRDefault="00CD663F" w:rsidP="00CD663F">
      <w:pPr>
        <w:pStyle w:val="IPPPargraphnumbering"/>
        <w:spacing w:after="60"/>
        <w:ind w:left="426" w:hanging="908"/>
        <w:rPr>
          <w:szCs w:val="22"/>
        </w:rPr>
      </w:pPr>
      <w:r>
        <w:rPr>
          <w:szCs w:val="22"/>
        </w:rPr>
        <w:t>(3)</w:t>
      </w:r>
      <w:r>
        <w:rPr>
          <w:szCs w:val="22"/>
        </w:rPr>
        <w:tab/>
      </w:r>
      <w:proofErr w:type="gramStart"/>
      <w:r w:rsidRPr="00CD663F">
        <w:rPr>
          <w:i/>
          <w:iCs/>
          <w:szCs w:val="22"/>
        </w:rPr>
        <w:t>invited</w:t>
      </w:r>
      <w:proofErr w:type="gramEnd"/>
      <w:r w:rsidRPr="00CD663F">
        <w:rPr>
          <w:i/>
          <w:iCs/>
          <w:szCs w:val="22"/>
        </w:rPr>
        <w:t xml:space="preserve"> </w:t>
      </w:r>
      <w:r w:rsidRPr="00CD663F">
        <w:rPr>
          <w:szCs w:val="22"/>
        </w:rPr>
        <w:t xml:space="preserve">SC members to forward comments on the draft ISPM on </w:t>
      </w:r>
      <w:r w:rsidRPr="00CD663F">
        <w:rPr>
          <w:i/>
          <w:iCs/>
          <w:szCs w:val="22"/>
        </w:rPr>
        <w:t xml:space="preserve">International movement of wood products and handicrafts made from wood </w:t>
      </w:r>
      <w:r w:rsidRPr="00CD663F">
        <w:rPr>
          <w:szCs w:val="22"/>
        </w:rPr>
        <w:t xml:space="preserve">(2008-008) to Steward Alice NDIKONTAR (copy to the Secretariat) by 15 June 2015. </w:t>
      </w:r>
    </w:p>
    <w:p w:rsidR="00CD663F" w:rsidRPr="00CD663F" w:rsidRDefault="00CD663F" w:rsidP="00CD663F">
      <w:pPr>
        <w:pStyle w:val="IPPPargraphnumbering"/>
        <w:spacing w:after="60"/>
        <w:ind w:left="426" w:hanging="908"/>
        <w:rPr>
          <w:szCs w:val="22"/>
        </w:rPr>
      </w:pPr>
      <w:r>
        <w:rPr>
          <w:szCs w:val="22"/>
        </w:rPr>
        <w:t>(4)</w:t>
      </w:r>
      <w:r>
        <w:rPr>
          <w:szCs w:val="22"/>
        </w:rPr>
        <w:tab/>
      </w:r>
      <w:r w:rsidRPr="00CD663F">
        <w:rPr>
          <w:i/>
          <w:iCs/>
          <w:szCs w:val="22"/>
        </w:rPr>
        <w:t xml:space="preserve">requested </w:t>
      </w:r>
      <w:r w:rsidRPr="00CD663F">
        <w:rPr>
          <w:szCs w:val="22"/>
        </w:rPr>
        <w:t xml:space="preserve">the Steward to work with the TPFQ to revise the draft ISPM on the </w:t>
      </w:r>
      <w:r w:rsidRPr="00CD663F">
        <w:rPr>
          <w:i/>
          <w:iCs/>
          <w:szCs w:val="22"/>
        </w:rPr>
        <w:t xml:space="preserve">International movement of wood products and handicrafts made from wood </w:t>
      </w:r>
      <w:r w:rsidRPr="00CD663F">
        <w:rPr>
          <w:szCs w:val="22"/>
        </w:rPr>
        <w:t xml:space="preserve">(2008-008), taking into account SC May 2015 comments for improvement, and submit the revised draft to the next SC meeting. </w:t>
      </w:r>
    </w:p>
    <w:p w:rsidR="00CD663F" w:rsidRPr="00CD663F" w:rsidRDefault="00CD663F" w:rsidP="00CD663F">
      <w:pPr>
        <w:pStyle w:val="IPPPargraphnumbering"/>
        <w:spacing w:after="60"/>
        <w:ind w:left="426" w:hanging="908"/>
        <w:rPr>
          <w:szCs w:val="22"/>
        </w:rPr>
      </w:pPr>
      <w:r>
        <w:rPr>
          <w:szCs w:val="22"/>
        </w:rPr>
        <w:lastRenderedPageBreak/>
        <w:t>(5)</w:t>
      </w:r>
      <w:r>
        <w:rPr>
          <w:szCs w:val="22"/>
        </w:rPr>
        <w:tab/>
      </w:r>
      <w:r w:rsidRPr="00CD663F">
        <w:rPr>
          <w:i/>
          <w:iCs/>
          <w:szCs w:val="22"/>
        </w:rPr>
        <w:t xml:space="preserve">noted </w:t>
      </w:r>
      <w:r w:rsidRPr="00CD663F">
        <w:rPr>
          <w:szCs w:val="22"/>
        </w:rPr>
        <w:t xml:space="preserve">that the EWG had included, in the scope of the ISPM, products made from the hardened stems and culms of monocotyledonous plants otherwise known as bamboo (e.g. mainly but not exclusively species in the genera </w:t>
      </w:r>
      <w:proofErr w:type="spellStart"/>
      <w:r w:rsidRPr="00CD663F">
        <w:rPr>
          <w:i/>
          <w:iCs/>
          <w:szCs w:val="22"/>
        </w:rPr>
        <w:t>Phyllostachys</w:t>
      </w:r>
      <w:proofErr w:type="spellEnd"/>
      <w:r w:rsidRPr="00CD663F">
        <w:rPr>
          <w:i/>
          <w:iCs/>
          <w:szCs w:val="22"/>
        </w:rPr>
        <w:t xml:space="preserve"> </w:t>
      </w:r>
      <w:r w:rsidRPr="00CD663F">
        <w:rPr>
          <w:szCs w:val="22"/>
        </w:rPr>
        <w:t xml:space="preserve">and </w:t>
      </w:r>
      <w:proofErr w:type="spellStart"/>
      <w:r w:rsidRPr="00CD663F">
        <w:rPr>
          <w:i/>
          <w:iCs/>
          <w:szCs w:val="22"/>
        </w:rPr>
        <w:t>Bambusa</w:t>
      </w:r>
      <w:proofErr w:type="spellEnd"/>
      <w:r w:rsidRPr="00CD663F">
        <w:rPr>
          <w:szCs w:val="22"/>
        </w:rPr>
        <w:t xml:space="preserve">) but requested this be further investigated. </w:t>
      </w:r>
    </w:p>
    <w:p w:rsidR="00CD663F" w:rsidRPr="00CD663F" w:rsidRDefault="00CD663F" w:rsidP="00CD663F">
      <w:pPr>
        <w:pStyle w:val="IPPPargraphnumbering"/>
        <w:spacing w:after="60"/>
        <w:ind w:left="426" w:hanging="908"/>
        <w:rPr>
          <w:szCs w:val="22"/>
        </w:rPr>
      </w:pPr>
      <w:r>
        <w:rPr>
          <w:szCs w:val="22"/>
        </w:rPr>
        <w:t>(6)</w:t>
      </w:r>
      <w:r>
        <w:rPr>
          <w:szCs w:val="22"/>
        </w:rPr>
        <w:tab/>
      </w:r>
      <w:proofErr w:type="gramStart"/>
      <w:r w:rsidRPr="00CD663F">
        <w:rPr>
          <w:szCs w:val="22"/>
        </w:rPr>
        <w:t>regarding</w:t>
      </w:r>
      <w:proofErr w:type="gramEnd"/>
      <w:r w:rsidRPr="00CD663F">
        <w:rPr>
          <w:szCs w:val="22"/>
        </w:rPr>
        <w:t xml:space="preserve"> the EWG invitation to consider establishing a centralized system on the IPP for posting NPPO samples of certificates of compliance, </w:t>
      </w:r>
      <w:r w:rsidRPr="00CD663F">
        <w:rPr>
          <w:i/>
          <w:iCs/>
          <w:szCs w:val="22"/>
        </w:rPr>
        <w:t xml:space="preserve">deferred </w:t>
      </w:r>
      <w:r w:rsidRPr="00CD663F">
        <w:rPr>
          <w:szCs w:val="22"/>
        </w:rPr>
        <w:t xml:space="preserve">this discussion to after a final draft ISPM was agreed to. </w:t>
      </w:r>
    </w:p>
    <w:p w:rsidR="00CD663F" w:rsidRPr="00CD663F" w:rsidRDefault="00CD663F" w:rsidP="00CD663F">
      <w:pPr>
        <w:pStyle w:val="IPPPargraphnumbering"/>
        <w:spacing w:after="60"/>
        <w:ind w:left="426" w:hanging="908"/>
        <w:rPr>
          <w:szCs w:val="22"/>
        </w:rPr>
      </w:pPr>
      <w:r>
        <w:rPr>
          <w:szCs w:val="22"/>
        </w:rPr>
        <w:t>(7)</w:t>
      </w:r>
      <w:r>
        <w:rPr>
          <w:szCs w:val="22"/>
        </w:rPr>
        <w:tab/>
      </w:r>
      <w:proofErr w:type="gramStart"/>
      <w:r w:rsidRPr="00CD663F">
        <w:rPr>
          <w:i/>
          <w:iCs/>
          <w:szCs w:val="22"/>
        </w:rPr>
        <w:t>noted</w:t>
      </w:r>
      <w:proofErr w:type="gramEnd"/>
      <w:r w:rsidRPr="00CD663F">
        <w:rPr>
          <w:i/>
          <w:iCs/>
          <w:szCs w:val="22"/>
        </w:rPr>
        <w:t xml:space="preserve"> </w:t>
      </w:r>
      <w:r w:rsidRPr="00CD663F">
        <w:rPr>
          <w:szCs w:val="22"/>
        </w:rPr>
        <w:t xml:space="preserve">the need for additional phytosanitary treatments for wood and bamboo products to be developed. </w:t>
      </w:r>
    </w:p>
    <w:p w:rsidR="00CD663F" w:rsidRPr="00CD663F" w:rsidRDefault="00CD663F" w:rsidP="00CD663F">
      <w:pPr>
        <w:pStyle w:val="IPPPargraphnumbering"/>
        <w:spacing w:after="60"/>
        <w:ind w:left="426" w:hanging="908"/>
        <w:rPr>
          <w:szCs w:val="22"/>
        </w:rPr>
      </w:pPr>
      <w:r>
        <w:rPr>
          <w:szCs w:val="22"/>
        </w:rPr>
        <w:t>(8)</w:t>
      </w:r>
      <w:r>
        <w:rPr>
          <w:szCs w:val="22"/>
        </w:rPr>
        <w:tab/>
      </w:r>
      <w:r w:rsidRPr="00CD663F">
        <w:rPr>
          <w:szCs w:val="22"/>
        </w:rPr>
        <w:t xml:space="preserve">regarding the EWG invitation to consider establishing a centralized system on the IPP for recording and responding to non-compliances raised by contacting parties, </w:t>
      </w:r>
      <w:r w:rsidRPr="00CD663F">
        <w:rPr>
          <w:i/>
          <w:iCs/>
          <w:szCs w:val="22"/>
        </w:rPr>
        <w:t xml:space="preserve">noted </w:t>
      </w:r>
      <w:r w:rsidRPr="00CD663F">
        <w:rPr>
          <w:szCs w:val="22"/>
        </w:rPr>
        <w:t xml:space="preserve">that this issue had been raised by other groups but that it was not a priority for the SC to facilitate the development of a system for bilateral purposes, and </w:t>
      </w:r>
      <w:r w:rsidRPr="00CD663F">
        <w:rPr>
          <w:i/>
          <w:iCs/>
          <w:szCs w:val="22"/>
        </w:rPr>
        <w:t xml:space="preserve">asked </w:t>
      </w:r>
      <w:r w:rsidRPr="00CD663F">
        <w:rPr>
          <w:szCs w:val="22"/>
        </w:rPr>
        <w:t xml:space="preserve">the Secretariat to discuss the issue within the Secretariat. </w:t>
      </w:r>
    </w:p>
    <w:p w:rsidR="00CD663F" w:rsidRPr="00CD663F" w:rsidRDefault="00CD663F" w:rsidP="00CD663F">
      <w:pPr>
        <w:pStyle w:val="IPPPargraphnumbering"/>
        <w:spacing w:after="60"/>
        <w:ind w:left="426" w:hanging="908"/>
        <w:rPr>
          <w:szCs w:val="22"/>
        </w:rPr>
      </w:pPr>
      <w:r>
        <w:rPr>
          <w:szCs w:val="22"/>
        </w:rPr>
        <w:t>(9)</w:t>
      </w:r>
      <w:r>
        <w:rPr>
          <w:szCs w:val="22"/>
        </w:rPr>
        <w:tab/>
      </w:r>
      <w:proofErr w:type="gramStart"/>
      <w:r>
        <w:rPr>
          <w:szCs w:val="22"/>
        </w:rPr>
        <w:t>r</w:t>
      </w:r>
      <w:r w:rsidRPr="00CD663F">
        <w:rPr>
          <w:szCs w:val="22"/>
        </w:rPr>
        <w:t>egarding</w:t>
      </w:r>
      <w:proofErr w:type="gramEnd"/>
      <w:r w:rsidRPr="00CD663F">
        <w:rPr>
          <w:szCs w:val="22"/>
        </w:rPr>
        <w:t xml:space="preserve"> the EWG recommendations on encouraging comments from industry stakeholders and international organizations, </w:t>
      </w:r>
      <w:r w:rsidRPr="00CD663F">
        <w:rPr>
          <w:i/>
          <w:iCs/>
          <w:szCs w:val="22"/>
        </w:rPr>
        <w:t xml:space="preserve">deferred </w:t>
      </w:r>
      <w:r w:rsidRPr="00CD663F">
        <w:rPr>
          <w:szCs w:val="22"/>
        </w:rPr>
        <w:t xml:space="preserve">decision on these points until the draft ISPM has been developed. </w:t>
      </w:r>
    </w:p>
    <w:p w:rsidR="00CD663F" w:rsidRPr="00CD663F" w:rsidRDefault="00CD663F" w:rsidP="00CD663F">
      <w:pPr>
        <w:pStyle w:val="IPPPargraphnumbering"/>
        <w:spacing w:after="60"/>
        <w:ind w:left="426" w:hanging="908"/>
        <w:rPr>
          <w:szCs w:val="22"/>
        </w:rPr>
      </w:pPr>
      <w:r>
        <w:rPr>
          <w:szCs w:val="22"/>
        </w:rPr>
        <w:t>(10)</w:t>
      </w:r>
      <w:r>
        <w:rPr>
          <w:szCs w:val="22"/>
        </w:rPr>
        <w:tab/>
      </w:r>
      <w:proofErr w:type="gramStart"/>
      <w:r w:rsidRPr="00CD663F">
        <w:rPr>
          <w:i/>
          <w:iCs/>
          <w:szCs w:val="22"/>
        </w:rPr>
        <w:t>noted</w:t>
      </w:r>
      <w:proofErr w:type="gramEnd"/>
      <w:r w:rsidRPr="00CD663F">
        <w:rPr>
          <w:i/>
          <w:iCs/>
          <w:szCs w:val="22"/>
        </w:rPr>
        <w:t xml:space="preserve"> </w:t>
      </w:r>
      <w:r w:rsidRPr="00CD663F">
        <w:rPr>
          <w:szCs w:val="22"/>
        </w:rPr>
        <w:t xml:space="preserve">the EWG recommendation on considering notifying the World Customs Organization of the development of this standard but </w:t>
      </w:r>
      <w:r w:rsidRPr="00CD663F">
        <w:rPr>
          <w:i/>
          <w:iCs/>
          <w:szCs w:val="22"/>
        </w:rPr>
        <w:t xml:space="preserve">deferred </w:t>
      </w:r>
      <w:r w:rsidRPr="00CD663F">
        <w:rPr>
          <w:szCs w:val="22"/>
        </w:rPr>
        <w:t xml:space="preserve">decision on this until the draft ISPM has been developed. </w:t>
      </w:r>
    </w:p>
    <w:p w:rsidR="00CD663F" w:rsidRPr="00CD663F" w:rsidRDefault="00CD663F" w:rsidP="00CD663F">
      <w:pPr>
        <w:pStyle w:val="IPPPargraphnumbering"/>
        <w:spacing w:after="60"/>
        <w:ind w:left="426" w:hanging="908"/>
        <w:rPr>
          <w:szCs w:val="22"/>
        </w:rPr>
      </w:pPr>
      <w:r>
        <w:rPr>
          <w:szCs w:val="22"/>
        </w:rPr>
        <w:t>(11)</w:t>
      </w:r>
      <w:r>
        <w:rPr>
          <w:szCs w:val="22"/>
        </w:rPr>
        <w:tab/>
      </w:r>
      <w:proofErr w:type="gramStart"/>
      <w:r w:rsidRPr="00CD663F">
        <w:rPr>
          <w:i/>
          <w:iCs/>
          <w:szCs w:val="22"/>
        </w:rPr>
        <w:t>noted</w:t>
      </w:r>
      <w:proofErr w:type="gramEnd"/>
      <w:r w:rsidRPr="00CD663F">
        <w:rPr>
          <w:i/>
          <w:iCs/>
          <w:szCs w:val="22"/>
        </w:rPr>
        <w:t xml:space="preserve"> </w:t>
      </w:r>
      <w:r w:rsidRPr="00CD663F">
        <w:rPr>
          <w:szCs w:val="22"/>
        </w:rPr>
        <w:t xml:space="preserve">that there may be operational challenges to implementing the certification system described in the current draft ISPM. </w:t>
      </w:r>
    </w:p>
    <w:p w:rsidR="00CD663F" w:rsidRDefault="00CD663F" w:rsidP="00CD663F">
      <w:pPr>
        <w:pStyle w:val="IPPHeading30"/>
        <w:tabs>
          <w:tab w:val="clear" w:pos="567"/>
          <w:tab w:val="left" w:pos="0"/>
        </w:tabs>
        <w:ind w:left="0" w:firstLine="0"/>
      </w:pPr>
      <w:r w:rsidRPr="00CD663F">
        <w:t>Inclusion of the phytosanitary treatment Sulphuryl fluoride fumigation of wood packaging material (2006-010A) in Annexes 1 and 2 of ISPM 15, Priority 2</w:t>
      </w:r>
    </w:p>
    <w:p w:rsidR="00CD663F" w:rsidRDefault="00CD663F" w:rsidP="00CD663F">
      <w:pPr>
        <w:pStyle w:val="IPPPargraphnumbering"/>
        <w:spacing w:after="60"/>
        <w:rPr>
          <w:szCs w:val="22"/>
        </w:rPr>
      </w:pPr>
      <w:r>
        <w:rPr>
          <w:szCs w:val="22"/>
        </w:rPr>
        <w:t xml:space="preserve">The SC </w:t>
      </w:r>
      <w:r w:rsidRPr="00CD663F">
        <w:rPr>
          <w:i/>
          <w:iCs/>
          <w:szCs w:val="22"/>
        </w:rPr>
        <w:t xml:space="preserve">approved </w:t>
      </w:r>
      <w:r w:rsidRPr="00CD663F">
        <w:rPr>
          <w:szCs w:val="22"/>
        </w:rPr>
        <w:t xml:space="preserve">the draft amendments to Annex 1 and Annex 2 of ISPM 15 for inclusion of the phytosanitary treatment </w:t>
      </w:r>
      <w:r w:rsidRPr="00CD663F">
        <w:rPr>
          <w:i/>
          <w:iCs/>
          <w:szCs w:val="22"/>
        </w:rPr>
        <w:t xml:space="preserve">Sulphuryl fluoride fumigation of wood packaging material </w:t>
      </w:r>
      <w:r w:rsidRPr="00CD663F">
        <w:rPr>
          <w:szCs w:val="22"/>
        </w:rPr>
        <w:t>(2006-010A) for me</w:t>
      </w:r>
      <w:r>
        <w:rPr>
          <w:szCs w:val="22"/>
        </w:rPr>
        <w:t>mber consultation.</w:t>
      </w:r>
    </w:p>
    <w:p w:rsidR="00CD663F" w:rsidRPr="00A60287" w:rsidRDefault="00CD663F" w:rsidP="00A60287">
      <w:pPr>
        <w:pStyle w:val="IPPHeading30"/>
        <w:tabs>
          <w:tab w:val="clear" w:pos="567"/>
          <w:tab w:val="left" w:pos="0"/>
        </w:tabs>
        <w:ind w:left="0" w:firstLine="0"/>
      </w:pPr>
      <w:r w:rsidRPr="00A60287">
        <w:t>Revision of dielectric heating section in Annex 1 (Approved treatments associated with wood packaging material) to ISPM 15 (Regulation of wood packaging material in international trade), (2006-010B), Priority 2</w:t>
      </w:r>
    </w:p>
    <w:p w:rsidR="00A60287" w:rsidRPr="00A60287" w:rsidRDefault="00A60287" w:rsidP="00A60287">
      <w:pPr>
        <w:pStyle w:val="IPPPargraphnumbering"/>
        <w:spacing w:after="60"/>
        <w:rPr>
          <w:szCs w:val="22"/>
        </w:rPr>
      </w:pPr>
      <w:r w:rsidRPr="00A60287">
        <w:rPr>
          <w:szCs w:val="22"/>
        </w:rPr>
        <w:t xml:space="preserve">The SC: </w:t>
      </w:r>
    </w:p>
    <w:p w:rsidR="00A60287" w:rsidRPr="00A60287" w:rsidRDefault="00A74309" w:rsidP="00A74309">
      <w:pPr>
        <w:pStyle w:val="IPPPargraphnumbering"/>
        <w:spacing w:after="60"/>
        <w:ind w:left="426" w:hanging="908"/>
        <w:rPr>
          <w:szCs w:val="22"/>
        </w:rPr>
      </w:pPr>
      <w:r>
        <w:rPr>
          <w:szCs w:val="22"/>
        </w:rPr>
        <w:t>(13)</w:t>
      </w:r>
      <w:r>
        <w:rPr>
          <w:szCs w:val="22"/>
        </w:rPr>
        <w:tab/>
      </w:r>
      <w:proofErr w:type="gramStart"/>
      <w:r w:rsidR="00A60287" w:rsidRPr="00A60287">
        <w:rPr>
          <w:i/>
          <w:iCs/>
          <w:szCs w:val="22"/>
        </w:rPr>
        <w:t>approved</w:t>
      </w:r>
      <w:proofErr w:type="gramEnd"/>
      <w:r w:rsidR="00A60287" w:rsidRPr="00A60287">
        <w:rPr>
          <w:i/>
          <w:iCs/>
          <w:szCs w:val="22"/>
        </w:rPr>
        <w:t xml:space="preserve"> </w:t>
      </w:r>
      <w:r w:rsidR="00A60287" w:rsidRPr="00A60287">
        <w:rPr>
          <w:szCs w:val="22"/>
        </w:rPr>
        <w:t xml:space="preserve">the revision of Annex 1 to ISPM 15 in regards the section on dielectric heating for member consultation (2006-010B) (Appendix 6). </w:t>
      </w:r>
    </w:p>
    <w:p w:rsidR="00A60287" w:rsidRPr="00A60287" w:rsidRDefault="00A74309" w:rsidP="00A74309">
      <w:pPr>
        <w:pStyle w:val="IPPPargraphnumbering"/>
        <w:spacing w:after="60"/>
        <w:ind w:left="426" w:hanging="908"/>
        <w:rPr>
          <w:szCs w:val="22"/>
        </w:rPr>
      </w:pPr>
      <w:r>
        <w:rPr>
          <w:szCs w:val="22"/>
        </w:rPr>
        <w:t>(14)</w:t>
      </w:r>
      <w:r>
        <w:rPr>
          <w:szCs w:val="22"/>
        </w:rPr>
        <w:tab/>
      </w:r>
      <w:proofErr w:type="gramStart"/>
      <w:r w:rsidR="00A60287" w:rsidRPr="00A60287">
        <w:rPr>
          <w:i/>
          <w:iCs/>
          <w:szCs w:val="22"/>
        </w:rPr>
        <w:t>agreed</w:t>
      </w:r>
      <w:proofErr w:type="gramEnd"/>
      <w:r w:rsidR="00A60287" w:rsidRPr="00A60287">
        <w:rPr>
          <w:i/>
          <w:iCs/>
          <w:szCs w:val="22"/>
        </w:rPr>
        <w:t xml:space="preserve"> </w:t>
      </w:r>
      <w:r w:rsidR="00A60287" w:rsidRPr="00A60287">
        <w:rPr>
          <w:szCs w:val="22"/>
        </w:rPr>
        <w:t xml:space="preserve">that the revisions to Annex 1 and 2 of ISPM 15 for inclusion of the phytosanitary treatment </w:t>
      </w:r>
      <w:r w:rsidR="00A60287" w:rsidRPr="00A60287">
        <w:rPr>
          <w:i/>
          <w:iCs/>
          <w:szCs w:val="22"/>
        </w:rPr>
        <w:t xml:space="preserve">Sulphuryl fluoride fumigation of wood packaging material </w:t>
      </w:r>
      <w:r w:rsidR="00A60287" w:rsidRPr="00A60287">
        <w:rPr>
          <w:szCs w:val="22"/>
        </w:rPr>
        <w:t xml:space="preserve">(2006-010A) and the revision of the dielectric heating section in Annex 1 of ISPM 15 (2006-010B) would be presented together for member consultation. </w:t>
      </w:r>
    </w:p>
    <w:p w:rsidR="00A74309" w:rsidRDefault="00A74309" w:rsidP="00A74309">
      <w:pPr>
        <w:pStyle w:val="IPPPargraphnumbering"/>
      </w:pPr>
      <w:r>
        <w:rPr>
          <w:b/>
          <w:bCs/>
          <w:i/>
          <w:iCs/>
          <w:szCs w:val="22"/>
        </w:rPr>
        <w:t>Draft ISPM on International movement of wood (2006-029), Priority 1</w:t>
      </w:r>
    </w:p>
    <w:p w:rsidR="00A74309" w:rsidRPr="00A74309" w:rsidRDefault="00A74309" w:rsidP="00A74309">
      <w:pPr>
        <w:pStyle w:val="IPPPargraphnumbering"/>
        <w:rPr>
          <w:szCs w:val="22"/>
        </w:rPr>
      </w:pPr>
      <w:r w:rsidRPr="00A74309">
        <w:rPr>
          <w:szCs w:val="22"/>
        </w:rPr>
        <w:t xml:space="preserve">The SC Chairperson noted that, as a result of the formal objection, the CPM had discussed the issue of the concept of a commodity standard, and had decided that a working group meeting be held on this on 20-24 July 2015 to discuss this issue </w:t>
      </w:r>
    </w:p>
    <w:p w:rsidR="00A74309" w:rsidRPr="00A74309" w:rsidRDefault="00A74309" w:rsidP="00A74309">
      <w:pPr>
        <w:pStyle w:val="IPPPargraphnumbering"/>
        <w:rPr>
          <w:szCs w:val="22"/>
        </w:rPr>
      </w:pPr>
      <w:r w:rsidRPr="00A74309">
        <w:rPr>
          <w:szCs w:val="22"/>
        </w:rPr>
        <w:t xml:space="preserve">The SC discussed that a way forward for the draft standard would be for the Steward to work with the TPFQ to try adding additional requirements. Some members felt it was important to take into consideration the outcomes from the working group to discuss the concept of the commodity standard, while others pointed out that the outcomes of this meeting, after discussions by the SPG, the SC and CPM, may change significantly. The SC, acknowledging that the final outcomes may change, agreed that the Steward and the TPFQ should still consider the outcomes when revising the draft standard. </w:t>
      </w:r>
    </w:p>
    <w:p w:rsidR="00A74309" w:rsidRPr="00A74309" w:rsidRDefault="00A74309" w:rsidP="00A74309">
      <w:pPr>
        <w:pStyle w:val="IPPPargraphnumbering"/>
        <w:spacing w:before="120" w:after="120"/>
        <w:rPr>
          <w:szCs w:val="22"/>
        </w:rPr>
      </w:pPr>
      <w:r w:rsidRPr="00A74309">
        <w:rPr>
          <w:szCs w:val="22"/>
        </w:rPr>
        <w:t xml:space="preserve">The SC: </w:t>
      </w:r>
    </w:p>
    <w:p w:rsidR="00A74309" w:rsidRPr="00A74309" w:rsidRDefault="00B05FE3" w:rsidP="00B05FE3">
      <w:pPr>
        <w:pStyle w:val="IPPPargraphnumbering"/>
        <w:spacing w:after="60"/>
        <w:ind w:left="426" w:hanging="908"/>
        <w:rPr>
          <w:szCs w:val="22"/>
        </w:rPr>
      </w:pPr>
      <w:r>
        <w:rPr>
          <w:szCs w:val="22"/>
        </w:rPr>
        <w:t>(95)</w:t>
      </w:r>
      <w:r>
        <w:rPr>
          <w:szCs w:val="22"/>
        </w:rPr>
        <w:tab/>
      </w:r>
      <w:r w:rsidR="00A74309" w:rsidRPr="00A74309">
        <w:rPr>
          <w:i/>
          <w:iCs/>
          <w:szCs w:val="22"/>
        </w:rPr>
        <w:t xml:space="preserve">agreed </w:t>
      </w:r>
      <w:r w:rsidR="00A74309" w:rsidRPr="00A74309">
        <w:rPr>
          <w:szCs w:val="22"/>
        </w:rPr>
        <w:t xml:space="preserve">that the Steward in collaboration with the TPFQ would revise the draft ISPM on the </w:t>
      </w:r>
      <w:r w:rsidR="00A74309" w:rsidRPr="00A74309">
        <w:rPr>
          <w:i/>
          <w:iCs/>
          <w:szCs w:val="22"/>
        </w:rPr>
        <w:t xml:space="preserve">International movement of wood </w:t>
      </w:r>
      <w:r w:rsidR="00A74309" w:rsidRPr="00A74309">
        <w:rPr>
          <w:szCs w:val="22"/>
        </w:rPr>
        <w:t xml:space="preserve">(2006-029), taking into consideration the outcomes from the </w:t>
      </w:r>
      <w:r w:rsidR="00A74309" w:rsidRPr="00A74309">
        <w:rPr>
          <w:szCs w:val="22"/>
        </w:rPr>
        <w:lastRenderedPageBreak/>
        <w:t xml:space="preserve">working group discussing the concept of a commodity standard, and present the revised draft to the SC November 2015 (to be received by the Secretariat before 2 October 2015). </w:t>
      </w:r>
    </w:p>
    <w:p w:rsidR="00A60287" w:rsidRDefault="00A60287" w:rsidP="00A60287">
      <w:pPr>
        <w:pStyle w:val="IPPHeading30"/>
        <w:tabs>
          <w:tab w:val="clear" w:pos="567"/>
          <w:tab w:val="left" w:pos="0"/>
        </w:tabs>
        <w:ind w:left="0" w:firstLine="0"/>
      </w:pPr>
      <w:r w:rsidRPr="00A60287">
        <w:t>Technical Panel on Forest Quarantine (TPFQ)</w:t>
      </w:r>
    </w:p>
    <w:p w:rsidR="00A74309" w:rsidRPr="00A74309" w:rsidRDefault="00A74309" w:rsidP="00A74309">
      <w:pPr>
        <w:pStyle w:val="IPPPargraphnumbering"/>
        <w:spacing w:after="60"/>
        <w:rPr>
          <w:szCs w:val="22"/>
        </w:rPr>
      </w:pPr>
      <w:r w:rsidRPr="00A74309">
        <w:rPr>
          <w:szCs w:val="22"/>
        </w:rPr>
        <w:t xml:space="preserve">The Secretariat noted that the TPFQ will continue to meet virtually in 2015 to progress their work programme, specifically in regards: </w:t>
      </w:r>
    </w:p>
    <w:p w:rsidR="00A74309" w:rsidRPr="00A74309" w:rsidRDefault="00A74309" w:rsidP="00A74309">
      <w:pPr>
        <w:pStyle w:val="IPPPargraphnumbering"/>
        <w:tabs>
          <w:tab w:val="clear" w:pos="0"/>
          <w:tab w:val="num" w:pos="142"/>
        </w:tabs>
        <w:spacing w:after="60"/>
        <w:ind w:left="426" w:hanging="908"/>
        <w:rPr>
          <w:szCs w:val="22"/>
        </w:rPr>
      </w:pPr>
      <w:r>
        <w:rPr>
          <w:szCs w:val="22"/>
        </w:rPr>
        <w:t>-</w:t>
      </w:r>
      <w:r>
        <w:rPr>
          <w:szCs w:val="22"/>
        </w:rPr>
        <w:tab/>
      </w:r>
      <w:r w:rsidRPr="00A74309">
        <w:rPr>
          <w:szCs w:val="22"/>
        </w:rPr>
        <w:t xml:space="preserve">Revision of ISPM 15 (Regulation of wood packaging material in international trade): </w:t>
      </w:r>
      <w:r w:rsidRPr="00A74309">
        <w:rPr>
          <w:i/>
          <w:iCs/>
          <w:szCs w:val="22"/>
        </w:rPr>
        <w:t xml:space="preserve">Criteria for treatments for wood packaging material in international trade </w:t>
      </w:r>
      <w:r w:rsidRPr="00A74309">
        <w:rPr>
          <w:szCs w:val="22"/>
        </w:rPr>
        <w:t xml:space="preserve">(2006-010). </w:t>
      </w:r>
    </w:p>
    <w:p w:rsidR="00A74309" w:rsidRPr="00A74309" w:rsidRDefault="00A74309" w:rsidP="00A74309">
      <w:pPr>
        <w:pStyle w:val="IPPPargraphnumbering"/>
        <w:spacing w:after="60"/>
        <w:ind w:left="426" w:hanging="908"/>
        <w:rPr>
          <w:szCs w:val="22"/>
        </w:rPr>
      </w:pPr>
      <w:r>
        <w:rPr>
          <w:szCs w:val="22"/>
        </w:rPr>
        <w:t>-</w:t>
      </w:r>
      <w:r>
        <w:rPr>
          <w:szCs w:val="22"/>
        </w:rPr>
        <w:tab/>
      </w:r>
      <w:r w:rsidRPr="00A74309">
        <w:rPr>
          <w:szCs w:val="22"/>
        </w:rPr>
        <w:t xml:space="preserve">Drafting the forest seed annex to the draft ISPM for the </w:t>
      </w:r>
      <w:r w:rsidRPr="00A74309">
        <w:rPr>
          <w:i/>
          <w:iCs/>
          <w:szCs w:val="22"/>
        </w:rPr>
        <w:t xml:space="preserve">International movement of seed </w:t>
      </w:r>
      <w:r w:rsidRPr="00A74309">
        <w:rPr>
          <w:szCs w:val="22"/>
        </w:rPr>
        <w:t xml:space="preserve">(2009-003). The SC felt it would be useful to consult the draft annex when reviewing the draft ISPM for the </w:t>
      </w:r>
      <w:r w:rsidRPr="00A74309">
        <w:rPr>
          <w:i/>
          <w:iCs/>
          <w:szCs w:val="22"/>
        </w:rPr>
        <w:t xml:space="preserve">International movement of seed </w:t>
      </w:r>
      <w:r w:rsidRPr="00A74309">
        <w:rPr>
          <w:szCs w:val="22"/>
        </w:rPr>
        <w:t xml:space="preserve">(2009-003) after SCCP. </w:t>
      </w:r>
    </w:p>
    <w:p w:rsidR="00A74309" w:rsidRPr="00A74309" w:rsidRDefault="00A74309" w:rsidP="009A4235">
      <w:pPr>
        <w:pStyle w:val="IPPPargraphnumbering"/>
        <w:spacing w:after="60"/>
        <w:ind w:left="426" w:hanging="908"/>
        <w:rPr>
          <w:szCs w:val="22"/>
        </w:rPr>
      </w:pPr>
      <w:r>
        <w:rPr>
          <w:szCs w:val="22"/>
        </w:rPr>
        <w:t>–</w:t>
      </w:r>
      <w:r>
        <w:rPr>
          <w:szCs w:val="22"/>
        </w:rPr>
        <w:tab/>
      </w:r>
      <w:r w:rsidRPr="00A74309">
        <w:rPr>
          <w:szCs w:val="22"/>
        </w:rPr>
        <w:t xml:space="preserve">Assisting the Steward in responding to the formal objection on the draft ISPM on the </w:t>
      </w:r>
      <w:r w:rsidRPr="00A74309">
        <w:rPr>
          <w:i/>
          <w:iCs/>
          <w:szCs w:val="22"/>
        </w:rPr>
        <w:t xml:space="preserve">International movement of wood </w:t>
      </w:r>
      <w:r w:rsidRPr="00A74309">
        <w:rPr>
          <w:szCs w:val="22"/>
        </w:rPr>
        <w:t xml:space="preserve">(2006-029) and improving the draft. </w:t>
      </w:r>
    </w:p>
    <w:p w:rsidR="00A74309" w:rsidRPr="00A74309" w:rsidRDefault="00A74309" w:rsidP="009A4235">
      <w:pPr>
        <w:pStyle w:val="IPPPargraphnumbering"/>
        <w:spacing w:after="60"/>
        <w:ind w:left="426" w:hanging="908"/>
        <w:rPr>
          <w:szCs w:val="22"/>
        </w:rPr>
      </w:pPr>
      <w:r>
        <w:rPr>
          <w:szCs w:val="22"/>
        </w:rPr>
        <w:t>-</w:t>
      </w:r>
      <w:r>
        <w:rPr>
          <w:szCs w:val="22"/>
        </w:rPr>
        <w:tab/>
      </w:r>
      <w:r w:rsidRPr="00A74309">
        <w:rPr>
          <w:szCs w:val="22"/>
        </w:rPr>
        <w:t>Responding to member comments; the TPFQ may be asked to assist the Steward on the revision of dielectric heating section (Annex 1 (</w:t>
      </w:r>
      <w:r w:rsidRPr="00A74309">
        <w:rPr>
          <w:i/>
          <w:iCs/>
          <w:szCs w:val="22"/>
        </w:rPr>
        <w:t>Approved treatments associated with wood packaging material</w:t>
      </w:r>
      <w:r w:rsidRPr="00A74309">
        <w:rPr>
          <w:szCs w:val="22"/>
        </w:rPr>
        <w:t>) to ISPM 15 (</w:t>
      </w:r>
      <w:r w:rsidRPr="00A74309">
        <w:rPr>
          <w:i/>
          <w:iCs/>
          <w:szCs w:val="22"/>
        </w:rPr>
        <w:t>Regulation of wood packaging material in international trade</w:t>
      </w:r>
      <w:r w:rsidRPr="00A74309">
        <w:rPr>
          <w:szCs w:val="22"/>
        </w:rPr>
        <w:t xml:space="preserve">) (2006-010AB). </w:t>
      </w:r>
    </w:p>
    <w:p w:rsidR="00A74309" w:rsidRPr="00A74309" w:rsidRDefault="00A74309" w:rsidP="009A4235">
      <w:pPr>
        <w:pStyle w:val="IPPPargraphnumbering"/>
        <w:spacing w:after="60"/>
        <w:ind w:left="426" w:hanging="908"/>
        <w:rPr>
          <w:szCs w:val="22"/>
        </w:rPr>
      </w:pPr>
      <w:r>
        <w:rPr>
          <w:szCs w:val="22"/>
        </w:rPr>
        <w:t>-</w:t>
      </w:r>
      <w:r>
        <w:rPr>
          <w:szCs w:val="22"/>
        </w:rPr>
        <w:tab/>
      </w:r>
      <w:r w:rsidRPr="00A74309">
        <w:rPr>
          <w:szCs w:val="22"/>
        </w:rPr>
        <w:t xml:space="preserve">Help review the draft ISPM on the </w:t>
      </w:r>
      <w:r w:rsidRPr="00A74309">
        <w:rPr>
          <w:i/>
          <w:iCs/>
          <w:szCs w:val="22"/>
        </w:rPr>
        <w:t xml:space="preserve">International movement of wood products and handicrafts made from wood </w:t>
      </w:r>
      <w:r>
        <w:rPr>
          <w:szCs w:val="22"/>
        </w:rPr>
        <w:t>(2008-008)</w:t>
      </w:r>
      <w:r w:rsidRPr="00A74309">
        <w:rPr>
          <w:szCs w:val="22"/>
        </w:rPr>
        <w:t xml:space="preserve">. </w:t>
      </w:r>
    </w:p>
    <w:p w:rsidR="00A74309" w:rsidRPr="00A74309" w:rsidRDefault="00A74309" w:rsidP="00A74309">
      <w:pPr>
        <w:pStyle w:val="IPPPargraphnumbering"/>
        <w:spacing w:after="60"/>
        <w:rPr>
          <w:szCs w:val="22"/>
        </w:rPr>
      </w:pPr>
      <w:r w:rsidRPr="00A74309">
        <w:rPr>
          <w:szCs w:val="22"/>
        </w:rPr>
        <w:t xml:space="preserve">The SC: </w:t>
      </w:r>
    </w:p>
    <w:p w:rsidR="00A74309" w:rsidRPr="00A74309" w:rsidRDefault="00A74309" w:rsidP="00A74309">
      <w:pPr>
        <w:pStyle w:val="IPPPargraphnumbering"/>
        <w:spacing w:after="60"/>
        <w:ind w:left="426" w:hanging="908"/>
        <w:rPr>
          <w:szCs w:val="22"/>
        </w:rPr>
      </w:pPr>
      <w:r>
        <w:rPr>
          <w:szCs w:val="22"/>
        </w:rPr>
        <w:t>(85)</w:t>
      </w:r>
      <w:r>
        <w:rPr>
          <w:szCs w:val="22"/>
        </w:rPr>
        <w:tab/>
      </w:r>
      <w:proofErr w:type="gramStart"/>
      <w:r w:rsidRPr="00A74309">
        <w:rPr>
          <w:i/>
          <w:iCs/>
          <w:szCs w:val="22"/>
        </w:rPr>
        <w:t>noted</w:t>
      </w:r>
      <w:proofErr w:type="gramEnd"/>
      <w:r w:rsidRPr="00A74309">
        <w:rPr>
          <w:i/>
          <w:iCs/>
          <w:szCs w:val="22"/>
        </w:rPr>
        <w:t xml:space="preserve"> </w:t>
      </w:r>
      <w:r w:rsidRPr="00A74309">
        <w:rPr>
          <w:szCs w:val="22"/>
        </w:rPr>
        <w:t xml:space="preserve">the following TPFQ meeting reports: July 2014, October 2014, and December 2014 virtual meeting reports. </w:t>
      </w:r>
    </w:p>
    <w:p w:rsidR="00A74309" w:rsidRPr="00A74309" w:rsidRDefault="00A74309" w:rsidP="00A74309">
      <w:pPr>
        <w:pStyle w:val="IPPPargraphnumbering"/>
        <w:spacing w:after="60"/>
        <w:ind w:left="426" w:hanging="908"/>
        <w:rPr>
          <w:szCs w:val="22"/>
        </w:rPr>
      </w:pPr>
      <w:r>
        <w:rPr>
          <w:szCs w:val="22"/>
        </w:rPr>
        <w:t>(86)</w:t>
      </w:r>
      <w:r>
        <w:rPr>
          <w:szCs w:val="22"/>
        </w:rPr>
        <w:tab/>
      </w:r>
      <w:r w:rsidRPr="00A74309">
        <w:rPr>
          <w:i/>
          <w:iCs/>
          <w:szCs w:val="22"/>
        </w:rPr>
        <w:t xml:space="preserve">noted </w:t>
      </w:r>
      <w:r w:rsidRPr="00A74309">
        <w:rPr>
          <w:szCs w:val="22"/>
        </w:rPr>
        <w:t>the work ca</w:t>
      </w:r>
      <w:r>
        <w:rPr>
          <w:szCs w:val="22"/>
        </w:rPr>
        <w:t>rried out by the TPFQ since May</w:t>
      </w:r>
    </w:p>
    <w:p w:rsidR="00A74309" w:rsidRPr="00A74309" w:rsidRDefault="00A74309" w:rsidP="00A74309">
      <w:pPr>
        <w:pStyle w:val="IPPPargraphnumbering"/>
        <w:spacing w:after="60"/>
        <w:ind w:left="426" w:hanging="908"/>
        <w:rPr>
          <w:szCs w:val="22"/>
        </w:rPr>
      </w:pPr>
      <w:r>
        <w:rPr>
          <w:szCs w:val="22"/>
        </w:rPr>
        <w:t>(86)</w:t>
      </w:r>
      <w:r>
        <w:rPr>
          <w:szCs w:val="22"/>
        </w:rPr>
        <w:tab/>
      </w:r>
      <w:proofErr w:type="gramStart"/>
      <w:r w:rsidRPr="00A74309">
        <w:rPr>
          <w:i/>
          <w:iCs/>
          <w:szCs w:val="22"/>
        </w:rPr>
        <w:t>noted</w:t>
      </w:r>
      <w:proofErr w:type="gramEnd"/>
      <w:r w:rsidRPr="00A74309">
        <w:rPr>
          <w:i/>
          <w:iCs/>
          <w:szCs w:val="22"/>
        </w:rPr>
        <w:t xml:space="preserve"> </w:t>
      </w:r>
      <w:r w:rsidRPr="00A74309">
        <w:rPr>
          <w:szCs w:val="22"/>
        </w:rPr>
        <w:t xml:space="preserve">the work carried out by the TPFQ since May 2015. </w:t>
      </w:r>
    </w:p>
    <w:p w:rsidR="00A74309" w:rsidRPr="00A74309" w:rsidRDefault="00A74309" w:rsidP="00A74309">
      <w:pPr>
        <w:pStyle w:val="IPPPargraphnumbering"/>
        <w:spacing w:after="60"/>
        <w:ind w:left="426" w:hanging="908"/>
        <w:rPr>
          <w:szCs w:val="22"/>
        </w:rPr>
      </w:pPr>
      <w:r>
        <w:rPr>
          <w:szCs w:val="22"/>
        </w:rPr>
        <w:t>(87)</w:t>
      </w:r>
      <w:r>
        <w:rPr>
          <w:szCs w:val="22"/>
        </w:rPr>
        <w:tab/>
      </w:r>
      <w:proofErr w:type="gramStart"/>
      <w:r w:rsidRPr="00A74309">
        <w:rPr>
          <w:i/>
          <w:iCs/>
          <w:szCs w:val="22"/>
        </w:rPr>
        <w:t>noted</w:t>
      </w:r>
      <w:proofErr w:type="gramEnd"/>
      <w:r w:rsidRPr="00A74309">
        <w:rPr>
          <w:i/>
          <w:iCs/>
          <w:szCs w:val="22"/>
        </w:rPr>
        <w:t xml:space="preserve"> </w:t>
      </w:r>
      <w:r w:rsidRPr="00A74309">
        <w:rPr>
          <w:szCs w:val="22"/>
        </w:rPr>
        <w:t xml:space="preserve">the tentative TPFQ work plan for </w:t>
      </w:r>
      <w:r>
        <w:rPr>
          <w:szCs w:val="22"/>
        </w:rPr>
        <w:t>the period May 2015-April 2016.</w:t>
      </w:r>
    </w:p>
    <w:p w:rsidR="00A74309" w:rsidRPr="00A74309" w:rsidRDefault="00A74309" w:rsidP="00A74309">
      <w:pPr>
        <w:pStyle w:val="IPPPargraphnumbering"/>
        <w:spacing w:after="60"/>
        <w:ind w:left="426" w:hanging="908"/>
        <w:rPr>
          <w:szCs w:val="22"/>
        </w:rPr>
      </w:pPr>
      <w:r>
        <w:rPr>
          <w:szCs w:val="22"/>
        </w:rPr>
        <w:t>(88)</w:t>
      </w:r>
      <w:r>
        <w:rPr>
          <w:szCs w:val="22"/>
        </w:rPr>
        <w:tab/>
      </w:r>
      <w:r w:rsidRPr="00A74309">
        <w:rPr>
          <w:i/>
          <w:iCs/>
          <w:szCs w:val="22"/>
        </w:rPr>
        <w:t xml:space="preserve">requested </w:t>
      </w:r>
      <w:r w:rsidRPr="00A74309">
        <w:rPr>
          <w:szCs w:val="22"/>
        </w:rPr>
        <w:t xml:space="preserve">the TPFQ to set as a high priority the development of the draft annex on forest seeds (2009-003) in order to submit it to the SC November 2015 meeting. </w:t>
      </w:r>
    </w:p>
    <w:p w:rsidR="00A74309" w:rsidRPr="00A74309" w:rsidRDefault="00A74309" w:rsidP="00A74309">
      <w:pPr>
        <w:pStyle w:val="IPPPargraphnumbering"/>
        <w:rPr>
          <w:szCs w:val="22"/>
        </w:rPr>
      </w:pPr>
      <w:r w:rsidRPr="00A74309">
        <w:rPr>
          <w:b/>
          <w:bCs/>
          <w:szCs w:val="22"/>
        </w:rPr>
        <w:t xml:space="preserve">Initial proposals for topics for CPM-11 (2016) discussions on concepts and implementation issues related to draft or adopted standards </w:t>
      </w:r>
    </w:p>
    <w:p w:rsidR="00A74309" w:rsidRPr="009A4235" w:rsidRDefault="00B05FE3" w:rsidP="00224B71">
      <w:pPr>
        <w:pStyle w:val="IPPPargraphnumbering"/>
        <w:rPr>
          <w:szCs w:val="22"/>
        </w:rPr>
      </w:pPr>
      <w:r w:rsidRPr="009A4235">
        <w:rPr>
          <w:szCs w:val="22"/>
        </w:rPr>
        <w:t>Possible side-sessions for CPM-11:</w:t>
      </w:r>
    </w:p>
    <w:p w:rsidR="00B05FE3" w:rsidRPr="009A4235" w:rsidRDefault="00B05FE3" w:rsidP="00224B71">
      <w:pPr>
        <w:pStyle w:val="IPPPargraphnumbering"/>
        <w:rPr>
          <w:szCs w:val="22"/>
          <w:u w:val="single"/>
        </w:rPr>
      </w:pPr>
      <w:r w:rsidRPr="00A74309">
        <w:rPr>
          <w:rFonts w:eastAsia="Times New Roman"/>
          <w:color w:val="000000"/>
          <w:szCs w:val="22"/>
          <w:u w:val="single"/>
          <w:lang w:val="en-NZ" w:eastAsia="en-NZ"/>
        </w:rPr>
        <w:t>ISPM 15</w:t>
      </w:r>
      <w:r w:rsidRPr="009A4235">
        <w:rPr>
          <w:rFonts w:eastAsia="Times New Roman"/>
          <w:color w:val="000000"/>
          <w:szCs w:val="22"/>
          <w:u w:val="single"/>
          <w:lang w:val="en-NZ" w:eastAsia="en-NZ"/>
        </w:rPr>
        <w:t xml:space="preserve">: </w:t>
      </w:r>
    </w:p>
    <w:p w:rsidR="00B05FE3" w:rsidRPr="00A74309" w:rsidRDefault="00B05FE3" w:rsidP="00B05FE3">
      <w:pPr>
        <w:pStyle w:val="IPPPargraphnumbering"/>
        <w:ind w:left="284" w:hanging="766"/>
        <w:rPr>
          <w:rFonts w:eastAsia="Times New Roman"/>
          <w:color w:val="000000"/>
          <w:szCs w:val="22"/>
          <w:lang w:val="en-NZ" w:eastAsia="en-NZ"/>
        </w:rPr>
      </w:pPr>
      <w:r w:rsidRPr="009A4235">
        <w:rPr>
          <w:rFonts w:eastAsia="Times New Roman"/>
          <w:color w:val="000000"/>
          <w:szCs w:val="22"/>
          <w:lang w:val="en-NZ" w:eastAsia="en-NZ"/>
        </w:rPr>
        <w:t>1.</w:t>
      </w:r>
      <w:r w:rsidRPr="009A4235">
        <w:rPr>
          <w:rFonts w:eastAsia="Times New Roman"/>
          <w:color w:val="000000"/>
          <w:szCs w:val="22"/>
          <w:lang w:val="en-NZ" w:eastAsia="en-NZ"/>
        </w:rPr>
        <w:tab/>
      </w:r>
      <w:r w:rsidRPr="00A74309">
        <w:rPr>
          <w:rFonts w:eastAsia="Times New Roman"/>
          <w:color w:val="000000"/>
          <w:szCs w:val="22"/>
          <w:lang w:val="en-NZ" w:eastAsia="en-NZ"/>
        </w:rPr>
        <w:t xml:space="preserve">Outcomes from the 2015 Regional plant protection workshops </w:t>
      </w:r>
    </w:p>
    <w:p w:rsidR="00B05FE3" w:rsidRPr="00A74309" w:rsidRDefault="00B05FE3" w:rsidP="00B05FE3">
      <w:pPr>
        <w:pStyle w:val="IPPPargraphnumbering"/>
        <w:ind w:left="284" w:hanging="766"/>
        <w:rPr>
          <w:rFonts w:eastAsia="Times New Roman"/>
          <w:color w:val="000000"/>
          <w:szCs w:val="22"/>
          <w:lang w:val="en-NZ" w:eastAsia="en-NZ"/>
        </w:rPr>
      </w:pPr>
      <w:r w:rsidRPr="009A4235">
        <w:rPr>
          <w:rFonts w:eastAsia="Times New Roman"/>
          <w:color w:val="000000"/>
          <w:szCs w:val="22"/>
          <w:lang w:val="en-NZ" w:eastAsia="en-NZ"/>
        </w:rPr>
        <w:t>2.</w:t>
      </w:r>
      <w:r w:rsidRPr="009A4235">
        <w:rPr>
          <w:rFonts w:eastAsia="Times New Roman"/>
          <w:color w:val="000000"/>
          <w:szCs w:val="22"/>
          <w:lang w:val="en-NZ" w:eastAsia="en-NZ"/>
        </w:rPr>
        <w:tab/>
      </w:r>
      <w:r w:rsidRPr="00A74309">
        <w:rPr>
          <w:rFonts w:eastAsia="Times New Roman"/>
          <w:color w:val="000000"/>
          <w:szCs w:val="22"/>
          <w:lang w:val="en-NZ" w:eastAsia="en-NZ"/>
        </w:rPr>
        <w:t xml:space="preserve">Discuss the new treatments under MC 2015 </w:t>
      </w:r>
    </w:p>
    <w:p w:rsidR="00B05FE3" w:rsidRPr="009A4235" w:rsidRDefault="00B05FE3" w:rsidP="00B05FE3">
      <w:pPr>
        <w:pStyle w:val="IPPPargraphnumbering"/>
        <w:ind w:left="284" w:hanging="766"/>
        <w:rPr>
          <w:szCs w:val="22"/>
        </w:rPr>
      </w:pPr>
      <w:r w:rsidRPr="009A4235">
        <w:rPr>
          <w:rFonts w:eastAsia="Times New Roman"/>
          <w:color w:val="000000"/>
          <w:szCs w:val="22"/>
          <w:lang w:val="en-NZ" w:eastAsia="en-NZ"/>
        </w:rPr>
        <w:t>3.</w:t>
      </w:r>
      <w:r w:rsidRPr="009A4235">
        <w:rPr>
          <w:rFonts w:eastAsia="Times New Roman"/>
          <w:color w:val="000000"/>
          <w:szCs w:val="22"/>
          <w:lang w:val="en-NZ" w:eastAsia="en-NZ"/>
        </w:rPr>
        <w:tab/>
      </w:r>
      <w:r w:rsidRPr="00A74309">
        <w:rPr>
          <w:rFonts w:eastAsia="Times New Roman"/>
          <w:color w:val="000000"/>
          <w:szCs w:val="22"/>
          <w:lang w:val="en-NZ" w:eastAsia="en-NZ"/>
        </w:rPr>
        <w:t>Possible results from IRSS survey on ISPM 15</w:t>
      </w:r>
    </w:p>
    <w:p w:rsidR="00B05FE3" w:rsidRPr="009A4235" w:rsidRDefault="00B05FE3" w:rsidP="00B05FE3">
      <w:pPr>
        <w:pStyle w:val="IPPPargraphnumbering"/>
        <w:rPr>
          <w:szCs w:val="22"/>
          <w:u w:val="single"/>
        </w:rPr>
      </w:pPr>
      <w:r w:rsidRPr="00A74309">
        <w:rPr>
          <w:rFonts w:eastAsia="Times New Roman"/>
          <w:color w:val="000000"/>
          <w:szCs w:val="22"/>
          <w:u w:val="single"/>
          <w:lang w:val="en-NZ" w:eastAsia="en-NZ"/>
        </w:rPr>
        <w:t>Wood handicrafts</w:t>
      </w:r>
      <w:r w:rsidRPr="009A4235">
        <w:rPr>
          <w:rFonts w:eastAsia="Times New Roman"/>
          <w:color w:val="000000"/>
          <w:szCs w:val="22"/>
          <w:u w:val="single"/>
          <w:lang w:val="en-NZ" w:eastAsia="en-NZ"/>
        </w:rPr>
        <w:t>:</w:t>
      </w:r>
    </w:p>
    <w:p w:rsidR="00B05FE3" w:rsidRPr="00A74309" w:rsidRDefault="00B05FE3" w:rsidP="00B05FE3">
      <w:pPr>
        <w:pStyle w:val="IPPPargraphnumbering"/>
        <w:ind w:left="284" w:hanging="766"/>
        <w:rPr>
          <w:rFonts w:eastAsia="Times New Roman"/>
          <w:color w:val="000000"/>
          <w:szCs w:val="22"/>
          <w:lang w:val="en-NZ" w:eastAsia="en-NZ"/>
        </w:rPr>
      </w:pPr>
      <w:r w:rsidRPr="009A4235">
        <w:rPr>
          <w:rFonts w:eastAsia="Times New Roman"/>
          <w:color w:val="000000"/>
          <w:szCs w:val="22"/>
          <w:lang w:val="en-NZ" w:eastAsia="en-NZ"/>
        </w:rPr>
        <w:t>1.</w:t>
      </w:r>
      <w:r w:rsidRPr="009A4235">
        <w:rPr>
          <w:rFonts w:eastAsia="Times New Roman"/>
          <w:color w:val="000000"/>
          <w:szCs w:val="22"/>
          <w:lang w:val="en-NZ" w:eastAsia="en-NZ"/>
        </w:rPr>
        <w:tab/>
      </w:r>
      <w:r w:rsidRPr="00A74309">
        <w:rPr>
          <w:rFonts w:eastAsia="Times New Roman"/>
          <w:color w:val="000000"/>
          <w:szCs w:val="22"/>
          <w:lang w:val="en-NZ" w:eastAsia="en-NZ"/>
        </w:rPr>
        <w:t xml:space="preserve">Large number of handcrafts with different risks (discussion on the understanding of “handicrafts”) </w:t>
      </w:r>
    </w:p>
    <w:p w:rsidR="00B05FE3" w:rsidRPr="00A74309" w:rsidRDefault="00B05FE3" w:rsidP="00B05FE3">
      <w:pPr>
        <w:pStyle w:val="IPPPargraphnumbering"/>
        <w:ind w:left="284" w:hanging="766"/>
        <w:rPr>
          <w:rFonts w:eastAsia="Times New Roman"/>
          <w:color w:val="000000"/>
          <w:szCs w:val="22"/>
          <w:lang w:val="en-NZ" w:eastAsia="en-NZ"/>
        </w:rPr>
      </w:pPr>
      <w:r w:rsidRPr="009A4235">
        <w:rPr>
          <w:rFonts w:eastAsia="Times New Roman"/>
          <w:color w:val="000000"/>
          <w:szCs w:val="22"/>
          <w:lang w:val="en-NZ" w:eastAsia="en-NZ"/>
        </w:rPr>
        <w:t>2.</w:t>
      </w:r>
      <w:r w:rsidRPr="009A4235">
        <w:rPr>
          <w:rFonts w:eastAsia="Times New Roman"/>
          <w:color w:val="000000"/>
          <w:szCs w:val="22"/>
          <w:lang w:val="en-NZ" w:eastAsia="en-NZ"/>
        </w:rPr>
        <w:tab/>
      </w:r>
      <w:r w:rsidRPr="00A74309">
        <w:rPr>
          <w:rFonts w:eastAsia="Times New Roman"/>
          <w:color w:val="000000"/>
          <w:szCs w:val="22"/>
          <w:lang w:val="en-NZ" w:eastAsia="en-NZ"/>
        </w:rPr>
        <w:t xml:space="preserve">Proposal to have an ISPM 15-type approach for certain high risk handicrafts </w:t>
      </w:r>
    </w:p>
    <w:p w:rsidR="00B05FE3" w:rsidRPr="00A74309" w:rsidRDefault="00B05FE3" w:rsidP="00B05FE3">
      <w:pPr>
        <w:pStyle w:val="IPPPargraphnumbering"/>
        <w:ind w:left="284" w:hanging="766"/>
        <w:rPr>
          <w:rFonts w:eastAsia="Times New Roman"/>
          <w:color w:val="000000"/>
          <w:szCs w:val="22"/>
          <w:lang w:val="en-NZ" w:eastAsia="en-NZ"/>
        </w:rPr>
      </w:pPr>
      <w:r w:rsidRPr="009A4235">
        <w:rPr>
          <w:rFonts w:eastAsia="Times New Roman"/>
          <w:color w:val="000000"/>
          <w:szCs w:val="22"/>
          <w:lang w:val="en-NZ" w:eastAsia="en-NZ"/>
        </w:rPr>
        <w:t>3.</w:t>
      </w:r>
      <w:r w:rsidRPr="009A4235">
        <w:rPr>
          <w:rFonts w:eastAsia="Times New Roman"/>
          <w:color w:val="000000"/>
          <w:szCs w:val="22"/>
          <w:lang w:val="en-NZ" w:eastAsia="en-NZ"/>
        </w:rPr>
        <w:tab/>
      </w:r>
      <w:r w:rsidRPr="00A74309">
        <w:rPr>
          <w:rFonts w:eastAsia="Times New Roman"/>
          <w:color w:val="000000"/>
          <w:szCs w:val="22"/>
          <w:lang w:val="en-NZ" w:eastAsia="en-NZ"/>
        </w:rPr>
        <w:t xml:space="preserve">Possible proposal to introduce the concept of a “certificate of compliance” or mark / symbol for handicrafts </w:t>
      </w:r>
    </w:p>
    <w:p w:rsidR="00B05FE3" w:rsidRPr="00A74309" w:rsidRDefault="00B05FE3" w:rsidP="00B05FE3">
      <w:pPr>
        <w:pStyle w:val="IPPPargraphnumbering"/>
        <w:ind w:left="284" w:hanging="766"/>
        <w:rPr>
          <w:rFonts w:eastAsia="Times New Roman"/>
          <w:color w:val="000000"/>
          <w:szCs w:val="22"/>
          <w:lang w:val="en-NZ" w:eastAsia="en-NZ"/>
        </w:rPr>
      </w:pPr>
      <w:r w:rsidRPr="009A4235">
        <w:rPr>
          <w:rFonts w:eastAsia="Times New Roman"/>
          <w:color w:val="000000"/>
          <w:szCs w:val="22"/>
          <w:lang w:val="en-NZ" w:eastAsia="en-NZ"/>
        </w:rPr>
        <w:t>4.</w:t>
      </w:r>
      <w:r w:rsidRPr="009A4235">
        <w:rPr>
          <w:rFonts w:eastAsia="Times New Roman"/>
          <w:color w:val="000000"/>
          <w:szCs w:val="22"/>
          <w:lang w:val="en-NZ" w:eastAsia="en-NZ"/>
        </w:rPr>
        <w:tab/>
      </w:r>
      <w:r w:rsidRPr="00A74309">
        <w:rPr>
          <w:rFonts w:eastAsia="Times New Roman"/>
          <w:color w:val="000000"/>
          <w:szCs w:val="22"/>
          <w:lang w:val="en-NZ" w:eastAsia="en-NZ"/>
        </w:rPr>
        <w:t xml:space="preserve">Lack of available treatments </w:t>
      </w:r>
    </w:p>
    <w:p w:rsidR="00B05FE3" w:rsidRPr="00A74309" w:rsidRDefault="00B05FE3" w:rsidP="00B05FE3">
      <w:pPr>
        <w:pStyle w:val="IPPPargraphnumbering"/>
        <w:ind w:left="284" w:hanging="766"/>
        <w:rPr>
          <w:rFonts w:eastAsia="Times New Roman"/>
          <w:color w:val="000000"/>
          <w:szCs w:val="22"/>
          <w:lang w:val="en-NZ" w:eastAsia="en-NZ"/>
        </w:rPr>
      </w:pPr>
      <w:r w:rsidRPr="009A4235">
        <w:rPr>
          <w:rFonts w:eastAsia="Times New Roman"/>
          <w:color w:val="000000"/>
          <w:szCs w:val="22"/>
          <w:lang w:val="en-NZ" w:eastAsia="en-NZ"/>
        </w:rPr>
        <w:t>5.</w:t>
      </w:r>
      <w:r w:rsidRPr="009A4235">
        <w:rPr>
          <w:rFonts w:eastAsia="Times New Roman"/>
          <w:color w:val="000000"/>
          <w:szCs w:val="22"/>
          <w:lang w:val="en-NZ" w:eastAsia="en-NZ"/>
        </w:rPr>
        <w:tab/>
      </w:r>
      <w:r w:rsidRPr="00A74309">
        <w:rPr>
          <w:rFonts w:eastAsia="Times New Roman"/>
          <w:color w:val="000000"/>
          <w:szCs w:val="22"/>
          <w:lang w:val="en-NZ" w:eastAsia="en-NZ"/>
        </w:rPr>
        <w:t xml:space="preserve">Issues associated with commercial vs. personal import </w:t>
      </w:r>
    </w:p>
    <w:p w:rsidR="00B05FE3" w:rsidRPr="009A4235" w:rsidRDefault="00B05FE3" w:rsidP="00B05FE3">
      <w:pPr>
        <w:pStyle w:val="IPPPargraphnumbering"/>
        <w:ind w:left="284" w:hanging="766"/>
        <w:rPr>
          <w:szCs w:val="22"/>
        </w:rPr>
      </w:pPr>
      <w:r w:rsidRPr="009A4235">
        <w:rPr>
          <w:rFonts w:eastAsia="Times New Roman"/>
          <w:color w:val="000000"/>
          <w:szCs w:val="22"/>
          <w:lang w:val="en-NZ" w:eastAsia="en-NZ"/>
        </w:rPr>
        <w:t>6.</w:t>
      </w:r>
      <w:r w:rsidRPr="009A4235">
        <w:rPr>
          <w:rFonts w:eastAsia="Times New Roman"/>
          <w:color w:val="000000"/>
          <w:szCs w:val="22"/>
          <w:lang w:val="en-NZ" w:eastAsia="en-NZ"/>
        </w:rPr>
        <w:tab/>
      </w:r>
      <w:r w:rsidRPr="00A74309">
        <w:rPr>
          <w:rFonts w:eastAsia="Times New Roman"/>
          <w:color w:val="000000"/>
          <w:szCs w:val="22"/>
          <w:lang w:val="en-NZ" w:eastAsia="en-NZ"/>
        </w:rPr>
        <w:t>Possible implementation issues (e.g. small producers / determining compliance)</w:t>
      </w:r>
    </w:p>
    <w:sectPr w:rsidR="00B05FE3" w:rsidRPr="009A4235" w:rsidSect="00351E42">
      <w:headerReference w:type="even" r:id="rId8"/>
      <w:headerReference w:type="default" r:id="rId9"/>
      <w:footerReference w:type="even" r:id="rId10"/>
      <w:footerReference w:type="default" r:id="rId11"/>
      <w:headerReference w:type="first" r:id="rId12"/>
      <w:footerReference w:type="first" r:id="rId13"/>
      <w:pgSz w:w="11907" w:h="16840" w:code="9"/>
      <w:pgMar w:top="155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93E" w:rsidRDefault="00A9093E">
      <w:r>
        <w:separator/>
      </w:r>
    </w:p>
  </w:endnote>
  <w:endnote w:type="continuationSeparator" w:id="0">
    <w:p w:rsidR="00A9093E" w:rsidRDefault="00A9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Akhba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06" w:rsidRPr="002D2BC1" w:rsidRDefault="005C4006" w:rsidP="005C4006">
    <w:pPr>
      <w:pStyle w:val="Footer"/>
      <w:pBdr>
        <w:top w:val="single" w:sz="4" w:space="1" w:color="auto"/>
      </w:pBdr>
      <w:tabs>
        <w:tab w:val="clear" w:pos="4680"/>
        <w:tab w:val="clear" w:pos="9360"/>
        <w:tab w:val="left" w:pos="142"/>
      </w:tabs>
      <w:jc w:val="left"/>
      <w:rPr>
        <w:rFonts w:ascii="Arial" w:hAnsi="Arial" w:cs="Arial"/>
        <w:sz w:val="18"/>
        <w:szCs w:val="18"/>
      </w:rPr>
    </w:pPr>
    <w:r w:rsidRPr="009841F6">
      <w:rPr>
        <w:rFonts w:ascii="Arial" w:hAnsi="Arial" w:cs="Arial"/>
        <w:sz w:val="18"/>
        <w:szCs w:val="18"/>
      </w:rPr>
      <w:t xml:space="preserve">Page </w:t>
    </w:r>
    <w:r w:rsidR="008A214A" w:rsidRPr="009841F6">
      <w:rPr>
        <w:rFonts w:ascii="Arial" w:hAnsi="Arial" w:cs="Arial"/>
        <w:sz w:val="18"/>
        <w:szCs w:val="18"/>
      </w:rPr>
      <w:fldChar w:fldCharType="begin"/>
    </w:r>
    <w:r w:rsidRPr="009841F6">
      <w:rPr>
        <w:rFonts w:ascii="Arial" w:hAnsi="Arial" w:cs="Arial"/>
        <w:sz w:val="18"/>
        <w:szCs w:val="18"/>
      </w:rPr>
      <w:instrText xml:space="preserve"> PAGE </w:instrText>
    </w:r>
    <w:r w:rsidR="008A214A" w:rsidRPr="009841F6">
      <w:rPr>
        <w:rFonts w:ascii="Arial" w:hAnsi="Arial" w:cs="Arial"/>
        <w:sz w:val="18"/>
        <w:szCs w:val="18"/>
      </w:rPr>
      <w:fldChar w:fldCharType="separate"/>
    </w:r>
    <w:r w:rsidR="0021780E">
      <w:rPr>
        <w:rFonts w:ascii="Arial" w:hAnsi="Arial" w:cs="Arial"/>
        <w:noProof/>
        <w:sz w:val="18"/>
        <w:szCs w:val="18"/>
      </w:rPr>
      <w:t>2</w:t>
    </w:r>
    <w:r w:rsidR="008A214A" w:rsidRPr="009841F6">
      <w:rPr>
        <w:rFonts w:ascii="Arial" w:hAnsi="Arial" w:cs="Arial"/>
        <w:sz w:val="18"/>
        <w:szCs w:val="18"/>
      </w:rPr>
      <w:fldChar w:fldCharType="end"/>
    </w:r>
    <w:r w:rsidRPr="009841F6">
      <w:rPr>
        <w:rFonts w:ascii="Arial" w:hAnsi="Arial" w:cs="Arial"/>
        <w:sz w:val="18"/>
        <w:szCs w:val="18"/>
      </w:rPr>
      <w:t xml:space="preserve"> of </w:t>
    </w:r>
    <w:r w:rsidR="008A214A" w:rsidRPr="009841F6">
      <w:rPr>
        <w:rFonts w:ascii="Arial" w:hAnsi="Arial" w:cs="Arial"/>
        <w:sz w:val="18"/>
        <w:szCs w:val="18"/>
      </w:rPr>
      <w:fldChar w:fldCharType="begin"/>
    </w:r>
    <w:r w:rsidRPr="009841F6">
      <w:rPr>
        <w:rFonts w:ascii="Arial" w:hAnsi="Arial" w:cs="Arial"/>
        <w:sz w:val="18"/>
        <w:szCs w:val="18"/>
      </w:rPr>
      <w:instrText xml:space="preserve"> NUMPAGES  </w:instrText>
    </w:r>
    <w:r w:rsidR="008A214A" w:rsidRPr="009841F6">
      <w:rPr>
        <w:rFonts w:ascii="Arial" w:hAnsi="Arial" w:cs="Arial"/>
        <w:sz w:val="18"/>
        <w:szCs w:val="18"/>
      </w:rPr>
      <w:fldChar w:fldCharType="separate"/>
    </w:r>
    <w:r w:rsidR="0021780E">
      <w:rPr>
        <w:rFonts w:ascii="Arial" w:hAnsi="Arial" w:cs="Arial"/>
        <w:noProof/>
        <w:sz w:val="18"/>
        <w:szCs w:val="18"/>
      </w:rPr>
      <w:t>5</w:t>
    </w:r>
    <w:r w:rsidR="008A214A" w:rsidRPr="009841F6">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EB" w:rsidRPr="002D2BC1" w:rsidRDefault="00766EEB" w:rsidP="002D2BC1">
    <w:pPr>
      <w:pStyle w:val="Footer"/>
      <w:pBdr>
        <w:top w:val="single" w:sz="4" w:space="1" w:color="auto"/>
      </w:pBdr>
      <w:jc w:val="right"/>
      <w:rPr>
        <w:rFonts w:ascii="Arial" w:hAnsi="Arial" w:cs="Arial"/>
        <w:sz w:val="18"/>
        <w:szCs w:val="18"/>
      </w:rPr>
    </w:pPr>
    <w:r w:rsidRPr="009841F6">
      <w:rPr>
        <w:rFonts w:ascii="Arial" w:hAnsi="Arial" w:cs="Arial"/>
        <w:sz w:val="18"/>
        <w:szCs w:val="18"/>
      </w:rPr>
      <w:t xml:space="preserve">Page </w:t>
    </w:r>
    <w:r w:rsidR="008A214A" w:rsidRPr="009841F6">
      <w:rPr>
        <w:rFonts w:ascii="Arial" w:hAnsi="Arial" w:cs="Arial"/>
        <w:sz w:val="18"/>
        <w:szCs w:val="18"/>
      </w:rPr>
      <w:fldChar w:fldCharType="begin"/>
    </w:r>
    <w:r w:rsidRPr="009841F6">
      <w:rPr>
        <w:rFonts w:ascii="Arial" w:hAnsi="Arial" w:cs="Arial"/>
        <w:sz w:val="18"/>
        <w:szCs w:val="18"/>
      </w:rPr>
      <w:instrText xml:space="preserve"> PAGE </w:instrText>
    </w:r>
    <w:r w:rsidR="008A214A" w:rsidRPr="009841F6">
      <w:rPr>
        <w:rFonts w:ascii="Arial" w:hAnsi="Arial" w:cs="Arial"/>
        <w:sz w:val="18"/>
        <w:szCs w:val="18"/>
      </w:rPr>
      <w:fldChar w:fldCharType="separate"/>
    </w:r>
    <w:r w:rsidR="0021780E">
      <w:rPr>
        <w:rFonts w:ascii="Arial" w:hAnsi="Arial" w:cs="Arial"/>
        <w:noProof/>
        <w:sz w:val="18"/>
        <w:szCs w:val="18"/>
      </w:rPr>
      <w:t>3</w:t>
    </w:r>
    <w:r w:rsidR="008A214A" w:rsidRPr="009841F6">
      <w:rPr>
        <w:rFonts w:ascii="Arial" w:hAnsi="Arial" w:cs="Arial"/>
        <w:sz w:val="18"/>
        <w:szCs w:val="18"/>
      </w:rPr>
      <w:fldChar w:fldCharType="end"/>
    </w:r>
    <w:r w:rsidRPr="009841F6">
      <w:rPr>
        <w:rFonts w:ascii="Arial" w:hAnsi="Arial" w:cs="Arial"/>
        <w:sz w:val="18"/>
        <w:szCs w:val="18"/>
      </w:rPr>
      <w:t xml:space="preserve"> of </w:t>
    </w:r>
    <w:r w:rsidR="008A214A" w:rsidRPr="009841F6">
      <w:rPr>
        <w:rFonts w:ascii="Arial" w:hAnsi="Arial" w:cs="Arial"/>
        <w:sz w:val="18"/>
        <w:szCs w:val="18"/>
      </w:rPr>
      <w:fldChar w:fldCharType="begin"/>
    </w:r>
    <w:r w:rsidRPr="009841F6">
      <w:rPr>
        <w:rFonts w:ascii="Arial" w:hAnsi="Arial" w:cs="Arial"/>
        <w:sz w:val="18"/>
        <w:szCs w:val="18"/>
      </w:rPr>
      <w:instrText xml:space="preserve"> NUMPAGES  </w:instrText>
    </w:r>
    <w:r w:rsidR="008A214A" w:rsidRPr="009841F6">
      <w:rPr>
        <w:rFonts w:ascii="Arial" w:hAnsi="Arial" w:cs="Arial"/>
        <w:sz w:val="18"/>
        <w:szCs w:val="18"/>
      </w:rPr>
      <w:fldChar w:fldCharType="separate"/>
    </w:r>
    <w:r w:rsidR="0021780E">
      <w:rPr>
        <w:rFonts w:ascii="Arial" w:hAnsi="Arial" w:cs="Arial"/>
        <w:noProof/>
        <w:sz w:val="18"/>
        <w:szCs w:val="18"/>
      </w:rPr>
      <w:t>5</w:t>
    </w:r>
    <w:r w:rsidR="008A214A" w:rsidRPr="009841F6">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42" w:rsidRPr="00351E42" w:rsidRDefault="00351E42" w:rsidP="00351E42">
    <w:pPr>
      <w:pStyle w:val="IPPFooter"/>
    </w:pPr>
    <w:r w:rsidRPr="00351E42">
      <w:t>International Plant Protection Convention</w:t>
    </w:r>
    <w:r w:rsidRPr="00351E42">
      <w:tab/>
      <w:t xml:space="preserve">Page </w:t>
    </w:r>
    <w:r w:rsidR="00F36419">
      <w:fldChar w:fldCharType="begin"/>
    </w:r>
    <w:r w:rsidR="00F36419">
      <w:instrText xml:space="preserve"> PAGE </w:instrText>
    </w:r>
    <w:r w:rsidR="00F36419">
      <w:fldChar w:fldCharType="separate"/>
    </w:r>
    <w:r w:rsidR="0021780E">
      <w:rPr>
        <w:noProof/>
      </w:rPr>
      <w:t>1</w:t>
    </w:r>
    <w:r w:rsidR="00F36419">
      <w:rPr>
        <w:noProof/>
      </w:rPr>
      <w:fldChar w:fldCharType="end"/>
    </w:r>
    <w:r w:rsidRPr="00351E42">
      <w:t xml:space="preserve"> of </w:t>
    </w:r>
    <w:r w:rsidR="00F36419">
      <w:fldChar w:fldCharType="begin"/>
    </w:r>
    <w:r w:rsidR="00F36419">
      <w:instrText xml:space="preserve"> NUMPAGES  </w:instrText>
    </w:r>
    <w:r w:rsidR="00F36419">
      <w:fldChar w:fldCharType="separate"/>
    </w:r>
    <w:r w:rsidR="0021780E">
      <w:rPr>
        <w:noProof/>
      </w:rPr>
      <w:t>5</w:t>
    </w:r>
    <w:r w:rsidR="00F3641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93E" w:rsidRDefault="00A9093E">
      <w:r>
        <w:separator/>
      </w:r>
    </w:p>
  </w:footnote>
  <w:footnote w:type="continuationSeparator" w:id="0">
    <w:p w:rsidR="00A9093E" w:rsidRDefault="00A9093E">
      <w:r>
        <w:continuationSeparator/>
      </w:r>
    </w:p>
  </w:footnote>
  <w:footnote w:id="1">
    <w:p w:rsidR="00F842F9" w:rsidRPr="006D1B97" w:rsidRDefault="00F842F9" w:rsidP="00F842F9">
      <w:pPr>
        <w:pStyle w:val="FootnoteText"/>
      </w:pPr>
      <w:r>
        <w:rPr>
          <w:rStyle w:val="FootnoteReference"/>
        </w:rPr>
        <w:footnoteRef/>
      </w:r>
      <w:r>
        <w:t xml:space="preserve"> </w:t>
      </w:r>
      <w:r>
        <w:rPr>
          <w:lang w:val="en-US"/>
        </w:rPr>
        <w:t>CPM 2015/CRP/08</w:t>
      </w:r>
    </w:p>
  </w:footnote>
  <w:footnote w:id="2">
    <w:p w:rsidR="00E64C9B" w:rsidRPr="00696BF5" w:rsidRDefault="00E64C9B" w:rsidP="00E64C9B">
      <w:pPr>
        <w:pStyle w:val="FootnoteText"/>
        <w:rPr>
          <w:lang w:val="en-US"/>
        </w:rPr>
      </w:pPr>
      <w:r>
        <w:rPr>
          <w:rStyle w:val="FootnoteReference"/>
        </w:rPr>
        <w:footnoteRef/>
      </w:r>
      <w:r>
        <w:t xml:space="preserve"> </w:t>
      </w:r>
      <w:r>
        <w:rPr>
          <w:lang w:val="en-US"/>
        </w:rPr>
        <w:t>CPM 2015/12</w:t>
      </w:r>
    </w:p>
  </w:footnote>
  <w:footnote w:id="3">
    <w:p w:rsidR="00E64C9B" w:rsidRPr="00012561" w:rsidRDefault="00E64C9B" w:rsidP="00E64C9B">
      <w:pPr>
        <w:pStyle w:val="FootnoteText"/>
        <w:rPr>
          <w:sz w:val="22"/>
          <w:szCs w:val="22"/>
          <w:lang w:val="en-US"/>
        </w:rPr>
      </w:pPr>
      <w:r w:rsidRPr="00012561">
        <w:rPr>
          <w:rStyle w:val="FootnoteReference"/>
          <w:szCs w:val="22"/>
        </w:rPr>
        <w:footnoteRef/>
      </w:r>
      <w:r w:rsidRPr="00012561">
        <w:rPr>
          <w:sz w:val="22"/>
          <w:szCs w:val="22"/>
        </w:rPr>
        <w:t xml:space="preserve"> </w:t>
      </w:r>
      <w:bookmarkStart w:id="1" w:name="FirstCoverIdentificationBookmark"/>
      <w:r w:rsidRPr="00012561">
        <w:rPr>
          <w:sz w:val="22"/>
          <w:szCs w:val="22"/>
        </w:rPr>
        <w:t>CPM 2015/INF/10</w:t>
      </w:r>
      <w:bookmarkEnd w:id="1"/>
      <w:r w:rsidRPr="00012561">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06" w:rsidRPr="004736B6" w:rsidRDefault="005C4006" w:rsidP="005C4006">
    <w:pPr>
      <w:pStyle w:val="IPPHeader"/>
      <w:spacing w:after="0"/>
      <w:rPr>
        <w:rFonts w:cs="Arial"/>
        <w:i/>
        <w:szCs w:val="18"/>
        <w:lang w:val="fr-FR"/>
      </w:rPr>
    </w:pPr>
    <w:r w:rsidRPr="005C4006">
      <w:rPr>
        <w:rFonts w:cs="Arial"/>
        <w:szCs w:val="18"/>
      </w:rPr>
      <w:t>Secretariat update</w:t>
    </w:r>
    <w:r w:rsidRPr="005173EC">
      <w:tab/>
    </w:r>
    <w:r w:rsidR="0021780E">
      <w:t>02</w:t>
    </w:r>
    <w:r w:rsidR="00461398">
      <w:t>_</w:t>
    </w:r>
    <w:r w:rsidR="004429CC">
      <w:t>TPFQ_2015</w:t>
    </w:r>
    <w:r>
      <w:t>_</w:t>
    </w:r>
    <w:r w:rsidR="004429CC">
      <w:t>Jun</w:t>
    </w:r>
  </w:p>
  <w:p w:rsidR="005C4006" w:rsidRPr="005C4006" w:rsidRDefault="005C4006" w:rsidP="005C4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06" w:rsidRPr="004736B6" w:rsidRDefault="00C41C10" w:rsidP="005C4006">
    <w:pPr>
      <w:pStyle w:val="IPPHeader"/>
      <w:spacing w:after="0"/>
      <w:rPr>
        <w:rFonts w:cs="Arial"/>
        <w:i/>
        <w:szCs w:val="18"/>
        <w:lang w:val="fr-FR"/>
      </w:rPr>
    </w:pPr>
    <w:r>
      <w:t>0</w:t>
    </w:r>
    <w:r w:rsidR="0021780E">
      <w:t>2</w:t>
    </w:r>
    <w:r w:rsidR="00461398">
      <w:t>_</w:t>
    </w:r>
    <w:r>
      <w:t>TPFQ_2014</w:t>
    </w:r>
    <w:r w:rsidR="005C4006">
      <w:t>_</w:t>
    </w:r>
    <w:r>
      <w:t>Oct</w:t>
    </w:r>
    <w:r w:rsidR="005C4006" w:rsidRPr="005173EC">
      <w:tab/>
    </w:r>
    <w:r w:rsidR="005C4006" w:rsidRPr="005C4006">
      <w:rPr>
        <w:rFonts w:cs="Arial"/>
        <w:szCs w:val="18"/>
      </w:rPr>
      <w:t>Secretariat update</w:t>
    </w:r>
  </w:p>
  <w:p w:rsidR="00766EEB" w:rsidRPr="005C4006" w:rsidRDefault="00766EEB" w:rsidP="005C4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42" w:rsidRDefault="00AC14A0" w:rsidP="009A4235">
    <w:pPr>
      <w:pStyle w:val="IPPHeader"/>
      <w:spacing w:after="0"/>
      <w:rPr>
        <w:rFonts w:cs="Arial"/>
        <w:szCs w:val="18"/>
      </w:rPr>
    </w:pPr>
    <w:r>
      <w:rPr>
        <w:rFonts w:cs="Arial"/>
        <w:noProof/>
        <w:szCs w:val="18"/>
        <w:lang w:val="en-NZ" w:eastAsia="en-NZ"/>
      </w:rPr>
      <w:drawing>
        <wp:anchor distT="0" distB="0" distL="114300" distR="114300" simplePos="0" relativeHeight="251656192" behindDoc="0" locked="0" layoutInCell="1" allowOverlap="1" wp14:anchorId="7CE24FBC" wp14:editId="1119E3EC">
          <wp:simplePos x="0" y="0"/>
          <wp:positionH relativeFrom="column">
            <wp:posOffset>53975</wp:posOffset>
          </wp:positionH>
          <wp:positionV relativeFrom="paragraph">
            <wp:posOffset>-50800</wp:posOffset>
          </wp:positionV>
          <wp:extent cx="635000" cy="330200"/>
          <wp:effectExtent l="19050" t="0" r="0" b="0"/>
          <wp:wrapSquare wrapText="bothSides"/>
          <wp:docPr id="6"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1"/>
                  <a:srcRect/>
                  <a:stretch>
                    <a:fillRect/>
                  </a:stretch>
                </pic:blipFill>
                <pic:spPr bwMode="auto">
                  <a:xfrm>
                    <a:off x="0" y="0"/>
                    <a:ext cx="635000" cy="330200"/>
                  </a:xfrm>
                  <a:prstGeom prst="rect">
                    <a:avLst/>
                  </a:prstGeom>
                  <a:noFill/>
                  <a:ln w="9525">
                    <a:noFill/>
                    <a:miter lim="800000"/>
                    <a:headEnd/>
                    <a:tailEnd/>
                  </a:ln>
                </pic:spPr>
              </pic:pic>
            </a:graphicData>
          </a:graphic>
        </wp:anchor>
      </w:drawing>
    </w:r>
    <w:r>
      <w:rPr>
        <w:rFonts w:cs="Arial"/>
        <w:noProof/>
        <w:szCs w:val="18"/>
        <w:lang w:val="en-NZ" w:eastAsia="en-NZ"/>
      </w:rPr>
      <w:drawing>
        <wp:anchor distT="0" distB="0" distL="114300" distR="114300" simplePos="0" relativeHeight="251659264" behindDoc="0" locked="0" layoutInCell="1" allowOverlap="1" wp14:anchorId="29499BB1" wp14:editId="07E6AFAB">
          <wp:simplePos x="0" y="0"/>
          <wp:positionH relativeFrom="column">
            <wp:posOffset>-921385</wp:posOffset>
          </wp:positionH>
          <wp:positionV relativeFrom="paragraph">
            <wp:posOffset>-521335</wp:posOffset>
          </wp:positionV>
          <wp:extent cx="7597140" cy="426720"/>
          <wp:effectExtent l="19050" t="0" r="381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597140" cy="426720"/>
                  </a:xfrm>
                  <a:prstGeom prst="rect">
                    <a:avLst/>
                  </a:prstGeom>
                  <a:noFill/>
                  <a:ln w="9525">
                    <a:noFill/>
                    <a:miter lim="800000"/>
                    <a:headEnd/>
                    <a:tailEnd/>
                  </a:ln>
                </pic:spPr>
              </pic:pic>
            </a:graphicData>
          </a:graphic>
        </wp:anchor>
      </w:drawing>
    </w:r>
    <w:r w:rsidR="00351E42" w:rsidRPr="001D6E85">
      <w:t>International Plant P</w:t>
    </w:r>
    <w:r w:rsidR="00351E42">
      <w:t>rotection Convention</w:t>
    </w:r>
    <w:r w:rsidR="00351E42">
      <w:tab/>
    </w:r>
    <w:r w:rsidR="0021780E">
      <w:t>02</w:t>
    </w:r>
    <w:r w:rsidR="00461398">
      <w:t>_</w:t>
    </w:r>
    <w:r w:rsidR="00351E42">
      <w:rPr>
        <w:rFonts w:cs="Arial"/>
        <w:szCs w:val="18"/>
      </w:rPr>
      <w:t>TPFQ</w:t>
    </w:r>
    <w:r w:rsidR="004429CC">
      <w:rPr>
        <w:rFonts w:cs="Arial"/>
        <w:szCs w:val="18"/>
      </w:rPr>
      <w:t>_2015</w:t>
    </w:r>
    <w:r w:rsidR="00351E42" w:rsidRPr="001B1C89">
      <w:rPr>
        <w:rFonts w:cs="Arial"/>
        <w:szCs w:val="18"/>
      </w:rPr>
      <w:t>_</w:t>
    </w:r>
    <w:r w:rsidR="004429CC">
      <w:rPr>
        <w:rFonts w:cs="Arial"/>
        <w:szCs w:val="18"/>
      </w:rPr>
      <w:t>Jun</w:t>
    </w:r>
  </w:p>
  <w:p w:rsidR="00351E42" w:rsidRPr="00351E42" w:rsidRDefault="00351E42" w:rsidP="0020101C">
    <w:pPr>
      <w:pStyle w:val="IPPHeader"/>
      <w:spacing w:after="0"/>
      <w:rPr>
        <w:rFonts w:cs="Arial"/>
        <w:i/>
        <w:szCs w:val="18"/>
      </w:rPr>
    </w:pPr>
    <w:r>
      <w:rPr>
        <w:rFonts w:cs="Arial"/>
        <w:i/>
        <w:szCs w:val="18"/>
      </w:rPr>
      <w:t>Secretariat update</w:t>
    </w:r>
    <w:r>
      <w:rPr>
        <w:i/>
        <w:sz w:val="20"/>
      </w:rPr>
      <w:tab/>
    </w:r>
    <w:r>
      <w:rPr>
        <w:i/>
        <w:iCs/>
      </w:rPr>
      <w:t>Agenda item: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styleLink w:val="IPPList"/>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C16C4E"/>
    <w:multiLevelType w:val="hybridMultilevel"/>
    <w:tmpl w:val="B750EC1C"/>
    <w:lvl w:ilvl="0" w:tplc="FFFFFFFF">
      <w:start w:val="1"/>
      <w:numFmt w:val="bullet"/>
      <w:pStyle w:val="BulletList"/>
      <w:lvlText w:val=""/>
      <w:lvlJc w:val="left"/>
      <w:pPr>
        <w:ind w:left="1077" w:hanging="360"/>
      </w:pPr>
      <w:rPr>
        <w:rFonts w:ascii="Symbol" w:hAnsi="Symbol" w:hint="default"/>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 w15:restartNumberingAfterBreak="0">
    <w:nsid w:val="53A776E5"/>
    <w:multiLevelType w:val="hybridMultilevel"/>
    <w:tmpl w:val="E73EF442"/>
    <w:lvl w:ilvl="0" w:tplc="9B64C2C4">
      <w:start w:val="1"/>
      <w:numFmt w:val="bullet"/>
      <w:pStyle w:val="IPPParagraphNumbering"/>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5587739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672"/>
        </w:tabs>
        <w:ind w:left="6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69D7CDE"/>
    <w:multiLevelType w:val="multilevel"/>
    <w:tmpl w:val="06E871E4"/>
    <w:styleLink w:val="IPPList1"/>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0" w15:restartNumberingAfterBreak="0">
    <w:nsid w:val="5EB17618"/>
    <w:multiLevelType w:val="hybridMultilevel"/>
    <w:tmpl w:val="1EF4C8F4"/>
    <w:lvl w:ilvl="0" w:tplc="EA52EE32">
      <w:start w:val="1"/>
      <w:numFmt w:val="decimal"/>
      <w:pStyle w:val="ListNumber"/>
      <w:lvlText w:val="%1."/>
      <w:lvlJc w:val="left"/>
      <w:pPr>
        <w:tabs>
          <w:tab w:val="num" w:pos="1320"/>
        </w:tabs>
        <w:ind w:left="1320" w:hanging="720"/>
      </w:pPr>
      <w:rPr>
        <w:rFonts w:ascii="Times New Roman" w:hAnsi="Times New Roman" w:hint="default"/>
        <w:color w:val="auto"/>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FA4880"/>
    <w:multiLevelType w:val="multilevel"/>
    <w:tmpl w:val="127EDC8E"/>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12"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0"/>
  </w:num>
  <w:num w:numId="3">
    <w:abstractNumId w:val="12"/>
  </w:num>
  <w:num w:numId="4">
    <w:abstractNumId w:val="2"/>
  </w:num>
  <w:num w:numId="5">
    <w:abstractNumId w:val="4"/>
  </w:num>
  <w:num w:numId="6">
    <w:abstractNumId w:val="14"/>
  </w:num>
  <w:num w:numId="7">
    <w:abstractNumId w:val="7"/>
  </w:num>
  <w:num w:numId="8">
    <w:abstractNumId w:val="5"/>
  </w:num>
  <w:num w:numId="9">
    <w:abstractNumId w:val="15"/>
  </w:num>
  <w:num w:numId="10">
    <w:abstractNumId w:val="3"/>
  </w:num>
  <w:num w:numId="11">
    <w:abstractNumId w:val="1"/>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0"/>
  </w:num>
  <w:num w:numId="13">
    <w:abstractNumId w:val="13"/>
  </w:num>
  <w:num w:numId="14">
    <w:abstractNumId w:val="9"/>
  </w:num>
  <w:num w:numId="15">
    <w:abstractNumId w:val="11"/>
  </w:num>
  <w:num w:numId="16">
    <w:abstractNumId w:val="6"/>
  </w:num>
  <w:num w:numId="17">
    <w:abstractNumId w:val="0"/>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B9"/>
    <w:rsid w:val="00002A5E"/>
    <w:rsid w:val="000072AB"/>
    <w:rsid w:val="00010295"/>
    <w:rsid w:val="00012F6E"/>
    <w:rsid w:val="00021A84"/>
    <w:rsid w:val="00025A44"/>
    <w:rsid w:val="00040822"/>
    <w:rsid w:val="0004415D"/>
    <w:rsid w:val="00045DBB"/>
    <w:rsid w:val="00046857"/>
    <w:rsid w:val="00051E8C"/>
    <w:rsid w:val="00052CB9"/>
    <w:rsid w:val="00055934"/>
    <w:rsid w:val="00061A48"/>
    <w:rsid w:val="000670E2"/>
    <w:rsid w:val="00072AFA"/>
    <w:rsid w:val="000768CC"/>
    <w:rsid w:val="00077292"/>
    <w:rsid w:val="0007781E"/>
    <w:rsid w:val="0008108A"/>
    <w:rsid w:val="0008300E"/>
    <w:rsid w:val="00084913"/>
    <w:rsid w:val="00091F61"/>
    <w:rsid w:val="00093D3B"/>
    <w:rsid w:val="000A1766"/>
    <w:rsid w:val="000A4623"/>
    <w:rsid w:val="000A5F41"/>
    <w:rsid w:val="000A5F95"/>
    <w:rsid w:val="000A6113"/>
    <w:rsid w:val="000B18DD"/>
    <w:rsid w:val="000B3896"/>
    <w:rsid w:val="000B74EB"/>
    <w:rsid w:val="000C6F27"/>
    <w:rsid w:val="000D2072"/>
    <w:rsid w:val="000D484C"/>
    <w:rsid w:val="000D49AA"/>
    <w:rsid w:val="000E27E7"/>
    <w:rsid w:val="000E42E0"/>
    <w:rsid w:val="000E6026"/>
    <w:rsid w:val="000E691D"/>
    <w:rsid w:val="000F0BD2"/>
    <w:rsid w:val="000F3C8C"/>
    <w:rsid w:val="000F68F6"/>
    <w:rsid w:val="001007F1"/>
    <w:rsid w:val="00104601"/>
    <w:rsid w:val="00104B83"/>
    <w:rsid w:val="00105822"/>
    <w:rsid w:val="00107351"/>
    <w:rsid w:val="0012200E"/>
    <w:rsid w:val="00124CE7"/>
    <w:rsid w:val="00124FAA"/>
    <w:rsid w:val="00125C0F"/>
    <w:rsid w:val="00125E43"/>
    <w:rsid w:val="00130500"/>
    <w:rsid w:val="00132137"/>
    <w:rsid w:val="0013330A"/>
    <w:rsid w:val="00134189"/>
    <w:rsid w:val="00141D47"/>
    <w:rsid w:val="00142FC0"/>
    <w:rsid w:val="00147C6C"/>
    <w:rsid w:val="001506E1"/>
    <w:rsid w:val="001540BC"/>
    <w:rsid w:val="001542D6"/>
    <w:rsid w:val="00154BA6"/>
    <w:rsid w:val="00155490"/>
    <w:rsid w:val="001568A2"/>
    <w:rsid w:val="00156C0D"/>
    <w:rsid w:val="001636E3"/>
    <w:rsid w:val="0016738A"/>
    <w:rsid w:val="00167FC5"/>
    <w:rsid w:val="001715F2"/>
    <w:rsid w:val="0017167E"/>
    <w:rsid w:val="001720DB"/>
    <w:rsid w:val="00177FD9"/>
    <w:rsid w:val="001813BD"/>
    <w:rsid w:val="00182A77"/>
    <w:rsid w:val="00183259"/>
    <w:rsid w:val="00184389"/>
    <w:rsid w:val="00187877"/>
    <w:rsid w:val="00194A88"/>
    <w:rsid w:val="001A175E"/>
    <w:rsid w:val="001A2AC4"/>
    <w:rsid w:val="001A5A2B"/>
    <w:rsid w:val="001A73A7"/>
    <w:rsid w:val="001B02B9"/>
    <w:rsid w:val="001B071B"/>
    <w:rsid w:val="001B21AC"/>
    <w:rsid w:val="001B69A4"/>
    <w:rsid w:val="001C35DA"/>
    <w:rsid w:val="001D016F"/>
    <w:rsid w:val="001D1B03"/>
    <w:rsid w:val="001E071F"/>
    <w:rsid w:val="001E1D1A"/>
    <w:rsid w:val="001E5A27"/>
    <w:rsid w:val="001F1708"/>
    <w:rsid w:val="001F7A60"/>
    <w:rsid w:val="0020101C"/>
    <w:rsid w:val="00202269"/>
    <w:rsid w:val="00210045"/>
    <w:rsid w:val="00210CEC"/>
    <w:rsid w:val="00212D36"/>
    <w:rsid w:val="00212E3A"/>
    <w:rsid w:val="00213F4C"/>
    <w:rsid w:val="00213FDC"/>
    <w:rsid w:val="00216701"/>
    <w:rsid w:val="0021780E"/>
    <w:rsid w:val="00217AD0"/>
    <w:rsid w:val="00221213"/>
    <w:rsid w:val="00224B71"/>
    <w:rsid w:val="0022561F"/>
    <w:rsid w:val="002276FA"/>
    <w:rsid w:val="00231919"/>
    <w:rsid w:val="00231F64"/>
    <w:rsid w:val="00236128"/>
    <w:rsid w:val="002405BA"/>
    <w:rsid w:val="002423A0"/>
    <w:rsid w:val="00246E90"/>
    <w:rsid w:val="00247177"/>
    <w:rsid w:val="0025032E"/>
    <w:rsid w:val="002570CD"/>
    <w:rsid w:val="0026299A"/>
    <w:rsid w:val="002659F4"/>
    <w:rsid w:val="0027251C"/>
    <w:rsid w:val="00275BC5"/>
    <w:rsid w:val="002804DA"/>
    <w:rsid w:val="00280CC0"/>
    <w:rsid w:val="00282AC5"/>
    <w:rsid w:val="0029052C"/>
    <w:rsid w:val="002A4B99"/>
    <w:rsid w:val="002B2913"/>
    <w:rsid w:val="002B46F6"/>
    <w:rsid w:val="002B4934"/>
    <w:rsid w:val="002B5714"/>
    <w:rsid w:val="002C1931"/>
    <w:rsid w:val="002C6C35"/>
    <w:rsid w:val="002C6D46"/>
    <w:rsid w:val="002D0BEB"/>
    <w:rsid w:val="002D2BC1"/>
    <w:rsid w:val="002D2CEE"/>
    <w:rsid w:val="002D32A8"/>
    <w:rsid w:val="002D484B"/>
    <w:rsid w:val="002D738F"/>
    <w:rsid w:val="002E477D"/>
    <w:rsid w:val="002E5171"/>
    <w:rsid w:val="002E6020"/>
    <w:rsid w:val="002F776E"/>
    <w:rsid w:val="002F7DFA"/>
    <w:rsid w:val="003009BF"/>
    <w:rsid w:val="00302DAB"/>
    <w:rsid w:val="003039E3"/>
    <w:rsid w:val="00307365"/>
    <w:rsid w:val="0031024F"/>
    <w:rsid w:val="003119B7"/>
    <w:rsid w:val="00313AC3"/>
    <w:rsid w:val="00314113"/>
    <w:rsid w:val="00315397"/>
    <w:rsid w:val="00317349"/>
    <w:rsid w:val="00321895"/>
    <w:rsid w:val="003226D1"/>
    <w:rsid w:val="00331816"/>
    <w:rsid w:val="00332FCA"/>
    <w:rsid w:val="003403DF"/>
    <w:rsid w:val="003406C7"/>
    <w:rsid w:val="0034284E"/>
    <w:rsid w:val="00343B3C"/>
    <w:rsid w:val="003507AF"/>
    <w:rsid w:val="00351E42"/>
    <w:rsid w:val="00356EB3"/>
    <w:rsid w:val="00356F4F"/>
    <w:rsid w:val="003658F2"/>
    <w:rsid w:val="00370E87"/>
    <w:rsid w:val="00372F76"/>
    <w:rsid w:val="00376743"/>
    <w:rsid w:val="00377E4C"/>
    <w:rsid w:val="003803A5"/>
    <w:rsid w:val="00381E49"/>
    <w:rsid w:val="0039416E"/>
    <w:rsid w:val="003941F0"/>
    <w:rsid w:val="003950C1"/>
    <w:rsid w:val="00395161"/>
    <w:rsid w:val="003A30F9"/>
    <w:rsid w:val="003A374E"/>
    <w:rsid w:val="003A42C4"/>
    <w:rsid w:val="003A550D"/>
    <w:rsid w:val="003A591F"/>
    <w:rsid w:val="003C49DA"/>
    <w:rsid w:val="003C781B"/>
    <w:rsid w:val="003D3C69"/>
    <w:rsid w:val="003D6C15"/>
    <w:rsid w:val="003D7AEE"/>
    <w:rsid w:val="003E0D11"/>
    <w:rsid w:val="003E14FB"/>
    <w:rsid w:val="003E2FA5"/>
    <w:rsid w:val="003E7492"/>
    <w:rsid w:val="003F7CCC"/>
    <w:rsid w:val="00411728"/>
    <w:rsid w:val="00412A26"/>
    <w:rsid w:val="0041426E"/>
    <w:rsid w:val="0042181B"/>
    <w:rsid w:val="004267F7"/>
    <w:rsid w:val="00426A8D"/>
    <w:rsid w:val="00434865"/>
    <w:rsid w:val="004371A0"/>
    <w:rsid w:val="004405A1"/>
    <w:rsid w:val="00440672"/>
    <w:rsid w:val="00440C86"/>
    <w:rsid w:val="004429CC"/>
    <w:rsid w:val="004478BC"/>
    <w:rsid w:val="004515F5"/>
    <w:rsid w:val="00456F9B"/>
    <w:rsid w:val="00460C5D"/>
    <w:rsid w:val="00461398"/>
    <w:rsid w:val="00462FB1"/>
    <w:rsid w:val="00463372"/>
    <w:rsid w:val="00464965"/>
    <w:rsid w:val="004663DA"/>
    <w:rsid w:val="004670B5"/>
    <w:rsid w:val="00470E9B"/>
    <w:rsid w:val="00474D26"/>
    <w:rsid w:val="00475406"/>
    <w:rsid w:val="004755B1"/>
    <w:rsid w:val="00476F0A"/>
    <w:rsid w:val="00485460"/>
    <w:rsid w:val="004855BE"/>
    <w:rsid w:val="004901E9"/>
    <w:rsid w:val="004903C4"/>
    <w:rsid w:val="0049091B"/>
    <w:rsid w:val="0049348E"/>
    <w:rsid w:val="004946C9"/>
    <w:rsid w:val="00495622"/>
    <w:rsid w:val="004A35E0"/>
    <w:rsid w:val="004A363A"/>
    <w:rsid w:val="004B1E3C"/>
    <w:rsid w:val="004B4C50"/>
    <w:rsid w:val="004C6917"/>
    <w:rsid w:val="004D0968"/>
    <w:rsid w:val="004D3255"/>
    <w:rsid w:val="004D5DDB"/>
    <w:rsid w:val="004D6CBB"/>
    <w:rsid w:val="004E0BC2"/>
    <w:rsid w:val="004E6FAB"/>
    <w:rsid w:val="004E743C"/>
    <w:rsid w:val="004E7451"/>
    <w:rsid w:val="004F5850"/>
    <w:rsid w:val="004F5A85"/>
    <w:rsid w:val="005001A5"/>
    <w:rsid w:val="00500B69"/>
    <w:rsid w:val="00502C67"/>
    <w:rsid w:val="0050536D"/>
    <w:rsid w:val="0052620D"/>
    <w:rsid w:val="00527B78"/>
    <w:rsid w:val="00531EA6"/>
    <w:rsid w:val="00534857"/>
    <w:rsid w:val="00535D0D"/>
    <w:rsid w:val="00536A52"/>
    <w:rsid w:val="00536A93"/>
    <w:rsid w:val="00541308"/>
    <w:rsid w:val="005442D6"/>
    <w:rsid w:val="00544329"/>
    <w:rsid w:val="005472AF"/>
    <w:rsid w:val="00553AF7"/>
    <w:rsid w:val="005553CD"/>
    <w:rsid w:val="005569D0"/>
    <w:rsid w:val="00561DB6"/>
    <w:rsid w:val="00564D66"/>
    <w:rsid w:val="00566A03"/>
    <w:rsid w:val="005733A0"/>
    <w:rsid w:val="00573DE5"/>
    <w:rsid w:val="005743DF"/>
    <w:rsid w:val="00574654"/>
    <w:rsid w:val="00581D03"/>
    <w:rsid w:val="00582474"/>
    <w:rsid w:val="00582505"/>
    <w:rsid w:val="00582B98"/>
    <w:rsid w:val="00584C99"/>
    <w:rsid w:val="005852EE"/>
    <w:rsid w:val="00587550"/>
    <w:rsid w:val="00590417"/>
    <w:rsid w:val="00591080"/>
    <w:rsid w:val="00593635"/>
    <w:rsid w:val="00593EDF"/>
    <w:rsid w:val="005A317C"/>
    <w:rsid w:val="005A3E5D"/>
    <w:rsid w:val="005A4CD9"/>
    <w:rsid w:val="005A4D20"/>
    <w:rsid w:val="005A65E2"/>
    <w:rsid w:val="005A67E3"/>
    <w:rsid w:val="005B0E65"/>
    <w:rsid w:val="005B73F7"/>
    <w:rsid w:val="005C34FF"/>
    <w:rsid w:val="005C4006"/>
    <w:rsid w:val="005C6296"/>
    <w:rsid w:val="005D1B70"/>
    <w:rsid w:val="005D5447"/>
    <w:rsid w:val="005E4417"/>
    <w:rsid w:val="005E642A"/>
    <w:rsid w:val="005E7440"/>
    <w:rsid w:val="005F14C8"/>
    <w:rsid w:val="005F64BA"/>
    <w:rsid w:val="005F78D9"/>
    <w:rsid w:val="005F7B06"/>
    <w:rsid w:val="005F7C71"/>
    <w:rsid w:val="00611020"/>
    <w:rsid w:val="00612445"/>
    <w:rsid w:val="00613780"/>
    <w:rsid w:val="00615576"/>
    <w:rsid w:val="00623135"/>
    <w:rsid w:val="0062518B"/>
    <w:rsid w:val="00626246"/>
    <w:rsid w:val="00630FF7"/>
    <w:rsid w:val="00632F0F"/>
    <w:rsid w:val="00633C20"/>
    <w:rsid w:val="00634F49"/>
    <w:rsid w:val="00641CC5"/>
    <w:rsid w:val="00647333"/>
    <w:rsid w:val="00656DA8"/>
    <w:rsid w:val="00661D50"/>
    <w:rsid w:val="00672C78"/>
    <w:rsid w:val="00675192"/>
    <w:rsid w:val="00675E5C"/>
    <w:rsid w:val="006761C1"/>
    <w:rsid w:val="00681BB8"/>
    <w:rsid w:val="0068352C"/>
    <w:rsid w:val="0068436E"/>
    <w:rsid w:val="00685373"/>
    <w:rsid w:val="00691E20"/>
    <w:rsid w:val="006954BD"/>
    <w:rsid w:val="006A10CE"/>
    <w:rsid w:val="006B352C"/>
    <w:rsid w:val="006C2515"/>
    <w:rsid w:val="006C300F"/>
    <w:rsid w:val="006C4E5A"/>
    <w:rsid w:val="006D1659"/>
    <w:rsid w:val="006D2C9D"/>
    <w:rsid w:val="006D73E0"/>
    <w:rsid w:val="006E1B09"/>
    <w:rsid w:val="006E758C"/>
    <w:rsid w:val="006F1B35"/>
    <w:rsid w:val="006F1E40"/>
    <w:rsid w:val="00702077"/>
    <w:rsid w:val="00702091"/>
    <w:rsid w:val="007040A2"/>
    <w:rsid w:val="00705149"/>
    <w:rsid w:val="007056AA"/>
    <w:rsid w:val="00705CF8"/>
    <w:rsid w:val="0070738C"/>
    <w:rsid w:val="007170C0"/>
    <w:rsid w:val="0072432F"/>
    <w:rsid w:val="00725F43"/>
    <w:rsid w:val="00730F7D"/>
    <w:rsid w:val="00733E3F"/>
    <w:rsid w:val="0074335D"/>
    <w:rsid w:val="007437BF"/>
    <w:rsid w:val="007468C8"/>
    <w:rsid w:val="0075277C"/>
    <w:rsid w:val="00753FF7"/>
    <w:rsid w:val="007548E3"/>
    <w:rsid w:val="00757158"/>
    <w:rsid w:val="007601ED"/>
    <w:rsid w:val="00762C38"/>
    <w:rsid w:val="00764B7E"/>
    <w:rsid w:val="00764C71"/>
    <w:rsid w:val="00765B17"/>
    <w:rsid w:val="00766EEB"/>
    <w:rsid w:val="0077179B"/>
    <w:rsid w:val="0077687F"/>
    <w:rsid w:val="0077731C"/>
    <w:rsid w:val="007819EE"/>
    <w:rsid w:val="00782C10"/>
    <w:rsid w:val="007838D5"/>
    <w:rsid w:val="0078432B"/>
    <w:rsid w:val="007848AA"/>
    <w:rsid w:val="00784CD6"/>
    <w:rsid w:val="007861C0"/>
    <w:rsid w:val="007904BA"/>
    <w:rsid w:val="00790552"/>
    <w:rsid w:val="0079395B"/>
    <w:rsid w:val="00794A07"/>
    <w:rsid w:val="00796B32"/>
    <w:rsid w:val="007A2536"/>
    <w:rsid w:val="007A3247"/>
    <w:rsid w:val="007A3287"/>
    <w:rsid w:val="007A4581"/>
    <w:rsid w:val="007A4CF3"/>
    <w:rsid w:val="007B1163"/>
    <w:rsid w:val="007B157E"/>
    <w:rsid w:val="007B1EB5"/>
    <w:rsid w:val="007B26FF"/>
    <w:rsid w:val="007B2883"/>
    <w:rsid w:val="007B2BAF"/>
    <w:rsid w:val="007B3D10"/>
    <w:rsid w:val="007B506F"/>
    <w:rsid w:val="007C2740"/>
    <w:rsid w:val="007D1634"/>
    <w:rsid w:val="007D5116"/>
    <w:rsid w:val="007D6307"/>
    <w:rsid w:val="007E18D6"/>
    <w:rsid w:val="007E518E"/>
    <w:rsid w:val="007F1579"/>
    <w:rsid w:val="007F531F"/>
    <w:rsid w:val="007F7233"/>
    <w:rsid w:val="00800D2A"/>
    <w:rsid w:val="0080230E"/>
    <w:rsid w:val="00802DA6"/>
    <w:rsid w:val="00811901"/>
    <w:rsid w:val="00820BD2"/>
    <w:rsid w:val="008238BF"/>
    <w:rsid w:val="00824F35"/>
    <w:rsid w:val="00825E8D"/>
    <w:rsid w:val="00827634"/>
    <w:rsid w:val="00832775"/>
    <w:rsid w:val="008369D3"/>
    <w:rsid w:val="00844164"/>
    <w:rsid w:val="00844990"/>
    <w:rsid w:val="00845098"/>
    <w:rsid w:val="008509F4"/>
    <w:rsid w:val="00851794"/>
    <w:rsid w:val="0085339B"/>
    <w:rsid w:val="00855CD2"/>
    <w:rsid w:val="00856F51"/>
    <w:rsid w:val="00857748"/>
    <w:rsid w:val="00857BB8"/>
    <w:rsid w:val="00860831"/>
    <w:rsid w:val="00864C48"/>
    <w:rsid w:val="0086604E"/>
    <w:rsid w:val="00866F6E"/>
    <w:rsid w:val="00870914"/>
    <w:rsid w:val="00871BBA"/>
    <w:rsid w:val="00873981"/>
    <w:rsid w:val="00875907"/>
    <w:rsid w:val="008777AD"/>
    <w:rsid w:val="00880815"/>
    <w:rsid w:val="00882866"/>
    <w:rsid w:val="00882FA1"/>
    <w:rsid w:val="00883774"/>
    <w:rsid w:val="00883D50"/>
    <w:rsid w:val="008859D6"/>
    <w:rsid w:val="008861F3"/>
    <w:rsid w:val="00897C8C"/>
    <w:rsid w:val="008A20C9"/>
    <w:rsid w:val="008A214A"/>
    <w:rsid w:val="008A2E85"/>
    <w:rsid w:val="008B1AE3"/>
    <w:rsid w:val="008B2360"/>
    <w:rsid w:val="008B29CF"/>
    <w:rsid w:val="008B349C"/>
    <w:rsid w:val="008B50DE"/>
    <w:rsid w:val="008B56BE"/>
    <w:rsid w:val="008B783F"/>
    <w:rsid w:val="008B7C68"/>
    <w:rsid w:val="008C08B2"/>
    <w:rsid w:val="008C25FB"/>
    <w:rsid w:val="008C5250"/>
    <w:rsid w:val="008C5DDB"/>
    <w:rsid w:val="008D64A4"/>
    <w:rsid w:val="008E1DF3"/>
    <w:rsid w:val="008E5A6B"/>
    <w:rsid w:val="008E77AE"/>
    <w:rsid w:val="008F1928"/>
    <w:rsid w:val="008F2337"/>
    <w:rsid w:val="008F26E0"/>
    <w:rsid w:val="008F35D5"/>
    <w:rsid w:val="008F7F22"/>
    <w:rsid w:val="00900CC8"/>
    <w:rsid w:val="0090194B"/>
    <w:rsid w:val="0090200F"/>
    <w:rsid w:val="00902A28"/>
    <w:rsid w:val="00904753"/>
    <w:rsid w:val="00907A33"/>
    <w:rsid w:val="00907D29"/>
    <w:rsid w:val="00910E6F"/>
    <w:rsid w:val="00912896"/>
    <w:rsid w:val="00917FDA"/>
    <w:rsid w:val="009209A9"/>
    <w:rsid w:val="00920DF3"/>
    <w:rsid w:val="00920F64"/>
    <w:rsid w:val="00921C2F"/>
    <w:rsid w:val="00922DA3"/>
    <w:rsid w:val="009301D6"/>
    <w:rsid w:val="00930FFE"/>
    <w:rsid w:val="00931E0E"/>
    <w:rsid w:val="00931E5F"/>
    <w:rsid w:val="00933173"/>
    <w:rsid w:val="00933460"/>
    <w:rsid w:val="0093771B"/>
    <w:rsid w:val="00940328"/>
    <w:rsid w:val="00940388"/>
    <w:rsid w:val="00943BE3"/>
    <w:rsid w:val="009528F2"/>
    <w:rsid w:val="00953067"/>
    <w:rsid w:val="00955CE0"/>
    <w:rsid w:val="00960464"/>
    <w:rsid w:val="009617A1"/>
    <w:rsid w:val="009624C1"/>
    <w:rsid w:val="00962DF9"/>
    <w:rsid w:val="00965794"/>
    <w:rsid w:val="00967CDA"/>
    <w:rsid w:val="009706CC"/>
    <w:rsid w:val="00976CD1"/>
    <w:rsid w:val="0098290D"/>
    <w:rsid w:val="0099030B"/>
    <w:rsid w:val="00994739"/>
    <w:rsid w:val="00997A93"/>
    <w:rsid w:val="009A181E"/>
    <w:rsid w:val="009A2870"/>
    <w:rsid w:val="009A4235"/>
    <w:rsid w:val="009A4416"/>
    <w:rsid w:val="009B0FDF"/>
    <w:rsid w:val="009B743D"/>
    <w:rsid w:val="009B78FB"/>
    <w:rsid w:val="009D46F5"/>
    <w:rsid w:val="009D72BC"/>
    <w:rsid w:val="009E0E6C"/>
    <w:rsid w:val="009E4175"/>
    <w:rsid w:val="009E4E7A"/>
    <w:rsid w:val="009F026E"/>
    <w:rsid w:val="009F1A0E"/>
    <w:rsid w:val="009F20C7"/>
    <w:rsid w:val="009F2118"/>
    <w:rsid w:val="009F34C3"/>
    <w:rsid w:val="009F5378"/>
    <w:rsid w:val="009F5444"/>
    <w:rsid w:val="009F6453"/>
    <w:rsid w:val="00A0022F"/>
    <w:rsid w:val="00A028AD"/>
    <w:rsid w:val="00A13D90"/>
    <w:rsid w:val="00A17931"/>
    <w:rsid w:val="00A17987"/>
    <w:rsid w:val="00A17B1F"/>
    <w:rsid w:val="00A2297F"/>
    <w:rsid w:val="00A23386"/>
    <w:rsid w:val="00A250E4"/>
    <w:rsid w:val="00A25FBF"/>
    <w:rsid w:val="00A30F4F"/>
    <w:rsid w:val="00A36F51"/>
    <w:rsid w:val="00A41856"/>
    <w:rsid w:val="00A44F8A"/>
    <w:rsid w:val="00A45C13"/>
    <w:rsid w:val="00A46FA5"/>
    <w:rsid w:val="00A47224"/>
    <w:rsid w:val="00A50F6B"/>
    <w:rsid w:val="00A552D4"/>
    <w:rsid w:val="00A5704F"/>
    <w:rsid w:val="00A57052"/>
    <w:rsid w:val="00A60287"/>
    <w:rsid w:val="00A603AB"/>
    <w:rsid w:val="00A65E08"/>
    <w:rsid w:val="00A73358"/>
    <w:rsid w:val="00A7376B"/>
    <w:rsid w:val="00A74309"/>
    <w:rsid w:val="00A76368"/>
    <w:rsid w:val="00A804EA"/>
    <w:rsid w:val="00A829E2"/>
    <w:rsid w:val="00A8603D"/>
    <w:rsid w:val="00A9093E"/>
    <w:rsid w:val="00A91E28"/>
    <w:rsid w:val="00A94994"/>
    <w:rsid w:val="00A97C69"/>
    <w:rsid w:val="00AA30AD"/>
    <w:rsid w:val="00AA57AA"/>
    <w:rsid w:val="00AA5D0D"/>
    <w:rsid w:val="00AB019D"/>
    <w:rsid w:val="00AB20D7"/>
    <w:rsid w:val="00AB3694"/>
    <w:rsid w:val="00AB437C"/>
    <w:rsid w:val="00AB5D8D"/>
    <w:rsid w:val="00AB6748"/>
    <w:rsid w:val="00AC14A0"/>
    <w:rsid w:val="00AD13E1"/>
    <w:rsid w:val="00AD4D28"/>
    <w:rsid w:val="00AE091B"/>
    <w:rsid w:val="00AE3867"/>
    <w:rsid w:val="00AE4748"/>
    <w:rsid w:val="00AE7E93"/>
    <w:rsid w:val="00AF7247"/>
    <w:rsid w:val="00B05FE3"/>
    <w:rsid w:val="00B061D3"/>
    <w:rsid w:val="00B23776"/>
    <w:rsid w:val="00B31E4A"/>
    <w:rsid w:val="00B31F0B"/>
    <w:rsid w:val="00B336E3"/>
    <w:rsid w:val="00B34006"/>
    <w:rsid w:val="00B34259"/>
    <w:rsid w:val="00B356D5"/>
    <w:rsid w:val="00B370CF"/>
    <w:rsid w:val="00B44124"/>
    <w:rsid w:val="00B461C7"/>
    <w:rsid w:val="00B46A15"/>
    <w:rsid w:val="00B54C8D"/>
    <w:rsid w:val="00B55533"/>
    <w:rsid w:val="00B55FB9"/>
    <w:rsid w:val="00B579CF"/>
    <w:rsid w:val="00B604E0"/>
    <w:rsid w:val="00B63C6B"/>
    <w:rsid w:val="00B70754"/>
    <w:rsid w:val="00B73CF1"/>
    <w:rsid w:val="00B740AE"/>
    <w:rsid w:val="00B74822"/>
    <w:rsid w:val="00B74DE1"/>
    <w:rsid w:val="00B804B7"/>
    <w:rsid w:val="00B81C00"/>
    <w:rsid w:val="00B81C43"/>
    <w:rsid w:val="00B8523D"/>
    <w:rsid w:val="00B85412"/>
    <w:rsid w:val="00B91ADB"/>
    <w:rsid w:val="00B91FA9"/>
    <w:rsid w:val="00B9313D"/>
    <w:rsid w:val="00B94AA1"/>
    <w:rsid w:val="00BB0244"/>
    <w:rsid w:val="00BB707B"/>
    <w:rsid w:val="00BC1A5F"/>
    <w:rsid w:val="00BC211F"/>
    <w:rsid w:val="00BC4C27"/>
    <w:rsid w:val="00BC712D"/>
    <w:rsid w:val="00BC721C"/>
    <w:rsid w:val="00BD7898"/>
    <w:rsid w:val="00BD7A6F"/>
    <w:rsid w:val="00BE43AC"/>
    <w:rsid w:val="00BE4BCD"/>
    <w:rsid w:val="00BE5C92"/>
    <w:rsid w:val="00BF0A6C"/>
    <w:rsid w:val="00BF1393"/>
    <w:rsid w:val="00BF3354"/>
    <w:rsid w:val="00BF3D3F"/>
    <w:rsid w:val="00BF7721"/>
    <w:rsid w:val="00C01445"/>
    <w:rsid w:val="00C02087"/>
    <w:rsid w:val="00C0294F"/>
    <w:rsid w:val="00C0701C"/>
    <w:rsid w:val="00C10AA0"/>
    <w:rsid w:val="00C12C16"/>
    <w:rsid w:val="00C13075"/>
    <w:rsid w:val="00C14871"/>
    <w:rsid w:val="00C14A6D"/>
    <w:rsid w:val="00C14C69"/>
    <w:rsid w:val="00C16B6E"/>
    <w:rsid w:val="00C237FE"/>
    <w:rsid w:val="00C27EF7"/>
    <w:rsid w:val="00C31546"/>
    <w:rsid w:val="00C3221D"/>
    <w:rsid w:val="00C35919"/>
    <w:rsid w:val="00C37254"/>
    <w:rsid w:val="00C37581"/>
    <w:rsid w:val="00C411CC"/>
    <w:rsid w:val="00C41C10"/>
    <w:rsid w:val="00C46E44"/>
    <w:rsid w:val="00C527FD"/>
    <w:rsid w:val="00C55679"/>
    <w:rsid w:val="00C55BA7"/>
    <w:rsid w:val="00C55CBE"/>
    <w:rsid w:val="00C60935"/>
    <w:rsid w:val="00C620D8"/>
    <w:rsid w:val="00C66E21"/>
    <w:rsid w:val="00C67D4B"/>
    <w:rsid w:val="00C76954"/>
    <w:rsid w:val="00C7778F"/>
    <w:rsid w:val="00C80DF4"/>
    <w:rsid w:val="00C815C4"/>
    <w:rsid w:val="00C81806"/>
    <w:rsid w:val="00C83E1D"/>
    <w:rsid w:val="00C84384"/>
    <w:rsid w:val="00C903C3"/>
    <w:rsid w:val="00C9291C"/>
    <w:rsid w:val="00C95D42"/>
    <w:rsid w:val="00C96DF2"/>
    <w:rsid w:val="00C97ADC"/>
    <w:rsid w:val="00CA38C6"/>
    <w:rsid w:val="00CA3DC3"/>
    <w:rsid w:val="00CA451A"/>
    <w:rsid w:val="00CA6A08"/>
    <w:rsid w:val="00CB394F"/>
    <w:rsid w:val="00CC1A6D"/>
    <w:rsid w:val="00CC1D99"/>
    <w:rsid w:val="00CC3AA8"/>
    <w:rsid w:val="00CD20DF"/>
    <w:rsid w:val="00CD3AA0"/>
    <w:rsid w:val="00CD663F"/>
    <w:rsid w:val="00CE72A1"/>
    <w:rsid w:val="00CF3B02"/>
    <w:rsid w:val="00CF674C"/>
    <w:rsid w:val="00CF67F9"/>
    <w:rsid w:val="00D011F5"/>
    <w:rsid w:val="00D01C7B"/>
    <w:rsid w:val="00D04815"/>
    <w:rsid w:val="00D07CE0"/>
    <w:rsid w:val="00D20C37"/>
    <w:rsid w:val="00D20DD7"/>
    <w:rsid w:val="00D230B4"/>
    <w:rsid w:val="00D24C21"/>
    <w:rsid w:val="00D2658E"/>
    <w:rsid w:val="00D27C37"/>
    <w:rsid w:val="00D31EE2"/>
    <w:rsid w:val="00D3317C"/>
    <w:rsid w:val="00D365D1"/>
    <w:rsid w:val="00D40D2F"/>
    <w:rsid w:val="00D42226"/>
    <w:rsid w:val="00D4258E"/>
    <w:rsid w:val="00D47641"/>
    <w:rsid w:val="00D509FB"/>
    <w:rsid w:val="00D528FB"/>
    <w:rsid w:val="00D5361A"/>
    <w:rsid w:val="00D53A60"/>
    <w:rsid w:val="00D54FB6"/>
    <w:rsid w:val="00D55A23"/>
    <w:rsid w:val="00D66DF3"/>
    <w:rsid w:val="00D67133"/>
    <w:rsid w:val="00D67523"/>
    <w:rsid w:val="00D70222"/>
    <w:rsid w:val="00D70331"/>
    <w:rsid w:val="00D72289"/>
    <w:rsid w:val="00D739F7"/>
    <w:rsid w:val="00D73D66"/>
    <w:rsid w:val="00D74FD1"/>
    <w:rsid w:val="00D761A8"/>
    <w:rsid w:val="00D807EC"/>
    <w:rsid w:val="00D838E9"/>
    <w:rsid w:val="00D843B6"/>
    <w:rsid w:val="00D848C1"/>
    <w:rsid w:val="00D85AC9"/>
    <w:rsid w:val="00D9174D"/>
    <w:rsid w:val="00D931E8"/>
    <w:rsid w:val="00D95C2F"/>
    <w:rsid w:val="00D96B8E"/>
    <w:rsid w:val="00DA2BD6"/>
    <w:rsid w:val="00DA3A1E"/>
    <w:rsid w:val="00DA4FC6"/>
    <w:rsid w:val="00DA5433"/>
    <w:rsid w:val="00DA563A"/>
    <w:rsid w:val="00DC0545"/>
    <w:rsid w:val="00DC0797"/>
    <w:rsid w:val="00DC1574"/>
    <w:rsid w:val="00DC20C4"/>
    <w:rsid w:val="00DC25DE"/>
    <w:rsid w:val="00DC34FB"/>
    <w:rsid w:val="00DD0C9A"/>
    <w:rsid w:val="00DD1052"/>
    <w:rsid w:val="00DD61E9"/>
    <w:rsid w:val="00DE5CF4"/>
    <w:rsid w:val="00DE7EFD"/>
    <w:rsid w:val="00DF23B5"/>
    <w:rsid w:val="00DF4B7A"/>
    <w:rsid w:val="00E029C8"/>
    <w:rsid w:val="00E079AA"/>
    <w:rsid w:val="00E12328"/>
    <w:rsid w:val="00E15E2A"/>
    <w:rsid w:val="00E1711B"/>
    <w:rsid w:val="00E20D7C"/>
    <w:rsid w:val="00E22240"/>
    <w:rsid w:val="00E25344"/>
    <w:rsid w:val="00E25963"/>
    <w:rsid w:val="00E26475"/>
    <w:rsid w:val="00E27698"/>
    <w:rsid w:val="00E30F52"/>
    <w:rsid w:val="00E45684"/>
    <w:rsid w:val="00E467DF"/>
    <w:rsid w:val="00E5101D"/>
    <w:rsid w:val="00E516E2"/>
    <w:rsid w:val="00E52442"/>
    <w:rsid w:val="00E52D29"/>
    <w:rsid w:val="00E53BDC"/>
    <w:rsid w:val="00E56292"/>
    <w:rsid w:val="00E56F76"/>
    <w:rsid w:val="00E60CAF"/>
    <w:rsid w:val="00E63C70"/>
    <w:rsid w:val="00E64C9B"/>
    <w:rsid w:val="00E64DA7"/>
    <w:rsid w:val="00E67354"/>
    <w:rsid w:val="00E71ADE"/>
    <w:rsid w:val="00E72AD8"/>
    <w:rsid w:val="00E751DF"/>
    <w:rsid w:val="00E7548B"/>
    <w:rsid w:val="00E75742"/>
    <w:rsid w:val="00E77FDE"/>
    <w:rsid w:val="00E80C4A"/>
    <w:rsid w:val="00E838FB"/>
    <w:rsid w:val="00E83D34"/>
    <w:rsid w:val="00E83D54"/>
    <w:rsid w:val="00E84FE5"/>
    <w:rsid w:val="00E85E53"/>
    <w:rsid w:val="00E90271"/>
    <w:rsid w:val="00E90A62"/>
    <w:rsid w:val="00E9282F"/>
    <w:rsid w:val="00E9309C"/>
    <w:rsid w:val="00E96DFC"/>
    <w:rsid w:val="00EB050A"/>
    <w:rsid w:val="00EB3780"/>
    <w:rsid w:val="00EB6AB5"/>
    <w:rsid w:val="00EC1170"/>
    <w:rsid w:val="00EC20AD"/>
    <w:rsid w:val="00EC501A"/>
    <w:rsid w:val="00EC64B2"/>
    <w:rsid w:val="00ED0B32"/>
    <w:rsid w:val="00ED271E"/>
    <w:rsid w:val="00ED3B01"/>
    <w:rsid w:val="00ED3D0A"/>
    <w:rsid w:val="00EE1434"/>
    <w:rsid w:val="00EE35C9"/>
    <w:rsid w:val="00EE3C9C"/>
    <w:rsid w:val="00EE727A"/>
    <w:rsid w:val="00EF4605"/>
    <w:rsid w:val="00EF6208"/>
    <w:rsid w:val="00EF635C"/>
    <w:rsid w:val="00EF6DF9"/>
    <w:rsid w:val="00EF7E22"/>
    <w:rsid w:val="00F01D6A"/>
    <w:rsid w:val="00F04187"/>
    <w:rsid w:val="00F04DC0"/>
    <w:rsid w:val="00F05553"/>
    <w:rsid w:val="00F05C3F"/>
    <w:rsid w:val="00F2187C"/>
    <w:rsid w:val="00F262B4"/>
    <w:rsid w:val="00F3158B"/>
    <w:rsid w:val="00F32F1B"/>
    <w:rsid w:val="00F3362D"/>
    <w:rsid w:val="00F34488"/>
    <w:rsid w:val="00F36419"/>
    <w:rsid w:val="00F36563"/>
    <w:rsid w:val="00F36C02"/>
    <w:rsid w:val="00F437C5"/>
    <w:rsid w:val="00F4546B"/>
    <w:rsid w:val="00F472BB"/>
    <w:rsid w:val="00F5285E"/>
    <w:rsid w:val="00F5305D"/>
    <w:rsid w:val="00F53149"/>
    <w:rsid w:val="00F54D41"/>
    <w:rsid w:val="00F5677B"/>
    <w:rsid w:val="00F64217"/>
    <w:rsid w:val="00F64462"/>
    <w:rsid w:val="00F677FC"/>
    <w:rsid w:val="00F742CD"/>
    <w:rsid w:val="00F7550B"/>
    <w:rsid w:val="00F809D1"/>
    <w:rsid w:val="00F80D20"/>
    <w:rsid w:val="00F842F9"/>
    <w:rsid w:val="00F871BB"/>
    <w:rsid w:val="00F90118"/>
    <w:rsid w:val="00F91C8A"/>
    <w:rsid w:val="00FA022F"/>
    <w:rsid w:val="00FA0E18"/>
    <w:rsid w:val="00FA7ABD"/>
    <w:rsid w:val="00FB0B36"/>
    <w:rsid w:val="00FB2462"/>
    <w:rsid w:val="00FB39F1"/>
    <w:rsid w:val="00FB3AC5"/>
    <w:rsid w:val="00FC39AE"/>
    <w:rsid w:val="00FC5B12"/>
    <w:rsid w:val="00FC6DC2"/>
    <w:rsid w:val="00FC76B2"/>
    <w:rsid w:val="00FD19BB"/>
    <w:rsid w:val="00FD3681"/>
    <w:rsid w:val="00FD3FF4"/>
    <w:rsid w:val="00FD7666"/>
    <w:rsid w:val="00FE0C45"/>
    <w:rsid w:val="00FE28AE"/>
    <w:rsid w:val="00FE2950"/>
    <w:rsid w:val="00FF198E"/>
    <w:rsid w:val="00FF3685"/>
    <w:rsid w:val="00FF4D34"/>
    <w:rsid w:val="00FF6D70"/>
    <w:rsid w:val="00FF7652"/>
    <w:rsid w:val="00FF7C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BDA2FD-EB1F-4455-A5AE-17C88E32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E42"/>
    <w:pPr>
      <w:jc w:val="both"/>
    </w:pPr>
    <w:rPr>
      <w:rFonts w:eastAsia="MS Mincho"/>
      <w:sz w:val="22"/>
      <w:szCs w:val="24"/>
      <w:lang w:val="en-GB" w:eastAsia="en-US"/>
    </w:rPr>
  </w:style>
  <w:style w:type="paragraph" w:styleId="Heading1">
    <w:name w:val="heading 1"/>
    <w:basedOn w:val="Normal"/>
    <w:next w:val="Normal"/>
    <w:link w:val="Heading1Char"/>
    <w:qFormat/>
    <w:rsid w:val="00351E4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351E4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351E42"/>
    <w:pPr>
      <w:keepNext/>
      <w:spacing w:before="240" w:after="60"/>
      <w:outlineLvl w:val="2"/>
    </w:pPr>
    <w:rPr>
      <w:rFonts w:ascii="Calibri" w:hAnsi="Calibri"/>
      <w:b/>
      <w:bCs/>
      <w:sz w:val="26"/>
      <w:szCs w:val="26"/>
    </w:rPr>
  </w:style>
  <w:style w:type="paragraph" w:styleId="Heading4">
    <w:name w:val="heading 4"/>
    <w:basedOn w:val="Normal"/>
    <w:next w:val="Normal"/>
    <w:qFormat/>
    <w:rsid w:val="00212D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1E42"/>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E42"/>
    <w:pPr>
      <w:tabs>
        <w:tab w:val="center" w:pos="4680"/>
        <w:tab w:val="right" w:pos="9360"/>
      </w:tabs>
    </w:pPr>
  </w:style>
  <w:style w:type="paragraph" w:styleId="Footer">
    <w:name w:val="footer"/>
    <w:basedOn w:val="Normal"/>
    <w:link w:val="FooterChar"/>
    <w:rsid w:val="00351E42"/>
    <w:pPr>
      <w:tabs>
        <w:tab w:val="center" w:pos="4680"/>
        <w:tab w:val="right" w:pos="9360"/>
      </w:tabs>
    </w:pPr>
  </w:style>
  <w:style w:type="character" w:styleId="PageNumber">
    <w:name w:val="page number"/>
    <w:rsid w:val="00351E42"/>
    <w:rPr>
      <w:rFonts w:ascii="Arial" w:hAnsi="Arial"/>
      <w:b/>
      <w:sz w:val="18"/>
    </w:rPr>
  </w:style>
  <w:style w:type="character" w:styleId="Hyperlink">
    <w:name w:val="Hyperlink"/>
    <w:basedOn w:val="DefaultParagraphFont"/>
    <w:uiPriority w:val="99"/>
    <w:rsid w:val="00AF7247"/>
    <w:rPr>
      <w:color w:val="0000FF"/>
      <w:u w:val="single"/>
    </w:rPr>
  </w:style>
  <w:style w:type="paragraph" w:styleId="BalloonText">
    <w:name w:val="Balloon Text"/>
    <w:basedOn w:val="Normal"/>
    <w:link w:val="BalloonTextChar"/>
    <w:rsid w:val="00351E42"/>
    <w:rPr>
      <w:rFonts w:ascii="Tahoma" w:hAnsi="Tahoma" w:cs="Tahoma"/>
      <w:sz w:val="16"/>
      <w:szCs w:val="16"/>
    </w:rPr>
  </w:style>
  <w:style w:type="numbering" w:styleId="111111">
    <w:name w:val="Outline List 2"/>
    <w:basedOn w:val="NoList"/>
    <w:rsid w:val="00F36C02"/>
    <w:pPr>
      <w:numPr>
        <w:numId w:val="1"/>
      </w:numPr>
    </w:pPr>
  </w:style>
  <w:style w:type="character" w:customStyle="1" w:styleId="Bold">
    <w:name w:val="Bold"/>
    <w:basedOn w:val="DefaultParagraphFont"/>
    <w:rsid w:val="002D2CEE"/>
    <w:rPr>
      <w:b/>
      <w:bCs/>
    </w:rPr>
  </w:style>
  <w:style w:type="paragraph" w:styleId="ListNumber">
    <w:name w:val="List Number"/>
    <w:basedOn w:val="Normal"/>
    <w:rsid w:val="009F5444"/>
    <w:pPr>
      <w:numPr>
        <w:numId w:val="2"/>
      </w:numPr>
    </w:pPr>
  </w:style>
  <w:style w:type="character" w:customStyle="1" w:styleId="EmailStyle24">
    <w:name w:val="EmailStyle24"/>
    <w:basedOn w:val="DefaultParagraphFont"/>
    <w:semiHidden/>
    <w:rsid w:val="008F26E0"/>
    <w:rPr>
      <w:rFonts w:ascii="Times New Roman" w:hAnsi="Times New Roman" w:cs="Times New Roman"/>
      <w:b w:val="0"/>
      <w:bCs w:val="0"/>
      <w:i w:val="0"/>
      <w:iCs w:val="0"/>
      <w:strike w:val="0"/>
      <w:color w:val="auto"/>
      <w:sz w:val="20"/>
      <w:szCs w:val="20"/>
      <w:u w:val="none"/>
    </w:rPr>
  </w:style>
  <w:style w:type="paragraph" w:customStyle="1" w:styleId="CarCar">
    <w:name w:val="Car Car"/>
    <w:basedOn w:val="Normal"/>
    <w:rsid w:val="00CA6A08"/>
    <w:pPr>
      <w:spacing w:after="160" w:line="240" w:lineRule="exact"/>
    </w:pPr>
    <w:rPr>
      <w:rFonts w:ascii="Tahoma" w:hAnsi="Tahoma"/>
      <w:sz w:val="20"/>
      <w:szCs w:val="20"/>
      <w:lang w:val="en-US"/>
    </w:rPr>
  </w:style>
  <w:style w:type="paragraph" w:customStyle="1" w:styleId="IPPNormal">
    <w:name w:val="IPP Normal"/>
    <w:basedOn w:val="Normal"/>
    <w:link w:val="IPPNormalChar"/>
    <w:qFormat/>
    <w:rsid w:val="00351E42"/>
    <w:pPr>
      <w:spacing w:after="180"/>
    </w:pPr>
    <w:rPr>
      <w:rFonts w:eastAsia="Times"/>
    </w:rPr>
  </w:style>
  <w:style w:type="paragraph" w:customStyle="1" w:styleId="IPPHeadSection">
    <w:name w:val="IPP HeadSection"/>
    <w:basedOn w:val="Normal"/>
    <w:next w:val="Normal"/>
    <w:qFormat/>
    <w:rsid w:val="00351E42"/>
    <w:pPr>
      <w:keepNext/>
      <w:tabs>
        <w:tab w:val="left" w:pos="851"/>
      </w:tabs>
      <w:spacing w:before="360" w:after="120"/>
      <w:ind w:left="851" w:hanging="851"/>
      <w:outlineLvl w:val="0"/>
    </w:pPr>
    <w:rPr>
      <w:rFonts w:eastAsia="Times"/>
      <w:b/>
      <w:bCs/>
      <w:caps/>
      <w:sz w:val="24"/>
      <w:szCs w:val="22"/>
    </w:rPr>
  </w:style>
  <w:style w:type="character" w:customStyle="1" w:styleId="Heading1Char">
    <w:name w:val="Heading 1 Char"/>
    <w:basedOn w:val="DefaultParagraphFont"/>
    <w:link w:val="Heading1"/>
    <w:rsid w:val="00351E42"/>
    <w:rPr>
      <w:rFonts w:eastAsia="MS Mincho"/>
      <w:b/>
      <w:bCs/>
      <w:sz w:val="22"/>
      <w:szCs w:val="24"/>
      <w:lang w:val="en-GB"/>
    </w:rPr>
  </w:style>
  <w:style w:type="character" w:customStyle="1" w:styleId="Heading2Char">
    <w:name w:val="Heading 2 Char"/>
    <w:basedOn w:val="DefaultParagraphFont"/>
    <w:link w:val="Heading2"/>
    <w:rsid w:val="00351E42"/>
    <w:rPr>
      <w:rFonts w:ascii="Calibri" w:eastAsia="MS Mincho" w:hAnsi="Calibri"/>
      <w:b/>
      <w:bCs/>
      <w:i/>
      <w:iCs/>
      <w:sz w:val="28"/>
      <w:szCs w:val="28"/>
      <w:lang w:val="en-GB"/>
    </w:rPr>
  </w:style>
  <w:style w:type="character" w:customStyle="1" w:styleId="Heading3Char">
    <w:name w:val="Heading 3 Char"/>
    <w:basedOn w:val="DefaultParagraphFont"/>
    <w:link w:val="Heading3"/>
    <w:rsid w:val="00351E42"/>
    <w:rPr>
      <w:rFonts w:ascii="Calibri" w:eastAsia="MS Mincho" w:hAnsi="Calibri"/>
      <w:b/>
      <w:bCs/>
      <w:sz w:val="26"/>
      <w:szCs w:val="26"/>
      <w:lang w:val="en-GB"/>
    </w:rPr>
  </w:style>
  <w:style w:type="paragraph" w:styleId="FootnoteText">
    <w:name w:val="footnote text"/>
    <w:aliases w:val="FOOTNOTES,fn,single space"/>
    <w:basedOn w:val="Normal"/>
    <w:link w:val="FootnoteTextChar"/>
    <w:rsid w:val="00351E42"/>
    <w:pPr>
      <w:spacing w:before="60"/>
    </w:pPr>
    <w:rPr>
      <w:sz w:val="20"/>
    </w:rPr>
  </w:style>
  <w:style w:type="character" w:customStyle="1" w:styleId="FootnoteTextChar">
    <w:name w:val="Footnote Text Char"/>
    <w:aliases w:val="FOOTNOTES Char1,fn Char1,single space Char1"/>
    <w:basedOn w:val="DefaultParagraphFont"/>
    <w:link w:val="FootnoteText"/>
    <w:rsid w:val="00351E42"/>
    <w:rPr>
      <w:rFonts w:eastAsia="MS Mincho"/>
      <w:szCs w:val="24"/>
      <w:lang w:val="en-GB"/>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351E42"/>
    <w:rPr>
      <w:vertAlign w:val="superscript"/>
    </w:rPr>
  </w:style>
  <w:style w:type="paragraph" w:customStyle="1" w:styleId="Style">
    <w:name w:val="Style"/>
    <w:basedOn w:val="Footer"/>
    <w:autoRedefine/>
    <w:qFormat/>
    <w:rsid w:val="00351E4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351E42"/>
    <w:pPr>
      <w:tabs>
        <w:tab w:val="left" w:pos="28"/>
      </w:tabs>
      <w:ind w:left="284" w:hanging="284"/>
    </w:pPr>
    <w:rPr>
      <w:sz w:val="16"/>
    </w:rPr>
  </w:style>
  <w:style w:type="paragraph" w:customStyle="1" w:styleId="IPPContentsHead">
    <w:name w:val="IPP ContentsHead"/>
    <w:basedOn w:val="IPPSubhead"/>
    <w:next w:val="IPPNormal"/>
    <w:qFormat/>
    <w:rsid w:val="00351E42"/>
    <w:pPr>
      <w:spacing w:after="240"/>
    </w:pPr>
    <w:rPr>
      <w:sz w:val="24"/>
    </w:rPr>
  </w:style>
  <w:style w:type="character" w:customStyle="1" w:styleId="FooterChar">
    <w:name w:val="Footer Char"/>
    <w:basedOn w:val="DefaultParagraphFont"/>
    <w:link w:val="Footer"/>
    <w:rsid w:val="00351E42"/>
    <w:rPr>
      <w:rFonts w:eastAsia="MS Mincho"/>
      <w:sz w:val="22"/>
      <w:szCs w:val="24"/>
      <w:lang w:val="en-GB"/>
    </w:rPr>
  </w:style>
  <w:style w:type="paragraph" w:customStyle="1" w:styleId="IPPBullet2">
    <w:name w:val="IPP Bullet2"/>
    <w:basedOn w:val="IPPNormal"/>
    <w:next w:val="IPPBullet1"/>
    <w:qFormat/>
    <w:rsid w:val="00351E42"/>
    <w:pPr>
      <w:numPr>
        <w:numId w:val="6"/>
      </w:numPr>
      <w:tabs>
        <w:tab w:val="left" w:pos="1134"/>
      </w:tabs>
      <w:spacing w:after="60"/>
      <w:ind w:left="1134" w:hanging="567"/>
    </w:pPr>
  </w:style>
  <w:style w:type="character" w:customStyle="1" w:styleId="BalloonTextChar">
    <w:name w:val="Balloon Text Char"/>
    <w:basedOn w:val="DefaultParagraphFont"/>
    <w:link w:val="BalloonText"/>
    <w:rsid w:val="00351E42"/>
    <w:rPr>
      <w:rFonts w:ascii="Tahoma" w:eastAsia="MS Mincho" w:hAnsi="Tahoma" w:cs="Tahoma"/>
      <w:sz w:val="16"/>
      <w:szCs w:val="16"/>
      <w:lang w:val="en-GB"/>
    </w:rPr>
  </w:style>
  <w:style w:type="paragraph" w:customStyle="1" w:styleId="IPPQuote">
    <w:name w:val="IPP Quote"/>
    <w:basedOn w:val="IPPNormal"/>
    <w:qFormat/>
    <w:rsid w:val="00351E42"/>
    <w:pPr>
      <w:ind w:left="851" w:right="851"/>
    </w:pPr>
    <w:rPr>
      <w:sz w:val="18"/>
    </w:rPr>
  </w:style>
  <w:style w:type="paragraph" w:customStyle="1" w:styleId="IPPIndentClose">
    <w:name w:val="IPP Indent Close"/>
    <w:basedOn w:val="IPPNormal"/>
    <w:qFormat/>
    <w:rsid w:val="00351E42"/>
    <w:pPr>
      <w:tabs>
        <w:tab w:val="left" w:pos="2835"/>
      </w:tabs>
      <w:spacing w:after="60"/>
      <w:ind w:left="567"/>
    </w:pPr>
  </w:style>
  <w:style w:type="paragraph" w:customStyle="1" w:styleId="IPPIndent">
    <w:name w:val="IPP Indent"/>
    <w:basedOn w:val="IPPIndentClose"/>
    <w:qFormat/>
    <w:rsid w:val="00351E42"/>
    <w:pPr>
      <w:spacing w:after="180"/>
    </w:pPr>
  </w:style>
  <w:style w:type="paragraph" w:customStyle="1" w:styleId="IPPFootnote">
    <w:name w:val="IPP Footnote"/>
    <w:basedOn w:val="IPPArialFootnote"/>
    <w:qFormat/>
    <w:rsid w:val="00351E42"/>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B336E3"/>
    <w:pPr>
      <w:keepNext/>
      <w:tabs>
        <w:tab w:val="left" w:pos="567"/>
      </w:tabs>
      <w:spacing w:before="120" w:after="120"/>
      <w:ind w:left="567" w:hanging="567"/>
    </w:pPr>
    <w:rPr>
      <w:b/>
      <w:i/>
    </w:rPr>
  </w:style>
  <w:style w:type="character" w:customStyle="1" w:styleId="IPPnormalitalics">
    <w:name w:val="IPP normal italics"/>
    <w:basedOn w:val="DefaultParagraphFont"/>
    <w:rsid w:val="00351E42"/>
    <w:rPr>
      <w:rFonts w:ascii="Times New Roman" w:hAnsi="Times New Roman"/>
      <w:i/>
      <w:sz w:val="22"/>
      <w:lang w:val="en-US"/>
    </w:rPr>
  </w:style>
  <w:style w:type="character" w:customStyle="1" w:styleId="IPPNormalbold">
    <w:name w:val="IPP Normal bold"/>
    <w:basedOn w:val="PlainTextChar"/>
    <w:rsid w:val="00351E42"/>
    <w:rPr>
      <w:rFonts w:ascii="Times New Roman" w:eastAsia="Times" w:hAnsi="Times New Roman"/>
      <w:b/>
      <w:sz w:val="22"/>
      <w:szCs w:val="21"/>
      <w:lang w:val="en-AU"/>
    </w:rPr>
  </w:style>
  <w:style w:type="paragraph" w:customStyle="1" w:styleId="IPPHeading1">
    <w:name w:val="IPP Heading1"/>
    <w:basedOn w:val="IPPNormal"/>
    <w:next w:val="IPPNormal"/>
    <w:link w:val="IPPHeading1Char"/>
    <w:qFormat/>
    <w:rsid w:val="00351E42"/>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351E42"/>
    <w:pPr>
      <w:keepNext/>
      <w:ind w:left="567" w:hanging="567"/>
      <w:jc w:val="left"/>
    </w:pPr>
    <w:rPr>
      <w:b/>
      <w:bCs/>
      <w:iCs/>
      <w:szCs w:val="22"/>
    </w:rPr>
  </w:style>
  <w:style w:type="character" w:customStyle="1" w:styleId="IPPNormalunderlined">
    <w:name w:val="IPP Normal underlined"/>
    <w:basedOn w:val="DefaultParagraphFont"/>
    <w:rsid w:val="00351E42"/>
    <w:rPr>
      <w:rFonts w:ascii="Times New Roman" w:hAnsi="Times New Roman"/>
      <w:sz w:val="22"/>
      <w:u w:val="single"/>
      <w:lang w:val="en-US"/>
    </w:rPr>
  </w:style>
  <w:style w:type="paragraph" w:customStyle="1" w:styleId="IPPBullet1">
    <w:name w:val="IPP Bullet1"/>
    <w:basedOn w:val="IPPBullet1Last"/>
    <w:qFormat/>
    <w:rsid w:val="00351E42"/>
    <w:pPr>
      <w:numPr>
        <w:numId w:val="13"/>
      </w:numPr>
      <w:spacing w:after="60"/>
      <w:ind w:left="567" w:hanging="567"/>
    </w:pPr>
    <w:rPr>
      <w:lang w:val="en-US"/>
    </w:rPr>
  </w:style>
  <w:style w:type="paragraph" w:customStyle="1" w:styleId="IPPBullet1Last">
    <w:name w:val="IPP Bullet1Last"/>
    <w:basedOn w:val="IPPNormal"/>
    <w:next w:val="IPPNormal"/>
    <w:autoRedefine/>
    <w:qFormat/>
    <w:rsid w:val="00351E42"/>
    <w:pPr>
      <w:tabs>
        <w:tab w:val="num" w:pos="567"/>
      </w:tabs>
      <w:ind w:left="567" w:hanging="567"/>
    </w:pPr>
  </w:style>
  <w:style w:type="character" w:customStyle="1" w:styleId="IPPNormalstrikethrough">
    <w:name w:val="IPP Normal strikethrough"/>
    <w:rsid w:val="00351E42"/>
    <w:rPr>
      <w:rFonts w:ascii="Times New Roman" w:hAnsi="Times New Roman"/>
      <w:strike/>
      <w:dstrike w:val="0"/>
      <w:sz w:val="22"/>
    </w:rPr>
  </w:style>
  <w:style w:type="paragraph" w:customStyle="1" w:styleId="IPPTitle16pt">
    <w:name w:val="IPP Title16pt"/>
    <w:basedOn w:val="Normal"/>
    <w:qFormat/>
    <w:rsid w:val="00351E4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351E42"/>
    <w:pPr>
      <w:spacing w:after="360"/>
      <w:jc w:val="center"/>
    </w:pPr>
    <w:rPr>
      <w:rFonts w:ascii="Arial" w:hAnsi="Arial" w:cs="Arial"/>
      <w:b/>
      <w:bCs/>
      <w:sz w:val="36"/>
      <w:szCs w:val="36"/>
    </w:rPr>
  </w:style>
  <w:style w:type="paragraph" w:customStyle="1" w:styleId="IPPHeader">
    <w:name w:val="IPP Header"/>
    <w:basedOn w:val="Normal"/>
    <w:qFormat/>
    <w:rsid w:val="00351E42"/>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351E42"/>
    <w:pPr>
      <w:keepNext/>
      <w:tabs>
        <w:tab w:val="left" w:pos="567"/>
      </w:tabs>
      <w:spacing w:before="120"/>
      <w:jc w:val="left"/>
      <w:outlineLvl w:val="1"/>
    </w:pPr>
    <w:rPr>
      <w:b/>
      <w:sz w:val="24"/>
    </w:rPr>
  </w:style>
  <w:style w:type="numbering" w:customStyle="1" w:styleId="IPPParagraphnumberedlist">
    <w:name w:val="IPP Paragraph numbered list"/>
    <w:rsid w:val="00351E42"/>
    <w:pPr>
      <w:numPr>
        <w:numId w:val="5"/>
      </w:numPr>
    </w:pPr>
  </w:style>
  <w:style w:type="paragraph" w:customStyle="1" w:styleId="IPPNormalCloseSpace">
    <w:name w:val="IPP NormalCloseSpace"/>
    <w:basedOn w:val="Normal"/>
    <w:qFormat/>
    <w:rsid w:val="00351E42"/>
    <w:pPr>
      <w:keepNext/>
      <w:spacing w:after="60"/>
    </w:pPr>
  </w:style>
  <w:style w:type="paragraph" w:customStyle="1" w:styleId="IPPHeading2">
    <w:name w:val="IPP Heading2"/>
    <w:basedOn w:val="IPPNormal"/>
    <w:next w:val="IPPNormal"/>
    <w:qFormat/>
    <w:rsid w:val="00351E42"/>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351E4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351E42"/>
    <w:pPr>
      <w:tabs>
        <w:tab w:val="right" w:leader="dot" w:pos="9072"/>
      </w:tabs>
      <w:spacing w:before="240"/>
      <w:ind w:left="567" w:hanging="567"/>
    </w:pPr>
  </w:style>
  <w:style w:type="paragraph" w:styleId="TOC2">
    <w:name w:val="toc 2"/>
    <w:basedOn w:val="TOC1"/>
    <w:next w:val="Normal"/>
    <w:autoRedefine/>
    <w:uiPriority w:val="39"/>
    <w:rsid w:val="00351E42"/>
    <w:pPr>
      <w:keepNext w:val="0"/>
      <w:tabs>
        <w:tab w:val="left" w:pos="425"/>
      </w:tabs>
      <w:spacing w:before="120" w:after="0"/>
      <w:ind w:left="425" w:right="284" w:hanging="425"/>
    </w:pPr>
  </w:style>
  <w:style w:type="paragraph" w:styleId="TOC3">
    <w:name w:val="toc 3"/>
    <w:basedOn w:val="TOC2"/>
    <w:next w:val="Normal"/>
    <w:autoRedefine/>
    <w:uiPriority w:val="39"/>
    <w:rsid w:val="00351E42"/>
    <w:pPr>
      <w:tabs>
        <w:tab w:val="left" w:pos="1276"/>
      </w:tabs>
      <w:spacing w:before="60"/>
      <w:ind w:left="1276" w:hanging="851"/>
    </w:pPr>
    <w:rPr>
      <w:rFonts w:eastAsia="Times"/>
    </w:rPr>
  </w:style>
  <w:style w:type="paragraph" w:styleId="TOC4">
    <w:name w:val="toc 4"/>
    <w:basedOn w:val="Normal"/>
    <w:next w:val="Normal"/>
    <w:autoRedefine/>
    <w:uiPriority w:val="39"/>
    <w:rsid w:val="00351E42"/>
    <w:pPr>
      <w:spacing w:after="120"/>
      <w:ind w:left="660"/>
    </w:pPr>
    <w:rPr>
      <w:rFonts w:eastAsia="Times"/>
      <w:lang w:val="en-AU"/>
    </w:rPr>
  </w:style>
  <w:style w:type="paragraph" w:styleId="TOC5">
    <w:name w:val="toc 5"/>
    <w:basedOn w:val="Normal"/>
    <w:next w:val="Normal"/>
    <w:autoRedefine/>
    <w:uiPriority w:val="39"/>
    <w:rsid w:val="00351E42"/>
    <w:pPr>
      <w:spacing w:after="120"/>
      <w:ind w:left="880"/>
    </w:pPr>
    <w:rPr>
      <w:rFonts w:eastAsia="Times"/>
      <w:lang w:val="en-AU"/>
    </w:rPr>
  </w:style>
  <w:style w:type="paragraph" w:styleId="TOC6">
    <w:name w:val="toc 6"/>
    <w:basedOn w:val="Normal"/>
    <w:next w:val="Normal"/>
    <w:autoRedefine/>
    <w:uiPriority w:val="39"/>
    <w:rsid w:val="00351E42"/>
    <w:pPr>
      <w:spacing w:after="120"/>
      <w:ind w:left="1100"/>
    </w:pPr>
    <w:rPr>
      <w:rFonts w:eastAsia="Times"/>
      <w:lang w:val="en-AU"/>
    </w:rPr>
  </w:style>
  <w:style w:type="paragraph" w:styleId="TOC7">
    <w:name w:val="toc 7"/>
    <w:basedOn w:val="Normal"/>
    <w:next w:val="Normal"/>
    <w:autoRedefine/>
    <w:uiPriority w:val="39"/>
    <w:rsid w:val="00351E42"/>
    <w:pPr>
      <w:spacing w:after="120"/>
      <w:ind w:left="1320"/>
    </w:pPr>
    <w:rPr>
      <w:rFonts w:eastAsia="Times"/>
      <w:lang w:val="en-AU"/>
    </w:rPr>
  </w:style>
  <w:style w:type="paragraph" w:styleId="TOC8">
    <w:name w:val="toc 8"/>
    <w:basedOn w:val="Normal"/>
    <w:next w:val="Normal"/>
    <w:autoRedefine/>
    <w:uiPriority w:val="39"/>
    <w:rsid w:val="00351E42"/>
    <w:pPr>
      <w:spacing w:after="120"/>
      <w:ind w:left="1540"/>
    </w:pPr>
    <w:rPr>
      <w:rFonts w:eastAsia="Times"/>
      <w:lang w:val="en-AU"/>
    </w:rPr>
  </w:style>
  <w:style w:type="paragraph" w:styleId="TOC9">
    <w:name w:val="toc 9"/>
    <w:basedOn w:val="Normal"/>
    <w:next w:val="Normal"/>
    <w:autoRedefine/>
    <w:uiPriority w:val="39"/>
    <w:rsid w:val="00351E42"/>
    <w:pPr>
      <w:spacing w:after="120"/>
      <w:ind w:left="1760"/>
    </w:pPr>
    <w:rPr>
      <w:rFonts w:eastAsia="Times"/>
      <w:lang w:val="en-AU"/>
    </w:rPr>
  </w:style>
  <w:style w:type="paragraph" w:customStyle="1" w:styleId="IPPReferences">
    <w:name w:val="IPP References"/>
    <w:basedOn w:val="IPPNormal"/>
    <w:qFormat/>
    <w:rsid w:val="00351E42"/>
    <w:pPr>
      <w:spacing w:after="60"/>
      <w:ind w:left="567" w:hanging="567"/>
    </w:pPr>
  </w:style>
  <w:style w:type="paragraph" w:customStyle="1" w:styleId="IPPArial">
    <w:name w:val="IPP Arial"/>
    <w:basedOn w:val="IPPNormal"/>
    <w:qFormat/>
    <w:rsid w:val="00351E42"/>
    <w:pPr>
      <w:spacing w:after="0"/>
    </w:pPr>
    <w:rPr>
      <w:rFonts w:ascii="Arial" w:hAnsi="Arial"/>
      <w:sz w:val="18"/>
    </w:rPr>
  </w:style>
  <w:style w:type="paragraph" w:customStyle="1" w:styleId="IPPArialTable">
    <w:name w:val="IPP Arial Table"/>
    <w:basedOn w:val="IPPArial"/>
    <w:qFormat/>
    <w:rsid w:val="00351E42"/>
    <w:pPr>
      <w:spacing w:before="60" w:after="60"/>
      <w:jc w:val="left"/>
    </w:pPr>
  </w:style>
  <w:style w:type="paragraph" w:styleId="PlainText">
    <w:name w:val="Plain Text"/>
    <w:basedOn w:val="Normal"/>
    <w:link w:val="PlainTextChar"/>
    <w:uiPriority w:val="99"/>
    <w:unhideWhenUsed/>
    <w:rsid w:val="00351E4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351E42"/>
    <w:rPr>
      <w:rFonts w:ascii="Courier" w:eastAsia="Times" w:hAnsi="Courier"/>
      <w:sz w:val="21"/>
      <w:szCs w:val="21"/>
      <w:lang w:val="en-AU"/>
    </w:rPr>
  </w:style>
  <w:style w:type="paragraph" w:customStyle="1" w:styleId="IPPLetterList">
    <w:name w:val="IPP LetterList"/>
    <w:basedOn w:val="IPPBullet2"/>
    <w:qFormat/>
    <w:rsid w:val="00351E42"/>
    <w:pPr>
      <w:numPr>
        <w:numId w:val="3"/>
      </w:numPr>
      <w:jc w:val="left"/>
    </w:pPr>
  </w:style>
  <w:style w:type="paragraph" w:customStyle="1" w:styleId="IPPLetterListIndent">
    <w:name w:val="IPP LetterList Indent"/>
    <w:basedOn w:val="IPPLetterList"/>
    <w:qFormat/>
    <w:rsid w:val="00351E42"/>
    <w:pPr>
      <w:numPr>
        <w:numId w:val="4"/>
      </w:numPr>
    </w:pPr>
  </w:style>
  <w:style w:type="paragraph" w:customStyle="1" w:styleId="IPPFooterLandscape">
    <w:name w:val="IPP Footer Landscape"/>
    <w:basedOn w:val="IPPHeaderlandscape"/>
    <w:qFormat/>
    <w:rsid w:val="00351E42"/>
    <w:pPr>
      <w:pBdr>
        <w:top w:val="single" w:sz="4" w:space="1" w:color="auto"/>
        <w:bottom w:val="none" w:sz="0" w:space="0" w:color="auto"/>
      </w:pBdr>
      <w:jc w:val="right"/>
    </w:pPr>
    <w:rPr>
      <w:b/>
    </w:rPr>
  </w:style>
  <w:style w:type="paragraph" w:customStyle="1" w:styleId="IPPSubheadSpace">
    <w:name w:val="IPP Subhead Space"/>
    <w:basedOn w:val="IPPSubhead"/>
    <w:qFormat/>
    <w:rsid w:val="00351E42"/>
    <w:pPr>
      <w:tabs>
        <w:tab w:val="left" w:pos="567"/>
      </w:tabs>
      <w:spacing w:before="60" w:after="60"/>
    </w:pPr>
  </w:style>
  <w:style w:type="paragraph" w:customStyle="1" w:styleId="IPPSubheadSpaceAfter">
    <w:name w:val="IPP Subhead SpaceAfter"/>
    <w:basedOn w:val="IPPSubhead"/>
    <w:qFormat/>
    <w:rsid w:val="00351E42"/>
    <w:pPr>
      <w:spacing w:after="60"/>
    </w:pPr>
  </w:style>
  <w:style w:type="paragraph" w:customStyle="1" w:styleId="IPPHdg1Num">
    <w:name w:val="IPP Hdg1Num"/>
    <w:basedOn w:val="IPPHeading1"/>
    <w:next w:val="IPPNormal"/>
    <w:qFormat/>
    <w:rsid w:val="00351E42"/>
    <w:pPr>
      <w:ind w:left="0" w:firstLine="0"/>
    </w:pPr>
  </w:style>
  <w:style w:type="paragraph" w:customStyle="1" w:styleId="IPPHdg2Num">
    <w:name w:val="IPP Hdg2Num"/>
    <w:basedOn w:val="IPPHeading2"/>
    <w:next w:val="IPPNormal"/>
    <w:qFormat/>
    <w:rsid w:val="00351E42"/>
    <w:pPr>
      <w:numPr>
        <w:ilvl w:val="1"/>
        <w:numId w:val="9"/>
      </w:numPr>
    </w:pPr>
  </w:style>
  <w:style w:type="paragraph" w:customStyle="1" w:styleId="IPPNumberedList">
    <w:name w:val="IPP NumberedList"/>
    <w:basedOn w:val="IPPBullet1"/>
    <w:qFormat/>
    <w:rsid w:val="00351E42"/>
    <w:pPr>
      <w:numPr>
        <w:numId w:val="12"/>
      </w:numPr>
    </w:pPr>
  </w:style>
  <w:style w:type="paragraph" w:customStyle="1" w:styleId="IPPNumberedListLast">
    <w:name w:val="IPP NumberedListLast"/>
    <w:basedOn w:val="IPPNumberedList"/>
    <w:qFormat/>
    <w:rsid w:val="00E467DF"/>
  </w:style>
  <w:style w:type="paragraph" w:customStyle="1" w:styleId="StyleIPPNormalCloseSpaceAfter3pt">
    <w:name w:val="Style IPP NormalCloseSpace + After:  3 pt"/>
    <w:basedOn w:val="IPPNormalCloseSpace"/>
    <w:rsid w:val="00E467DF"/>
    <w:pPr>
      <w:keepNext w:val="0"/>
      <w:spacing w:after="180"/>
      <w:ind w:left="720" w:hanging="360"/>
    </w:pPr>
    <w:rPr>
      <w:rFonts w:eastAsia="Times"/>
    </w:rPr>
  </w:style>
  <w:style w:type="character" w:customStyle="1" w:styleId="FOOTNOTESChar">
    <w:name w:val="FOOTNOTES Char"/>
    <w:aliases w:val="fn Char,single space Char Char,single space Char,Footnote text Char Char"/>
    <w:basedOn w:val="DefaultParagraphFont"/>
    <w:rsid w:val="00E467DF"/>
    <w:rPr>
      <w:lang w:val="en-GB" w:eastAsia="en-GB" w:bidi="ar-SA"/>
    </w:rPr>
  </w:style>
  <w:style w:type="paragraph" w:customStyle="1" w:styleId="Default">
    <w:name w:val="Default"/>
    <w:rsid w:val="00E72AD8"/>
    <w:pPr>
      <w:autoSpaceDE w:val="0"/>
      <w:autoSpaceDN w:val="0"/>
      <w:adjustRightInd w:val="0"/>
    </w:pPr>
    <w:rPr>
      <w:color w:val="000000"/>
      <w:sz w:val="24"/>
      <w:szCs w:val="24"/>
      <w:lang w:val="en-GB" w:eastAsia="en-GB"/>
    </w:rPr>
  </w:style>
  <w:style w:type="character" w:customStyle="1" w:styleId="IPPNormalChar">
    <w:name w:val="IPP Normal Char"/>
    <w:link w:val="IPPNormal"/>
    <w:rsid w:val="00FF3685"/>
    <w:rPr>
      <w:rFonts w:eastAsia="Times"/>
      <w:sz w:val="22"/>
      <w:szCs w:val="24"/>
      <w:lang w:val="en-GB"/>
    </w:rPr>
  </w:style>
  <w:style w:type="paragraph" w:customStyle="1" w:styleId="IPPHeaderEven">
    <w:name w:val="IPP Header Even"/>
    <w:basedOn w:val="IPPNormal"/>
    <w:qFormat/>
    <w:rsid w:val="00FF3685"/>
    <w:pPr>
      <w:pBdr>
        <w:bottom w:val="single" w:sz="4" w:space="4" w:color="auto"/>
      </w:pBdr>
      <w:tabs>
        <w:tab w:val="right" w:pos="9600"/>
      </w:tabs>
      <w:spacing w:after="120" w:line="276" w:lineRule="auto"/>
      <w:jc w:val="right"/>
    </w:pPr>
    <w:rPr>
      <w:rFonts w:ascii="Arial" w:hAnsi="Arial" w:cs="Arial"/>
      <w:sz w:val="18"/>
      <w:lang w:val="en-US"/>
    </w:rPr>
  </w:style>
  <w:style w:type="character" w:customStyle="1" w:styleId="IPPHeading1Char">
    <w:name w:val="IPP Heading1 Char"/>
    <w:link w:val="IPPHeading1"/>
    <w:rsid w:val="00FF3685"/>
    <w:rPr>
      <w:rFonts w:eastAsia="Times"/>
      <w:b/>
      <w:sz w:val="24"/>
      <w:szCs w:val="22"/>
      <w:lang w:val="en-GB"/>
    </w:rPr>
  </w:style>
  <w:style w:type="character" w:styleId="FollowedHyperlink">
    <w:name w:val="FollowedHyperlink"/>
    <w:basedOn w:val="DefaultParagraphFont"/>
    <w:rsid w:val="00EF635C"/>
    <w:rPr>
      <w:color w:val="800080"/>
      <w:u w:val="single"/>
    </w:rPr>
  </w:style>
  <w:style w:type="numbering" w:customStyle="1" w:styleId="IPPList1">
    <w:name w:val="IPP List1"/>
    <w:rsid w:val="00381E49"/>
    <w:pPr>
      <w:numPr>
        <w:numId w:val="14"/>
      </w:numPr>
    </w:pPr>
  </w:style>
  <w:style w:type="character" w:customStyle="1" w:styleId="HeaderChar">
    <w:name w:val="Header Char"/>
    <w:basedOn w:val="DefaultParagraphFont"/>
    <w:link w:val="Header"/>
    <w:rsid w:val="00351E42"/>
    <w:rPr>
      <w:rFonts w:eastAsia="MS Mincho"/>
      <w:sz w:val="22"/>
      <w:szCs w:val="24"/>
      <w:lang w:val="en-GB"/>
    </w:rPr>
  </w:style>
  <w:style w:type="paragraph" w:customStyle="1" w:styleId="IPPHeading30">
    <w:name w:val="IPP Heading3"/>
    <w:basedOn w:val="IPPNormal"/>
    <w:qFormat/>
    <w:rsid w:val="00351E42"/>
    <w:pPr>
      <w:keepNext/>
      <w:tabs>
        <w:tab w:val="left" w:pos="567"/>
      </w:tabs>
      <w:spacing w:before="120" w:after="120"/>
      <w:ind w:left="567" w:hanging="567"/>
    </w:pPr>
    <w:rPr>
      <w:b/>
      <w:i/>
    </w:rPr>
  </w:style>
  <w:style w:type="paragraph" w:customStyle="1" w:styleId="IPPHeaderlandscape">
    <w:name w:val="IPP Header landscape"/>
    <w:basedOn w:val="IPPHeader"/>
    <w:qFormat/>
    <w:rsid w:val="00351E42"/>
    <w:pPr>
      <w:pBdr>
        <w:bottom w:val="single" w:sz="4" w:space="1" w:color="auto"/>
      </w:pBdr>
      <w:tabs>
        <w:tab w:val="clear" w:pos="9072"/>
        <w:tab w:val="right" w:pos="14034"/>
      </w:tabs>
      <w:spacing w:after="0"/>
      <w:ind w:right="-32"/>
    </w:pPr>
    <w:rPr>
      <w:noProof/>
    </w:rPr>
  </w:style>
  <w:style w:type="character" w:styleId="Strong">
    <w:name w:val="Strong"/>
    <w:basedOn w:val="DefaultParagraphFont"/>
    <w:qFormat/>
    <w:rsid w:val="00351E42"/>
    <w:rPr>
      <w:b/>
      <w:bCs/>
    </w:rPr>
  </w:style>
  <w:style w:type="paragraph" w:styleId="ListParagraph">
    <w:name w:val="List Paragraph"/>
    <w:basedOn w:val="Normal"/>
    <w:uiPriority w:val="34"/>
    <w:qFormat/>
    <w:rsid w:val="00351E42"/>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rsid w:val="00351E42"/>
    <w:pPr>
      <w:numPr>
        <w:numId w:val="11"/>
      </w:numPr>
    </w:pPr>
    <w:rPr>
      <w:lang w:val="en-US"/>
    </w:rPr>
  </w:style>
  <w:style w:type="numbering" w:customStyle="1" w:styleId="IPPList">
    <w:name w:val="IPP List"/>
    <w:rsid w:val="00351E42"/>
    <w:pPr>
      <w:numPr>
        <w:numId w:val="10"/>
      </w:numPr>
    </w:pPr>
  </w:style>
  <w:style w:type="paragraph" w:styleId="CommentText">
    <w:name w:val="annotation text"/>
    <w:basedOn w:val="Normal"/>
    <w:link w:val="CommentTextChar"/>
    <w:uiPriority w:val="99"/>
    <w:rsid w:val="00612445"/>
    <w:rPr>
      <w:sz w:val="20"/>
      <w:szCs w:val="20"/>
    </w:rPr>
  </w:style>
  <w:style w:type="character" w:styleId="CommentReference">
    <w:name w:val="annotation reference"/>
    <w:basedOn w:val="DefaultParagraphFont"/>
    <w:uiPriority w:val="99"/>
    <w:rsid w:val="00612445"/>
    <w:rPr>
      <w:sz w:val="16"/>
      <w:szCs w:val="16"/>
    </w:rPr>
  </w:style>
  <w:style w:type="paragraph" w:styleId="NormalWeb">
    <w:name w:val="Normal (Web)"/>
    <w:basedOn w:val="Normal"/>
    <w:uiPriority w:val="99"/>
    <w:rsid w:val="00212D36"/>
    <w:rPr>
      <w:rFonts w:eastAsia="Batang"/>
      <w:sz w:val="24"/>
      <w:lang w:eastAsia="ko-KR"/>
    </w:rPr>
  </w:style>
  <w:style w:type="character" w:styleId="Emphasis">
    <w:name w:val="Emphasis"/>
    <w:basedOn w:val="DefaultParagraphFont"/>
    <w:uiPriority w:val="20"/>
    <w:qFormat/>
    <w:rsid w:val="00212D36"/>
    <w:rPr>
      <w:i/>
      <w:iCs/>
    </w:rPr>
  </w:style>
  <w:style w:type="paragraph" w:customStyle="1" w:styleId="IPPParagraphNumbering">
    <w:name w:val="IPP ParagraphNumbering"/>
    <w:basedOn w:val="Normal"/>
    <w:qFormat/>
    <w:rsid w:val="004515F5"/>
    <w:pPr>
      <w:numPr>
        <w:numId w:val="7"/>
      </w:numPr>
      <w:spacing w:after="180"/>
    </w:pPr>
    <w:rPr>
      <w:rFonts w:eastAsia="Times"/>
      <w:lang w:val="en-US"/>
    </w:rPr>
  </w:style>
  <w:style w:type="paragraph" w:customStyle="1" w:styleId="IPPParagraphNumberingClose">
    <w:name w:val="IPP ParagraphNumberingClose"/>
    <w:basedOn w:val="IPPParagraphNumbering"/>
    <w:qFormat/>
    <w:rsid w:val="004515F5"/>
    <w:pPr>
      <w:keepNext/>
      <w:spacing w:after="60"/>
    </w:pPr>
    <w:rPr>
      <w:noProof/>
    </w:rPr>
  </w:style>
  <w:style w:type="paragraph" w:customStyle="1" w:styleId="western">
    <w:name w:val="western"/>
    <w:basedOn w:val="Normal"/>
    <w:rsid w:val="00593635"/>
    <w:pPr>
      <w:spacing w:before="100" w:beforeAutospacing="1" w:after="100" w:afterAutospacing="1"/>
    </w:pPr>
    <w:rPr>
      <w:rFonts w:eastAsia="Times New Roman"/>
      <w:sz w:val="24"/>
    </w:rPr>
  </w:style>
  <w:style w:type="paragraph" w:styleId="CommentSubject">
    <w:name w:val="annotation subject"/>
    <w:basedOn w:val="CommentText"/>
    <w:next w:val="CommentText"/>
    <w:link w:val="CommentSubjectChar"/>
    <w:uiPriority w:val="99"/>
    <w:semiHidden/>
    <w:unhideWhenUsed/>
    <w:rsid w:val="0020101C"/>
    <w:rPr>
      <w:b/>
      <w:bCs/>
    </w:rPr>
  </w:style>
  <w:style w:type="character" w:customStyle="1" w:styleId="CommentTextChar">
    <w:name w:val="Comment Text Char"/>
    <w:basedOn w:val="DefaultParagraphFont"/>
    <w:link w:val="CommentText"/>
    <w:uiPriority w:val="99"/>
    <w:rsid w:val="0020101C"/>
    <w:rPr>
      <w:rFonts w:eastAsia="MS Mincho"/>
      <w:lang w:val="en-GB" w:eastAsia="en-US"/>
    </w:rPr>
  </w:style>
  <w:style w:type="character" w:customStyle="1" w:styleId="CommentSubjectChar">
    <w:name w:val="Comment Subject Char"/>
    <w:basedOn w:val="CommentTextChar"/>
    <w:link w:val="CommentSubject"/>
    <w:rsid w:val="0020101C"/>
    <w:rPr>
      <w:rFonts w:eastAsia="MS Mincho"/>
      <w:lang w:val="en-GB" w:eastAsia="en-US"/>
    </w:rPr>
  </w:style>
  <w:style w:type="paragraph" w:customStyle="1" w:styleId="NewPara">
    <w:name w:val="NewPara"/>
    <w:basedOn w:val="ListParagraph"/>
    <w:qFormat/>
    <w:rsid w:val="00F842F9"/>
    <w:pPr>
      <w:numPr>
        <w:numId w:val="15"/>
      </w:numPr>
      <w:spacing w:before="120" w:line="240" w:lineRule="auto"/>
      <w:ind w:leftChars="0"/>
      <w:jc w:val="left"/>
    </w:pPr>
    <w:rPr>
      <w:rFonts w:ascii="Times New Roman" w:eastAsia="Calibri" w:hAnsi="Times New Roman" w:cs="Akhbar MT"/>
      <w:sz w:val="22"/>
      <w:szCs w:val="30"/>
      <w:lang w:val="en-GB" w:eastAsia="en-US"/>
    </w:rPr>
  </w:style>
  <w:style w:type="paragraph" w:customStyle="1" w:styleId="BulletList">
    <w:name w:val="Bullet List"/>
    <w:basedOn w:val="ListParagraph"/>
    <w:link w:val="BulletListChar"/>
    <w:qFormat/>
    <w:rsid w:val="00F842F9"/>
    <w:pPr>
      <w:numPr>
        <w:numId w:val="16"/>
      </w:numPr>
      <w:spacing w:before="120" w:line="240" w:lineRule="auto"/>
      <w:ind w:leftChars="0" w:left="714" w:hanging="357"/>
      <w:contextualSpacing/>
      <w:jc w:val="left"/>
    </w:pPr>
    <w:rPr>
      <w:rFonts w:ascii="Times New Roman" w:eastAsia="Calibri" w:hAnsi="Times New Roman" w:cs="Akhbar MT"/>
      <w:sz w:val="22"/>
      <w:szCs w:val="30"/>
      <w:lang w:val="en-GB" w:eastAsia="en-US"/>
    </w:rPr>
  </w:style>
  <w:style w:type="character" w:customStyle="1" w:styleId="BulletListChar">
    <w:name w:val="Bullet List Char"/>
    <w:basedOn w:val="DefaultParagraphFont"/>
    <w:link w:val="BulletList"/>
    <w:rsid w:val="00F842F9"/>
    <w:rPr>
      <w:rFonts w:eastAsia="Calibri" w:cs="Akhbar MT"/>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0202">
      <w:bodyDiv w:val="1"/>
      <w:marLeft w:val="0"/>
      <w:marRight w:val="0"/>
      <w:marTop w:val="0"/>
      <w:marBottom w:val="0"/>
      <w:divBdr>
        <w:top w:val="none" w:sz="0" w:space="0" w:color="auto"/>
        <w:left w:val="none" w:sz="0" w:space="0" w:color="auto"/>
        <w:bottom w:val="none" w:sz="0" w:space="0" w:color="auto"/>
        <w:right w:val="none" w:sz="0" w:space="0" w:color="auto"/>
      </w:divBdr>
      <w:divsChild>
        <w:div w:id="1862477247">
          <w:marLeft w:val="0"/>
          <w:marRight w:val="0"/>
          <w:marTop w:val="0"/>
          <w:marBottom w:val="0"/>
          <w:divBdr>
            <w:top w:val="none" w:sz="0" w:space="0" w:color="auto"/>
            <w:left w:val="none" w:sz="0" w:space="0" w:color="auto"/>
            <w:bottom w:val="none" w:sz="0" w:space="0" w:color="auto"/>
            <w:right w:val="none" w:sz="0" w:space="0" w:color="auto"/>
          </w:divBdr>
          <w:divsChild>
            <w:div w:id="579485700">
              <w:marLeft w:val="0"/>
              <w:marRight w:val="0"/>
              <w:marTop w:val="0"/>
              <w:marBottom w:val="0"/>
              <w:divBdr>
                <w:top w:val="none" w:sz="0" w:space="0" w:color="auto"/>
                <w:left w:val="none" w:sz="0" w:space="0" w:color="auto"/>
                <w:bottom w:val="none" w:sz="0" w:space="0" w:color="auto"/>
                <w:right w:val="none" w:sz="0" w:space="0" w:color="auto"/>
              </w:divBdr>
              <w:divsChild>
                <w:div w:id="1553733808">
                  <w:marLeft w:val="0"/>
                  <w:marRight w:val="0"/>
                  <w:marTop w:val="0"/>
                  <w:marBottom w:val="0"/>
                  <w:divBdr>
                    <w:top w:val="none" w:sz="0" w:space="0" w:color="auto"/>
                    <w:left w:val="none" w:sz="0" w:space="0" w:color="auto"/>
                    <w:bottom w:val="none" w:sz="0" w:space="0" w:color="auto"/>
                    <w:right w:val="none" w:sz="0" w:space="0" w:color="auto"/>
                  </w:divBdr>
                  <w:divsChild>
                    <w:div w:id="20402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3594">
      <w:bodyDiv w:val="1"/>
      <w:marLeft w:val="0"/>
      <w:marRight w:val="0"/>
      <w:marTop w:val="0"/>
      <w:marBottom w:val="0"/>
      <w:divBdr>
        <w:top w:val="none" w:sz="0" w:space="0" w:color="auto"/>
        <w:left w:val="none" w:sz="0" w:space="0" w:color="auto"/>
        <w:bottom w:val="none" w:sz="0" w:space="0" w:color="auto"/>
        <w:right w:val="none" w:sz="0" w:space="0" w:color="auto"/>
      </w:divBdr>
    </w:div>
    <w:div w:id="927080022">
      <w:bodyDiv w:val="1"/>
      <w:marLeft w:val="0"/>
      <w:marRight w:val="0"/>
      <w:marTop w:val="0"/>
      <w:marBottom w:val="0"/>
      <w:divBdr>
        <w:top w:val="none" w:sz="0" w:space="0" w:color="auto"/>
        <w:left w:val="none" w:sz="0" w:space="0" w:color="auto"/>
        <w:bottom w:val="none" w:sz="0" w:space="0" w:color="auto"/>
        <w:right w:val="none" w:sz="0" w:space="0" w:color="auto"/>
      </w:divBdr>
    </w:div>
    <w:div w:id="1027491059">
      <w:bodyDiv w:val="1"/>
      <w:marLeft w:val="0"/>
      <w:marRight w:val="0"/>
      <w:marTop w:val="0"/>
      <w:marBottom w:val="0"/>
      <w:divBdr>
        <w:top w:val="none" w:sz="0" w:space="0" w:color="auto"/>
        <w:left w:val="none" w:sz="0" w:space="0" w:color="auto"/>
        <w:bottom w:val="none" w:sz="0" w:space="0" w:color="auto"/>
        <w:right w:val="none" w:sz="0" w:space="0" w:color="auto"/>
      </w:divBdr>
      <w:divsChild>
        <w:div w:id="1278564057">
          <w:marLeft w:val="0"/>
          <w:marRight w:val="0"/>
          <w:marTop w:val="0"/>
          <w:marBottom w:val="0"/>
          <w:divBdr>
            <w:top w:val="none" w:sz="0" w:space="0" w:color="auto"/>
            <w:left w:val="none" w:sz="0" w:space="0" w:color="auto"/>
            <w:bottom w:val="none" w:sz="0" w:space="0" w:color="auto"/>
            <w:right w:val="none" w:sz="0" w:space="0" w:color="auto"/>
          </w:divBdr>
        </w:div>
        <w:div w:id="1572884615">
          <w:marLeft w:val="0"/>
          <w:marRight w:val="0"/>
          <w:marTop w:val="0"/>
          <w:marBottom w:val="0"/>
          <w:divBdr>
            <w:top w:val="none" w:sz="0" w:space="0" w:color="auto"/>
            <w:left w:val="none" w:sz="0" w:space="0" w:color="auto"/>
            <w:bottom w:val="none" w:sz="0" w:space="0" w:color="auto"/>
            <w:right w:val="none" w:sz="0" w:space="0" w:color="auto"/>
          </w:divBdr>
        </w:div>
        <w:div w:id="1908681602">
          <w:marLeft w:val="0"/>
          <w:marRight w:val="0"/>
          <w:marTop w:val="0"/>
          <w:marBottom w:val="0"/>
          <w:divBdr>
            <w:top w:val="none" w:sz="0" w:space="0" w:color="auto"/>
            <w:left w:val="none" w:sz="0" w:space="0" w:color="auto"/>
            <w:bottom w:val="none" w:sz="0" w:space="0" w:color="auto"/>
            <w:right w:val="none" w:sz="0" w:space="0" w:color="auto"/>
          </w:divBdr>
        </w:div>
      </w:divsChild>
    </w:div>
    <w:div w:id="1100293214">
      <w:bodyDiv w:val="1"/>
      <w:marLeft w:val="0"/>
      <w:marRight w:val="0"/>
      <w:marTop w:val="0"/>
      <w:marBottom w:val="0"/>
      <w:divBdr>
        <w:top w:val="none" w:sz="0" w:space="0" w:color="auto"/>
        <w:left w:val="none" w:sz="0" w:space="0" w:color="auto"/>
        <w:bottom w:val="none" w:sz="0" w:space="0" w:color="auto"/>
        <w:right w:val="none" w:sz="0" w:space="0" w:color="auto"/>
      </w:divBdr>
      <w:divsChild>
        <w:div w:id="1048913631">
          <w:marLeft w:val="0"/>
          <w:marRight w:val="0"/>
          <w:marTop w:val="0"/>
          <w:marBottom w:val="0"/>
          <w:divBdr>
            <w:top w:val="none" w:sz="0" w:space="0" w:color="auto"/>
            <w:left w:val="none" w:sz="0" w:space="0" w:color="auto"/>
            <w:bottom w:val="none" w:sz="0" w:space="0" w:color="auto"/>
            <w:right w:val="none" w:sz="0" w:space="0" w:color="auto"/>
          </w:divBdr>
        </w:div>
        <w:div w:id="1928493680">
          <w:marLeft w:val="0"/>
          <w:marRight w:val="0"/>
          <w:marTop w:val="0"/>
          <w:marBottom w:val="0"/>
          <w:divBdr>
            <w:top w:val="none" w:sz="0" w:space="0" w:color="auto"/>
            <w:left w:val="none" w:sz="0" w:space="0" w:color="auto"/>
            <w:bottom w:val="none" w:sz="0" w:space="0" w:color="auto"/>
            <w:right w:val="none" w:sz="0" w:space="0" w:color="auto"/>
          </w:divBdr>
        </w:div>
        <w:div w:id="2103988022">
          <w:marLeft w:val="0"/>
          <w:marRight w:val="0"/>
          <w:marTop w:val="0"/>
          <w:marBottom w:val="0"/>
          <w:divBdr>
            <w:top w:val="none" w:sz="0" w:space="0" w:color="auto"/>
            <w:left w:val="none" w:sz="0" w:space="0" w:color="auto"/>
            <w:bottom w:val="none" w:sz="0" w:space="0" w:color="auto"/>
            <w:right w:val="none" w:sz="0" w:space="0" w:color="auto"/>
          </w:divBdr>
        </w:div>
      </w:divsChild>
    </w:div>
    <w:div w:id="1122772973">
      <w:bodyDiv w:val="1"/>
      <w:marLeft w:val="0"/>
      <w:marRight w:val="0"/>
      <w:marTop w:val="0"/>
      <w:marBottom w:val="0"/>
      <w:divBdr>
        <w:top w:val="none" w:sz="0" w:space="0" w:color="auto"/>
        <w:left w:val="none" w:sz="0" w:space="0" w:color="auto"/>
        <w:bottom w:val="none" w:sz="0" w:space="0" w:color="auto"/>
        <w:right w:val="none" w:sz="0" w:space="0" w:color="auto"/>
      </w:divBdr>
      <w:divsChild>
        <w:div w:id="67650726">
          <w:marLeft w:val="0"/>
          <w:marRight w:val="0"/>
          <w:marTop w:val="0"/>
          <w:marBottom w:val="0"/>
          <w:divBdr>
            <w:top w:val="none" w:sz="0" w:space="0" w:color="auto"/>
            <w:left w:val="none" w:sz="0" w:space="0" w:color="auto"/>
            <w:bottom w:val="none" w:sz="0" w:space="0" w:color="auto"/>
            <w:right w:val="none" w:sz="0" w:space="0" w:color="auto"/>
          </w:divBdr>
        </w:div>
        <w:div w:id="101149920">
          <w:marLeft w:val="0"/>
          <w:marRight w:val="0"/>
          <w:marTop w:val="0"/>
          <w:marBottom w:val="0"/>
          <w:divBdr>
            <w:top w:val="none" w:sz="0" w:space="0" w:color="auto"/>
            <w:left w:val="none" w:sz="0" w:space="0" w:color="auto"/>
            <w:bottom w:val="none" w:sz="0" w:space="0" w:color="auto"/>
            <w:right w:val="none" w:sz="0" w:space="0" w:color="auto"/>
          </w:divBdr>
        </w:div>
        <w:div w:id="460727088">
          <w:marLeft w:val="0"/>
          <w:marRight w:val="0"/>
          <w:marTop w:val="0"/>
          <w:marBottom w:val="0"/>
          <w:divBdr>
            <w:top w:val="none" w:sz="0" w:space="0" w:color="auto"/>
            <w:left w:val="none" w:sz="0" w:space="0" w:color="auto"/>
            <w:bottom w:val="none" w:sz="0" w:space="0" w:color="auto"/>
            <w:right w:val="none" w:sz="0" w:space="0" w:color="auto"/>
          </w:divBdr>
        </w:div>
        <w:div w:id="526063472">
          <w:marLeft w:val="0"/>
          <w:marRight w:val="0"/>
          <w:marTop w:val="0"/>
          <w:marBottom w:val="0"/>
          <w:divBdr>
            <w:top w:val="none" w:sz="0" w:space="0" w:color="auto"/>
            <w:left w:val="none" w:sz="0" w:space="0" w:color="auto"/>
            <w:bottom w:val="none" w:sz="0" w:space="0" w:color="auto"/>
            <w:right w:val="none" w:sz="0" w:space="0" w:color="auto"/>
          </w:divBdr>
        </w:div>
        <w:div w:id="696781367">
          <w:marLeft w:val="0"/>
          <w:marRight w:val="0"/>
          <w:marTop w:val="0"/>
          <w:marBottom w:val="0"/>
          <w:divBdr>
            <w:top w:val="none" w:sz="0" w:space="0" w:color="auto"/>
            <w:left w:val="none" w:sz="0" w:space="0" w:color="auto"/>
            <w:bottom w:val="none" w:sz="0" w:space="0" w:color="auto"/>
            <w:right w:val="none" w:sz="0" w:space="0" w:color="auto"/>
          </w:divBdr>
        </w:div>
        <w:div w:id="699547705">
          <w:marLeft w:val="0"/>
          <w:marRight w:val="0"/>
          <w:marTop w:val="0"/>
          <w:marBottom w:val="0"/>
          <w:divBdr>
            <w:top w:val="none" w:sz="0" w:space="0" w:color="auto"/>
            <w:left w:val="none" w:sz="0" w:space="0" w:color="auto"/>
            <w:bottom w:val="none" w:sz="0" w:space="0" w:color="auto"/>
            <w:right w:val="none" w:sz="0" w:space="0" w:color="auto"/>
          </w:divBdr>
        </w:div>
        <w:div w:id="911814530">
          <w:marLeft w:val="0"/>
          <w:marRight w:val="0"/>
          <w:marTop w:val="0"/>
          <w:marBottom w:val="0"/>
          <w:divBdr>
            <w:top w:val="none" w:sz="0" w:space="0" w:color="auto"/>
            <w:left w:val="none" w:sz="0" w:space="0" w:color="auto"/>
            <w:bottom w:val="none" w:sz="0" w:space="0" w:color="auto"/>
            <w:right w:val="none" w:sz="0" w:space="0" w:color="auto"/>
          </w:divBdr>
        </w:div>
        <w:div w:id="928345360">
          <w:marLeft w:val="0"/>
          <w:marRight w:val="0"/>
          <w:marTop w:val="0"/>
          <w:marBottom w:val="0"/>
          <w:divBdr>
            <w:top w:val="none" w:sz="0" w:space="0" w:color="auto"/>
            <w:left w:val="none" w:sz="0" w:space="0" w:color="auto"/>
            <w:bottom w:val="none" w:sz="0" w:space="0" w:color="auto"/>
            <w:right w:val="none" w:sz="0" w:space="0" w:color="auto"/>
          </w:divBdr>
        </w:div>
        <w:div w:id="1628657444">
          <w:marLeft w:val="0"/>
          <w:marRight w:val="0"/>
          <w:marTop w:val="0"/>
          <w:marBottom w:val="0"/>
          <w:divBdr>
            <w:top w:val="none" w:sz="0" w:space="0" w:color="auto"/>
            <w:left w:val="none" w:sz="0" w:space="0" w:color="auto"/>
            <w:bottom w:val="none" w:sz="0" w:space="0" w:color="auto"/>
            <w:right w:val="none" w:sz="0" w:space="0" w:color="auto"/>
          </w:divBdr>
        </w:div>
        <w:div w:id="1779907028">
          <w:marLeft w:val="0"/>
          <w:marRight w:val="0"/>
          <w:marTop w:val="0"/>
          <w:marBottom w:val="0"/>
          <w:divBdr>
            <w:top w:val="none" w:sz="0" w:space="0" w:color="auto"/>
            <w:left w:val="none" w:sz="0" w:space="0" w:color="auto"/>
            <w:bottom w:val="none" w:sz="0" w:space="0" w:color="auto"/>
            <w:right w:val="none" w:sz="0" w:space="0" w:color="auto"/>
          </w:divBdr>
        </w:div>
        <w:div w:id="1822186380">
          <w:marLeft w:val="0"/>
          <w:marRight w:val="0"/>
          <w:marTop w:val="0"/>
          <w:marBottom w:val="0"/>
          <w:divBdr>
            <w:top w:val="none" w:sz="0" w:space="0" w:color="auto"/>
            <w:left w:val="none" w:sz="0" w:space="0" w:color="auto"/>
            <w:bottom w:val="none" w:sz="0" w:space="0" w:color="auto"/>
            <w:right w:val="none" w:sz="0" w:space="0" w:color="auto"/>
          </w:divBdr>
        </w:div>
      </w:divsChild>
    </w:div>
    <w:div w:id="1327127737">
      <w:bodyDiv w:val="1"/>
      <w:marLeft w:val="0"/>
      <w:marRight w:val="0"/>
      <w:marTop w:val="0"/>
      <w:marBottom w:val="0"/>
      <w:divBdr>
        <w:top w:val="none" w:sz="0" w:space="0" w:color="auto"/>
        <w:left w:val="none" w:sz="0" w:space="0" w:color="auto"/>
        <w:bottom w:val="none" w:sz="0" w:space="0" w:color="auto"/>
        <w:right w:val="none" w:sz="0" w:space="0" w:color="auto"/>
      </w:divBdr>
    </w:div>
    <w:div w:id="16194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uori\AppData\Roaming\Microsoft\Templates\IPPC_2013-03-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A0DBA-FE37-4EAE-A522-74B1148C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IPPC_2013-03-20.dot</Template>
  <TotalTime>67</TotalTime>
  <Pages>5</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2005</vt:lpstr>
    </vt:vector>
  </TitlesOfParts>
  <Company>FAO of the UN</Company>
  <LinksUpToDate>false</LinksUpToDate>
  <CharactersWithSpaces>16573</CharactersWithSpaces>
  <SharedDoc>false</SharedDoc>
  <HLinks>
    <vt:vector size="12" baseType="variant">
      <vt:variant>
        <vt:i4>8126498</vt:i4>
      </vt:variant>
      <vt:variant>
        <vt:i4>3</vt:i4>
      </vt:variant>
      <vt:variant>
        <vt:i4>0</vt:i4>
      </vt:variant>
      <vt:variant>
        <vt:i4>5</vt:i4>
      </vt:variant>
      <vt:variant>
        <vt:lpwstr>https://www.ippc.int/core-activities/standards-setting/standards-committee</vt:lpwstr>
      </vt:variant>
      <vt:variant>
        <vt:lpwstr/>
      </vt:variant>
      <vt:variant>
        <vt:i4>4259914</vt:i4>
      </vt:variant>
      <vt:variant>
        <vt:i4>0</vt:i4>
      </vt:variant>
      <vt:variant>
        <vt:i4>0</vt:i4>
      </vt:variant>
      <vt:variant>
        <vt:i4>5</vt:i4>
      </vt:variant>
      <vt:variant>
        <vt:lpwstr>http://ocs.ippc.int/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Larson, Brent (AGPP)</dc:creator>
  <cp:lastModifiedBy>Michael Ormsby</cp:lastModifiedBy>
  <cp:revision>6</cp:revision>
  <cp:lastPrinted>2013-10-02T01:44:00Z</cp:lastPrinted>
  <dcterms:created xsi:type="dcterms:W3CDTF">2015-06-02T03:39:00Z</dcterms:created>
  <dcterms:modified xsi:type="dcterms:W3CDTF">2015-06-03T02:01:00Z</dcterms:modified>
</cp:coreProperties>
</file>