
<file path=[Content_Types].xml><?xml version="1.0" encoding="utf-8"?>
<Types xmlns="http://schemas.openxmlformats.org/package/2006/content-types">
  <Default Extension="xml" ContentType="application/vnd.openxmlformats-officedocument.extended-properties+xml"/>
  <Default Extension="jpeg" ContentType="image/jpeg"/>
  <Default Extension="png" ContentType="image/pn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rPr>
          <w:sz w:val="20"/>
          <w:rStyle w:val="PleaseReviewParagraphId"/>
          <w:noProof/>
        </w:rPr>
        <w:t>[PleaseReview document review. Review title: 2016 First consultation on Draft Annex to ISPM 27 – Fusarium circinatum. Document title: 2006-021_FusariumCircinatum_2016-06-29.docx]</w:t>
      </w:r>
    </w:p>
    <w:p>
      <w:pPr>
        <w:spacing w:after="120"/>
        <w:rPr>
          <w:rFonts w:asciiTheme="majorBidi" w:hAnsiTheme="majorBidi" w:cstheme="majorBidi"/>
          <w:b/>
          <w:bCs/>
          <w:sz w:val="32"/>
          <w:szCs w:val="36"/>
        </w:rPr>
      </w:pPr>
      <w:r>
        <w:rPr>
          <w:rStyle w:val="PleaseReviewParagraphId"/>
          <w:b w:val="off"/>
          <w:i w:val="off"/>
        </w:rPr>
        <w:t>[1]</w:t>
      </w:r>
      <w:bookmarkStart w:name="_Toc413424373" w:id="0"/>
      <w:r>
        <w:rPr>
          <w:rFonts w:asciiTheme="majorBidi" w:hAnsiTheme="majorBidi" w:cstheme="majorBidi"/>
          <w:b/>
          <w:bCs/>
          <w:sz w:val="24"/>
        </w:rPr>
        <w:t xml:space="preserve">Draft Annex to ISPM 27: </w:t>
      </w:r>
      <w:r>
        <w:rPr>
          <w:rFonts w:asciiTheme="majorBidi" w:hAnsiTheme="majorBidi" w:cstheme="majorBidi"/>
          <w:b/>
          <w:bCs/>
          <w:i/>
          <w:iCs/>
          <w:sz w:val="24"/>
        </w:rPr>
        <w:t>Fusarium circinatum</w:t>
      </w:r>
      <w:r>
        <w:rPr>
          <w:rFonts w:asciiTheme="majorBidi" w:hAnsiTheme="majorBidi" w:cstheme="majorBidi"/>
          <w:b/>
          <w:bCs/>
          <w:i/>
          <w:iCs/>
          <w:caps/>
          <w:sz w:val="24"/>
        </w:rPr>
        <w:t xml:space="preserve"> </w:t>
      </w:r>
      <w:r>
        <w:rPr>
          <w:rFonts w:asciiTheme="majorBidi" w:hAnsiTheme="majorBidi" w:cstheme="majorBidi"/>
          <w:b/>
          <w:bCs/>
          <w:sz w:val="24"/>
        </w:rPr>
        <w:t>(2006-021)</w:t>
      </w:r>
      <w:bookmarkEnd w:id="0"/>
    </w:p>
    <w:tbl>
      <w:tblPr>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A0" w:firstRow="1" w:lastRow="0" w:firstColumn="1" w:lastColumn="0" w:noHBand="0" w:noVBand="0"/>
      </w:tblPr>
      <w:tblGrid>
        <w:gridCol w:w="2208"/>
        <w:gridCol w:w="6434"/>
      </w:tblGrid>
      <w:tr>
        <w:trPr>
          <w:jc w:val="center"/>
        </w:trPr>
        <w:tc>
          <w:tcPr>
            <w:tcW w:w="8642" w:type="dxa"/>
            <w:gridSpan w:val="2"/>
            <w:tcBorders>
              <w:top w:val="single" w:color="auto" w:sz="4" w:space="0"/>
              <w:left w:val="single" w:color="auto" w:sz="4" w:space="0"/>
              <w:bottom w:val="single" w:color="auto" w:sz="4" w:space="0"/>
              <w:right w:val="single" w:color="auto" w:sz="4" w:space="0"/>
            </w:tcBorders>
          </w:tcPr>
          <w:p>
            <w:r>
              <w:rPr>
                <w:rStyle w:val="PleaseReviewParagraphId"/>
                <w:b w:val="off"/>
                <w:i w:val="off"/>
              </w:rPr>
              <w:t>[2]</w:t>
            </w:r>
            <w:r>
              <w:rPr>
                <w:rFonts w:ascii="Arial" w:hAnsi="Arial" w:cs="Arial"/>
                <w:b/>
                <w:bCs/>
                <w:sz w:val="18"/>
                <w:szCs w:val="18"/>
              </w:rPr>
              <w:t>Status box</w:t>
            </w:r>
          </w:p>
        </w:tc>
      </w:tr>
      <w:tr>
        <w:trPr>
          <w:jc w:val="center"/>
        </w:trPr>
        <w:tc>
          <w:tcPr>
            <w:tcW w:w="8642" w:type="dxa"/>
            <w:gridSpan w:val="2"/>
            <w:tcBorders>
              <w:top w:val="single" w:color="auto" w:sz="4" w:space="0"/>
              <w:left w:val="single" w:color="auto" w:sz="4" w:space="0"/>
              <w:bottom w:val="single" w:color="auto" w:sz="4" w:space="0"/>
              <w:right w:val="single" w:color="auto" w:sz="4" w:space="0"/>
            </w:tcBorders>
          </w:tcPr>
          <w:p>
            <w:pPr>
              <w:rPr>
                <w:b/>
                <w:bCs/>
              </w:rPr>
            </w:pPr>
            <w:r>
              <w:rPr>
                <w:rStyle w:val="PleaseReviewParagraphId"/>
                <w:b w:val="off"/>
                <w:i w:val="off"/>
              </w:rPr>
              <w:t>[3]</w:t>
            </w:r>
            <w:r>
              <w:rPr>
                <w:rFonts w:ascii="Arial" w:hAnsi="Arial" w:cs="Arial"/>
                <w:b/>
                <w:bCs/>
                <w:iCs/>
                <w:sz w:val="18"/>
                <w:szCs w:val="18"/>
              </w:rPr>
              <w:t>This is not an official part of the standard and it will be modified by the IPPC Secretariat after adoption.</w:t>
            </w:r>
          </w:p>
        </w:tc>
      </w:tr>
      <w:tr>
        <w:trPr>
          <w:jc w:val="center"/>
        </w:trPr>
        <w:tc>
          <w:tcPr>
            <w:tcW w:w="2208" w:type="dxa"/>
            <w:tcBorders>
              <w:top w:val="single" w:color="auto" w:sz="4" w:space="0"/>
              <w:left w:val="single" w:color="auto" w:sz="4" w:space="0"/>
              <w:bottom w:val="single" w:color="auto" w:sz="4" w:space="0"/>
              <w:right w:val="single" w:color="auto" w:sz="4" w:space="0"/>
            </w:tcBorders>
          </w:tcPr>
          <w:p>
            <w:r>
              <w:rPr>
                <w:rStyle w:val="PleaseReviewParagraphId"/>
                <w:b w:val="off"/>
                <w:i w:val="off"/>
              </w:rPr>
              <w:t>[4]</w:t>
            </w:r>
            <w:r>
              <w:rPr>
                <w:rFonts w:ascii="Arial" w:hAnsi="Arial" w:cs="Arial"/>
                <w:b/>
                <w:bCs/>
                <w:sz w:val="18"/>
                <w:szCs w:val="18"/>
              </w:rPr>
              <w:t>Date of this document</w:t>
            </w:r>
          </w:p>
        </w:tc>
        <w:tc>
          <w:tcPr>
            <w:tcW w:w="6434" w:type="dxa"/>
            <w:tcBorders>
              <w:top w:val="single" w:color="auto" w:sz="4" w:space="0"/>
              <w:left w:val="single" w:color="auto" w:sz="4" w:space="0"/>
              <w:bottom w:val="single" w:color="auto" w:sz="4" w:space="0"/>
              <w:right w:val="single" w:color="auto" w:sz="4" w:space="0"/>
            </w:tcBorders>
          </w:tcPr>
          <w:p>
            <w:r>
              <w:rPr>
                <w:rStyle w:val="PleaseReviewParagraphId"/>
                <w:b w:val="off"/>
                <w:i w:val="off"/>
              </w:rPr>
              <w:t>[5]</w:t>
            </w:r>
            <w:r>
              <w:rPr>
                <w:rFonts w:ascii="Arial" w:hAnsi="Arial" w:cs="Arial"/>
                <w:sz w:val="18"/>
                <w:szCs w:val="18"/>
              </w:rPr>
              <w:t>2016-06-13</w:t>
            </w:r>
          </w:p>
        </w:tc>
      </w:tr>
      <w:tr>
        <w:trPr>
          <w:jc w:val="center"/>
        </w:trPr>
        <w:tc>
          <w:tcPr>
            <w:tcW w:w="2208" w:type="dxa"/>
            <w:tcBorders>
              <w:top w:val="single" w:color="auto" w:sz="4" w:space="0"/>
              <w:left w:val="single" w:color="auto" w:sz="4" w:space="0"/>
              <w:bottom w:val="single" w:color="auto" w:sz="4" w:space="0"/>
              <w:right w:val="single" w:color="auto" w:sz="4" w:space="0"/>
            </w:tcBorders>
          </w:tcPr>
          <w:p>
            <w:pPr>
              <w:pStyle w:val="NormalWeb"/>
              <w:spacing w:before="40" w:beforeAutospacing="0" w:after="96" w:afterLines="40" w:afterAutospacing="0"/>
              <w:rPr>
                <w:rFonts w:ascii="Arial" w:hAnsi="Arial" w:cs="Arial"/>
                <w:sz w:val="18"/>
                <w:szCs w:val="18"/>
              </w:rPr>
            </w:pPr>
            <w:r>
              <w:rPr>
                <w:rStyle w:val="PleaseReviewParagraphId"/>
                <w:b w:val="off"/>
                <w:i w:val="off"/>
              </w:rPr>
              <w:t>[6]</w:t>
            </w:r>
            <w:r>
              <w:rPr>
                <w:rFonts w:ascii="Arial" w:hAnsi="Arial" w:cs="Arial"/>
                <w:b/>
                <w:bCs/>
                <w:sz w:val="18"/>
                <w:szCs w:val="18"/>
              </w:rPr>
              <w:t>Document category</w:t>
            </w:r>
            <w:r>
              <w:rPr>
                <w:rFonts w:ascii="Arial" w:hAnsi="Arial" w:cs="Arial"/>
                <w:sz w:val="18"/>
                <w:szCs w:val="18"/>
              </w:rPr>
              <w:t xml:space="preserve"> </w:t>
            </w:r>
          </w:p>
        </w:tc>
        <w:tc>
          <w:tcPr>
            <w:tcW w:w="6434" w:type="dxa"/>
            <w:tcBorders>
              <w:top w:val="single" w:color="auto" w:sz="4" w:space="0"/>
              <w:left w:val="single" w:color="auto" w:sz="4" w:space="0"/>
              <w:bottom w:val="single" w:color="auto" w:sz="4" w:space="0"/>
              <w:right w:val="single" w:color="auto" w:sz="4" w:space="0"/>
            </w:tcBorders>
          </w:tcPr>
          <w:p>
            <w:pPr>
              <w:pStyle w:val="NormalWeb"/>
              <w:spacing w:before="40" w:beforeAutospacing="0" w:after="96" w:afterLines="40" w:afterAutospacing="0"/>
              <w:rPr>
                <w:rFonts w:ascii="Arial" w:hAnsi="Arial" w:cs="Arial"/>
                <w:sz w:val="18"/>
                <w:szCs w:val="18"/>
              </w:rPr>
            </w:pPr>
            <w:r>
              <w:rPr>
                <w:rStyle w:val="PleaseReviewParagraphId"/>
                <w:b w:val="off"/>
                <w:i w:val="off"/>
              </w:rPr>
              <w:t>[7]</w:t>
            </w:r>
            <w:r>
              <w:rPr>
                <w:rFonts w:ascii="Arial" w:hAnsi="Arial" w:cs="Arial"/>
                <w:sz w:val="18"/>
                <w:szCs w:val="18"/>
              </w:rPr>
              <w:t>Draft new annex to ISPM 27 (</w:t>
            </w:r>
            <w:r>
              <w:rPr>
                <w:rFonts w:ascii="Arial" w:hAnsi="Arial" w:cs="Arial"/>
                <w:i/>
                <w:iCs/>
                <w:sz w:val="18"/>
                <w:szCs w:val="18"/>
              </w:rPr>
              <w:t>Diagnostic protocols for regulated pests)</w:t>
            </w:r>
            <w:r>
              <w:rPr>
                <w:rFonts w:ascii="Arial" w:hAnsi="Arial" w:cs="Arial"/>
                <w:sz w:val="18"/>
                <w:szCs w:val="18"/>
              </w:rPr>
              <w:t xml:space="preserve"> </w:t>
            </w:r>
          </w:p>
        </w:tc>
      </w:tr>
      <w:tr>
        <w:trPr>
          <w:jc w:val="center"/>
        </w:trPr>
        <w:tc>
          <w:tcPr>
            <w:tcW w:w="2208" w:type="dxa"/>
            <w:tcBorders>
              <w:top w:val="single" w:color="auto" w:sz="4" w:space="0"/>
              <w:left w:val="single" w:color="auto" w:sz="4" w:space="0"/>
              <w:bottom w:val="single" w:color="auto" w:sz="4" w:space="0"/>
              <w:right w:val="single" w:color="auto" w:sz="4" w:space="0"/>
            </w:tcBorders>
          </w:tcPr>
          <w:p>
            <w:pPr>
              <w:pStyle w:val="NormalWeb"/>
              <w:spacing w:before="40" w:beforeAutospacing="0" w:after="96" w:afterLines="40" w:afterAutospacing="0"/>
              <w:rPr>
                <w:rFonts w:ascii="Arial" w:hAnsi="Arial" w:cs="Arial"/>
                <w:sz w:val="18"/>
                <w:szCs w:val="18"/>
              </w:rPr>
            </w:pPr>
            <w:r>
              <w:rPr>
                <w:rStyle w:val="PleaseReviewParagraphId"/>
                <w:b w:val="off"/>
                <w:i w:val="off"/>
              </w:rPr>
              <w:t>[8]</w:t>
            </w:r>
            <w:r>
              <w:rPr>
                <w:rFonts w:ascii="Arial" w:hAnsi="Arial" w:cs="Arial"/>
                <w:b/>
                <w:bCs/>
                <w:sz w:val="18"/>
                <w:szCs w:val="18"/>
              </w:rPr>
              <w:t>Current document stage</w:t>
            </w:r>
            <w:r>
              <w:rPr>
                <w:rFonts w:ascii="Arial" w:hAnsi="Arial" w:cs="Arial"/>
                <w:sz w:val="18"/>
                <w:szCs w:val="18"/>
              </w:rPr>
              <w:t xml:space="preserve"> </w:t>
            </w:r>
          </w:p>
        </w:tc>
        <w:tc>
          <w:tcPr>
            <w:tcW w:w="6434" w:type="dxa"/>
            <w:tcBorders>
              <w:top w:val="single" w:color="auto" w:sz="4" w:space="0"/>
              <w:left w:val="single" w:color="auto" w:sz="4" w:space="0"/>
              <w:bottom w:val="single" w:color="auto" w:sz="4" w:space="0"/>
              <w:right w:val="single" w:color="auto" w:sz="4" w:space="0"/>
            </w:tcBorders>
          </w:tcPr>
          <w:p>
            <w:pPr>
              <w:pStyle w:val="NormalWeb"/>
              <w:spacing w:before="40" w:beforeAutospacing="0" w:after="96" w:afterLines="40" w:afterAutospacing="0"/>
              <w:rPr>
                <w:rFonts w:ascii="Arial" w:hAnsi="Arial" w:cs="Arial"/>
                <w:sz w:val="18"/>
                <w:szCs w:val="18"/>
              </w:rPr>
            </w:pPr>
            <w:r>
              <w:rPr>
                <w:rStyle w:val="PleaseReviewParagraphId"/>
                <w:b w:val="off"/>
                <w:i w:val="off"/>
              </w:rPr>
              <w:t>[9]</w:t>
            </w:r>
            <w:r>
              <w:rPr>
                <w:rFonts w:ascii="Arial" w:hAnsi="Arial" w:cs="Arial"/>
                <w:sz w:val="18"/>
                <w:szCs w:val="18"/>
              </w:rPr>
              <w:t>For Consultation</w:t>
            </w:r>
          </w:p>
        </w:tc>
      </w:tr>
      <w:tr>
        <w:trPr>
          <w:jc w:val="center"/>
        </w:trPr>
        <w:tc>
          <w:tcPr>
            <w:tcW w:w="2208" w:type="dxa"/>
            <w:tcBorders>
              <w:top w:val="single" w:color="auto" w:sz="4" w:space="0"/>
              <w:left w:val="single" w:color="auto" w:sz="4" w:space="0"/>
              <w:bottom w:val="single" w:color="auto" w:sz="4" w:space="0"/>
              <w:right w:val="single" w:color="auto" w:sz="4" w:space="0"/>
            </w:tcBorders>
          </w:tcPr>
          <w:p>
            <w:pPr>
              <w:pStyle w:val="NormalWeb"/>
              <w:spacing w:before="40" w:beforeAutospacing="0" w:after="96" w:afterLines="40" w:afterAutospacing="0"/>
              <w:rPr>
                <w:rFonts w:ascii="Arial" w:hAnsi="Arial" w:cs="Arial"/>
                <w:sz w:val="18"/>
                <w:szCs w:val="18"/>
              </w:rPr>
            </w:pPr>
            <w:r>
              <w:rPr>
                <w:rStyle w:val="PleaseReviewParagraphId"/>
                <w:b w:val="off"/>
                <w:i w:val="off"/>
              </w:rPr>
              <w:t>[10]</w:t>
            </w:r>
            <w:r>
              <w:rPr>
                <w:rFonts w:ascii="Arial" w:hAnsi="Arial" w:cs="Arial"/>
                <w:b/>
                <w:bCs/>
                <w:sz w:val="18"/>
                <w:szCs w:val="18"/>
              </w:rPr>
              <w:t>Origin</w:t>
            </w:r>
            <w:r>
              <w:rPr>
                <w:rFonts w:ascii="Arial" w:hAnsi="Arial" w:cs="Arial"/>
                <w:sz w:val="18"/>
                <w:szCs w:val="18"/>
              </w:rPr>
              <w:t xml:space="preserve"> </w:t>
            </w:r>
          </w:p>
        </w:tc>
        <w:tc>
          <w:tcPr>
            <w:tcW w:w="6434" w:type="dxa"/>
            <w:tcBorders>
              <w:top w:val="single" w:color="auto" w:sz="4" w:space="0"/>
              <w:left w:val="single" w:color="auto" w:sz="4" w:space="0"/>
              <w:bottom w:val="single" w:color="auto" w:sz="4" w:space="0"/>
              <w:right w:val="single" w:color="auto" w:sz="4" w:space="0"/>
            </w:tcBorders>
          </w:tcPr>
          <w:p>
            <w:pPr>
              <w:pStyle w:val="NormalWeb"/>
              <w:spacing w:before="40" w:beforeAutospacing="0" w:after="96" w:afterLines="40" w:afterAutospacing="0"/>
              <w:rPr>
                <w:rFonts w:ascii="Arial" w:hAnsi="Arial" w:cs="Arial"/>
                <w:sz w:val="18"/>
                <w:szCs w:val="18"/>
              </w:rPr>
            </w:pPr>
            <w:r>
              <w:rPr>
                <w:rStyle w:val="PleaseReviewParagraphId"/>
                <w:b w:val="off"/>
                <w:i w:val="off"/>
              </w:rPr>
              <w:t>[11]</w:t>
            </w:r>
            <w:r>
              <w:rPr>
                <w:rFonts w:ascii="Arial" w:hAnsi="Arial" w:cs="Arial"/>
                <w:sz w:val="18"/>
                <w:szCs w:val="18"/>
              </w:rPr>
              <w:t xml:space="preserve">Work programme topic: Fungi and fungus-like organisms, CPM-1 (2006) </w:t>
            </w:r>
          </w:p>
          <w:p>
            <w:pPr>
              <w:pStyle w:val="NormalWeb"/>
              <w:spacing w:before="40" w:beforeAutospacing="0" w:after="96" w:afterLines="40" w:afterAutospacing="0"/>
              <w:rPr>
                <w:rFonts w:ascii="Arial" w:hAnsi="Arial" w:cs="Arial"/>
                <w:sz w:val="18"/>
                <w:szCs w:val="18"/>
              </w:rPr>
            </w:pPr>
            <w:r>
              <w:rPr>
                <w:rStyle w:val="PleaseReviewParagraphId"/>
                <w:b w:val="off"/>
                <w:i w:val="off"/>
              </w:rPr>
              <w:t>[12]</w:t>
            </w:r>
            <w:r>
              <w:rPr>
                <w:rFonts w:ascii="Arial" w:hAnsi="Arial" w:cs="Arial"/>
                <w:sz w:val="18"/>
                <w:szCs w:val="18"/>
              </w:rPr>
              <w:t xml:space="preserve">Original subject: </w:t>
            </w:r>
            <w:r>
              <w:rPr>
                <w:rFonts w:ascii="Arial" w:hAnsi="Arial" w:cs="Arial"/>
                <w:i/>
                <w:iCs/>
                <w:sz w:val="18"/>
                <w:szCs w:val="18"/>
              </w:rPr>
              <w:t xml:space="preserve">Gibberella circinata </w:t>
            </w:r>
            <w:r>
              <w:rPr>
                <w:rFonts w:ascii="Arial" w:hAnsi="Arial" w:cs="Arial"/>
                <w:sz w:val="18"/>
                <w:szCs w:val="18"/>
              </w:rPr>
              <w:t xml:space="preserve">(syn. of </w:t>
            </w:r>
            <w:r>
              <w:rPr>
                <w:rFonts w:ascii="Arial" w:hAnsi="Arial" w:cs="Arial"/>
                <w:i/>
                <w:iCs/>
                <w:sz w:val="18"/>
                <w:szCs w:val="18"/>
              </w:rPr>
              <w:t>Fusarium circinatum</w:t>
            </w:r>
            <w:r>
              <w:rPr>
                <w:rFonts w:ascii="Arial" w:hAnsi="Arial" w:cs="Arial"/>
                <w:sz w:val="18"/>
                <w:szCs w:val="18"/>
              </w:rPr>
              <w:t>)</w:t>
            </w:r>
          </w:p>
        </w:tc>
      </w:tr>
      <w:tr>
        <w:trPr>
          <w:jc w:val="center"/>
        </w:trPr>
        <w:tc>
          <w:tcPr>
            <w:tcW w:w="2208" w:type="dxa"/>
            <w:tcBorders>
              <w:top w:val="single" w:color="auto" w:sz="4" w:space="0"/>
              <w:left w:val="single" w:color="auto" w:sz="4" w:space="0"/>
              <w:bottom w:val="single" w:color="auto" w:sz="4" w:space="0"/>
              <w:right w:val="single" w:color="auto" w:sz="4" w:space="0"/>
            </w:tcBorders>
          </w:tcPr>
          <w:p>
            <w:pPr>
              <w:pStyle w:val="NormalWeb"/>
              <w:spacing w:before="40" w:beforeAutospacing="0" w:after="96" w:afterLines="40" w:afterAutospacing="0"/>
              <w:rPr>
                <w:rFonts w:ascii="Arial" w:hAnsi="Arial" w:cs="Arial"/>
                <w:sz w:val="18"/>
                <w:szCs w:val="18"/>
              </w:rPr>
            </w:pPr>
            <w:r>
              <w:rPr>
                <w:rStyle w:val="PleaseReviewParagraphId"/>
                <w:b w:val="off"/>
                <w:i w:val="off"/>
              </w:rPr>
              <w:t>[13]</w:t>
            </w:r>
            <w:r>
              <w:rPr>
                <w:rFonts w:ascii="Arial" w:hAnsi="Arial" w:cs="Arial"/>
                <w:b/>
                <w:bCs/>
                <w:sz w:val="18"/>
                <w:szCs w:val="18"/>
              </w:rPr>
              <w:t>Major stages</w:t>
            </w:r>
            <w:r>
              <w:rPr>
                <w:rFonts w:ascii="Arial" w:hAnsi="Arial" w:cs="Arial"/>
                <w:sz w:val="18"/>
                <w:szCs w:val="18"/>
              </w:rPr>
              <w:t xml:space="preserve"> </w:t>
            </w:r>
          </w:p>
        </w:tc>
        <w:tc>
          <w:tcPr>
            <w:tcW w:w="6434" w:type="dxa"/>
            <w:tcBorders>
              <w:top w:val="single" w:color="auto" w:sz="4" w:space="0"/>
              <w:left w:val="single" w:color="auto" w:sz="4" w:space="0"/>
              <w:bottom w:val="single" w:color="auto" w:sz="4" w:space="0"/>
              <w:right w:val="single" w:color="auto" w:sz="4" w:space="0"/>
            </w:tcBorders>
          </w:tcPr>
          <w:p>
            <w:pPr>
              <w:pStyle w:val="NormalWeb"/>
              <w:spacing w:before="40" w:beforeAutospacing="0" w:after="96" w:afterLines="40" w:afterAutospacing="0"/>
              <w:rPr>
                <w:rFonts w:ascii="Arial" w:hAnsi="Arial" w:cs="Arial"/>
                <w:sz w:val="18"/>
                <w:szCs w:val="18"/>
              </w:rPr>
            </w:pPr>
            <w:r>
              <w:rPr>
                <w:rStyle w:val="PleaseReviewParagraphId"/>
                <w:b w:val="off"/>
                <w:i w:val="off"/>
              </w:rPr>
              <w:t>[14]</w:t>
            </w:r>
            <w:r>
              <w:rPr>
                <w:rFonts w:ascii="Arial" w:hAnsi="Arial" w:cs="Arial"/>
                <w:sz w:val="18"/>
                <w:szCs w:val="18"/>
              </w:rPr>
              <w:t>2006-05 SC added original subject:</w:t>
            </w:r>
            <w:r>
              <w:t xml:space="preserve"> </w:t>
            </w:r>
            <w:r>
              <w:rPr>
                <w:rFonts w:ascii="Arial" w:hAnsi="Arial" w:cs="Arial"/>
                <w:i/>
                <w:iCs/>
                <w:sz w:val="18"/>
                <w:szCs w:val="18"/>
              </w:rPr>
              <w:t>Gibberella circinata</w:t>
            </w:r>
            <w:r>
              <w:rPr>
                <w:rFonts w:ascii="Arial" w:hAnsi="Arial" w:cs="Arial"/>
                <w:sz w:val="18"/>
                <w:szCs w:val="18"/>
              </w:rPr>
              <w:t xml:space="preserve"> (2006-021) </w:t>
            </w:r>
          </w:p>
          <w:p>
            <w:pPr>
              <w:pStyle w:val="NormalWeb"/>
              <w:spacing w:before="40" w:beforeAutospacing="0" w:after="96" w:afterLines="40" w:afterAutospacing="0"/>
              <w:rPr>
                <w:rFonts w:ascii="Arial" w:hAnsi="Arial" w:cs="Arial"/>
                <w:sz w:val="18"/>
                <w:szCs w:val="18"/>
              </w:rPr>
            </w:pPr>
            <w:r>
              <w:rPr>
                <w:rStyle w:val="PleaseReviewParagraphId"/>
                <w:b w:val="off"/>
                <w:i w:val="off"/>
              </w:rPr>
              <w:t>[15]</w:t>
            </w:r>
            <w:r>
              <w:rPr>
                <w:rFonts w:ascii="Arial" w:hAnsi="Arial" w:cs="Arial"/>
                <w:sz w:val="18"/>
                <w:szCs w:val="18"/>
              </w:rPr>
              <w:t>2015-03 Expert Consultation on draft DPs</w:t>
            </w:r>
          </w:p>
          <w:p>
            <w:pPr>
              <w:pStyle w:val="NormalWeb"/>
              <w:spacing w:before="40" w:beforeAutospacing="0" w:after="96" w:afterLines="40" w:afterAutospacing="0"/>
              <w:rPr>
                <w:rFonts w:ascii="Arial" w:hAnsi="Arial" w:cs="Arial"/>
                <w:sz w:val="18"/>
                <w:szCs w:val="18"/>
              </w:rPr>
            </w:pPr>
            <w:r>
              <w:rPr>
                <w:rStyle w:val="PleaseReviewParagraphId"/>
                <w:b w:val="off"/>
                <w:i w:val="off"/>
              </w:rPr>
              <w:t>[16]</w:t>
            </w:r>
            <w:r>
              <w:rPr>
                <w:rFonts w:ascii="Arial" w:hAnsi="Arial" w:cs="Arial"/>
                <w:sz w:val="18"/>
                <w:szCs w:val="18"/>
              </w:rPr>
              <w:t>2015-06 TPDP face-to-face meeting</w:t>
            </w:r>
          </w:p>
          <w:p>
            <w:pPr>
              <w:pStyle w:val="NormalWeb"/>
              <w:spacing w:before="40" w:beforeAutospacing="0" w:after="96" w:afterLines="40" w:afterAutospacing="0"/>
              <w:rPr>
                <w:rFonts w:ascii="Arial" w:hAnsi="Arial" w:cs="Arial"/>
                <w:sz w:val="18"/>
                <w:szCs w:val="18"/>
              </w:rPr>
            </w:pPr>
            <w:r>
              <w:rPr>
                <w:rStyle w:val="PleaseReviewParagraphId"/>
                <w:b w:val="off"/>
                <w:i w:val="off"/>
              </w:rPr>
              <w:t>[17]</w:t>
            </w:r>
            <w:r>
              <w:rPr>
                <w:rFonts w:ascii="Arial" w:hAnsi="Arial" w:cs="Arial"/>
                <w:sz w:val="18"/>
                <w:szCs w:val="18"/>
              </w:rPr>
              <w:t>2015-11 SC noted title change from “</w:t>
            </w:r>
            <w:r>
              <w:rPr>
                <w:rFonts w:ascii="Arial" w:hAnsi="Arial" w:cs="Arial"/>
                <w:i/>
                <w:sz w:val="18"/>
                <w:szCs w:val="18"/>
              </w:rPr>
              <w:t xml:space="preserve">Fusarium moniliformis / moniliforme </w:t>
            </w:r>
            <w:r>
              <w:rPr>
                <w:rFonts w:ascii="Arial" w:hAnsi="Arial" w:cs="Arial"/>
                <w:sz w:val="18"/>
                <w:szCs w:val="18"/>
              </w:rPr>
              <w:t xml:space="preserve">syn. </w:t>
            </w:r>
            <w:r>
              <w:rPr>
                <w:rFonts w:ascii="Arial" w:hAnsi="Arial" w:cs="Arial"/>
                <w:i/>
                <w:sz w:val="18"/>
                <w:szCs w:val="18"/>
              </w:rPr>
              <w:t>F. circinatum</w:t>
            </w:r>
            <w:r>
              <w:rPr>
                <w:rFonts w:ascii="Arial" w:hAnsi="Arial" w:cs="Arial"/>
                <w:sz w:val="18"/>
                <w:szCs w:val="18"/>
              </w:rPr>
              <w:t>” to “</w:t>
            </w:r>
            <w:r>
              <w:rPr>
                <w:rFonts w:ascii="Arial" w:hAnsi="Arial" w:cs="Arial"/>
                <w:i/>
                <w:sz w:val="18"/>
                <w:szCs w:val="18"/>
              </w:rPr>
              <w:t>Fusarium circinatum</w:t>
            </w:r>
            <w:r>
              <w:rPr>
                <w:rFonts w:ascii="Arial" w:hAnsi="Arial" w:cs="Arial"/>
                <w:sz w:val="18"/>
                <w:szCs w:val="18"/>
              </w:rPr>
              <w:t>”</w:t>
            </w:r>
          </w:p>
          <w:p>
            <w:pPr>
              <w:pStyle w:val="NormalWeb"/>
              <w:spacing w:before="40" w:beforeAutospacing="0" w:after="96" w:afterLines="40" w:afterAutospacing="0"/>
              <w:rPr>
                <w:rFonts w:ascii="Arial" w:hAnsi="Arial" w:cs="Arial"/>
                <w:sz w:val="18"/>
                <w:szCs w:val="18"/>
              </w:rPr>
            </w:pPr>
            <w:r>
              <w:rPr>
                <w:rStyle w:val="PleaseReviewParagraphId"/>
                <w:b w:val="off"/>
                <w:i w:val="off"/>
              </w:rPr>
              <w:t>[18]</w:t>
            </w:r>
            <w:r>
              <w:rPr>
                <w:rFonts w:ascii="Arial" w:hAnsi="Arial" w:cs="Arial"/>
                <w:sz w:val="18"/>
                <w:szCs w:val="18"/>
              </w:rPr>
              <w:t>2016-01 DP drafting group revised document.</w:t>
            </w:r>
          </w:p>
          <w:p>
            <w:pPr>
              <w:pStyle w:val="NormalWeb"/>
              <w:spacing w:before="40" w:beforeAutospacing="0" w:after="96" w:afterLines="40" w:afterAutospacing="0"/>
              <w:rPr>
                <w:rFonts w:ascii="Arial" w:hAnsi="Arial" w:cs="Arial"/>
                <w:sz w:val="18"/>
                <w:szCs w:val="18"/>
                <w:lang w:val="it-IT"/>
              </w:rPr>
            </w:pPr>
            <w:r>
              <w:rPr>
                <w:rStyle w:val="PleaseReviewParagraphId"/>
                <w:b w:val="off"/>
                <w:i w:val="off"/>
              </w:rPr>
              <w:t>[19]</w:t>
            </w:r>
            <w:r>
              <w:rPr>
                <w:rFonts w:ascii="Arial" w:hAnsi="Arial" w:cs="Arial"/>
                <w:sz w:val="18"/>
                <w:szCs w:val="18"/>
                <w:lang w:val="it-IT"/>
              </w:rPr>
              <w:t>2016-03 SC e-decision (2016_eSC_May_07)</w:t>
            </w:r>
          </w:p>
        </w:tc>
      </w:tr>
      <w:tr>
        <w:trPr>
          <w:jc w:val="center"/>
        </w:trPr>
        <w:tc>
          <w:tcPr>
            <w:tcW w:w="2208" w:type="dxa"/>
            <w:tcBorders>
              <w:top w:val="single" w:color="auto" w:sz="4" w:space="0"/>
              <w:left w:val="single" w:color="auto" w:sz="4" w:space="0"/>
              <w:bottom w:val="single" w:color="auto" w:sz="4" w:space="0"/>
              <w:right w:val="single" w:color="auto" w:sz="4" w:space="0"/>
            </w:tcBorders>
          </w:tcPr>
          <w:p>
            <w:pPr>
              <w:pStyle w:val="NormalWeb"/>
              <w:spacing w:before="40" w:beforeAutospacing="0" w:after="96" w:afterLines="40" w:afterAutospacing="0"/>
              <w:rPr>
                <w:rFonts w:ascii="Arial" w:hAnsi="Arial" w:cs="Arial"/>
                <w:b/>
                <w:bCs/>
                <w:sz w:val="18"/>
                <w:szCs w:val="18"/>
              </w:rPr>
            </w:pPr>
            <w:r>
              <w:rPr>
                <w:rStyle w:val="PleaseReviewParagraphId"/>
                <w:b w:val="off"/>
                <w:i w:val="off"/>
              </w:rPr>
              <w:t>[20]</w:t>
            </w:r>
            <w:r>
              <w:rPr>
                <w:rFonts w:ascii="Arial" w:hAnsi="Arial" w:cs="Arial"/>
                <w:b/>
                <w:bCs/>
                <w:sz w:val="18"/>
                <w:szCs w:val="18"/>
              </w:rPr>
              <w:t>Discipline leads history</w:t>
            </w:r>
          </w:p>
        </w:tc>
        <w:tc>
          <w:tcPr>
            <w:tcW w:w="6434" w:type="dxa"/>
            <w:tcBorders>
              <w:top w:val="single" w:color="auto" w:sz="4" w:space="0"/>
              <w:left w:val="single" w:color="auto" w:sz="4" w:space="0"/>
              <w:bottom w:val="single" w:color="auto" w:sz="4" w:space="0"/>
              <w:right w:val="single" w:color="auto" w:sz="4" w:space="0"/>
            </w:tcBorders>
          </w:tcPr>
          <w:p>
            <w:pPr>
              <w:pStyle w:val="NormalWeb"/>
              <w:spacing w:before="40" w:beforeAutospacing="0" w:after="96" w:afterLines="40" w:afterAutospacing="0"/>
              <w:rPr>
                <w:rFonts w:ascii="Arial" w:hAnsi="Arial" w:cs="Arial"/>
                <w:sz w:val="18"/>
                <w:szCs w:val="18"/>
                <w:lang w:val="fr-FR"/>
              </w:rPr>
            </w:pPr>
            <w:r>
              <w:rPr>
                <w:rStyle w:val="PleaseReviewParagraphId"/>
                <w:b w:val="off"/>
                <w:i w:val="off"/>
              </w:rPr>
              <w:t>[21]</w:t>
            </w:r>
            <w:r>
              <w:rPr>
                <w:rFonts w:ascii="Arial" w:hAnsi="Arial" w:cs="Arial"/>
                <w:sz w:val="18"/>
                <w:szCs w:val="18"/>
                <w:lang w:val="fr-FR"/>
              </w:rPr>
              <w:t>Hans DE GRUYTER (NL, Discipline Lead)</w:t>
            </w:r>
          </w:p>
          <w:p>
            <w:pPr>
              <w:pStyle w:val="NormalWeb"/>
              <w:spacing w:before="40" w:beforeAutospacing="0" w:after="96" w:afterLines="40" w:afterAutospacing="0"/>
              <w:rPr>
                <w:rFonts w:ascii="Arial" w:hAnsi="Arial" w:cs="Arial"/>
                <w:b/>
                <w:bCs/>
                <w:sz w:val="18"/>
                <w:szCs w:val="18"/>
              </w:rPr>
            </w:pPr>
            <w:r>
              <w:rPr>
                <w:rStyle w:val="PleaseReviewParagraphId"/>
                <w:b w:val="off"/>
                <w:i w:val="off"/>
              </w:rPr>
              <w:t>[22]</w:t>
            </w:r>
            <w:r>
              <w:rPr>
                <w:rFonts w:ascii="Arial" w:hAnsi="Arial" w:cs="Arial"/>
                <w:sz w:val="18"/>
                <w:szCs w:val="18"/>
              </w:rPr>
              <w:t>Robert TAYLOR (NZ, Referee)</w:t>
            </w:r>
          </w:p>
        </w:tc>
      </w:tr>
      <w:tr>
        <w:trPr>
          <w:jc w:val="center"/>
        </w:trPr>
        <w:tc>
          <w:tcPr>
            <w:tcW w:w="2208" w:type="dxa"/>
            <w:tcBorders>
              <w:top w:val="single" w:color="auto" w:sz="4" w:space="0"/>
              <w:left w:val="single" w:color="auto" w:sz="4" w:space="0"/>
              <w:bottom w:val="single" w:color="auto" w:sz="4" w:space="0"/>
              <w:right w:val="single" w:color="auto" w:sz="4" w:space="0"/>
            </w:tcBorders>
          </w:tcPr>
          <w:p>
            <w:pPr>
              <w:pStyle w:val="NormalWeb"/>
              <w:spacing w:before="40" w:beforeAutospacing="0" w:after="96" w:afterLines="40" w:afterAutospacing="0"/>
              <w:rPr>
                <w:rFonts w:ascii="Arial" w:hAnsi="Arial" w:cs="Arial"/>
                <w:sz w:val="18"/>
                <w:szCs w:val="18"/>
              </w:rPr>
            </w:pPr>
            <w:r>
              <w:rPr>
                <w:rStyle w:val="PleaseReviewParagraphId"/>
                <w:b w:val="off"/>
                <w:i w:val="off"/>
              </w:rPr>
              <w:t>[23]</w:t>
            </w:r>
            <w:r>
              <w:rPr>
                <w:rFonts w:ascii="Arial" w:hAnsi="Arial" w:cs="Arial"/>
                <w:b/>
                <w:bCs/>
                <w:sz w:val="18"/>
                <w:szCs w:val="18"/>
              </w:rPr>
              <w:t>Consultation on technical level</w:t>
            </w:r>
            <w:r>
              <w:rPr>
                <w:rFonts w:ascii="Arial" w:hAnsi="Arial" w:cs="Arial"/>
                <w:sz w:val="18"/>
                <w:szCs w:val="18"/>
              </w:rPr>
              <w:t xml:space="preserve"> </w:t>
            </w:r>
          </w:p>
        </w:tc>
        <w:tc>
          <w:tcPr>
            <w:tcW w:w="6434" w:type="dxa"/>
            <w:tcBorders>
              <w:top w:val="single" w:color="auto" w:sz="4" w:space="0"/>
              <w:left w:val="single" w:color="auto" w:sz="4" w:space="0"/>
              <w:bottom w:val="single" w:color="auto" w:sz="4" w:space="0"/>
              <w:right w:val="single" w:color="auto" w:sz="4" w:space="0"/>
            </w:tcBorders>
          </w:tcPr>
          <w:p>
            <w:pPr>
              <w:pStyle w:val="NormalWeb"/>
              <w:spacing w:before="0" w:beforeAutospacing="0" w:after="0" w:afterAutospacing="0"/>
              <w:rPr>
                <w:rFonts w:ascii="Arial" w:hAnsi="Arial" w:cs="Arial"/>
                <w:sz w:val="18"/>
                <w:szCs w:val="18"/>
              </w:rPr>
            </w:pPr>
            <w:r>
              <w:rPr>
                <w:rStyle w:val="PleaseReviewParagraphId"/>
                <w:b w:val="off"/>
                <w:i w:val="off"/>
              </w:rPr>
              <w:t>[24]</w:t>
            </w:r>
            <w:r>
              <w:rPr>
                <w:rFonts w:ascii="Arial" w:hAnsi="Arial" w:cs="Arial"/>
                <w:bCs/>
                <w:sz w:val="18"/>
                <w:szCs w:val="18"/>
              </w:rPr>
              <w:t>The first draft of this diagnostic protocol was written by:</w:t>
            </w:r>
            <w:r>
              <w:rPr>
                <w:rFonts w:ascii="Arial" w:hAnsi="Arial" w:cs="Arial"/>
                <w:sz w:val="18"/>
                <w:szCs w:val="18"/>
              </w:rPr>
              <w:t xml:space="preserve"> </w:t>
            </w:r>
          </w:p>
          <w:p>
            <w:pPr>
              <w:numPr>
                <w:ilvl w:val="0"/>
                <w:numId w:val="11"/>
              </w:numPr>
              <w:jc w:val="left"/>
              <w:rPr>
                <w:rFonts w:ascii="Arial" w:hAnsi="Arial" w:cs="Arial"/>
                <w:sz w:val="18"/>
                <w:szCs w:val="18"/>
                <w:lang w:eastAsia="nl-NL"/>
              </w:rPr>
            </w:pPr>
            <w:r>
              <w:rPr>
                <w:rStyle w:val="PleaseReviewParagraphId"/>
                <w:b w:val="off"/>
                <w:i w:val="off"/>
              </w:rPr>
              <w:t>[25]</w:t>
            </w:r>
            <w:r>
              <w:rPr>
                <w:rFonts w:ascii="Arial" w:hAnsi="Arial" w:cs="Arial"/>
                <w:sz w:val="18"/>
                <w:szCs w:val="18"/>
                <w:lang w:eastAsia="nl-NL"/>
              </w:rPr>
              <w:t xml:space="preserve">Ana Pérez-Sierra (Forest Research, United Kingdom) </w:t>
            </w:r>
          </w:p>
          <w:p>
            <w:pPr>
              <w:numPr>
                <w:ilvl w:val="0"/>
                <w:numId w:val="11"/>
              </w:numPr>
              <w:jc w:val="left"/>
              <w:rPr>
                <w:rFonts w:ascii="Arial" w:hAnsi="Arial" w:cs="Arial"/>
                <w:sz w:val="18"/>
                <w:szCs w:val="18"/>
                <w:lang w:eastAsia="nl-NL"/>
              </w:rPr>
            </w:pPr>
            <w:r>
              <w:rPr>
                <w:rStyle w:val="PleaseReviewParagraphId"/>
                <w:b w:val="off"/>
                <w:i w:val="off"/>
              </w:rPr>
              <w:t>[26]</w:t>
            </w:r>
            <w:r>
              <w:rPr>
                <w:rFonts w:ascii="Arial" w:hAnsi="Arial" w:cs="Arial"/>
                <w:sz w:val="18"/>
                <w:szCs w:val="18"/>
                <w:lang w:eastAsia="nl-NL"/>
              </w:rPr>
              <w:t xml:space="preserve">Renaud Ioos (ANSES, France) </w:t>
            </w:r>
          </w:p>
          <w:p>
            <w:pPr>
              <w:numPr>
                <w:ilvl w:val="0"/>
                <w:numId w:val="11"/>
              </w:numPr>
              <w:autoSpaceDE w:val="0"/>
              <w:autoSpaceDN w:val="0"/>
              <w:adjustRightInd w:val="0"/>
              <w:jc w:val="left"/>
              <w:rPr>
                <w:lang w:val="es-ES"/>
              </w:rPr>
            </w:pPr>
            <w:r>
              <w:rPr>
                <w:rStyle w:val="PleaseReviewParagraphId"/>
                <w:b w:val="off"/>
                <w:i w:val="off"/>
              </w:rPr>
              <w:t>[27]</w:t>
            </w:r>
            <w:r>
              <w:rPr>
                <w:rFonts w:ascii="Arial" w:hAnsi="Arial" w:cs="Arial"/>
                <w:sz w:val="18"/>
                <w:szCs w:val="18"/>
                <w:lang w:val="es-ES" w:eastAsia="nl-NL"/>
              </w:rPr>
              <w:t>Mónica Berbegal Martínez (Universidad Politécnica de Valencia, Spain).</w:t>
            </w:r>
          </w:p>
          <w:p>
            <w:pPr>
              <w:pStyle w:val="IPPArial"/>
              <w:rPr>
                <w:lang w:eastAsia="zh-CN"/>
              </w:rPr>
            </w:pPr>
            <w:r>
              <w:rPr>
                <w:rStyle w:val="PleaseReviewParagraphId"/>
                <w:b w:val="off"/>
                <w:i w:val="off"/>
              </w:rPr>
              <w:t>[28]</w:t>
            </w:r>
            <w:bookmarkStart w:name="_Toc413933418" w:id="1"/>
            <w:r>
              <w:rPr>
                <w:lang w:eastAsia="zh-CN"/>
              </w:rPr>
              <w:t>In addition, the draft has been subject to expert review and the following international experts submitted comments:</w:t>
            </w:r>
            <w:bookmarkEnd w:id="1"/>
          </w:p>
          <w:p>
            <w:pPr>
              <w:numPr>
                <w:ilvl w:val="0"/>
                <w:numId w:val="14"/>
              </w:numPr>
              <w:autoSpaceDE w:val="0"/>
              <w:autoSpaceDN w:val="0"/>
              <w:adjustRightInd w:val="0"/>
              <w:jc w:val="left"/>
              <w:rPr>
                <w:rFonts w:ascii="Arial" w:hAnsi="Arial" w:cs="Arial"/>
                <w:sz w:val="18"/>
                <w:szCs w:val="18"/>
              </w:rPr>
            </w:pPr>
            <w:r>
              <w:rPr>
                <w:rStyle w:val="PleaseReviewParagraphId"/>
                <w:b w:val="off"/>
                <w:i w:val="off"/>
              </w:rPr>
              <w:t>[29]</w:t>
            </w:r>
            <w:r>
              <w:rPr>
                <w:rFonts w:ascii="Arial" w:hAnsi="Arial" w:cs="Arial"/>
                <w:sz w:val="18"/>
                <w:szCs w:val="18"/>
              </w:rPr>
              <w:t>Ms Jacqueline Edwards (Victorian Government Department of Economic Development, Jobs, Transport and Resources, Australia)</w:t>
            </w:r>
          </w:p>
          <w:p>
            <w:pPr>
              <w:numPr>
                <w:ilvl w:val="0"/>
                <w:numId w:val="14"/>
              </w:numPr>
              <w:autoSpaceDE w:val="0"/>
              <w:autoSpaceDN w:val="0"/>
              <w:adjustRightInd w:val="0"/>
              <w:jc w:val="left"/>
            </w:pPr>
            <w:r>
              <w:rPr>
                <w:rStyle w:val="PleaseReviewParagraphId"/>
                <w:b w:val="off"/>
                <w:i w:val="off"/>
              </w:rPr>
              <w:t>[30]</w:t>
            </w:r>
            <w:r>
              <w:rPr>
                <w:rFonts w:ascii="Arial" w:hAnsi="Arial" w:cs="Arial"/>
                <w:sz w:val="18"/>
                <w:szCs w:val="18"/>
              </w:rPr>
              <w:t>Mr William Muiru (University of Nairobi, Kenya).</w:t>
            </w:r>
          </w:p>
        </w:tc>
      </w:tr>
      <w:tr>
        <w:trPr>
          <w:jc w:val="center"/>
        </w:trPr>
        <w:tc>
          <w:tcPr>
            <w:tcW w:w="2208" w:type="dxa"/>
            <w:tcBorders>
              <w:top w:val="single" w:color="auto" w:sz="4" w:space="0"/>
              <w:left w:val="single" w:color="auto" w:sz="4" w:space="0"/>
              <w:bottom w:val="single" w:color="auto" w:sz="4" w:space="0"/>
              <w:right w:val="single" w:color="auto" w:sz="4" w:space="0"/>
            </w:tcBorders>
          </w:tcPr>
          <w:p>
            <w:pPr>
              <w:pStyle w:val="NormalWeb"/>
              <w:spacing w:before="40" w:beforeAutospacing="0" w:after="96" w:afterLines="40" w:afterAutospacing="0"/>
              <w:rPr>
                <w:rFonts w:ascii="Arial" w:hAnsi="Arial" w:cs="Arial"/>
                <w:sz w:val="18"/>
                <w:szCs w:val="18"/>
              </w:rPr>
            </w:pPr>
            <w:r>
              <w:rPr>
                <w:rStyle w:val="PleaseReviewParagraphId"/>
                <w:b w:val="off"/>
                <w:i w:val="off"/>
              </w:rPr>
              <w:t>[31]</w:t>
            </w:r>
            <w:r>
              <w:rPr>
                <w:rFonts w:ascii="Arial" w:hAnsi="Arial" w:cs="Arial"/>
                <w:b/>
                <w:bCs/>
                <w:sz w:val="18"/>
                <w:szCs w:val="18"/>
              </w:rPr>
              <w:t>Main discussion points during development of the diagnostic protocol</w:t>
            </w:r>
            <w:r>
              <w:rPr>
                <w:rFonts w:ascii="Arial" w:hAnsi="Arial" w:cs="Arial"/>
                <w:sz w:val="18"/>
                <w:szCs w:val="18"/>
              </w:rPr>
              <w:t xml:space="preserve"> </w:t>
            </w:r>
          </w:p>
        </w:tc>
        <w:tc>
          <w:tcPr>
            <w:tcW w:w="6434" w:type="dxa"/>
            <w:tcBorders>
              <w:top w:val="single" w:color="auto" w:sz="4" w:space="0"/>
              <w:left w:val="single" w:color="auto" w:sz="4" w:space="0"/>
              <w:bottom w:val="single" w:color="auto" w:sz="4" w:space="0"/>
              <w:right w:val="single" w:color="auto" w:sz="4" w:space="0"/>
            </w:tcBorders>
          </w:tcPr>
          <w:p>
            <w:pPr>
              <w:pStyle w:val="NormalWeb"/>
              <w:numPr>
                <w:ilvl w:val="0"/>
                <w:numId w:val="12"/>
              </w:numPr>
              <w:spacing w:before="0" w:beforeAutospacing="0" w:after="0" w:afterAutospacing="0"/>
              <w:rPr>
                <w:rFonts w:ascii="Arial" w:hAnsi="Arial" w:cs="Arial"/>
                <w:sz w:val="18"/>
                <w:szCs w:val="18"/>
              </w:rPr>
            </w:pPr>
            <w:r>
              <w:rPr>
                <w:rStyle w:val="PleaseReviewParagraphId"/>
                <w:b w:val="off"/>
                <w:i w:val="off"/>
              </w:rPr>
              <w:t>[32]</w:t>
            </w:r>
            <w:r>
              <w:rPr>
                <w:rFonts w:ascii="Arial" w:hAnsi="Arial" w:cs="Arial"/>
                <w:sz w:val="18"/>
                <w:szCs w:val="18"/>
              </w:rPr>
              <w:t xml:space="preserve">It is agreed by the authors that the name </w:t>
            </w:r>
            <w:r>
              <w:rPr>
                <w:rFonts w:ascii="Arial" w:hAnsi="Arial" w:cs="Arial"/>
                <w:i/>
                <w:iCs/>
                <w:sz w:val="18"/>
                <w:szCs w:val="18"/>
              </w:rPr>
              <w:t>Fusarium circinatum</w:t>
            </w:r>
            <w:r>
              <w:rPr>
                <w:rFonts w:ascii="Arial" w:hAnsi="Arial" w:cs="Arial"/>
                <w:sz w:val="18"/>
                <w:szCs w:val="18"/>
              </w:rPr>
              <w:t xml:space="preserve"> is used with </w:t>
            </w:r>
            <w:r>
              <w:rPr>
                <w:rFonts w:ascii="Arial" w:hAnsi="Arial" w:cs="Arial"/>
                <w:i/>
                <w:iCs/>
                <w:sz w:val="18"/>
                <w:szCs w:val="18"/>
              </w:rPr>
              <w:t>Gibberella circinata</w:t>
            </w:r>
            <w:r>
              <w:rPr>
                <w:rFonts w:ascii="Arial" w:hAnsi="Arial" w:cs="Arial"/>
                <w:sz w:val="18"/>
                <w:szCs w:val="18"/>
              </w:rPr>
              <w:t xml:space="preserve"> as synonym, following Geiser </w:t>
            </w:r>
            <w:r>
              <w:rPr>
                <w:rFonts w:ascii="Arial" w:hAnsi="Arial" w:cs="Arial"/>
                <w:i/>
                <w:iCs/>
                <w:sz w:val="18"/>
                <w:szCs w:val="18"/>
              </w:rPr>
              <w:t>et al.</w:t>
            </w:r>
            <w:r>
              <w:rPr>
                <w:rFonts w:ascii="Arial" w:hAnsi="Arial" w:cs="Arial"/>
                <w:sz w:val="18"/>
                <w:szCs w:val="18"/>
              </w:rPr>
              <w:t xml:space="preserve"> (2013).</w:t>
            </w:r>
          </w:p>
          <w:p>
            <w:pPr>
              <w:pStyle w:val="NormalWeb"/>
              <w:numPr>
                <w:ilvl w:val="0"/>
                <w:numId w:val="12"/>
              </w:numPr>
              <w:spacing w:before="0" w:beforeAutospacing="0" w:after="0" w:afterAutospacing="0"/>
              <w:rPr>
                <w:rFonts w:ascii="Arial" w:hAnsi="Arial" w:cs="Arial"/>
                <w:sz w:val="18"/>
                <w:szCs w:val="18"/>
              </w:rPr>
            </w:pPr>
            <w:r>
              <w:rPr>
                <w:rStyle w:val="PleaseReviewParagraphId"/>
                <w:b w:val="off"/>
                <w:i w:val="off"/>
              </w:rPr>
              <w:t>[33]</w:t>
            </w:r>
            <w:r>
              <w:rPr>
                <w:rFonts w:ascii="Arial" w:hAnsi="Arial" w:cs="Arial"/>
                <w:sz w:val="18"/>
                <w:szCs w:val="18"/>
              </w:rPr>
              <w:t>Is morphological identification reliable enough to consider the pathogen present or not? Yes, if all the characteristic features are observed, there is no doubt about the identification. In case one or several features are missing or doubtful, then morphological identification may not be reliable.</w:t>
            </w:r>
          </w:p>
        </w:tc>
      </w:tr>
      <w:tr>
        <w:trPr>
          <w:jc w:val="center"/>
        </w:trPr>
        <w:tc>
          <w:tcPr>
            <w:tcW w:w="2208" w:type="dxa"/>
            <w:tcBorders>
              <w:top w:val="single" w:color="auto" w:sz="4" w:space="0"/>
              <w:left w:val="single" w:color="auto" w:sz="4" w:space="0"/>
              <w:bottom w:val="single" w:color="auto" w:sz="4" w:space="0"/>
              <w:right w:val="single" w:color="auto" w:sz="4" w:space="0"/>
            </w:tcBorders>
          </w:tcPr>
          <w:p>
            <w:pPr>
              <w:pStyle w:val="NormalWeb"/>
              <w:spacing w:before="40" w:beforeAutospacing="0" w:after="96" w:afterLines="40" w:afterAutospacing="0"/>
              <w:rPr>
                <w:rFonts w:ascii="Arial" w:hAnsi="Arial" w:cs="Arial"/>
                <w:sz w:val="18"/>
                <w:szCs w:val="18"/>
              </w:rPr>
            </w:pPr>
            <w:r>
              <w:rPr>
                <w:rStyle w:val="PleaseReviewParagraphId"/>
                <w:b w:val="off"/>
                <w:i w:val="off"/>
              </w:rPr>
              <w:t>[34]</w:t>
            </w:r>
            <w:r>
              <w:rPr>
                <w:rFonts w:ascii="Arial" w:hAnsi="Arial" w:cs="Arial"/>
                <w:b/>
                <w:bCs/>
                <w:sz w:val="18"/>
                <w:szCs w:val="18"/>
              </w:rPr>
              <w:t>Notes</w:t>
            </w:r>
            <w:r>
              <w:rPr>
                <w:rFonts w:ascii="Arial" w:hAnsi="Arial" w:cs="Arial"/>
                <w:sz w:val="18"/>
                <w:szCs w:val="18"/>
              </w:rPr>
              <w:t xml:space="preserve"> </w:t>
            </w:r>
          </w:p>
        </w:tc>
        <w:tc>
          <w:tcPr>
            <w:tcW w:w="6434" w:type="dxa"/>
            <w:tcBorders>
              <w:top w:val="single" w:color="auto" w:sz="4" w:space="0"/>
              <w:left w:val="single" w:color="auto" w:sz="4" w:space="0"/>
              <w:bottom w:val="single" w:color="auto" w:sz="4" w:space="0"/>
              <w:right w:val="single" w:color="auto" w:sz="4" w:space="0"/>
            </w:tcBorders>
          </w:tcPr>
          <w:p>
            <w:pPr>
              <w:pStyle w:val="NormalWeb"/>
              <w:tabs>
                <w:tab w:val="left" w:pos="261"/>
              </w:tabs>
              <w:spacing w:before="40" w:beforeAutospacing="0" w:after="96" w:afterLines="40" w:afterAutospacing="0"/>
              <w:rPr>
                <w:rFonts w:ascii="Arial" w:hAnsi="Arial" w:cs="Arial"/>
                <w:sz w:val="18"/>
                <w:szCs w:val="18"/>
              </w:rPr>
            </w:pPr>
            <w:r>
              <w:rPr>
                <w:rStyle w:val="PleaseReviewParagraphId"/>
                <w:b w:val="off"/>
                <w:i w:val="off"/>
              </w:rPr>
              <w:t>[35]</w:t>
            </w:r>
            <w:r>
              <w:rPr>
                <w:rFonts w:ascii="Arial" w:hAnsi="Arial" w:cs="Arial"/>
                <w:sz w:val="18"/>
                <w:szCs w:val="18"/>
              </w:rPr>
              <w:t xml:space="preserve">This is a draft document. </w:t>
            </w:r>
          </w:p>
          <w:p>
            <w:pPr>
              <w:pStyle w:val="NormalWeb"/>
              <w:tabs>
                <w:tab w:val="left" w:pos="261"/>
              </w:tabs>
              <w:spacing w:before="40" w:beforeAutospacing="0" w:after="96" w:afterLines="40" w:afterAutospacing="0"/>
              <w:rPr>
                <w:rFonts w:ascii="Arial" w:hAnsi="Arial" w:cs="Arial"/>
                <w:sz w:val="18"/>
                <w:szCs w:val="18"/>
              </w:rPr>
            </w:pPr>
            <w:r>
              <w:rPr>
                <w:rStyle w:val="PleaseReviewParagraphId"/>
                <w:b w:val="off"/>
                <w:i w:val="off"/>
              </w:rPr>
              <w:t>[36]</w:t>
            </w:r>
            <w:r>
              <w:rPr>
                <w:rFonts w:ascii="Arial" w:hAnsi="Arial" w:cs="Arial"/>
                <w:sz w:val="18"/>
                <w:szCs w:val="18"/>
              </w:rPr>
              <w:t>2016-01-15 document edited</w:t>
            </w:r>
          </w:p>
        </w:tc>
      </w:tr>
    </w:tbl>
    <w:p>
      <w:pPr>
        <w:pStyle w:val="IPPNormal"/>
        <w:spacing w:before="200"/>
        <w:rPr>
          <w:rStyle w:val="IPPNormalbold"/>
          <w:lang w:val="en-GB"/>
        </w:rPr>
      </w:pPr>
      <w:r>
        <w:rPr>
          <w:rStyle w:val="PleaseReviewParagraphId"/>
          <w:b w:val="off"/>
          <w:i w:val="off"/>
        </w:rPr>
        <w:t>[37]</w:t>
      </w:r>
      <w:r>
        <w:rPr>
          <w:rStyle w:val="IPPNormalbold"/>
          <w:lang w:val="en-GB"/>
        </w:rPr>
        <w:t>CONTENTS [To be added later]</w:t>
      </w:r>
    </w:p>
    <w:p>
      <w:pPr>
        <w:pStyle w:val="IPPNormal"/>
        <w:rPr>
          <w:rStyle w:val="IPPNormalbold"/>
          <w:lang w:val="en-GB"/>
        </w:rPr>
      </w:pPr>
      <w:r>
        <w:rPr>
          <w:rStyle w:val="PleaseReviewParagraphId"/>
          <w:b w:val="off"/>
          <w:i w:val="off"/>
        </w:rPr>
        <w:t>[38]</w:t>
      </w:r>
      <w:r>
        <w:rPr>
          <w:rStyle w:val="IPPNormalbold"/>
          <w:lang w:val="en-GB"/>
        </w:rPr>
        <w:t>Adoption</w:t>
      </w:r>
    </w:p>
    <w:p>
      <w:pPr>
        <w:pStyle w:val="IPPParagraphnumbering"/>
        <w:numPr>
          <w:ilvl w:val="0"/>
          <w:numId w:val="0"/>
        </w:numPr>
        <w:rPr>
          <w:lang w:val="en-GB"/>
        </w:rPr>
      </w:pPr>
      <w:r>
        <w:rPr>
          <w:rStyle w:val="PleaseReviewParagraphId"/>
          <w:b w:val="off"/>
          <w:i w:val="off"/>
        </w:rPr>
        <w:t>[39]</w:t>
      </w:r>
      <w:r>
        <w:rPr>
          <w:lang w:val="en-GB"/>
        </w:rPr>
        <w:t>This diagnostic protocol was adopted by the Commission on Phytosanitary Measures in 20--.</w:t>
      </w:r>
    </w:p>
    <w:p>
      <w:pPr>
        <w:pStyle w:val="IPPParagraphnumbering"/>
        <w:numPr>
          <w:ilvl w:val="0"/>
          <w:numId w:val="0"/>
        </w:numPr>
        <w:rPr>
          <w:lang w:val="en-GB"/>
        </w:rPr>
      </w:pPr>
      <w:r>
        <w:rPr>
          <w:rStyle w:val="PleaseReviewParagraphId"/>
          <w:b w:val="off"/>
          <w:i w:val="off"/>
        </w:rPr>
        <w:t>[40]</w:t>
      </w:r>
      <w:r>
        <w:rPr>
          <w:lang w:val="en-GB"/>
        </w:rPr>
        <w:t>The annex is a prescriptive part of ISPM 27 (</w:t>
      </w:r>
      <w:r>
        <w:rPr>
          <w:i/>
          <w:lang w:val="en-GB"/>
        </w:rPr>
        <w:t>Diagnostic protocols for regulated pests</w:t>
      </w:r>
      <w:r>
        <w:rPr>
          <w:lang w:val="en-GB"/>
        </w:rPr>
        <w:t>).</w:t>
      </w:r>
    </w:p>
    <w:p>
      <w:pPr>
        <w:pStyle w:val="IPPHeading1"/>
      </w:pPr>
      <w:r>
        <w:rPr>
          <w:rStyle w:val="PleaseReviewParagraphId"/>
          <w:b w:val="off"/>
          <w:i w:val="off"/>
        </w:rPr>
        <w:t>[41]</w:t>
      </w:r>
      <w:bookmarkStart w:name="_Toc413424374" w:id="2"/>
      <w:r>
        <w:t>1. Pest Information</w:t>
      </w:r>
      <w:bookmarkEnd w:id="2"/>
      <w:r>
        <w:t xml:space="preserve"> </w:t>
      </w:r>
    </w:p>
    <w:p>
      <w:pPr>
        <w:pStyle w:val="IPPParagraphnumbering"/>
        <w:numPr>
          <w:ilvl w:val="0"/>
          <w:numId w:val="0"/>
        </w:numPr>
        <w:rPr>
          <w:lang w:val="en-GB"/>
        </w:rPr>
      </w:pPr>
      <w:r>
        <w:rPr>
          <w:rStyle w:val="PleaseReviewParagraphId"/>
          <w:b w:val="off"/>
          <w:i w:val="off"/>
        </w:rPr>
        <w:t>[42]</w:t>
      </w:r>
      <w:r>
        <w:rPr>
          <w:i/>
          <w:iCs/>
          <w:lang w:val="en-GB"/>
        </w:rPr>
        <w:t>Fusarium circinatum</w:t>
      </w:r>
      <w:r>
        <w:rPr>
          <w:lang w:val="en-GB"/>
        </w:rPr>
        <w:t xml:space="preserve"> is an ascomycete fungus formerly described as the anamorph of </w:t>
      </w:r>
      <w:r>
        <w:rPr>
          <w:i/>
          <w:iCs/>
          <w:lang w:val="en-GB"/>
        </w:rPr>
        <w:t>Gibberella circinata</w:t>
      </w:r>
      <w:r>
        <w:rPr>
          <w:lang w:val="en-GB"/>
        </w:rPr>
        <w:t xml:space="preserve"> (Geiser </w:t>
      </w:r>
      <w:r>
        <w:rPr>
          <w:i/>
          <w:iCs/>
          <w:lang w:val="en-GB"/>
        </w:rPr>
        <w:t>et al.</w:t>
      </w:r>
      <w:r>
        <w:rPr>
          <w:iCs/>
          <w:lang w:val="en-GB"/>
        </w:rPr>
        <w:t>,</w:t>
      </w:r>
      <w:r>
        <w:rPr>
          <w:lang w:val="en-GB"/>
        </w:rPr>
        <w:t xml:space="preserve"> 2013) and it is the causal agent of pitch canker disease. The disease almost exclusively affects </w:t>
      </w:r>
      <w:r>
        <w:rPr>
          <w:i/>
          <w:iCs/>
          <w:lang w:val="en-GB"/>
        </w:rPr>
        <w:t>Pinus</w:t>
      </w:r>
      <w:r>
        <w:rPr>
          <w:lang w:val="en-GB"/>
        </w:rPr>
        <w:t xml:space="preserve"> spp., but has also been described on </w:t>
      </w:r>
      <w:r>
        <w:rPr>
          <w:i/>
          <w:iCs/>
          <w:lang w:val="en-GB"/>
        </w:rPr>
        <w:t xml:space="preserve">Pseudotsuga menziesii </w:t>
      </w:r>
      <w:r>
        <w:rPr>
          <w:lang w:val="en-GB"/>
        </w:rPr>
        <w:t xml:space="preserve">(Douglas fir). The disease affects </w:t>
      </w:r>
      <w:r>
        <w:rPr>
          <w:lang w:val="en-GB" w:eastAsia="en-GB"/>
        </w:rPr>
        <w:t>plantations and nurseries in several countries worldwide</w:t>
      </w:r>
      <w:r>
        <w:rPr>
          <w:lang w:val="en-GB"/>
        </w:rPr>
        <w:t xml:space="preserve"> and is a serious threat to pine forests wherever it occurs (especially on </w:t>
      </w:r>
      <w:r>
        <w:rPr>
          <w:i/>
          <w:iCs/>
          <w:lang w:val="en-GB"/>
        </w:rPr>
        <w:t>Pinus radiata</w:t>
      </w:r>
      <w:r>
        <w:rPr>
          <w:lang w:val="en-GB"/>
        </w:rPr>
        <w:t xml:space="preserve">) as it results in extensive tree mortality, reduced tree growth and reduced timber quality. </w:t>
      </w:r>
      <w:r>
        <w:rPr>
          <w:i/>
          <w:iCs/>
          <w:lang w:val="en-GB"/>
        </w:rPr>
        <w:t>F. circinatum</w:t>
      </w:r>
      <w:r>
        <w:rPr>
          <w:lang w:val="en-GB"/>
        </w:rPr>
        <w:t xml:space="preserve"> causes cankers that girdle branches, aerial roots </w:t>
        <w:lastRenderedPageBreak/>
        <w:t xml:space="preserve">and even trunks of </w:t>
      </w:r>
      <w:r>
        <w:rPr>
          <w:i/>
          <w:iCs/>
          <w:lang w:val="en-GB"/>
        </w:rPr>
        <w:t>Pinus</w:t>
      </w:r>
      <w:r>
        <w:rPr>
          <w:lang w:val="en-GB"/>
        </w:rPr>
        <w:t xml:space="preserve"> spp. Cankers are often associated with conspicuous resin exudates (“pitch”). Multiple-branch infections may cause severe crown dieback and eventually lead to the death of the tree. This aggressive fungus may also infect </w:t>
      </w:r>
      <w:r>
        <w:rPr>
          <w:i/>
          <w:iCs/>
          <w:lang w:val="en-GB"/>
        </w:rPr>
        <w:t>Pinus</w:t>
      </w:r>
      <w:r>
        <w:rPr>
          <w:lang w:val="en-GB"/>
        </w:rPr>
        <w:t xml:space="preserve"> spp. seeds and may cause damping off in seedlings in nurseries. The fungus has been found in regions of North, Central and South America, Asia and South Africa and has been officially reported in parts of Southern Europe. Information on its distribution, updated regularly, is available at the European and Mediterranean Plant Protection Organization (EPPO) Global Database (https://gd.eppo.int/) and on the CABI website (</w:t>
      </w:r>
      <w:hyperlink w:history="1" r:id="rId7">
        <w:r>
          <w:rPr>
            <w:rStyle w:val="Hyperlink"/>
            <w:lang w:val="en-GB"/>
          </w:rPr>
          <w:t>http://www.cabi.org/isc/datasheet/25153</w:t>
        </w:r>
      </w:hyperlink>
      <w:r>
        <w:rPr>
          <w:lang w:val="en-GB"/>
        </w:rPr>
        <w:t>).</w:t>
      </w:r>
    </w:p>
    <w:p>
      <w:pPr>
        <w:pStyle w:val="IPPParagraphnumbering"/>
        <w:numPr>
          <w:ilvl w:val="0"/>
          <w:numId w:val="0"/>
        </w:numPr>
        <w:rPr>
          <w:rFonts w:eastAsia="Times New Roman"/>
          <w:sz w:val="21"/>
          <w:szCs w:val="21"/>
          <w:lang w:val="en-GB" w:eastAsia="es-ES"/>
        </w:rPr>
      </w:pPr>
      <w:r>
        <w:rPr>
          <w:rStyle w:val="PleaseReviewParagraphId"/>
          <w:b w:val="off"/>
          <w:i w:val="off"/>
        </w:rPr>
        <w:t>[43]</w:t>
      </w:r>
      <w:r>
        <w:rPr>
          <w:i/>
          <w:iCs/>
          <w:lang w:val="en-GB"/>
        </w:rPr>
        <w:t>F. circinatum</w:t>
      </w:r>
      <w:r>
        <w:rPr>
          <w:lang w:val="en-GB"/>
        </w:rPr>
        <w:t xml:space="preserve"> is predominantly a wound pathogen that enters the host tree through mechanical wounds or the feeding holes of wood-boring insects. If a wound is not deep enough for the pathogen to reach water within host tissues, ambient moisture or very high relative humidity is required for spore germination. Conidia of </w:t>
      </w:r>
      <w:r>
        <w:rPr>
          <w:i/>
          <w:iCs/>
          <w:lang w:val="en-GB"/>
        </w:rPr>
        <w:t xml:space="preserve">F. circinatum </w:t>
      </w:r>
      <w:r>
        <w:rPr>
          <w:lang w:val="en-GB"/>
        </w:rPr>
        <w:t xml:space="preserve">germinate over a wide range of temperatures; slowly at 10 °C and progressively faster, up to an optimum around 20 °C (Inman </w:t>
      </w:r>
      <w:r>
        <w:rPr>
          <w:i/>
          <w:iCs/>
          <w:lang w:val="en-GB"/>
        </w:rPr>
        <w:t>et al.</w:t>
      </w:r>
      <w:r>
        <w:rPr>
          <w:iCs/>
          <w:lang w:val="en-GB"/>
        </w:rPr>
        <w:t>,</w:t>
      </w:r>
      <w:r>
        <w:rPr>
          <w:lang w:val="en-GB"/>
        </w:rPr>
        <w:t xml:space="preserve"> 2008). In nature </w:t>
      </w:r>
      <w:r>
        <w:rPr>
          <w:i/>
          <w:iCs/>
          <w:lang w:val="en-GB"/>
        </w:rPr>
        <w:t xml:space="preserve">F. circinatum </w:t>
      </w:r>
      <w:r>
        <w:rPr>
          <w:lang w:val="en-GB"/>
        </w:rPr>
        <w:t xml:space="preserve">is known to propagate only asexually, through production of microconidia and macroconidia. Both spore types are borne in a viscous liquid and appear better suited to dispersal by splashing water or attachment to motile organisms than to aerial dispersal. However, microconidia and macroconidia can become airborne and they are presumably the primary propagules recovered by air sampling in areas where pitch canker is found (Correll </w:t>
      </w:r>
      <w:r>
        <w:rPr>
          <w:i/>
          <w:iCs/>
          <w:lang w:val="en-GB"/>
        </w:rPr>
        <w:t>et al.</w:t>
      </w:r>
      <w:r>
        <w:rPr>
          <w:iCs/>
          <w:lang w:val="en-GB"/>
        </w:rPr>
        <w:t>,</w:t>
      </w:r>
      <w:r>
        <w:rPr>
          <w:lang w:val="en-GB"/>
        </w:rPr>
        <w:t xml:space="preserve"> 1991). The fungus may move from tree to tree by aerial dispersal of the conidiospores or through vectoring by feeding insects (Gordon </w:t>
      </w:r>
      <w:r>
        <w:rPr>
          <w:i/>
          <w:iCs/>
          <w:lang w:val="en-GB"/>
        </w:rPr>
        <w:t>et al.</w:t>
      </w:r>
      <w:r>
        <w:rPr>
          <w:iCs/>
          <w:lang w:val="en-GB"/>
        </w:rPr>
        <w:t>,</w:t>
      </w:r>
      <w:r>
        <w:rPr>
          <w:lang w:val="en-GB"/>
        </w:rPr>
        <w:t xml:space="preserve"> 2001; Schweigkofler </w:t>
      </w:r>
      <w:r>
        <w:rPr>
          <w:i/>
          <w:iCs/>
          <w:lang w:val="en-GB"/>
        </w:rPr>
        <w:t>et al.</w:t>
      </w:r>
      <w:r>
        <w:rPr>
          <w:iCs/>
          <w:lang w:val="en-GB"/>
        </w:rPr>
        <w:t>,</w:t>
      </w:r>
      <w:r>
        <w:rPr>
          <w:lang w:val="en-GB"/>
        </w:rPr>
        <w:t xml:space="preserve"> 2004). However, long-range dispersal of the pathogen from affected areas to disease-free areas may be driven by the movement of infected seeds or infected plant material (Storer </w:t>
      </w:r>
      <w:r>
        <w:rPr>
          <w:i/>
          <w:iCs/>
          <w:lang w:val="en-GB"/>
        </w:rPr>
        <w:t>et al.</w:t>
      </w:r>
      <w:r>
        <w:rPr>
          <w:iCs/>
          <w:lang w:val="en-GB"/>
        </w:rPr>
        <w:t>,</w:t>
      </w:r>
      <w:r>
        <w:rPr>
          <w:lang w:val="en-GB"/>
        </w:rPr>
        <w:t xml:space="preserve"> 1998). Conifer seeds can be colonized by </w:t>
      </w:r>
      <w:r>
        <w:rPr>
          <w:i/>
          <w:iCs/>
          <w:lang w:val="en-GB"/>
        </w:rPr>
        <w:t>F. circinatum</w:t>
      </w:r>
      <w:r>
        <w:rPr>
          <w:lang w:val="en-GB"/>
        </w:rPr>
        <w:t xml:space="preserve"> internally (where it can remain dormant until seed germination) and externally (Storer </w:t>
      </w:r>
      <w:r>
        <w:rPr>
          <w:i/>
          <w:iCs/>
          <w:lang w:val="en-GB"/>
        </w:rPr>
        <w:t>et al.</w:t>
      </w:r>
      <w:r>
        <w:rPr>
          <w:iCs/>
          <w:lang w:val="en-GB"/>
        </w:rPr>
        <w:t>,</w:t>
      </w:r>
      <w:r>
        <w:rPr>
          <w:lang w:val="en-GB"/>
        </w:rPr>
        <w:t xml:space="preserve"> 1998). </w:t>
      </w:r>
      <w:r>
        <w:rPr>
          <w:rFonts w:eastAsia="Times New Roman"/>
          <w:lang w:val="en-GB" w:eastAsia="es-ES"/>
        </w:rPr>
        <w:t>In many pine species, seed contamination may be largely restricted to the seed coat (Dwinell, 1999)</w:t>
      </w:r>
      <w:r>
        <w:rPr>
          <w:lang w:val="en-GB"/>
        </w:rPr>
        <w:t xml:space="preserve">. </w:t>
      </w:r>
    </w:p>
    <w:p>
      <w:pPr>
        <w:pStyle w:val="IPPParagraphnumbering"/>
        <w:numPr>
          <w:ilvl w:val="0"/>
          <w:numId w:val="0"/>
        </w:numPr>
        <w:rPr>
          <w:lang w:val="en-GB"/>
        </w:rPr>
      </w:pPr>
      <w:r>
        <w:rPr>
          <w:rStyle w:val="PleaseReviewParagraphId"/>
          <w:b w:val="off"/>
          <w:i w:val="off"/>
        </w:rPr>
        <w:t>[44]</w:t>
      </w:r>
      <w:r>
        <w:rPr>
          <w:i/>
          <w:iCs/>
          <w:lang w:val="en-GB"/>
        </w:rPr>
        <w:t xml:space="preserve">F. circinatum </w:t>
      </w:r>
      <w:r>
        <w:rPr>
          <w:lang w:val="en-GB"/>
        </w:rPr>
        <w:t xml:space="preserve">is also capable of producing perithecia, which contain meiotically derived spores (ascospores). However, while perithecia are readily produced on culture media under laboratory conditions, they have not been observed in nature. </w:t>
      </w:r>
    </w:p>
    <w:p>
      <w:pPr>
        <w:pStyle w:val="IPPHeading1"/>
      </w:pPr>
      <w:r>
        <w:rPr>
          <w:rStyle w:val="PleaseReviewParagraphId"/>
          <w:b w:val="off"/>
          <w:i w:val="off"/>
        </w:rPr>
        <w:t>[45]</w:t>
      </w:r>
      <w:bookmarkStart w:name="_Toc413424375" w:id="3"/>
      <w:r>
        <w:t>2. Taxonomic Information</w:t>
      </w:r>
      <w:bookmarkEnd w:id="3"/>
    </w:p>
    <w:p>
      <w:pPr>
        <w:pStyle w:val="IPPParagraphnumbering"/>
        <w:numPr>
          <w:ilvl w:val="0"/>
          <w:numId w:val="0"/>
        </w:numPr>
        <w:rPr>
          <w:rFonts w:ascii="Arial" w:hAnsi="Arial" w:cs="Arial"/>
          <w:b/>
          <w:bCs/>
          <w:sz w:val="18"/>
          <w:szCs w:val="18"/>
          <w:lang w:val="en-GB"/>
        </w:rPr>
      </w:pPr>
      <w:r>
        <w:rPr>
          <w:rStyle w:val="PleaseReviewParagraphId"/>
          <w:b w:val="off"/>
          <w:i w:val="off"/>
        </w:rPr>
        <w:t>[46]</w:t>
      </w:r>
      <w:r>
        <w:rPr>
          <w:b/>
          <w:bCs/>
          <w:lang w:val="en-GB"/>
        </w:rPr>
        <w:t>Name</w:t>
      </w:r>
      <w:r>
        <w:rPr>
          <w:b/>
          <w:lang w:val="en-GB"/>
        </w:rPr>
        <w:t>:</w:t>
      </w:r>
      <w:r>
        <w:rPr>
          <w:lang w:val="en-GB"/>
        </w:rPr>
        <w:t xml:space="preserve"> </w:t>
        <w:tab/>
      </w:r>
      <w:r>
        <w:rPr>
          <w:i/>
          <w:iCs/>
          <w:lang w:val="en-GB"/>
        </w:rPr>
        <w:t>Fusarium circinatum</w:t>
      </w:r>
      <w:r>
        <w:rPr>
          <w:lang w:val="en-GB"/>
        </w:rPr>
        <w:t xml:space="preserve"> Nirenberg &amp; O’Donnell, 1998</w:t>
      </w:r>
    </w:p>
    <w:p>
      <w:pPr>
        <w:pStyle w:val="IPPParagraphnumbering"/>
        <w:numPr>
          <w:ilvl w:val="0"/>
          <w:numId w:val="0"/>
        </w:numPr>
        <w:rPr>
          <w:lang w:val="en-GB"/>
        </w:rPr>
      </w:pPr>
      <w:r>
        <w:rPr>
          <w:rStyle w:val="PleaseReviewParagraphId"/>
          <w:b w:val="off"/>
          <w:i w:val="off"/>
        </w:rPr>
        <w:t>[47]</w:t>
      </w:r>
      <w:r>
        <w:rPr>
          <w:b/>
          <w:bCs/>
          <w:lang w:val="en-GB"/>
        </w:rPr>
        <w:t>Synonyms</w:t>
      </w:r>
      <w:r>
        <w:rPr>
          <w:b/>
          <w:lang w:val="en-GB"/>
        </w:rPr>
        <w:t>:</w:t>
      </w:r>
      <w:r>
        <w:rPr>
          <w:lang w:val="en-GB"/>
        </w:rPr>
        <w:t xml:space="preserve"> </w:t>
        <w:tab/>
      </w:r>
    </w:p>
    <w:p>
      <w:pPr>
        <w:pStyle w:val="IPPParagraphnumbering"/>
        <w:numPr>
          <w:ilvl w:val="0"/>
          <w:numId w:val="0"/>
        </w:numPr>
        <w:rPr>
          <w:lang w:val="en-GB"/>
        </w:rPr>
      </w:pPr>
      <w:r>
        <w:rPr>
          <w:rStyle w:val="PleaseReviewParagraphId"/>
          <w:b w:val="off"/>
          <w:i w:val="off"/>
        </w:rPr>
        <w:t>[48]</w:t>
      </w:r>
      <w:r>
        <w:rPr>
          <w:i/>
          <w:iCs/>
          <w:lang w:val="en-GB"/>
        </w:rPr>
        <w:t>Fusarium moniliforme</w:t>
      </w:r>
      <w:r>
        <w:rPr>
          <w:lang w:val="en-GB"/>
        </w:rPr>
        <w:t xml:space="preserve"> var. </w:t>
      </w:r>
      <w:r>
        <w:rPr>
          <w:i/>
          <w:iCs/>
          <w:lang w:val="en-GB"/>
        </w:rPr>
        <w:t>subglutinans</w:t>
      </w:r>
      <w:r>
        <w:rPr>
          <w:lang w:val="en-GB"/>
        </w:rPr>
        <w:t xml:space="preserve"> Wollenw. &amp; Reinking, 1925</w:t>
      </w:r>
    </w:p>
    <w:p>
      <w:pPr>
        <w:pStyle w:val="IPPParagraphnumbering"/>
        <w:numPr>
          <w:ilvl w:val="0"/>
          <w:numId w:val="0"/>
        </w:numPr>
        <w:rPr>
          <w:lang w:val="en-GB"/>
        </w:rPr>
      </w:pPr>
      <w:r>
        <w:rPr>
          <w:rStyle w:val="PleaseReviewParagraphId"/>
          <w:b w:val="off"/>
          <w:i w:val="off"/>
        </w:rPr>
        <w:t>[49]</w:t>
      </w:r>
      <w:r>
        <w:rPr>
          <w:i/>
          <w:iCs/>
          <w:lang w:val="en-GB"/>
        </w:rPr>
        <w:t xml:space="preserve">Gibberella fujikuroi </w:t>
      </w:r>
      <w:r>
        <w:rPr>
          <w:lang w:val="en-GB"/>
        </w:rPr>
        <w:t>var</w:t>
      </w:r>
      <w:r>
        <w:rPr>
          <w:i/>
          <w:iCs/>
          <w:lang w:val="en-GB"/>
        </w:rPr>
        <w:t xml:space="preserve">. subglutinans </w:t>
      </w:r>
      <w:r>
        <w:rPr>
          <w:lang w:val="en-GB"/>
        </w:rPr>
        <w:t>E.T. Edwards, 1933</w:t>
      </w:r>
    </w:p>
    <w:p>
      <w:pPr>
        <w:pStyle w:val="IPPParagraphnumbering"/>
        <w:numPr>
          <w:ilvl w:val="0"/>
          <w:numId w:val="0"/>
        </w:numPr>
        <w:rPr>
          <w:lang w:val="en-GB"/>
        </w:rPr>
      </w:pPr>
      <w:r>
        <w:rPr>
          <w:rStyle w:val="PleaseReviewParagraphId"/>
          <w:b w:val="off"/>
          <w:i w:val="off"/>
        </w:rPr>
        <w:t>[50]</w:t>
      </w:r>
      <w:r>
        <w:rPr>
          <w:i/>
          <w:iCs/>
          <w:lang w:val="en-GB"/>
        </w:rPr>
        <w:t xml:space="preserve">Fusarium lateritium </w:t>
      </w:r>
      <w:r>
        <w:rPr>
          <w:lang w:val="en-GB"/>
        </w:rPr>
        <w:t xml:space="preserve">f.sp. </w:t>
      </w:r>
      <w:r>
        <w:rPr>
          <w:i/>
          <w:iCs/>
          <w:lang w:val="en-GB"/>
        </w:rPr>
        <w:t>pini</w:t>
      </w:r>
      <w:r>
        <w:rPr>
          <w:lang w:val="en-GB"/>
        </w:rPr>
        <w:t xml:space="preserve"> Hepting, 1949</w:t>
      </w:r>
    </w:p>
    <w:p>
      <w:pPr>
        <w:pStyle w:val="IPPParagraphnumbering"/>
        <w:numPr>
          <w:ilvl w:val="0"/>
          <w:numId w:val="0"/>
        </w:numPr>
        <w:rPr>
          <w:lang w:val="en-GB"/>
        </w:rPr>
      </w:pPr>
      <w:r>
        <w:rPr>
          <w:rStyle w:val="PleaseReviewParagraphId"/>
          <w:b w:val="off"/>
          <w:i w:val="off"/>
        </w:rPr>
        <w:t>[51]</w:t>
      </w:r>
      <w:r>
        <w:rPr>
          <w:i/>
          <w:iCs/>
          <w:lang w:val="en-GB"/>
        </w:rPr>
        <w:t>Fusarium</w:t>
      </w:r>
      <w:r>
        <w:rPr>
          <w:lang w:val="en-GB"/>
        </w:rPr>
        <w:t xml:space="preserve"> </w:t>
      </w:r>
      <w:r>
        <w:rPr>
          <w:i/>
          <w:iCs/>
          <w:lang w:val="en-GB"/>
        </w:rPr>
        <w:t>subglutinans</w:t>
      </w:r>
      <w:r>
        <w:rPr>
          <w:lang w:val="en-GB"/>
        </w:rPr>
        <w:t xml:space="preserve"> (Wollenw. &amp; Reinking) P.E. Nelson, Toussoun &amp; Marasas, 1983</w:t>
      </w:r>
    </w:p>
    <w:p>
      <w:pPr>
        <w:pStyle w:val="IPPParagraphnumbering"/>
        <w:numPr>
          <w:ilvl w:val="0"/>
          <w:numId w:val="0"/>
        </w:numPr>
        <w:rPr>
          <w:lang w:val="fr-FR"/>
        </w:rPr>
      </w:pPr>
      <w:r>
        <w:rPr>
          <w:rStyle w:val="PleaseReviewParagraphId"/>
          <w:b w:val="off"/>
          <w:i w:val="off"/>
        </w:rPr>
        <w:t>[52]</w:t>
      </w:r>
      <w:r>
        <w:rPr>
          <w:i/>
          <w:iCs/>
          <w:lang w:val="fr-FR"/>
        </w:rPr>
        <w:t xml:space="preserve">Gibberella subglutinans </w:t>
      </w:r>
      <w:r>
        <w:rPr>
          <w:lang w:val="fr-FR"/>
        </w:rPr>
        <w:t>(E.T. Edwards) P.E. Nelson, Toussoun &amp; Marasas, 1983</w:t>
      </w:r>
    </w:p>
    <w:p>
      <w:pPr>
        <w:pStyle w:val="IPPParagraphnumbering"/>
        <w:numPr>
          <w:ilvl w:val="0"/>
          <w:numId w:val="0"/>
        </w:numPr>
        <w:rPr>
          <w:lang w:val="fr-FR"/>
        </w:rPr>
      </w:pPr>
      <w:r>
        <w:rPr>
          <w:rStyle w:val="PleaseReviewParagraphId"/>
          <w:b w:val="off"/>
          <w:i w:val="off"/>
        </w:rPr>
        <w:t>[53]</w:t>
      </w:r>
      <w:r>
        <w:rPr>
          <w:i/>
          <w:iCs/>
          <w:lang w:val="fr-FR"/>
        </w:rPr>
        <w:t>Fusarium subglutinans</w:t>
      </w:r>
      <w:r>
        <w:rPr>
          <w:lang w:val="fr-FR"/>
        </w:rPr>
        <w:t xml:space="preserve"> f.sp. </w:t>
      </w:r>
      <w:r>
        <w:rPr>
          <w:i/>
          <w:iCs/>
          <w:lang w:val="fr-FR"/>
        </w:rPr>
        <w:t>pini</w:t>
      </w:r>
      <w:r>
        <w:rPr>
          <w:lang w:val="fr-FR"/>
        </w:rPr>
        <w:t xml:space="preserve"> J.C. Correll, T.R. Gordon, McCain, J.W. Fox, Koehler, D.L. Wood &amp; M.E. Schultz, 1991</w:t>
      </w:r>
    </w:p>
    <w:p>
      <w:pPr>
        <w:pStyle w:val="IPPParagraphnumbering"/>
        <w:numPr>
          <w:ilvl w:val="0"/>
          <w:numId w:val="0"/>
        </w:numPr>
        <w:rPr>
          <w:rFonts w:ascii="Arial" w:hAnsi="Arial" w:cs="Arial"/>
          <w:i/>
          <w:iCs/>
          <w:sz w:val="18"/>
          <w:szCs w:val="18"/>
          <w:lang w:val="fr-FR"/>
        </w:rPr>
      </w:pPr>
      <w:r>
        <w:rPr>
          <w:rStyle w:val="PleaseReviewParagraphId"/>
          <w:b w:val="off"/>
          <w:i w:val="off"/>
        </w:rPr>
        <w:t>[54]</w:t>
      </w:r>
      <w:r>
        <w:rPr>
          <w:i/>
          <w:iCs/>
          <w:lang w:val="fr-FR"/>
        </w:rPr>
        <w:t>Gibberella circinata</w:t>
      </w:r>
      <w:r>
        <w:rPr>
          <w:lang w:val="fr-FR"/>
        </w:rPr>
        <w:t xml:space="preserve"> Nirenberg &amp; O’Donnell ex Britz, T.A. Cout., M.J. Wingf. &amp; Marasas, 2002</w:t>
      </w:r>
    </w:p>
    <w:p>
      <w:pPr>
        <w:pStyle w:val="IPPParagraphnumbering"/>
        <w:numPr>
          <w:ilvl w:val="0"/>
          <w:numId w:val="0"/>
        </w:numPr>
        <w:rPr>
          <w:lang w:val="fr-FR"/>
        </w:rPr>
      </w:pPr>
      <w:r>
        <w:rPr>
          <w:rStyle w:val="PleaseReviewParagraphId"/>
          <w:b w:val="off"/>
          <w:i w:val="off"/>
        </w:rPr>
        <w:t>[55]</w:t>
      </w:r>
      <w:r>
        <w:rPr>
          <w:b/>
          <w:bCs/>
          <w:lang w:val="fr-FR"/>
        </w:rPr>
        <w:t>Taxonomic position</w:t>
      </w:r>
      <w:r>
        <w:rPr>
          <w:b/>
          <w:lang w:val="fr-FR"/>
        </w:rPr>
        <w:t>:</w:t>
      </w:r>
      <w:r>
        <w:rPr>
          <w:lang w:val="fr-FR"/>
        </w:rPr>
        <w:t xml:space="preserve"> Eukaryota, Fungi, Dikarya, Ascomycota, Pezizomycotina, Sordariomycetes, Hypocreomycetidae, Hypocreales, Nectriaceae</w:t>
      </w:r>
    </w:p>
    <w:p>
      <w:pPr>
        <w:pStyle w:val="IPPParagraphnumbering"/>
        <w:numPr>
          <w:ilvl w:val="0"/>
          <w:numId w:val="0"/>
        </w:numPr>
        <w:rPr>
          <w:lang w:val="en-GB"/>
        </w:rPr>
      </w:pPr>
      <w:r>
        <w:rPr>
          <w:rStyle w:val="PleaseReviewParagraphId"/>
          <w:b w:val="off"/>
          <w:i w:val="off"/>
        </w:rPr>
        <w:t>[56]</w:t>
      </w:r>
      <w:r>
        <w:rPr>
          <w:b/>
          <w:bCs/>
          <w:lang w:val="en-GB"/>
        </w:rPr>
        <w:t>Common</w:t>
      </w:r>
      <w:r>
        <w:rPr>
          <w:lang w:val="en-GB"/>
        </w:rPr>
        <w:t xml:space="preserve"> </w:t>
      </w:r>
      <w:r>
        <w:rPr>
          <w:b/>
          <w:bCs/>
          <w:lang w:val="en-GB"/>
        </w:rPr>
        <w:t>name</w:t>
      </w:r>
      <w:r>
        <w:rPr>
          <w:lang w:val="en-GB"/>
        </w:rPr>
        <w:t>: Pine pitch canker (English)</w:t>
      </w:r>
    </w:p>
    <w:p>
      <w:pPr>
        <w:pStyle w:val="IPPParagraphnumbering"/>
        <w:numPr>
          <w:ilvl w:val="0"/>
          <w:numId w:val="0"/>
        </w:numPr>
        <w:rPr>
          <w:lang w:val="en-GB"/>
        </w:rPr>
      </w:pPr>
      <w:r>
        <w:rPr>
          <w:rStyle w:val="PleaseReviewParagraphId"/>
          <w:b w:val="off"/>
          <w:i w:val="off"/>
        </w:rPr>
        <w:t>[57]</w:t>
      </w:r>
      <w:r>
        <w:rPr>
          <w:b/>
          <w:bCs/>
          <w:lang w:val="en-GB"/>
        </w:rPr>
        <w:t>MycoBank:</w:t>
      </w:r>
      <w:r>
        <w:rPr>
          <w:lang w:val="en-GB"/>
        </w:rPr>
        <w:t xml:space="preserve"> </w:t>
      </w:r>
      <w:r>
        <w:rPr>
          <w:rFonts w:ascii="Segoe UI" w:hAnsi="Segoe UI" w:cs="Segoe UI"/>
          <w:lang w:val="en-GB"/>
        </w:rPr>
        <w:t>MB#444883</w:t>
      </w:r>
    </w:p>
    <w:p>
      <w:pPr>
        <w:pStyle w:val="IPPHeading1"/>
      </w:pPr>
      <w:r>
        <w:rPr>
          <w:rStyle w:val="PleaseReviewParagraphId"/>
          <w:b w:val="off"/>
          <w:i w:val="off"/>
        </w:rPr>
        <w:t>[58]</w:t>
      </w:r>
      <w:bookmarkStart w:name="_Toc413424376" w:id="4"/>
      <w:r>
        <w:lastRenderedPageBreak/>
        <w:t>3. Detection</w:t>
      </w:r>
      <w:bookmarkEnd w:id="4"/>
      <w:r>
        <w:t xml:space="preserve"> </w:t>
      </w:r>
    </w:p>
    <w:p>
      <w:pPr>
        <w:pStyle w:val="IPPParagraphnumbering"/>
        <w:numPr>
          <w:ilvl w:val="0"/>
          <w:numId w:val="0"/>
        </w:numPr>
        <w:rPr>
          <w:lang w:val="en-GB"/>
        </w:rPr>
      </w:pPr>
      <w:r>
        <w:rPr>
          <w:rStyle w:val="PleaseReviewParagraphId"/>
          <w:b w:val="off"/>
          <w:i w:val="off"/>
        </w:rPr>
        <w:t>[59]</w:t>
      </w:r>
      <w:r>
        <w:rPr>
          <w:lang w:val="en-GB"/>
        </w:rPr>
        <w:t xml:space="preserve">Although they may exhibit different levels of susceptibility to </w:t>
      </w:r>
      <w:r>
        <w:rPr>
          <w:i/>
          <w:iCs/>
          <w:lang w:val="en-GB"/>
        </w:rPr>
        <w:t>F. circinatum</w:t>
      </w:r>
      <w:r>
        <w:rPr>
          <w:lang w:val="en-GB"/>
        </w:rPr>
        <w:t xml:space="preserve">, all </w:t>
      </w:r>
      <w:r>
        <w:rPr>
          <w:i/>
          <w:iCs/>
          <w:lang w:val="en-GB"/>
        </w:rPr>
        <w:t>Pinus</w:t>
      </w:r>
      <w:r>
        <w:rPr>
          <w:lang w:val="en-GB"/>
        </w:rPr>
        <w:t xml:space="preserve"> spp., along with </w:t>
      </w:r>
      <w:r>
        <w:rPr>
          <w:i/>
          <w:iCs/>
          <w:lang w:val="en-GB"/>
        </w:rPr>
        <w:t>P. menziesii</w:t>
      </w:r>
      <w:r>
        <w:rPr>
          <w:iCs/>
          <w:lang w:val="en-GB"/>
        </w:rPr>
        <w:t>,</w:t>
      </w:r>
      <w:r>
        <w:rPr>
          <w:lang w:val="en-GB"/>
        </w:rPr>
        <w:t xml:space="preserve"> may be potentially affected by the fungus, and the symptoms can be observed at any time of year. In addition, </w:t>
      </w:r>
      <w:r>
        <w:rPr>
          <w:i/>
          <w:iCs/>
          <w:lang w:val="en-GB"/>
        </w:rPr>
        <w:t>F. circinatum</w:t>
      </w:r>
      <w:r>
        <w:rPr>
          <w:lang w:val="en-GB"/>
        </w:rPr>
        <w:t xml:space="preserve"> can affect plants of different ages, ranging from seedlings to mature trees, and it can be detected on all plant parts (roots, branches, shoots, cones and seeds). </w:t>
      </w:r>
      <w:r>
        <w:rPr>
          <w:i/>
          <w:iCs/>
          <w:lang w:val="en-GB"/>
        </w:rPr>
        <w:t>F. circinatum</w:t>
      </w:r>
      <w:r>
        <w:rPr>
          <w:lang w:val="en-GB"/>
        </w:rPr>
        <w:t xml:space="preserve"> may also be soil-borne. There are no published methods for the isolation of </w:t>
      </w:r>
      <w:r>
        <w:rPr>
          <w:i/>
          <w:iCs/>
          <w:lang w:val="en-GB"/>
        </w:rPr>
        <w:t xml:space="preserve">F. circinatum </w:t>
      </w:r>
      <w:r>
        <w:rPr>
          <w:lang w:val="en-GB"/>
        </w:rPr>
        <w:t xml:space="preserve">from soil. This protocol describes the identification of </w:t>
      </w:r>
      <w:r>
        <w:rPr>
          <w:i/>
          <w:iCs/>
          <w:lang w:val="en-GB"/>
        </w:rPr>
        <w:t xml:space="preserve">F. circinatum </w:t>
      </w:r>
      <w:r>
        <w:rPr>
          <w:lang w:val="en-GB"/>
        </w:rPr>
        <w:t>on symptomatic plant tissue and on seeds. Plants and trees should be inspected for any symptoms typical of pine pitch canker (section 3.1.1) whereas seeds may be analysed by random sampling (section 3.2.2). Diagnostic method A, isolation and culture (section 3.3) and diagnostic method B, molecular tests (section 3.4), may both be used for plant tissue and seeds.</w:t>
      </w:r>
    </w:p>
    <w:p>
      <w:pPr>
        <w:pStyle w:val="IPPParagraphnumbering"/>
        <w:numPr>
          <w:ilvl w:val="0"/>
          <w:numId w:val="0"/>
        </w:numPr>
        <w:rPr>
          <w:rFonts w:ascii="Arial" w:hAnsi="Arial" w:cs="Arial"/>
          <w:sz w:val="18"/>
          <w:szCs w:val="18"/>
          <w:lang w:val="en-GB"/>
        </w:rPr>
      </w:pPr>
      <w:r>
        <w:rPr>
          <w:rStyle w:val="PleaseReviewParagraphId"/>
          <w:b w:val="off"/>
          <w:i w:val="off"/>
        </w:rPr>
        <w:t>[60]</w:t>
      </w:r>
      <w:r>
        <w:rPr>
          <w:lang w:val="en-GB"/>
        </w:rPr>
        <w:t xml:space="preserve">Because of the high diversity and complexity of the </w:t>
      </w:r>
      <w:r>
        <w:rPr>
          <w:i/>
          <w:iCs/>
          <w:lang w:val="en-GB"/>
        </w:rPr>
        <w:t>Fusarium</w:t>
      </w:r>
      <w:r>
        <w:rPr>
          <w:lang w:val="en-GB"/>
        </w:rPr>
        <w:t xml:space="preserve"> genus, especially in the </w:t>
      </w:r>
      <w:r>
        <w:rPr>
          <w:i/>
          <w:iCs/>
          <w:lang w:val="en-GB"/>
        </w:rPr>
        <w:t>fujikuroi</w:t>
      </w:r>
      <w:r>
        <w:rPr>
          <w:lang w:val="en-GB"/>
        </w:rPr>
        <w:t xml:space="preserve"> species complex that </w:t>
      </w:r>
      <w:r>
        <w:rPr>
          <w:i/>
          <w:iCs/>
          <w:lang w:val="en-GB"/>
        </w:rPr>
        <w:t>F. circinatum</w:t>
      </w:r>
      <w:r>
        <w:rPr>
          <w:lang w:val="en-GB"/>
        </w:rPr>
        <w:t xml:space="preserve"> formerly belonged to, diagnosis in both method A and method B will sometimes have to be ascertained by an additional DNA sequence analysis step. (see Figure 1). </w:t>
      </w:r>
    </w:p>
    <w:p>
      <w:pPr>
        <w:pStyle w:val="IPPHeading2"/>
      </w:pPr>
      <w:r>
        <w:rPr>
          <w:rStyle w:val="PleaseReviewParagraphId"/>
          <w:b w:val="off"/>
          <w:i w:val="off"/>
        </w:rPr>
        <w:t>[61]</w:t>
      </w:r>
      <w:bookmarkStart w:name="_Toc413424377" w:id="5"/>
      <w:r>
        <w:t>3.1 Symptoms</w:t>
      </w:r>
    </w:p>
    <w:p>
      <w:pPr>
        <w:pStyle w:val="IPPHeading2"/>
      </w:pPr>
      <w:r>
        <w:rPr>
          <w:rStyle w:val="PleaseReviewParagraphId"/>
          <w:b w:val="off"/>
          <w:i w:val="off"/>
        </w:rPr>
        <w:t>[62]</w:t>
      </w:r>
      <w:bookmarkStart w:name="_Toc413424378" w:id="6"/>
      <w:bookmarkEnd w:id="5"/>
      <w:r>
        <w:t>3.1.1 Trees</w:t>
      </w:r>
      <w:bookmarkEnd w:id="6"/>
    </w:p>
    <w:p>
      <w:pPr>
        <w:pStyle w:val="IPPParagraphnumbering"/>
        <w:numPr>
          <w:ilvl w:val="0"/>
          <w:numId w:val="0"/>
        </w:numPr>
        <w:rPr>
          <w:rFonts w:ascii="Arial" w:hAnsi="Arial" w:cs="Arial"/>
          <w:sz w:val="18"/>
          <w:szCs w:val="18"/>
          <w:lang w:val="en-GB"/>
        </w:rPr>
      </w:pPr>
      <w:r>
        <w:rPr>
          <w:rStyle w:val="PleaseReviewParagraphId"/>
          <w:b w:val="off"/>
          <w:i w:val="off"/>
        </w:rPr>
        <w:t>[63]</w:t>
      </w:r>
      <w:r>
        <w:rPr>
          <w:i/>
          <w:iCs/>
          <w:lang w:val="en-GB"/>
        </w:rPr>
        <w:t xml:space="preserve">Root infection. </w:t>
      </w:r>
      <w:r>
        <w:rPr>
          <w:lang w:val="en-GB"/>
        </w:rPr>
        <w:t>Symptoms are brown discoloration and disintegration of the cortex  and are similar to symptoms caused by other root rot pathogens. Root symptoms may lead to above-ground symptoms, which are generally not apparent until the pathogen reaches the crown after it girdles the stem, causing yellowing of the foliage. Resin-soaked tissue may then be observed after removal of the bark on the lower part of the stem.</w:t>
      </w:r>
    </w:p>
    <w:p>
      <w:pPr>
        <w:pStyle w:val="IPPParagraphnumbering"/>
        <w:numPr>
          <w:ilvl w:val="0"/>
          <w:numId w:val="0"/>
        </w:numPr>
        <w:rPr>
          <w:lang w:val="en-GB"/>
        </w:rPr>
      </w:pPr>
      <w:r>
        <w:rPr>
          <w:rStyle w:val="PleaseReviewParagraphId"/>
          <w:b w:val="off"/>
          <w:i w:val="off"/>
        </w:rPr>
        <w:t>[64]</w:t>
      </w:r>
      <w:r>
        <w:rPr>
          <w:i/>
          <w:iCs/>
          <w:lang w:val="en-GB"/>
        </w:rPr>
        <w:t xml:space="preserve">Aerial infection. </w:t>
      </w:r>
      <w:r>
        <w:rPr>
          <w:lang w:val="en-GB"/>
        </w:rPr>
        <w:t>Symptoms include yellowing of the needles, which turn red in time and finally drop, and dieback of the shoots. Multiple branch tip dieback, a result of repeated infections, may lead to a significant crown dieback. Cankers might appear on the shoots, on the main branches and even on the trunk, associated with conspicuous resin exudates (pitch) in response to the fungal infection (Figure 2). The cankers can girdle branches and even trunks.</w:t>
      </w:r>
    </w:p>
    <w:p>
      <w:pPr>
        <w:pStyle w:val="IPPParagraphnumbering"/>
        <w:numPr>
          <w:ilvl w:val="0"/>
          <w:numId w:val="0"/>
        </w:numPr>
        <w:rPr>
          <w:rFonts w:ascii="Arial" w:hAnsi="Arial" w:cs="Arial"/>
          <w:sz w:val="18"/>
          <w:szCs w:val="18"/>
          <w:lang w:val="en-GB"/>
        </w:rPr>
      </w:pPr>
      <w:r>
        <w:rPr>
          <w:rStyle w:val="PleaseReviewParagraphId"/>
          <w:b w:val="off"/>
          <w:i w:val="off"/>
        </w:rPr>
        <w:t>[65]</w:t>
      </w:r>
      <w:r>
        <w:rPr>
          <w:lang w:val="en-GB"/>
        </w:rPr>
        <w:t xml:space="preserve">Symptoms in older trees can be mistaken for those caused by </w:t>
      </w:r>
      <w:r>
        <w:rPr>
          <w:i/>
          <w:iCs/>
          <w:lang w:val="en-GB"/>
        </w:rPr>
        <w:t>Sphaeropsis sapinea</w:t>
      </w:r>
      <w:r>
        <w:rPr>
          <w:lang w:val="en-GB"/>
        </w:rPr>
        <w:t xml:space="preserve"> (Fr.) Dyco &amp; Sutton (synonym </w:t>
      </w:r>
      <w:r>
        <w:rPr>
          <w:i/>
          <w:iCs/>
          <w:lang w:val="en-GB"/>
        </w:rPr>
        <w:t>Diplodia</w:t>
      </w:r>
      <w:r>
        <w:rPr>
          <w:lang w:val="en-GB"/>
        </w:rPr>
        <w:t xml:space="preserve"> </w:t>
      </w:r>
      <w:r>
        <w:rPr>
          <w:i/>
          <w:iCs/>
          <w:lang w:val="en-GB"/>
        </w:rPr>
        <w:t>pinea</w:t>
      </w:r>
      <w:r>
        <w:rPr>
          <w:lang w:val="en-GB"/>
        </w:rPr>
        <w:t>) (Sutton, 1980) or feeding damage caused by wood-boring insects. Therefore, the diagnosis should be based on testing. The resin bleeding sometimes coats the trunk and lower branches for several metres below the level of the infection. The stem cankers are flat or slightly sunken and may sometimes affect large surfaces of cortical and subcortical tissue of the trunk. Removal of the bark shows subcortical lesions with brown and resin-impregnated tissues (Figure 3).</w:t>
      </w:r>
    </w:p>
    <w:p>
      <w:pPr>
        <w:pStyle w:val="IPPParagraphnumbering"/>
        <w:numPr>
          <w:ilvl w:val="0"/>
          <w:numId w:val="0"/>
        </w:numPr>
        <w:rPr>
          <w:lang w:val="en-GB"/>
        </w:rPr>
      </w:pPr>
      <w:r>
        <w:rPr>
          <w:rStyle w:val="PleaseReviewParagraphId"/>
          <w:b w:val="off"/>
          <w:i w:val="off"/>
        </w:rPr>
        <w:t>[66]</w:t>
      </w:r>
      <w:r>
        <w:rPr>
          <w:i/>
          <w:iCs/>
          <w:lang w:val="en-GB"/>
        </w:rPr>
        <w:t>Female cones.</w:t>
      </w:r>
      <w:r>
        <w:rPr>
          <w:lang w:val="en-GB"/>
        </w:rPr>
        <w:t xml:space="preserve"> On infected branches female cones may also become affected and abort before reaching full size. However, depending on the timing and severity of infection, an infected cone may sometimes remain symptomless.</w:t>
      </w:r>
    </w:p>
    <w:p>
      <w:pPr>
        <w:pStyle w:val="IPPHeading2"/>
      </w:pPr>
      <w:r>
        <w:rPr>
          <w:rStyle w:val="PleaseReviewParagraphId"/>
          <w:b w:val="off"/>
          <w:i w:val="off"/>
        </w:rPr>
        <w:t>[67]</w:t>
      </w:r>
      <w:r>
        <w:t>3.1.2 Seedlings and seed contamination</w:t>
      </w:r>
    </w:p>
    <w:p>
      <w:pPr>
        <w:pStyle w:val="IPPParagraphnumbering"/>
        <w:numPr>
          <w:ilvl w:val="0"/>
          <w:numId w:val="0"/>
        </w:numPr>
        <w:rPr>
          <w:lang w:val="en-GB"/>
        </w:rPr>
      </w:pPr>
      <w:r>
        <w:rPr>
          <w:rStyle w:val="PleaseReviewParagraphId"/>
          <w:b w:val="off"/>
          <w:i w:val="off"/>
        </w:rPr>
        <w:t>[68]</w:t>
      </w:r>
      <w:r>
        <w:rPr>
          <w:iCs/>
          <w:lang w:val="en-GB"/>
        </w:rPr>
        <w:t>Seeds</w:t>
      </w:r>
      <w:r>
        <w:rPr>
          <w:lang w:val="en-GB"/>
        </w:rPr>
        <w:t xml:space="preserve"> can be infected (Storer </w:t>
      </w:r>
      <w:r>
        <w:rPr>
          <w:i/>
          <w:iCs/>
          <w:lang w:val="en-GB"/>
        </w:rPr>
        <w:t>et al.</w:t>
      </w:r>
      <w:r>
        <w:rPr>
          <w:iCs/>
          <w:lang w:val="en-GB"/>
        </w:rPr>
        <w:t>,</w:t>
      </w:r>
      <w:r>
        <w:rPr>
          <w:lang w:val="en-GB"/>
        </w:rPr>
        <w:t xml:space="preserve"> 1998). Infected seedlings usually show damping off symptoms: the needles turn red, brown or chlorotic and die from the base up, or the seedling dies (Figure 4).</w:t>
      </w:r>
      <w:r>
        <w:rPr>
          <w:b/>
          <w:bCs/>
          <w:lang w:val="en-GB"/>
        </w:rPr>
        <w:t xml:space="preserve"> </w:t>
      </w:r>
      <w:r>
        <w:rPr>
          <w:lang w:val="en-GB"/>
        </w:rPr>
        <w:t xml:space="preserve">In some cases affected seedlings may show brown discoloration on roots and the lower part of stems. However, </w:t>
      </w:r>
      <w:r>
        <w:rPr>
          <w:i/>
          <w:iCs/>
          <w:lang w:val="en-GB"/>
        </w:rPr>
        <w:t>F. circinatum</w:t>
      </w:r>
      <w:r>
        <w:rPr>
          <w:lang w:val="en-GB"/>
        </w:rPr>
        <w:t xml:space="preserve"> may infect seedlings without apparent symptoms.</w:t>
      </w:r>
    </w:p>
    <w:p>
      <w:pPr>
        <w:pStyle w:val="IPPParagraphnumbering"/>
        <w:numPr>
          <w:ilvl w:val="0"/>
          <w:numId w:val="0"/>
        </w:numPr>
        <w:rPr>
          <w:lang w:val="en-GB"/>
        </w:rPr>
      </w:pPr>
      <w:r>
        <w:rPr>
          <w:rStyle w:val="PleaseReviewParagraphId"/>
          <w:b w:val="off"/>
          <w:i w:val="off"/>
        </w:rPr>
        <w:t>[69]</w:t>
      </w:r>
      <w:r>
        <w:rPr>
          <w:lang w:val="en-GB"/>
        </w:rPr>
        <w:t xml:space="preserve">It is reported in the literature that </w:t>
      </w:r>
      <w:r>
        <w:rPr>
          <w:i/>
          <w:iCs/>
          <w:lang w:val="en-GB"/>
        </w:rPr>
        <w:t>F. circinatum</w:t>
      </w:r>
      <w:r>
        <w:rPr>
          <w:lang w:val="en-GB"/>
        </w:rPr>
        <w:t xml:space="preserve"> may sometimes be present in a quiescent form that cannot be detected in seeds by isolation (Storer </w:t>
      </w:r>
      <w:r>
        <w:rPr>
          <w:i/>
          <w:iCs/>
          <w:lang w:val="en-GB"/>
        </w:rPr>
        <w:t>et al.</w:t>
      </w:r>
      <w:r>
        <w:rPr>
          <w:iCs/>
          <w:lang w:val="en-GB"/>
        </w:rPr>
        <w:t>,</w:t>
      </w:r>
      <w:r>
        <w:rPr>
          <w:lang w:val="en-GB"/>
        </w:rPr>
        <w:t xml:space="preserve"> 1998). Therefore, the absence of </w:t>
      </w:r>
      <w:r>
        <w:rPr>
          <w:i/>
          <w:iCs/>
          <w:lang w:val="en-GB"/>
        </w:rPr>
        <w:t>F. circinatum</w:t>
      </w:r>
      <w:r>
        <w:rPr>
          <w:lang w:val="en-GB"/>
        </w:rPr>
        <w:t xml:space="preserve"> cannot be ascertained by isolation from seeds. In contrast, non-viable propagules of </w:t>
      </w:r>
      <w:r>
        <w:rPr>
          <w:i/>
          <w:iCs/>
          <w:lang w:val="en-GB"/>
        </w:rPr>
        <w:t>F. circinatum</w:t>
      </w:r>
      <w:r>
        <w:rPr>
          <w:lang w:val="en-GB"/>
        </w:rPr>
        <w:t xml:space="preserve"> may generate positive results using the molecular tests. </w:t>
      </w:r>
    </w:p>
    <w:p>
      <w:pPr>
        <w:pStyle w:val="IPPHeading2"/>
      </w:pPr>
      <w:r>
        <w:rPr>
          <w:rStyle w:val="PleaseReviewParagraphId"/>
          <w:b w:val="off"/>
          <w:i w:val="off"/>
        </w:rPr>
        <w:t>[70]</w:t>
      </w:r>
      <w:r>
        <w:lastRenderedPageBreak/>
        <w:t>3.2 Sampling and sample preparation</w:t>
      </w:r>
    </w:p>
    <w:p>
      <w:pPr>
        <w:pStyle w:val="IPPHeading2"/>
      </w:pPr>
      <w:r>
        <w:rPr>
          <w:rStyle w:val="PleaseReviewParagraphId"/>
          <w:b w:val="off"/>
          <w:i w:val="off"/>
        </w:rPr>
        <w:t>[71]</w:t>
      </w:r>
      <w:r>
        <w:t>3.2.1 Plant tissue (except seeds)</w:t>
      </w:r>
    </w:p>
    <w:p>
      <w:pPr>
        <w:pStyle w:val="IPPParagraphnumbering"/>
        <w:numPr>
          <w:ilvl w:val="0"/>
          <w:numId w:val="0"/>
        </w:numPr>
        <w:rPr>
          <w:rFonts w:ascii="Arial" w:hAnsi="Arial" w:cs="Arial"/>
          <w:sz w:val="18"/>
          <w:szCs w:val="18"/>
          <w:lang w:val="en-GB"/>
        </w:rPr>
      </w:pPr>
      <w:r>
        <w:rPr>
          <w:rStyle w:val="PleaseReviewParagraphId"/>
          <w:b w:val="off"/>
          <w:i w:val="off"/>
        </w:rPr>
        <w:t>[72]</w:t>
      </w:r>
      <w:r>
        <w:rPr>
          <w:lang w:val="en-GB"/>
        </w:rPr>
        <w:t xml:space="preserve">Whole </w:t>
      </w:r>
      <w:r>
        <w:rPr>
          <w:iCs/>
          <w:lang w:val="en-GB"/>
        </w:rPr>
        <w:t>seedlings</w:t>
      </w:r>
      <w:r>
        <w:rPr>
          <w:lang w:val="en-GB"/>
        </w:rPr>
        <w:t xml:space="preserve"> should be placed in plastic bags that are then sealed and kept under cool conditions until they are sent to the laboratory. In the laboratory, the samples should be kept in a refrigerator until analysis, which should be preferably within two days of arrival. Asymptomatic seedlings are not covered by this protocol.</w:t>
      </w:r>
    </w:p>
    <w:p>
      <w:pPr>
        <w:pStyle w:val="IPPParagraphnumbering"/>
        <w:numPr>
          <w:ilvl w:val="0"/>
          <w:numId w:val="0"/>
        </w:numPr>
        <w:rPr>
          <w:rFonts w:ascii="Arial" w:hAnsi="Arial" w:cs="Arial"/>
          <w:sz w:val="18"/>
          <w:szCs w:val="18"/>
          <w:lang w:val="en-GB"/>
        </w:rPr>
      </w:pPr>
      <w:r>
        <w:rPr>
          <w:rStyle w:val="PleaseReviewParagraphId"/>
          <w:b w:val="off"/>
          <w:i w:val="off"/>
        </w:rPr>
        <w:t>[73]</w:t>
      </w:r>
      <w:r>
        <w:rPr>
          <w:lang w:val="en-GB"/>
        </w:rPr>
        <w:t xml:space="preserve">For trunk or branch </w:t>
      </w:r>
      <w:r>
        <w:rPr>
          <w:iCs/>
          <w:lang w:val="en-GB"/>
        </w:rPr>
        <w:t>cankers</w:t>
      </w:r>
      <w:r>
        <w:rPr>
          <w:lang w:val="en-GB"/>
        </w:rPr>
        <w:t>, the inner bark of the area directly around the visible lesion should be cut repeatedly with a sterile blade until a canker margin is observed. Pieces of tissue, including phloem and xylem, should be removed in order to collect portions of the lesion edge, where the fungus is most active. The pieces of tissue should be wrapped in sheets of paper and placed in a plastic bag that is then sealed. All samples of plant material should be sent to the laboratory as soon as possible after sampling, and refrigerated until transfer. In the laboratory, the samples must be kept in a refrigerator, to be analysed within two days of arrival.</w:t>
      </w:r>
    </w:p>
    <w:p>
      <w:pPr>
        <w:pStyle w:val="IPPHeading2"/>
      </w:pPr>
      <w:r>
        <w:rPr>
          <w:rStyle w:val="PleaseReviewParagraphId"/>
          <w:b w:val="off"/>
          <w:i w:val="off"/>
        </w:rPr>
        <w:t>[74]</w:t>
      </w:r>
      <w:r>
        <w:t>3.2.2 Seeds</w:t>
      </w:r>
    </w:p>
    <w:p>
      <w:pPr>
        <w:pStyle w:val="IPPParagraphnumbering"/>
        <w:numPr>
          <w:ilvl w:val="0"/>
          <w:numId w:val="0"/>
        </w:numPr>
        <w:rPr>
          <w:lang w:val="en-GB"/>
        </w:rPr>
      </w:pPr>
      <w:r>
        <w:rPr>
          <w:rStyle w:val="PleaseReviewParagraphId"/>
          <w:b w:val="off"/>
          <w:i w:val="off"/>
        </w:rPr>
        <w:t>[75]</w:t>
      </w:r>
      <w:r>
        <w:rPr>
          <w:lang w:val="en-GB"/>
        </w:rPr>
        <w:t>As no symptoms can be observed on seeds, the lot should be sampled randomly. As counting of seeds may be laborious, the sampled seeds may be weighed instead of counted. Depending on the method chosen for the identification, the total number of seeds to be tested per lot in order to detect the pathogen at different levels of infection in the lot may be different and needs to be determined statistically (useful guidance is given in tables 1 and 2 of ISPM 31 (</w:t>
      </w:r>
      <w:r>
        <w:rPr>
          <w:i/>
          <w:lang w:val="en-GB"/>
        </w:rPr>
        <w:t>Methodologies for sampling of consignments</w:t>
      </w:r>
      <w:r>
        <w:rPr>
          <w:lang w:val="en-GB"/>
        </w:rPr>
        <w:t xml:space="preserve">)). Sample size recommended by the International Seed Testing Association (ISTA) is 400 seeds for plating (ISTA, 2002). However, larger samples (e.g. 1 000 seeds) can easily be processed by biological enrichment before DNA analyses (Ioos </w:t>
      </w:r>
      <w:r>
        <w:rPr>
          <w:i/>
          <w:iCs/>
          <w:lang w:val="en-GB"/>
        </w:rPr>
        <w:t>et al.</w:t>
      </w:r>
      <w:r>
        <w:rPr>
          <w:iCs/>
          <w:lang w:val="en-GB"/>
        </w:rPr>
        <w:t>,</w:t>
      </w:r>
      <w:r>
        <w:rPr>
          <w:lang w:val="en-GB"/>
        </w:rPr>
        <w:t xml:space="preserve"> 2009).</w:t>
      </w:r>
    </w:p>
    <w:p>
      <w:pPr>
        <w:pStyle w:val="IPPParagraphnumbering"/>
        <w:numPr>
          <w:ilvl w:val="0"/>
          <w:numId w:val="0"/>
        </w:numPr>
        <w:rPr>
          <w:lang w:val="en-GB"/>
        </w:rPr>
      </w:pPr>
      <w:r>
        <w:rPr>
          <w:rStyle w:val="PleaseReviewParagraphId"/>
          <w:b w:val="off"/>
          <w:i w:val="off"/>
        </w:rPr>
        <w:t>[76]</w:t>
      </w:r>
      <w:r>
        <w:rPr>
          <w:lang w:val="en-GB"/>
        </w:rPr>
        <w:t xml:space="preserve">Seeds may be analysed by isolation and culture (section 3.3.2) or by conventional or real-time polymerase chain reaction (PCR) after a biological enrichment step (section 3.4.1.2). These methods have been compared in the framework of a European collaborative study, and performance values have been calculated for each of the methods (Ioos </w:t>
      </w:r>
      <w:r>
        <w:rPr>
          <w:i/>
          <w:iCs/>
          <w:lang w:val="en-GB"/>
        </w:rPr>
        <w:t>et al.</w:t>
      </w:r>
      <w:r>
        <w:rPr>
          <w:iCs/>
          <w:lang w:val="en-GB"/>
        </w:rPr>
        <w:t>,</w:t>
      </w:r>
      <w:r>
        <w:rPr>
          <w:lang w:val="en-GB"/>
        </w:rPr>
        <w:t xml:space="preserve"> 2013). </w:t>
      </w:r>
    </w:p>
    <w:p>
      <w:pPr>
        <w:pStyle w:val="IPPHeading2"/>
      </w:pPr>
      <w:r>
        <w:rPr>
          <w:rStyle w:val="PleaseReviewParagraphId"/>
          <w:b w:val="off"/>
          <w:i w:val="off"/>
        </w:rPr>
        <w:t>[77]</w:t>
      </w:r>
      <w:bookmarkStart w:name="_Toc413424383" w:id="7"/>
      <w:r>
        <w:t>3.3 Diagnostic method A: Isolation and culture</w:t>
      </w:r>
      <w:bookmarkEnd w:id="7"/>
      <w:r>
        <w:t xml:space="preserve"> </w:t>
      </w:r>
    </w:p>
    <w:p>
      <w:pPr>
        <w:pStyle w:val="IPPHeading2"/>
      </w:pPr>
      <w:r>
        <w:rPr>
          <w:rStyle w:val="PleaseReviewParagraphId"/>
          <w:b w:val="off"/>
          <w:i w:val="off"/>
        </w:rPr>
        <w:t>[78]</w:t>
      </w:r>
      <w:bookmarkStart w:name="_Toc413424384" w:id="8"/>
      <w:r>
        <w:t>3.3.1 Plant tissue (except seeds</w:t>
      </w:r>
      <w:bookmarkEnd w:id="8"/>
      <w:r>
        <w:t>)</w:t>
      </w:r>
    </w:p>
    <w:p>
      <w:pPr>
        <w:pStyle w:val="IPPParagraphnumbering"/>
        <w:numPr>
          <w:ilvl w:val="0"/>
          <w:numId w:val="0"/>
        </w:numPr>
        <w:rPr>
          <w:rFonts w:ascii="Arial" w:hAnsi="Arial" w:cs="Arial"/>
          <w:sz w:val="18"/>
          <w:szCs w:val="18"/>
          <w:lang w:val="en-GB"/>
        </w:rPr>
      </w:pPr>
      <w:r>
        <w:rPr>
          <w:rStyle w:val="PleaseReviewParagraphId"/>
          <w:b w:val="off"/>
          <w:i w:val="off"/>
        </w:rPr>
        <w:t>[79]</w:t>
      </w:r>
      <w:r>
        <w:rPr>
          <w:lang w:val="en-GB"/>
        </w:rPr>
        <w:t>For symptomatic seedlings the pathogen is isolated from the lower part of the stem or from the roots. The roots and the lower part of the stem are washed thoroughly with water and isolations are made from the leading edge of the lesions.</w:t>
      </w:r>
    </w:p>
    <w:p>
      <w:pPr>
        <w:pStyle w:val="IPPParagraphnumbering"/>
        <w:numPr>
          <w:ilvl w:val="0"/>
          <w:numId w:val="0"/>
        </w:numPr>
        <w:rPr>
          <w:rFonts w:ascii="Arial" w:hAnsi="Arial" w:cs="Arial"/>
          <w:sz w:val="18"/>
          <w:szCs w:val="18"/>
          <w:lang w:val="en-GB"/>
        </w:rPr>
      </w:pPr>
      <w:r>
        <w:rPr>
          <w:rStyle w:val="PleaseReviewParagraphId"/>
          <w:b w:val="off"/>
          <w:i w:val="off"/>
        </w:rPr>
        <w:t>[80]</w:t>
      </w:r>
      <w:r>
        <w:rPr>
          <w:lang w:val="en-GB"/>
        </w:rPr>
        <w:t xml:space="preserve">On mature trees, isolations are made from </w:t>
      </w:r>
      <w:r>
        <w:rPr>
          <w:iCs/>
          <w:lang w:val="en-GB"/>
        </w:rPr>
        <w:t>cankers</w:t>
      </w:r>
      <w:r>
        <w:rPr>
          <w:lang w:val="en-GB"/>
        </w:rPr>
        <w:t xml:space="preserve">. The cankers are washed thoroughly with water, and isolations are made from wood chips taken from the edge of the lesion found beneath the affected bark. </w:t>
      </w:r>
    </w:p>
    <w:p>
      <w:pPr>
        <w:pStyle w:val="IPPParagraphnumbering"/>
        <w:numPr>
          <w:ilvl w:val="0"/>
          <w:numId w:val="0"/>
        </w:numPr>
        <w:rPr>
          <w:rFonts w:ascii="Arial" w:hAnsi="Arial" w:cs="Arial"/>
          <w:sz w:val="18"/>
          <w:szCs w:val="18"/>
          <w:lang w:val="en-GB"/>
        </w:rPr>
      </w:pPr>
      <w:r>
        <w:rPr>
          <w:rStyle w:val="PleaseReviewParagraphId"/>
          <w:b w:val="off"/>
          <w:i w:val="off"/>
        </w:rPr>
        <w:t>[81]</w:t>
      </w:r>
      <w:r>
        <w:rPr>
          <w:lang w:val="en-GB"/>
        </w:rPr>
        <w:t xml:space="preserve">Plant material should be surface-sterilized for up to 1 min in a 1.5% solution of sodium hypochlorite or 50% alcohol, and rinsed twice in sterile distilled water (Pérez-Sierra </w:t>
      </w:r>
      <w:r>
        <w:rPr>
          <w:i/>
          <w:iCs/>
          <w:lang w:val="en-GB"/>
        </w:rPr>
        <w:t>et al.</w:t>
      </w:r>
      <w:r>
        <w:rPr>
          <w:iCs/>
          <w:lang w:val="en-GB"/>
        </w:rPr>
        <w:t>,</w:t>
      </w:r>
      <w:r>
        <w:rPr>
          <w:lang w:val="en-GB"/>
        </w:rPr>
        <w:t xml:space="preserve"> 2007). Selective media, such as dichloran chloramphenicol peptone agar (DCPA) or Komada’s medium, are recommended for isolations. Potato dextrose agar supplemented with 0.5 mg/ml streptomycin sulphate salt (775 units/mg solid) (PDAS) can also be used (section 3.3.3).</w:t>
      </w:r>
    </w:p>
    <w:p>
      <w:pPr>
        <w:pStyle w:val="IPPParagraphnumbering"/>
        <w:numPr>
          <w:ilvl w:val="0"/>
          <w:numId w:val="0"/>
        </w:numPr>
        <w:rPr>
          <w:lang w:val="en-GB"/>
        </w:rPr>
      </w:pPr>
      <w:r>
        <w:rPr>
          <w:rStyle w:val="PleaseReviewParagraphId"/>
          <w:b w:val="off"/>
          <w:i w:val="off"/>
        </w:rPr>
        <w:t>[82]</w:t>
      </w:r>
      <w:r>
        <w:rPr>
          <w:lang w:val="en-GB"/>
        </w:rPr>
        <w:t xml:space="preserve">Plates are incubated at 22 °C ± 6 °C under near ultraviolet (UV) light or daylight. During incubation, the plates are observed daily and all the </w:t>
      </w:r>
      <w:r>
        <w:rPr>
          <w:i/>
          <w:iCs/>
          <w:lang w:val="en-GB"/>
        </w:rPr>
        <w:t>Fusarium</w:t>
      </w:r>
      <w:r>
        <w:rPr>
          <w:lang w:val="en-GB"/>
        </w:rPr>
        <w:t xml:space="preserve"> spp. colonies are transferred to potato dextrose agar (PDA) and to spezieller nährstoffarmer agar (SNA) and incubated for ten days under the same conditions for morphological identification (section 4.1.1). </w:t>
      </w:r>
    </w:p>
    <w:p>
      <w:pPr>
        <w:pStyle w:val="IPPHeading2"/>
      </w:pPr>
      <w:r>
        <w:rPr>
          <w:rStyle w:val="PleaseReviewParagraphId"/>
          <w:b w:val="off"/>
          <w:i w:val="off"/>
        </w:rPr>
        <w:t>[83]</w:t>
      </w:r>
      <w:bookmarkStart w:name="_Toc413424385" w:id="9"/>
      <w:r>
        <w:t>3.3.2 Seeds</w:t>
      </w:r>
      <w:bookmarkEnd w:id="9"/>
    </w:p>
    <w:p>
      <w:pPr>
        <w:pStyle w:val="IPPParagraphnumbering"/>
        <w:numPr>
          <w:ilvl w:val="0"/>
          <w:numId w:val="0"/>
        </w:numPr>
        <w:rPr>
          <w:lang w:val="en-GB"/>
        </w:rPr>
      </w:pPr>
      <w:r>
        <w:rPr>
          <w:rStyle w:val="PleaseReviewParagraphId"/>
          <w:b w:val="off"/>
          <w:i w:val="off"/>
        </w:rPr>
        <w:t>[84]</w:t>
      </w:r>
      <w:r>
        <w:rPr>
          <w:lang w:val="en-GB"/>
        </w:rPr>
        <w:t xml:space="preserve">Seeds are analysed without any surface disinfection as </w:t>
      </w:r>
      <w:r>
        <w:rPr>
          <w:i/>
          <w:iCs/>
          <w:lang w:val="en-GB"/>
        </w:rPr>
        <w:t>F. circinatum</w:t>
      </w:r>
      <w:r>
        <w:rPr>
          <w:lang w:val="en-GB"/>
        </w:rPr>
        <w:t xml:space="preserve"> may be present on the seed husk as well as inside the seed.  Seeds are plated directly onto DCPA, Komada’s medium or PDAS.</w:t>
      </w:r>
    </w:p>
    <w:p>
      <w:pPr>
        <w:pStyle w:val="IPPParagraphnumbering"/>
        <w:numPr>
          <w:ilvl w:val="0"/>
          <w:numId w:val="0"/>
        </w:numPr>
        <w:rPr>
          <w:lang w:val="en-GB"/>
        </w:rPr>
      </w:pPr>
      <w:r>
        <w:rPr>
          <w:rStyle w:val="PleaseReviewParagraphId"/>
          <w:b w:val="off"/>
          <w:i w:val="off"/>
        </w:rPr>
        <w:t>[85]</w:t>
      </w:r>
      <w:r>
        <w:rPr>
          <w:lang w:val="en-GB"/>
        </w:rPr>
        <w:lastRenderedPageBreak/>
        <w:t xml:space="preserve">Plates are incubated at 22 °C ± 6°C under near ultraviolet (UV) light or daylight. During incubation, the plates are observed daily and all the </w:t>
      </w:r>
      <w:r>
        <w:rPr>
          <w:i/>
          <w:iCs/>
          <w:lang w:val="en-GB"/>
        </w:rPr>
        <w:t>Fusarium</w:t>
      </w:r>
      <w:r>
        <w:rPr>
          <w:lang w:val="en-GB"/>
        </w:rPr>
        <w:t xml:space="preserve"> spp. colonies are transferred to PDA and to SNA (section 3.3.3) for morphological identification (section 4.1.1).</w:t>
      </w:r>
    </w:p>
    <w:p>
      <w:pPr>
        <w:pStyle w:val="IPPParagraphnumbering"/>
        <w:numPr>
          <w:ilvl w:val="0"/>
          <w:numId w:val="0"/>
        </w:numPr>
        <w:rPr>
          <w:lang w:val="en-GB"/>
        </w:rPr>
      </w:pPr>
      <w:r>
        <w:rPr>
          <w:rStyle w:val="PleaseReviewParagraphId"/>
          <w:b w:val="off"/>
          <w:i w:val="off"/>
        </w:rPr>
        <w:t>[86]</w:t>
      </w:r>
      <w:r>
        <w:rPr>
          <w:lang w:val="en-GB"/>
        </w:rPr>
        <w:t xml:space="preserve">Although this method is time- and space-consuming when serial analyses are conducted, it does not require expensive equipment and it is efficient and reliable for isolating any </w:t>
      </w:r>
      <w:r>
        <w:rPr>
          <w:i/>
          <w:iCs/>
          <w:lang w:val="en-GB"/>
        </w:rPr>
        <w:t>Fusarium</w:t>
      </w:r>
      <w:r>
        <w:rPr>
          <w:lang w:val="en-GB"/>
        </w:rPr>
        <w:t xml:space="preserve"> spp. from seeds. However, Storer </w:t>
      </w:r>
      <w:r>
        <w:rPr>
          <w:i/>
          <w:iCs/>
          <w:lang w:val="en-GB"/>
        </w:rPr>
        <w:t>et al.</w:t>
      </w:r>
      <w:r>
        <w:rPr>
          <w:lang w:val="en-GB"/>
        </w:rPr>
        <w:t xml:space="preserve"> (1998) demonstrated that agar plating of pine seeds may not be able to detect dormant (quiescent) propagules of </w:t>
      </w:r>
      <w:r>
        <w:rPr>
          <w:i/>
          <w:iCs/>
          <w:lang w:val="en-GB"/>
        </w:rPr>
        <w:t>F. circinatum.</w:t>
      </w:r>
      <w:bookmarkStart w:name="_Toc413424386" w:id="10"/>
    </w:p>
    <w:p>
      <w:pPr>
        <w:pStyle w:val="IPPHeading2"/>
        <w:rPr>
          <w:lang w:val="it-IT"/>
        </w:rPr>
      </w:pPr>
      <w:r>
        <w:rPr>
          <w:rStyle w:val="PleaseReviewParagraphId"/>
          <w:b w:val="off"/>
          <w:i w:val="off"/>
        </w:rPr>
        <w:t>[87]</w:t>
      </w:r>
      <w:r>
        <w:rPr>
          <w:lang w:val="it-IT"/>
        </w:rPr>
        <w:t>3.3.3 Culture media</w:t>
      </w:r>
      <w:bookmarkEnd w:id="10"/>
      <w:r>
        <w:rPr>
          <w:lang w:val="it-IT"/>
        </w:rPr>
        <w:t xml:space="preserve"> </w:t>
      </w:r>
    </w:p>
    <w:p>
      <w:pPr>
        <w:pStyle w:val="IPPParagraphnumbering"/>
        <w:numPr>
          <w:ilvl w:val="0"/>
          <w:numId w:val="0"/>
        </w:numPr>
        <w:rPr>
          <w:rFonts w:ascii="Arial" w:hAnsi="Arial" w:cs="Arial"/>
          <w:sz w:val="18"/>
          <w:szCs w:val="18"/>
          <w:lang w:val="en-GB"/>
        </w:rPr>
      </w:pPr>
      <w:r>
        <w:rPr>
          <w:rStyle w:val="PleaseReviewParagraphId"/>
          <w:b w:val="off"/>
          <w:i w:val="off"/>
        </w:rPr>
        <w:t>[88]</w:t>
      </w:r>
      <w:r>
        <w:rPr>
          <w:i/>
          <w:iCs/>
          <w:lang w:val="it-IT"/>
        </w:rPr>
        <w:t xml:space="preserve">Dichloran chloramphenicol peptone agar. </w:t>
      </w:r>
      <w:r>
        <w:rPr>
          <w:lang w:val="en-GB"/>
        </w:rPr>
        <w:t xml:space="preserve">DCPA is suitable for isolation of </w:t>
      </w:r>
      <w:r>
        <w:rPr>
          <w:i/>
          <w:iCs/>
          <w:lang w:val="en-GB"/>
        </w:rPr>
        <w:t>Fusarium</w:t>
      </w:r>
      <w:r>
        <w:rPr>
          <w:lang w:val="en-GB"/>
        </w:rPr>
        <w:t xml:space="preserve"> spp. from plant tissue, including seeds, but not for identification. The medium, slightly modified by Ioos </w:t>
      </w:r>
      <w:r>
        <w:rPr>
          <w:i/>
          <w:iCs/>
          <w:lang w:val="en-GB"/>
        </w:rPr>
        <w:t>et al.</w:t>
      </w:r>
      <w:r>
        <w:rPr>
          <w:lang w:val="en-GB"/>
        </w:rPr>
        <w:t xml:space="preserve"> (2004) after Andrews and Pitt (1986), contains 15.0 g bacteriological peptone, 1.0 g KH</w:t>
      </w:r>
      <w:r>
        <w:rPr>
          <w:vertAlign w:val="subscript"/>
          <w:lang w:val="en-GB"/>
        </w:rPr>
        <w:t>2</w:t>
      </w:r>
      <w:r>
        <w:rPr>
          <w:lang w:val="en-GB"/>
        </w:rPr>
        <w:t>PO</w:t>
      </w:r>
      <w:r>
        <w:rPr>
          <w:vertAlign w:val="subscript"/>
          <w:lang w:val="en-GB"/>
        </w:rPr>
        <w:t>4</w:t>
      </w:r>
      <w:r>
        <w:rPr>
          <w:lang w:val="en-GB"/>
        </w:rPr>
        <w:t>, 0.5 g MgSO</w:t>
      </w:r>
      <w:r>
        <w:rPr>
          <w:vertAlign w:val="subscript"/>
          <w:lang w:val="en-GB"/>
        </w:rPr>
        <w:t>4</w:t>
      </w:r>
      <w:r>
        <w:rPr>
          <w:lang w:val="en-GB"/>
        </w:rPr>
        <w:t>·7H</w:t>
      </w:r>
      <w:r>
        <w:rPr>
          <w:vertAlign w:val="subscript"/>
          <w:lang w:val="en-GB"/>
        </w:rPr>
        <w:t>2</w:t>
      </w:r>
      <w:r>
        <w:rPr>
          <w:lang w:val="en-GB"/>
        </w:rPr>
        <w:t>O, 0.2 g chloramphenicol, 2 mg 2,6-dichloro-4-nitroaniline (dichloran) (0.2% w/v in ethanol, 1.0 ml), 0.0005 g crystal violet (0.05% w/v in water, 1.0 ml) and 20.0 g agar technical in 1 litre distilled water.</w:t>
      </w:r>
    </w:p>
    <w:p>
      <w:pPr>
        <w:pStyle w:val="IPPParagraphnumbering"/>
        <w:numPr>
          <w:ilvl w:val="0"/>
          <w:numId w:val="0"/>
        </w:numPr>
        <w:rPr>
          <w:rFonts w:ascii="Arial" w:hAnsi="Arial" w:cs="Arial"/>
          <w:sz w:val="18"/>
          <w:szCs w:val="18"/>
          <w:lang w:val="en-GB"/>
        </w:rPr>
      </w:pPr>
      <w:r>
        <w:rPr>
          <w:rStyle w:val="PleaseReviewParagraphId"/>
          <w:b w:val="off"/>
          <w:i w:val="off"/>
        </w:rPr>
        <w:t>[89]</w:t>
      </w:r>
      <w:r>
        <w:rPr>
          <w:i/>
          <w:iCs/>
          <w:lang w:val="en-GB"/>
        </w:rPr>
        <w:t>Komada’s medium</w:t>
      </w:r>
      <w:r>
        <w:rPr>
          <w:lang w:val="en-GB"/>
        </w:rPr>
        <w:t xml:space="preserve">. This medium is suitable for isolation of </w:t>
      </w:r>
      <w:r>
        <w:rPr>
          <w:i/>
          <w:iCs/>
          <w:lang w:val="en-GB"/>
        </w:rPr>
        <w:t xml:space="preserve">Fusarium </w:t>
      </w:r>
      <w:r>
        <w:rPr>
          <w:lang w:val="en-GB"/>
        </w:rPr>
        <w:t>spp. from plant tissue, including seeds, but not for identification. The base medium contains 1.0 g K</w:t>
      </w:r>
      <w:r>
        <w:rPr>
          <w:vertAlign w:val="subscript"/>
          <w:lang w:val="en-GB"/>
        </w:rPr>
        <w:t>2</w:t>
      </w:r>
      <w:r>
        <w:rPr>
          <w:lang w:val="en-GB"/>
        </w:rPr>
        <w:t>HPO</w:t>
      </w:r>
      <w:r>
        <w:rPr>
          <w:vertAlign w:val="subscript"/>
          <w:lang w:val="en-GB"/>
        </w:rPr>
        <w:t>4</w:t>
      </w:r>
      <w:r>
        <w:rPr>
          <w:lang w:val="en-GB"/>
        </w:rPr>
        <w:t>, 0.5 g KCl, 0.5 g MgSO</w:t>
      </w:r>
      <w:r>
        <w:rPr>
          <w:vertAlign w:val="subscript"/>
          <w:lang w:val="en-GB"/>
        </w:rPr>
        <w:t>4</w:t>
      </w:r>
      <w:r>
        <w:rPr>
          <w:lang w:val="en-GB"/>
        </w:rPr>
        <w:t>·7H</w:t>
      </w:r>
      <w:r>
        <w:rPr>
          <w:vertAlign w:val="subscript"/>
          <w:lang w:val="en-GB"/>
        </w:rPr>
        <w:t>2</w:t>
      </w:r>
      <w:r>
        <w:rPr>
          <w:lang w:val="en-GB"/>
        </w:rPr>
        <w:t xml:space="preserve">O, 10 mg Fe-Na-ethylenediaminetetraacetic acid (EDTA), 2.0 g </w:t>
      </w:r>
      <w:r>
        <w:rPr>
          <w:smallCaps/>
          <w:lang w:val="en-GB"/>
        </w:rPr>
        <w:t>l</w:t>
      </w:r>
      <w:r>
        <w:rPr>
          <w:lang w:val="en-GB"/>
        </w:rPr>
        <w:t xml:space="preserve">-asparagine, 20.0 g </w:t>
      </w:r>
      <w:r>
        <w:rPr>
          <w:smallCaps/>
          <w:lang w:val="en-GB"/>
        </w:rPr>
        <w:t>d</w:t>
      </w:r>
      <w:r>
        <w:rPr>
          <w:lang w:val="en-GB"/>
        </w:rPr>
        <w:t>-galactose and 15.0 g technical agar in 1.0 litre distilled water. The pH is adjusted to 3.8 ± 0.2 with 10% phosphoric acid. The medium is autoclaved at 121 °C for 15 min and slightly cooled before adding the following filter-sterilized supplements: 1.0 g pentachloronitrobenzene (PNCB) (75% w/w), 0.5 g ox-gall, 1.0 g Na</w:t>
      </w:r>
      <w:r>
        <w:rPr>
          <w:vertAlign w:val="subscript"/>
          <w:lang w:val="en-GB"/>
        </w:rPr>
        <w:t>2</w:t>
      </w:r>
      <w:r>
        <w:rPr>
          <w:lang w:val="en-GB"/>
        </w:rPr>
        <w:t>B</w:t>
      </w:r>
      <w:r>
        <w:rPr>
          <w:vertAlign w:val="subscript"/>
          <w:lang w:val="en-GB"/>
        </w:rPr>
        <w:t>4</w:t>
      </w:r>
      <w:r>
        <w:rPr>
          <w:lang w:val="en-GB"/>
        </w:rPr>
        <w:t>O</w:t>
      </w:r>
      <w:r>
        <w:rPr>
          <w:vertAlign w:val="subscript"/>
          <w:lang w:val="en-GB"/>
        </w:rPr>
        <w:t>7</w:t>
      </w:r>
      <w:r>
        <w:rPr>
          <w:lang w:val="en-GB"/>
        </w:rPr>
        <w:t>·10H</w:t>
      </w:r>
      <w:r>
        <w:rPr>
          <w:vertAlign w:val="subscript"/>
          <w:lang w:val="en-GB"/>
        </w:rPr>
        <w:t>2</w:t>
      </w:r>
      <w:r>
        <w:rPr>
          <w:lang w:val="en-GB"/>
        </w:rPr>
        <w:t>O and 6 ml/litre stock solution streptomycin (5 g streptomycin in 100 ml distilled water) (Komada, 1975).</w:t>
      </w:r>
    </w:p>
    <w:p>
      <w:pPr>
        <w:pStyle w:val="IPPParagraphnumbering"/>
        <w:numPr>
          <w:ilvl w:val="0"/>
          <w:numId w:val="0"/>
        </w:numPr>
        <w:rPr>
          <w:rFonts w:ascii="Arial" w:hAnsi="Arial" w:cs="Arial"/>
          <w:sz w:val="18"/>
          <w:szCs w:val="18"/>
          <w:lang w:val="en-GB"/>
        </w:rPr>
      </w:pPr>
      <w:r>
        <w:rPr>
          <w:rStyle w:val="PleaseReviewParagraphId"/>
          <w:b w:val="off"/>
          <w:i w:val="off"/>
        </w:rPr>
        <w:t>[90]</w:t>
      </w:r>
      <w:r>
        <w:rPr>
          <w:i/>
          <w:iCs/>
          <w:lang w:val="en-GB"/>
        </w:rPr>
        <w:t>Potato dextrose agar</w:t>
      </w:r>
      <w:r>
        <w:rPr>
          <w:lang w:val="en-GB"/>
        </w:rPr>
        <w:t xml:space="preserve">. PDA is used to study </w:t>
      </w:r>
      <w:r>
        <w:rPr>
          <w:i/>
          <w:lang w:val="en-GB"/>
        </w:rPr>
        <w:t>Fusarium</w:t>
      </w:r>
      <w:r>
        <w:rPr>
          <w:lang w:val="en-GB"/>
        </w:rPr>
        <w:t xml:space="preserve"> spp. colony morphology and pigmentation. The medium contains 15 g dextrose, 20 g agar and the broth from 200 g white potatoes made up to 1.0 litre of distilled water (Hawksworth </w:t>
      </w:r>
      <w:r>
        <w:rPr>
          <w:i/>
          <w:iCs/>
          <w:lang w:val="en-GB"/>
        </w:rPr>
        <w:t>et al.</w:t>
      </w:r>
      <w:r>
        <w:rPr>
          <w:iCs/>
          <w:lang w:val="en-GB"/>
        </w:rPr>
        <w:t>,</w:t>
      </w:r>
      <w:r>
        <w:rPr>
          <w:lang w:val="en-GB"/>
        </w:rPr>
        <w:t xml:space="preserve"> 1995). Commercially available preparations of PDA are as suitable as those made in the laboratory. PDA supplemented with 0.5 mg/ml streptomycin sulphate salt (775 units/mg solid) (PDAS) can be used for isolation.</w:t>
      </w:r>
    </w:p>
    <w:p>
      <w:pPr>
        <w:pStyle w:val="IPPParagraphnumbering"/>
        <w:numPr>
          <w:ilvl w:val="0"/>
          <w:numId w:val="0"/>
        </w:numPr>
        <w:rPr>
          <w:rFonts w:ascii="Arial" w:hAnsi="Arial" w:cs="Arial"/>
          <w:sz w:val="18"/>
          <w:szCs w:val="18"/>
          <w:lang w:val="en-GB"/>
        </w:rPr>
      </w:pPr>
      <w:r>
        <w:rPr>
          <w:rStyle w:val="PleaseReviewParagraphId"/>
          <w:b w:val="off"/>
          <w:i w:val="off"/>
        </w:rPr>
        <w:t>[91]</w:t>
      </w:r>
      <w:r>
        <w:rPr>
          <w:i/>
          <w:iCs/>
          <w:lang w:val="en-GB"/>
        </w:rPr>
        <w:t>Spezieller nährstoffarmer agar</w:t>
      </w:r>
      <w:r>
        <w:rPr>
          <w:lang w:val="en-GB"/>
        </w:rPr>
        <w:t>. SNA should be used to study the formation and type of microconidia, macroconidia and conidiogenous cells but it is not recommended for isolation. The medium contains 1.0 g KH</w:t>
      </w:r>
      <w:r>
        <w:rPr>
          <w:vertAlign w:val="subscript"/>
          <w:lang w:val="en-GB"/>
        </w:rPr>
        <w:t>2</w:t>
      </w:r>
      <w:r>
        <w:rPr>
          <w:lang w:val="en-GB"/>
        </w:rPr>
        <w:t>PO</w:t>
      </w:r>
      <w:r>
        <w:rPr>
          <w:vertAlign w:val="subscript"/>
          <w:lang w:val="en-GB"/>
        </w:rPr>
        <w:t>4</w:t>
      </w:r>
      <w:r>
        <w:rPr>
          <w:lang w:val="en-GB"/>
        </w:rPr>
        <w:t>, 1.0 g KNO</w:t>
      </w:r>
      <w:r>
        <w:rPr>
          <w:vertAlign w:val="subscript"/>
          <w:lang w:val="en-GB"/>
        </w:rPr>
        <w:t>3</w:t>
      </w:r>
      <w:r>
        <w:rPr>
          <w:lang w:val="en-GB"/>
        </w:rPr>
        <w:t>, 0.5 g MgSO</w:t>
      </w:r>
      <w:r>
        <w:rPr>
          <w:vertAlign w:val="subscript"/>
          <w:lang w:val="en-GB"/>
        </w:rPr>
        <w:t>4</w:t>
      </w:r>
      <w:r>
        <w:rPr>
          <w:lang w:val="en-GB"/>
        </w:rPr>
        <w:t>·7H</w:t>
      </w:r>
      <w:r>
        <w:rPr>
          <w:vertAlign w:val="subscript"/>
          <w:lang w:val="en-GB"/>
        </w:rPr>
        <w:t>2</w:t>
      </w:r>
      <w:r>
        <w:rPr>
          <w:lang w:val="en-GB"/>
        </w:rPr>
        <w:t>O, 0.5 g KCl, 0.2 g glucose, 0.2 g sucrose and 20.0 g technical agar in 1.0 litre distilled water.</w:t>
      </w:r>
      <w:r>
        <w:rPr>
          <w:i/>
          <w:iCs/>
          <w:lang w:val="en-GB"/>
        </w:rPr>
        <w:t xml:space="preserve"> </w:t>
      </w:r>
      <w:r>
        <w:rPr>
          <w:lang w:val="en-GB"/>
        </w:rPr>
        <w:t>Optionally, one or two 1 cm</w:t>
      </w:r>
      <w:r>
        <w:rPr>
          <w:vertAlign w:val="superscript"/>
          <w:lang w:val="en-GB"/>
        </w:rPr>
        <w:t>2</w:t>
      </w:r>
      <w:r>
        <w:rPr>
          <w:lang w:val="en-GB"/>
        </w:rPr>
        <w:t xml:space="preserve"> square pieces of sterile filter paper may</w:t>
      </w:r>
      <w:r>
        <w:rPr>
          <w:i/>
          <w:iCs/>
          <w:lang w:val="en-GB"/>
        </w:rPr>
        <w:t xml:space="preserve"> </w:t>
      </w:r>
      <w:r>
        <w:rPr>
          <w:lang w:val="en-GB"/>
        </w:rPr>
        <w:t xml:space="preserve">be laid on the surface of the agar – </w:t>
      </w:r>
      <w:r>
        <w:rPr>
          <w:i/>
          <w:iCs/>
          <w:lang w:val="en-GB"/>
        </w:rPr>
        <w:t>Fusarium</w:t>
      </w:r>
      <w:r>
        <w:rPr>
          <w:lang w:val="en-GB"/>
        </w:rPr>
        <w:t xml:space="preserve"> sporodochia are</w:t>
      </w:r>
      <w:r>
        <w:rPr>
          <w:i/>
          <w:iCs/>
          <w:lang w:val="en-GB"/>
        </w:rPr>
        <w:t xml:space="preserve"> </w:t>
      </w:r>
      <w:r>
        <w:rPr>
          <w:lang w:val="en-GB"/>
        </w:rPr>
        <w:t>sometimes more likely to be produced at the edge of the paper (Gerlach and Nirenberg, 1982).</w:t>
      </w:r>
    </w:p>
    <w:p>
      <w:pPr>
        <w:pStyle w:val="IPPHeading2"/>
      </w:pPr>
      <w:r>
        <w:rPr>
          <w:rStyle w:val="PleaseReviewParagraphId"/>
          <w:b w:val="off"/>
          <w:i w:val="off"/>
        </w:rPr>
        <w:t>[92]</w:t>
      </w:r>
      <w:bookmarkStart w:name="_Toc413424391" w:id="11"/>
      <w:r>
        <w:t>3.4 Diagnostic method B: Molecular tests</w:t>
      </w:r>
      <w:bookmarkEnd w:id="11"/>
      <w:r>
        <w:t xml:space="preserve"> </w:t>
      </w:r>
    </w:p>
    <w:p>
      <w:pPr>
        <w:pStyle w:val="IPPParagraphnumbering"/>
        <w:numPr>
          <w:ilvl w:val="0"/>
          <w:numId w:val="0"/>
        </w:numPr>
        <w:rPr>
          <w:rFonts w:ascii="Arial" w:hAnsi="Arial" w:cs="Arial"/>
          <w:sz w:val="18"/>
          <w:szCs w:val="18"/>
          <w:lang w:val="en-GB"/>
        </w:rPr>
      </w:pPr>
      <w:r>
        <w:rPr>
          <w:rStyle w:val="PleaseReviewParagraphId"/>
          <w:b w:val="off"/>
          <w:i w:val="off"/>
        </w:rPr>
        <w:t>[93]</w:t>
      </w:r>
      <w:r>
        <w:rPr>
          <w:lang w:val="en-GB"/>
        </w:rPr>
        <w:t xml:space="preserve">There are several molecular methods currently available to confirm the identity of </w:t>
      </w:r>
      <w:r>
        <w:rPr>
          <w:i/>
          <w:iCs/>
          <w:lang w:val="en-GB"/>
        </w:rPr>
        <w:t>F. circinatum</w:t>
      </w:r>
      <w:r>
        <w:rPr>
          <w:lang w:val="en-GB"/>
        </w:rPr>
        <w:t xml:space="preserve"> isolates (identification by sequence analysis) or to detect and/or identify it directly </w:t>
      </w:r>
      <w:r>
        <w:rPr>
          <w:i/>
          <w:iCs/>
          <w:lang w:val="en-GB"/>
        </w:rPr>
        <w:t xml:space="preserve">in planta </w:t>
      </w:r>
      <w:r>
        <w:rPr>
          <w:lang w:val="en-GB"/>
        </w:rPr>
        <w:t>(conventional PCR, SYBR Green</w:t>
      </w:r>
      <w:r>
        <w:rPr>
          <w:vertAlign w:val="superscript"/>
          <w:lang w:val="en-GB"/>
        </w:rPr>
        <w:t xml:space="preserve">® </w:t>
      </w:r>
      <w:r>
        <w:rPr>
          <w:lang w:val="en-GB"/>
        </w:rPr>
        <w:t xml:space="preserve">real-time PCR or real-time PCR using a hydrolysis probe). These methods are fast, efficient and reliable in detecting </w:t>
      </w:r>
      <w:r>
        <w:rPr>
          <w:i/>
          <w:iCs/>
          <w:lang w:val="en-GB"/>
        </w:rPr>
        <w:t>F. circinatum</w:t>
      </w:r>
      <w:r>
        <w:rPr>
          <w:lang w:val="en-GB"/>
        </w:rPr>
        <w:t xml:space="preserve"> specifically, without previous agar plating, thus saving a lot of space and time, but they require facilities equipped for molecular biology. In addition, as these techniques target the DNA of the fungus, active and quiescent forms of the pathogen are equally detected. </w:t>
      </w:r>
    </w:p>
    <w:p>
      <w:pPr>
        <w:pStyle w:val="IPPParagraphnumbering"/>
        <w:numPr>
          <w:ilvl w:val="0"/>
          <w:numId w:val="0"/>
        </w:numPr>
        <w:rPr>
          <w:lang w:val="en-GB"/>
        </w:rPr>
      </w:pPr>
      <w:r>
        <w:rPr>
          <w:rStyle w:val="PleaseReviewParagraphId"/>
          <w:b w:val="off"/>
          <w:i w:val="off"/>
        </w:rPr>
        <w:t>[94]</w:t>
      </w:r>
      <w:r>
        <w:rPr>
          <w:lang w:val="en-GB"/>
        </w:rPr>
        <w:t>The real-time PCR using a hydrolysis probe offers enhanced specificity over the conventional PCR and the SYBR Green</w:t>
      </w:r>
      <w:r>
        <w:rPr>
          <w:vertAlign w:val="superscript"/>
          <w:lang w:val="en-GB"/>
        </w:rPr>
        <w:t xml:space="preserve">® </w:t>
      </w:r>
      <w:r>
        <w:rPr>
          <w:lang w:val="en-GB"/>
        </w:rPr>
        <w:t>real-time PCR. Positive results obtained following real-time PCR using a hydrolysis probe are final, whereas positive results obtained following conventional PCR or SYBR Green</w:t>
      </w:r>
      <w:r>
        <w:rPr>
          <w:vertAlign w:val="superscript"/>
          <w:lang w:val="en-GB"/>
        </w:rPr>
        <w:t xml:space="preserve">® </w:t>
      </w:r>
      <w:r>
        <w:rPr>
          <w:lang w:val="en-GB"/>
        </w:rPr>
        <w:t>real-time PCR should be confirmed by sequence analysis.</w:t>
      </w:r>
    </w:p>
    <w:p>
      <w:pPr>
        <w:pStyle w:val="IPPParagraphnumbering"/>
        <w:numPr>
          <w:ilvl w:val="0"/>
          <w:numId w:val="0"/>
        </w:numPr>
        <w:rPr>
          <w:lang w:val="en-GB"/>
        </w:rPr>
      </w:pPr>
      <w:r>
        <w:rPr>
          <w:rStyle w:val="PleaseReviewParagraphId"/>
          <w:b w:val="off"/>
          <w:i w:val="off"/>
        </w:rPr>
        <w:t>[95]</w:t>
      </w:r>
      <w:r>
        <w:rPr>
          <w:lang w:val="en-GB"/>
        </w:rPr>
        <w:t xml:space="preserve">In this diagnostic protocol, methods (including reference to brand names) are described as published, as these defined the original level of sensitivity, specificity and reproducibility achieved. The use of names </w:t>
        <w:lastRenderedPageBreak/>
        <w:t>of reagents, chemicals or equipment in these diagnostic protocols implies no approval of them to the exclusion of others that may also be suitable. Laboratory procedures presented in the protocols may be adjusted to the standards of individual laboratories, provided that they are adequately validated.</w:t>
      </w:r>
    </w:p>
    <w:p>
      <w:pPr>
        <w:pStyle w:val="IPPHeading2"/>
      </w:pPr>
      <w:r>
        <w:rPr>
          <w:rStyle w:val="PleaseReviewParagraphId"/>
          <w:b w:val="off"/>
          <w:i w:val="off"/>
        </w:rPr>
        <w:t>[96]</w:t>
      </w:r>
      <w:bookmarkStart w:name="_Toc413424392" w:id="12"/>
      <w:r>
        <w:t>3.4.1 Preparation of materials</w:t>
      </w:r>
      <w:bookmarkEnd w:id="12"/>
    </w:p>
    <w:p>
      <w:pPr>
        <w:pStyle w:val="IPPHeading3"/>
        <w:rPr>
          <w:bCs/>
        </w:rPr>
      </w:pPr>
      <w:r>
        <w:rPr>
          <w:rStyle w:val="PleaseReviewParagraphId"/>
          <w:b w:val="off"/>
          <w:i w:val="off"/>
        </w:rPr>
        <w:t>[97]</w:t>
      </w:r>
      <w:r>
        <w:rPr>
          <w:bCs/>
        </w:rPr>
        <w:t>3.4.1.1 Plant tissue (except seeds)</w:t>
      </w:r>
    </w:p>
    <w:p>
      <w:pPr>
        <w:pStyle w:val="IPPParagraphnumbering"/>
        <w:numPr>
          <w:ilvl w:val="0"/>
          <w:numId w:val="0"/>
        </w:numPr>
        <w:rPr>
          <w:lang w:val="en-GB"/>
        </w:rPr>
      </w:pPr>
      <w:r>
        <w:rPr>
          <w:rStyle w:val="PleaseReviewParagraphId"/>
          <w:b w:val="off"/>
          <w:i w:val="off"/>
        </w:rPr>
        <w:t>[98]</w:t>
      </w:r>
      <w:r>
        <w:rPr>
          <w:lang w:val="en-GB"/>
        </w:rPr>
        <w:t>Potentially infected plant tissues are picked from the sample and first cut roughly using a sterile scalpel blade, without a prior surface disinfection step. Small pieces of approximately 0.5–1.0 cm</w:t>
      </w:r>
      <w:r>
        <w:rPr>
          <w:vertAlign w:val="superscript"/>
          <w:lang w:val="en-GB"/>
        </w:rPr>
        <w:t>2</w:t>
      </w:r>
      <w:r>
        <w:rPr>
          <w:lang w:val="en-GB"/>
        </w:rPr>
        <w:t xml:space="preserve"> should be first collected first then subsequently cut into smaller pieces (&lt; 2–3  mm</w:t>
      </w:r>
      <w:r>
        <w:rPr>
          <w:vertAlign w:val="superscript"/>
          <w:lang w:val="en-GB"/>
        </w:rPr>
        <w:t>2</w:t>
      </w:r>
      <w:r>
        <w:rPr>
          <w:lang w:val="en-GB"/>
        </w:rPr>
        <w:t>, each side) into a sterile plastic Petri dish. The amount of tissue required for each reaction is recommended in the manufacturer’s instructions for the DNA extraction kit being used. The sample is then transferred into a 2 ml microcentrifuge tube corresponding to approximately 200 µl and ground for 2 min with two 3 mm steel or tungsten carbide beads and the quantity of lysis buffer recommended by the manufacturer and provided by the DNA extraction kit, at a frequency of 30  Hz with a bead beater (TissueLlyser from Qiagen</w:t>
      </w:r>
      <w:r>
        <w:rPr>
          <w:rStyle w:val="FootnoteReference"/>
          <w:lang w:val="en-GB"/>
        </w:rPr>
        <w:footnoteReference w:id="1"/>
      </w:r>
      <w:r>
        <w:rPr>
          <w:lang w:val="en-GB"/>
        </w:rPr>
        <w:t>, or equivalent). The samples may also be ground in a mortar by a pestle with liquid nitrogen, or by using other efficient grinding techniques, such as a FastPrep homogenizer (MP bBiomedicals</w:t>
      </w:r>
      <w:r>
        <w:rPr>
          <w:rStyle w:val="FootnoteReference"/>
          <w:lang w:val="en-GB"/>
        </w:rPr>
        <w:t>1</w:t>
      </w:r>
      <w:r>
        <w:rPr>
          <w:lang w:val="en-GB"/>
        </w:rPr>
        <w:t>).</w:t>
      </w:r>
    </w:p>
    <w:p>
      <w:pPr>
        <w:pStyle w:val="IPPHeading3"/>
      </w:pPr>
      <w:r>
        <w:rPr>
          <w:rStyle w:val="PleaseReviewParagraphId"/>
          <w:b w:val="off"/>
          <w:i w:val="off"/>
        </w:rPr>
        <w:t>[100]</w:t>
      </w:r>
      <w:r>
        <w:t>3.4.1.2 Seeds</w:t>
      </w:r>
    </w:p>
    <w:p>
      <w:pPr>
        <w:pStyle w:val="IPPParagraphnumbering"/>
        <w:numPr>
          <w:ilvl w:val="0"/>
          <w:numId w:val="0"/>
        </w:numPr>
        <w:rPr>
          <w:lang w:val="en-GB"/>
        </w:rPr>
      </w:pPr>
      <w:r>
        <w:rPr>
          <w:rStyle w:val="PleaseReviewParagraphId"/>
          <w:b w:val="off"/>
          <w:i w:val="off"/>
        </w:rPr>
        <w:t>[101]</w:t>
      </w:r>
      <w:r>
        <w:rPr>
          <w:lang w:val="en-GB"/>
        </w:rPr>
        <w:t xml:space="preserve">A preliminary biological enrichment procedure should be followed when the presence of </w:t>
      </w:r>
      <w:r>
        <w:rPr>
          <w:i/>
          <w:iCs/>
          <w:lang w:val="en-GB"/>
        </w:rPr>
        <w:t>F. circinatum</w:t>
      </w:r>
      <w:r>
        <w:rPr>
          <w:lang w:val="en-GB"/>
        </w:rPr>
        <w:t xml:space="preserve"> is tested by conventional or real-time PCR carried out directly on a seed DNA extract. The purpose of this preliminary biological enrichment step is to increase the biomass of viable</w:t>
      </w:r>
      <w:r>
        <w:rPr>
          <w:i/>
          <w:iCs/>
          <w:lang w:val="en-GB"/>
        </w:rPr>
        <w:t xml:space="preserve"> F. circinatum</w:t>
      </w:r>
      <w:r>
        <w:rPr>
          <w:lang w:val="en-GB"/>
        </w:rPr>
        <w:t xml:space="preserve"> propagules before DNA extraction and molecular testing. At least 400 seeds per seed lot are incubated at 22 °C ± 3 °C for 72 h in a cell culture flask with Difco Potato Dextrose Broth (PDB) (Beckton, Dickinson and Company</w:t>
      </w:r>
      <w:r>
        <w:rPr>
          <w:rStyle w:val="FootnoteReference"/>
          <w:lang w:val="en-GB"/>
        </w:rPr>
        <w:t>1</w:t>
      </w:r>
      <w:r>
        <w:rPr>
          <w:lang w:val="en-GB"/>
        </w:rPr>
        <w:t xml:space="preserve">) (ISTA, 2002). Depending on the species of </w:t>
      </w:r>
      <w:r>
        <w:rPr>
          <w:i/>
          <w:iCs/>
          <w:lang w:val="en-GB"/>
        </w:rPr>
        <w:t>Pinus</w:t>
      </w:r>
      <w:r>
        <w:rPr>
          <w:lang w:val="en-GB"/>
        </w:rPr>
        <w:t>, the average size of the seed may vary greatly and the quantity of PDB per flask should be manually adjusted so that the seed layer is almost completely overlaid by the liquid medium. After incubation, the entire contents of the flask (seeds and PDB) are transferred aseptically to a decontaminated mixer bowl of appropriate volume and are ground with a mixer mill until a homogenous solution is obtained. Sterile water or sterile PDB may be added at this step if the ground sample is too dense for pipetting. Two subsamples of approximately 500 µl are collected and transferred aseptically to individual 2 ml microcentrifuge tubes for DNA extraction.</w:t>
      </w:r>
    </w:p>
    <w:p>
      <w:pPr>
        <w:pStyle w:val="IPPHeading3"/>
      </w:pPr>
      <w:r>
        <w:rPr>
          <w:rStyle w:val="PleaseReviewParagraphId"/>
          <w:b w:val="off"/>
          <w:i w:val="off"/>
        </w:rPr>
        <w:t>[102]</w:t>
      </w:r>
      <w:r>
        <w:t>3.4.1.3 Fungal culture</w:t>
      </w:r>
    </w:p>
    <w:p>
      <w:pPr>
        <w:pStyle w:val="IPPParagraphnumbering"/>
        <w:numPr>
          <w:ilvl w:val="0"/>
          <w:numId w:val="0"/>
        </w:numPr>
        <w:rPr>
          <w:rFonts w:ascii="Arial" w:hAnsi="Arial" w:cs="Arial"/>
          <w:sz w:val="18"/>
          <w:szCs w:val="18"/>
          <w:lang w:val="en-GB"/>
        </w:rPr>
      </w:pPr>
      <w:r>
        <w:rPr>
          <w:rStyle w:val="PleaseReviewParagraphId"/>
          <w:b w:val="off"/>
          <w:i w:val="off"/>
        </w:rPr>
        <w:t>[103]</w:t>
      </w:r>
      <w:r>
        <w:rPr>
          <w:lang w:val="en-GB"/>
        </w:rPr>
        <w:t>Fungal material is harvested from a pure culture grown for seven days on PDA by scraping the aerial mycelium using a sterile scalpel blade or a sterile needle. A pellet of approximately 2–3 mm diameter may be used directly for DNA extraction.</w:t>
      </w:r>
    </w:p>
    <w:p>
      <w:pPr>
        <w:pStyle w:val="IPPHeading2"/>
      </w:pPr>
      <w:r>
        <w:rPr>
          <w:rStyle w:val="PleaseReviewParagraphId"/>
          <w:b w:val="off"/>
          <w:i w:val="off"/>
        </w:rPr>
        <w:t>[104]</w:t>
      </w:r>
      <w:bookmarkStart w:name="_Toc413424393" w:id="13"/>
      <w:r>
        <w:t>3.4.2 Nucleic acid extraction</w:t>
      </w:r>
      <w:bookmarkEnd w:id="13"/>
    </w:p>
    <w:p>
      <w:pPr>
        <w:pStyle w:val="IPPParagraphnumbering"/>
        <w:numPr>
          <w:ilvl w:val="0"/>
          <w:numId w:val="0"/>
        </w:numPr>
        <w:rPr>
          <w:rFonts w:ascii="Arial" w:hAnsi="Arial" w:cs="Arial"/>
          <w:color w:val="4F81BD"/>
          <w:sz w:val="18"/>
          <w:szCs w:val="18"/>
          <w:lang w:val="en-GB"/>
        </w:rPr>
      </w:pPr>
      <w:r>
        <w:rPr>
          <w:rStyle w:val="PleaseReviewParagraphId"/>
          <w:b w:val="off"/>
          <w:i w:val="off"/>
        </w:rPr>
        <w:t>[105]</w:t>
      </w:r>
      <w:r>
        <w:rPr>
          <w:lang w:val="en-GB"/>
        </w:rPr>
        <w:t xml:space="preserve">Total DNA from plant tissue, seeds or fungal culture should be extracted preferably following the extraction protocol described by Ioos </w:t>
      </w:r>
      <w:r>
        <w:rPr>
          <w:i/>
          <w:iCs/>
          <w:lang w:val="en-GB"/>
        </w:rPr>
        <w:t>et al.</w:t>
      </w:r>
      <w:r>
        <w:rPr>
          <w:lang w:val="en-GB"/>
        </w:rPr>
        <w:t xml:space="preserve"> (2009) using a commercial plant DNA extraction kit such as the NucleoSpin Plant II kit (Macherey-Nagel</w:t>
      </w:r>
      <w:r>
        <w:rPr>
          <w:rStyle w:val="FootnoteReference"/>
          <w:lang w:val="en-GB"/>
        </w:rPr>
        <w:footnoteReference w:id="2"/>
      </w:r>
      <w:r>
        <w:rPr>
          <w:rStyle w:val="FootnoteReference"/>
          <w:vertAlign w:val="baseline"/>
          <w:lang w:val="en-GB"/>
        </w:rPr>
        <w:t>)</w:t>
      </w:r>
      <w:r>
        <w:rPr>
          <w:lang w:val="en-GB"/>
        </w:rPr>
        <w:t>, which proved to be efficient. Total DNA is extracted following the manufacturer’s instructions with slight modifications. First, the chemical lysis incubation step (with lysis buffer) is extended to 20 min. After this incubation, the sample is centrifuged for 5 min at approximately 11 000 </w:t>
      </w:r>
      <w:r>
        <w:rPr>
          <w:i/>
          <w:lang w:val="en-GB"/>
        </w:rPr>
        <w:t>g</w:t>
      </w:r>
      <w:r>
        <w:rPr>
          <w:lang w:val="en-GB"/>
        </w:rPr>
        <w:t xml:space="preserve"> to compact the debris and only the supernatant is recovered to be further processed following the manufacturer’s instructions. Total DNA is finally eluted with 100 µl of the </w:t>
        <w:lastRenderedPageBreak/>
        <w:t>elution buffer provided in the kit and stored frozen until analysis. Total DNA or a 1:10 dilution,</w:t>
      </w:r>
      <w:r>
        <w:rPr>
          <w:rStyle w:val="CharAttribute33"/>
          <w:rFonts w:eastAsia="Times"/>
          <w:sz w:val="22"/>
          <w:lang w:val="en-GB"/>
        </w:rPr>
        <w:t xml:space="preserve"> depending on the presence of inhibiting compounds</w:t>
      </w:r>
      <w:r>
        <w:rPr>
          <w:lang w:val="en-GB"/>
        </w:rPr>
        <w:t>, is used as a template for conventional or real-time PCR.</w:t>
      </w:r>
    </w:p>
    <w:p>
      <w:pPr>
        <w:pStyle w:val="IPPParagraphnumbering"/>
        <w:numPr>
          <w:ilvl w:val="0"/>
          <w:numId w:val="0"/>
        </w:numPr>
        <w:rPr>
          <w:rFonts w:ascii="Arial" w:hAnsi="Arial" w:cs="Arial"/>
          <w:color w:val="4F81BD"/>
          <w:sz w:val="18"/>
          <w:szCs w:val="18"/>
          <w:lang w:val="en-GB"/>
        </w:rPr>
      </w:pPr>
      <w:r>
        <w:rPr>
          <w:rStyle w:val="PleaseReviewParagraphId"/>
          <w:b w:val="off"/>
          <w:i w:val="off"/>
        </w:rPr>
        <w:t>[107]</w:t>
      </w:r>
      <w:r>
        <w:rPr>
          <w:lang w:val="en-GB"/>
        </w:rPr>
        <w:t xml:space="preserve">A quick DNA extraction method modified from Truett </w:t>
      </w:r>
      <w:r>
        <w:rPr>
          <w:i/>
          <w:iCs/>
          <w:lang w:val="en-GB"/>
        </w:rPr>
        <w:t>et al.</w:t>
      </w:r>
      <w:r>
        <w:rPr>
          <w:lang w:val="en-GB"/>
        </w:rPr>
        <w:t xml:space="preserve"> (2000) can be used for fungal material. In this method, a small amount of aerial mycelium is disrupted in 40 μl of 25 mM NaOH, pH 12, in a 1.5 ml tube and 20 μl of the resulting solution is incubated in a 0.2 ml microcentrifuge tube for 15 min at 100 ºC and 5 min at 5 ºC in a thermocycler, then 20 μl of 40 mM Tris-HCl, pH 5, is added. The resulting lysate can be used directly as a template for PCR.</w:t>
      </w:r>
    </w:p>
    <w:p>
      <w:pPr>
        <w:pStyle w:val="IPPHeading2"/>
      </w:pPr>
      <w:r>
        <w:rPr>
          <w:rStyle w:val="PleaseReviewParagraphId"/>
          <w:b w:val="off"/>
          <w:i w:val="off"/>
        </w:rPr>
        <w:t>[108]</w:t>
      </w:r>
      <w:bookmarkStart w:name="_Toc413424394" w:id="14"/>
      <w:r>
        <w:t xml:space="preserve">3.4.3 Detection of </w:t>
      </w:r>
      <w:r>
        <w:rPr>
          <w:i/>
        </w:rPr>
        <w:t>Fusarium circinatum</w:t>
      </w:r>
      <w:r>
        <w:t xml:space="preserve"> by conventional PCR</w:t>
      </w:r>
      <w:bookmarkEnd w:id="14"/>
    </w:p>
    <w:p>
      <w:pPr>
        <w:pStyle w:val="IPPParagraphnumbering"/>
        <w:numPr>
          <w:ilvl w:val="0"/>
          <w:numId w:val="0"/>
        </w:numPr>
        <w:rPr>
          <w:rFonts w:ascii="Arial" w:hAnsi="Arial" w:cs="Arial"/>
          <w:sz w:val="18"/>
          <w:szCs w:val="18"/>
          <w:lang w:val="en-GB"/>
        </w:rPr>
      </w:pPr>
      <w:r>
        <w:rPr>
          <w:rStyle w:val="PleaseReviewParagraphId"/>
          <w:b w:val="off"/>
          <w:i w:val="off"/>
        </w:rPr>
        <w:t>[109]</w:t>
      </w:r>
      <w:r>
        <w:t>A c</w:t>
      </w:r>
      <w:r>
        <w:rPr>
          <w:lang w:val="en-GB"/>
        </w:rPr>
        <w:t xml:space="preserve">onventional PCR test with CIRC1A/CIRC4A primers, from the ribosomal (r)DNA intergenic spacer (IGS) region, designed by Schweigkofler </w:t>
      </w:r>
      <w:r>
        <w:rPr>
          <w:i/>
          <w:iCs/>
          <w:lang w:val="en-GB"/>
        </w:rPr>
        <w:t>et al.</w:t>
      </w:r>
      <w:r>
        <w:rPr>
          <w:lang w:val="en-GB"/>
        </w:rPr>
        <w:t xml:space="preserve"> (2004) can be used for direct detection of the pathogen in plant tissue or seeds as well for identification of the fungus in pure culture. In any case, verification of the nature of the PCR amplicon should be carried out by sequencing. Infection by other </w:t>
      </w:r>
      <w:r>
        <w:rPr>
          <w:i/>
          <w:iCs/>
          <w:lang w:val="en-GB"/>
        </w:rPr>
        <w:t>Fusarium</w:t>
      </w:r>
      <w:r>
        <w:rPr>
          <w:lang w:val="en-GB"/>
        </w:rPr>
        <w:t xml:space="preserve"> spp. is frequent and cryptic speciation was reported in the </w:t>
      </w:r>
      <w:r>
        <w:rPr>
          <w:i/>
          <w:iCs/>
          <w:lang w:val="en-GB"/>
        </w:rPr>
        <w:t>fujikuroi</w:t>
      </w:r>
      <w:r>
        <w:rPr>
          <w:lang w:val="en-GB"/>
        </w:rPr>
        <w:t xml:space="preserve"> species complex (Steenkamp </w:t>
      </w:r>
      <w:r>
        <w:rPr>
          <w:i/>
          <w:iCs/>
          <w:lang w:val="en-GB"/>
        </w:rPr>
        <w:t>et al.</w:t>
      </w:r>
      <w:r>
        <w:rPr>
          <w:iCs/>
          <w:lang w:val="en-GB"/>
        </w:rPr>
        <w:t>,</w:t>
      </w:r>
      <w:r>
        <w:rPr>
          <w:lang w:val="en-GB"/>
        </w:rPr>
        <w:t xml:space="preserve"> 2002). In addition, PCR cross-reaction might occur with phylogenetically close </w:t>
      </w:r>
      <w:r>
        <w:rPr>
          <w:i/>
          <w:iCs/>
          <w:lang w:val="en-GB"/>
        </w:rPr>
        <w:t>Fusarium</w:t>
      </w:r>
      <w:r>
        <w:rPr>
          <w:lang w:val="en-GB"/>
        </w:rPr>
        <w:t xml:space="preserve"> spp., especially when a large amount of </w:t>
      </w:r>
      <w:r>
        <w:rPr>
          <w:i/>
          <w:iCs/>
          <w:lang w:val="en-GB"/>
        </w:rPr>
        <w:t>Fusarium</w:t>
      </w:r>
      <w:r>
        <w:rPr>
          <w:lang w:val="en-GB"/>
        </w:rPr>
        <w:t xml:space="preserve"> template DNA is used.</w:t>
      </w:r>
    </w:p>
    <w:p>
      <w:pPr>
        <w:pStyle w:val="IPPParagraphnumbering"/>
        <w:numPr>
          <w:ilvl w:val="0"/>
          <w:numId w:val="0"/>
        </w:numPr>
        <w:rPr>
          <w:rFonts w:ascii="Arial" w:hAnsi="Arial" w:cs="Arial"/>
          <w:sz w:val="18"/>
          <w:szCs w:val="18"/>
          <w:lang w:val="en-GB"/>
        </w:rPr>
      </w:pPr>
      <w:r>
        <w:rPr>
          <w:rStyle w:val="PleaseReviewParagraphId"/>
          <w:b w:val="off"/>
          <w:i w:val="off"/>
        </w:rPr>
        <w:t>[110]</w:t>
      </w:r>
      <w:r>
        <w:rPr>
          <w:lang w:val="en-GB"/>
        </w:rPr>
        <w:t>The primers are:</w:t>
      </w:r>
    </w:p>
    <w:p>
      <w:pPr>
        <w:pStyle w:val="IPPBullet1"/>
        <w:rPr>
          <w:lang w:val="en-GB"/>
        </w:rPr>
      </w:pPr>
      <w:r>
        <w:rPr>
          <w:rStyle w:val="PleaseReviewParagraphId"/>
          <w:b w:val="off"/>
          <w:i w:val="off"/>
        </w:rPr>
        <w:t>[111]</w:t>
      </w:r>
      <w:r>
        <w:rPr>
          <w:lang w:val="en-GB"/>
        </w:rPr>
        <w:t>CIRC1A (forward): 5′-CTT GGC TCG AGA AGG G-3′</w:t>
      </w:r>
    </w:p>
    <w:p>
      <w:pPr>
        <w:pStyle w:val="IPPBullet1Last"/>
        <w:rPr>
          <w:rFonts w:ascii="Arial" w:hAnsi="Arial" w:cs="Arial"/>
          <w:sz w:val="18"/>
          <w:szCs w:val="18"/>
        </w:rPr>
      </w:pPr>
      <w:r>
        <w:rPr>
          <w:rStyle w:val="PleaseReviewParagraphId"/>
          <w:b w:val="off"/>
          <w:i w:val="off"/>
        </w:rPr>
        <w:t>[112]</w:t>
      </w:r>
      <w:r>
        <w:t>CIRC4A (reverse): 5′-ACC TAC CCT ACA CCT CTC ACT-3′</w:t>
      </w:r>
    </w:p>
    <w:p>
      <w:r>
        <w:rPr>
          <w:rStyle w:val="PleaseReviewParagraphId"/>
          <w:b w:val="off"/>
          <w:i w:val="off"/>
        </w:rPr>
        <w:t>[113]</w:t>
      </w:r>
      <w:r>
        <w:t xml:space="preserve">Using these primers and the PCR detailed in Table 1, a region of </w:t>
      </w:r>
      <w:r>
        <w:rPr>
          <w:i/>
          <w:iCs/>
        </w:rPr>
        <w:t>F. circinatum</w:t>
      </w:r>
      <w:r>
        <w:t>-specific IGS is amplified.</w:t>
      </w:r>
    </w:p>
    <w:p>
      <w:pPr>
        <w:pStyle w:val="IPPArialTable"/>
      </w:pPr>
      <w:r>
        <w:rPr>
          <w:rStyle w:val="PleaseReviewParagraphId"/>
          <w:b w:val="off"/>
          <w:i w:val="off"/>
        </w:rPr>
        <w:t>[114]</w:t>
      </w:r>
      <w:r>
        <w:rPr>
          <w:b/>
        </w:rPr>
        <w:t>Table 1.</w:t>
      </w:r>
      <w:r>
        <w:t xml:space="preserve"> CIRC1A/CIRC4A conventional PCR master mix composition, cycling parameters and amplicons</w:t>
      </w:r>
    </w:p>
    <w:tbl>
      <w:tblPr>
        <w:tblW w:w="5570" w:type="dxa"/>
        <w:tblInd w:w="2" w:type="dxa"/>
        <w:tblLayout w:type="fixed"/>
        <w:tblLook w:val="0000" w:firstRow="0" w:lastRow="0" w:firstColumn="0" w:lastColumn="0" w:noHBand="0" w:noVBand="0"/>
      </w:tblPr>
      <w:tblGrid>
        <w:gridCol w:w="3570"/>
        <w:gridCol w:w="2000"/>
      </w:tblGrid>
      <w:tr>
        <w:tc>
          <w:tcPr>
            <w:tcW w:w="3570" w:type="dxa"/>
            <w:tcBorders>
              <w:top w:val="single" w:color="000000" w:sz="4" w:space="0"/>
              <w:bottom w:val="single" w:color="000000" w:sz="4" w:space="0"/>
            </w:tcBorders>
            <w:shd w:val="clear" w:color="auto" w:fill="BFBFBF"/>
          </w:tcPr>
          <w:p>
            <w:pPr>
              <w:pStyle w:val="IPPArialTable"/>
              <w:rPr>
                <w:b/>
              </w:rPr>
            </w:pPr>
            <w:r>
              <w:rPr>
                <w:rStyle w:val="PleaseReviewParagraphId"/>
                <w:b w:val="off"/>
                <w:i w:val="off"/>
              </w:rPr>
              <w:t>[115]</w:t>
            </w:r>
            <w:r>
              <w:rPr>
                <w:b/>
              </w:rPr>
              <w:t>Reagent</w:t>
            </w:r>
          </w:p>
        </w:tc>
        <w:tc>
          <w:tcPr>
            <w:tcW w:w="2000" w:type="dxa"/>
            <w:tcBorders>
              <w:top w:val="single" w:color="000000" w:sz="4" w:space="0"/>
              <w:bottom w:val="single" w:color="000000" w:sz="4" w:space="0"/>
            </w:tcBorders>
            <w:shd w:val="clear" w:color="auto" w:fill="BFBFBF"/>
          </w:tcPr>
          <w:p>
            <w:pPr>
              <w:pStyle w:val="IPPArialTable"/>
              <w:rPr>
                <w:b/>
              </w:rPr>
            </w:pPr>
            <w:r>
              <w:rPr>
                <w:rStyle w:val="PleaseReviewParagraphId"/>
                <w:b w:val="off"/>
                <w:i w:val="off"/>
              </w:rPr>
              <w:t>[116]</w:t>
            </w:r>
            <w:r>
              <w:rPr>
                <w:b/>
              </w:rPr>
              <w:t>Final concentration</w:t>
            </w:r>
          </w:p>
        </w:tc>
      </w:tr>
      <w:tr>
        <w:tc>
          <w:tcPr>
            <w:tcW w:w="3570" w:type="dxa"/>
            <w:tcBorders>
              <w:top w:val="single" w:color="000000" w:sz="4" w:space="0"/>
            </w:tcBorders>
          </w:tcPr>
          <w:p>
            <w:pPr>
              <w:pStyle w:val="IPPArialTable"/>
            </w:pPr>
            <w:r>
              <w:rPr>
                <w:rStyle w:val="PleaseReviewParagraphId"/>
                <w:b w:val="off"/>
                <w:i w:val="off"/>
              </w:rPr>
              <w:t>[117]</w:t>
            </w:r>
            <w:r>
              <w:t>PCR-grade</w:t>
            </w:r>
            <w:r>
              <w:rPr>
                <w:vertAlign w:val="superscript"/>
              </w:rPr>
              <w:t xml:space="preserve"> </w:t>
            </w:r>
            <w:r>
              <w:t xml:space="preserve">water </w:t>
            </w:r>
          </w:p>
        </w:tc>
        <w:tc>
          <w:tcPr>
            <w:tcW w:w="2000" w:type="dxa"/>
            <w:tcBorders>
              <w:top w:val="single" w:color="000000" w:sz="4" w:space="0"/>
            </w:tcBorders>
            <w:shd w:val="clear" w:color="auto" w:fill="FFFFFF"/>
          </w:tcPr>
          <w:p>
            <w:pPr>
              <w:pStyle w:val="IPPArialTable"/>
              <w:rPr>
                <w:shd w:val="clear" w:color="auto" w:fill="C0C0C0"/>
              </w:rPr>
            </w:pPr>
            <w:r>
              <w:rPr>
                <w:rStyle w:val="PleaseReviewParagraphId"/>
                <w:b w:val="off"/>
                <w:i w:val="off"/>
              </w:rPr>
              <w:t>[118]</w:t>
            </w:r>
            <w:r>
              <w:t>–</w:t>
            </w:r>
            <w:r>
              <w:rPr>
                <w:rFonts w:cs="Arial"/>
                <w:vertAlign w:val="superscript"/>
              </w:rPr>
              <w:t>†</w:t>
            </w:r>
          </w:p>
        </w:tc>
      </w:tr>
      <w:tr>
        <w:tc>
          <w:tcPr>
            <w:tcW w:w="3570" w:type="dxa"/>
          </w:tcPr>
          <w:p>
            <w:pPr>
              <w:pStyle w:val="IPPArialTable"/>
            </w:pPr>
            <w:r>
              <w:rPr>
                <w:rStyle w:val="PleaseReviewParagraphId"/>
                <w:b w:val="off"/>
                <w:i w:val="off"/>
              </w:rPr>
              <w:t>[119]</w:t>
            </w:r>
            <w:r>
              <w:t xml:space="preserve">PCR buffer </w:t>
            </w:r>
          </w:p>
        </w:tc>
        <w:tc>
          <w:tcPr>
            <w:tcW w:w="2000" w:type="dxa"/>
          </w:tcPr>
          <w:p>
            <w:pPr>
              <w:pStyle w:val="IPPArialTable"/>
            </w:pPr>
            <w:r>
              <w:rPr>
                <w:rStyle w:val="PleaseReviewParagraphId"/>
                <w:b w:val="off"/>
                <w:i w:val="off"/>
              </w:rPr>
              <w:t>[120]</w:t>
            </w:r>
            <w:r>
              <w:t>1</w:t>
            </w:r>
            <w:r>
              <w:rPr>
                <w:rFonts w:cs="Arial"/>
              </w:rPr>
              <w:t>×</w:t>
            </w:r>
          </w:p>
        </w:tc>
      </w:tr>
      <w:tr>
        <w:tc>
          <w:tcPr>
            <w:tcW w:w="3570" w:type="dxa"/>
          </w:tcPr>
          <w:p>
            <w:pPr>
              <w:pStyle w:val="IPPArialTable"/>
            </w:pPr>
            <w:r>
              <w:rPr>
                <w:rStyle w:val="PleaseReviewParagraphId"/>
                <w:b w:val="off"/>
                <w:i w:val="off"/>
              </w:rPr>
              <w:t>[121]</w:t>
            </w:r>
            <w:r>
              <w:t>MgCl</w:t>
            </w:r>
            <w:r>
              <w:rPr>
                <w:vertAlign w:val="subscript"/>
              </w:rPr>
              <w:t>2</w:t>
            </w:r>
          </w:p>
        </w:tc>
        <w:tc>
          <w:tcPr>
            <w:tcW w:w="2000" w:type="dxa"/>
          </w:tcPr>
          <w:p>
            <w:pPr>
              <w:pStyle w:val="IPPArialTable"/>
            </w:pPr>
            <w:r>
              <w:rPr>
                <w:rStyle w:val="PleaseReviewParagraphId"/>
                <w:b w:val="off"/>
                <w:i w:val="off"/>
              </w:rPr>
              <w:t>[122]</w:t>
            </w:r>
            <w:r>
              <w:t>2 mM</w:t>
            </w:r>
          </w:p>
        </w:tc>
      </w:tr>
      <w:tr>
        <w:tc>
          <w:tcPr>
            <w:tcW w:w="3570" w:type="dxa"/>
          </w:tcPr>
          <w:p>
            <w:pPr>
              <w:pStyle w:val="IPPArialTable"/>
            </w:pPr>
            <w:r>
              <w:rPr>
                <w:rStyle w:val="PleaseReviewParagraphId"/>
                <w:b w:val="off"/>
                <w:i w:val="off"/>
              </w:rPr>
              <w:t>[123]</w:t>
            </w:r>
            <w:r>
              <w:t xml:space="preserve">dNTPs </w:t>
            </w:r>
          </w:p>
        </w:tc>
        <w:tc>
          <w:tcPr>
            <w:tcW w:w="2000" w:type="dxa"/>
          </w:tcPr>
          <w:p>
            <w:pPr>
              <w:pStyle w:val="IPPArialTable"/>
            </w:pPr>
            <w:r>
              <w:rPr>
                <w:rStyle w:val="PleaseReviewParagraphId"/>
                <w:b w:val="off"/>
                <w:i w:val="off"/>
              </w:rPr>
              <w:t>[124]</w:t>
            </w:r>
            <w:r>
              <w:t>250 µM</w:t>
            </w:r>
          </w:p>
        </w:tc>
      </w:tr>
      <w:tr>
        <w:tc>
          <w:tcPr>
            <w:tcW w:w="3570" w:type="dxa"/>
          </w:tcPr>
          <w:p>
            <w:pPr>
              <w:pStyle w:val="IPPArialTable"/>
            </w:pPr>
            <w:r>
              <w:rPr>
                <w:rStyle w:val="PleaseReviewParagraphId"/>
                <w:b w:val="off"/>
                <w:i w:val="off"/>
              </w:rPr>
              <w:t>[125]</w:t>
            </w:r>
            <w:r>
              <w:t>Primer CIRC1A</w:t>
            </w:r>
          </w:p>
        </w:tc>
        <w:tc>
          <w:tcPr>
            <w:tcW w:w="2000" w:type="dxa"/>
          </w:tcPr>
          <w:p>
            <w:pPr>
              <w:pStyle w:val="IPPArialTable"/>
            </w:pPr>
            <w:r>
              <w:rPr>
                <w:rStyle w:val="PleaseReviewParagraphId"/>
                <w:b w:val="off"/>
                <w:i w:val="off"/>
              </w:rPr>
              <w:t>[126]</w:t>
            </w:r>
            <w:r>
              <w:t>0.5 µM</w:t>
            </w:r>
          </w:p>
        </w:tc>
      </w:tr>
      <w:tr>
        <w:tc>
          <w:tcPr>
            <w:tcW w:w="3570" w:type="dxa"/>
          </w:tcPr>
          <w:p>
            <w:pPr>
              <w:pStyle w:val="IPPArialTable"/>
            </w:pPr>
            <w:r>
              <w:rPr>
                <w:rStyle w:val="PleaseReviewParagraphId"/>
                <w:b w:val="off"/>
                <w:i w:val="off"/>
              </w:rPr>
              <w:t>[127]</w:t>
            </w:r>
            <w:r>
              <w:t>Primer CIRC4A</w:t>
            </w:r>
          </w:p>
        </w:tc>
        <w:tc>
          <w:tcPr>
            <w:tcW w:w="2000" w:type="dxa"/>
          </w:tcPr>
          <w:p>
            <w:pPr>
              <w:pStyle w:val="IPPArialTable"/>
            </w:pPr>
            <w:r>
              <w:rPr>
                <w:rStyle w:val="PleaseReviewParagraphId"/>
                <w:b w:val="off"/>
                <w:i w:val="off"/>
              </w:rPr>
              <w:t>[128]</w:t>
            </w:r>
            <w:r>
              <w:t>0.5 µM</w:t>
            </w:r>
          </w:p>
        </w:tc>
      </w:tr>
      <w:tr>
        <w:tc>
          <w:tcPr>
            <w:tcW w:w="3570" w:type="dxa"/>
          </w:tcPr>
          <w:p>
            <w:pPr>
              <w:pStyle w:val="IPPArialTable"/>
            </w:pPr>
            <w:r>
              <w:rPr>
                <w:rStyle w:val="PleaseReviewParagraphId"/>
                <w:b w:val="off"/>
                <w:i w:val="off"/>
              </w:rPr>
              <w:t>[129]</w:t>
            </w:r>
            <w:r>
              <w:t>DNA polymerase</w:t>
            </w:r>
          </w:p>
        </w:tc>
        <w:tc>
          <w:tcPr>
            <w:tcW w:w="2000" w:type="dxa"/>
          </w:tcPr>
          <w:p>
            <w:pPr>
              <w:pStyle w:val="IPPArialTable"/>
            </w:pPr>
            <w:r>
              <w:rPr>
                <w:rStyle w:val="PleaseReviewParagraphId"/>
                <w:b w:val="off"/>
                <w:i w:val="off"/>
              </w:rPr>
              <w:t>[130]</w:t>
            </w:r>
            <w:r>
              <w:t>1 U</w:t>
            </w:r>
          </w:p>
        </w:tc>
      </w:tr>
      <w:tr>
        <w:tc>
          <w:tcPr>
            <w:tcW w:w="3570" w:type="dxa"/>
            <w:tcBorders>
              <w:bottom w:val="single" w:color="000000" w:sz="4" w:space="0"/>
            </w:tcBorders>
          </w:tcPr>
          <w:p>
            <w:pPr>
              <w:pStyle w:val="IPPArialTable"/>
            </w:pPr>
            <w:r>
              <w:rPr>
                <w:rStyle w:val="PleaseReviewParagraphId"/>
                <w:b w:val="off"/>
                <w:i w:val="off"/>
              </w:rPr>
              <w:t>[131]</w:t>
            </w:r>
            <w:r>
              <w:t>DNA (volume)</w:t>
            </w:r>
          </w:p>
        </w:tc>
        <w:tc>
          <w:tcPr>
            <w:tcW w:w="2000" w:type="dxa"/>
            <w:tcBorders>
              <w:bottom w:val="single" w:color="000000" w:sz="4" w:space="0"/>
            </w:tcBorders>
          </w:tcPr>
          <w:p>
            <w:pPr>
              <w:pStyle w:val="IPPArialTable"/>
            </w:pPr>
            <w:r>
              <w:rPr>
                <w:rStyle w:val="PleaseReviewParagraphId"/>
                <w:b w:val="off"/>
                <w:i w:val="off"/>
              </w:rPr>
              <w:t>[132]</w:t>
            </w:r>
            <w:r>
              <w:t>6.25 µl</w:t>
            </w:r>
          </w:p>
        </w:tc>
      </w:tr>
      <w:tr>
        <w:tc>
          <w:tcPr>
            <w:tcW w:w="5570" w:type="dxa"/>
            <w:gridSpan w:val="2"/>
            <w:tcBorders>
              <w:top w:val="single" w:color="000000" w:sz="4" w:space="0"/>
              <w:bottom w:val="single" w:color="000000" w:sz="4" w:space="0"/>
            </w:tcBorders>
            <w:shd w:val="clear" w:color="auto" w:fill="A6A6A6"/>
          </w:tcPr>
          <w:p>
            <w:pPr>
              <w:pStyle w:val="IPPArialTable"/>
              <w:rPr>
                <w:b/>
              </w:rPr>
            </w:pPr>
            <w:r>
              <w:rPr>
                <w:rStyle w:val="PleaseReviewParagraphId"/>
                <w:b w:val="off"/>
                <w:i w:val="off"/>
              </w:rPr>
              <w:t>[133]</w:t>
            </w:r>
            <w:r>
              <w:rPr>
                <w:b/>
              </w:rPr>
              <w:t>Cycling parameters</w:t>
            </w:r>
          </w:p>
        </w:tc>
      </w:tr>
      <w:tr>
        <w:tc>
          <w:tcPr>
            <w:tcW w:w="3570" w:type="dxa"/>
            <w:tcBorders>
              <w:top w:val="single" w:color="000000" w:sz="4" w:space="0"/>
            </w:tcBorders>
          </w:tcPr>
          <w:p>
            <w:pPr>
              <w:pStyle w:val="IPPArialTable"/>
            </w:pPr>
            <w:r>
              <w:rPr>
                <w:rStyle w:val="PleaseReviewParagraphId"/>
                <w:b w:val="off"/>
                <w:i w:val="off"/>
              </w:rPr>
              <w:t>[134]</w:t>
            </w:r>
            <w:r>
              <w:t>Initial denaturation</w:t>
            </w:r>
            <w:r>
              <w:rPr>
                <w:rFonts w:cs="Arial"/>
                <w:vertAlign w:val="superscript"/>
              </w:rPr>
              <w:t>‡</w:t>
            </w:r>
          </w:p>
        </w:tc>
        <w:tc>
          <w:tcPr>
            <w:tcW w:w="2000" w:type="dxa"/>
            <w:tcBorders>
              <w:top w:val="single" w:color="000000" w:sz="4" w:space="0"/>
            </w:tcBorders>
          </w:tcPr>
          <w:p>
            <w:pPr>
              <w:pStyle w:val="IPPArialTable"/>
            </w:pPr>
            <w:r>
              <w:rPr>
                <w:rStyle w:val="PleaseReviewParagraphId"/>
                <w:b w:val="off"/>
                <w:i w:val="off"/>
              </w:rPr>
              <w:t>[135]</w:t>
            </w:r>
            <w:r>
              <w:t>X °C for X min</w:t>
            </w:r>
          </w:p>
        </w:tc>
      </w:tr>
      <w:tr>
        <w:tc>
          <w:tcPr>
            <w:tcW w:w="3570" w:type="dxa"/>
          </w:tcPr>
          <w:p>
            <w:pPr>
              <w:pStyle w:val="IPPArialTable"/>
            </w:pPr>
            <w:r>
              <w:rPr>
                <w:rStyle w:val="PleaseReviewParagraphId"/>
                <w:b w:val="off"/>
                <w:i w:val="off"/>
              </w:rPr>
              <w:t>[136]</w:t>
            </w:r>
            <w:r>
              <w:t>Number of cycles</w:t>
            </w:r>
          </w:p>
        </w:tc>
        <w:tc>
          <w:tcPr>
            <w:tcW w:w="2000" w:type="dxa"/>
          </w:tcPr>
          <w:p>
            <w:pPr>
              <w:pStyle w:val="IPPArialTable"/>
            </w:pPr>
            <w:r>
              <w:rPr>
                <w:rStyle w:val="PleaseReviewParagraphId"/>
                <w:b w:val="off"/>
                <w:i w:val="off"/>
              </w:rPr>
              <w:t>[137]</w:t>
            </w:r>
            <w:r>
              <w:t>45</w:t>
            </w:r>
          </w:p>
        </w:tc>
      </w:tr>
      <w:tr>
        <w:tc>
          <w:tcPr>
            <w:tcW w:w="3570" w:type="dxa"/>
          </w:tcPr>
          <w:p>
            <w:pPr>
              <w:pStyle w:val="IPPArialTable"/>
            </w:pPr>
            <w:r>
              <w:rPr>
                <w:rStyle w:val="PleaseReviewParagraphId"/>
                <w:b w:val="off"/>
                <w:i w:val="off"/>
              </w:rPr>
              <w:t>[138]</w:t>
            </w:r>
            <w:r>
              <w:t>Denaturation</w:t>
            </w:r>
          </w:p>
        </w:tc>
        <w:tc>
          <w:tcPr>
            <w:tcW w:w="2000" w:type="dxa"/>
          </w:tcPr>
          <w:p>
            <w:pPr>
              <w:pStyle w:val="IPPArialTable"/>
            </w:pPr>
            <w:r>
              <w:rPr>
                <w:rStyle w:val="PleaseReviewParagraphId"/>
                <w:b w:val="off"/>
                <w:i w:val="off"/>
              </w:rPr>
              <w:t>[139]</w:t>
            </w:r>
            <w:r>
              <w:t>94 °C for 35 s</w:t>
            </w:r>
          </w:p>
        </w:tc>
      </w:tr>
      <w:tr>
        <w:tc>
          <w:tcPr>
            <w:tcW w:w="3570" w:type="dxa"/>
          </w:tcPr>
          <w:p>
            <w:pPr>
              <w:pStyle w:val="IPPArialTable"/>
            </w:pPr>
            <w:r>
              <w:rPr>
                <w:rStyle w:val="PleaseReviewParagraphId"/>
                <w:b w:val="off"/>
                <w:i w:val="off"/>
              </w:rPr>
              <w:t>[140]</w:t>
            </w:r>
            <w:r>
              <w:t>Annealing</w:t>
            </w:r>
          </w:p>
        </w:tc>
        <w:tc>
          <w:tcPr>
            <w:tcW w:w="2000" w:type="dxa"/>
          </w:tcPr>
          <w:p>
            <w:pPr>
              <w:pStyle w:val="IPPArialTable"/>
            </w:pPr>
            <w:r>
              <w:rPr>
                <w:rStyle w:val="PleaseReviewParagraphId"/>
                <w:b w:val="off"/>
                <w:i w:val="off"/>
              </w:rPr>
              <w:t>[141]</w:t>
            </w:r>
            <w:r>
              <w:t>66 °C for 55 s</w:t>
            </w:r>
          </w:p>
        </w:tc>
      </w:tr>
      <w:tr>
        <w:tc>
          <w:tcPr>
            <w:tcW w:w="3570" w:type="dxa"/>
          </w:tcPr>
          <w:p>
            <w:pPr>
              <w:pStyle w:val="IPPArialTable"/>
            </w:pPr>
            <w:r>
              <w:rPr>
                <w:rStyle w:val="PleaseReviewParagraphId"/>
                <w:b w:val="off"/>
                <w:i w:val="off"/>
              </w:rPr>
              <w:t>[142]</w:t>
            </w:r>
            <w:r>
              <w:t>Elongation</w:t>
            </w:r>
          </w:p>
        </w:tc>
        <w:tc>
          <w:tcPr>
            <w:tcW w:w="2000" w:type="dxa"/>
          </w:tcPr>
          <w:p>
            <w:pPr>
              <w:pStyle w:val="IPPArialTable"/>
            </w:pPr>
            <w:r>
              <w:rPr>
                <w:rStyle w:val="PleaseReviewParagraphId"/>
                <w:b w:val="off"/>
                <w:i w:val="off"/>
              </w:rPr>
              <w:t>[143]</w:t>
            </w:r>
            <w:r>
              <w:t>72 °C for 50 s</w:t>
            </w:r>
          </w:p>
        </w:tc>
      </w:tr>
      <w:tr>
        <w:tc>
          <w:tcPr>
            <w:tcW w:w="3570" w:type="dxa"/>
          </w:tcPr>
          <w:p>
            <w:pPr>
              <w:pStyle w:val="IPPArialTable"/>
            </w:pPr>
            <w:r>
              <w:rPr>
                <w:rStyle w:val="PleaseReviewParagraphId"/>
                <w:b w:val="off"/>
                <w:i w:val="off"/>
              </w:rPr>
              <w:t>[144]</w:t>
            </w:r>
            <w:r>
              <w:t>Final elongation</w:t>
            </w:r>
          </w:p>
        </w:tc>
        <w:tc>
          <w:tcPr>
            <w:tcW w:w="2000" w:type="dxa"/>
          </w:tcPr>
          <w:p>
            <w:pPr>
              <w:pStyle w:val="IPPArialTable"/>
            </w:pPr>
            <w:r>
              <w:rPr>
                <w:rStyle w:val="PleaseReviewParagraphId"/>
                <w:b w:val="off"/>
                <w:i w:val="off"/>
              </w:rPr>
              <w:t>[145]</w:t>
            </w:r>
            <w:r>
              <w:t>72 °C for 12 min</w:t>
            </w:r>
          </w:p>
        </w:tc>
      </w:tr>
      <w:tr>
        <w:tc>
          <w:tcPr>
            <w:tcW w:w="5570" w:type="dxa"/>
            <w:gridSpan w:val="2"/>
            <w:tcBorders>
              <w:top w:val="single" w:color="000000" w:sz="4" w:space="0"/>
              <w:bottom w:val="single" w:color="000000" w:sz="4" w:space="0"/>
            </w:tcBorders>
            <w:shd w:val="clear" w:color="auto" w:fill="A6A6A6"/>
          </w:tcPr>
          <w:p>
            <w:pPr>
              <w:pStyle w:val="IPPArialTable"/>
              <w:rPr>
                <w:b/>
              </w:rPr>
            </w:pPr>
            <w:r>
              <w:rPr>
                <w:rStyle w:val="PleaseReviewParagraphId"/>
                <w:b w:val="off"/>
                <w:i w:val="off"/>
              </w:rPr>
              <w:t>[146]</w:t>
            </w:r>
            <w:r>
              <w:rPr>
                <w:b/>
              </w:rPr>
              <w:t>Expected amplicons</w:t>
            </w:r>
          </w:p>
        </w:tc>
      </w:tr>
      <w:tr>
        <w:tc>
          <w:tcPr>
            <w:tcW w:w="3570" w:type="dxa"/>
            <w:tcBorders>
              <w:top w:val="single" w:color="000000" w:sz="4" w:space="0"/>
              <w:bottom w:val="single" w:color="000000" w:sz="4" w:space="0"/>
            </w:tcBorders>
          </w:tcPr>
          <w:p>
            <w:pPr>
              <w:pStyle w:val="IPPArialTable"/>
            </w:pPr>
            <w:r>
              <w:rPr>
                <w:rStyle w:val="PleaseReviewParagraphId"/>
                <w:b w:val="off"/>
                <w:i w:val="off"/>
              </w:rPr>
              <w:t>[147]</w:t>
            </w:r>
            <w:r>
              <w:t>Size</w:t>
            </w:r>
          </w:p>
        </w:tc>
        <w:tc>
          <w:tcPr>
            <w:tcW w:w="2000" w:type="dxa"/>
            <w:tcBorders>
              <w:top w:val="single" w:color="000000" w:sz="4" w:space="0"/>
              <w:bottom w:val="single" w:color="000000" w:sz="4" w:space="0"/>
            </w:tcBorders>
          </w:tcPr>
          <w:p>
            <w:pPr>
              <w:pStyle w:val="IPPArialTable"/>
            </w:pPr>
            <w:r>
              <w:rPr>
                <w:rStyle w:val="PleaseReviewParagraphId"/>
                <w:b w:val="off"/>
                <w:i w:val="off"/>
              </w:rPr>
              <w:t>[148]</w:t>
            </w:r>
            <w:r>
              <w:t>360 bp</w:t>
            </w:r>
          </w:p>
        </w:tc>
      </w:tr>
    </w:tbl>
    <w:p>
      <w:pPr>
        <w:pStyle w:val="IPPArialTable"/>
      </w:pPr>
      <w:r>
        <w:rPr>
          <w:rStyle w:val="PleaseReviewParagraphId"/>
          <w:b w:val="off"/>
          <w:i w:val="off"/>
        </w:rPr>
        <w:t>[149]</w:t>
      </w:r>
      <w:r>
        <w:rPr>
          <w:vertAlign w:val="superscript"/>
        </w:rPr>
        <w:t>†</w:t>
      </w:r>
      <w:r>
        <w:t xml:space="preserve"> For a final reaction volume of 25 μl.</w:t>
      </w:r>
    </w:p>
    <w:p>
      <w:pPr>
        <w:pStyle w:val="IPPArialTable"/>
      </w:pPr>
      <w:r>
        <w:rPr>
          <w:rStyle w:val="PleaseReviewParagraphId"/>
          <w:b w:val="off"/>
          <w:i w:val="off"/>
        </w:rPr>
        <w:t>[150]</w:t>
      </w:r>
      <w:r>
        <w:rPr>
          <w:rFonts w:cs="Arial"/>
          <w:vertAlign w:val="superscript"/>
        </w:rPr>
        <w:t>‡</w:t>
      </w:r>
      <w:r>
        <w:t xml:space="preserve"> According to the DNA polymerase manufacturer’s instruction.</w:t>
      </w:r>
    </w:p>
    <w:p>
      <w:pPr>
        <w:pStyle w:val="IPPArialTable"/>
      </w:pPr>
      <w:r>
        <w:rPr>
          <w:rStyle w:val="PleaseReviewParagraphId"/>
          <w:b w:val="off"/>
          <w:i w:val="off"/>
        </w:rPr>
        <w:t>[151]</w:t>
      </w:r>
      <w:r>
        <w:t>bp, base pairs; PCR, polymerase chain reaction.</w:t>
      </w:r>
    </w:p>
    <w:p>
      <w:pPr>
        <w:pStyle w:val="IPPParagraphnumbering"/>
        <w:numPr>
          <w:ilvl w:val="0"/>
          <w:numId w:val="0"/>
        </w:numPr>
        <w:spacing w:before="200"/>
        <w:rPr>
          <w:rFonts w:ascii="Arial" w:hAnsi="Arial" w:cs="Arial"/>
          <w:sz w:val="18"/>
          <w:szCs w:val="18"/>
          <w:lang w:val="en-GB"/>
        </w:rPr>
      </w:pPr>
      <w:r>
        <w:rPr>
          <w:rStyle w:val="PleaseReviewParagraphId"/>
          <w:b w:val="off"/>
          <w:i w:val="off"/>
        </w:rPr>
        <w:t>[152]</w:t>
      </w:r>
      <w:r>
        <w:rPr>
          <w:lang w:val="en-GB"/>
        </w:rPr>
        <w:lastRenderedPageBreak/>
        <w:t>The PCR products are separated by electrophoresis in a 1% agarose gel and visualized under UV light after staining.</w:t>
      </w:r>
    </w:p>
    <w:p>
      <w:pPr>
        <w:pStyle w:val="IPPHeading3"/>
        <w:rPr>
          <w:rFonts w:ascii="Arial" w:hAnsi="Arial" w:cs="Arial"/>
          <w:sz w:val="18"/>
          <w:szCs w:val="18"/>
        </w:rPr>
      </w:pPr>
      <w:r>
        <w:rPr>
          <w:rStyle w:val="PleaseReviewParagraphId"/>
          <w:b w:val="off"/>
          <w:i w:val="off"/>
        </w:rPr>
        <w:t>[153]</w:t>
      </w:r>
      <w:r>
        <w:t xml:space="preserve">3.4.3.1 Interpretation of results from conventional PCR </w:t>
      </w:r>
    </w:p>
    <w:p>
      <w:pPr>
        <w:pStyle w:val="IPPParagraphnumbering"/>
        <w:numPr>
          <w:ilvl w:val="0"/>
          <w:numId w:val="0"/>
        </w:numPr>
        <w:rPr>
          <w:lang w:val="en-GB"/>
        </w:rPr>
      </w:pPr>
      <w:r>
        <w:rPr>
          <w:rStyle w:val="PleaseReviewParagraphId"/>
          <w:b w:val="off"/>
          <w:i w:val="off"/>
        </w:rPr>
        <w:t>[154]</w:t>
      </w:r>
      <w:r>
        <w:rPr>
          <w:lang w:val="en-GB"/>
        </w:rPr>
        <w:t xml:space="preserve">A sample will be considered positive if it produces a 360 base pair (bp) PCR product whose sequence shows 100% identity with a </w:t>
      </w:r>
      <w:r>
        <w:rPr>
          <w:i/>
          <w:iCs/>
          <w:lang w:val="en-GB"/>
        </w:rPr>
        <w:t>F. circinatum</w:t>
      </w:r>
      <w:r>
        <w:rPr>
          <w:lang w:val="en-GB"/>
        </w:rPr>
        <w:t xml:space="preserve"> reference sequence (section 4.2), provided that the negative amplification control and negative extraction control are negative.</w:t>
      </w:r>
    </w:p>
    <w:p>
      <w:pPr>
        <w:pStyle w:val="IPPParagraphnumbering"/>
        <w:numPr>
          <w:ilvl w:val="0"/>
          <w:numId w:val="0"/>
        </w:numPr>
        <w:rPr>
          <w:lang w:val="en-GB"/>
        </w:rPr>
      </w:pPr>
      <w:r>
        <w:rPr>
          <w:rStyle w:val="PleaseReviewParagraphId"/>
          <w:b w:val="off"/>
          <w:i w:val="off"/>
        </w:rPr>
        <w:t>[155]</w:t>
      </w:r>
      <w:r>
        <w:rPr>
          <w:lang w:val="en-GB"/>
        </w:rPr>
        <w:t xml:space="preserve">A sample will be considered negative if it does not produce a 360 bp PCR product, provided that the positive nucleic acid control and internal control are positive, or if it produces a 360 bp PCR product whose sequence does not show 100% identity with a </w:t>
      </w:r>
      <w:r>
        <w:rPr>
          <w:i/>
          <w:iCs/>
          <w:lang w:val="en-GB"/>
        </w:rPr>
        <w:t>F. circinatum</w:t>
      </w:r>
      <w:r>
        <w:rPr>
          <w:lang w:val="en-GB"/>
        </w:rPr>
        <w:t xml:space="preserve"> reference sequence.</w:t>
      </w:r>
    </w:p>
    <w:p>
      <w:pPr>
        <w:pStyle w:val="IPPHeading2"/>
      </w:pPr>
      <w:r>
        <w:rPr>
          <w:rStyle w:val="PleaseReviewParagraphId"/>
          <w:b w:val="off"/>
          <w:i w:val="off"/>
        </w:rPr>
        <w:t>[156]</w:t>
      </w:r>
      <w:bookmarkStart w:name="_Toc413424395" w:id="15"/>
      <w:r>
        <w:t xml:space="preserve">3.4.4 Detection of </w:t>
      </w:r>
      <w:r>
        <w:rPr>
          <w:i/>
        </w:rPr>
        <w:t>Fusarium circinatum</w:t>
      </w:r>
      <w:r>
        <w:t xml:space="preserve"> by SYBR Green</w:t>
      </w:r>
      <w:r>
        <w:rPr>
          <w:vertAlign w:val="superscript"/>
        </w:rPr>
        <w:t xml:space="preserve">® </w:t>
      </w:r>
      <w:r>
        <w:t xml:space="preserve"> real-time PCR</w:t>
      </w:r>
      <w:bookmarkEnd w:id="15"/>
    </w:p>
    <w:p>
      <w:pPr>
        <w:pStyle w:val="IPPParagraphnumbering"/>
        <w:numPr>
          <w:ilvl w:val="0"/>
          <w:numId w:val="0"/>
        </w:numPr>
        <w:rPr>
          <w:lang w:val="en-GB"/>
        </w:rPr>
      </w:pPr>
      <w:r>
        <w:rPr>
          <w:rStyle w:val="PleaseReviewParagraphId"/>
          <w:b w:val="off"/>
          <w:i w:val="off"/>
        </w:rPr>
        <w:t>[157]</w:t>
      </w:r>
      <w:r>
        <w:t xml:space="preserve">A </w:t>
      </w:r>
      <w:r>
        <w:rPr>
          <w:lang w:val="en-GB"/>
        </w:rPr>
        <w:t>SYBR Green</w:t>
      </w:r>
      <w:r>
        <w:rPr>
          <w:vertAlign w:val="superscript"/>
          <w:lang w:val="en-GB"/>
        </w:rPr>
        <w:t xml:space="preserve">® </w:t>
      </w:r>
      <w:r>
        <w:rPr>
          <w:lang w:val="en-GB"/>
        </w:rPr>
        <w:t xml:space="preserve">real-time PCR test with CIRC1A/CIRC4A primers designed by Schweigkofler </w:t>
      </w:r>
      <w:r>
        <w:rPr>
          <w:i/>
          <w:iCs/>
          <w:lang w:val="en-GB"/>
        </w:rPr>
        <w:t>et al.</w:t>
      </w:r>
      <w:r>
        <w:rPr>
          <w:lang w:val="en-GB"/>
        </w:rPr>
        <w:t xml:space="preserve"> (2004) (see section 3.4.3 for their sequence) can be used for direct detection of the pathogen in plant tissue or seeds as well as for identification of the fungus in pure culture. In any case, verification of the nature of the PCR amplicon should be carried out by sequencing for the same reasons as those presented in section 3.4.3.</w:t>
      </w:r>
    </w:p>
    <w:p>
      <w:pPr>
        <w:pStyle w:val="IPPParagraphnumbering"/>
        <w:numPr>
          <w:ilvl w:val="0"/>
          <w:numId w:val="0"/>
        </w:numPr>
        <w:rPr>
          <w:rFonts w:ascii="Arial" w:hAnsi="Arial" w:cs="Arial"/>
          <w:sz w:val="18"/>
          <w:szCs w:val="18"/>
          <w:lang w:val="en-GB"/>
        </w:rPr>
      </w:pPr>
      <w:r>
        <w:rPr>
          <w:rStyle w:val="PleaseReviewParagraphId"/>
          <w:b w:val="off"/>
          <w:i w:val="off"/>
        </w:rPr>
        <w:t>[158]</w:t>
      </w:r>
      <w:r>
        <w:t xml:space="preserve">Using these primers and the PCR detailed in Table 2, a region of </w:t>
      </w:r>
      <w:r>
        <w:rPr>
          <w:i/>
          <w:iCs/>
          <w:lang w:val="en-GB"/>
        </w:rPr>
        <w:t>F. circinatum</w:t>
      </w:r>
      <w:r>
        <w:rPr>
          <w:lang w:val="en-GB"/>
        </w:rPr>
        <w:t>-specific IGS is amplified.</w:t>
      </w:r>
    </w:p>
    <w:p>
      <w:pPr>
        <w:pStyle w:val="IPPArialTable"/>
      </w:pPr>
      <w:r>
        <w:rPr>
          <w:rStyle w:val="PleaseReviewParagraphId"/>
          <w:b w:val="off"/>
          <w:i w:val="off"/>
        </w:rPr>
        <w:t>[159]</w:t>
      </w:r>
      <w:r>
        <w:rPr>
          <w:b/>
          <w:bCs/>
        </w:rPr>
        <w:t xml:space="preserve">Table 2. </w:t>
      </w:r>
      <w:r>
        <w:t>CIRC1A/CIRC4A SYBR Green</w:t>
      </w:r>
      <w:r>
        <w:rPr>
          <w:vertAlign w:val="superscript"/>
        </w:rPr>
        <w:t xml:space="preserve">® </w:t>
      </w:r>
      <w:r>
        <w:t>real-time PCR master mix composition, cycling parameters and amlpicons</w:t>
      </w:r>
    </w:p>
    <w:tbl>
      <w:tblPr>
        <w:tblW w:w="5570" w:type="dxa"/>
        <w:tblInd w:w="2" w:type="dxa"/>
        <w:tblLayout w:type="fixed"/>
        <w:tblLook w:val="0000" w:firstRow="0" w:lastRow="0" w:firstColumn="0" w:lastColumn="0" w:noHBand="0" w:noVBand="0"/>
      </w:tblPr>
      <w:tblGrid>
        <w:gridCol w:w="3570"/>
        <w:gridCol w:w="2000"/>
      </w:tblGrid>
      <w:tr>
        <w:tc>
          <w:tcPr>
            <w:tcW w:w="3570" w:type="dxa"/>
            <w:tcBorders>
              <w:top w:val="single" w:color="000000" w:sz="4" w:space="0"/>
              <w:bottom w:val="single" w:color="000000" w:sz="4" w:space="0"/>
            </w:tcBorders>
            <w:shd w:val="clear" w:color="auto" w:fill="BFBFBF"/>
          </w:tcPr>
          <w:p>
            <w:pPr>
              <w:pStyle w:val="IPPArialTable"/>
              <w:rPr>
                <w:b/>
              </w:rPr>
            </w:pPr>
            <w:r>
              <w:rPr>
                <w:rStyle w:val="PleaseReviewParagraphId"/>
                <w:b w:val="off"/>
                <w:i w:val="off"/>
              </w:rPr>
              <w:t>[160]</w:t>
            </w:r>
            <w:r>
              <w:rPr>
                <w:b/>
              </w:rPr>
              <w:t>Reagent</w:t>
            </w:r>
          </w:p>
        </w:tc>
        <w:tc>
          <w:tcPr>
            <w:tcW w:w="2000" w:type="dxa"/>
            <w:tcBorders>
              <w:top w:val="single" w:color="000000" w:sz="4" w:space="0"/>
              <w:bottom w:val="single" w:color="000000" w:sz="4" w:space="0"/>
            </w:tcBorders>
            <w:shd w:val="clear" w:color="auto" w:fill="BFBFBF"/>
          </w:tcPr>
          <w:p>
            <w:pPr>
              <w:pStyle w:val="IPPArialTable"/>
              <w:rPr>
                <w:b/>
              </w:rPr>
            </w:pPr>
            <w:r>
              <w:rPr>
                <w:rStyle w:val="PleaseReviewParagraphId"/>
                <w:b w:val="off"/>
                <w:i w:val="off"/>
              </w:rPr>
              <w:t>[161]</w:t>
            </w:r>
            <w:r>
              <w:rPr>
                <w:b/>
              </w:rPr>
              <w:t>Final concentration</w:t>
            </w:r>
          </w:p>
        </w:tc>
      </w:tr>
      <w:tr>
        <w:tc>
          <w:tcPr>
            <w:tcW w:w="3570" w:type="dxa"/>
            <w:tcBorders>
              <w:top w:val="single" w:color="000000" w:sz="4" w:space="0"/>
            </w:tcBorders>
          </w:tcPr>
          <w:p>
            <w:pPr>
              <w:pStyle w:val="IPPArialTable"/>
            </w:pPr>
            <w:r>
              <w:rPr>
                <w:rStyle w:val="PleaseReviewParagraphId"/>
                <w:b w:val="off"/>
                <w:i w:val="off"/>
              </w:rPr>
              <w:t>[162]</w:t>
            </w:r>
            <w:r>
              <w:t>PCR-grade</w:t>
            </w:r>
            <w:r>
              <w:rPr>
                <w:vertAlign w:val="superscript"/>
              </w:rPr>
              <w:t xml:space="preserve"> </w:t>
            </w:r>
            <w:r>
              <w:t xml:space="preserve">water </w:t>
            </w:r>
          </w:p>
        </w:tc>
        <w:tc>
          <w:tcPr>
            <w:tcW w:w="2000" w:type="dxa"/>
            <w:tcBorders>
              <w:top w:val="single" w:color="000000" w:sz="4" w:space="0"/>
            </w:tcBorders>
            <w:shd w:val="clear" w:color="auto" w:fill="FFFFFF"/>
          </w:tcPr>
          <w:p>
            <w:pPr>
              <w:pStyle w:val="IPPArialTable"/>
              <w:rPr>
                <w:shd w:val="clear" w:color="auto" w:fill="C0C0C0"/>
              </w:rPr>
            </w:pPr>
            <w:r>
              <w:rPr>
                <w:rStyle w:val="PleaseReviewParagraphId"/>
                <w:b w:val="off"/>
                <w:i w:val="off"/>
              </w:rPr>
              <w:t>[163]</w:t>
            </w:r>
            <w:r>
              <w:t>–</w:t>
            </w:r>
            <w:r>
              <w:rPr>
                <w:rFonts w:cs="Arial"/>
                <w:vertAlign w:val="superscript"/>
              </w:rPr>
              <w:t>†</w:t>
            </w:r>
          </w:p>
        </w:tc>
      </w:tr>
      <w:tr>
        <w:tc>
          <w:tcPr>
            <w:tcW w:w="3570" w:type="dxa"/>
          </w:tcPr>
          <w:p>
            <w:pPr>
              <w:pStyle w:val="IPPArialTable"/>
            </w:pPr>
            <w:r>
              <w:rPr>
                <w:rStyle w:val="PleaseReviewParagraphId"/>
                <w:b w:val="off"/>
                <w:i w:val="off"/>
              </w:rPr>
              <w:t>[164]</w:t>
            </w:r>
            <w:r>
              <w:t xml:space="preserve">PCR buffer </w:t>
            </w:r>
          </w:p>
        </w:tc>
        <w:tc>
          <w:tcPr>
            <w:tcW w:w="2000" w:type="dxa"/>
          </w:tcPr>
          <w:p>
            <w:pPr>
              <w:pStyle w:val="IPPArialTable"/>
            </w:pPr>
            <w:r>
              <w:rPr>
                <w:rStyle w:val="PleaseReviewParagraphId"/>
                <w:b w:val="off"/>
                <w:i w:val="off"/>
              </w:rPr>
              <w:t>[165]</w:t>
            </w:r>
            <w:r>
              <w:t>1</w:t>
            </w:r>
            <w:r>
              <w:rPr>
                <w:rFonts w:cs="Arial"/>
              </w:rPr>
              <w:t>×</w:t>
            </w:r>
          </w:p>
        </w:tc>
      </w:tr>
      <w:tr>
        <w:tc>
          <w:tcPr>
            <w:tcW w:w="3570" w:type="dxa"/>
          </w:tcPr>
          <w:p>
            <w:pPr>
              <w:pStyle w:val="IPPArialTable"/>
            </w:pPr>
            <w:r>
              <w:rPr>
                <w:rStyle w:val="PleaseReviewParagraphId"/>
                <w:b w:val="off"/>
                <w:i w:val="off"/>
              </w:rPr>
              <w:t>[166]</w:t>
            </w:r>
            <w:r>
              <w:t>MgCl</w:t>
            </w:r>
            <w:r>
              <w:rPr>
                <w:vertAlign w:val="subscript"/>
              </w:rPr>
              <w:t>2</w:t>
            </w:r>
          </w:p>
        </w:tc>
        <w:tc>
          <w:tcPr>
            <w:tcW w:w="2000" w:type="dxa"/>
          </w:tcPr>
          <w:p>
            <w:pPr>
              <w:pStyle w:val="IPPArialTable"/>
            </w:pPr>
            <w:r>
              <w:rPr>
                <w:rStyle w:val="PleaseReviewParagraphId"/>
                <w:b w:val="off"/>
                <w:i w:val="off"/>
              </w:rPr>
              <w:t>[167]</w:t>
            </w:r>
            <w:r>
              <w:t>2 mM</w:t>
            </w:r>
          </w:p>
        </w:tc>
      </w:tr>
      <w:tr>
        <w:tc>
          <w:tcPr>
            <w:tcW w:w="3570" w:type="dxa"/>
          </w:tcPr>
          <w:p>
            <w:pPr>
              <w:pStyle w:val="IPPArialTable"/>
            </w:pPr>
            <w:r>
              <w:rPr>
                <w:rStyle w:val="PleaseReviewParagraphId"/>
                <w:b w:val="off"/>
                <w:i w:val="off"/>
              </w:rPr>
              <w:t>[168]</w:t>
            </w:r>
            <w:r>
              <w:t xml:space="preserve">dNTPs </w:t>
            </w:r>
          </w:p>
        </w:tc>
        <w:tc>
          <w:tcPr>
            <w:tcW w:w="2000" w:type="dxa"/>
          </w:tcPr>
          <w:p>
            <w:pPr>
              <w:pStyle w:val="IPPArialTable"/>
            </w:pPr>
            <w:r>
              <w:rPr>
                <w:rStyle w:val="PleaseReviewParagraphId"/>
                <w:b w:val="off"/>
                <w:i w:val="off"/>
              </w:rPr>
              <w:t>[169]</w:t>
            </w:r>
            <w:r>
              <w:t>250 µM</w:t>
            </w:r>
          </w:p>
        </w:tc>
      </w:tr>
      <w:tr>
        <w:tc>
          <w:tcPr>
            <w:tcW w:w="3570" w:type="dxa"/>
          </w:tcPr>
          <w:p>
            <w:pPr>
              <w:pStyle w:val="IPPArialTable"/>
            </w:pPr>
            <w:r>
              <w:rPr>
                <w:rStyle w:val="PleaseReviewParagraphId"/>
                <w:b w:val="off"/>
                <w:i w:val="off"/>
              </w:rPr>
              <w:t>[170]</w:t>
            </w:r>
            <w:r>
              <w:t>Primer CIRC1A</w:t>
            </w:r>
          </w:p>
        </w:tc>
        <w:tc>
          <w:tcPr>
            <w:tcW w:w="2000" w:type="dxa"/>
          </w:tcPr>
          <w:p>
            <w:pPr>
              <w:pStyle w:val="IPPArialTable"/>
            </w:pPr>
            <w:r>
              <w:rPr>
                <w:rStyle w:val="PleaseReviewParagraphId"/>
                <w:b w:val="off"/>
                <w:i w:val="off"/>
              </w:rPr>
              <w:t>[171]</w:t>
            </w:r>
            <w:r>
              <w:t>0.5 µM</w:t>
            </w:r>
          </w:p>
        </w:tc>
      </w:tr>
      <w:tr>
        <w:tc>
          <w:tcPr>
            <w:tcW w:w="3570" w:type="dxa"/>
          </w:tcPr>
          <w:p>
            <w:pPr>
              <w:pStyle w:val="IPPArialTable"/>
            </w:pPr>
            <w:r>
              <w:rPr>
                <w:rStyle w:val="PleaseReviewParagraphId"/>
                <w:b w:val="off"/>
                <w:i w:val="off"/>
              </w:rPr>
              <w:t>[172]</w:t>
            </w:r>
            <w:r>
              <w:t>Primer CIRC4A</w:t>
            </w:r>
          </w:p>
        </w:tc>
        <w:tc>
          <w:tcPr>
            <w:tcW w:w="2000" w:type="dxa"/>
          </w:tcPr>
          <w:p>
            <w:pPr>
              <w:pStyle w:val="IPPArialTable"/>
            </w:pPr>
            <w:r>
              <w:rPr>
                <w:rStyle w:val="PleaseReviewParagraphId"/>
                <w:b w:val="off"/>
                <w:i w:val="off"/>
              </w:rPr>
              <w:t>[173]</w:t>
            </w:r>
            <w:r>
              <w:t>0.5 µM</w:t>
            </w:r>
          </w:p>
        </w:tc>
      </w:tr>
      <w:tr>
        <w:tc>
          <w:tcPr>
            <w:tcW w:w="3570" w:type="dxa"/>
          </w:tcPr>
          <w:p>
            <w:pPr>
              <w:pStyle w:val="IPPArialTable"/>
            </w:pPr>
            <w:r>
              <w:rPr>
                <w:rStyle w:val="PleaseReviewParagraphId"/>
                <w:b w:val="off"/>
                <w:i w:val="off"/>
              </w:rPr>
              <w:t>[174]</w:t>
            </w:r>
            <w:r>
              <w:t>SYBR Green</w:t>
            </w:r>
            <w:r>
              <w:rPr>
                <w:vertAlign w:val="superscript"/>
              </w:rPr>
              <w:t>®</w:t>
            </w:r>
          </w:p>
        </w:tc>
        <w:tc>
          <w:tcPr>
            <w:tcW w:w="2000" w:type="dxa"/>
          </w:tcPr>
          <w:p>
            <w:pPr>
              <w:pStyle w:val="IPPArialTable"/>
            </w:pPr>
            <w:r>
              <w:rPr>
                <w:rStyle w:val="PleaseReviewParagraphId"/>
                <w:b w:val="off"/>
                <w:i w:val="off"/>
              </w:rPr>
              <w:t>[175]</w:t>
            </w:r>
            <w:r>
              <w:t>X*</w:t>
            </w:r>
          </w:p>
        </w:tc>
      </w:tr>
      <w:tr>
        <w:tc>
          <w:tcPr>
            <w:tcW w:w="3570" w:type="dxa"/>
          </w:tcPr>
          <w:p>
            <w:pPr>
              <w:pStyle w:val="IPPArialTable"/>
            </w:pPr>
            <w:r>
              <w:rPr>
                <w:rStyle w:val="PleaseReviewParagraphId"/>
                <w:b w:val="off"/>
                <w:i w:val="off"/>
              </w:rPr>
              <w:t>[176]</w:t>
            </w:r>
            <w:r>
              <w:t>DNA polymerase</w:t>
            </w:r>
          </w:p>
        </w:tc>
        <w:tc>
          <w:tcPr>
            <w:tcW w:w="2000" w:type="dxa"/>
          </w:tcPr>
          <w:p>
            <w:pPr>
              <w:pStyle w:val="IPPArialTable"/>
            </w:pPr>
            <w:r>
              <w:rPr>
                <w:rStyle w:val="PleaseReviewParagraphId"/>
                <w:b w:val="off"/>
                <w:i w:val="off"/>
              </w:rPr>
              <w:t>[177]</w:t>
            </w:r>
            <w:r>
              <w:t>1 U</w:t>
            </w:r>
          </w:p>
        </w:tc>
      </w:tr>
      <w:tr>
        <w:tc>
          <w:tcPr>
            <w:tcW w:w="3570" w:type="dxa"/>
            <w:tcBorders>
              <w:bottom w:val="single" w:color="000000" w:sz="4" w:space="0"/>
            </w:tcBorders>
          </w:tcPr>
          <w:p>
            <w:pPr>
              <w:pStyle w:val="IPPArialTable"/>
            </w:pPr>
            <w:r>
              <w:rPr>
                <w:rStyle w:val="PleaseReviewParagraphId"/>
                <w:b w:val="off"/>
                <w:i w:val="off"/>
              </w:rPr>
              <w:t>[178]</w:t>
            </w:r>
            <w:r>
              <w:t>DNA (volume)</w:t>
            </w:r>
          </w:p>
        </w:tc>
        <w:tc>
          <w:tcPr>
            <w:tcW w:w="2000" w:type="dxa"/>
            <w:tcBorders>
              <w:bottom w:val="single" w:color="000000" w:sz="4" w:space="0"/>
            </w:tcBorders>
          </w:tcPr>
          <w:p>
            <w:pPr>
              <w:pStyle w:val="IPPArialTable"/>
            </w:pPr>
            <w:r>
              <w:rPr>
                <w:rStyle w:val="PleaseReviewParagraphId"/>
                <w:b w:val="off"/>
                <w:i w:val="off"/>
              </w:rPr>
              <w:t>[179]</w:t>
            </w:r>
            <w:r>
              <w:t>6.25 µl</w:t>
            </w:r>
          </w:p>
        </w:tc>
      </w:tr>
      <w:tr>
        <w:tc>
          <w:tcPr>
            <w:tcW w:w="5570" w:type="dxa"/>
            <w:gridSpan w:val="2"/>
            <w:tcBorders>
              <w:top w:val="single" w:color="000000" w:sz="4" w:space="0"/>
              <w:bottom w:val="single" w:color="000000" w:sz="4" w:space="0"/>
            </w:tcBorders>
            <w:shd w:val="clear" w:color="auto" w:fill="A6A6A6"/>
          </w:tcPr>
          <w:p>
            <w:pPr>
              <w:pStyle w:val="IPPArialTable"/>
              <w:rPr>
                <w:b/>
              </w:rPr>
            </w:pPr>
            <w:r>
              <w:rPr>
                <w:rStyle w:val="PleaseReviewParagraphId"/>
                <w:b w:val="off"/>
                <w:i w:val="off"/>
              </w:rPr>
              <w:t>[180]</w:t>
            </w:r>
            <w:r>
              <w:rPr>
                <w:b/>
              </w:rPr>
              <w:t>Cycling parameters</w:t>
            </w:r>
          </w:p>
        </w:tc>
      </w:tr>
      <w:tr>
        <w:tc>
          <w:tcPr>
            <w:tcW w:w="3570" w:type="dxa"/>
            <w:tcBorders>
              <w:top w:val="single" w:color="000000" w:sz="4" w:space="0"/>
            </w:tcBorders>
          </w:tcPr>
          <w:p>
            <w:pPr>
              <w:pStyle w:val="IPPArialTable"/>
            </w:pPr>
            <w:r>
              <w:rPr>
                <w:rStyle w:val="PleaseReviewParagraphId"/>
                <w:b w:val="off"/>
                <w:i w:val="off"/>
              </w:rPr>
              <w:t>[181]</w:t>
            </w:r>
            <w:r>
              <w:t>Initial denaturation</w:t>
            </w:r>
            <w:r>
              <w:rPr>
                <w:rFonts w:cs="Arial"/>
                <w:vertAlign w:val="superscript"/>
              </w:rPr>
              <w:t>‡</w:t>
            </w:r>
          </w:p>
        </w:tc>
        <w:tc>
          <w:tcPr>
            <w:tcW w:w="2000" w:type="dxa"/>
            <w:tcBorders>
              <w:top w:val="single" w:color="000000" w:sz="4" w:space="0"/>
            </w:tcBorders>
          </w:tcPr>
          <w:p>
            <w:pPr>
              <w:pStyle w:val="IPPArialTable"/>
            </w:pPr>
            <w:r>
              <w:rPr>
                <w:rStyle w:val="PleaseReviewParagraphId"/>
                <w:b w:val="off"/>
                <w:i w:val="off"/>
              </w:rPr>
              <w:t>[182]</w:t>
            </w:r>
            <w:r>
              <w:t>X °C for X min</w:t>
            </w:r>
          </w:p>
        </w:tc>
      </w:tr>
      <w:tr>
        <w:tc>
          <w:tcPr>
            <w:tcW w:w="3570" w:type="dxa"/>
          </w:tcPr>
          <w:p>
            <w:pPr>
              <w:pStyle w:val="IPPArialTable"/>
            </w:pPr>
            <w:r>
              <w:rPr>
                <w:rStyle w:val="PleaseReviewParagraphId"/>
                <w:b w:val="off"/>
                <w:i w:val="off"/>
              </w:rPr>
              <w:t>[183]</w:t>
            </w:r>
            <w:r>
              <w:t>Number of cycles</w:t>
            </w:r>
          </w:p>
        </w:tc>
        <w:tc>
          <w:tcPr>
            <w:tcW w:w="2000" w:type="dxa"/>
          </w:tcPr>
          <w:p>
            <w:pPr>
              <w:pStyle w:val="IPPArialTable"/>
            </w:pPr>
            <w:r>
              <w:rPr>
                <w:rStyle w:val="PleaseReviewParagraphId"/>
                <w:b w:val="off"/>
                <w:i w:val="off"/>
              </w:rPr>
              <w:t>[184]</w:t>
            </w:r>
            <w:r>
              <w:t>45</w:t>
            </w:r>
          </w:p>
        </w:tc>
      </w:tr>
      <w:tr>
        <w:tc>
          <w:tcPr>
            <w:tcW w:w="3570" w:type="dxa"/>
          </w:tcPr>
          <w:p>
            <w:pPr>
              <w:pStyle w:val="IPPArialTable"/>
            </w:pPr>
            <w:r>
              <w:rPr>
                <w:rStyle w:val="PleaseReviewParagraphId"/>
                <w:b w:val="off"/>
                <w:i w:val="off"/>
              </w:rPr>
              <w:t>[185]</w:t>
            </w:r>
            <w:r>
              <w:t>Denaturation</w:t>
            </w:r>
          </w:p>
        </w:tc>
        <w:tc>
          <w:tcPr>
            <w:tcW w:w="2000" w:type="dxa"/>
          </w:tcPr>
          <w:p>
            <w:pPr>
              <w:pStyle w:val="IPPArialTable"/>
            </w:pPr>
            <w:r>
              <w:rPr>
                <w:rStyle w:val="PleaseReviewParagraphId"/>
                <w:b w:val="off"/>
                <w:i w:val="off"/>
              </w:rPr>
              <w:t>[186]</w:t>
            </w:r>
            <w:r>
              <w:t>94 °C for 35 s</w:t>
            </w:r>
          </w:p>
        </w:tc>
      </w:tr>
      <w:tr>
        <w:tc>
          <w:tcPr>
            <w:tcW w:w="3570" w:type="dxa"/>
          </w:tcPr>
          <w:p>
            <w:pPr>
              <w:pStyle w:val="IPPArialTable"/>
            </w:pPr>
            <w:r>
              <w:rPr>
                <w:rStyle w:val="PleaseReviewParagraphId"/>
                <w:b w:val="off"/>
                <w:i w:val="off"/>
              </w:rPr>
              <w:t>[187]</w:t>
            </w:r>
            <w:r>
              <w:t>Annealing</w:t>
            </w:r>
          </w:p>
        </w:tc>
        <w:tc>
          <w:tcPr>
            <w:tcW w:w="2000" w:type="dxa"/>
          </w:tcPr>
          <w:p>
            <w:pPr>
              <w:pStyle w:val="IPPArialTable"/>
            </w:pPr>
            <w:r>
              <w:rPr>
                <w:rStyle w:val="PleaseReviewParagraphId"/>
                <w:b w:val="off"/>
                <w:i w:val="off"/>
              </w:rPr>
              <w:t>[188]</w:t>
            </w:r>
            <w:r>
              <w:t>66 °C for 55 s</w:t>
            </w:r>
          </w:p>
        </w:tc>
      </w:tr>
      <w:tr>
        <w:tc>
          <w:tcPr>
            <w:tcW w:w="3570" w:type="dxa"/>
          </w:tcPr>
          <w:p>
            <w:pPr>
              <w:pStyle w:val="IPPArialTable"/>
            </w:pPr>
            <w:r>
              <w:rPr>
                <w:rStyle w:val="PleaseReviewParagraphId"/>
                <w:b w:val="off"/>
                <w:i w:val="off"/>
              </w:rPr>
              <w:t>[189]</w:t>
            </w:r>
            <w:r>
              <w:t>Elongation</w:t>
            </w:r>
          </w:p>
        </w:tc>
        <w:tc>
          <w:tcPr>
            <w:tcW w:w="2000" w:type="dxa"/>
          </w:tcPr>
          <w:p>
            <w:pPr>
              <w:pStyle w:val="IPPArialTable"/>
            </w:pPr>
            <w:r>
              <w:rPr>
                <w:rStyle w:val="PleaseReviewParagraphId"/>
                <w:b w:val="off"/>
                <w:i w:val="off"/>
              </w:rPr>
              <w:t>[190]</w:t>
            </w:r>
            <w:r>
              <w:t>72 °C for 50 s</w:t>
            </w:r>
          </w:p>
        </w:tc>
      </w:tr>
      <w:tr>
        <w:tc>
          <w:tcPr>
            <w:tcW w:w="5570" w:type="dxa"/>
            <w:gridSpan w:val="2"/>
            <w:tcBorders>
              <w:top w:val="single" w:color="000000" w:sz="4" w:space="0"/>
              <w:bottom w:val="single" w:color="000000" w:sz="4" w:space="0"/>
            </w:tcBorders>
            <w:shd w:val="clear" w:color="auto" w:fill="A6A6A6"/>
          </w:tcPr>
          <w:p>
            <w:pPr>
              <w:pStyle w:val="IPPArialTable"/>
            </w:pPr>
            <w:r>
              <w:rPr>
                <w:rStyle w:val="PleaseReviewParagraphId"/>
                <w:b w:val="off"/>
                <w:i w:val="off"/>
              </w:rPr>
              <w:t>[191]</w:t>
            </w:r>
            <w:r>
              <w:rPr>
                <w:b/>
              </w:rPr>
              <w:t>Expected amplicons</w:t>
            </w:r>
          </w:p>
        </w:tc>
      </w:tr>
      <w:tr>
        <w:tc>
          <w:tcPr>
            <w:tcW w:w="3570" w:type="dxa"/>
            <w:tcBorders>
              <w:top w:val="single" w:color="000000" w:sz="4" w:space="0"/>
              <w:bottom w:val="single" w:color="000000" w:sz="4" w:space="0"/>
            </w:tcBorders>
          </w:tcPr>
          <w:p>
            <w:pPr>
              <w:pStyle w:val="IPPArialTable"/>
            </w:pPr>
            <w:r>
              <w:rPr>
                <w:rStyle w:val="PleaseReviewParagraphId"/>
                <w:b w:val="off"/>
                <w:i w:val="off"/>
              </w:rPr>
              <w:t>[192]</w:t>
            </w:r>
            <w:r>
              <w:t>Size</w:t>
            </w:r>
          </w:p>
        </w:tc>
        <w:tc>
          <w:tcPr>
            <w:tcW w:w="2000" w:type="dxa"/>
            <w:tcBorders>
              <w:top w:val="single" w:color="000000" w:sz="4" w:space="0"/>
              <w:bottom w:val="single" w:color="000000" w:sz="4" w:space="0"/>
            </w:tcBorders>
          </w:tcPr>
          <w:p>
            <w:pPr>
              <w:pStyle w:val="IPPArialTable"/>
            </w:pPr>
            <w:r>
              <w:rPr>
                <w:rStyle w:val="PleaseReviewParagraphId"/>
                <w:b w:val="off"/>
                <w:i w:val="off"/>
              </w:rPr>
              <w:t>[193]</w:t>
            </w:r>
            <w:r>
              <w:t>360 bp</w:t>
            </w:r>
          </w:p>
        </w:tc>
      </w:tr>
    </w:tbl>
    <w:p>
      <w:pPr>
        <w:pStyle w:val="IPPArialTable"/>
      </w:pPr>
      <w:r>
        <w:rPr>
          <w:rStyle w:val="PleaseReviewParagraphId"/>
          <w:b w:val="off"/>
          <w:i w:val="off"/>
        </w:rPr>
        <w:t>[194]</w:t>
      </w:r>
      <w:r>
        <w:rPr>
          <w:vertAlign w:val="superscript"/>
        </w:rPr>
        <w:t>†</w:t>
      </w:r>
      <w:r>
        <w:t xml:space="preserve"> For a final reaction volume of 25 μl.</w:t>
      </w:r>
    </w:p>
    <w:p>
      <w:pPr>
        <w:pStyle w:val="IPPArialTable"/>
      </w:pPr>
      <w:r>
        <w:rPr>
          <w:rStyle w:val="PleaseReviewParagraphId"/>
          <w:b w:val="off"/>
          <w:i w:val="off"/>
        </w:rPr>
        <w:t>[195]</w:t>
      </w:r>
      <w:r>
        <w:rPr>
          <w:rFonts w:cs="Arial"/>
          <w:vertAlign w:val="superscript"/>
        </w:rPr>
        <w:t>‡</w:t>
      </w:r>
      <w:r>
        <w:t xml:space="preserve"> According to the DNA polymerase manufacturer’s instruction.</w:t>
      </w:r>
    </w:p>
    <w:p>
      <w:pPr>
        <w:pStyle w:val="IPPArialTable"/>
      </w:pPr>
      <w:r>
        <w:rPr>
          <w:rStyle w:val="PleaseReviewParagraphId"/>
          <w:b w:val="off"/>
          <w:i w:val="off"/>
        </w:rPr>
        <w:t>[196]</w:t>
      </w:r>
      <w:r>
        <w:t>* Following the manufacturer’s recommendation.</w:t>
      </w:r>
    </w:p>
    <w:p>
      <w:pPr>
        <w:pStyle w:val="IPPArialTable"/>
      </w:pPr>
      <w:r>
        <w:rPr>
          <w:rStyle w:val="PleaseReviewParagraphId"/>
          <w:b w:val="off"/>
          <w:i w:val="off"/>
        </w:rPr>
        <w:t>[197]</w:t>
      </w:r>
      <w:r>
        <w:t>$ May be directly included in a ready-to-use SYBR Green</w:t>
      </w:r>
      <w:r>
        <w:rPr>
          <w:szCs w:val="18"/>
          <w:vertAlign w:val="superscript"/>
        </w:rPr>
        <w:t>®</w:t>
      </w:r>
      <w:r>
        <w:t xml:space="preserve"> master mix</w:t>
      </w:r>
    </w:p>
    <w:p>
      <w:pPr>
        <w:pStyle w:val="IPPArialTable"/>
      </w:pPr>
      <w:r>
        <w:rPr>
          <w:rStyle w:val="PleaseReviewParagraphId"/>
          <w:b w:val="off"/>
          <w:i w:val="off"/>
        </w:rPr>
        <w:t>[198]</w:t>
      </w:r>
      <w:r>
        <w:t>bp, base pairs; PCR, polymerase chain reaction.</w:t>
      </w:r>
    </w:p>
    <w:p>
      <w:pPr>
        <w:pStyle w:val="IPPHeading3"/>
        <w:rPr>
          <w:rFonts w:ascii="Arial" w:hAnsi="Arial" w:cs="Arial"/>
          <w:sz w:val="18"/>
          <w:szCs w:val="18"/>
        </w:rPr>
      </w:pPr>
      <w:r>
        <w:rPr>
          <w:rStyle w:val="PleaseReviewParagraphId"/>
          <w:b w:val="off"/>
          <w:i w:val="off"/>
        </w:rPr>
        <w:t>[199]</w:t>
      </w:r>
      <w:r>
        <w:lastRenderedPageBreak/>
        <w:t>3.4.4.1 Interpretation of results from SYBR Green</w:t>
      </w:r>
      <w:r>
        <w:rPr>
          <w:vertAlign w:val="superscript"/>
        </w:rPr>
        <w:t xml:space="preserve">® </w:t>
      </w:r>
      <w:r>
        <w:t xml:space="preserve">real-time PCR </w:t>
      </w:r>
    </w:p>
    <w:p>
      <w:pPr>
        <w:pStyle w:val="IPPParagraphnumbering"/>
        <w:numPr>
          <w:ilvl w:val="0"/>
          <w:numId w:val="0"/>
        </w:numPr>
        <w:rPr>
          <w:lang w:val="en-GB"/>
        </w:rPr>
      </w:pPr>
      <w:r>
        <w:rPr>
          <w:rStyle w:val="PleaseReviewParagraphId"/>
          <w:b w:val="off"/>
          <w:i w:val="off"/>
        </w:rPr>
        <w:t>[200]</w:t>
      </w:r>
      <w:r>
        <w:rPr>
          <w:lang w:val="en-GB"/>
        </w:rPr>
        <w:t>The nature of the amplicons should be checked by the yielded melting curves at the end of the amplification and by comparison with the melting curves yielded with the positive nucleic acid control.</w:t>
      </w:r>
    </w:p>
    <w:p>
      <w:pPr>
        <w:pStyle w:val="IPPParagraphnumbering"/>
        <w:numPr>
          <w:ilvl w:val="0"/>
          <w:numId w:val="0"/>
        </w:numPr>
        <w:rPr>
          <w:lang w:val="en-GB"/>
        </w:rPr>
      </w:pPr>
      <w:r>
        <w:rPr>
          <w:rStyle w:val="PleaseReviewParagraphId"/>
          <w:b w:val="off"/>
          <w:i w:val="off"/>
        </w:rPr>
        <w:t>[201]</w:t>
      </w:r>
      <w:r>
        <w:rPr>
          <w:lang w:val="en-GB"/>
        </w:rPr>
        <w:t xml:space="preserve">A sample will be considered positive if it produces a PCR product with a melting peak temperature identical to that of the positive nucleic acid control and whose sequence shows 100% identity with a </w:t>
      </w:r>
      <w:r>
        <w:rPr>
          <w:i/>
          <w:iCs/>
          <w:lang w:val="en-GB"/>
        </w:rPr>
        <w:t>F. circinatum</w:t>
      </w:r>
      <w:r>
        <w:rPr>
          <w:lang w:val="en-GB"/>
        </w:rPr>
        <w:t xml:space="preserve"> reference sequence (section 4.2), provided that the amplification curve is exponential and that the negative amplification control and negative extraction control are negative. </w:t>
      </w:r>
    </w:p>
    <w:p>
      <w:pPr>
        <w:pStyle w:val="IPPParagraphnumbering"/>
        <w:numPr>
          <w:ilvl w:val="0"/>
          <w:numId w:val="0"/>
        </w:numPr>
        <w:rPr>
          <w:lang w:val="en-GB"/>
        </w:rPr>
      </w:pPr>
      <w:r>
        <w:rPr>
          <w:rStyle w:val="PleaseReviewParagraphId"/>
          <w:b w:val="off"/>
          <w:i w:val="off"/>
        </w:rPr>
        <w:t>[202]</w:t>
      </w:r>
      <w:r>
        <w:rPr>
          <w:lang w:val="en-GB"/>
        </w:rPr>
        <w:t xml:space="preserve">A sample will be considered negative if it does not produce a PCR product with a melting peak temperature identical to that of positive nucleic acid control, provided that the positive nucleic acid control and internal control are positive, or if it produces a PCR product whose sequence does not show 100% identity with a </w:t>
      </w:r>
      <w:r>
        <w:rPr>
          <w:i/>
          <w:iCs/>
          <w:lang w:val="en-GB"/>
        </w:rPr>
        <w:t>F. circinatum</w:t>
      </w:r>
      <w:r>
        <w:rPr>
          <w:lang w:val="en-GB"/>
        </w:rPr>
        <w:t xml:space="preserve"> reference sequence.</w:t>
      </w:r>
    </w:p>
    <w:p>
      <w:pPr>
        <w:pStyle w:val="IPPHeading2"/>
      </w:pPr>
      <w:r>
        <w:rPr>
          <w:rStyle w:val="PleaseReviewParagraphId"/>
          <w:b w:val="off"/>
          <w:i w:val="off"/>
        </w:rPr>
        <w:t>[203]</w:t>
      </w:r>
      <w:bookmarkStart w:name="_Toc413424396" w:id="16"/>
      <w:r>
        <w:t xml:space="preserve">3.4.5 Detection and identification of </w:t>
      </w:r>
      <w:r>
        <w:rPr>
          <w:i/>
        </w:rPr>
        <w:t>Fusarium circinatum</w:t>
      </w:r>
      <w:r>
        <w:t xml:space="preserve"> by real-time PCR using a hydrolysis probe</w:t>
      </w:r>
      <w:bookmarkEnd w:id="16"/>
      <w:r>
        <w:t xml:space="preserve"> </w:t>
      </w:r>
    </w:p>
    <w:p>
      <w:pPr>
        <w:pStyle w:val="IPPParagraphnumbering"/>
        <w:numPr>
          <w:ilvl w:val="0"/>
          <w:numId w:val="0"/>
        </w:numPr>
        <w:rPr>
          <w:lang w:val="en-GB"/>
        </w:rPr>
      </w:pPr>
      <w:r>
        <w:rPr>
          <w:rStyle w:val="PleaseReviewParagraphId"/>
          <w:b w:val="off"/>
          <w:i w:val="off"/>
        </w:rPr>
        <w:t>[204]</w:t>
      </w:r>
      <w:r>
        <w:rPr>
          <w:lang w:val="en-GB" w:eastAsia="en-GB"/>
        </w:rPr>
        <w:t xml:space="preserve">Ioos </w:t>
      </w:r>
      <w:r>
        <w:rPr>
          <w:i/>
          <w:iCs/>
          <w:lang w:val="en-GB" w:eastAsia="en-GB"/>
        </w:rPr>
        <w:t>et al.</w:t>
      </w:r>
      <w:r>
        <w:rPr>
          <w:lang w:val="en-GB" w:eastAsia="en-GB"/>
        </w:rPr>
        <w:t xml:space="preserve"> (2009) described a technique based on a real-time PCR using a hydrolysis probe designed from the rDNA IGS region to identify the anamorphic stage of </w:t>
      </w:r>
      <w:r>
        <w:rPr>
          <w:i/>
          <w:iCs/>
          <w:lang w:val="en-GB" w:eastAsia="en-GB"/>
        </w:rPr>
        <w:t>F. circinatum</w:t>
      </w:r>
      <w:r>
        <w:rPr>
          <w:lang w:val="en-GB" w:eastAsia="en-GB"/>
        </w:rPr>
        <w:t xml:space="preserve"> in pure culture or directly in plant samples. This PCR test produces a 149 bp amplicon for </w:t>
      </w:r>
      <w:r>
        <w:rPr>
          <w:i/>
          <w:iCs/>
          <w:lang w:val="en-GB" w:eastAsia="en-GB"/>
        </w:rPr>
        <w:t>F. circinatum</w:t>
      </w:r>
      <w:r>
        <w:rPr>
          <w:lang w:val="en-GB" w:eastAsia="en-GB"/>
        </w:rPr>
        <w:t xml:space="preserve"> (sequences of the IGS region for </w:t>
      </w:r>
      <w:r>
        <w:rPr>
          <w:i/>
          <w:iCs/>
          <w:lang w:val="en-GB" w:eastAsia="en-GB"/>
        </w:rPr>
        <w:t>F. circinatum</w:t>
      </w:r>
      <w:r>
        <w:rPr>
          <w:lang w:val="en-GB" w:eastAsia="en-GB"/>
        </w:rPr>
        <w:t xml:space="preserve"> may be retrieved from GenBank, accession numbers AY249397 to AY249403). A </w:t>
      </w:r>
      <w:r>
        <w:rPr>
          <w:i/>
          <w:lang w:val="en-GB" w:eastAsia="en-GB"/>
        </w:rPr>
        <w:t>F. circinatum-</w:t>
      </w:r>
      <w:r>
        <w:rPr>
          <w:lang w:val="en-GB" w:eastAsia="en-GB"/>
        </w:rPr>
        <w:t xml:space="preserve">specific region of IGS is amplified using the primer pair FCIR-F/FCIR-R and is detected by a fluorescent hydrolysis probe, FCIR-P. This method has proven to be more sensitive than the conventional CIRC1A/CIRC4A PCR by detecting as little as 8 fg target DNA per reaction, and its specificity is strengthened thanks to the combination of specific primers and hydrolysis probe and the high stringency conditions in the reaction (Ioos </w:t>
      </w:r>
      <w:r>
        <w:rPr>
          <w:i/>
          <w:iCs/>
          <w:lang w:val="en-GB" w:eastAsia="en-GB"/>
        </w:rPr>
        <w:t>et al.</w:t>
      </w:r>
      <w:r>
        <w:rPr>
          <w:iCs/>
          <w:lang w:val="en-GB" w:eastAsia="en-GB"/>
        </w:rPr>
        <w:t>,</w:t>
      </w:r>
      <w:r>
        <w:rPr>
          <w:lang w:val="en-GB" w:eastAsia="en-GB"/>
        </w:rPr>
        <w:t xml:space="preserve"> 2009).</w:t>
      </w:r>
    </w:p>
    <w:p>
      <w:pPr>
        <w:pStyle w:val="IPPParagraphnumbering"/>
        <w:numPr>
          <w:ilvl w:val="0"/>
          <w:numId w:val="0"/>
        </w:numPr>
        <w:rPr>
          <w:lang w:val="en-GB"/>
        </w:rPr>
      </w:pPr>
      <w:r>
        <w:rPr>
          <w:rStyle w:val="PleaseReviewParagraphId"/>
          <w:b w:val="off"/>
          <w:i w:val="off"/>
        </w:rPr>
        <w:t>[205]</w:t>
      </w:r>
      <w:r>
        <w:rPr>
          <w:lang w:val="en-GB" w:eastAsia="en-GB"/>
        </w:rPr>
        <w:t>The primers and probe are:</w:t>
      </w:r>
    </w:p>
    <w:p>
      <w:pPr>
        <w:pStyle w:val="IPPBullet1"/>
        <w:rPr>
          <w:lang w:val="en-GB"/>
        </w:rPr>
      </w:pPr>
      <w:r>
        <w:rPr>
          <w:rStyle w:val="PleaseReviewParagraphId"/>
          <w:b w:val="off"/>
          <w:i w:val="off"/>
        </w:rPr>
        <w:t>[206]</w:t>
      </w:r>
      <w:r>
        <w:rPr>
          <w:lang w:val="en-GB" w:eastAsia="en-GB"/>
        </w:rPr>
        <w:t xml:space="preserve">FCIR-F (forward primer): </w:t>
      </w:r>
      <w:r>
        <w:rPr>
          <w:lang w:val="en-GB"/>
        </w:rPr>
        <w:t>5′-TCG ATG TGT CGT CTC TGG AC-3′</w:t>
      </w:r>
    </w:p>
    <w:p>
      <w:pPr>
        <w:pStyle w:val="IPPBullet1"/>
        <w:rPr>
          <w:lang w:val="es-ES"/>
        </w:rPr>
      </w:pPr>
      <w:r>
        <w:rPr>
          <w:rStyle w:val="PleaseReviewParagraphId"/>
          <w:b w:val="off"/>
          <w:i w:val="off"/>
        </w:rPr>
        <w:t>[207]</w:t>
      </w:r>
      <w:r>
        <w:rPr>
          <w:lang w:val="es-ES" w:eastAsia="en-GB"/>
        </w:rPr>
        <w:t xml:space="preserve">FCIR-R (reverse primer): </w:t>
      </w:r>
      <w:r>
        <w:rPr>
          <w:lang w:val="es-ES"/>
        </w:rPr>
        <w:t>5′-CGA TCC TCA AAT CGA CCA AGA-3′</w:t>
      </w:r>
    </w:p>
    <w:p>
      <w:pPr>
        <w:pStyle w:val="IPPBullet1Last"/>
        <w:rPr>
          <w:lang w:val="es-ES"/>
        </w:rPr>
      </w:pPr>
      <w:r>
        <w:rPr>
          <w:rStyle w:val="PleaseReviewParagraphId"/>
          <w:b w:val="off"/>
          <w:i w:val="off"/>
        </w:rPr>
        <w:t>[208]</w:t>
      </w:r>
      <w:r>
        <w:rPr>
          <w:lang w:val="es-ES" w:eastAsia="en-GB"/>
        </w:rPr>
        <w:t xml:space="preserve">FCIR-P (probe): </w:t>
      </w:r>
      <w:r>
        <w:rPr>
          <w:lang w:val="es-ES"/>
        </w:rPr>
        <w:t>5′-FAM-CGA GTC TGG CGG GAC TTT GTG C-BHQ1-3′</w:t>
      </w:r>
    </w:p>
    <w:p>
      <w:pPr>
        <w:pStyle w:val="IPPParagraphnumbering"/>
        <w:numPr>
          <w:ilvl w:val="0"/>
          <w:numId w:val="0"/>
        </w:numPr>
        <w:rPr>
          <w:lang w:val="en-GB"/>
        </w:rPr>
      </w:pPr>
      <w:r>
        <w:rPr>
          <w:rStyle w:val="PleaseReviewParagraphId"/>
          <w:b w:val="off"/>
          <w:i w:val="off"/>
        </w:rPr>
        <w:t>[209]</w:t>
      </w:r>
      <w:r>
        <w:t xml:space="preserve">Using these primers and the PCR detailed in Table 3, a region of </w:t>
      </w:r>
      <w:r>
        <w:rPr>
          <w:i/>
          <w:iCs/>
          <w:lang w:val="en-GB"/>
        </w:rPr>
        <w:t>F. circinatum</w:t>
      </w:r>
      <w:r>
        <w:rPr>
          <w:lang w:val="en-GB"/>
        </w:rPr>
        <w:t xml:space="preserve"> IGS is amplified.</w:t>
      </w:r>
    </w:p>
    <w:p>
      <w:pPr>
        <w:pStyle w:val="IPPArialTable"/>
        <w:rPr>
          <w:b/>
          <w:bCs/>
        </w:rPr>
      </w:pPr>
      <w:r>
        <w:rPr>
          <w:rStyle w:val="PleaseReviewParagraphId"/>
          <w:b w:val="off"/>
          <w:i w:val="off"/>
        </w:rPr>
        <w:t>[210]</w:t>
      </w:r>
      <w:r>
        <w:rPr>
          <w:b/>
          <w:bCs/>
        </w:rPr>
        <w:t xml:space="preserve">Table 3. </w:t>
      </w:r>
      <w:r>
        <w:t>FCIR-F/-R/-P real-time PCR using a hydrolysis probe master mix composition and cycling parameters</w:t>
      </w:r>
    </w:p>
    <w:tbl>
      <w:tblPr>
        <w:tblW w:w="5570" w:type="dxa"/>
        <w:tblInd w:w="2" w:type="dxa"/>
        <w:tblLayout w:type="fixed"/>
        <w:tblLook w:val="0000" w:firstRow="0" w:lastRow="0" w:firstColumn="0" w:lastColumn="0" w:noHBand="0" w:noVBand="0"/>
      </w:tblPr>
      <w:tblGrid>
        <w:gridCol w:w="3570"/>
        <w:gridCol w:w="2000"/>
      </w:tblGrid>
      <w:tr>
        <w:tc>
          <w:tcPr>
            <w:tcW w:w="3570" w:type="dxa"/>
            <w:tcBorders>
              <w:top w:val="single" w:color="000000" w:sz="4" w:space="0"/>
              <w:bottom w:val="single" w:color="000000" w:sz="4" w:space="0"/>
            </w:tcBorders>
            <w:shd w:val="clear" w:color="auto" w:fill="BFBFBF"/>
          </w:tcPr>
          <w:p>
            <w:pPr>
              <w:pStyle w:val="IPPArialTable"/>
              <w:rPr>
                <w:b/>
              </w:rPr>
            </w:pPr>
            <w:r>
              <w:rPr>
                <w:rStyle w:val="PleaseReviewParagraphId"/>
                <w:b w:val="off"/>
                <w:i w:val="off"/>
              </w:rPr>
              <w:t>[211]</w:t>
            </w:r>
            <w:r>
              <w:rPr>
                <w:b/>
              </w:rPr>
              <w:t>Reagents</w:t>
            </w:r>
          </w:p>
        </w:tc>
        <w:tc>
          <w:tcPr>
            <w:tcW w:w="2000" w:type="dxa"/>
            <w:tcBorders>
              <w:top w:val="single" w:color="000000" w:sz="4" w:space="0"/>
              <w:bottom w:val="single" w:color="000000" w:sz="4" w:space="0"/>
            </w:tcBorders>
            <w:shd w:val="clear" w:color="auto" w:fill="BFBFBF"/>
          </w:tcPr>
          <w:p>
            <w:pPr>
              <w:pStyle w:val="IPPArialTable"/>
              <w:rPr>
                <w:b/>
              </w:rPr>
            </w:pPr>
            <w:r>
              <w:rPr>
                <w:rStyle w:val="PleaseReviewParagraphId"/>
                <w:b w:val="off"/>
                <w:i w:val="off"/>
              </w:rPr>
              <w:t>[212]</w:t>
            </w:r>
            <w:r>
              <w:rPr>
                <w:b/>
              </w:rPr>
              <w:t>Final concentration</w:t>
            </w:r>
          </w:p>
        </w:tc>
      </w:tr>
      <w:tr>
        <w:tc>
          <w:tcPr>
            <w:tcW w:w="3570" w:type="dxa"/>
            <w:tcBorders>
              <w:top w:val="single" w:color="000000" w:sz="4" w:space="0"/>
            </w:tcBorders>
          </w:tcPr>
          <w:p>
            <w:pPr>
              <w:pStyle w:val="IPPArialTable"/>
            </w:pPr>
            <w:r>
              <w:rPr>
                <w:rStyle w:val="PleaseReviewParagraphId"/>
                <w:b w:val="off"/>
                <w:i w:val="off"/>
              </w:rPr>
              <w:t>[213]</w:t>
            </w:r>
            <w:r>
              <w:t>PCR-grade</w:t>
            </w:r>
            <w:r>
              <w:rPr>
                <w:vertAlign w:val="superscript"/>
              </w:rPr>
              <w:t xml:space="preserve"> </w:t>
            </w:r>
            <w:r>
              <w:t xml:space="preserve">water </w:t>
            </w:r>
          </w:p>
        </w:tc>
        <w:tc>
          <w:tcPr>
            <w:tcW w:w="2000" w:type="dxa"/>
            <w:tcBorders>
              <w:top w:val="single" w:color="000000" w:sz="4" w:space="0"/>
            </w:tcBorders>
            <w:shd w:val="clear" w:color="auto" w:fill="FFFFFF"/>
          </w:tcPr>
          <w:p>
            <w:pPr>
              <w:pStyle w:val="IPPArialTable"/>
              <w:rPr>
                <w:shd w:val="clear" w:color="auto" w:fill="C0C0C0"/>
              </w:rPr>
            </w:pPr>
            <w:r>
              <w:rPr>
                <w:rStyle w:val="PleaseReviewParagraphId"/>
                <w:b w:val="off"/>
                <w:i w:val="off"/>
              </w:rPr>
              <w:t>[214]</w:t>
            </w:r>
            <w:r>
              <w:t>–</w:t>
            </w:r>
            <w:r>
              <w:rPr>
                <w:rFonts w:cs="Arial"/>
                <w:vertAlign w:val="superscript"/>
              </w:rPr>
              <w:t>†</w:t>
            </w:r>
          </w:p>
        </w:tc>
      </w:tr>
      <w:tr>
        <w:tc>
          <w:tcPr>
            <w:tcW w:w="3570" w:type="dxa"/>
          </w:tcPr>
          <w:p>
            <w:pPr>
              <w:pStyle w:val="IPPArialTable"/>
            </w:pPr>
            <w:r>
              <w:rPr>
                <w:rStyle w:val="PleaseReviewParagraphId"/>
                <w:b w:val="off"/>
                <w:i w:val="off"/>
              </w:rPr>
              <w:t>[215]</w:t>
            </w:r>
            <w:r>
              <w:t xml:space="preserve">PCR buffer </w:t>
            </w:r>
          </w:p>
        </w:tc>
        <w:tc>
          <w:tcPr>
            <w:tcW w:w="2000" w:type="dxa"/>
          </w:tcPr>
          <w:p>
            <w:pPr>
              <w:pStyle w:val="IPPArialTable"/>
            </w:pPr>
            <w:r>
              <w:rPr>
                <w:rStyle w:val="PleaseReviewParagraphId"/>
                <w:b w:val="off"/>
                <w:i w:val="off"/>
              </w:rPr>
              <w:t>[216]</w:t>
            </w:r>
            <w:r>
              <w:t>1</w:t>
            </w:r>
            <w:r>
              <w:rPr>
                <w:rFonts w:cs="Arial"/>
              </w:rPr>
              <w:t>×</w:t>
            </w:r>
          </w:p>
        </w:tc>
      </w:tr>
      <w:tr>
        <w:tc>
          <w:tcPr>
            <w:tcW w:w="3570" w:type="dxa"/>
          </w:tcPr>
          <w:p>
            <w:pPr>
              <w:pStyle w:val="IPPArialTable"/>
            </w:pPr>
            <w:r>
              <w:rPr>
                <w:rStyle w:val="PleaseReviewParagraphId"/>
                <w:b w:val="off"/>
                <w:i w:val="off"/>
              </w:rPr>
              <w:t>[217]</w:t>
            </w:r>
            <w:r>
              <w:t>MgCl</w:t>
            </w:r>
            <w:r>
              <w:rPr>
                <w:vertAlign w:val="subscript"/>
              </w:rPr>
              <w:t>2</w:t>
            </w:r>
          </w:p>
        </w:tc>
        <w:tc>
          <w:tcPr>
            <w:tcW w:w="2000" w:type="dxa"/>
          </w:tcPr>
          <w:p>
            <w:pPr>
              <w:pStyle w:val="IPPArialTable"/>
            </w:pPr>
            <w:r>
              <w:rPr>
                <w:rStyle w:val="PleaseReviewParagraphId"/>
                <w:b w:val="off"/>
                <w:i w:val="off"/>
              </w:rPr>
              <w:t>[218]</w:t>
            </w:r>
            <w:r>
              <w:t>5 mM</w:t>
            </w:r>
          </w:p>
        </w:tc>
      </w:tr>
      <w:tr>
        <w:tc>
          <w:tcPr>
            <w:tcW w:w="3570" w:type="dxa"/>
          </w:tcPr>
          <w:p>
            <w:pPr>
              <w:pStyle w:val="IPPArialTable"/>
            </w:pPr>
            <w:r>
              <w:rPr>
                <w:rStyle w:val="PleaseReviewParagraphId"/>
                <w:b w:val="off"/>
                <w:i w:val="off"/>
              </w:rPr>
              <w:t>[219]</w:t>
            </w:r>
            <w:r>
              <w:t xml:space="preserve">dNTPs </w:t>
            </w:r>
          </w:p>
        </w:tc>
        <w:tc>
          <w:tcPr>
            <w:tcW w:w="2000" w:type="dxa"/>
          </w:tcPr>
          <w:p>
            <w:pPr>
              <w:pStyle w:val="IPPArialTable"/>
            </w:pPr>
            <w:r>
              <w:rPr>
                <w:rStyle w:val="PleaseReviewParagraphId"/>
                <w:b w:val="off"/>
                <w:i w:val="off"/>
              </w:rPr>
              <w:t>[220]</w:t>
            </w:r>
            <w:r>
              <w:t>200 µM</w:t>
            </w:r>
          </w:p>
        </w:tc>
      </w:tr>
      <w:tr>
        <w:tc>
          <w:tcPr>
            <w:tcW w:w="3570" w:type="dxa"/>
          </w:tcPr>
          <w:p>
            <w:pPr>
              <w:pStyle w:val="IPPArialTable"/>
            </w:pPr>
            <w:r>
              <w:rPr>
                <w:rStyle w:val="PleaseReviewParagraphId"/>
                <w:b w:val="off"/>
                <w:i w:val="off"/>
              </w:rPr>
              <w:t>[221]</w:t>
            </w:r>
            <w:r>
              <w:t>Primer FCIR-F</w:t>
            </w:r>
          </w:p>
        </w:tc>
        <w:tc>
          <w:tcPr>
            <w:tcW w:w="2000" w:type="dxa"/>
          </w:tcPr>
          <w:p>
            <w:pPr>
              <w:pStyle w:val="IPPArialTable"/>
            </w:pPr>
            <w:r>
              <w:rPr>
                <w:rStyle w:val="PleaseReviewParagraphId"/>
                <w:b w:val="off"/>
                <w:i w:val="off"/>
              </w:rPr>
              <w:t>[222]</w:t>
            </w:r>
            <w:r>
              <w:t>0.3 µM</w:t>
            </w:r>
          </w:p>
        </w:tc>
      </w:tr>
      <w:tr>
        <w:tc>
          <w:tcPr>
            <w:tcW w:w="3570" w:type="dxa"/>
          </w:tcPr>
          <w:p>
            <w:pPr>
              <w:pStyle w:val="IPPArialTable"/>
            </w:pPr>
            <w:r>
              <w:rPr>
                <w:rStyle w:val="PleaseReviewParagraphId"/>
                <w:b w:val="off"/>
                <w:i w:val="off"/>
              </w:rPr>
              <w:t>[223]</w:t>
            </w:r>
            <w:r>
              <w:t>Primer FCIR-R</w:t>
            </w:r>
          </w:p>
        </w:tc>
        <w:tc>
          <w:tcPr>
            <w:tcW w:w="2000" w:type="dxa"/>
          </w:tcPr>
          <w:p>
            <w:pPr>
              <w:pStyle w:val="IPPArialTable"/>
            </w:pPr>
            <w:r>
              <w:rPr>
                <w:rStyle w:val="PleaseReviewParagraphId"/>
                <w:b w:val="off"/>
                <w:i w:val="off"/>
              </w:rPr>
              <w:t>[224]</w:t>
            </w:r>
            <w:r>
              <w:t>0.3 µM</w:t>
            </w:r>
          </w:p>
        </w:tc>
      </w:tr>
      <w:tr>
        <w:tc>
          <w:tcPr>
            <w:tcW w:w="3570" w:type="dxa"/>
          </w:tcPr>
          <w:p>
            <w:pPr>
              <w:pStyle w:val="IPPArialTable"/>
            </w:pPr>
            <w:r>
              <w:rPr>
                <w:rStyle w:val="PleaseReviewParagraphId"/>
                <w:b w:val="off"/>
                <w:i w:val="off"/>
              </w:rPr>
              <w:t>[225]</w:t>
            </w:r>
            <w:r>
              <w:t>Probe FCIR-P</w:t>
            </w:r>
          </w:p>
        </w:tc>
        <w:tc>
          <w:tcPr>
            <w:tcW w:w="2000" w:type="dxa"/>
          </w:tcPr>
          <w:p>
            <w:pPr>
              <w:pStyle w:val="IPPArialTable"/>
            </w:pPr>
            <w:r>
              <w:rPr>
                <w:rStyle w:val="PleaseReviewParagraphId"/>
                <w:b w:val="off"/>
                <w:i w:val="off"/>
              </w:rPr>
              <w:t>[226]</w:t>
            </w:r>
            <w:r>
              <w:t>0.1 µM</w:t>
            </w:r>
          </w:p>
        </w:tc>
      </w:tr>
      <w:tr>
        <w:tc>
          <w:tcPr>
            <w:tcW w:w="3570" w:type="dxa"/>
          </w:tcPr>
          <w:p>
            <w:pPr>
              <w:pStyle w:val="IPPArialTable"/>
            </w:pPr>
            <w:r>
              <w:rPr>
                <w:rStyle w:val="PleaseReviewParagraphId"/>
                <w:b w:val="off"/>
                <w:i w:val="off"/>
              </w:rPr>
              <w:t>[227]</w:t>
            </w:r>
            <w:r>
              <w:t>DNA polymerase</w:t>
            </w:r>
          </w:p>
        </w:tc>
        <w:tc>
          <w:tcPr>
            <w:tcW w:w="2000" w:type="dxa"/>
          </w:tcPr>
          <w:p>
            <w:pPr>
              <w:pStyle w:val="IPPArialTable"/>
            </w:pPr>
            <w:r>
              <w:rPr>
                <w:rStyle w:val="PleaseReviewParagraphId"/>
                <w:b w:val="off"/>
                <w:i w:val="off"/>
              </w:rPr>
              <w:t>[228]</w:t>
            </w:r>
            <w:r>
              <w:t>0.5 U</w:t>
            </w:r>
          </w:p>
        </w:tc>
      </w:tr>
      <w:tr>
        <w:tc>
          <w:tcPr>
            <w:tcW w:w="3570" w:type="dxa"/>
            <w:tcBorders>
              <w:bottom w:val="single" w:color="000000" w:sz="4" w:space="0"/>
            </w:tcBorders>
          </w:tcPr>
          <w:p>
            <w:pPr>
              <w:pStyle w:val="IPPArialTable"/>
            </w:pPr>
            <w:r>
              <w:rPr>
                <w:rStyle w:val="PleaseReviewParagraphId"/>
                <w:b w:val="off"/>
                <w:i w:val="off"/>
              </w:rPr>
              <w:t>[229]</w:t>
            </w:r>
            <w:r>
              <w:t>DNA (volume)</w:t>
            </w:r>
          </w:p>
        </w:tc>
        <w:tc>
          <w:tcPr>
            <w:tcW w:w="2000" w:type="dxa"/>
            <w:tcBorders>
              <w:bottom w:val="single" w:color="000000" w:sz="4" w:space="0"/>
            </w:tcBorders>
          </w:tcPr>
          <w:p>
            <w:pPr>
              <w:pStyle w:val="IPPArialTable"/>
            </w:pPr>
            <w:r>
              <w:rPr>
                <w:rStyle w:val="PleaseReviewParagraphId"/>
                <w:b w:val="off"/>
                <w:i w:val="off"/>
              </w:rPr>
              <w:t>[230]</w:t>
            </w:r>
            <w:r>
              <w:t>2 µL</w:t>
            </w:r>
          </w:p>
        </w:tc>
      </w:tr>
      <w:tr>
        <w:tc>
          <w:tcPr>
            <w:tcW w:w="5570" w:type="dxa"/>
            <w:gridSpan w:val="2"/>
            <w:tcBorders>
              <w:top w:val="single" w:color="000000" w:sz="4" w:space="0"/>
              <w:bottom w:val="single" w:color="000000" w:sz="4" w:space="0"/>
            </w:tcBorders>
            <w:shd w:val="clear" w:color="auto" w:fill="A6A6A6"/>
          </w:tcPr>
          <w:p>
            <w:pPr>
              <w:pStyle w:val="IPPArialTable"/>
              <w:rPr>
                <w:b/>
              </w:rPr>
            </w:pPr>
            <w:r>
              <w:rPr>
                <w:rStyle w:val="PleaseReviewParagraphId"/>
                <w:b w:val="off"/>
                <w:i w:val="off"/>
              </w:rPr>
              <w:t>[231]</w:t>
            </w:r>
            <w:r>
              <w:rPr>
                <w:b/>
              </w:rPr>
              <w:t>Cycling parameters</w:t>
            </w:r>
          </w:p>
        </w:tc>
      </w:tr>
      <w:tr>
        <w:tc>
          <w:tcPr>
            <w:tcW w:w="3570" w:type="dxa"/>
            <w:tcBorders>
              <w:top w:val="single" w:color="000000" w:sz="4" w:space="0"/>
            </w:tcBorders>
          </w:tcPr>
          <w:p>
            <w:pPr>
              <w:pStyle w:val="IPPArialTable"/>
            </w:pPr>
            <w:r>
              <w:rPr>
                <w:rStyle w:val="PleaseReviewParagraphId"/>
                <w:b w:val="off"/>
                <w:i w:val="off"/>
              </w:rPr>
              <w:t>[232]</w:t>
            </w:r>
            <w:r>
              <w:t>Initial denaturation</w:t>
            </w:r>
            <w:r>
              <w:rPr>
                <w:rFonts w:cs="Arial"/>
                <w:vertAlign w:val="superscript"/>
              </w:rPr>
              <w:t>‡</w:t>
            </w:r>
          </w:p>
        </w:tc>
        <w:tc>
          <w:tcPr>
            <w:tcW w:w="2000" w:type="dxa"/>
            <w:tcBorders>
              <w:top w:val="single" w:color="000000" w:sz="4" w:space="0"/>
            </w:tcBorders>
          </w:tcPr>
          <w:p>
            <w:pPr>
              <w:pStyle w:val="IPPArialTable"/>
            </w:pPr>
            <w:r>
              <w:rPr>
                <w:rStyle w:val="PleaseReviewParagraphId"/>
                <w:b w:val="off"/>
                <w:i w:val="off"/>
              </w:rPr>
              <w:t>[233]</w:t>
            </w:r>
            <w:r>
              <w:t>X °C for X min</w:t>
            </w:r>
          </w:p>
        </w:tc>
      </w:tr>
      <w:tr>
        <w:tc>
          <w:tcPr>
            <w:tcW w:w="3570" w:type="dxa"/>
          </w:tcPr>
          <w:p>
            <w:pPr>
              <w:pStyle w:val="IPPArialTable"/>
            </w:pPr>
            <w:r>
              <w:rPr>
                <w:rStyle w:val="PleaseReviewParagraphId"/>
                <w:b w:val="off"/>
                <w:i w:val="off"/>
              </w:rPr>
              <w:t>[234]</w:t>
            </w:r>
            <w:r>
              <w:t>Number of cycles</w:t>
            </w:r>
          </w:p>
        </w:tc>
        <w:tc>
          <w:tcPr>
            <w:tcW w:w="2000" w:type="dxa"/>
          </w:tcPr>
          <w:p>
            <w:pPr>
              <w:pStyle w:val="IPPArialTable"/>
            </w:pPr>
            <w:r>
              <w:rPr>
                <w:rStyle w:val="PleaseReviewParagraphId"/>
                <w:b w:val="off"/>
                <w:i w:val="off"/>
              </w:rPr>
              <w:t>[235]</w:t>
            </w:r>
            <w:r>
              <w:t>40</w:t>
            </w:r>
          </w:p>
        </w:tc>
      </w:tr>
      <w:tr>
        <w:tc>
          <w:tcPr>
            <w:tcW w:w="3570" w:type="dxa"/>
          </w:tcPr>
          <w:p>
            <w:pPr>
              <w:pStyle w:val="IPPArialTable"/>
            </w:pPr>
            <w:r>
              <w:rPr>
                <w:rStyle w:val="PleaseReviewParagraphId"/>
                <w:b w:val="off"/>
                <w:i w:val="off"/>
              </w:rPr>
              <w:t>[236]</w:t>
            </w:r>
            <w:r>
              <w:t>Denaturation</w:t>
            </w:r>
          </w:p>
        </w:tc>
        <w:tc>
          <w:tcPr>
            <w:tcW w:w="2000" w:type="dxa"/>
          </w:tcPr>
          <w:p>
            <w:pPr>
              <w:pStyle w:val="IPPArialTable"/>
            </w:pPr>
            <w:r>
              <w:rPr>
                <w:rStyle w:val="PleaseReviewParagraphId"/>
                <w:b w:val="off"/>
                <w:i w:val="off"/>
              </w:rPr>
              <w:t>[237]</w:t>
            </w:r>
            <w:r>
              <w:t>95 °C for 15 s</w:t>
            </w:r>
          </w:p>
        </w:tc>
      </w:tr>
      <w:tr>
        <w:tc>
          <w:tcPr>
            <w:tcW w:w="3570" w:type="dxa"/>
          </w:tcPr>
          <w:p>
            <w:pPr>
              <w:pStyle w:val="IPPArialTable"/>
            </w:pPr>
            <w:r>
              <w:rPr>
                <w:rStyle w:val="PleaseReviewParagraphId"/>
                <w:b w:val="off"/>
                <w:i w:val="off"/>
              </w:rPr>
              <w:t>[238]</w:t>
            </w:r>
            <w:r>
              <w:t>Annealing/elongation</w:t>
            </w:r>
          </w:p>
        </w:tc>
        <w:tc>
          <w:tcPr>
            <w:tcW w:w="2000" w:type="dxa"/>
          </w:tcPr>
          <w:p>
            <w:pPr>
              <w:pStyle w:val="IPPArialTable"/>
            </w:pPr>
            <w:r>
              <w:rPr>
                <w:rStyle w:val="PleaseReviewParagraphId"/>
                <w:b w:val="off"/>
                <w:i w:val="off"/>
              </w:rPr>
              <w:t>[239]</w:t>
            </w:r>
            <w:r>
              <w:t>70 °C for 55 s</w:t>
            </w:r>
          </w:p>
        </w:tc>
      </w:tr>
      <w:tr>
        <w:tc>
          <w:tcPr>
            <w:tcW w:w="5570" w:type="dxa"/>
            <w:gridSpan w:val="2"/>
            <w:tcBorders>
              <w:top w:val="single" w:color="000000" w:sz="4" w:space="0"/>
              <w:bottom w:val="single" w:color="000000" w:sz="4" w:space="0"/>
            </w:tcBorders>
            <w:shd w:val="clear" w:color="auto" w:fill="A6A6A6"/>
          </w:tcPr>
          <w:p>
            <w:pPr>
              <w:pStyle w:val="IPPArialTable"/>
              <w:rPr>
                <w:b/>
              </w:rPr>
            </w:pPr>
            <w:r>
              <w:rPr>
                <w:rStyle w:val="PleaseReviewParagraphId"/>
                <w:b w:val="off"/>
                <w:i w:val="off"/>
              </w:rPr>
              <w:t>[240]</w:t>
            </w:r>
            <w:r>
              <w:rPr>
                <w:b/>
              </w:rPr>
              <w:lastRenderedPageBreak/>
              <w:t>Expected amplicons</w:t>
            </w:r>
          </w:p>
        </w:tc>
      </w:tr>
      <w:tr>
        <w:tc>
          <w:tcPr>
            <w:tcW w:w="3570" w:type="dxa"/>
            <w:tcBorders>
              <w:top w:val="single" w:color="000000" w:sz="4" w:space="0"/>
              <w:bottom w:val="single" w:color="000000" w:sz="4" w:space="0"/>
            </w:tcBorders>
          </w:tcPr>
          <w:p>
            <w:pPr>
              <w:pStyle w:val="IPPArialTable"/>
            </w:pPr>
            <w:r>
              <w:rPr>
                <w:rStyle w:val="PleaseReviewParagraphId"/>
                <w:b w:val="off"/>
                <w:i w:val="off"/>
              </w:rPr>
              <w:t>[241]</w:t>
            </w:r>
            <w:r>
              <w:t>Size</w:t>
            </w:r>
          </w:p>
        </w:tc>
        <w:tc>
          <w:tcPr>
            <w:tcW w:w="2000" w:type="dxa"/>
            <w:tcBorders>
              <w:top w:val="single" w:color="000000" w:sz="4" w:space="0"/>
              <w:bottom w:val="single" w:color="000000" w:sz="4" w:space="0"/>
            </w:tcBorders>
          </w:tcPr>
          <w:p>
            <w:pPr>
              <w:pStyle w:val="IPPArialTable"/>
            </w:pPr>
            <w:r>
              <w:rPr>
                <w:rStyle w:val="PleaseReviewParagraphId"/>
                <w:b w:val="off"/>
                <w:i w:val="off"/>
              </w:rPr>
              <w:t>[242]</w:t>
            </w:r>
            <w:r>
              <w:t>NA</w:t>
            </w:r>
          </w:p>
        </w:tc>
      </w:tr>
    </w:tbl>
    <w:p>
      <w:pPr>
        <w:pStyle w:val="IPPArialTable"/>
      </w:pPr>
      <w:r>
        <w:rPr>
          <w:rStyle w:val="PleaseReviewParagraphId"/>
          <w:b w:val="off"/>
          <w:i w:val="off"/>
        </w:rPr>
        <w:t>[243]</w:t>
      </w:r>
      <w:r>
        <w:rPr>
          <w:vertAlign w:val="superscript"/>
        </w:rPr>
        <w:t>†</w:t>
      </w:r>
      <w:r>
        <w:t xml:space="preserve"> For a final reaction volume of 20 μl.</w:t>
      </w:r>
    </w:p>
    <w:p>
      <w:pPr>
        <w:pStyle w:val="IPPArialTable"/>
      </w:pPr>
      <w:r>
        <w:rPr>
          <w:rStyle w:val="PleaseReviewParagraphId"/>
          <w:b w:val="off"/>
          <w:i w:val="off"/>
        </w:rPr>
        <w:t>[244]</w:t>
      </w:r>
      <w:r>
        <w:rPr>
          <w:rFonts w:cs="Arial"/>
          <w:vertAlign w:val="superscript"/>
        </w:rPr>
        <w:t>‡</w:t>
      </w:r>
      <w:r>
        <w:t xml:space="preserve"> According to the DNA polymerase manufacturer’s instruction.</w:t>
      </w:r>
    </w:p>
    <w:p>
      <w:pPr>
        <w:pStyle w:val="IPPArialTable"/>
      </w:pPr>
      <w:r>
        <w:rPr>
          <w:rStyle w:val="PleaseReviewParagraphId"/>
          <w:b w:val="off"/>
          <w:i w:val="off"/>
        </w:rPr>
        <w:t>[245]</w:t>
      </w:r>
      <w:r>
        <w:t>NA, not applicable; PCR, polymerase chain reaction.</w:t>
      </w:r>
    </w:p>
    <w:p>
      <w:pPr>
        <w:pStyle w:val="IPPHeading3"/>
        <w:spacing w:before="200"/>
        <w:rPr>
          <w:rFonts w:ascii="Arial" w:hAnsi="Arial" w:cs="Arial"/>
          <w:sz w:val="18"/>
          <w:szCs w:val="18"/>
        </w:rPr>
      </w:pPr>
      <w:r>
        <w:rPr>
          <w:rStyle w:val="PleaseReviewParagraphId"/>
          <w:b w:val="off"/>
          <w:i w:val="off"/>
        </w:rPr>
        <w:t>[246]</w:t>
      </w:r>
      <w:r>
        <w:t>3.4.5.1 Interpretation of results from real-time PCR using a hydrolysis probe</w:t>
      </w:r>
    </w:p>
    <w:p>
      <w:pPr>
        <w:pStyle w:val="IPPParagraphnumbering"/>
        <w:numPr>
          <w:ilvl w:val="0"/>
          <w:numId w:val="0"/>
        </w:numPr>
        <w:rPr>
          <w:lang w:val="en-GB"/>
        </w:rPr>
      </w:pPr>
      <w:r>
        <w:rPr>
          <w:rStyle w:val="PleaseReviewParagraphId"/>
          <w:b w:val="off"/>
          <w:i w:val="off"/>
        </w:rPr>
        <w:t>[247]</w:t>
      </w:r>
      <w:r>
        <w:rPr>
          <w:lang w:val="en-GB"/>
        </w:rPr>
        <w:t xml:space="preserve">The fluorescence of the reporter dye is monitored at the end of each annealing/elongation step. The accumulation of </w:t>
      </w:r>
      <w:r>
        <w:rPr>
          <w:i/>
          <w:iCs/>
          <w:lang w:val="en-GB"/>
        </w:rPr>
        <w:t>F. circinatum</w:t>
      </w:r>
      <w:r>
        <w:rPr>
          <w:lang w:val="en-GB"/>
        </w:rPr>
        <w:t xml:space="preserve"> PCR amplicons is monitored in real time by the measurement of the specific fluorescence of the reporter dye cleaved from the FCIR-P probe. A DNA template containing amplifiable </w:t>
      </w:r>
      <w:r>
        <w:rPr>
          <w:i/>
          <w:iCs/>
          <w:lang w:val="en-GB"/>
        </w:rPr>
        <w:t>F. circinatum</w:t>
      </w:r>
      <w:r>
        <w:rPr>
          <w:lang w:val="en-GB"/>
        </w:rPr>
        <w:t xml:space="preserve"> DNA will yield a cycle threshold (Ct) value.</w:t>
      </w:r>
    </w:p>
    <w:p>
      <w:pPr>
        <w:pStyle w:val="IPPParagraphnumbering"/>
        <w:numPr>
          <w:ilvl w:val="0"/>
          <w:numId w:val="0"/>
        </w:numPr>
        <w:rPr>
          <w:lang w:val="en-GB"/>
        </w:rPr>
      </w:pPr>
      <w:r>
        <w:rPr>
          <w:rStyle w:val="PleaseReviewParagraphId"/>
          <w:b w:val="off"/>
          <w:i w:val="off"/>
        </w:rPr>
        <w:t>[248]</w:t>
      </w:r>
      <w:r>
        <w:rPr>
          <w:lang w:val="en-GB"/>
        </w:rPr>
        <w:t xml:space="preserve">A sample will be considered positive if it produces a Ct value of &lt;40, provided that the amplification curve is exponential and that the negative amplification control and negative extraction control are negative. </w:t>
      </w:r>
    </w:p>
    <w:p>
      <w:pPr>
        <w:pStyle w:val="IPPParagraphnumbering"/>
        <w:numPr>
          <w:ilvl w:val="0"/>
          <w:numId w:val="0"/>
        </w:numPr>
        <w:rPr>
          <w:lang w:val="en-GB"/>
        </w:rPr>
      </w:pPr>
      <w:r>
        <w:rPr>
          <w:rStyle w:val="PleaseReviewParagraphId"/>
          <w:b w:val="off"/>
          <w:i w:val="off"/>
        </w:rPr>
        <w:t>[249]</w:t>
      </w:r>
      <w:r>
        <w:rPr>
          <w:lang w:val="en-GB"/>
        </w:rPr>
        <w:t>A sample will be considered negative if it produces a Ct value of ≥40, provided that the positive nucleic acid control and internal control are positive.</w:t>
      </w:r>
      <w:bookmarkStart w:name="_Toc413424379" w:id="17"/>
    </w:p>
    <w:p>
      <w:pPr>
        <w:pStyle w:val="IPPHeading2"/>
        <w:rPr>
          <w:rFonts w:ascii="Arial" w:hAnsi="Arial" w:cs="Arial"/>
          <w:sz w:val="18"/>
          <w:szCs w:val="18"/>
        </w:rPr>
      </w:pPr>
      <w:r>
        <w:rPr>
          <w:rStyle w:val="PleaseReviewParagraphId"/>
          <w:b w:val="off"/>
          <w:i w:val="off"/>
        </w:rPr>
        <w:t>[250]</w:t>
      </w:r>
      <w:r>
        <w:t xml:space="preserve">3.4.6 Controls for molecular tests </w:t>
      </w:r>
    </w:p>
    <w:p>
      <w:pPr>
        <w:pStyle w:val="IPPParagraphnumbering"/>
        <w:numPr>
          <w:ilvl w:val="0"/>
          <w:numId w:val="0"/>
        </w:numPr>
        <w:rPr>
          <w:lang w:val="en-GB"/>
        </w:rPr>
      </w:pPr>
      <w:r>
        <w:rPr>
          <w:rStyle w:val="PleaseReviewParagraphId"/>
          <w:b w:val="off"/>
          <w:i w:val="off"/>
        </w:rPr>
        <w:t>[251]</w:t>
      </w:r>
      <w:r>
        <w:rPr>
          <w:rFonts w:eastAsia="Calibri"/>
          <w:szCs w:val="22"/>
          <w:lang w:val="en-GB"/>
        </w:rPr>
        <w:t xml:space="preserve">For the test result obtained to be considered reliable, appropriate controls – which will depend on the type of test used and the level of certainty required – </w:t>
      </w:r>
      <w:r>
        <w:rPr>
          <w:lang w:val="en-GB"/>
        </w:rPr>
        <w:t>should be considered for each series of nucleic acid isolation and amplification of the target nucleic acid. For PCR a positive nucleic acid control, an internal control and a negative amplification control (no template control) are the minimum controls that should be used.</w:t>
      </w:r>
    </w:p>
    <w:p>
      <w:pPr>
        <w:pStyle w:val="IPPParagraphnumbering"/>
        <w:numPr>
          <w:ilvl w:val="0"/>
          <w:numId w:val="0"/>
        </w:numPr>
        <w:rPr>
          <w:lang w:val="en-GB"/>
        </w:rPr>
      </w:pPr>
      <w:r>
        <w:rPr>
          <w:rStyle w:val="PleaseReviewParagraphId"/>
          <w:b w:val="off"/>
          <w:i w:val="off"/>
        </w:rPr>
        <w:t>[252]</w:t>
      </w:r>
      <w:r>
        <w:rPr>
          <w:lang w:val="en-GB"/>
        </w:rPr>
        <w:t xml:space="preserve">For the PCR tests described in this diagnostic protocol, a negative extraction control is also recommended to be included. </w:t>
      </w:r>
    </w:p>
    <w:p>
      <w:pPr>
        <w:pStyle w:val="IPPParagraphnumbering"/>
        <w:numPr>
          <w:ilvl w:val="0"/>
          <w:numId w:val="0"/>
        </w:numPr>
        <w:rPr>
          <w:lang w:val="en-GB"/>
        </w:rPr>
      </w:pPr>
      <w:r>
        <w:rPr>
          <w:rStyle w:val="PleaseReviewParagraphId"/>
          <w:b w:val="off"/>
          <w:i w:val="off"/>
        </w:rPr>
        <w:t>[253]</w:t>
      </w:r>
      <w:r>
        <w:rPr>
          <w:b/>
          <w:bCs/>
          <w:lang w:val="en-GB"/>
        </w:rPr>
        <w:t xml:space="preserve">Positive nucleic acid control. </w:t>
      </w:r>
      <w:r>
        <w:rPr>
          <w:lang w:val="en-GB"/>
        </w:rPr>
        <w:t xml:space="preserve">This control is used to monitor the efficiency of the test method (apart from the extraction). Pre-prepared (stored) genomic DNA from a reference strain of </w:t>
      </w:r>
      <w:r>
        <w:rPr>
          <w:i/>
          <w:iCs/>
          <w:lang w:val="en-GB"/>
        </w:rPr>
        <w:t>F. circinatum</w:t>
      </w:r>
      <w:r>
        <w:rPr>
          <w:lang w:val="en-GB"/>
        </w:rPr>
        <w:t xml:space="preserve"> or subcloned </w:t>
      </w:r>
      <w:r>
        <w:rPr>
          <w:i/>
          <w:iCs/>
          <w:lang w:val="en-GB"/>
        </w:rPr>
        <w:t>F. circinatum</w:t>
      </w:r>
      <w:r>
        <w:rPr>
          <w:lang w:val="en-GB"/>
        </w:rPr>
        <w:t xml:space="preserve"> PCR product (CIRC1A/CIRC4A for conventional PCR and SYBR Green</w:t>
      </w:r>
      <w:r>
        <w:rPr>
          <w:vertAlign w:val="superscript"/>
          <w:lang w:val="en-GB"/>
        </w:rPr>
        <w:t xml:space="preserve">® </w:t>
      </w:r>
      <w:r>
        <w:rPr>
          <w:lang w:val="en-GB"/>
        </w:rPr>
        <w:t>real-time PCR; FCIR-F/FCIR-R for real-time PCR with a hydrolysis probe) may be used.</w:t>
      </w:r>
    </w:p>
    <w:p>
      <w:pPr>
        <w:pStyle w:val="IPPParagraphnumbering"/>
        <w:numPr>
          <w:ilvl w:val="0"/>
          <w:numId w:val="0"/>
        </w:numPr>
        <w:rPr>
          <w:b/>
          <w:bCs/>
          <w:lang w:val="en-GB"/>
        </w:rPr>
      </w:pPr>
      <w:r>
        <w:rPr>
          <w:rStyle w:val="PleaseReviewParagraphId"/>
          <w:b w:val="off"/>
          <w:i w:val="off"/>
        </w:rPr>
        <w:t>[254]</w:t>
      </w:r>
      <w:r>
        <w:rPr>
          <w:b/>
          <w:bCs/>
          <w:lang w:val="en-GB"/>
        </w:rPr>
        <w:t xml:space="preserve">Internal control. </w:t>
      </w:r>
      <w:r>
        <w:rPr>
          <w:lang w:val="en-GB"/>
        </w:rPr>
        <w:t>For conventional and real-time PCR, internal controls should be incorporated into the protocol to eliminate the possibility of PCR false negatives due to nucleic acid extraction failure or degradation or the presence of PCR inhibitors.</w:t>
      </w:r>
    </w:p>
    <w:p>
      <w:pPr>
        <w:pStyle w:val="IPPParagraphnumbering"/>
        <w:numPr>
          <w:ilvl w:val="0"/>
          <w:numId w:val="0"/>
        </w:numPr>
        <w:rPr>
          <w:lang w:val="en-GB"/>
        </w:rPr>
      </w:pPr>
      <w:r>
        <w:rPr>
          <w:rStyle w:val="PleaseReviewParagraphId"/>
          <w:b w:val="off"/>
          <w:i w:val="off"/>
        </w:rPr>
        <w:t>[255]</w:t>
      </w:r>
      <w:r>
        <w:rPr>
          <w:lang w:val="en-GB"/>
        </w:rPr>
        <w:t>The quality of the DNA extract should be assessed by a relevant method; for example, by spectrophotometry, by using an ad hoc internal amplification control, or by testing the extract in a PCR with universal plant or fungal primers described in the scientific literature.</w:t>
      </w:r>
    </w:p>
    <w:p>
      <w:pPr>
        <w:pStyle w:val="IPPParagraphnumbering"/>
        <w:numPr>
          <w:ilvl w:val="0"/>
          <w:numId w:val="0"/>
        </w:numPr>
        <w:rPr>
          <w:lang w:val="en-GB"/>
        </w:rPr>
      </w:pPr>
      <w:r>
        <w:rPr>
          <w:rStyle w:val="PleaseReviewParagraphId"/>
          <w:b w:val="off"/>
          <w:i w:val="off"/>
        </w:rPr>
        <w:t>[256]</w:t>
      </w:r>
      <w:r>
        <w:rPr>
          <w:lang w:val="en-GB"/>
        </w:rPr>
        <w:t>For conventional PCR and SYBR Green</w:t>
      </w:r>
      <w:r>
        <w:rPr>
          <w:vertAlign w:val="superscript"/>
          <w:lang w:val="en-GB"/>
        </w:rPr>
        <w:t xml:space="preserve">® </w:t>
      </w:r>
      <w:r>
        <w:rPr>
          <w:lang w:val="en-GB"/>
        </w:rPr>
        <w:t>real-time PCR, ITS1 andITS4 primers targeting the internal transcribed spacers located in the fungal ribosomal DNA (White et al., 1990) may be used in place of the CIRC1A/CIRC4A primers, under the same PCR conditions except for an annealing temperature of 50 °C. The primers are:</w:t>
      </w:r>
    </w:p>
    <w:p>
      <w:pPr>
        <w:pStyle w:val="IPPBullet1"/>
        <w:rPr>
          <w:lang w:val="en-GB"/>
        </w:rPr>
      </w:pPr>
      <w:r>
        <w:rPr>
          <w:rStyle w:val="PleaseReviewParagraphId"/>
          <w:b w:val="off"/>
          <w:i w:val="off"/>
        </w:rPr>
        <w:t>[257]</w:t>
      </w:r>
      <w:r>
        <w:rPr>
          <w:lang w:val="en-GB"/>
        </w:rPr>
        <w:t>ITS1: 5′-</w:t>
      </w:r>
      <w:r>
        <w:rPr>
          <w:caps/>
          <w:lang w:val="en-GB"/>
        </w:rPr>
        <w:t>tcc gta ggt gaa cct gcg g</w:t>
      </w:r>
      <w:r>
        <w:rPr>
          <w:lang w:val="en-GB"/>
        </w:rPr>
        <w:t>-3′</w:t>
      </w:r>
    </w:p>
    <w:p>
      <w:pPr>
        <w:pStyle w:val="IPPBullet1Last"/>
      </w:pPr>
      <w:r>
        <w:rPr>
          <w:rStyle w:val="PleaseReviewParagraphId"/>
          <w:b w:val="off"/>
          <w:i w:val="off"/>
        </w:rPr>
        <w:t>[258]</w:t>
      </w:r>
      <w:r>
        <w:t>ITS4: 5′-</w:t>
      </w:r>
      <w:r>
        <w:rPr>
          <w:caps/>
        </w:rPr>
        <w:t>tcc tcc gct tat tga tat gc</w:t>
      </w:r>
      <w:r>
        <w:t>-3′</w:t>
      </w:r>
    </w:p>
    <w:p>
      <w:pPr>
        <w:pStyle w:val="IPPParagraphnumbering"/>
        <w:numPr>
          <w:ilvl w:val="0"/>
          <w:numId w:val="0"/>
        </w:numPr>
        <w:rPr>
          <w:rFonts w:ascii="Arial" w:hAnsi="Arial" w:cs="Arial"/>
          <w:sz w:val="18"/>
          <w:szCs w:val="18"/>
          <w:lang w:val="en-GB"/>
        </w:rPr>
      </w:pPr>
      <w:r>
        <w:rPr>
          <w:rStyle w:val="PleaseReviewParagraphId"/>
          <w:b w:val="off"/>
          <w:i w:val="off"/>
        </w:rPr>
        <w:t>[259]</w:t>
      </w:r>
      <w:r>
        <w:rPr>
          <w:lang w:val="en-GB"/>
        </w:rPr>
        <w:t xml:space="preserve">For real-time PCR using a hydrolysis probe, the 18S uni-F/-R/-P primers and probe targeting the 18S ribosomal DNA in plant (Ioos </w:t>
      </w:r>
      <w:r>
        <w:rPr>
          <w:i/>
          <w:iCs/>
          <w:lang w:val="en-GB"/>
        </w:rPr>
        <w:t>et al.</w:t>
      </w:r>
      <w:r>
        <w:rPr>
          <w:iCs/>
          <w:lang w:val="en-GB"/>
        </w:rPr>
        <w:t>,</w:t>
      </w:r>
      <w:r>
        <w:rPr>
          <w:lang w:val="en-GB"/>
        </w:rPr>
        <w:t xml:space="preserve"> 2009) may be used in place of the FCIR-F/-R/-P primers and probe, decreasing the annealing/elongation temperature to 65 °C and reading the fluorescence in the appropriate wavelength range for the JOE reporter dye. The primers and probe are:</w:t>
      </w:r>
    </w:p>
    <w:p>
      <w:pPr>
        <w:pStyle w:val="IPPBullet1"/>
        <w:rPr>
          <w:lang w:val="en-GB"/>
        </w:rPr>
      </w:pPr>
      <w:r>
        <w:rPr>
          <w:rStyle w:val="PleaseReviewParagraphId"/>
          <w:b w:val="off"/>
          <w:i w:val="off"/>
        </w:rPr>
        <w:t>[260]</w:t>
      </w:r>
      <w:r>
        <w:rPr>
          <w:lang w:val="en-GB"/>
        </w:rPr>
        <w:t>18S uni-F: 5′-GCA AGG CTG AAA CTT AAA GGA A-3′</w:t>
      </w:r>
    </w:p>
    <w:p>
      <w:pPr>
        <w:pStyle w:val="IPPBullet1"/>
        <w:rPr>
          <w:lang w:val="es-ES"/>
        </w:rPr>
      </w:pPr>
      <w:r>
        <w:rPr>
          <w:rStyle w:val="PleaseReviewParagraphId"/>
          <w:b w:val="off"/>
          <w:i w:val="off"/>
        </w:rPr>
        <w:t>[261]</w:t>
      </w:r>
      <w:r>
        <w:rPr>
          <w:lang w:val="es-ES"/>
        </w:rPr>
        <w:lastRenderedPageBreak/>
        <w:t xml:space="preserve">18S uni-R: 5′-CCA CCA CCC ATA GAA TCA AGA-3′ </w:t>
      </w:r>
    </w:p>
    <w:p>
      <w:pPr>
        <w:pStyle w:val="IPPBullet1Last"/>
        <w:rPr>
          <w:rFonts w:ascii="Arial" w:hAnsi="Arial" w:cs="Arial"/>
          <w:sz w:val="18"/>
          <w:szCs w:val="18"/>
          <w:lang w:val="fr-FR"/>
        </w:rPr>
      </w:pPr>
      <w:r>
        <w:rPr>
          <w:rStyle w:val="PleaseReviewParagraphId"/>
          <w:b w:val="off"/>
          <w:i w:val="off"/>
        </w:rPr>
        <w:t>[262]</w:t>
      </w:r>
      <w:r>
        <w:rPr>
          <w:lang w:val="fr-FR"/>
        </w:rPr>
        <w:t>18S uni-P: 5′-JOE-ACG GAA GGG CAC CAC CAG GAG T-BHQ1-3′</w:t>
      </w:r>
    </w:p>
    <w:p>
      <w:pPr>
        <w:pStyle w:val="IPPParagraphnumbering"/>
        <w:numPr>
          <w:ilvl w:val="0"/>
          <w:numId w:val="0"/>
        </w:numPr>
        <w:rPr>
          <w:rFonts w:ascii="Arial" w:hAnsi="Arial" w:cs="Arial"/>
          <w:sz w:val="18"/>
          <w:szCs w:val="18"/>
          <w:lang w:val="en-GB"/>
        </w:rPr>
      </w:pPr>
      <w:r>
        <w:rPr>
          <w:rStyle w:val="PleaseReviewParagraphId"/>
          <w:b w:val="off"/>
          <w:i w:val="off"/>
        </w:rPr>
        <w:t>[263]</w:t>
      </w:r>
      <w:r>
        <w:rPr>
          <w:lang w:val="en-GB"/>
        </w:rPr>
        <w:t>A positive signal with ITS1/ITS4 PCR or a positive Ct value (to be determined by the diagnostic laboratory) with 18S uni-F/-R/-P real-time PCR would indicate that the DNA was successfully extracted, the level of co-extracted inhibiting compounds was sufficiently low, and the DNA was able to be amplified.</w:t>
      </w:r>
    </w:p>
    <w:p>
      <w:pPr>
        <w:pStyle w:val="IPPParagraphnumbering"/>
        <w:numPr>
          <w:ilvl w:val="0"/>
          <w:numId w:val="0"/>
        </w:numPr>
        <w:rPr>
          <w:lang w:val="en-GB"/>
        </w:rPr>
      </w:pPr>
      <w:r>
        <w:rPr>
          <w:rStyle w:val="PleaseReviewParagraphId"/>
          <w:b w:val="off"/>
          <w:i w:val="off"/>
        </w:rPr>
        <w:t>[264]</w:t>
      </w:r>
      <w:r>
        <w:rPr>
          <w:b/>
          <w:lang w:val="it-IT"/>
        </w:rPr>
        <w:t>Negative amplification control (no template control).</w:t>
      </w:r>
      <w:r>
        <w:rPr>
          <w:lang w:val="it-IT"/>
        </w:rPr>
        <w:t xml:space="preserve"> </w:t>
      </w:r>
      <w:r>
        <w:rPr>
          <w:lang w:val="en-GB"/>
        </w:rPr>
        <w:t>This control is necessary for conventional and real-time PCR to rule out false positives due to contamination during preparation of the reaction mixture. PCR-grade water that was used to prepare the reaction mixture is added at the amplification stage.</w:t>
      </w:r>
    </w:p>
    <w:p>
      <w:pPr>
        <w:pStyle w:val="IPPParagraphnumbering"/>
        <w:numPr>
          <w:ilvl w:val="0"/>
          <w:numId w:val="0"/>
        </w:numPr>
        <w:rPr>
          <w:lang w:val="en-GB"/>
        </w:rPr>
      </w:pPr>
      <w:r>
        <w:rPr>
          <w:rStyle w:val="PleaseReviewParagraphId"/>
          <w:b w:val="off"/>
          <w:i w:val="off"/>
        </w:rPr>
        <w:t>[265]</w:t>
      </w:r>
      <w:r>
        <w:rPr>
          <w:b/>
          <w:bCs/>
          <w:lang w:val="en-GB"/>
        </w:rPr>
        <w:t xml:space="preserve">Negative extraction control. </w:t>
      </w:r>
      <w:r>
        <w:rPr>
          <w:lang w:val="en-GB"/>
        </w:rPr>
        <w:t>This control is used to monitor contamination during nucleic acid extraction and/or cross-reaction with the host tissue. The control comprises nucleic acid that is extracted from uninfected host tissue, or alternatively consisting of PCR-grade water, and subsequently amplified. Multiple controls are recommended to be included when large numbers of positive samples are expected.</w:t>
      </w:r>
    </w:p>
    <w:p>
      <w:pPr>
        <w:pStyle w:val="IPPHeading1"/>
      </w:pPr>
      <w:r>
        <w:rPr>
          <w:rStyle w:val="PleaseReviewParagraphId"/>
          <w:b w:val="off"/>
          <w:i w:val="off"/>
        </w:rPr>
        <w:t>[266]</w:t>
      </w:r>
      <w:r>
        <w:t>4. Identification</w:t>
      </w:r>
      <w:bookmarkEnd w:id="17"/>
      <w:r>
        <w:t xml:space="preserve"> </w:t>
      </w:r>
    </w:p>
    <w:p>
      <w:pPr>
        <w:pStyle w:val="IPPHeading2"/>
      </w:pPr>
      <w:r>
        <w:rPr>
          <w:rStyle w:val="PleaseReviewParagraphId"/>
          <w:b w:val="off"/>
          <w:i w:val="off"/>
        </w:rPr>
        <w:t>[267]</w:t>
      </w:r>
      <w:r>
        <w:t>4.1 Morphological identification</w:t>
      </w:r>
    </w:p>
    <w:p>
      <w:pPr>
        <w:pStyle w:val="IPPHeading2"/>
      </w:pPr>
      <w:r>
        <w:rPr>
          <w:rStyle w:val="PleaseReviewParagraphId"/>
          <w:b w:val="off"/>
          <w:i w:val="off"/>
        </w:rPr>
        <w:t>[268]</w:t>
      </w:r>
      <w:r>
        <w:t>4.1.1 Cultural and morphological characteristics</w:t>
      </w:r>
    </w:p>
    <w:p>
      <w:pPr>
        <w:pStyle w:val="IPPParagraphnumbering"/>
        <w:numPr>
          <w:ilvl w:val="0"/>
          <w:numId w:val="0"/>
        </w:numPr>
        <w:rPr>
          <w:rFonts w:ascii="Arial" w:hAnsi="Arial" w:cs="Arial"/>
          <w:sz w:val="18"/>
          <w:szCs w:val="18"/>
          <w:lang w:val="en-GB"/>
        </w:rPr>
      </w:pPr>
      <w:r>
        <w:rPr>
          <w:rStyle w:val="PleaseReviewParagraphId"/>
          <w:b w:val="off"/>
          <w:i w:val="off"/>
        </w:rPr>
        <w:t>[269]</w:t>
      </w:r>
      <w:r>
        <w:rPr>
          <w:lang w:val="en-GB"/>
        </w:rPr>
        <w:t xml:space="preserve">To study colony morphology and pigmentation the isolates are grown on PDA; plates are incubated at 22 °C ± 6 °C under near UV light or daylight for ten days. On PDA, </w:t>
      </w:r>
      <w:r>
        <w:rPr>
          <w:i/>
          <w:iCs/>
          <w:lang w:val="en-GB"/>
        </w:rPr>
        <w:t>F. circinatum</w:t>
      </w:r>
      <w:r>
        <w:rPr>
          <w:lang w:val="en-GB"/>
        </w:rPr>
        <w:t xml:space="preserve"> grows relatively rapidly (average 4.7 mm/day at 20 °C) (Nirenberg and O’Donnell, 1998). After ten days, the colony should have an entire margin and white cottony or off-white aerial mycelium with sometimes a salmon-coloured tinge in the middle and/or with a purple to dark violet or yellow pigment in the agar (Figure 5).</w:t>
      </w:r>
    </w:p>
    <w:p>
      <w:pPr>
        <w:pStyle w:val="IPPParagraphnumbering"/>
        <w:numPr>
          <w:ilvl w:val="0"/>
          <w:numId w:val="0"/>
        </w:numPr>
        <w:rPr>
          <w:lang w:val="en-GB"/>
        </w:rPr>
      </w:pPr>
      <w:r>
        <w:rPr>
          <w:rStyle w:val="PleaseReviewParagraphId"/>
          <w:b w:val="off"/>
          <w:i w:val="off"/>
        </w:rPr>
        <w:t>[270]</w:t>
      </w:r>
      <w:r>
        <w:rPr>
          <w:lang w:val="en-GB"/>
        </w:rPr>
        <w:t xml:space="preserve">To study the formation and type of microconidia, macroconidia and conidiogenous cells the isolates are grown on SNA; plates are incubated at 22 °C ± 6 °C under near UV light or daylight. All isolates are examined after ten days and confirmed as </w:t>
      </w:r>
      <w:r>
        <w:rPr>
          <w:i/>
          <w:iCs/>
          <w:lang w:val="en-GB"/>
        </w:rPr>
        <w:t>F. circinatum</w:t>
      </w:r>
      <w:r>
        <w:rPr>
          <w:lang w:val="en-GB"/>
        </w:rPr>
        <w:t xml:space="preserve"> based on the morphological features described by Nirenberg and O’Donnell (1998) and Britz </w:t>
      </w:r>
      <w:r>
        <w:rPr>
          <w:i/>
          <w:iCs/>
          <w:lang w:val="en-GB"/>
        </w:rPr>
        <w:t>et al.</w:t>
      </w:r>
      <w:r>
        <w:rPr>
          <w:lang w:val="en-GB"/>
        </w:rPr>
        <w:t xml:space="preserve"> (2002). On SNA, microconidia are aggregated in false heads, with branched conidiophores, monophialidic and polyphialidic conidiophores, and obovoid microconidia in aerial mycelium, mostly non-septate or occasionally one-septate (Figure 6A). Macroconidia are typically three-septate, with walls that are slightly curved, an apical cell that narrows to an inwardly (i.e. toward the ventral side) curved tip, and a foot-shaped basal cell (Figure 6B). Chlamydospores are absent. The sterile hyphae (coiled or not distinctively coiled) are characteristic of </w:t>
      </w:r>
      <w:r>
        <w:rPr>
          <w:i/>
          <w:iCs/>
          <w:lang w:val="en-GB"/>
        </w:rPr>
        <w:t>F. circinatum</w:t>
      </w:r>
      <w:r>
        <w:rPr>
          <w:lang w:val="en-GB"/>
        </w:rPr>
        <w:t xml:space="preserve"> and are observed clearly on this medium (Figure 7). The epithet “circinatum” refers to these typical coiled hyphae, also called “circinate” hyphae (Figure 7A). These circinate hyphae should not be confused with the commonly observed “spiral-wrapped” hyphae at the surface of the agar, which may be produced by several species of </w:t>
      </w:r>
      <w:r>
        <w:rPr>
          <w:i/>
          <w:iCs/>
          <w:lang w:val="en-GB"/>
        </w:rPr>
        <w:t xml:space="preserve">Fusarium, </w:t>
      </w:r>
      <w:r>
        <w:rPr>
          <w:lang w:val="en-GB"/>
        </w:rPr>
        <w:t>especially</w:t>
      </w:r>
      <w:r>
        <w:rPr>
          <w:i/>
          <w:iCs/>
          <w:lang w:val="en-GB"/>
        </w:rPr>
        <w:t xml:space="preserve"> F. pseudocircinatum</w:t>
      </w:r>
      <w:r>
        <w:rPr>
          <w:lang w:val="en-GB"/>
        </w:rPr>
        <w:t xml:space="preserve"> (Figure 8).</w:t>
      </w:r>
    </w:p>
    <w:p>
      <w:pPr>
        <w:pStyle w:val="IPPParagraphnumbering"/>
        <w:numPr>
          <w:ilvl w:val="0"/>
          <w:numId w:val="0"/>
        </w:numPr>
        <w:rPr>
          <w:lang w:val="en-GB"/>
        </w:rPr>
      </w:pPr>
      <w:r>
        <w:rPr>
          <w:rStyle w:val="PleaseReviewParagraphId"/>
          <w:b w:val="off"/>
          <w:i w:val="off"/>
        </w:rPr>
        <w:t>[271]</w:t>
      </w:r>
      <w:r>
        <w:rPr>
          <w:lang w:val="en-GB"/>
        </w:rPr>
        <w:t xml:space="preserve">The isolate observed in pure culture can reliably and confidently be assigned to the species </w:t>
      </w:r>
      <w:r>
        <w:rPr>
          <w:i/>
          <w:iCs/>
          <w:lang w:val="en-GB"/>
        </w:rPr>
        <w:t>F. circinatum</w:t>
      </w:r>
      <w:r>
        <w:rPr>
          <w:lang w:val="en-GB"/>
        </w:rPr>
        <w:t xml:space="preserve"> if all the morphological features described above are observed. Table 4 presents a comparison of </w:t>
      </w:r>
      <w:r>
        <w:rPr>
          <w:i/>
          <w:lang w:val="en-GB"/>
        </w:rPr>
        <w:t>F. circinatum</w:t>
      </w:r>
      <w:r>
        <w:rPr>
          <w:lang w:val="en-GB"/>
        </w:rPr>
        <w:t xml:space="preserve"> with other </w:t>
      </w:r>
      <w:r>
        <w:rPr>
          <w:i/>
          <w:iCs/>
          <w:lang w:val="en-GB"/>
        </w:rPr>
        <w:t>Fusarium</w:t>
      </w:r>
      <w:r>
        <w:rPr>
          <w:lang w:val="en-GB"/>
        </w:rPr>
        <w:t xml:space="preserve"> species that have similar characteristics and that </w:t>
      </w:r>
      <w:r>
        <w:rPr>
          <w:i/>
          <w:iCs/>
          <w:lang w:val="en-GB"/>
        </w:rPr>
        <w:t>F. circinatum</w:t>
      </w:r>
      <w:r>
        <w:rPr>
          <w:lang w:val="en-GB"/>
        </w:rPr>
        <w:t xml:space="preserve"> may therefore be confused with. In case of doubt, or if at least one characteristic cannot be clearly observed, then a DNA sequence analysis should be conducted (section 4.2). </w:t>
      </w:r>
    </w:p>
    <w:p>
      <w:pPr>
        <w:pStyle w:val="IPPArialTable"/>
      </w:pPr>
      <w:r>
        <w:rPr>
          <w:rStyle w:val="PleaseReviewParagraphId"/>
          <w:b w:val="off"/>
          <w:i w:val="off"/>
        </w:rPr>
        <w:t>[272]</w:t>
      </w:r>
      <w:r>
        <w:rPr>
          <w:b/>
          <w:bCs/>
        </w:rPr>
        <w:t xml:space="preserve">Table 4. </w:t>
      </w:r>
      <w:r>
        <w:t xml:space="preserve">Main cultural and morphological characteristics of commonly encountered </w:t>
      </w:r>
      <w:r>
        <w:rPr>
          <w:i/>
          <w:iCs/>
        </w:rPr>
        <w:t>Fusarium</w:t>
      </w:r>
      <w:r>
        <w:t xml:space="preserve"> species on pine producing microconidia</w:t>
      </w: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18"/>
        <w:gridCol w:w="2193"/>
        <w:gridCol w:w="2477"/>
        <w:gridCol w:w="2171"/>
      </w:tblGrid>
      <w:tr>
        <w:tc>
          <w:tcPr>
            <w:tcW w:w="2302" w:type="dxa"/>
            <w:shd w:val="clear" w:color="auto" w:fill="D9D9D9"/>
          </w:tcPr>
          <w:p>
            <w:pPr>
              <w:pStyle w:val="IPPArialTable"/>
              <w:rPr>
                <w:b/>
              </w:rPr>
            </w:pPr>
            <w:r>
              <w:rPr>
                <w:rStyle w:val="PleaseReviewParagraphId"/>
                <w:b w:val="off"/>
                <w:i w:val="off"/>
              </w:rPr>
              <w:t>[273]</w:t>
            </w:r>
            <w:r>
              <w:rPr>
                <w:b/>
                <w:i/>
                <w:iCs/>
              </w:rPr>
              <w:t>Fusarium</w:t>
            </w:r>
            <w:r>
              <w:rPr>
                <w:b/>
              </w:rPr>
              <w:t xml:space="preserve"> species</w:t>
            </w:r>
          </w:p>
        </w:tc>
        <w:tc>
          <w:tcPr>
            <w:tcW w:w="2303" w:type="dxa"/>
            <w:shd w:val="clear" w:color="auto" w:fill="D9D9D9"/>
          </w:tcPr>
          <w:p>
            <w:pPr>
              <w:pStyle w:val="IPPArialTable"/>
              <w:rPr>
                <w:b/>
              </w:rPr>
            </w:pPr>
            <w:r>
              <w:rPr>
                <w:rStyle w:val="PleaseReviewParagraphId"/>
                <w:b w:val="off"/>
                <w:i w:val="off"/>
              </w:rPr>
              <w:t>[274]</w:t>
            </w:r>
            <w:r>
              <w:rPr>
                <w:b/>
              </w:rPr>
              <w:t xml:space="preserve">Arrangement of microconidia </w:t>
            </w:r>
          </w:p>
        </w:tc>
        <w:tc>
          <w:tcPr>
            <w:tcW w:w="2303" w:type="dxa"/>
            <w:shd w:val="clear" w:color="auto" w:fill="D9D9D9"/>
          </w:tcPr>
          <w:p>
            <w:pPr>
              <w:pStyle w:val="IPPArialTable"/>
              <w:rPr>
                <w:b/>
              </w:rPr>
            </w:pPr>
            <w:r>
              <w:rPr>
                <w:rStyle w:val="PleaseReviewParagraphId"/>
                <w:b w:val="off"/>
                <w:i w:val="off"/>
              </w:rPr>
              <w:t>[275]</w:t>
            </w:r>
            <w:r>
              <w:rPr>
                <w:b/>
              </w:rPr>
              <w:t>Monophialide/polyphialide</w:t>
            </w:r>
          </w:p>
        </w:tc>
        <w:tc>
          <w:tcPr>
            <w:tcW w:w="2303" w:type="dxa"/>
            <w:shd w:val="clear" w:color="auto" w:fill="D9D9D9"/>
          </w:tcPr>
          <w:p>
            <w:pPr>
              <w:pStyle w:val="IPPArialTable"/>
              <w:rPr>
                <w:b/>
              </w:rPr>
            </w:pPr>
            <w:r>
              <w:rPr>
                <w:rStyle w:val="PleaseReviewParagraphId"/>
                <w:b w:val="off"/>
                <w:i w:val="off"/>
              </w:rPr>
              <w:t>[276]</w:t>
            </w:r>
            <w:r>
              <w:rPr>
                <w:b/>
              </w:rPr>
              <w:t>Presence of sterile coiled hyphae</w:t>
            </w:r>
          </w:p>
        </w:tc>
      </w:tr>
      <w:tr>
        <w:tc>
          <w:tcPr>
            <w:tcW w:w="2302" w:type="dxa"/>
          </w:tcPr>
          <w:p>
            <w:pPr>
              <w:pStyle w:val="IPPArialTable"/>
              <w:rPr>
                <w:i/>
                <w:iCs/>
              </w:rPr>
            </w:pPr>
            <w:r>
              <w:rPr>
                <w:rStyle w:val="PleaseReviewParagraphId"/>
                <w:b w:val="off"/>
                <w:i w:val="off"/>
              </w:rPr>
              <w:t>[277]</w:t>
            </w:r>
            <w:r>
              <w:rPr>
                <w:i/>
                <w:iCs/>
              </w:rPr>
              <w:t>F. circinatum</w:t>
            </w:r>
          </w:p>
        </w:tc>
        <w:tc>
          <w:tcPr>
            <w:tcW w:w="2303" w:type="dxa"/>
          </w:tcPr>
          <w:p>
            <w:pPr>
              <w:pStyle w:val="IPPArialTable"/>
            </w:pPr>
            <w:r>
              <w:rPr>
                <w:rStyle w:val="PleaseReviewParagraphId"/>
                <w:b w:val="off"/>
                <w:i w:val="off"/>
              </w:rPr>
              <w:t>[278]</w:t>
            </w:r>
            <w:r>
              <w:t>False head only, on short conidiophores</w:t>
            </w:r>
          </w:p>
        </w:tc>
        <w:tc>
          <w:tcPr>
            <w:tcW w:w="2303" w:type="dxa"/>
          </w:tcPr>
          <w:p>
            <w:pPr>
              <w:pStyle w:val="IPPArialTable"/>
            </w:pPr>
            <w:r>
              <w:rPr>
                <w:rStyle w:val="PleaseReviewParagraphId"/>
                <w:b w:val="off"/>
                <w:i w:val="off"/>
              </w:rPr>
              <w:t>[279]</w:t>
            </w:r>
            <w:r>
              <w:t>Monophialides and polyphialides</w:t>
            </w:r>
          </w:p>
        </w:tc>
        <w:tc>
          <w:tcPr>
            <w:tcW w:w="2303" w:type="dxa"/>
          </w:tcPr>
          <w:p>
            <w:pPr>
              <w:pStyle w:val="IPPArialTable"/>
            </w:pPr>
            <w:r>
              <w:rPr>
                <w:rStyle w:val="PleaseReviewParagraphId"/>
                <w:b w:val="off"/>
                <w:i w:val="off"/>
              </w:rPr>
              <w:t>[280]</w:t>
            </w:r>
            <w:r>
              <w:t>Yes, more or less clearly circinate, depending on the isolate</w:t>
            </w:r>
          </w:p>
        </w:tc>
      </w:tr>
      <w:tr>
        <w:tc>
          <w:tcPr>
            <w:tcW w:w="2302" w:type="dxa"/>
          </w:tcPr>
          <w:p>
            <w:pPr>
              <w:pStyle w:val="IPPArialTable"/>
              <w:rPr>
                <w:i/>
                <w:iCs/>
              </w:rPr>
            </w:pPr>
            <w:r>
              <w:rPr>
                <w:rStyle w:val="PleaseReviewParagraphId"/>
                <w:b w:val="off"/>
                <w:i w:val="off"/>
              </w:rPr>
              <w:t>[281]</w:t>
            </w:r>
            <w:r>
              <w:rPr>
                <w:i/>
                <w:iCs/>
              </w:rPr>
              <w:lastRenderedPageBreak/>
              <w:t>F. subglutinans</w:t>
            </w:r>
          </w:p>
        </w:tc>
        <w:tc>
          <w:tcPr>
            <w:tcW w:w="2303" w:type="dxa"/>
          </w:tcPr>
          <w:p>
            <w:pPr>
              <w:pStyle w:val="IPPArialTable"/>
            </w:pPr>
            <w:r>
              <w:rPr>
                <w:rStyle w:val="PleaseReviewParagraphId"/>
                <w:b w:val="off"/>
                <w:i w:val="off"/>
              </w:rPr>
              <w:t>[282]</w:t>
            </w:r>
            <w:r>
              <w:t>False head only, on short conidiophores</w:t>
            </w:r>
          </w:p>
        </w:tc>
        <w:tc>
          <w:tcPr>
            <w:tcW w:w="2303" w:type="dxa"/>
          </w:tcPr>
          <w:p>
            <w:pPr>
              <w:pStyle w:val="IPPArialTable"/>
            </w:pPr>
            <w:r>
              <w:rPr>
                <w:rStyle w:val="PleaseReviewParagraphId"/>
                <w:b w:val="off"/>
                <w:i w:val="off"/>
              </w:rPr>
              <w:t>[283]</w:t>
            </w:r>
            <w:r>
              <w:t>Monophialides and polyphialides</w:t>
            </w:r>
          </w:p>
        </w:tc>
        <w:tc>
          <w:tcPr>
            <w:tcW w:w="2303" w:type="dxa"/>
          </w:tcPr>
          <w:p>
            <w:pPr>
              <w:pStyle w:val="IPPArialTable"/>
              <w:rPr>
                <w:i/>
                <w:iCs/>
              </w:rPr>
            </w:pPr>
            <w:r>
              <w:rPr>
                <w:rStyle w:val="PleaseReviewParagraphId"/>
                <w:b w:val="off"/>
                <w:i w:val="off"/>
              </w:rPr>
              <w:t>[284]</w:t>
            </w:r>
            <w:r>
              <w:t>No</w:t>
            </w:r>
          </w:p>
        </w:tc>
      </w:tr>
      <w:tr>
        <w:tc>
          <w:tcPr>
            <w:tcW w:w="2302" w:type="dxa"/>
          </w:tcPr>
          <w:p>
            <w:pPr>
              <w:pStyle w:val="IPPArialTable"/>
              <w:rPr>
                <w:i/>
                <w:iCs/>
              </w:rPr>
            </w:pPr>
            <w:r>
              <w:rPr>
                <w:rStyle w:val="PleaseReviewParagraphId"/>
                <w:b w:val="off"/>
                <w:i w:val="off"/>
              </w:rPr>
              <w:t>[285]</w:t>
            </w:r>
            <w:r>
              <w:rPr>
                <w:i/>
                <w:iCs/>
              </w:rPr>
              <w:t>F. verticillioides</w:t>
            </w:r>
          </w:p>
        </w:tc>
        <w:tc>
          <w:tcPr>
            <w:tcW w:w="2303" w:type="dxa"/>
          </w:tcPr>
          <w:p>
            <w:pPr>
              <w:pStyle w:val="IPPArialTable"/>
            </w:pPr>
            <w:r>
              <w:rPr>
                <w:rStyle w:val="PleaseReviewParagraphId"/>
                <w:b w:val="off"/>
                <w:i w:val="off"/>
              </w:rPr>
              <w:t>[286]</w:t>
            </w:r>
            <w:r>
              <w:t>Chains and false head on short conidiophores</w:t>
            </w:r>
          </w:p>
        </w:tc>
        <w:tc>
          <w:tcPr>
            <w:tcW w:w="2303" w:type="dxa"/>
          </w:tcPr>
          <w:p>
            <w:pPr>
              <w:pStyle w:val="IPPArialTable"/>
            </w:pPr>
            <w:r>
              <w:rPr>
                <w:rStyle w:val="PleaseReviewParagraphId"/>
                <w:b w:val="off"/>
                <w:i w:val="off"/>
              </w:rPr>
              <w:t>[287]</w:t>
            </w:r>
            <w:r>
              <w:t>Monophialides only</w:t>
            </w:r>
          </w:p>
        </w:tc>
        <w:tc>
          <w:tcPr>
            <w:tcW w:w="2303" w:type="dxa"/>
          </w:tcPr>
          <w:p>
            <w:pPr>
              <w:pStyle w:val="IPPArialTable"/>
              <w:rPr>
                <w:i/>
                <w:iCs/>
              </w:rPr>
            </w:pPr>
            <w:r>
              <w:rPr>
                <w:rStyle w:val="PleaseReviewParagraphId"/>
                <w:b w:val="off"/>
                <w:i w:val="off"/>
              </w:rPr>
              <w:t>[288]</w:t>
            </w:r>
            <w:r>
              <w:t>No</w:t>
            </w:r>
          </w:p>
        </w:tc>
      </w:tr>
      <w:tr>
        <w:tc>
          <w:tcPr>
            <w:tcW w:w="2302" w:type="dxa"/>
          </w:tcPr>
          <w:p>
            <w:pPr>
              <w:pStyle w:val="IPPArialTable"/>
              <w:rPr>
                <w:i/>
                <w:iCs/>
              </w:rPr>
            </w:pPr>
            <w:r>
              <w:rPr>
                <w:rStyle w:val="PleaseReviewParagraphId"/>
                <w:b w:val="off"/>
                <w:i w:val="off"/>
              </w:rPr>
              <w:t>[289]</w:t>
            </w:r>
            <w:r>
              <w:rPr>
                <w:i/>
                <w:iCs/>
              </w:rPr>
              <w:t>F. oxysporum</w:t>
            </w:r>
          </w:p>
        </w:tc>
        <w:tc>
          <w:tcPr>
            <w:tcW w:w="2303" w:type="dxa"/>
          </w:tcPr>
          <w:p>
            <w:pPr>
              <w:pStyle w:val="IPPArialTable"/>
            </w:pPr>
            <w:r>
              <w:rPr>
                <w:rStyle w:val="PleaseReviewParagraphId"/>
                <w:b w:val="off"/>
                <w:i w:val="off"/>
              </w:rPr>
              <w:t>[290]</w:t>
            </w:r>
            <w:r>
              <w:t xml:space="preserve">False head only, on very short (sometimes inconspicuous) conidiophores </w:t>
            </w:r>
          </w:p>
        </w:tc>
        <w:tc>
          <w:tcPr>
            <w:tcW w:w="2303" w:type="dxa"/>
          </w:tcPr>
          <w:p>
            <w:pPr>
              <w:pStyle w:val="IPPArialTable"/>
            </w:pPr>
            <w:r>
              <w:rPr>
                <w:rStyle w:val="PleaseReviewParagraphId"/>
                <w:b w:val="off"/>
                <w:i w:val="off"/>
              </w:rPr>
              <w:t>[291]</w:t>
            </w:r>
            <w:r>
              <w:t>Short Monophialides only</w:t>
            </w:r>
          </w:p>
        </w:tc>
        <w:tc>
          <w:tcPr>
            <w:tcW w:w="2303" w:type="dxa"/>
          </w:tcPr>
          <w:p>
            <w:pPr>
              <w:pStyle w:val="IPPArialTable"/>
              <w:rPr>
                <w:i/>
                <w:iCs/>
              </w:rPr>
            </w:pPr>
            <w:r>
              <w:rPr>
                <w:rStyle w:val="PleaseReviewParagraphId"/>
                <w:b w:val="off"/>
                <w:i w:val="off"/>
              </w:rPr>
              <w:t>[292]</w:t>
            </w:r>
            <w:r>
              <w:t>No</w:t>
            </w:r>
          </w:p>
        </w:tc>
      </w:tr>
      <w:tr>
        <w:tc>
          <w:tcPr>
            <w:tcW w:w="2302" w:type="dxa"/>
          </w:tcPr>
          <w:p>
            <w:pPr>
              <w:pStyle w:val="IPPArialTable"/>
              <w:rPr>
                <w:i/>
                <w:iCs/>
              </w:rPr>
            </w:pPr>
            <w:r>
              <w:rPr>
                <w:rStyle w:val="PleaseReviewParagraphId"/>
                <w:b w:val="off"/>
                <w:i w:val="off"/>
              </w:rPr>
              <w:t>[293]</w:t>
            </w:r>
            <w:r>
              <w:rPr>
                <w:i/>
                <w:iCs/>
              </w:rPr>
              <w:t>F. solani</w:t>
            </w:r>
          </w:p>
        </w:tc>
        <w:tc>
          <w:tcPr>
            <w:tcW w:w="2303" w:type="dxa"/>
          </w:tcPr>
          <w:p>
            <w:pPr>
              <w:pStyle w:val="IPPArialTable"/>
            </w:pPr>
            <w:r>
              <w:rPr>
                <w:rStyle w:val="PleaseReviewParagraphId"/>
                <w:b w:val="off"/>
                <w:i w:val="off"/>
              </w:rPr>
              <w:t>[294]</w:t>
            </w:r>
            <w:r>
              <w:t>False head only, on long conidiophores</w:t>
            </w:r>
          </w:p>
        </w:tc>
        <w:tc>
          <w:tcPr>
            <w:tcW w:w="2303" w:type="dxa"/>
          </w:tcPr>
          <w:p>
            <w:pPr>
              <w:pStyle w:val="IPPArialTable"/>
            </w:pPr>
            <w:r>
              <w:rPr>
                <w:rStyle w:val="PleaseReviewParagraphId"/>
                <w:b w:val="off"/>
                <w:i w:val="off"/>
              </w:rPr>
              <w:t>[295]</w:t>
            </w:r>
            <w:r>
              <w:t>Monophialides only, often quite long</w:t>
            </w:r>
          </w:p>
        </w:tc>
        <w:tc>
          <w:tcPr>
            <w:tcW w:w="2303" w:type="dxa"/>
          </w:tcPr>
          <w:p>
            <w:pPr>
              <w:pStyle w:val="IPPArialTable"/>
            </w:pPr>
            <w:r>
              <w:rPr>
                <w:rStyle w:val="PleaseReviewParagraphId"/>
                <w:b w:val="off"/>
                <w:i w:val="off"/>
              </w:rPr>
              <w:t>[296]</w:t>
            </w:r>
            <w:r>
              <w:t>No</w:t>
            </w:r>
          </w:p>
        </w:tc>
      </w:tr>
      <w:tr>
        <w:tc>
          <w:tcPr>
            <w:tcW w:w="2302" w:type="dxa"/>
          </w:tcPr>
          <w:p>
            <w:pPr>
              <w:pStyle w:val="IPPArialTable"/>
              <w:rPr>
                <w:i/>
                <w:iCs/>
              </w:rPr>
            </w:pPr>
            <w:r>
              <w:rPr>
                <w:rStyle w:val="PleaseReviewParagraphId"/>
                <w:b w:val="off"/>
                <w:i w:val="off"/>
              </w:rPr>
              <w:t>[297]</w:t>
            </w:r>
            <w:r>
              <w:rPr>
                <w:i/>
                <w:iCs/>
              </w:rPr>
              <w:t>F. pseudocircinatum</w:t>
            </w:r>
          </w:p>
        </w:tc>
        <w:tc>
          <w:tcPr>
            <w:tcW w:w="2303" w:type="dxa"/>
          </w:tcPr>
          <w:p>
            <w:pPr>
              <w:pStyle w:val="IPPArialTable"/>
            </w:pPr>
            <w:r>
              <w:rPr>
                <w:rStyle w:val="PleaseReviewParagraphId"/>
                <w:b w:val="off"/>
                <w:i w:val="off"/>
              </w:rPr>
              <w:t>[298]</w:t>
            </w:r>
            <w:r>
              <w:t>False heads and short chains</w:t>
            </w:r>
          </w:p>
        </w:tc>
        <w:tc>
          <w:tcPr>
            <w:tcW w:w="2303" w:type="dxa"/>
          </w:tcPr>
          <w:p>
            <w:pPr>
              <w:pStyle w:val="IPPArialTable"/>
            </w:pPr>
            <w:r>
              <w:rPr>
                <w:rStyle w:val="PleaseReviewParagraphId"/>
                <w:b w:val="off"/>
                <w:i w:val="off"/>
              </w:rPr>
              <w:t>[299]</w:t>
            </w:r>
            <w:r>
              <w:t>Monophialides and occasionally polyphialides</w:t>
            </w:r>
          </w:p>
        </w:tc>
        <w:tc>
          <w:tcPr>
            <w:tcW w:w="2303" w:type="dxa"/>
          </w:tcPr>
          <w:p>
            <w:pPr>
              <w:pStyle w:val="IPPArialTable"/>
            </w:pPr>
            <w:r>
              <w:rPr>
                <w:rStyle w:val="PleaseReviewParagraphId"/>
                <w:b w:val="off"/>
                <w:i w:val="off"/>
              </w:rPr>
              <w:t>[300]</w:t>
            </w:r>
            <w:r>
              <w:t>Yes, but distinctively spiral-shaped and unlike those of</w:t>
            </w:r>
            <w:r>
              <w:rPr>
                <w:i/>
                <w:iCs/>
              </w:rPr>
              <w:t xml:space="preserve"> F. circinatum</w:t>
            </w:r>
          </w:p>
        </w:tc>
      </w:tr>
    </w:tbl>
    <w:p>
      <w:pPr>
        <w:pStyle w:val="IPPArialTable"/>
      </w:pPr>
      <w:r>
        <w:rPr>
          <w:rStyle w:val="PleaseReviewParagraphId"/>
          <w:b w:val="off"/>
          <w:i w:val="off"/>
        </w:rPr>
        <w:t>[301]</w:t>
      </w:r>
      <w:bookmarkStart w:name="_Toc413424390" w:id="18"/>
      <w:r>
        <w:t>Source: After Leslie and Summerell (2006).</w:t>
      </w:r>
    </w:p>
    <w:p>
      <w:pPr>
        <w:pStyle w:val="IPPHeading2"/>
        <w:spacing w:before="360"/>
      </w:pPr>
      <w:r>
        <w:rPr>
          <w:rStyle w:val="PleaseReviewParagraphId"/>
          <w:b w:val="off"/>
          <w:i w:val="off"/>
        </w:rPr>
        <w:t>[302]</w:t>
      </w:r>
      <w:r>
        <w:t>4.2 Identification by sequence analysis</w:t>
      </w:r>
    </w:p>
    <w:p>
      <w:pPr>
        <w:pStyle w:val="IPPParagraphnumbering"/>
        <w:numPr>
          <w:ilvl w:val="0"/>
          <w:numId w:val="0"/>
        </w:numPr>
        <w:rPr>
          <w:lang w:val="en-GB"/>
        </w:rPr>
      </w:pPr>
      <w:r>
        <w:rPr>
          <w:rStyle w:val="PleaseReviewParagraphId"/>
          <w:b w:val="off"/>
          <w:i w:val="off"/>
        </w:rPr>
        <w:t>[303]</w:t>
      </w:r>
      <w:r>
        <w:rPr>
          <w:lang w:val="en-GB"/>
        </w:rPr>
        <w:t xml:space="preserve">Regions of the IGS rDNA, such as the region amplified by the CIRC1A/CIRC4A primers (Schweigkofler </w:t>
      </w:r>
      <w:r>
        <w:rPr>
          <w:i/>
          <w:iCs/>
          <w:lang w:val="en-GB"/>
        </w:rPr>
        <w:t>et al.</w:t>
      </w:r>
      <w:r>
        <w:rPr>
          <w:iCs/>
          <w:lang w:val="en-GB"/>
        </w:rPr>
        <w:t>,</w:t>
      </w:r>
      <w:r>
        <w:rPr>
          <w:lang w:val="en-GB"/>
        </w:rPr>
        <w:t xml:space="preserve"> 2004), or regions of the translation elongation factor 1-alpha (</w:t>
      </w:r>
      <w:r>
        <w:rPr>
          <w:i/>
          <w:iCs/>
          <w:lang w:val="en-GB"/>
        </w:rPr>
        <w:t>EF-1alpha</w:t>
      </w:r>
      <w:r>
        <w:rPr>
          <w:lang w:val="en-GB"/>
        </w:rPr>
        <w:t xml:space="preserve">) gene amplified by the EF1/EF2 primers (O’Donnell </w:t>
      </w:r>
      <w:r>
        <w:rPr>
          <w:i/>
          <w:iCs/>
          <w:lang w:val="en-GB"/>
        </w:rPr>
        <w:t>et al.</w:t>
      </w:r>
      <w:r>
        <w:rPr>
          <w:iCs/>
          <w:lang w:val="en-GB"/>
        </w:rPr>
        <w:t>,</w:t>
      </w:r>
      <w:r>
        <w:rPr>
          <w:lang w:val="en-GB"/>
        </w:rPr>
        <w:t xml:space="preserve"> 1998) must be sequenced and used for species identification. The CIRC1A/CIRC4A PCR product may be generated from DNA extracted from a pure fungal culture or from plant tissue or seeds, whereas the EF1/EF2 PCR product may be generated only from DNA extracted from a pure fungal culture.</w:t>
      </w:r>
    </w:p>
    <w:p>
      <w:pPr>
        <w:pStyle w:val="IPPHeading2"/>
      </w:pPr>
      <w:r>
        <w:rPr>
          <w:rStyle w:val="PleaseReviewParagraphId"/>
          <w:b w:val="off"/>
          <w:i w:val="off"/>
        </w:rPr>
        <w:t>[304]</w:t>
      </w:r>
      <w:r>
        <w:t xml:space="preserve">4.2.1 Identification of </w:t>
      </w:r>
      <w:r>
        <w:rPr>
          <w:i/>
        </w:rPr>
        <w:t>Fusarium circinatum</w:t>
      </w:r>
      <w:r>
        <w:t xml:space="preserve"> in pure culture by sequence analysis</w:t>
      </w:r>
      <w:bookmarkEnd w:id="18"/>
    </w:p>
    <w:p>
      <w:pPr>
        <w:pStyle w:val="IPPParagraphnumbering"/>
        <w:numPr>
          <w:ilvl w:val="0"/>
          <w:numId w:val="0"/>
        </w:numPr>
        <w:rPr>
          <w:lang w:val="en-GB"/>
        </w:rPr>
      </w:pPr>
      <w:r>
        <w:rPr>
          <w:rStyle w:val="PleaseReviewParagraphId"/>
          <w:b w:val="off"/>
          <w:i w:val="off"/>
        </w:rPr>
        <w:t>[305]</w:t>
      </w:r>
      <w:r>
        <w:t xml:space="preserve">Identification of doubtful isolates in pure culture may be ascertained by analysis of the sequence of a barcode or of another relevant phylogenetic marker. In the case of </w:t>
      </w:r>
      <w:r>
        <w:rPr>
          <w:i/>
          <w:iCs/>
        </w:rPr>
        <w:t>Fusarium</w:t>
      </w:r>
      <w:r>
        <w:t xml:space="preserve">, several genes may be used for identification with a high level of certainty. The </w:t>
      </w:r>
      <w:r>
        <w:rPr>
          <w:i/>
          <w:iCs/>
        </w:rPr>
        <w:t>EF-1alpha</w:t>
      </w:r>
      <w:r>
        <w:t xml:space="preserve"> sequence is sufficient to assign the identity of a </w:t>
      </w:r>
      <w:r>
        <w:rPr>
          <w:i/>
          <w:iCs/>
        </w:rPr>
        <w:t>Fusarium</w:t>
      </w:r>
      <w:r>
        <w:t xml:space="preserve"> strain to </w:t>
      </w:r>
      <w:r>
        <w:rPr>
          <w:i/>
          <w:iCs/>
        </w:rPr>
        <w:t>F. circinatum</w:t>
      </w:r>
      <w:r>
        <w:t xml:space="preserve"> (O’Donnell </w:t>
      </w:r>
      <w:r>
        <w:rPr>
          <w:i/>
          <w:iCs/>
        </w:rPr>
        <w:t>et al.</w:t>
      </w:r>
      <w:r>
        <w:rPr>
          <w:iCs/>
        </w:rPr>
        <w:t>,</w:t>
      </w:r>
      <w:r>
        <w:t xml:space="preserve"> 1998; Geiser, 2004) but other markers may be useful (e.g. largest </w:t>
      </w:r>
      <w:r>
        <w:rPr>
          <w:lang w:val="en-GB"/>
        </w:rPr>
        <w:t>RNA polymerase II B-subunit (</w:t>
      </w:r>
      <w:r>
        <w:t xml:space="preserve">RPB1), second largest RNA polymerase II B-subunit (RPB2), beta-tubulin, IGS) (Steenkamp </w:t>
      </w:r>
      <w:r>
        <w:rPr>
          <w:i/>
          <w:iCs/>
        </w:rPr>
        <w:t>et al.</w:t>
      </w:r>
      <w:r>
        <w:rPr>
          <w:iCs/>
        </w:rPr>
        <w:t>,</w:t>
      </w:r>
      <w:r>
        <w:t xml:space="preserve"> 2002; EPPO, 2005; O’Donnell </w:t>
      </w:r>
      <w:r>
        <w:rPr>
          <w:i/>
          <w:iCs/>
        </w:rPr>
        <w:t>et al.</w:t>
      </w:r>
      <w:r>
        <w:rPr>
          <w:iCs/>
        </w:rPr>
        <w:t>,</w:t>
      </w:r>
      <w:r>
        <w:t xml:space="preserve"> 2010). The universal barcode ITS, while very useful for fungi in general, should not be used for the </w:t>
      </w:r>
      <w:r>
        <w:rPr>
          <w:i/>
          <w:iCs/>
        </w:rPr>
        <w:t>Fusarium</w:t>
      </w:r>
      <w:r>
        <w:t xml:space="preserve"> genus as it is not sufficiently polymorphic for several closely related species, including </w:t>
      </w:r>
      <w:r>
        <w:rPr>
          <w:i/>
          <w:iCs/>
        </w:rPr>
        <w:t>F. circinatum</w:t>
      </w:r>
      <w:r>
        <w:t xml:space="preserve">. Moreover, species within the </w:t>
      </w:r>
      <w:r>
        <w:rPr>
          <w:i/>
          <w:iCs/>
        </w:rPr>
        <w:t>fujikuroi</w:t>
      </w:r>
      <w:r>
        <w:t xml:space="preserve"> species complex possess non-orthologous copies of the ITS2 region, which can lead to incorrect phylogenetic inferences (O’Donnell and Cigelnik, 1997)</w:t>
      </w:r>
      <w:r>
        <w:rPr>
          <w:lang w:eastAsia="es-ES"/>
        </w:rPr>
        <w:t>.</w:t>
      </w:r>
    </w:p>
    <w:p>
      <w:pPr>
        <w:pStyle w:val="IPPHeading3"/>
      </w:pPr>
      <w:r>
        <w:rPr>
          <w:rStyle w:val="PleaseReviewParagraphId"/>
          <w:b w:val="off"/>
          <w:i w:val="off"/>
        </w:rPr>
        <w:t>[306]</w:t>
      </w:r>
      <w:r>
        <w:t xml:space="preserve">4.2.1.1 </w:t>
      </w:r>
      <w:r>
        <w:rPr>
          <w:i w:val="0"/>
          <w:iCs/>
        </w:rPr>
        <w:t>EF-1alpha</w:t>
      </w:r>
      <w:r>
        <w:t xml:space="preserve"> sequencing</w:t>
      </w:r>
    </w:p>
    <w:p>
      <w:pPr>
        <w:pStyle w:val="IPPParagraphnumbering"/>
        <w:numPr>
          <w:ilvl w:val="0"/>
          <w:numId w:val="0"/>
        </w:numPr>
        <w:rPr>
          <w:lang w:val="en-GB"/>
        </w:rPr>
      </w:pPr>
      <w:r>
        <w:rPr>
          <w:rStyle w:val="PleaseReviewParagraphId"/>
          <w:b w:val="off"/>
          <w:i w:val="off"/>
        </w:rPr>
        <w:t>[307]</w:t>
      </w:r>
      <w:r>
        <w:rPr>
          <w:lang w:val="en-GB"/>
        </w:rPr>
        <w:t>The primers are:</w:t>
      </w:r>
    </w:p>
    <w:p>
      <w:pPr>
        <w:pStyle w:val="IPPBullet1"/>
        <w:rPr>
          <w:lang w:val="nl-NL"/>
        </w:rPr>
      </w:pPr>
      <w:r>
        <w:rPr>
          <w:rStyle w:val="PleaseReviewParagraphId"/>
          <w:b w:val="off"/>
          <w:i w:val="off"/>
        </w:rPr>
        <w:t>[308]</w:t>
      </w:r>
      <w:r>
        <w:rPr>
          <w:lang w:val="nl-NL"/>
        </w:rPr>
        <w:t>EF1 (forward): 5′-ATG GGT AAG GAR GAC AAG AC-3′</w:t>
      </w:r>
    </w:p>
    <w:p>
      <w:pPr>
        <w:pStyle w:val="IPPBullet1Last"/>
      </w:pPr>
      <w:r>
        <w:rPr>
          <w:rStyle w:val="PleaseReviewParagraphId"/>
          <w:b w:val="off"/>
          <w:i w:val="off"/>
        </w:rPr>
        <w:t>[309]</w:t>
      </w:r>
      <w:r>
        <w:t>EF2 (reverse): 5′-GGA RGT ACC AGT SAT CAT GTT-3′</w:t>
      </w:r>
    </w:p>
    <w:p>
      <w:pPr>
        <w:pStyle w:val="IPPParagraphnumbering"/>
        <w:numPr>
          <w:ilvl w:val="0"/>
          <w:numId w:val="0"/>
        </w:numPr>
        <w:rPr>
          <w:lang w:val="en-GB"/>
        </w:rPr>
      </w:pPr>
      <w:r>
        <w:rPr>
          <w:rStyle w:val="PleaseReviewParagraphId"/>
          <w:b w:val="off"/>
          <w:i w:val="off"/>
        </w:rPr>
        <w:t>[310]</w:t>
      </w:r>
      <w:r>
        <w:rPr>
          <w:lang w:val="en-GB"/>
        </w:rPr>
        <w:t xml:space="preserve">Using these primers and the PCR detailed in Table 5, a portion of the </w:t>
      </w:r>
      <w:r>
        <w:rPr>
          <w:i/>
          <w:iCs/>
          <w:lang w:val="en-GB"/>
        </w:rPr>
        <w:t>EF-1alpha</w:t>
      </w:r>
      <w:r>
        <w:rPr>
          <w:lang w:val="en-GB"/>
        </w:rPr>
        <w:t xml:space="preserve"> gene is amplified. </w:t>
      </w:r>
    </w:p>
    <w:p>
      <w:pPr>
        <w:pStyle w:val="IPPArialTable"/>
      </w:pPr>
      <w:r>
        <w:rPr>
          <w:rStyle w:val="PleaseReviewParagraphId"/>
          <w:b w:val="off"/>
          <w:i w:val="off"/>
        </w:rPr>
        <w:t>[311]</w:t>
      </w:r>
      <w:r>
        <w:rPr>
          <w:b/>
          <w:bCs/>
        </w:rPr>
        <w:t xml:space="preserve">Table 5. </w:t>
      </w:r>
      <w:r>
        <w:t>EF1/EF2 conventional PCR master mix composition, cycling parameters and amplicons</w:t>
      </w:r>
    </w:p>
    <w:tbl>
      <w:tblPr>
        <w:tblW w:w="5570" w:type="dxa"/>
        <w:tblInd w:w="2" w:type="dxa"/>
        <w:tblLayout w:type="fixed"/>
        <w:tblLook w:val="0000" w:firstRow="0" w:lastRow="0" w:firstColumn="0" w:lastColumn="0" w:noHBand="0" w:noVBand="0"/>
      </w:tblPr>
      <w:tblGrid>
        <w:gridCol w:w="3570"/>
        <w:gridCol w:w="2000"/>
      </w:tblGrid>
      <w:tr>
        <w:tc>
          <w:tcPr>
            <w:tcW w:w="3570" w:type="dxa"/>
            <w:tcBorders>
              <w:top w:val="single" w:color="000000" w:sz="4" w:space="0"/>
              <w:bottom w:val="single" w:color="000000" w:sz="4" w:space="0"/>
            </w:tcBorders>
            <w:shd w:val="clear" w:color="auto" w:fill="BFBFBF"/>
          </w:tcPr>
          <w:p>
            <w:pPr>
              <w:pStyle w:val="IPPArialTable"/>
              <w:rPr>
                <w:b/>
              </w:rPr>
            </w:pPr>
            <w:r>
              <w:rPr>
                <w:rStyle w:val="PleaseReviewParagraphId"/>
                <w:b w:val="off"/>
                <w:i w:val="off"/>
              </w:rPr>
              <w:t>[312]</w:t>
            </w:r>
            <w:r>
              <w:rPr>
                <w:b/>
              </w:rPr>
              <w:t>Reagent</w:t>
            </w:r>
          </w:p>
        </w:tc>
        <w:tc>
          <w:tcPr>
            <w:tcW w:w="2000" w:type="dxa"/>
            <w:tcBorders>
              <w:top w:val="single" w:color="000000" w:sz="4" w:space="0"/>
              <w:bottom w:val="single" w:color="000000" w:sz="4" w:space="0"/>
            </w:tcBorders>
            <w:shd w:val="clear" w:color="auto" w:fill="BFBFBF"/>
          </w:tcPr>
          <w:p>
            <w:pPr>
              <w:pStyle w:val="IPPArialTable"/>
              <w:rPr>
                <w:b/>
              </w:rPr>
            </w:pPr>
            <w:r>
              <w:rPr>
                <w:rStyle w:val="PleaseReviewParagraphId"/>
                <w:b w:val="off"/>
                <w:i w:val="off"/>
              </w:rPr>
              <w:t>[313]</w:t>
            </w:r>
            <w:r>
              <w:rPr>
                <w:b/>
              </w:rPr>
              <w:t>Final concentration</w:t>
            </w:r>
          </w:p>
        </w:tc>
      </w:tr>
      <w:tr>
        <w:tc>
          <w:tcPr>
            <w:tcW w:w="3570" w:type="dxa"/>
            <w:tcBorders>
              <w:top w:val="single" w:color="000000" w:sz="4" w:space="0"/>
            </w:tcBorders>
          </w:tcPr>
          <w:p>
            <w:pPr>
              <w:pStyle w:val="IPPArialTable"/>
            </w:pPr>
            <w:r>
              <w:rPr>
                <w:rStyle w:val="PleaseReviewParagraphId"/>
                <w:b w:val="off"/>
                <w:i w:val="off"/>
              </w:rPr>
              <w:t>[314]</w:t>
            </w:r>
            <w:r>
              <w:t>PCR-grade</w:t>
            </w:r>
            <w:r>
              <w:rPr>
                <w:vertAlign w:val="superscript"/>
              </w:rPr>
              <w:t xml:space="preserve"> </w:t>
            </w:r>
            <w:r>
              <w:t xml:space="preserve">water </w:t>
            </w:r>
          </w:p>
        </w:tc>
        <w:tc>
          <w:tcPr>
            <w:tcW w:w="2000" w:type="dxa"/>
            <w:tcBorders>
              <w:top w:val="single" w:color="000000" w:sz="4" w:space="0"/>
            </w:tcBorders>
            <w:shd w:val="clear" w:color="auto" w:fill="FFFFFF"/>
          </w:tcPr>
          <w:p>
            <w:pPr>
              <w:pStyle w:val="IPPArialTable"/>
              <w:rPr>
                <w:shd w:val="clear" w:color="auto" w:fill="C0C0C0"/>
              </w:rPr>
            </w:pPr>
            <w:r>
              <w:rPr>
                <w:rStyle w:val="PleaseReviewParagraphId"/>
                <w:b w:val="off"/>
                <w:i w:val="off"/>
              </w:rPr>
              <w:t>[315]</w:t>
            </w:r>
            <w:r>
              <w:t>–</w:t>
            </w:r>
            <w:r>
              <w:rPr>
                <w:rFonts w:cs="Arial"/>
                <w:vertAlign w:val="superscript"/>
              </w:rPr>
              <w:t>†</w:t>
            </w:r>
          </w:p>
        </w:tc>
      </w:tr>
      <w:tr>
        <w:tc>
          <w:tcPr>
            <w:tcW w:w="3570" w:type="dxa"/>
          </w:tcPr>
          <w:p>
            <w:pPr>
              <w:pStyle w:val="IPPArialTable"/>
            </w:pPr>
            <w:r>
              <w:rPr>
                <w:rStyle w:val="PleaseReviewParagraphId"/>
                <w:b w:val="off"/>
                <w:i w:val="off"/>
              </w:rPr>
              <w:t>[316]</w:t>
            </w:r>
            <w:r>
              <w:t xml:space="preserve">PCR buffer </w:t>
            </w:r>
          </w:p>
        </w:tc>
        <w:tc>
          <w:tcPr>
            <w:tcW w:w="2000" w:type="dxa"/>
          </w:tcPr>
          <w:p>
            <w:pPr>
              <w:pStyle w:val="IPPArialTable"/>
            </w:pPr>
            <w:r>
              <w:rPr>
                <w:rStyle w:val="PleaseReviewParagraphId"/>
                <w:b w:val="off"/>
                <w:i w:val="off"/>
              </w:rPr>
              <w:t>[317]</w:t>
            </w:r>
            <w:r>
              <w:t>1</w:t>
            </w:r>
            <w:r>
              <w:rPr>
                <w:rFonts w:cs="Arial"/>
              </w:rPr>
              <w:t>×</w:t>
            </w:r>
          </w:p>
        </w:tc>
      </w:tr>
      <w:tr>
        <w:tc>
          <w:tcPr>
            <w:tcW w:w="3570" w:type="dxa"/>
          </w:tcPr>
          <w:p>
            <w:pPr>
              <w:pStyle w:val="IPPArialTable"/>
            </w:pPr>
            <w:r>
              <w:rPr>
                <w:rStyle w:val="PleaseReviewParagraphId"/>
                <w:b w:val="off"/>
                <w:i w:val="off"/>
              </w:rPr>
              <w:t>[318]</w:t>
            </w:r>
            <w:r>
              <w:t>MgCl</w:t>
            </w:r>
            <w:r>
              <w:rPr>
                <w:vertAlign w:val="subscript"/>
              </w:rPr>
              <w:t>2</w:t>
            </w:r>
          </w:p>
        </w:tc>
        <w:tc>
          <w:tcPr>
            <w:tcW w:w="2000" w:type="dxa"/>
          </w:tcPr>
          <w:p>
            <w:pPr>
              <w:pStyle w:val="IPPArialTable"/>
            </w:pPr>
            <w:r>
              <w:rPr>
                <w:rStyle w:val="PleaseReviewParagraphId"/>
                <w:b w:val="off"/>
                <w:i w:val="off"/>
              </w:rPr>
              <w:t>[319]</w:t>
            </w:r>
            <w:r>
              <w:t>1.5 mM</w:t>
            </w:r>
          </w:p>
        </w:tc>
      </w:tr>
      <w:tr>
        <w:tc>
          <w:tcPr>
            <w:tcW w:w="3570" w:type="dxa"/>
          </w:tcPr>
          <w:p>
            <w:pPr>
              <w:pStyle w:val="IPPArialTable"/>
            </w:pPr>
            <w:r>
              <w:rPr>
                <w:rStyle w:val="PleaseReviewParagraphId"/>
                <w:b w:val="off"/>
                <w:i w:val="off"/>
              </w:rPr>
              <w:t>[320]</w:t>
            </w:r>
            <w:r>
              <w:t xml:space="preserve">dNTPs </w:t>
            </w:r>
          </w:p>
        </w:tc>
        <w:tc>
          <w:tcPr>
            <w:tcW w:w="2000" w:type="dxa"/>
          </w:tcPr>
          <w:p>
            <w:pPr>
              <w:pStyle w:val="IPPArialTable"/>
            </w:pPr>
            <w:r>
              <w:rPr>
                <w:rStyle w:val="PleaseReviewParagraphId"/>
                <w:b w:val="off"/>
                <w:i w:val="off"/>
              </w:rPr>
              <w:t>[321]</w:t>
            </w:r>
            <w:r>
              <w:t>250 µM</w:t>
            </w:r>
          </w:p>
        </w:tc>
      </w:tr>
      <w:tr>
        <w:tc>
          <w:tcPr>
            <w:tcW w:w="3570" w:type="dxa"/>
          </w:tcPr>
          <w:p>
            <w:pPr>
              <w:pStyle w:val="IPPArialTable"/>
            </w:pPr>
            <w:r>
              <w:rPr>
                <w:rStyle w:val="PleaseReviewParagraphId"/>
                <w:b w:val="off"/>
                <w:i w:val="off"/>
              </w:rPr>
              <w:t>[322]</w:t>
            </w:r>
            <w:r>
              <w:t>Primer EF1</w:t>
            </w:r>
          </w:p>
        </w:tc>
        <w:tc>
          <w:tcPr>
            <w:tcW w:w="2000" w:type="dxa"/>
          </w:tcPr>
          <w:p>
            <w:pPr>
              <w:pStyle w:val="IPPArialTable"/>
            </w:pPr>
            <w:r>
              <w:rPr>
                <w:rStyle w:val="PleaseReviewParagraphId"/>
                <w:b w:val="off"/>
                <w:i w:val="off"/>
              </w:rPr>
              <w:t>[323]</w:t>
            </w:r>
            <w:r>
              <w:t>0.45 µM</w:t>
            </w:r>
          </w:p>
        </w:tc>
      </w:tr>
      <w:tr>
        <w:tc>
          <w:tcPr>
            <w:tcW w:w="3570" w:type="dxa"/>
          </w:tcPr>
          <w:p>
            <w:pPr>
              <w:pStyle w:val="IPPArialTable"/>
            </w:pPr>
            <w:r>
              <w:rPr>
                <w:rStyle w:val="PleaseReviewParagraphId"/>
                <w:b w:val="off"/>
                <w:i w:val="off"/>
              </w:rPr>
              <w:t>[324]</w:t>
            </w:r>
            <w:r>
              <w:t>Primer EF2</w:t>
            </w:r>
          </w:p>
        </w:tc>
        <w:tc>
          <w:tcPr>
            <w:tcW w:w="2000" w:type="dxa"/>
          </w:tcPr>
          <w:p>
            <w:pPr>
              <w:pStyle w:val="IPPArialTable"/>
            </w:pPr>
            <w:r>
              <w:rPr>
                <w:rStyle w:val="PleaseReviewParagraphId"/>
                <w:b w:val="off"/>
                <w:i w:val="off"/>
              </w:rPr>
              <w:t>[325]</w:t>
            </w:r>
            <w:r>
              <w:t>0.45 µM</w:t>
            </w:r>
          </w:p>
        </w:tc>
      </w:tr>
      <w:tr>
        <w:tc>
          <w:tcPr>
            <w:tcW w:w="3570" w:type="dxa"/>
          </w:tcPr>
          <w:p>
            <w:pPr>
              <w:pStyle w:val="IPPArialTable"/>
            </w:pPr>
            <w:r>
              <w:rPr>
                <w:rStyle w:val="PleaseReviewParagraphId"/>
                <w:b w:val="off"/>
                <w:i w:val="off"/>
              </w:rPr>
              <w:t>[326]</w:t>
            </w:r>
            <w:r>
              <w:lastRenderedPageBreak/>
              <w:t>DNA polymerase</w:t>
            </w:r>
          </w:p>
        </w:tc>
        <w:tc>
          <w:tcPr>
            <w:tcW w:w="2000" w:type="dxa"/>
          </w:tcPr>
          <w:p>
            <w:pPr>
              <w:pStyle w:val="IPPArialTable"/>
            </w:pPr>
            <w:r>
              <w:rPr>
                <w:rStyle w:val="PleaseReviewParagraphId"/>
                <w:b w:val="off"/>
                <w:i w:val="off"/>
              </w:rPr>
              <w:t>[327]</w:t>
            </w:r>
            <w:r>
              <w:t>0.5 U</w:t>
            </w:r>
          </w:p>
        </w:tc>
      </w:tr>
      <w:tr>
        <w:tc>
          <w:tcPr>
            <w:tcW w:w="3570" w:type="dxa"/>
            <w:tcBorders>
              <w:bottom w:val="single" w:color="000000" w:sz="4" w:space="0"/>
            </w:tcBorders>
          </w:tcPr>
          <w:p>
            <w:pPr>
              <w:pStyle w:val="IPPArialTable"/>
            </w:pPr>
            <w:r>
              <w:rPr>
                <w:rStyle w:val="PleaseReviewParagraphId"/>
                <w:b w:val="off"/>
                <w:i w:val="off"/>
              </w:rPr>
              <w:t>[328]</w:t>
            </w:r>
            <w:r>
              <w:t>DNA (volume)</w:t>
            </w:r>
          </w:p>
        </w:tc>
        <w:tc>
          <w:tcPr>
            <w:tcW w:w="2000" w:type="dxa"/>
            <w:tcBorders>
              <w:bottom w:val="single" w:color="000000" w:sz="4" w:space="0"/>
            </w:tcBorders>
          </w:tcPr>
          <w:p>
            <w:pPr>
              <w:pStyle w:val="IPPArialTable"/>
            </w:pPr>
            <w:r>
              <w:rPr>
                <w:rStyle w:val="PleaseReviewParagraphId"/>
                <w:b w:val="off"/>
                <w:i w:val="off"/>
              </w:rPr>
              <w:t>[329]</w:t>
            </w:r>
            <w:r>
              <w:t>2µl</w:t>
            </w:r>
          </w:p>
        </w:tc>
      </w:tr>
      <w:tr>
        <w:tc>
          <w:tcPr>
            <w:tcW w:w="5570" w:type="dxa"/>
            <w:gridSpan w:val="2"/>
            <w:tcBorders>
              <w:top w:val="single" w:color="000000" w:sz="4" w:space="0"/>
              <w:bottom w:val="single" w:color="000000" w:sz="4" w:space="0"/>
            </w:tcBorders>
            <w:shd w:val="clear" w:color="auto" w:fill="A6A6A6"/>
          </w:tcPr>
          <w:p>
            <w:pPr>
              <w:pStyle w:val="IPPArialTable"/>
              <w:rPr>
                <w:b/>
              </w:rPr>
            </w:pPr>
            <w:r>
              <w:rPr>
                <w:rStyle w:val="PleaseReviewParagraphId"/>
                <w:b w:val="off"/>
                <w:i w:val="off"/>
              </w:rPr>
              <w:t>[330]</w:t>
            </w:r>
            <w:r>
              <w:rPr>
                <w:b/>
              </w:rPr>
              <w:t>Cycling parameters</w:t>
            </w:r>
          </w:p>
        </w:tc>
      </w:tr>
      <w:tr>
        <w:tc>
          <w:tcPr>
            <w:tcW w:w="3570" w:type="dxa"/>
            <w:tcBorders>
              <w:top w:val="single" w:color="000000" w:sz="4" w:space="0"/>
            </w:tcBorders>
          </w:tcPr>
          <w:p>
            <w:pPr>
              <w:pStyle w:val="IPPArialTable"/>
            </w:pPr>
            <w:r>
              <w:rPr>
                <w:rStyle w:val="PleaseReviewParagraphId"/>
                <w:b w:val="off"/>
                <w:i w:val="off"/>
              </w:rPr>
              <w:t>[331]</w:t>
            </w:r>
            <w:r>
              <w:t>Initial denaturation</w:t>
            </w:r>
            <w:r>
              <w:rPr>
                <w:rFonts w:cs="Arial"/>
                <w:vertAlign w:val="superscript"/>
              </w:rPr>
              <w:t>‡</w:t>
            </w:r>
          </w:p>
        </w:tc>
        <w:tc>
          <w:tcPr>
            <w:tcW w:w="2000" w:type="dxa"/>
            <w:tcBorders>
              <w:top w:val="single" w:color="000000" w:sz="4" w:space="0"/>
            </w:tcBorders>
          </w:tcPr>
          <w:p>
            <w:pPr>
              <w:pStyle w:val="IPPArialTable"/>
            </w:pPr>
            <w:r>
              <w:rPr>
                <w:rStyle w:val="PleaseReviewParagraphId"/>
                <w:b w:val="off"/>
                <w:i w:val="off"/>
              </w:rPr>
              <w:t>[332]</w:t>
            </w:r>
            <w:r>
              <w:t>X °C for X min</w:t>
            </w:r>
          </w:p>
        </w:tc>
      </w:tr>
      <w:tr>
        <w:tc>
          <w:tcPr>
            <w:tcW w:w="3570" w:type="dxa"/>
          </w:tcPr>
          <w:p>
            <w:pPr>
              <w:pStyle w:val="IPPArialTable"/>
            </w:pPr>
            <w:r>
              <w:rPr>
                <w:rStyle w:val="PleaseReviewParagraphId"/>
                <w:b w:val="off"/>
                <w:i w:val="off"/>
              </w:rPr>
              <w:t>[333]</w:t>
            </w:r>
            <w:r>
              <w:t>Number of cycles</w:t>
            </w:r>
          </w:p>
        </w:tc>
        <w:tc>
          <w:tcPr>
            <w:tcW w:w="2000" w:type="dxa"/>
          </w:tcPr>
          <w:p>
            <w:pPr>
              <w:pStyle w:val="IPPArialTable"/>
            </w:pPr>
            <w:r>
              <w:rPr>
                <w:rStyle w:val="PleaseReviewParagraphId"/>
                <w:b w:val="off"/>
                <w:i w:val="off"/>
              </w:rPr>
              <w:t>[334]</w:t>
            </w:r>
            <w:r>
              <w:t>45</w:t>
            </w:r>
          </w:p>
        </w:tc>
      </w:tr>
      <w:tr>
        <w:tc>
          <w:tcPr>
            <w:tcW w:w="3570" w:type="dxa"/>
          </w:tcPr>
          <w:p>
            <w:pPr>
              <w:pStyle w:val="IPPArialTable"/>
            </w:pPr>
            <w:r>
              <w:rPr>
                <w:rStyle w:val="PleaseReviewParagraphId"/>
                <w:b w:val="off"/>
                <w:i w:val="off"/>
              </w:rPr>
              <w:t>[335]</w:t>
            </w:r>
            <w:r>
              <w:t>Denaturation</w:t>
            </w:r>
          </w:p>
        </w:tc>
        <w:tc>
          <w:tcPr>
            <w:tcW w:w="2000" w:type="dxa"/>
          </w:tcPr>
          <w:p>
            <w:pPr>
              <w:pStyle w:val="IPPArialTable"/>
            </w:pPr>
            <w:r>
              <w:rPr>
                <w:rStyle w:val="PleaseReviewParagraphId"/>
                <w:b w:val="off"/>
                <w:i w:val="off"/>
              </w:rPr>
              <w:t>[336]</w:t>
            </w:r>
            <w:r>
              <w:t>95 °C for 30 s</w:t>
            </w:r>
          </w:p>
        </w:tc>
      </w:tr>
      <w:tr>
        <w:tc>
          <w:tcPr>
            <w:tcW w:w="3570" w:type="dxa"/>
          </w:tcPr>
          <w:p>
            <w:pPr>
              <w:pStyle w:val="IPPArialTable"/>
            </w:pPr>
            <w:r>
              <w:rPr>
                <w:rStyle w:val="PleaseReviewParagraphId"/>
                <w:b w:val="off"/>
                <w:i w:val="off"/>
              </w:rPr>
              <w:t>[337]</w:t>
            </w:r>
            <w:r>
              <w:t>Annealing</w:t>
            </w:r>
          </w:p>
        </w:tc>
        <w:tc>
          <w:tcPr>
            <w:tcW w:w="2000" w:type="dxa"/>
          </w:tcPr>
          <w:p>
            <w:pPr>
              <w:pStyle w:val="IPPArialTable"/>
            </w:pPr>
            <w:r>
              <w:rPr>
                <w:rStyle w:val="PleaseReviewParagraphId"/>
                <w:b w:val="off"/>
                <w:i w:val="off"/>
              </w:rPr>
              <w:t>[338]</w:t>
            </w:r>
            <w:r>
              <w:t>55 °C for 30 s</w:t>
            </w:r>
          </w:p>
        </w:tc>
      </w:tr>
      <w:tr>
        <w:tc>
          <w:tcPr>
            <w:tcW w:w="3570" w:type="dxa"/>
          </w:tcPr>
          <w:p>
            <w:pPr>
              <w:pStyle w:val="IPPArialTable"/>
            </w:pPr>
            <w:r>
              <w:rPr>
                <w:rStyle w:val="PleaseReviewParagraphId"/>
                <w:b w:val="off"/>
                <w:i w:val="off"/>
              </w:rPr>
              <w:t>[339]</w:t>
            </w:r>
            <w:r>
              <w:t>Elongation</w:t>
            </w:r>
          </w:p>
        </w:tc>
        <w:tc>
          <w:tcPr>
            <w:tcW w:w="2000" w:type="dxa"/>
          </w:tcPr>
          <w:p>
            <w:pPr>
              <w:pStyle w:val="IPPArialTable"/>
            </w:pPr>
            <w:r>
              <w:rPr>
                <w:rStyle w:val="PleaseReviewParagraphId"/>
                <w:b w:val="off"/>
                <w:i w:val="off"/>
              </w:rPr>
              <w:t>[340]</w:t>
            </w:r>
            <w:r>
              <w:t>72 °C for 60 s</w:t>
            </w:r>
          </w:p>
        </w:tc>
      </w:tr>
      <w:tr>
        <w:tc>
          <w:tcPr>
            <w:tcW w:w="3570" w:type="dxa"/>
          </w:tcPr>
          <w:p>
            <w:pPr>
              <w:pStyle w:val="IPPArialTable"/>
            </w:pPr>
            <w:r>
              <w:rPr>
                <w:rStyle w:val="PleaseReviewParagraphId"/>
                <w:b w:val="off"/>
                <w:i w:val="off"/>
              </w:rPr>
              <w:t>[341]</w:t>
            </w:r>
            <w:r>
              <w:t>Final elongation</w:t>
            </w:r>
          </w:p>
        </w:tc>
        <w:tc>
          <w:tcPr>
            <w:tcW w:w="2000" w:type="dxa"/>
          </w:tcPr>
          <w:p>
            <w:pPr>
              <w:pStyle w:val="IPPArialTable"/>
            </w:pPr>
            <w:r>
              <w:rPr>
                <w:rStyle w:val="PleaseReviewParagraphId"/>
                <w:b w:val="off"/>
                <w:i w:val="off"/>
              </w:rPr>
              <w:t>[342]</w:t>
            </w:r>
            <w:r>
              <w:t>72 °C for 6 min</w:t>
            </w:r>
          </w:p>
        </w:tc>
      </w:tr>
      <w:tr>
        <w:tc>
          <w:tcPr>
            <w:tcW w:w="5570" w:type="dxa"/>
            <w:gridSpan w:val="2"/>
            <w:tcBorders>
              <w:top w:val="single" w:color="000000" w:sz="4" w:space="0"/>
              <w:bottom w:val="single" w:color="000000" w:sz="4" w:space="0"/>
            </w:tcBorders>
            <w:shd w:val="clear" w:color="auto" w:fill="A6A6A6"/>
          </w:tcPr>
          <w:p>
            <w:pPr>
              <w:pStyle w:val="IPPArialTable"/>
              <w:rPr>
                <w:b/>
              </w:rPr>
            </w:pPr>
            <w:r>
              <w:rPr>
                <w:rStyle w:val="PleaseReviewParagraphId"/>
                <w:b w:val="off"/>
                <w:i w:val="off"/>
              </w:rPr>
              <w:t>[343]</w:t>
            </w:r>
            <w:r>
              <w:rPr>
                <w:b/>
              </w:rPr>
              <w:t>Expected amplicons</w:t>
            </w:r>
          </w:p>
        </w:tc>
      </w:tr>
      <w:tr>
        <w:tc>
          <w:tcPr>
            <w:tcW w:w="3570" w:type="dxa"/>
            <w:tcBorders>
              <w:top w:val="single" w:color="000000" w:sz="4" w:space="0"/>
              <w:bottom w:val="single" w:color="000000" w:sz="4" w:space="0"/>
            </w:tcBorders>
          </w:tcPr>
          <w:p>
            <w:pPr>
              <w:pStyle w:val="IPPArialTable"/>
            </w:pPr>
            <w:r>
              <w:rPr>
                <w:rStyle w:val="PleaseReviewParagraphId"/>
                <w:b w:val="off"/>
                <w:i w:val="off"/>
              </w:rPr>
              <w:t>[344]</w:t>
            </w:r>
            <w:r>
              <w:t>Size</w:t>
            </w:r>
          </w:p>
        </w:tc>
        <w:tc>
          <w:tcPr>
            <w:tcW w:w="2000" w:type="dxa"/>
            <w:tcBorders>
              <w:top w:val="single" w:color="000000" w:sz="4" w:space="0"/>
              <w:bottom w:val="single" w:color="000000" w:sz="4" w:space="0"/>
            </w:tcBorders>
          </w:tcPr>
          <w:p>
            <w:pPr>
              <w:pStyle w:val="IPPArialTable"/>
            </w:pPr>
            <w:r>
              <w:rPr>
                <w:rStyle w:val="PleaseReviewParagraphId"/>
                <w:b w:val="off"/>
                <w:i w:val="off"/>
              </w:rPr>
              <w:t>[345]</w:t>
            </w:r>
            <w:r>
              <w:t>Approximately 640 bp</w:t>
            </w:r>
          </w:p>
        </w:tc>
      </w:tr>
    </w:tbl>
    <w:p>
      <w:pPr>
        <w:pStyle w:val="IPPArialTable"/>
      </w:pPr>
      <w:r>
        <w:rPr>
          <w:rStyle w:val="PleaseReviewParagraphId"/>
          <w:b w:val="off"/>
          <w:i w:val="off"/>
        </w:rPr>
        <w:t>[346]</w:t>
      </w:r>
      <w:r>
        <w:rPr>
          <w:vertAlign w:val="superscript"/>
        </w:rPr>
        <w:t>†</w:t>
      </w:r>
      <w:r>
        <w:t xml:space="preserve"> For a final reaction volume of 20 μl.</w:t>
      </w:r>
    </w:p>
    <w:p>
      <w:pPr>
        <w:pStyle w:val="IPPArialTable"/>
      </w:pPr>
      <w:r>
        <w:rPr>
          <w:rStyle w:val="PleaseReviewParagraphId"/>
          <w:b w:val="off"/>
          <w:i w:val="off"/>
        </w:rPr>
        <w:t>[347]</w:t>
      </w:r>
      <w:r>
        <w:rPr>
          <w:rFonts w:cs="Arial"/>
          <w:vertAlign w:val="superscript"/>
        </w:rPr>
        <w:t>‡</w:t>
      </w:r>
      <w:r>
        <w:t xml:space="preserve"> According to the DNA polymerase manufacturer’s instruction.</w:t>
      </w:r>
    </w:p>
    <w:p>
      <w:pPr>
        <w:pStyle w:val="IPPArialTable"/>
      </w:pPr>
      <w:r>
        <w:rPr>
          <w:rStyle w:val="PleaseReviewParagraphId"/>
          <w:b w:val="off"/>
          <w:i w:val="off"/>
        </w:rPr>
        <w:t>[348]</w:t>
      </w:r>
      <w:r>
        <w:t>bp, base pairs; PCR, polymerase chain reaction.</w:t>
      </w:r>
    </w:p>
    <w:p>
      <w:pPr>
        <w:pStyle w:val="IPPParagraphnumbering"/>
        <w:numPr>
          <w:ilvl w:val="0"/>
          <w:numId w:val="0"/>
        </w:numPr>
        <w:spacing w:before="200"/>
        <w:rPr>
          <w:lang w:val="en-GB"/>
        </w:rPr>
      </w:pPr>
      <w:r>
        <w:rPr>
          <w:rStyle w:val="PleaseReviewParagraphId"/>
          <w:b w:val="off"/>
          <w:i w:val="off"/>
        </w:rPr>
        <w:t>[349]</w:t>
      </w:r>
      <w:r>
        <w:rPr>
          <w:lang w:val="en-GB"/>
        </w:rPr>
        <w:t xml:space="preserve">The </w:t>
      </w:r>
      <w:r>
        <w:rPr>
          <w:i/>
          <w:lang w:val="en-GB"/>
        </w:rPr>
        <w:t>EF-1alpha</w:t>
      </w:r>
      <w:r>
        <w:rPr>
          <w:lang w:val="en-GB"/>
        </w:rPr>
        <w:t xml:space="preserve"> PCR product is sequenced, a two-way sequencing with primers EF1 and EF2 as forward and reverse primer, respectively. The consensus sequence, from which the primers’ sequences are trimmed before this, is compared by BLAST with those deposited in GenBank (http://www.ncbi.nlm.nih.gov) for numerous phylogenetically close </w:t>
      </w:r>
      <w:r>
        <w:rPr>
          <w:i/>
          <w:iCs/>
          <w:lang w:val="en-GB"/>
        </w:rPr>
        <w:t>Fusarium</w:t>
      </w:r>
      <w:r>
        <w:rPr>
          <w:lang w:val="en-GB"/>
        </w:rPr>
        <w:t xml:space="preserve"> spp. or with those deposited in the </w:t>
      </w:r>
      <w:r>
        <w:rPr>
          <w:iCs/>
          <w:lang w:val="en-GB"/>
        </w:rPr>
        <w:t>Fusarium-</w:t>
      </w:r>
      <w:r>
        <w:rPr>
          <w:lang w:val="en-GB"/>
        </w:rPr>
        <w:t xml:space="preserve">ID database (http://isolate.fusariumdb.org/index.php), selecting the </w:t>
      </w:r>
      <w:r>
        <w:rPr>
          <w:i/>
          <w:lang w:val="en-GB"/>
        </w:rPr>
        <w:t>EF-1alpha</w:t>
      </w:r>
      <w:r>
        <w:rPr>
          <w:lang w:val="en-GB"/>
        </w:rPr>
        <w:t xml:space="preserve"> data set. The sequence lying between EF1 and EF2 is sufficiently discriminant to identify </w:t>
      </w:r>
      <w:r>
        <w:rPr>
          <w:i/>
          <w:iCs/>
          <w:lang w:val="en-GB"/>
        </w:rPr>
        <w:t>F. circinatum</w:t>
      </w:r>
      <w:r>
        <w:rPr>
          <w:lang w:val="en-GB"/>
        </w:rPr>
        <w:t xml:space="preserve">. The level of identity should be between 99% and 100% with the </w:t>
      </w:r>
      <w:r>
        <w:rPr>
          <w:i/>
          <w:lang w:val="en-GB"/>
        </w:rPr>
        <w:t xml:space="preserve">EF-1alpha </w:t>
      </w:r>
      <w:r>
        <w:rPr>
          <w:lang w:val="en-GB"/>
        </w:rPr>
        <w:t xml:space="preserve">sequence of a reference strain of </w:t>
      </w:r>
      <w:r>
        <w:rPr>
          <w:i/>
          <w:iCs/>
          <w:lang w:val="en-GB"/>
        </w:rPr>
        <w:t xml:space="preserve">F. circinatum </w:t>
      </w:r>
      <w:r>
        <w:rPr>
          <w:lang w:val="en-GB"/>
        </w:rPr>
        <w:t>(e.g. GenBank accession AF160295).</w:t>
      </w:r>
    </w:p>
    <w:p>
      <w:pPr>
        <w:pStyle w:val="IPPHeading3"/>
      </w:pPr>
      <w:r>
        <w:rPr>
          <w:rStyle w:val="PleaseReviewParagraphId"/>
          <w:b w:val="off"/>
          <w:i w:val="off"/>
        </w:rPr>
        <w:t>[350]</w:t>
      </w:r>
      <w:r>
        <w:t>4.2.1.2 CIRC1A/CIRC4A sequencing</w:t>
      </w:r>
    </w:p>
    <w:p>
      <w:pPr>
        <w:pStyle w:val="IPPParagraphnumbering"/>
        <w:numPr>
          <w:ilvl w:val="0"/>
          <w:numId w:val="0"/>
        </w:numPr>
        <w:rPr>
          <w:lang w:val="en-GB"/>
        </w:rPr>
      </w:pPr>
      <w:r>
        <w:rPr>
          <w:rStyle w:val="PleaseReviewParagraphId"/>
          <w:b w:val="off"/>
          <w:i w:val="off"/>
        </w:rPr>
        <w:t>[351]</w:t>
      </w:r>
      <w:r>
        <w:rPr>
          <w:lang w:val="en-GB"/>
        </w:rPr>
        <w:t xml:space="preserve">The CIRC1A/CIRC4A PCR product is sequenced, a two-way sequencing with primers CIRC1A and CIRC4A as forward and reverse primer, respectively. The consensus sequence, from which the primers’ sequences are trimmed before this, is compared by BLAST with those deposited in Genbank (http://www.ncbi.nlm.nih.gov) for numerous phylogenetically close </w:t>
      </w:r>
      <w:r>
        <w:rPr>
          <w:i/>
          <w:iCs/>
          <w:lang w:val="en-GB"/>
        </w:rPr>
        <w:t>Fusarium</w:t>
      </w:r>
      <w:r>
        <w:rPr>
          <w:lang w:val="en-GB"/>
        </w:rPr>
        <w:t xml:space="preserve"> spp. The sequence lying between CIRC1A and CIRC4A in the IGS region is sufficiently discriminant to identify </w:t>
      </w:r>
      <w:r>
        <w:rPr>
          <w:i/>
          <w:iCs/>
          <w:lang w:val="en-GB"/>
        </w:rPr>
        <w:t>F. circinatum</w:t>
      </w:r>
      <w:r>
        <w:rPr>
          <w:lang w:val="en-GB"/>
        </w:rPr>
        <w:t xml:space="preserve">. The level of identity should be between 99% and 100% with the IGS sequence of a reference strain of </w:t>
      </w:r>
      <w:r>
        <w:rPr>
          <w:i/>
          <w:lang w:val="en-GB"/>
        </w:rPr>
        <w:t>F. circinatum</w:t>
      </w:r>
      <w:r>
        <w:rPr>
          <w:lang w:val="en-GB"/>
        </w:rPr>
        <w:t xml:space="preserve"> (e.g. GenBank accession AY249397).</w:t>
      </w:r>
    </w:p>
    <w:p>
      <w:pPr>
        <w:pStyle w:val="IPPHeading1"/>
      </w:pPr>
      <w:r>
        <w:rPr>
          <w:rStyle w:val="PleaseReviewParagraphId"/>
          <w:b w:val="off"/>
          <w:i w:val="off"/>
        </w:rPr>
        <w:t>[352]</w:t>
      </w:r>
      <w:bookmarkStart w:name="_Toc413424399" w:id="19"/>
      <w:r>
        <w:t>5. Records</w:t>
      </w:r>
      <w:bookmarkEnd w:id="19"/>
      <w:r>
        <w:t xml:space="preserve"> </w:t>
      </w:r>
    </w:p>
    <w:p>
      <w:pPr>
        <w:pStyle w:val="IPPParagraphnumbering"/>
        <w:numPr>
          <w:ilvl w:val="0"/>
          <w:numId w:val="0"/>
        </w:numPr>
        <w:rPr>
          <w:lang w:val="en-GB" w:eastAsia="es-ES"/>
        </w:rPr>
      </w:pPr>
      <w:r>
        <w:rPr>
          <w:rStyle w:val="PleaseReviewParagraphId"/>
          <w:b w:val="off"/>
          <w:i w:val="off"/>
        </w:rPr>
        <w:t>[353]</w:t>
      </w:r>
      <w:r>
        <w:rPr>
          <w:rFonts w:eastAsia="Calibri"/>
          <w:szCs w:val="22"/>
          <w:lang w:val="en-GB"/>
        </w:rPr>
        <w:t>Records and evidence should be retained as described in section 2.5 of ISPM 27 (</w:t>
      </w:r>
      <w:r>
        <w:rPr>
          <w:rFonts w:eastAsia="Calibri"/>
          <w:i/>
          <w:szCs w:val="22"/>
          <w:lang w:val="en-GB"/>
        </w:rPr>
        <w:t>Diagnostic protocols for regulated pests</w:t>
      </w:r>
      <w:r>
        <w:rPr>
          <w:rFonts w:eastAsia="Calibri"/>
          <w:szCs w:val="22"/>
          <w:lang w:val="en-GB"/>
        </w:rPr>
        <w:t>).</w:t>
      </w:r>
      <w:r>
        <w:rPr>
          <w:lang w:val="en-GB" w:eastAsia="es-ES"/>
        </w:rPr>
        <w:t xml:space="preserve"> </w:t>
      </w:r>
    </w:p>
    <w:p>
      <w:pPr>
        <w:pStyle w:val="IPPParagraphnumbering"/>
        <w:numPr>
          <w:ilvl w:val="0"/>
          <w:numId w:val="0"/>
        </w:numPr>
        <w:rPr>
          <w:lang w:val="en-GB"/>
        </w:rPr>
      </w:pPr>
      <w:r>
        <w:rPr>
          <w:rStyle w:val="PleaseReviewParagraphId"/>
          <w:b w:val="off"/>
          <w:i w:val="off"/>
        </w:rPr>
        <w:t>[354]</w:t>
      </w:r>
      <w:r>
        <w:rPr>
          <w:lang w:val="en-GB"/>
        </w:rPr>
        <w:t xml:space="preserve">In cases where other contracting parties may be affected by the results of the diagnosis, records and evidence should be kept for at least one year in a manner that ensures traceability. </w:t>
      </w:r>
    </w:p>
    <w:p>
      <w:pPr>
        <w:pStyle w:val="IPPHeading1"/>
      </w:pPr>
      <w:r>
        <w:rPr>
          <w:rStyle w:val="PleaseReviewParagraphId"/>
          <w:b w:val="off"/>
          <w:i w:val="off"/>
        </w:rPr>
        <w:t>[355]</w:t>
      </w:r>
      <w:bookmarkStart w:name="_Toc413424400" w:id="20"/>
      <w:r>
        <w:t>6. Contact Points for Further Information</w:t>
      </w:r>
      <w:bookmarkEnd w:id="20"/>
      <w:r>
        <w:t xml:space="preserve"> </w:t>
      </w:r>
    </w:p>
    <w:p>
      <w:pPr>
        <w:pStyle w:val="IPPParagraphnumbering"/>
        <w:numPr>
          <w:ilvl w:val="0"/>
          <w:numId w:val="0"/>
        </w:numPr>
        <w:rPr>
          <w:color w:val="4F81BD"/>
          <w:lang w:val="en-GB"/>
        </w:rPr>
      </w:pPr>
      <w:r>
        <w:rPr>
          <w:rStyle w:val="PleaseReviewParagraphId"/>
          <w:b w:val="off"/>
          <w:i w:val="off"/>
        </w:rPr>
        <w:t>[356]</w:t>
      </w:r>
      <w:r>
        <w:rPr>
          <w:lang w:val="en-GB"/>
        </w:rPr>
        <w:t>Further information on this protocol can be obtained from:</w:t>
      </w:r>
    </w:p>
    <w:p>
      <w:pPr>
        <w:pStyle w:val="IPPParagraphnumbering"/>
        <w:numPr>
          <w:ilvl w:val="0"/>
          <w:numId w:val="0"/>
        </w:numPr>
        <w:rPr>
          <w:lang w:val="es-ES"/>
        </w:rPr>
      </w:pPr>
      <w:r>
        <w:rPr>
          <w:rStyle w:val="PleaseReviewParagraphId"/>
          <w:b w:val="off"/>
          <w:i w:val="off"/>
        </w:rPr>
        <w:t>[357]</w:t>
      </w:r>
      <w:r>
        <w:rPr>
          <w:rFonts w:eastAsia="MS Mincho"/>
          <w:lang w:val="es-ES"/>
        </w:rPr>
        <w:t xml:space="preserve">Grupo de Investigación en Hongos Fitopatógenos, </w:t>
      </w:r>
      <w:r>
        <w:rPr>
          <w:lang w:val="es-ES"/>
        </w:rPr>
        <w:t xml:space="preserve">Instituto Agroforestal Mediterráneo, Universidad Politécnica de Valencia, Camino de Vera s/n, 46022 Valencia, Spain (Mónica Berbegal </w:t>
      </w:r>
      <w:r>
        <w:rPr>
          <w:szCs w:val="22"/>
          <w:lang w:val="es-ES"/>
        </w:rPr>
        <w:t>Mart</w:t>
      </w:r>
      <w:r>
        <w:rPr>
          <w:szCs w:val="22"/>
          <w:lang w:val="es-ES" w:eastAsia="nl-NL"/>
        </w:rPr>
        <w:t>í</w:t>
      </w:r>
      <w:r>
        <w:rPr>
          <w:szCs w:val="22"/>
          <w:lang w:val="es-ES"/>
        </w:rPr>
        <w:t>nez</w:t>
      </w:r>
      <w:r>
        <w:rPr>
          <w:lang w:val="es-ES"/>
        </w:rPr>
        <w:t xml:space="preserve">; e-mail: </w:t>
      </w:r>
      <w:hyperlink w:history="1" r:id="rId8">
        <w:r>
          <w:rPr>
            <w:rStyle w:val="Hyperlink"/>
            <w:lang w:val="es-ES"/>
          </w:rPr>
          <w:t>mobermar@etsia.upv.es</w:t>
        </w:r>
      </w:hyperlink>
      <w:r>
        <w:rPr>
          <w:lang w:val="es-ES"/>
        </w:rPr>
        <w:t xml:space="preserve">; tel.: +34 </w:t>
      </w:r>
      <w:r>
        <w:rPr>
          <w:rFonts w:eastAsia="MS Mincho"/>
          <w:lang w:val="es-ES"/>
        </w:rPr>
        <w:t>963 879 254; f</w:t>
      </w:r>
      <w:r>
        <w:rPr>
          <w:lang w:val="es-ES"/>
        </w:rPr>
        <w:t xml:space="preserve">ax: +34 963 879 269). </w:t>
      </w:r>
    </w:p>
    <w:p>
      <w:pPr>
        <w:pStyle w:val="IPPParagraphnumbering"/>
        <w:numPr>
          <w:ilvl w:val="0"/>
          <w:numId w:val="0"/>
        </w:numPr>
        <w:rPr>
          <w:color w:val="1F497D"/>
          <w:lang w:val="en-GB"/>
        </w:rPr>
      </w:pPr>
      <w:r>
        <w:rPr>
          <w:rStyle w:val="PleaseReviewParagraphId"/>
          <w:b w:val="off"/>
          <w:i w:val="off"/>
        </w:rPr>
        <w:t>[358]</w:t>
      </w:r>
      <w:r>
        <w:rPr>
          <w:lang w:val="fr-FR"/>
        </w:rPr>
        <w:t>Laboratoire de la Santé des Végétaux – Unité de Mycologie, ANSES, Domaine de Pixérécourt – Bât. </w:t>
      </w:r>
      <w:r>
        <w:rPr>
          <w:lang w:val="en-GB"/>
        </w:rPr>
        <w:t xml:space="preserve">E, CS 40009, F54220 Malzéville, France (Renaud Ioos; e-mail: </w:t>
      </w:r>
      <w:hyperlink w:history="1" r:id="rId9">
        <w:r>
          <w:rPr>
            <w:rStyle w:val="Hyperlink"/>
            <w:lang w:val="en-GB"/>
          </w:rPr>
          <w:t>renaud.ioos@anses.fr</w:t>
        </w:r>
      </w:hyperlink>
      <w:r>
        <w:rPr>
          <w:lang w:val="en-GB"/>
        </w:rPr>
        <w:t>; tel.: +33 383 290 080; fax: +33 383 290 022</w:t>
      </w:r>
      <w:r>
        <w:rPr>
          <w:color w:val="1F497D"/>
          <w:lang w:val="en-GB"/>
        </w:rPr>
        <w:t>).</w:t>
      </w:r>
    </w:p>
    <w:p>
      <w:pPr>
        <w:pStyle w:val="IPPParagraphnumbering"/>
        <w:numPr>
          <w:ilvl w:val="0"/>
          <w:numId w:val="0"/>
        </w:numPr>
        <w:rPr>
          <w:lang w:val="en-GB"/>
        </w:rPr>
      </w:pPr>
      <w:r>
        <w:rPr>
          <w:rStyle w:val="PleaseReviewParagraphId"/>
          <w:b w:val="off"/>
          <w:i w:val="off"/>
        </w:rPr>
        <w:t>[359]</w:t>
      </w:r>
      <w:r>
        <w:rPr>
          <w:lang w:val="en-GB"/>
        </w:rPr>
        <w:lastRenderedPageBreak/>
        <w:t>Forest Research, Alice Holt Lodge, Farnham, Surrey GU10 4LH, England, United Kingdom (Ana Pérez-Sierra; e-mail</w:t>
      </w:r>
      <w:r>
        <w:rPr>
          <w:color w:val="1F497D"/>
          <w:lang w:val="en-GB"/>
        </w:rPr>
        <w:t xml:space="preserve">: </w:t>
      </w:r>
      <w:hyperlink w:history="1" r:id="rId10">
        <w:r>
          <w:rPr>
            <w:rStyle w:val="Hyperlink"/>
            <w:lang w:val="en-GB"/>
          </w:rPr>
          <w:t>ana.perez-sierra@forestry.gsi.gov.uk</w:t>
        </w:r>
      </w:hyperlink>
      <w:r>
        <w:rPr>
          <w:lang w:val="en-GB"/>
        </w:rPr>
        <w:t>; tel.: +44 0300 067 5716; fax: +44 142023653</w:t>
      </w:r>
      <w:r>
        <w:rPr>
          <w:color w:val="1F497D"/>
          <w:lang w:val="en-GB"/>
        </w:rPr>
        <w:t>).</w:t>
      </w:r>
    </w:p>
    <w:p>
      <w:pPr>
        <w:pStyle w:val="IPPParagraphnumbering"/>
        <w:numPr>
          <w:ilvl w:val="0"/>
          <w:numId w:val="0"/>
        </w:numPr>
        <w:rPr>
          <w:lang w:val="en-GB"/>
        </w:rPr>
      </w:pPr>
      <w:r>
        <w:rPr>
          <w:rStyle w:val="PleaseReviewParagraphId"/>
          <w:b w:val="off"/>
          <w:i w:val="off"/>
        </w:rPr>
        <w:t>[360]</w:t>
      </w:r>
      <w:r>
        <w:rPr>
          <w:lang w:val="en-GB"/>
        </w:rPr>
        <w:t>A request for a revision to a diagnostic protocol may be submitted by national plant protection organizations (NPPOs), regional plant protection organizations (RPPOs) or Commission on Phytosanitary Measures (CPM) subsidiary bodies through the IPPC Secretariat (ippc@fao.org), which will in turn forward it to the Technical Panel on Diagnostic Protocols (TPDP).</w:t>
      </w:r>
    </w:p>
    <w:p>
      <w:pPr>
        <w:pStyle w:val="IPPHeading1"/>
      </w:pPr>
      <w:r>
        <w:rPr>
          <w:rStyle w:val="PleaseReviewParagraphId"/>
          <w:b w:val="off"/>
          <w:i w:val="off"/>
        </w:rPr>
        <w:t>[361]</w:t>
      </w:r>
      <w:bookmarkStart w:name="_Toc413424401" w:id="21"/>
      <w:r>
        <w:t>7. Acknowledgements</w:t>
      </w:r>
      <w:bookmarkEnd w:id="21"/>
      <w:r>
        <w:t xml:space="preserve"> </w:t>
      </w:r>
    </w:p>
    <w:p>
      <w:pPr>
        <w:pStyle w:val="IPPParagraphnumbering"/>
        <w:numPr>
          <w:ilvl w:val="0"/>
          <w:numId w:val="0"/>
        </w:numPr>
        <w:rPr>
          <w:lang w:val="en-GB"/>
        </w:rPr>
      </w:pPr>
      <w:r>
        <w:rPr>
          <w:rStyle w:val="PleaseReviewParagraphId"/>
          <w:b w:val="off"/>
          <w:i w:val="off"/>
        </w:rPr>
        <w:t>[362]</w:t>
      </w:r>
      <w:r>
        <w:rPr>
          <w:lang w:val="en-GB"/>
        </w:rPr>
        <w:t xml:space="preserve">The first draft of this protocol was written by Mónica Berbegal </w:t>
      </w:r>
      <w:r>
        <w:rPr>
          <w:szCs w:val="22"/>
          <w:lang w:val="en-GB"/>
        </w:rPr>
        <w:t>Mart</w:t>
      </w:r>
      <w:r>
        <w:rPr>
          <w:szCs w:val="22"/>
          <w:lang w:val="en-GB" w:eastAsia="nl-NL"/>
        </w:rPr>
        <w:t>í</w:t>
      </w:r>
      <w:r>
        <w:rPr>
          <w:szCs w:val="22"/>
          <w:lang w:val="en-GB"/>
        </w:rPr>
        <w:t>nez</w:t>
      </w:r>
      <w:r>
        <w:rPr>
          <w:lang w:val="en-GB"/>
        </w:rPr>
        <w:t xml:space="preserve"> (Instituto Agroforestal Mediterráneo, Universidad Politécnica de Valencia, Spain (see preceding section)), Renaud Ioos (Unité de Mycologie, ANSES, France (see preceding section)) and Ana Pérez-Sierra (Forest Research, United Kingdom (see preceding section)).</w:t>
      </w:r>
      <w:r>
        <w:rPr>
          <w:color w:val="1F497D"/>
          <w:lang w:val="en-GB"/>
        </w:rPr>
        <w:t xml:space="preserve"> </w:t>
      </w:r>
    </w:p>
    <w:p>
      <w:pPr>
        <w:pStyle w:val="IPPHeading1"/>
      </w:pPr>
      <w:r>
        <w:rPr>
          <w:rStyle w:val="PleaseReviewParagraphId"/>
          <w:b w:val="off"/>
          <w:i w:val="off"/>
        </w:rPr>
        <w:t>[363]</w:t>
      </w:r>
      <w:bookmarkStart w:name="_Toc413424402" w:id="22"/>
      <w:r>
        <w:t>8. References</w:t>
      </w:r>
      <w:bookmarkEnd w:id="22"/>
    </w:p>
    <w:p>
      <w:pPr>
        <w:pStyle w:val="IPPParagraphnumbering"/>
        <w:numPr>
          <w:ilvl w:val="0"/>
          <w:numId w:val="0"/>
        </w:numPr>
        <w:rPr>
          <w:lang w:val="en-GB"/>
        </w:rPr>
      </w:pPr>
      <w:r>
        <w:rPr>
          <w:rStyle w:val="PleaseReviewParagraphId"/>
          <w:b w:val="off"/>
          <w:i w:val="off"/>
        </w:rPr>
        <w:t>[364]</w:t>
      </w:r>
      <w:r>
        <w:rPr>
          <w:lang w:val="en-GB"/>
        </w:rPr>
        <w:t>The present annex refers to ISPMs. ISPMs are available on the International Phytosanitary Portal (IPP) at https://www.ippc.int/core-activities/standards-setting/ispms.</w:t>
      </w:r>
    </w:p>
    <w:p>
      <w:pPr>
        <w:pStyle w:val="IPPReferences"/>
      </w:pPr>
      <w:r>
        <w:rPr>
          <w:rStyle w:val="PleaseReviewParagraphId"/>
          <w:b w:val="off"/>
          <w:i w:val="off"/>
        </w:rPr>
        <w:t>[365]</w:t>
      </w:r>
      <w:r>
        <w:rPr>
          <w:b/>
          <w:bCs/>
        </w:rPr>
        <w:t xml:space="preserve">Andrews, S. &amp; Pitt, J.I. </w:t>
      </w:r>
      <w:r>
        <w:t xml:space="preserve">1986. Selective medium for isolation of </w:t>
      </w:r>
      <w:r>
        <w:rPr>
          <w:i/>
          <w:iCs/>
        </w:rPr>
        <w:t>Fusarium</w:t>
      </w:r>
      <w:r>
        <w:t xml:space="preserve"> species and dematiaceous hyphomycetes from cereals. </w:t>
      </w:r>
      <w:r>
        <w:rPr>
          <w:rStyle w:val="st"/>
          <w:i/>
          <w:iCs/>
        </w:rPr>
        <w:t>Applied and Environmental Microbiology</w:t>
      </w:r>
      <w:r>
        <w:rPr>
          <w:i/>
        </w:rPr>
        <w:t>,</w:t>
      </w:r>
      <w:r>
        <w:t xml:space="preserve"> 51</w:t>
      </w:r>
      <w:r>
        <w:rPr>
          <w:bCs/>
        </w:rPr>
        <w:t>:</w:t>
      </w:r>
      <w:r>
        <w:t xml:space="preserve"> 1235–1238.</w:t>
      </w:r>
    </w:p>
    <w:p>
      <w:pPr>
        <w:pStyle w:val="IPPReferences"/>
      </w:pPr>
      <w:r>
        <w:rPr>
          <w:rStyle w:val="PleaseReviewParagraphId"/>
          <w:b w:val="off"/>
          <w:i w:val="off"/>
        </w:rPr>
        <w:t>[366]</w:t>
      </w:r>
      <w:r>
        <w:rPr>
          <w:b/>
          <w:bCs/>
        </w:rPr>
        <w:t>Britz, H., Coutinho, T.A., Wingfield, M.J. &amp; Marasas, W.F.O.</w:t>
      </w:r>
      <w:r>
        <w:t xml:space="preserve"> 2002. Validation of the description of </w:t>
      </w:r>
      <w:r>
        <w:rPr>
          <w:i/>
          <w:iCs/>
        </w:rPr>
        <w:t>Gibberella circinata</w:t>
      </w:r>
      <w:r>
        <w:t xml:space="preserve"> and morphological differentiation of the anamorph </w:t>
      </w:r>
      <w:r>
        <w:rPr>
          <w:i/>
          <w:iCs/>
        </w:rPr>
        <w:t>Fusarium circinatum</w:t>
      </w:r>
      <w:r>
        <w:t xml:space="preserve">. </w:t>
      </w:r>
      <w:r>
        <w:rPr>
          <w:i/>
          <w:iCs/>
        </w:rPr>
        <w:t>Sydowia</w:t>
      </w:r>
      <w:r>
        <w:rPr>
          <w:i/>
        </w:rPr>
        <w:t>,</w:t>
      </w:r>
      <w:r>
        <w:t xml:space="preserve"> 54: 922.</w:t>
      </w:r>
    </w:p>
    <w:p>
      <w:pPr>
        <w:pStyle w:val="IPPReferences"/>
      </w:pPr>
      <w:r>
        <w:rPr>
          <w:rStyle w:val="PleaseReviewParagraphId"/>
          <w:b w:val="off"/>
          <w:i w:val="off"/>
        </w:rPr>
        <w:t>[367]</w:t>
      </w:r>
      <w:r>
        <w:rPr>
          <w:b/>
          <w:bCs/>
        </w:rPr>
        <w:t>Correll, J.C., Gordon, T.R., McCain, A.H., Fox, J.W., Koehler, C.S., Wood, D.L. &amp; Schultz, M.E.</w:t>
      </w:r>
      <w:r>
        <w:t xml:space="preserve"> 1991. Pitch canker disease in California: Pathogenicity, distribution, and canker development on Monterey pine (</w:t>
      </w:r>
      <w:r>
        <w:rPr>
          <w:i/>
          <w:iCs/>
        </w:rPr>
        <w:t>Pinus radiata</w:t>
      </w:r>
      <w:r>
        <w:t xml:space="preserve">). </w:t>
      </w:r>
      <w:r>
        <w:rPr>
          <w:i/>
          <w:iCs/>
        </w:rPr>
        <w:t>Plant Disease</w:t>
      </w:r>
      <w:r>
        <w:rPr>
          <w:i/>
        </w:rPr>
        <w:t>,</w:t>
      </w:r>
      <w:r>
        <w:t xml:space="preserve"> 75: 676–682.</w:t>
      </w:r>
    </w:p>
    <w:p>
      <w:pPr>
        <w:pStyle w:val="IPPReferences"/>
        <w:rPr>
          <w:rFonts w:eastAsia="Times New Roman"/>
          <w:lang w:eastAsia="es-ES"/>
        </w:rPr>
      </w:pPr>
      <w:r>
        <w:rPr>
          <w:rStyle w:val="PleaseReviewParagraphId"/>
          <w:b w:val="off"/>
          <w:i w:val="off"/>
        </w:rPr>
        <w:t>[368]</w:t>
      </w:r>
      <w:r>
        <w:rPr>
          <w:rFonts w:eastAsia="Times New Roman"/>
          <w:b/>
          <w:bCs/>
          <w:lang w:eastAsia="es-ES"/>
        </w:rPr>
        <w:t>Dwinell, L.D.</w:t>
      </w:r>
      <w:r>
        <w:rPr>
          <w:rFonts w:eastAsia="Times New Roman"/>
          <w:lang w:eastAsia="es-ES"/>
        </w:rPr>
        <w:t xml:space="preserve"> 1999. Association of the pitch canker fungus with cones and seeds of pines. </w:t>
      </w:r>
      <w:r>
        <w:rPr>
          <w:rFonts w:eastAsia="Times New Roman"/>
          <w:i/>
          <w:lang w:eastAsia="es-ES"/>
        </w:rPr>
        <w:t>In</w:t>
      </w:r>
      <w:r>
        <w:rPr>
          <w:rFonts w:eastAsia="Times New Roman"/>
          <w:lang w:eastAsia="es-ES"/>
        </w:rPr>
        <w:t xml:space="preserve"> M.E. Devey, A.C. Matheson &amp; T.R. Gordon, eds. </w:t>
      </w:r>
      <w:r>
        <w:rPr>
          <w:rFonts w:eastAsia="Times New Roman"/>
          <w:i/>
          <w:lang w:eastAsia="es-ES"/>
        </w:rPr>
        <w:t>Current and potential impacts of pitch canker in radiata pine.</w:t>
      </w:r>
      <w:r>
        <w:rPr>
          <w:rFonts w:eastAsia="Times New Roman"/>
          <w:lang w:eastAsia="es-ES"/>
        </w:rPr>
        <w:t xml:space="preserve"> Proceedings of the IMPACT Monterey Workshop. Monterey, CA, 30 November to 3 December 1998, pp. 35–39. Canberra, CSIRO Forestry and Forest Products.</w:t>
      </w:r>
    </w:p>
    <w:p>
      <w:pPr>
        <w:pStyle w:val="IPPReferences"/>
      </w:pPr>
      <w:r>
        <w:rPr>
          <w:rStyle w:val="PleaseReviewParagraphId"/>
          <w:b w:val="off"/>
          <w:i w:val="off"/>
        </w:rPr>
        <w:t>[369]</w:t>
      </w:r>
      <w:r>
        <w:rPr>
          <w:b/>
          <w:bCs/>
        </w:rPr>
        <w:t xml:space="preserve">EPPO </w:t>
      </w:r>
      <w:r>
        <w:rPr>
          <w:bCs/>
        </w:rPr>
        <w:t>(European and Mediterranean Plant Protection Organization)</w:t>
      </w:r>
      <w:r>
        <w:t xml:space="preserve">. 2005. </w:t>
      </w:r>
      <w:r>
        <w:rPr>
          <w:i/>
        </w:rPr>
        <w:t>Gibberella circinata</w:t>
      </w:r>
      <w:r>
        <w:t xml:space="preserve">. </w:t>
      </w:r>
      <w:r>
        <w:rPr>
          <w:i/>
          <w:iCs/>
        </w:rPr>
        <w:t>EPPO Bulletin</w:t>
      </w:r>
      <w:r>
        <w:rPr>
          <w:i/>
        </w:rPr>
        <w:t>,</w:t>
      </w:r>
      <w:r>
        <w:t xml:space="preserve"> 35: 383–386.</w:t>
      </w:r>
    </w:p>
    <w:p>
      <w:pPr>
        <w:pStyle w:val="IPPReferences"/>
      </w:pPr>
      <w:r>
        <w:rPr>
          <w:rStyle w:val="PleaseReviewParagraphId"/>
          <w:b w:val="off"/>
          <w:i w:val="off"/>
        </w:rPr>
        <w:t>[370]</w:t>
      </w:r>
      <w:r>
        <w:rPr>
          <w:b/>
          <w:bCs/>
        </w:rPr>
        <w:t>Geiser, D.M.</w:t>
      </w:r>
      <w:r>
        <w:t xml:space="preserve"> 2004. FUSARIUM-ID v. 1.0: A DNA sequence database for identifying </w:t>
      </w:r>
      <w:r>
        <w:rPr>
          <w:i/>
          <w:iCs/>
        </w:rPr>
        <w:t>Fusarium</w:t>
      </w:r>
      <w:r>
        <w:t xml:space="preserve">. </w:t>
      </w:r>
      <w:r>
        <w:rPr>
          <w:i/>
          <w:iCs/>
        </w:rPr>
        <w:t>European Journal of Plant Pathology</w:t>
      </w:r>
      <w:r>
        <w:rPr>
          <w:i/>
        </w:rPr>
        <w:t>,</w:t>
      </w:r>
      <w:r>
        <w:t xml:space="preserve"> 110: 473–479.</w:t>
      </w:r>
    </w:p>
    <w:p>
      <w:pPr>
        <w:pStyle w:val="IPPReferences"/>
      </w:pPr>
      <w:r>
        <w:rPr>
          <w:rStyle w:val="PleaseReviewParagraphId"/>
          <w:b w:val="off"/>
          <w:i w:val="off"/>
        </w:rPr>
        <w:t>[371]</w:t>
      </w:r>
      <w:r>
        <w:rPr>
          <w:b/>
          <w:bCs/>
        </w:rPr>
        <w:t xml:space="preserve">Geiser, D.M., Aoki, T., Bacon, C.W., </w:t>
      </w:r>
      <w:r>
        <w:rPr>
          <w:b/>
          <w:bCs/>
          <w:i/>
          <w:iCs/>
        </w:rPr>
        <w:t>et al</w:t>
      </w:r>
      <w:r>
        <w:rPr>
          <w:b/>
          <w:bCs/>
        </w:rPr>
        <w:t>.</w:t>
      </w:r>
      <w:r>
        <w:t xml:space="preserve"> 2013. One fungus, one name: Defining the genus Fusarium in a scientifically robust way that preserves longstanding use. </w:t>
      </w:r>
      <w:r>
        <w:rPr>
          <w:i/>
          <w:iCs/>
        </w:rPr>
        <w:t>Phytopathology</w:t>
      </w:r>
      <w:r>
        <w:rPr>
          <w:i/>
        </w:rPr>
        <w:t>,</w:t>
      </w:r>
      <w:r>
        <w:t xml:space="preserve"> 103: 400–408.</w:t>
      </w:r>
    </w:p>
    <w:p>
      <w:pPr>
        <w:pStyle w:val="CommentText"/>
        <w:spacing w:after="60"/>
        <w:ind w:left="550" w:hanging="550"/>
      </w:pPr>
      <w:r>
        <w:rPr>
          <w:rStyle w:val="PleaseReviewParagraphId"/>
          <w:b w:val="off"/>
          <w:i w:val="off"/>
        </w:rPr>
        <w:t>[372]</w:t>
      </w:r>
      <w:r>
        <w:rPr>
          <w:b/>
        </w:rPr>
        <w:t>Gerlach, W. &amp; Nirenberg, H.I.</w:t>
      </w:r>
      <w:r>
        <w:t xml:space="preserve"> 1982. </w:t>
      </w:r>
      <w:r>
        <w:rPr>
          <w:i/>
        </w:rPr>
        <w:t xml:space="preserve">The genus </w:t>
      </w:r>
      <w:r>
        <w:t>Fusarium:</w:t>
      </w:r>
      <w:r>
        <w:rPr>
          <w:i/>
        </w:rPr>
        <w:t xml:space="preserve"> A pictorial atlas.</w:t>
      </w:r>
      <w:r>
        <w:t xml:space="preserve"> Mitteilungen aus der Biologischen Bundesanstalt fur Land- und Forstwirtschaft 209. </w:t>
      </w:r>
      <w:r>
        <w:rPr>
          <w:sz w:val="22"/>
          <w:szCs w:val="24"/>
          <w:lang w:val="en-GB"/>
        </w:rPr>
        <w:t xml:space="preserve">Berlin-Dahlem, </w:t>
      </w:r>
      <w:r>
        <w:t>Germany, Kommissionsverlag P. Parey. 406 pp.</w:t>
      </w:r>
    </w:p>
    <w:p>
      <w:pPr>
        <w:pStyle w:val="IPPReferences"/>
        <w:rPr>
          <w:lang w:val="nl-NL"/>
        </w:rPr>
      </w:pPr>
      <w:r>
        <w:rPr>
          <w:rStyle w:val="PleaseReviewParagraphId"/>
          <w:b w:val="off"/>
          <w:i w:val="off"/>
        </w:rPr>
        <w:t>[373]</w:t>
      </w:r>
      <w:r>
        <w:rPr>
          <w:b/>
          <w:bCs/>
          <w:lang w:val="nl-NL"/>
        </w:rPr>
        <w:t>Gordon, T.R., Storer, A.J. &amp; Wood, D.L.</w:t>
      </w:r>
      <w:r>
        <w:rPr>
          <w:lang w:val="nl-NL"/>
        </w:rPr>
        <w:t xml:space="preserve"> 2001. The pitch canker epidemic in California. </w:t>
      </w:r>
      <w:r>
        <w:rPr>
          <w:i/>
          <w:iCs/>
          <w:lang w:val="nl-NL"/>
        </w:rPr>
        <w:t>Plant Disease</w:t>
      </w:r>
      <w:r>
        <w:rPr>
          <w:i/>
          <w:lang w:val="nl-NL"/>
        </w:rPr>
        <w:t>,</w:t>
      </w:r>
      <w:r>
        <w:rPr>
          <w:lang w:val="nl-NL"/>
        </w:rPr>
        <w:t xml:space="preserve"> 85: 1128–1139.</w:t>
      </w:r>
    </w:p>
    <w:p>
      <w:pPr>
        <w:pStyle w:val="IPPReferences"/>
      </w:pPr>
      <w:r>
        <w:rPr>
          <w:rStyle w:val="PleaseReviewParagraphId"/>
          <w:b w:val="off"/>
          <w:i w:val="off"/>
        </w:rPr>
        <w:t>[374]</w:t>
      </w:r>
      <w:r>
        <w:rPr>
          <w:b/>
          <w:bCs/>
          <w:lang w:val="nl-NL"/>
        </w:rPr>
        <w:t>Ha</w:t>
      </w:r>
      <w:r>
        <w:rPr>
          <w:b/>
          <w:bCs/>
        </w:rPr>
        <w:t>wksworth, D.L., Kirk, P.M., Sutton, B.C. &amp; Pegler, D.N.</w:t>
      </w:r>
      <w:r>
        <w:t xml:space="preserve"> 1995. </w:t>
      </w:r>
      <w:r>
        <w:rPr>
          <w:i/>
          <w:iCs/>
        </w:rPr>
        <w:t>Ainsworth &amp; Bisby’s Dictionary of the Fungi,</w:t>
      </w:r>
      <w:r>
        <w:rPr>
          <w:iCs/>
        </w:rPr>
        <w:t xml:space="preserve"> 8th edn.</w:t>
      </w:r>
      <w:r>
        <w:t xml:space="preserve"> Wallingford, UK, CABI. 650 pp.</w:t>
      </w:r>
    </w:p>
    <w:p>
      <w:pPr>
        <w:pStyle w:val="IPPReferences"/>
      </w:pPr>
      <w:r>
        <w:rPr>
          <w:rStyle w:val="PleaseReviewParagraphId"/>
          <w:b w:val="off"/>
          <w:i w:val="off"/>
        </w:rPr>
        <w:t>[375]</w:t>
      </w:r>
      <w:r>
        <w:rPr>
          <w:b/>
          <w:bCs/>
        </w:rPr>
        <w:t>Inman, A.R., Kirkpatrick, S.C., Gordon, T.R. &amp; Shaw, D.V.</w:t>
      </w:r>
      <w:r>
        <w:t xml:space="preserve"> 2008. Limiting effects of low temperature on growth and spore germination in </w:t>
      </w:r>
      <w:r>
        <w:rPr>
          <w:i/>
        </w:rPr>
        <w:t>Gibberella circinata</w:t>
      </w:r>
      <w:r>
        <w:t xml:space="preserve">, the cause of pitch canker in pine species. </w:t>
      </w:r>
      <w:r>
        <w:rPr>
          <w:i/>
          <w:iCs/>
        </w:rPr>
        <w:t>Plant Disease,</w:t>
      </w:r>
      <w:r>
        <w:t xml:space="preserve"> 92: 542–545.</w:t>
      </w:r>
    </w:p>
    <w:p>
      <w:pPr>
        <w:pStyle w:val="IPPReferences"/>
      </w:pPr>
      <w:r>
        <w:rPr>
          <w:rStyle w:val="PleaseReviewParagraphId"/>
          <w:b w:val="off"/>
          <w:i w:val="off"/>
        </w:rPr>
        <w:t>[376]</w:t>
      </w:r>
      <w:r>
        <w:rPr>
          <w:b/>
        </w:rPr>
        <w:t>Ioos, R., Annesi, T., Fourrier, C., Saurat, C., Chandelier, A., Inghelbrecht, S., Diogo, E.L.F., Pérez-Sierra, A.-M., Barnes, A.V., Paruma, K., Adam, M., van Rijswick, P. &amp; Riccioni, L. 2013.</w:t>
      </w:r>
      <w:r>
        <w:t xml:space="preserve"> Test performance study of diagnostic procedures for identification and detection of </w:t>
      </w:r>
      <w:r>
        <w:rPr>
          <w:i/>
        </w:rPr>
        <w:lastRenderedPageBreak/>
        <w:t>Gibberella circinata</w:t>
      </w:r>
      <w:r>
        <w:t xml:space="preserve"> in pine seeds in the framework of a EUPHRESCO project. </w:t>
      </w:r>
      <w:r>
        <w:rPr>
          <w:i/>
          <w:iCs/>
        </w:rPr>
        <w:t>EPPO Bulletin</w:t>
      </w:r>
      <w:r>
        <w:rPr>
          <w:i/>
        </w:rPr>
        <w:t>,</w:t>
      </w:r>
      <w:r>
        <w:t xml:space="preserve"> 43: 267–275.</w:t>
      </w:r>
    </w:p>
    <w:p>
      <w:pPr>
        <w:pStyle w:val="IPPReferences"/>
      </w:pPr>
      <w:r>
        <w:rPr>
          <w:rStyle w:val="PleaseReviewParagraphId"/>
          <w:b w:val="off"/>
          <w:i w:val="off"/>
        </w:rPr>
        <w:t>[377]</w:t>
      </w:r>
      <w:r>
        <w:rPr>
          <w:b/>
          <w:bCs/>
        </w:rPr>
        <w:t>Ioos, R., Belhadj, A. &amp; Menez, M.</w:t>
      </w:r>
      <w:r>
        <w:t xml:space="preserve"> 2004. Occurrence and distribution of </w:t>
      </w:r>
      <w:r>
        <w:rPr>
          <w:i/>
          <w:iCs/>
        </w:rPr>
        <w:t>Microdochium nivale</w:t>
      </w:r>
      <w:r>
        <w:t xml:space="preserve"> and </w:t>
      </w:r>
      <w:r>
        <w:rPr>
          <w:i/>
          <w:iCs/>
        </w:rPr>
        <w:t xml:space="preserve">Fusarium </w:t>
      </w:r>
      <w:r>
        <w:t xml:space="preserve">species isolated from barley, durum and soft wheat grains in France from 2000 to 2002. </w:t>
      </w:r>
      <w:r>
        <w:rPr>
          <w:i/>
          <w:iCs/>
        </w:rPr>
        <w:t>Mycopathologia</w:t>
      </w:r>
      <w:r>
        <w:rPr>
          <w:i/>
        </w:rPr>
        <w:t>,</w:t>
      </w:r>
      <w:r>
        <w:t xml:space="preserve"> 158: 351–362.</w:t>
      </w:r>
    </w:p>
    <w:p>
      <w:pPr>
        <w:pStyle w:val="IPPReferences"/>
      </w:pPr>
      <w:r>
        <w:rPr>
          <w:rStyle w:val="PleaseReviewParagraphId"/>
          <w:b w:val="off"/>
          <w:i w:val="off"/>
        </w:rPr>
        <w:t>[378]</w:t>
      </w:r>
      <w:r>
        <w:rPr>
          <w:b/>
          <w:bCs/>
        </w:rPr>
        <w:t>Ioos, R., Fourrier, C., Iancu, G. &amp; Gordon, T.R</w:t>
      </w:r>
      <w:r>
        <w:t xml:space="preserve">. 2009. Sensitive detection of </w:t>
      </w:r>
      <w:r>
        <w:rPr>
          <w:i/>
          <w:iCs/>
        </w:rPr>
        <w:t>Fusarium circinatum</w:t>
      </w:r>
      <w:r>
        <w:t xml:space="preserve"> in pine seed by combining an enrichment procedure with a real-time polymerase chain reaction using dual-labeled probe chemistry. </w:t>
      </w:r>
      <w:r>
        <w:rPr>
          <w:i/>
          <w:iCs/>
        </w:rPr>
        <w:t>Phytopathology,</w:t>
      </w:r>
      <w:r>
        <w:t xml:space="preserve"> 99: 582–590.</w:t>
      </w:r>
    </w:p>
    <w:p>
      <w:pPr>
        <w:pStyle w:val="IPPReferences"/>
      </w:pPr>
      <w:r>
        <w:rPr>
          <w:rStyle w:val="PleaseReviewParagraphId"/>
          <w:b w:val="off"/>
          <w:i w:val="off"/>
        </w:rPr>
        <w:t>[379]</w:t>
      </w:r>
      <w:r>
        <w:rPr>
          <w:b/>
          <w:bCs/>
        </w:rPr>
        <w:t xml:space="preserve">ISTA </w:t>
      </w:r>
      <w:r>
        <w:rPr>
          <w:bCs/>
        </w:rPr>
        <w:t>(International Seed Testing Association)</w:t>
      </w:r>
      <w:r>
        <w:t xml:space="preserve">. 2002. </w:t>
      </w:r>
      <w:r>
        <w:rPr>
          <w:i/>
        </w:rPr>
        <w:t xml:space="preserve">Detection of </w:t>
      </w:r>
      <w:r>
        <w:rPr>
          <w:iCs/>
        </w:rPr>
        <w:t>Fusarium moniliforme</w:t>
      </w:r>
      <w:r>
        <w:rPr>
          <w:i/>
        </w:rPr>
        <w:t xml:space="preserve"> var. </w:t>
      </w:r>
      <w:r>
        <w:rPr>
          <w:iCs/>
        </w:rPr>
        <w:t>subglutinans</w:t>
      </w:r>
      <w:r>
        <w:rPr>
          <w:i/>
        </w:rPr>
        <w:t xml:space="preserve"> Wollenw. &amp; Reinke on </w:t>
      </w:r>
      <w:r>
        <w:rPr>
          <w:iCs/>
        </w:rPr>
        <w:t>Pinus taeda</w:t>
      </w:r>
      <w:r>
        <w:rPr>
          <w:i/>
        </w:rPr>
        <w:t xml:space="preserve"> and </w:t>
      </w:r>
      <w:r>
        <w:rPr>
          <w:iCs/>
        </w:rPr>
        <w:t>P. elliotii</w:t>
      </w:r>
      <w:r>
        <w:rPr>
          <w:i/>
        </w:rPr>
        <w:t xml:space="preserve"> (Pine).</w:t>
      </w:r>
      <w:r>
        <w:t xml:space="preserve"> International rules for testing 7-009. Bassersdorf, Switzerland, ISTA.</w:t>
      </w:r>
    </w:p>
    <w:p>
      <w:pPr>
        <w:pStyle w:val="IPPReferences"/>
      </w:pPr>
      <w:r>
        <w:rPr>
          <w:rStyle w:val="PleaseReviewParagraphId"/>
          <w:b w:val="off"/>
          <w:i w:val="off"/>
        </w:rPr>
        <w:t>[380]</w:t>
      </w:r>
      <w:r>
        <w:rPr>
          <w:b/>
          <w:bCs/>
        </w:rPr>
        <w:t>Komada, H.</w:t>
      </w:r>
      <w:r>
        <w:t xml:space="preserve"> 1975. Development of a selective medium for quantitative isolation of </w:t>
      </w:r>
      <w:r>
        <w:rPr>
          <w:i/>
        </w:rPr>
        <w:t>Fusarium oxysporum</w:t>
      </w:r>
      <w:r>
        <w:t xml:space="preserve"> from natural soil. </w:t>
      </w:r>
      <w:r>
        <w:rPr>
          <w:i/>
          <w:iCs/>
        </w:rPr>
        <w:t>Review of Plant Protection Research</w:t>
      </w:r>
      <w:r>
        <w:rPr>
          <w:i/>
        </w:rPr>
        <w:t>,</w:t>
      </w:r>
      <w:r>
        <w:t xml:space="preserve"> 8: 114–125.</w:t>
      </w:r>
    </w:p>
    <w:p>
      <w:pPr>
        <w:pStyle w:val="IPPReferences"/>
      </w:pPr>
      <w:r>
        <w:rPr>
          <w:rStyle w:val="PleaseReviewParagraphId"/>
          <w:b w:val="off"/>
          <w:i w:val="off"/>
        </w:rPr>
        <w:t>[381]</w:t>
      </w:r>
      <w:r>
        <w:rPr>
          <w:b/>
          <w:bCs/>
        </w:rPr>
        <w:t>Leslie, J.F. &amp; Summerell, B.A.</w:t>
      </w:r>
      <w:r>
        <w:rPr>
          <w:bCs/>
        </w:rPr>
        <w:t xml:space="preserve"> 2006</w:t>
      </w:r>
      <w:r>
        <w:t xml:space="preserve">. </w:t>
      </w:r>
      <w:r>
        <w:rPr>
          <w:i/>
          <w:iCs/>
        </w:rPr>
        <w:t xml:space="preserve">The </w:t>
      </w:r>
      <w:r>
        <w:rPr>
          <w:iCs/>
        </w:rPr>
        <w:t>Fusarium</w:t>
      </w:r>
      <w:r>
        <w:rPr>
          <w:i/>
          <w:iCs/>
        </w:rPr>
        <w:t xml:space="preserve"> laboratory manual.</w:t>
      </w:r>
      <w:r>
        <w:t xml:space="preserve"> Ames, IA, Blackwell Publishing. xii + 388 pp.</w:t>
      </w:r>
    </w:p>
    <w:p>
      <w:pPr>
        <w:pStyle w:val="IPPReferences"/>
      </w:pPr>
      <w:r>
        <w:rPr>
          <w:rStyle w:val="PleaseReviewParagraphId"/>
          <w:b w:val="off"/>
          <w:i w:val="off"/>
        </w:rPr>
        <w:t>[382]</w:t>
      </w:r>
      <w:r>
        <w:rPr>
          <w:b/>
          <w:bCs/>
        </w:rPr>
        <w:t>Nirenberg, H.I. &amp; O’Donnell, K.</w:t>
      </w:r>
      <w:r>
        <w:t xml:space="preserve"> 1998. New </w:t>
      </w:r>
      <w:r>
        <w:rPr>
          <w:i/>
          <w:iCs/>
        </w:rPr>
        <w:t>Fusarium</w:t>
      </w:r>
      <w:r>
        <w:t xml:space="preserve"> species and combinations within the </w:t>
      </w:r>
      <w:r>
        <w:rPr>
          <w:i/>
          <w:iCs/>
        </w:rPr>
        <w:t>Gibberella fujikuroi</w:t>
      </w:r>
      <w:r>
        <w:t xml:space="preserve"> species complex. </w:t>
      </w:r>
      <w:r>
        <w:rPr>
          <w:i/>
          <w:iCs/>
        </w:rPr>
        <w:t>Mycologia</w:t>
      </w:r>
      <w:r>
        <w:rPr>
          <w:i/>
        </w:rPr>
        <w:t>,</w:t>
      </w:r>
      <w:r>
        <w:t xml:space="preserve"> 90: 434–458.</w:t>
      </w:r>
    </w:p>
    <w:p>
      <w:pPr>
        <w:pStyle w:val="IPPReferences"/>
      </w:pPr>
      <w:r>
        <w:rPr>
          <w:rStyle w:val="PleaseReviewParagraphId"/>
          <w:b w:val="off"/>
          <w:i w:val="off"/>
        </w:rPr>
        <w:t>[383]</w:t>
      </w:r>
      <w:r>
        <w:rPr>
          <w:b/>
          <w:bCs/>
        </w:rPr>
        <w:t>O’Donnell, K. &amp; Cigelnik, E.</w:t>
      </w:r>
      <w:r>
        <w:t xml:space="preserve"> 1997. Two divergent intragenomic rDNA ITS2 types within a monophyletic lineage of the fungus </w:t>
      </w:r>
      <w:r>
        <w:rPr>
          <w:i/>
          <w:iCs/>
        </w:rPr>
        <w:t>Fusarium</w:t>
      </w:r>
      <w:r>
        <w:t xml:space="preserve"> are nonorthologous. </w:t>
      </w:r>
      <w:r>
        <w:rPr>
          <w:rStyle w:val="Emphasis"/>
        </w:rPr>
        <w:t>Molecular</w:t>
      </w:r>
      <w:r>
        <w:rPr>
          <w:rStyle w:val="st"/>
        </w:rPr>
        <w:t xml:space="preserve"> </w:t>
      </w:r>
      <w:r>
        <w:rPr>
          <w:rStyle w:val="st"/>
          <w:i/>
          <w:iCs/>
        </w:rPr>
        <w:t xml:space="preserve">Phylogenetics and </w:t>
      </w:r>
      <w:r>
        <w:rPr>
          <w:rStyle w:val="Emphasis"/>
        </w:rPr>
        <w:t>Evolution</w:t>
      </w:r>
      <w:r>
        <w:rPr>
          <w:rStyle w:val="Emphasis"/>
          <w:iCs w:val="0"/>
        </w:rPr>
        <w:t>,</w:t>
      </w:r>
      <w:r>
        <w:rPr>
          <w:i/>
          <w:iCs/>
        </w:rPr>
        <w:t xml:space="preserve"> </w:t>
      </w:r>
      <w:r>
        <w:rPr>
          <w:bCs/>
        </w:rPr>
        <w:t>7</w:t>
      </w:r>
      <w:r>
        <w:t>: 103–116.</w:t>
      </w:r>
    </w:p>
    <w:p>
      <w:pPr>
        <w:pStyle w:val="IPPReferences"/>
      </w:pPr>
      <w:r>
        <w:rPr>
          <w:rStyle w:val="PleaseReviewParagraphId"/>
          <w:b w:val="off"/>
          <w:i w:val="off"/>
        </w:rPr>
        <w:t>[384]</w:t>
      </w:r>
      <w:r>
        <w:rPr>
          <w:b/>
          <w:bCs/>
        </w:rPr>
        <w:t>O’Donnell, K., Kistler, H.C., Cigelnik, E. &amp; Ploetz, R.C.</w:t>
      </w:r>
      <w:r>
        <w:t xml:space="preserve"> 1998. Multiple evolutionary origins of the fungus causing Panama disease of banana. Concordant evidence from nuclear and mitochondrial gene genealogies. </w:t>
      </w:r>
      <w:r>
        <w:rPr>
          <w:i/>
          <w:iCs/>
        </w:rPr>
        <w:t>Proceedings of the National Academy of Sciences</w:t>
      </w:r>
      <w:r>
        <w:rPr>
          <w:i/>
        </w:rPr>
        <w:t>,</w:t>
      </w:r>
      <w:r>
        <w:rPr>
          <w:i/>
          <w:iCs/>
        </w:rPr>
        <w:t xml:space="preserve"> </w:t>
      </w:r>
      <w:r>
        <w:t>95: 2044–2049.</w:t>
      </w:r>
    </w:p>
    <w:p>
      <w:pPr>
        <w:pStyle w:val="IPPReferences"/>
        <w:rPr>
          <w:lang w:val="fr-FR"/>
        </w:rPr>
      </w:pPr>
      <w:r>
        <w:rPr>
          <w:rStyle w:val="PleaseReviewParagraphId"/>
          <w:b w:val="off"/>
          <w:i w:val="off"/>
        </w:rPr>
        <w:t>[385]</w:t>
      </w:r>
      <w:r>
        <w:rPr>
          <w:b/>
          <w:bCs/>
        </w:rPr>
        <w:t>O’Donnell, K., Sutton, D.A., Rinaldi, M.G., Sarver, B.A.J., Arunmozhi Balajee, S.,</w:t>
      </w:r>
      <w:r>
        <w:rPr>
          <w:b/>
        </w:rPr>
        <w:t xml:space="preserve"> Schroers, H-J., Summerbell, R.C., Robert, V.A.R.G., Crous, P.W., Zhang, N., Aoki, T., Jung, K., Park, J., Lee, Y-H., Kang, S., Park, B. &amp; Geiser, D.M.</w:t>
      </w:r>
      <w:r>
        <w:t xml:space="preserve"> 2010. Internet-accessible DNA sequence database for identifying fusaria from human and animal infections. </w:t>
      </w:r>
      <w:bookmarkStart w:name="OLE_LINK1" w:id="23"/>
      <w:bookmarkStart w:name="OLE_LINK2" w:id="24"/>
      <w:r>
        <w:rPr>
          <w:rStyle w:val="st"/>
          <w:i/>
          <w:iCs/>
          <w:lang w:val="fr-FR"/>
        </w:rPr>
        <w:t>Journal of Clinical Microbiology</w:t>
      </w:r>
      <w:r>
        <w:rPr>
          <w:rStyle w:val="st"/>
          <w:i/>
          <w:lang w:val="fr-FR"/>
        </w:rPr>
        <w:t>,</w:t>
      </w:r>
      <w:r>
        <w:rPr>
          <w:lang w:val="fr-FR"/>
        </w:rPr>
        <w:t xml:space="preserve"> 48: 3708–3718.</w:t>
      </w:r>
      <w:bookmarkEnd w:id="23"/>
      <w:bookmarkEnd w:id="24"/>
    </w:p>
    <w:p>
      <w:pPr>
        <w:pStyle w:val="IPPReferences"/>
      </w:pPr>
      <w:r>
        <w:rPr>
          <w:rStyle w:val="PleaseReviewParagraphId"/>
          <w:b w:val="off"/>
          <w:i w:val="off"/>
        </w:rPr>
        <w:t>[386]</w:t>
      </w:r>
      <w:r>
        <w:rPr>
          <w:b/>
          <w:bCs/>
          <w:lang w:val="fr-FR"/>
        </w:rPr>
        <w:t>Pérez-Sierra, A., Landeras, E., León, M., Berbegal, M., García-Jiménez, J. &amp; Armengol, J.</w:t>
      </w:r>
      <w:r>
        <w:rPr>
          <w:lang w:val="fr-FR"/>
        </w:rPr>
        <w:t xml:space="preserve"> 2007. </w:t>
      </w:r>
      <w:r>
        <w:t xml:space="preserve">Characterization of </w:t>
      </w:r>
      <w:r>
        <w:rPr>
          <w:i/>
          <w:iCs/>
        </w:rPr>
        <w:t>Fusarium circinatum</w:t>
      </w:r>
      <w:r>
        <w:t xml:space="preserve"> from </w:t>
      </w:r>
      <w:r>
        <w:rPr>
          <w:i/>
          <w:iCs/>
        </w:rPr>
        <w:t xml:space="preserve">Pinus </w:t>
      </w:r>
      <w:r>
        <w:t xml:space="preserve">spp. in northern Spain. </w:t>
      </w:r>
      <w:r>
        <w:rPr>
          <w:i/>
          <w:iCs/>
        </w:rPr>
        <w:t>Mycological Research</w:t>
      </w:r>
      <w:r>
        <w:rPr>
          <w:i/>
        </w:rPr>
        <w:t>,</w:t>
      </w:r>
      <w:r>
        <w:t xml:space="preserve"> 111: 832–839.</w:t>
      </w:r>
    </w:p>
    <w:p>
      <w:pPr>
        <w:pStyle w:val="IPPReferences"/>
      </w:pPr>
      <w:r>
        <w:rPr>
          <w:rStyle w:val="PleaseReviewParagraphId"/>
          <w:b w:val="off"/>
          <w:i w:val="off"/>
        </w:rPr>
        <w:t>[387]</w:t>
      </w:r>
      <w:r>
        <w:rPr>
          <w:b/>
          <w:bCs/>
        </w:rPr>
        <w:t>Schweigkofler, W., O’Donnell, K. &amp; Garbelotto, M.</w:t>
      </w:r>
      <w:r>
        <w:t xml:space="preserve"> 2004. Detection and quantification of airborne conidia of </w:t>
      </w:r>
      <w:r>
        <w:rPr>
          <w:i/>
          <w:iCs/>
        </w:rPr>
        <w:t>Fusarium circinatum</w:t>
      </w:r>
      <w:r>
        <w:t xml:space="preserve">, the causal agent of pine pitch canker, from two California sites by using a real-time PCR approach combined with a simple spore trapping method. </w:t>
      </w:r>
      <w:r>
        <w:rPr>
          <w:rStyle w:val="st"/>
          <w:i/>
          <w:iCs/>
        </w:rPr>
        <w:t>Applied and Environmental Microbiology</w:t>
      </w:r>
      <w:r>
        <w:rPr>
          <w:i/>
        </w:rPr>
        <w:t>,</w:t>
      </w:r>
      <w:r>
        <w:t xml:space="preserve"> 70: 3512–3520.</w:t>
      </w:r>
    </w:p>
    <w:p>
      <w:pPr>
        <w:pStyle w:val="IPPReferences"/>
      </w:pPr>
      <w:r>
        <w:rPr>
          <w:rStyle w:val="PleaseReviewParagraphId"/>
          <w:b w:val="off"/>
          <w:i w:val="off"/>
        </w:rPr>
        <w:t>[388]</w:t>
      </w:r>
      <w:r>
        <w:rPr>
          <w:b/>
          <w:bCs/>
        </w:rPr>
        <w:t>Steenkamp, E.T., Wingfield, B.D., Desjardins, A.E., Marasas, W.F.O. &amp; Wingfield, M.J.</w:t>
      </w:r>
      <w:r>
        <w:t xml:space="preserve"> 2002. Cryptic speciation in </w:t>
      </w:r>
      <w:r>
        <w:rPr>
          <w:i/>
          <w:iCs/>
        </w:rPr>
        <w:t>Fusarium subglutinans</w:t>
      </w:r>
      <w:r>
        <w:t xml:space="preserve">. </w:t>
      </w:r>
      <w:r>
        <w:rPr>
          <w:i/>
          <w:iCs/>
        </w:rPr>
        <w:t>Mycologia</w:t>
      </w:r>
      <w:r>
        <w:rPr>
          <w:i/>
        </w:rPr>
        <w:t>,</w:t>
      </w:r>
      <w:r>
        <w:t xml:space="preserve"> 94: 1032–1043.</w:t>
      </w:r>
    </w:p>
    <w:p>
      <w:pPr>
        <w:pStyle w:val="IPPReferences"/>
      </w:pPr>
      <w:r>
        <w:rPr>
          <w:rStyle w:val="PleaseReviewParagraphId"/>
          <w:b w:val="off"/>
          <w:i w:val="off"/>
        </w:rPr>
        <w:t>[389]</w:t>
      </w:r>
      <w:r>
        <w:rPr>
          <w:b/>
          <w:bCs/>
        </w:rPr>
        <w:t>Storer, A.J., Gordon, T.R. &amp; Clark, S.L.</w:t>
      </w:r>
      <w:r>
        <w:rPr>
          <w:bCs/>
        </w:rPr>
        <w:t xml:space="preserve"> 1998</w:t>
      </w:r>
      <w:r>
        <w:t xml:space="preserve">. Association of the pitch canker fungus, </w:t>
      </w:r>
      <w:r>
        <w:rPr>
          <w:i/>
          <w:iCs/>
        </w:rPr>
        <w:t xml:space="preserve">Fusarium subglutinans </w:t>
      </w:r>
      <w:r>
        <w:t xml:space="preserve">f.sp. </w:t>
      </w:r>
      <w:r>
        <w:rPr>
          <w:i/>
          <w:iCs/>
        </w:rPr>
        <w:t>pini</w:t>
      </w:r>
      <w:r>
        <w:t xml:space="preserve">, with Monterey pine seeds and seedlings in California. </w:t>
      </w:r>
      <w:r>
        <w:rPr>
          <w:i/>
          <w:iCs/>
        </w:rPr>
        <w:t>Plant Pathology</w:t>
      </w:r>
      <w:r>
        <w:rPr>
          <w:i/>
        </w:rPr>
        <w:t>,</w:t>
      </w:r>
      <w:r>
        <w:t xml:space="preserve"> 47: 649–656.</w:t>
      </w:r>
    </w:p>
    <w:p>
      <w:pPr>
        <w:pStyle w:val="IPPReferences"/>
      </w:pPr>
      <w:r>
        <w:rPr>
          <w:rStyle w:val="PleaseReviewParagraphId"/>
          <w:b w:val="off"/>
          <w:i w:val="off"/>
        </w:rPr>
        <w:t>[390]</w:t>
      </w:r>
      <w:r>
        <w:rPr>
          <w:b/>
          <w:bCs/>
        </w:rPr>
        <w:t>Sutton, B.C., 1980.</w:t>
      </w:r>
    </w:p>
    <w:p>
      <w:pPr>
        <w:pStyle w:val="IPPReferences"/>
      </w:pPr>
      <w:r>
        <w:rPr>
          <w:rStyle w:val="PleaseReviewParagraphId"/>
          <w:b w:val="off"/>
          <w:i w:val="off"/>
        </w:rPr>
        <w:t>[391]</w:t>
      </w:r>
      <w:r>
        <w:rPr>
          <w:b/>
          <w:bCs/>
        </w:rPr>
        <w:t>Truett, G.E., Heeger, P., Mynatt, R.L., Truett, A.A., Walker, J.A. &amp; Warman, M.L.</w:t>
      </w:r>
      <w:r>
        <w:t xml:space="preserve"> 2000. Preparation of PCR-quality mouse genomic DNA with hot sodium hydroxide and Tris (HotSHOT). </w:t>
      </w:r>
      <w:r>
        <w:rPr>
          <w:i/>
          <w:iCs/>
        </w:rPr>
        <w:t>Biotechniques,</w:t>
      </w:r>
      <w:r>
        <w:t xml:space="preserve"> 29: 52–54.</w:t>
      </w:r>
    </w:p>
    <w:p>
      <w:pPr>
        <w:pStyle w:val="IPPReferences"/>
      </w:pPr>
      <w:r>
        <w:rPr>
          <w:rStyle w:val="PleaseReviewParagraphId"/>
          <w:b w:val="off"/>
          <w:i w:val="off"/>
        </w:rPr>
        <w:t>[392]</w:t>
      </w:r>
      <w:r>
        <w:rPr>
          <w:b/>
          <w:bCs/>
        </w:rPr>
        <w:t>White, T.J., Bruns, T., Lee, S. &amp; Taylor, J.</w:t>
      </w:r>
      <w:r>
        <w:rPr>
          <w:bCs/>
        </w:rPr>
        <w:t xml:space="preserve"> 1990</w:t>
      </w:r>
      <w:r>
        <w:t xml:space="preserve">. Amplification and direct sequencing of fungal ribosomal RNA genes for phylogenetics. </w:t>
      </w:r>
      <w:r>
        <w:rPr>
          <w:i/>
        </w:rPr>
        <w:t>In</w:t>
      </w:r>
      <w:r>
        <w:t xml:space="preserve"> M.A. Innis, D.H. Gelfand, J. J. Sninsky &amp; T.J. White, eds. </w:t>
      </w:r>
      <w:r>
        <w:rPr>
          <w:i/>
          <w:iCs/>
        </w:rPr>
        <w:t>PCR protocols: A guide to methods and applications</w:t>
      </w:r>
      <w:r>
        <w:rPr>
          <w:i/>
        </w:rPr>
        <w:t>,</w:t>
      </w:r>
      <w:r>
        <w:t xml:space="preserve"> pp. 315–322. San Diego, CA, USA, Academic Press.</w:t>
      </w:r>
      <w:r>
        <w:rPr>
          <w:bCs/>
        </w:rPr>
        <w:t xml:space="preserve"> 482 pp.</w:t>
      </w:r>
    </w:p>
    <w:p>
      <w:pPr>
        <w:pStyle w:val="IPPHeading1"/>
      </w:pPr>
      <w:r>
        <w:rPr>
          <w:rStyle w:val="PleaseReviewParagraphId"/>
          <w:b w:val="off"/>
          <w:i w:val="off"/>
        </w:rPr>
        <w:t>[393]</w:t>
      </w:r>
      <w:bookmarkStart w:name="_Toc413424403" w:id="26"/>
      <w:r>
        <w:rPr>
          <w:color w:val="4F81BD"/>
        </w:rPr>
        <w:br w:type="page"/>
      </w:r>
      <w:r>
        <w:lastRenderedPageBreak/>
        <w:t>9. Figures</w:t>
      </w:r>
      <w:bookmarkEnd w:id="26"/>
    </w:p>
    <w:p>
      <w:pPr>
        <w:tabs>
          <w:tab w:val="left" w:pos="2467"/>
        </w:tabs>
        <w:rPr>
          <w:rFonts w:ascii="Arial" w:hAnsi="Arial" w:cs="Arial"/>
          <w:b/>
          <w:bCs/>
          <w:sz w:val="18"/>
          <w:szCs w:val="18"/>
        </w:rPr>
      </w:pPr>
      <w:r>
        <w:rPr>
          <w:rStyle w:val="PleaseReviewParagraphId"/>
          <w:b w:val="off"/>
          <w:i w:val="off"/>
        </w:rPr>
        <w:t>[394]</w:t>
      </w:r>
      <w:r>
        <w:rPr>
          <w:lang w:eastAsia="en-GB"/>
        </w:rPr>
        <w:drawing>
          <wp:inline distT="0" distB="0" distL="0" distR="0">
            <wp:extent cx="5895833" cy="4478778"/>
            <wp:effectExtent l="0" t="0" r="0" b="0"/>
            <wp:docPr id="13" name="Picture 1" descr="Picture1_Fusarium_2016-01-14_Edited"/>
            <wp:cNvGraphicFramePr>
              <a:graphicFrameLocks noChangeAspect="1"/>
            </wp:cNvGraphicFramePr>
            <a:graphic>
              <a:graphicData uri="http://schemas.openxmlformats.org/drawingml/2006/picture">
                <pic:pic>
                  <pic:nvPicPr>
                    <pic:cNvPr id="0" name="Picture 1" descr="Picture1_Fusarium_2016-01-14_Edited"/>
                    <pic:cNvPicPr>
                      <a:picLocks noChangeAspect="1" noChangeArrowheads="1"/>
                    </pic:cNvPicPr>
                  </pic:nvPicPr>
                  <pic:blipFill>
                    <a:blip r:embed="rId11">
                      <a:extLst>
                        <a:ext uri="{28A0092B-C50C-407E-A947-70E740481C1C}">
                          <a14:useLocalDpi val="0"/>
                        </a:ext>
                      </a:extLst>
                    </a:blip>
                    <a:srcRect/>
                    <a:stretch>
                      <a:fillRect/>
                    </a:stretch>
                  </pic:blipFill>
                  <pic:spPr bwMode="auto">
                    <a:xfrm>
                      <a:off x="0" y="0"/>
                      <a:ext cx="5901180" cy="4482840"/>
                    </a:xfrm>
                    <a:prstGeom prst="rect">
                      <a:avLst/>
                    </a:prstGeom>
                    <a:noFill/>
                    <a:ln>
                      <a:noFill/>
                    </a:ln>
                  </pic:spPr>
                </pic:pic>
              </a:graphicData>
            </a:graphic>
          </wp:inline>
        </w:drawing>
      </w:r>
    </w:p>
    <w:p>
      <w:pPr>
        <w:pStyle w:val="IPPArial"/>
        <w:spacing w:before="120"/>
      </w:pPr>
      <w:r>
        <w:rPr>
          <w:rStyle w:val="PleaseReviewParagraphId"/>
          <w:b w:val="off"/>
          <w:i w:val="off"/>
        </w:rPr>
        <w:t>[395]</w:t>
      </w:r>
      <w:r>
        <w:rPr>
          <w:b/>
          <w:bCs/>
        </w:rPr>
        <w:t>Figure 1</w:t>
      </w:r>
      <w:r>
        <w:rPr>
          <w:b/>
          <w:bCs/>
          <w:sz w:val="20"/>
          <w:szCs w:val="20"/>
        </w:rPr>
        <w:t xml:space="preserve">. </w:t>
      </w:r>
      <w:r>
        <w:t xml:space="preserve">Flow diagram for the identification of </w:t>
      </w:r>
      <w:r>
        <w:rPr>
          <w:i/>
          <w:iCs/>
        </w:rPr>
        <w:t>Fusarium circinatum</w:t>
      </w:r>
      <w:r>
        <w:t xml:space="preserve"> in a plant sample.</w:t>
        <w:br w:type="page"/>
      </w:r>
    </w:p>
    <w:tbl>
      <w:tblPr>
        <w:tblW w:w="10119" w:type="dxa"/>
        <w:jc w:val="center"/>
        <w:tblLook w:val="04A0" w:firstRow="1" w:lastRow="0" w:firstColumn="1" w:lastColumn="0" w:noHBand="0" w:noVBand="1"/>
      </w:tblPr>
      <w:tblGrid>
        <w:gridCol w:w="5084"/>
        <w:gridCol w:w="5035"/>
      </w:tblGrid>
      <w:tr>
        <w:trPr>
          <w:jc w:val="center"/>
        </w:trPr>
        <w:tc>
          <w:tcPr>
            <w:tcW w:w="5084" w:type="dxa"/>
            <w:shd w:val="clear" w:color="auto" w:fill="auto"/>
          </w:tcPr>
          <w:p>
            <w:pPr>
              <w:spacing w:line="240" w:lineRule="atLeast"/>
              <w:jc w:val="left"/>
              <w:rPr>
                <w:rFonts w:ascii="Arial" w:hAnsi="Arial" w:cs="Arial"/>
                <w:b/>
                <w:bCs/>
                <w:sz w:val="18"/>
                <w:szCs w:val="18"/>
              </w:rPr>
            </w:pPr>
            <w:r>
              <w:rPr>
                <w:rStyle w:val="PleaseReviewParagraphId"/>
                <w:b w:val="off"/>
                <w:i w:val="off"/>
              </w:rPr>
              <w:t>[396]</w:t>
            </w:r>
            <w:r>
              <w:rPr>
                <w:rFonts w:ascii="Arial" w:hAnsi="Arial" w:cs="Arial"/>
                <w:b/>
                <w:bCs/>
                <w:sz w:val="18"/>
                <w:szCs w:val="18"/>
                <w:lang w:eastAsia="en-GB"/>
              </w:rPr>
              <w:lastRenderedPageBreak/>
              <w:drawing>
                <wp:inline distT="0" distB="0" distL="0" distR="0">
                  <wp:extent cx="2727325" cy="3657600"/>
                  <wp:effectExtent l="0" t="0" r="0" b="0"/>
                  <wp:docPr id="12" name="Picture 2" descr="Picture1"/>
                  <wp:cNvGraphicFramePr>
                    <a:graphicFrameLocks noChangeAspect="1"/>
                  </wp:cNvGraphicFramePr>
                  <a:graphic>
                    <a:graphicData uri="http://schemas.openxmlformats.org/drawingml/2006/picture">
                      <pic:pic>
                        <pic:nvPicPr>
                          <pic:cNvPr id="0" name="Picture 2" descr="Picture1"/>
                          <pic:cNvPicPr>
                            <a:picLocks noChangeAspect="1" noChangeArrowheads="1"/>
                          </pic:cNvPicPr>
                        </pic:nvPicPr>
                        <pic:blipFill>
                          <a:blip r:embed="rId12">
                            <a:extLst>
                              <a:ext uri="{28A0092B-C50C-407E-A947-70E740481C1C}">
                                <a14:useLocalDpi val="0"/>
                              </a:ext>
                            </a:extLst>
                          </a:blip>
                          <a:srcRect/>
                          <a:stretch>
                            <a:fillRect/>
                          </a:stretch>
                        </pic:blipFill>
                        <pic:spPr bwMode="auto">
                          <a:xfrm>
                            <a:off x="0" y="0"/>
                            <a:ext cx="2727325" cy="3657600"/>
                          </a:xfrm>
                          <a:prstGeom prst="rect">
                            <a:avLst/>
                          </a:prstGeom>
                          <a:noFill/>
                          <a:ln>
                            <a:noFill/>
                          </a:ln>
                        </pic:spPr>
                      </pic:pic>
                    </a:graphicData>
                  </a:graphic>
                </wp:inline>
              </w:drawing>
            </w:r>
          </w:p>
        </w:tc>
        <w:tc>
          <w:tcPr>
            <w:tcW w:w="5035" w:type="dxa"/>
            <w:shd w:val="clear" w:color="auto" w:fill="auto"/>
          </w:tcPr>
          <w:p>
            <w:pPr>
              <w:spacing w:line="240" w:lineRule="atLeast"/>
              <w:jc w:val="left"/>
              <w:rPr>
                <w:rFonts w:ascii="Arial" w:hAnsi="Arial" w:cs="Arial"/>
                <w:b/>
                <w:bCs/>
                <w:sz w:val="18"/>
                <w:szCs w:val="18"/>
              </w:rPr>
            </w:pPr>
            <w:r>
              <w:rPr>
                <w:rStyle w:val="PleaseReviewParagraphId"/>
                <w:b w:val="off"/>
                <w:i w:val="off"/>
              </w:rPr>
              <w:t>[397]</w:t>
            </w:r>
            <w:r>
              <w:rPr>
                <w:iCs/>
                <w:lang w:eastAsia="en-GB"/>
              </w:rPr>
              <w:drawing>
                <wp:inline distT="0" distB="0" distL="0" distR="0">
                  <wp:extent cx="2759075" cy="3681730"/>
                  <wp:effectExtent l="0" t="0" r="3175" b="0"/>
                  <wp:docPr id="3" name="Picture 3" descr="Picture3"/>
                  <wp:cNvGraphicFramePr>
                    <a:graphicFrameLocks noChangeAspect="1"/>
                  </wp:cNvGraphicFramePr>
                  <a:graphic>
                    <a:graphicData uri="http://schemas.openxmlformats.org/drawingml/2006/picture">
                      <pic:pic>
                        <pic:nvPicPr>
                          <pic:cNvPr id="0" name="Picture 3" descr="Picture3"/>
                          <pic:cNvPicPr>
                            <a:picLocks noChangeAspect="1" noChangeArrowheads="1"/>
                          </pic:cNvPicPr>
                        </pic:nvPicPr>
                        <pic:blipFill>
                          <a:blip r:embed="rId13">
                            <a:extLst>
                              <a:ext uri="{28A0092B-C50C-407E-A947-70E740481C1C}">
                                <a14:useLocalDpi val="0"/>
                              </a:ext>
                            </a:extLst>
                          </a:blip>
                          <a:srcRect/>
                          <a:stretch>
                            <a:fillRect/>
                          </a:stretch>
                        </pic:blipFill>
                        <pic:spPr bwMode="auto">
                          <a:xfrm>
                            <a:off x="0" y="0"/>
                            <a:ext cx="2759075" cy="3681730"/>
                          </a:xfrm>
                          <a:prstGeom prst="rect">
                            <a:avLst/>
                          </a:prstGeom>
                          <a:noFill/>
                          <a:ln>
                            <a:noFill/>
                          </a:ln>
                        </pic:spPr>
                      </pic:pic>
                    </a:graphicData>
                  </a:graphic>
                </wp:inline>
              </w:drawing>
            </w:r>
          </w:p>
        </w:tc>
      </w:tr>
    </w:tbl>
    <w:p>
      <w:pPr>
        <w:pStyle w:val="IPPArial"/>
      </w:pPr>
      <w:r>
        <w:rPr>
          <w:rStyle w:val="PleaseReviewParagraphId"/>
          <w:b w:val="off"/>
          <w:i w:val="off"/>
        </w:rPr>
        <w:t>[398]</w:t>
      </w:r>
      <w:r>
        <w:rPr>
          <w:b/>
          <w:bCs/>
        </w:rPr>
        <w:t>Figures 2, 3.</w:t>
      </w:r>
      <w:r>
        <w:t xml:space="preserve"> 2: Canker on a </w:t>
      </w:r>
      <w:r>
        <w:rPr>
          <w:i/>
          <w:iCs/>
        </w:rPr>
        <w:t xml:space="preserve">Pinus radiata </w:t>
      </w:r>
      <w:r>
        <w:t xml:space="preserve">trunk caused by </w:t>
      </w:r>
      <w:r>
        <w:rPr>
          <w:i/>
          <w:iCs/>
        </w:rPr>
        <w:t xml:space="preserve">Fusarium circinatum </w:t>
      </w:r>
      <w:r>
        <w:t xml:space="preserve">associated with conspicuous and sometimes resinous exudates. 3: Removal of the bark on a </w:t>
      </w:r>
      <w:r>
        <w:rPr>
          <w:i/>
        </w:rPr>
        <w:t>Pinus radiata</w:t>
      </w:r>
      <w:r>
        <w:t xml:space="preserve"> trunk shows subcortical lesions with brown and resin-impregnated tissues caused by </w:t>
      </w:r>
      <w:r>
        <w:rPr>
          <w:i/>
          <w:iCs/>
        </w:rPr>
        <w:t>Fusarium circinatum</w:t>
      </w:r>
      <w:r>
        <w:t>.</w:t>
      </w:r>
    </w:p>
    <w:p>
      <w:pPr>
        <w:pStyle w:val="IPPArial"/>
        <w:spacing w:after="480"/>
        <w:rPr>
          <w:iCs/>
        </w:rPr>
      </w:pPr>
      <w:r>
        <w:rPr>
          <w:rStyle w:val="PleaseReviewParagraphId"/>
          <w:b w:val="off"/>
          <w:i w:val="off"/>
        </w:rPr>
        <w:t>[399]</w:t>
      </w:r>
      <w:r>
        <w:t xml:space="preserve">Photo courtesy </w:t>
      </w:r>
      <w:r>
        <w:rPr>
          <w:iCs/>
        </w:rPr>
        <w:t>A. P</w:t>
      </w:r>
      <w:r>
        <w:t>é</w:t>
      </w:r>
      <w:r>
        <w:rPr>
          <w:iCs/>
        </w:rPr>
        <w:t xml:space="preserve">rez-Sierra, </w:t>
      </w:r>
      <w:r>
        <w:rPr>
          <w:rFonts w:eastAsia="Times New Roman"/>
          <w:lang w:eastAsia="en-GB"/>
        </w:rPr>
        <w:t>Forest Research, United Kingdom</w:t>
      </w:r>
      <w:r>
        <w:rPr>
          <w:iCs/>
        </w:rPr>
        <w:t>.</w:t>
      </w:r>
    </w:p>
    <w:tbl>
      <w:tblPr>
        <w:tblW w:w="10043" w:type="dxa"/>
        <w:jc w:val="center"/>
        <w:tblLook w:val="04A0" w:firstRow="1" w:lastRow="0" w:firstColumn="1" w:lastColumn="0" w:noHBand="0" w:noVBand="1"/>
      </w:tblPr>
      <w:tblGrid>
        <w:gridCol w:w="6666"/>
        <w:gridCol w:w="3377"/>
      </w:tblGrid>
      <w:tr>
        <w:trPr>
          <w:jc w:val="center"/>
        </w:trPr>
        <w:tc>
          <w:tcPr>
            <w:tcW w:w="6610" w:type="dxa"/>
            <w:shd w:val="clear" w:color="auto" w:fill="auto"/>
          </w:tcPr>
          <w:p>
            <w:pPr>
              <w:rPr>
                <w:rFonts w:ascii="Arial" w:hAnsi="Arial" w:cs="Arial"/>
                <w:b/>
                <w:bCs/>
                <w:sz w:val="18"/>
                <w:szCs w:val="18"/>
              </w:rPr>
            </w:pPr>
            <w:r>
              <w:rPr>
                <w:rStyle w:val="PleaseReviewParagraphId"/>
                <w:b w:val="off"/>
                <w:i w:val="off"/>
              </w:rPr>
              <w:t>[400]</w:t>
            </w:r>
            <w:r>
              <w:br w:type="page"/>
            </w:r>
            <w:r>
              <w:rPr>
                <w:lang w:eastAsia="en-GB"/>
              </w:rPr>
              <w:drawing>
                <wp:inline distT="0" distB="0" distL="0" distR="0">
                  <wp:extent cx="4086860" cy="3068955"/>
                  <wp:effectExtent l="0" t="0" r="8890" b="0"/>
                  <wp:docPr id="4" name="Picture 4" descr="Picture4"/>
                  <wp:cNvGraphicFramePr>
                    <a:graphicFrameLocks noChangeAspect="1"/>
                  </wp:cNvGraphicFramePr>
                  <a:graphic>
                    <a:graphicData uri="http://schemas.openxmlformats.org/drawingml/2006/picture">
                      <pic:pic>
                        <pic:nvPicPr>
                          <pic:cNvPr id="0" name="Picture 4" descr="Picture4"/>
                          <pic:cNvPicPr>
                            <a:picLocks noChangeAspect="1" noChangeArrowheads="1"/>
                          </pic:cNvPicPr>
                        </pic:nvPicPr>
                        <pic:blipFill>
                          <a:blip r:embed="rId14">
                            <a:extLst>
                              <a:ext uri="{28A0092B-C50C-407E-A947-70E740481C1C}">
                                <a14:useLocalDpi val="0"/>
                              </a:ext>
                            </a:extLst>
                          </a:blip>
                          <a:srcRect/>
                          <a:stretch>
                            <a:fillRect/>
                          </a:stretch>
                        </pic:blipFill>
                        <pic:spPr bwMode="auto">
                          <a:xfrm>
                            <a:off x="0" y="0"/>
                            <a:ext cx="4086860" cy="3068955"/>
                          </a:xfrm>
                          <a:prstGeom prst="rect">
                            <a:avLst/>
                          </a:prstGeom>
                          <a:noFill/>
                          <a:ln>
                            <a:noFill/>
                          </a:ln>
                        </pic:spPr>
                      </pic:pic>
                    </a:graphicData>
                  </a:graphic>
                </wp:inline>
              </w:drawing>
            </w:r>
          </w:p>
        </w:tc>
        <w:tc>
          <w:tcPr>
            <w:tcW w:w="3433" w:type="dxa"/>
            <w:shd w:val="clear" w:color="auto" w:fill="auto"/>
          </w:tcPr>
          <w:p>
            <w:pPr>
              <w:rPr>
                <w:rFonts w:ascii="Arial" w:hAnsi="Arial" w:cs="Arial"/>
                <w:b/>
                <w:bCs/>
                <w:sz w:val="18"/>
                <w:szCs w:val="18"/>
              </w:rPr>
            </w:pPr>
            <w:r>
              <w:rPr>
                <w:rStyle w:val="PleaseReviewParagraphId"/>
                <w:b w:val="off"/>
                <w:i w:val="off"/>
              </w:rPr>
              <w:t>[401]</w:t>
            </w:r>
            <w:r>
              <w:rPr>
                <w:rFonts w:ascii="Arial" w:hAnsi="Arial" w:cs="Arial"/>
                <w:b/>
                <w:bCs/>
                <w:sz w:val="18"/>
                <w:szCs w:val="18"/>
                <w:lang w:eastAsia="en-GB"/>
              </w:rPr>
              <w:drawing>
                <wp:inline distT="0" distB="0" distL="0" distR="0">
                  <wp:extent cx="1995805" cy="3061335"/>
                  <wp:effectExtent l="0" t="0" r="4445" b="5715"/>
                  <wp:docPr id="5" name="Picture 5" descr="Picture5"/>
                  <wp:cNvGraphicFramePr>
                    <a:graphicFrameLocks noChangeAspect="1"/>
                  </wp:cNvGraphicFramePr>
                  <a:graphic>
                    <a:graphicData uri="http://schemas.openxmlformats.org/drawingml/2006/picture">
                      <pic:pic>
                        <pic:nvPicPr>
                          <pic:cNvPr id="0" name="Picture 5" descr="Picture5"/>
                          <pic:cNvPicPr>
                            <a:picLocks noChangeAspect="1" noChangeArrowheads="1"/>
                          </pic:cNvPicPr>
                        </pic:nvPicPr>
                        <pic:blipFill>
                          <a:blip r:embed="rId15">
                            <a:extLst>
                              <a:ext uri="{28A0092B-C50C-407E-A947-70E740481C1C}">
                                <a14:useLocalDpi val="0"/>
                              </a:ext>
                            </a:extLst>
                          </a:blip>
                          <a:srcRect/>
                          <a:stretch>
                            <a:fillRect/>
                          </a:stretch>
                        </pic:blipFill>
                        <pic:spPr bwMode="auto">
                          <a:xfrm>
                            <a:off x="0" y="0"/>
                            <a:ext cx="1995805" cy="3061335"/>
                          </a:xfrm>
                          <a:prstGeom prst="rect">
                            <a:avLst/>
                          </a:prstGeom>
                          <a:noFill/>
                          <a:ln>
                            <a:noFill/>
                          </a:ln>
                        </pic:spPr>
                      </pic:pic>
                    </a:graphicData>
                  </a:graphic>
                </wp:inline>
              </w:drawing>
            </w:r>
          </w:p>
        </w:tc>
      </w:tr>
    </w:tbl>
    <w:p>
      <w:pPr>
        <w:pStyle w:val="IPPArial"/>
        <w:rPr>
          <w:rFonts w:eastAsia="Times New Roman"/>
          <w:lang w:val="es-ES" w:eastAsia="en-GB"/>
        </w:rPr>
      </w:pPr>
      <w:r>
        <w:rPr>
          <w:rStyle w:val="PleaseReviewParagraphId"/>
          <w:b w:val="off"/>
          <w:i w:val="off"/>
        </w:rPr>
        <w:t>[402]</w:t>
      </w:r>
      <w:r>
        <w:rPr>
          <w:b/>
          <w:bCs/>
        </w:rPr>
        <w:t>Figure 4</w:t>
      </w:r>
      <w:r>
        <w:rPr>
          <w:b/>
        </w:rPr>
        <w:t>.</w:t>
      </w:r>
      <w:r>
        <w:t xml:space="preserve"> Typical symptoms of </w:t>
      </w:r>
      <w:r>
        <w:rPr>
          <w:i/>
          <w:iCs/>
        </w:rPr>
        <w:t xml:space="preserve">Fusarium circinatum </w:t>
      </w:r>
      <w:r>
        <w:t xml:space="preserve">on infected seedlings. </w:t>
      </w:r>
      <w:r>
        <w:rPr>
          <w:iCs/>
          <w:lang w:val="es-ES"/>
        </w:rPr>
        <w:t xml:space="preserve">Photos courtesy E. Landeras, </w:t>
      </w:r>
      <w:r>
        <w:rPr>
          <w:rFonts w:eastAsia="Times New Roman"/>
          <w:lang w:val="es-ES" w:eastAsia="en-GB"/>
        </w:rPr>
        <w:t>Laboratorio de Sanidad Vegetal, Oviedo, Spain.</w:t>
      </w:r>
    </w:p>
    <w:p>
      <w:pPr>
        <w:rPr>
          <w:sz w:val="20"/>
          <w:szCs w:val="20"/>
        </w:rPr>
      </w:pPr>
      <w:r>
        <w:rPr>
          <w:rStyle w:val="PleaseReviewParagraphId"/>
          <w:b w:val="off"/>
          <w:i w:val="off"/>
        </w:rPr>
        <w:t>[403]</w:t>
      </w:r>
      <w:r>
        <w:rPr>
          <w:sz w:val="20"/>
          <w:szCs w:val="20"/>
          <w:lang w:eastAsia="en-GB"/>
        </w:rPr>
        <w:lastRenderedPageBreak/>
        <w:drawing>
          <wp:inline distT="0" distB="0" distL="0" distR="0">
            <wp:extent cx="2783205" cy="2091055"/>
            <wp:effectExtent l="0" t="0" r="0" b="4445"/>
            <wp:docPr id="6" name="Picture 6" descr="Picture6"/>
            <wp:cNvGraphicFramePr>
              <a:graphicFrameLocks noChangeAspect="1"/>
            </wp:cNvGraphicFramePr>
            <a:graphic>
              <a:graphicData uri="http://schemas.openxmlformats.org/drawingml/2006/picture">
                <pic:pic>
                  <pic:nvPicPr>
                    <pic:cNvPr id="0" name="Picture 6" descr="Picture6"/>
                    <pic:cNvPicPr>
                      <a:picLocks noChangeAspect="1" noChangeArrowheads="1"/>
                    </pic:cNvPicPr>
                  </pic:nvPicPr>
                  <pic:blipFill>
                    <a:blip r:embed="rId16">
                      <a:extLst>
                        <a:ext uri="{28A0092B-C50C-407E-A947-70E740481C1C}">
                          <a14:useLocalDpi val="0"/>
                        </a:ext>
                      </a:extLst>
                    </a:blip>
                    <a:srcRect/>
                    <a:stretch>
                      <a:fillRect/>
                    </a:stretch>
                  </pic:blipFill>
                  <pic:spPr bwMode="auto">
                    <a:xfrm>
                      <a:off x="0" y="0"/>
                      <a:ext cx="2783205" cy="2091055"/>
                    </a:xfrm>
                    <a:prstGeom prst="rect">
                      <a:avLst/>
                    </a:prstGeom>
                    <a:noFill/>
                    <a:ln>
                      <a:noFill/>
                    </a:ln>
                  </pic:spPr>
                </pic:pic>
              </a:graphicData>
            </a:graphic>
          </wp:inline>
        </w:drawing>
      </w:r>
    </w:p>
    <w:p>
      <w:pPr>
        <w:pStyle w:val="IPPArial"/>
      </w:pPr>
      <w:r>
        <w:rPr>
          <w:rStyle w:val="PleaseReviewParagraphId"/>
          <w:b w:val="off"/>
          <w:i w:val="off"/>
        </w:rPr>
        <w:t>[404]</w:t>
      </w:r>
      <w:r>
        <w:rPr>
          <w:b/>
          <w:bCs/>
        </w:rPr>
        <w:t>Figure 5</w:t>
      </w:r>
      <w:r>
        <w:t xml:space="preserve">. Colony morphology of </w:t>
      </w:r>
      <w:r>
        <w:rPr>
          <w:i/>
          <w:iCs/>
        </w:rPr>
        <w:t xml:space="preserve">Fusarium circinatum </w:t>
      </w:r>
      <w:r>
        <w:t xml:space="preserve">after 14 days on potato dextrose agar, and the reversed plate. </w:t>
      </w:r>
    </w:p>
    <w:p>
      <w:pPr>
        <w:pStyle w:val="IPPArial"/>
        <w:spacing w:after="360"/>
      </w:pPr>
      <w:r>
        <w:rPr>
          <w:rStyle w:val="PleaseReviewParagraphId"/>
          <w:b w:val="off"/>
          <w:i w:val="off"/>
        </w:rPr>
        <w:t>[405]</w:t>
      </w:r>
      <w:r>
        <w:rPr>
          <w:iCs/>
        </w:rPr>
        <w:t xml:space="preserve">Photos courtesy </w:t>
      </w:r>
      <w:r>
        <w:rPr>
          <w:rFonts w:eastAsia="Times New Roman"/>
          <w:iCs/>
          <w:lang w:eastAsia="en-GB"/>
        </w:rPr>
        <w:t>M. Berbegal</w:t>
      </w:r>
      <w:r>
        <w:rPr>
          <w:rFonts w:eastAsia="Times New Roman"/>
          <w:lang w:eastAsia="en-GB"/>
        </w:rPr>
        <w:t>, Universidad Politécnica de Valencia, Spain</w:t>
      </w:r>
      <w:r>
        <w:rPr>
          <w:iCs/>
        </w:rPr>
        <w:t xml:space="preserve"> </w:t>
      </w:r>
      <w:r>
        <w:t>and</w:t>
      </w:r>
      <w:r>
        <w:rPr>
          <w:iCs/>
        </w:rPr>
        <w:t xml:space="preserve"> A. P</w:t>
      </w:r>
      <w:r>
        <w:t>é</w:t>
      </w:r>
      <w:r>
        <w:rPr>
          <w:iCs/>
        </w:rPr>
        <w:t xml:space="preserve">rez-Sierra, </w:t>
      </w:r>
      <w:r>
        <w:rPr>
          <w:rFonts w:eastAsia="Times New Roman"/>
          <w:lang w:eastAsia="en-GB"/>
        </w:rPr>
        <w:t>Forest Research, United Kingdom</w:t>
      </w:r>
      <w:r>
        <w:rPr>
          <w:iCs/>
        </w:rPr>
        <w:t>.</w:t>
      </w:r>
    </w:p>
    <w:tbl>
      <w:tblPr>
        <w:tblW w:w="10150" w:type="dxa"/>
        <w:tblLook w:val="04A0" w:firstRow="1" w:lastRow="0" w:firstColumn="1" w:lastColumn="0" w:noHBand="0" w:noVBand="1"/>
      </w:tblPr>
      <w:tblGrid>
        <w:gridCol w:w="10150"/>
      </w:tblGrid>
      <w:tr>
        <w:tc>
          <w:tcPr>
            <w:tcW w:w="10150" w:type="dxa"/>
            <w:shd w:val="clear" w:color="auto" w:fill="auto"/>
          </w:tcPr>
          <w:p>
            <w:pPr>
              <w:rPr>
                <w:sz w:val="20"/>
                <w:szCs w:val="20"/>
              </w:rPr>
            </w:pPr>
            <w:r>
              <w:rPr>
                <w:rStyle w:val="PleaseReviewParagraphId"/>
                <w:b w:val="off"/>
                <w:i w:val="off"/>
              </w:rPr>
              <w:t>[406]</w:t>
            </w:r>
            <w:r>
              <w:rPr>
                <w:sz w:val="20"/>
                <w:szCs w:val="20"/>
                <w:lang w:eastAsia="en-GB"/>
              </w:rPr>
              <w:drawing>
                <wp:inline distT="0" distB="0" distL="0" distR="0">
                  <wp:extent cx="2806700" cy="1868805"/>
                  <wp:effectExtent l="0" t="0" r="0" b="0"/>
                  <wp:docPr id="7" name="Picture 7" descr="Picture7"/>
                  <wp:cNvGraphicFramePr>
                    <a:graphicFrameLocks noChangeAspect="1"/>
                  </wp:cNvGraphicFramePr>
                  <a:graphic>
                    <a:graphicData uri="http://schemas.openxmlformats.org/drawingml/2006/picture">
                      <pic:pic>
                        <pic:nvPicPr>
                          <pic:cNvPr id="0" name="Picture 7" descr="Picture7"/>
                          <pic:cNvPicPr>
                            <a:picLocks noChangeAspect="1" noChangeArrowheads="1"/>
                          </pic:cNvPicPr>
                        </pic:nvPicPr>
                        <pic:blipFill>
                          <a:blip r:embed="rId17">
                            <a:extLst>
                              <a:ext uri="{28A0092B-C50C-407E-A947-70E740481C1C}">
                                <a14:useLocalDpi val="0"/>
                              </a:ext>
                            </a:extLst>
                          </a:blip>
                          <a:srcRect/>
                          <a:stretch>
                            <a:fillRect/>
                          </a:stretch>
                        </pic:blipFill>
                        <pic:spPr bwMode="auto">
                          <a:xfrm>
                            <a:off x="0" y="0"/>
                            <a:ext cx="2806700" cy="1868805"/>
                          </a:xfrm>
                          <a:prstGeom prst="rect">
                            <a:avLst/>
                          </a:prstGeom>
                          <a:noFill/>
                          <a:ln>
                            <a:noFill/>
                          </a:ln>
                        </pic:spPr>
                      </pic:pic>
                    </a:graphicData>
                  </a:graphic>
                </wp:inline>
              </w:drawing>
            </w:r>
            <w:r>
              <w:rPr>
                <w:sz w:val="20"/>
                <w:szCs w:val="20"/>
              </w:rPr>
              <w:t xml:space="preserve">    </w:t>
            </w:r>
            <w:r>
              <w:rPr>
                <w:sz w:val="20"/>
                <w:szCs w:val="20"/>
                <w:lang w:eastAsia="en-GB"/>
              </w:rPr>
              <w:drawing>
                <wp:inline distT="0" distB="0" distL="0" distR="0">
                  <wp:extent cx="1916430" cy="1860550"/>
                  <wp:effectExtent l="0" t="0" r="7620" b="6350"/>
                  <wp:docPr id="8" name="Picture 8" descr="Picture9"/>
                  <wp:cNvGraphicFramePr>
                    <a:graphicFrameLocks noChangeAspect="1"/>
                  </wp:cNvGraphicFramePr>
                  <a:graphic>
                    <a:graphicData uri="http://schemas.openxmlformats.org/drawingml/2006/picture">
                      <pic:pic>
                        <pic:nvPicPr>
                          <pic:cNvPr id="0" name="Picture 8" descr="Picture9"/>
                          <pic:cNvPicPr>
                            <a:picLocks noChangeAspect="1" noChangeArrowheads="1"/>
                          </pic:cNvPicPr>
                        </pic:nvPicPr>
                        <pic:blipFill>
                          <a:blip r:embed="rId18">
                            <a:extLst>
                              <a:ext uri="{28A0092B-C50C-407E-A947-70E740481C1C}">
                                <a14:useLocalDpi val="0"/>
                              </a:ext>
                            </a:extLst>
                          </a:blip>
                          <a:srcRect/>
                          <a:stretch>
                            <a:fillRect/>
                          </a:stretch>
                        </pic:blipFill>
                        <pic:spPr bwMode="auto">
                          <a:xfrm>
                            <a:off x="0" y="0"/>
                            <a:ext cx="1916430" cy="1860550"/>
                          </a:xfrm>
                          <a:prstGeom prst="rect">
                            <a:avLst/>
                          </a:prstGeom>
                          <a:noFill/>
                          <a:ln>
                            <a:noFill/>
                          </a:ln>
                        </pic:spPr>
                      </pic:pic>
                    </a:graphicData>
                  </a:graphic>
                </wp:inline>
              </w:drawing>
            </w:r>
          </w:p>
        </w:tc>
      </w:tr>
    </w:tbl>
    <w:p>
      <w:pPr>
        <w:pStyle w:val="IPPArial"/>
      </w:pPr>
      <w:r>
        <w:rPr>
          <w:rStyle w:val="PleaseReviewParagraphId"/>
          <w:b w:val="off"/>
          <w:i w:val="off"/>
        </w:rPr>
        <w:t>[407]</w:t>
      </w:r>
      <w:r>
        <w:rPr>
          <w:b/>
          <w:bCs/>
        </w:rPr>
        <w:t>Figure 6.</w:t>
      </w:r>
      <w:r>
        <w:t xml:space="preserve"> </w:t>
      </w:r>
      <w:r>
        <w:rPr>
          <w:i/>
        </w:rPr>
        <w:t>In vitro</w:t>
      </w:r>
      <w:r>
        <w:t xml:space="preserve"> characteristics of </w:t>
      </w:r>
      <w:r>
        <w:rPr>
          <w:i/>
          <w:iCs/>
        </w:rPr>
        <w:t xml:space="preserve">Fusarium circinatum </w:t>
      </w:r>
      <w:r>
        <w:t>(</w:t>
      </w:r>
      <w:r>
        <w:rPr>
          <w:rFonts w:cs="Arial"/>
        </w:rPr>
        <w:t>×</w:t>
      </w:r>
      <w:r>
        <w:t xml:space="preserve">1 000): (A) Monophialidic and polyphialidic conidiophores and microconidia; and (B) Macroconidia and microconidia. </w:t>
      </w:r>
    </w:p>
    <w:p>
      <w:pPr>
        <w:pStyle w:val="IPPArial"/>
        <w:rPr>
          <w:iCs/>
        </w:rPr>
      </w:pPr>
      <w:r>
        <w:rPr>
          <w:rStyle w:val="PleaseReviewParagraphId"/>
          <w:b w:val="off"/>
          <w:i w:val="off"/>
        </w:rPr>
        <w:t>[408]</w:t>
      </w:r>
      <w:r>
        <w:rPr>
          <w:iCs/>
        </w:rPr>
        <w:t>Photos courtesy A. P</w:t>
      </w:r>
      <w:r>
        <w:t>é</w:t>
      </w:r>
      <w:r>
        <w:rPr>
          <w:iCs/>
        </w:rPr>
        <w:t xml:space="preserve">rez-Sierra, </w:t>
      </w:r>
      <w:r>
        <w:rPr>
          <w:rFonts w:eastAsia="Times New Roman"/>
          <w:lang w:eastAsia="en-GB"/>
        </w:rPr>
        <w:t>Forest Research, United Kingdom</w:t>
      </w:r>
      <w:r>
        <w:rPr>
          <w:iCs/>
        </w:rPr>
        <w:t>.</w:t>
        <w:tab/>
      </w:r>
    </w:p>
    <w:p>
      <w:pPr>
        <w:rPr>
          <w:sz w:val="20"/>
          <w:szCs w:val="20"/>
        </w:rPr>
      </w:pPr>
      <w:r>
        <w:rPr>
          <w:rStyle w:val="PleaseReviewParagraphId"/>
          <w:b w:val="off"/>
          <w:i w:val="off"/>
        </w:rPr>
        <w:t>[409]</w:t>
      </w:r>
      <w:r>
        <w:rPr>
          <w:rFonts w:ascii="Arial" w:hAnsi="Arial" w:cs="Arial"/>
          <w:b/>
          <w:bCs/>
          <w:sz w:val="18"/>
          <w:szCs w:val="18"/>
          <w:lang w:eastAsia="en-GB"/>
        </w:rPr>
        <w:drawing>
          <wp:inline distT="0" distB="0" distL="0" distR="0">
            <wp:extent cx="2544445" cy="2273935"/>
            <wp:effectExtent l="0" t="0" r="8255" b="0"/>
            <wp:docPr id="9" name="Picture 9" descr="Picture10"/>
            <wp:cNvGraphicFramePr>
              <a:graphicFrameLocks noChangeAspect="1"/>
            </wp:cNvGraphicFramePr>
            <a:graphic>
              <a:graphicData uri="http://schemas.openxmlformats.org/drawingml/2006/picture">
                <pic:pic>
                  <pic:nvPicPr>
                    <pic:cNvPr id="0" name="Picture 9" descr="Picture10"/>
                    <pic:cNvPicPr>
                      <a:picLocks noChangeAspect="1" noChangeArrowheads="1"/>
                    </pic:cNvPicPr>
                  </pic:nvPicPr>
                  <pic:blipFill>
                    <a:blip r:embed="rId19">
                      <a:extLst>
                        <a:ext uri="{28A0092B-C50C-407E-A947-70E740481C1C}">
                          <a14:useLocalDpi val="0"/>
                        </a:ext>
                      </a:extLst>
                    </a:blip>
                    <a:srcRect/>
                    <a:stretch>
                      <a:fillRect/>
                    </a:stretch>
                  </pic:blipFill>
                  <pic:spPr bwMode="auto">
                    <a:xfrm>
                      <a:off x="0" y="0"/>
                      <a:ext cx="2544445" cy="2273935"/>
                    </a:xfrm>
                    <a:prstGeom prst="rect">
                      <a:avLst/>
                    </a:prstGeom>
                    <a:noFill/>
                    <a:ln>
                      <a:noFill/>
                    </a:ln>
                  </pic:spPr>
                </pic:pic>
              </a:graphicData>
            </a:graphic>
          </wp:inline>
        </w:drawing>
      </w:r>
      <w:r>
        <w:rPr>
          <w:rFonts w:ascii="Arial" w:hAnsi="Arial" w:cs="Arial"/>
          <w:b/>
          <w:bCs/>
          <w:sz w:val="18"/>
          <w:szCs w:val="18"/>
        </w:rPr>
        <w:t xml:space="preserve">     </w:t>
      </w:r>
      <w:r>
        <w:rPr>
          <w:rFonts w:ascii="Arial" w:hAnsi="Arial" w:cs="Arial"/>
          <w:b/>
          <w:bCs/>
          <w:sz w:val="18"/>
          <w:szCs w:val="18"/>
          <w:lang w:eastAsia="en-GB"/>
        </w:rPr>
        <w:drawing>
          <wp:inline distT="0" distB="0" distL="0" distR="0">
            <wp:extent cx="2973705" cy="2210435"/>
            <wp:effectExtent l="0" t="0" r="0" b="0"/>
            <wp:docPr id="10" name="Picture 10" descr="Picture11"/>
            <wp:cNvGraphicFramePr>
              <a:graphicFrameLocks noChangeAspect="1"/>
            </wp:cNvGraphicFramePr>
            <a:graphic>
              <a:graphicData uri="http://schemas.openxmlformats.org/drawingml/2006/picture">
                <pic:pic>
                  <pic:nvPicPr>
                    <pic:cNvPr id="0" name="Picture 10" descr="Picture11"/>
                    <pic:cNvPicPr>
                      <a:picLocks noChangeAspect="1" noChangeArrowheads="1"/>
                    </pic:cNvPicPr>
                  </pic:nvPicPr>
                  <pic:blipFill>
                    <a:blip r:embed="rId20">
                      <a:extLst>
                        <a:ext uri="{28A0092B-C50C-407E-A947-70E740481C1C}">
                          <a14:useLocalDpi val="0"/>
                        </a:ext>
                      </a:extLst>
                    </a:blip>
                    <a:srcRect/>
                    <a:stretch>
                      <a:fillRect/>
                    </a:stretch>
                  </pic:blipFill>
                  <pic:spPr bwMode="auto">
                    <a:xfrm>
                      <a:off x="0" y="0"/>
                      <a:ext cx="2973705" cy="2210435"/>
                    </a:xfrm>
                    <a:prstGeom prst="rect">
                      <a:avLst/>
                    </a:prstGeom>
                    <a:noFill/>
                    <a:ln>
                      <a:noFill/>
                    </a:ln>
                  </pic:spPr>
                </pic:pic>
              </a:graphicData>
            </a:graphic>
          </wp:inline>
        </w:drawing>
      </w:r>
    </w:p>
    <w:p>
      <w:pPr>
        <w:pStyle w:val="IPPArial"/>
        <w:rPr>
          <w:iCs/>
        </w:rPr>
      </w:pPr>
      <w:r>
        <w:rPr>
          <w:rStyle w:val="PleaseReviewParagraphId"/>
          <w:b w:val="off"/>
          <w:i w:val="off"/>
        </w:rPr>
        <w:t>[410]</w:t>
      </w:r>
      <w:r>
        <w:rPr>
          <w:b/>
          <w:bCs/>
        </w:rPr>
        <w:t>Figure 7.</w:t>
      </w:r>
      <w:r>
        <w:t xml:space="preserve"> Sterile hyphae, characteristic of </w:t>
      </w:r>
      <w:r>
        <w:rPr>
          <w:i/>
          <w:iCs/>
        </w:rPr>
        <w:t>Fusarium circinatum</w:t>
      </w:r>
      <w:r>
        <w:t xml:space="preserve">: (A) coiled; and (B) not distinctively coiled </w:t>
      </w:r>
    </w:p>
    <w:p>
      <w:pPr>
        <w:pStyle w:val="IPPArial"/>
      </w:pPr>
      <w:r>
        <w:rPr>
          <w:rStyle w:val="PleaseReviewParagraphId"/>
          <w:b w:val="off"/>
          <w:i w:val="off"/>
        </w:rPr>
        <w:t>[411]</w:t>
      </w:r>
      <w:r>
        <w:rPr>
          <w:iCs/>
        </w:rPr>
        <w:t>Photos courtesy A. P</w:t>
      </w:r>
      <w:r>
        <w:t>é</w:t>
      </w:r>
      <w:r>
        <w:rPr>
          <w:iCs/>
        </w:rPr>
        <w:t xml:space="preserve">rez-Sierra, </w:t>
      </w:r>
      <w:r>
        <w:rPr>
          <w:rFonts w:eastAsia="Times New Roman"/>
          <w:lang w:eastAsia="en-GB"/>
        </w:rPr>
        <w:t xml:space="preserve">Forest Research, United Kingdom. </w:t>
      </w:r>
    </w:p>
    <w:p>
      <w:pPr>
        <w:spacing w:before="480"/>
        <w:jc w:val="center"/>
        <w:rPr>
          <w:rFonts w:ascii="Arial" w:hAnsi="Arial" w:cs="Arial"/>
          <w:sz w:val="18"/>
          <w:szCs w:val="18"/>
        </w:rPr>
      </w:pPr>
      <w:r>
        <w:rPr>
          <w:rStyle w:val="PleaseReviewParagraphId"/>
          <w:b w:val="off"/>
          <w:i w:val="off"/>
        </w:rPr>
        <w:t>[412]</w:t>
      </w:r>
      <w:r>
        <w:rPr>
          <w:rFonts w:ascii="Arial" w:hAnsi="Arial" w:cs="Arial"/>
          <w:b/>
          <w:bCs/>
          <w:sz w:val="18"/>
          <w:szCs w:val="18"/>
          <w:lang w:eastAsia="en-GB"/>
        </w:rPr>
        <w:lastRenderedPageBreak/>
        <w:drawing>
          <wp:inline distT="0" distB="0" distL="0" distR="0">
            <wp:extent cx="3037205" cy="2273935"/>
            <wp:effectExtent l="0" t="0" r="0" b="0"/>
            <wp:docPr id="11" name="Picture 11" descr="Picture14"/>
            <wp:cNvGraphicFramePr>
              <a:graphicFrameLocks noChangeAspect="1"/>
            </wp:cNvGraphicFramePr>
            <a:graphic>
              <a:graphicData uri="http://schemas.openxmlformats.org/drawingml/2006/picture">
                <pic:pic>
                  <pic:nvPicPr>
                    <pic:cNvPr id="0" name="Picture 11" descr="Picture14"/>
                    <pic:cNvPicPr>
                      <a:picLocks noChangeAspect="1" noChangeArrowheads="1"/>
                    </pic:cNvPicPr>
                  </pic:nvPicPr>
                  <pic:blipFill>
                    <a:blip r:embed="rId21">
                      <a:extLst>
                        <a:ext uri="{28A0092B-C50C-407E-A947-70E740481C1C}">
                          <a14:useLocalDpi val="0"/>
                        </a:ext>
                      </a:extLst>
                    </a:blip>
                    <a:srcRect/>
                    <a:stretch>
                      <a:fillRect/>
                    </a:stretch>
                  </pic:blipFill>
                  <pic:spPr bwMode="auto">
                    <a:xfrm>
                      <a:off x="0" y="0"/>
                      <a:ext cx="3037205" cy="2273935"/>
                    </a:xfrm>
                    <a:prstGeom prst="rect">
                      <a:avLst/>
                    </a:prstGeom>
                    <a:noFill/>
                    <a:ln>
                      <a:noFill/>
                    </a:ln>
                  </pic:spPr>
                </pic:pic>
              </a:graphicData>
            </a:graphic>
          </wp:inline>
        </w:drawing>
      </w:r>
    </w:p>
    <w:p>
      <w:pPr>
        <w:pStyle w:val="IPPArial"/>
      </w:pPr>
      <w:r>
        <w:rPr>
          <w:rStyle w:val="PleaseReviewParagraphId"/>
          <w:b w:val="off"/>
          <w:i w:val="off"/>
        </w:rPr>
        <w:t>[413]</w:t>
      </w:r>
      <w:r>
        <w:rPr>
          <w:b/>
          <w:bCs/>
        </w:rPr>
        <w:t>Figure 8.</w:t>
      </w:r>
      <w:r>
        <w:t xml:space="preserve"> Commonly observed “spiral-wrapped” hyphae at the surface of the agar, which may be produced by several species of </w:t>
      </w:r>
      <w:r>
        <w:rPr>
          <w:i/>
          <w:iCs/>
        </w:rPr>
        <w:t>Fusarium</w:t>
      </w:r>
      <w:r>
        <w:t>.</w:t>
      </w:r>
    </w:p>
    <w:p>
      <w:pPr>
        <w:pStyle w:val="IPPArial"/>
        <w:rPr>
          <w:lang w:val="fr-FR"/>
        </w:rPr>
      </w:pPr>
      <w:r>
        <w:rPr>
          <w:rStyle w:val="PleaseReviewParagraphId"/>
          <w:b w:val="off"/>
          <w:i w:val="off"/>
        </w:rPr>
        <w:t>[414]</w:t>
      </w:r>
      <w:r>
        <w:rPr>
          <w:iCs/>
          <w:lang w:val="fr-FR"/>
        </w:rPr>
        <w:t xml:space="preserve">Photo courtesy R. Ioos, </w:t>
      </w:r>
      <w:r>
        <w:rPr>
          <w:rFonts w:eastAsia="Times New Roman"/>
          <w:lang w:val="fr-FR" w:eastAsia="en-GB"/>
        </w:rPr>
        <w:t>ANSES, Malzéville, France</w:t>
      </w:r>
      <w:r>
        <w:rPr>
          <w:iCs/>
          <w:lang w:val="fr-FR"/>
        </w:rPr>
        <w:t>.</w:t>
      </w:r>
    </w:p>
    <w:sectPr>
      <w:headerReference w:type="even" r:id="rId22"/>
      <w:headerReference w:type="default" r:id="rId23"/>
      <w:footerReference w:type="even" r:id="rId24"/>
      <w:footerReference w:type="default" r:id="rId25"/>
      <w:footerReference w:type="first" r:id="rId26"/>
      <w:pgSz w:w="11907" w:h="16839" w:code="9"/>
      <w:pgMar w:top="1559" w:right="1418" w:bottom="1418" w:left="1418" w:header="709" w:footer="709" w:gutter="0"/>
      <w:cols w:space="709"/>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rPr>
          <w:rStyle w:val="PleaseReviewParagraphId"/>
          <w:b w:val="off"/>
          <w:i w:val="off"/>
        </w:rPr>
        <w:t>[]</w:t>
      </w:r>
      <w:r>
        <w:separator/>
      </w:r>
    </w:p>
  </w:endnote>
  <w:endnote w:type="continuationSeparator" w:id="0">
    <w:p>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PPFooter"/>
    </w:pPr>
    <w:r>
      <w:rPr>
        <w:rStyle w:val="PleaseReviewParagraphId"/>
        <w:b w:val="off"/>
        <w:i w:val="off"/>
      </w:rPr>
      <w:t>[417]</w:t>
    </w:r>
    <w:r>
      <w:t xml:space="preserve">Page </w:t>
    </w:r>
    <w:r>
      <w:fldChar w:fldCharType="begin"/>
    </w:r>
    <w:r>
      <w:instrText xml:space="preserve"> PAGE </w:instrText>
    </w:r>
    <w:r>
      <w:fldChar w:fldCharType="separate"/>
    </w:r>
    <w:r>
      <w:t>16</w:t>
    </w:r>
    <w:r>
      <w:fldChar w:fldCharType="end"/>
    </w:r>
    <w:r>
      <w:t xml:space="preserve"> of </w:t>
    </w:r>
    <w:r>
      <w:fldChar w:fldCharType="begin"/>
    </w:r>
    <w:r>
      <w:instrText xml:space="preserve"> NUMPAGES </w:instrText>
    </w:r>
    <w:r>
      <w:fldChar w:fldCharType="separate"/>
    </w:r>
    <w:r>
      <w:t>19</w:t>
    </w:r>
    <w:r>
      <w:fldChar w:fldCharType="end"/>
    </w:r>
    <w:r>
      <w:tab/>
      <w:t>International Plant Protection Convention</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PPFooter"/>
    </w:pPr>
    <w:r>
      <w:rPr>
        <w:rStyle w:val="PleaseReviewParagraphId"/>
        <w:b w:val="off"/>
        <w:i w:val="off"/>
      </w:rPr>
      <w:t>[418]</w:t>
    </w:r>
    <w:r>
      <w:t>International Plant Protection Convention</w:t>
    </w:r>
    <w:r>
      <w:tab/>
      <w:t xml:space="preserve">Page </w:t>
    </w:r>
    <w:r>
      <w:fldChar w:fldCharType="begin"/>
    </w:r>
    <w:r>
      <w:instrText xml:space="preserve"> PAGE </w:instrText>
    </w:r>
    <w:r>
      <w:fldChar w:fldCharType="separate"/>
    </w:r>
    <w:r>
      <w:t>19</w:t>
    </w:r>
    <w:r>
      <w:fldChar w:fldCharType="end"/>
    </w:r>
    <w:r>
      <w:t xml:space="preserve"> of </w:t>
    </w:r>
    <w:r>
      <w:fldChar w:fldCharType="begin"/>
    </w:r>
    <w:r>
      <w:instrText xml:space="preserve"> NUMPAGES </w:instrText>
    </w:r>
    <w:r>
      <w:fldChar w:fldCharType="separate"/>
    </w:r>
    <w:r>
      <w:t>19</w:t>
    </w:r>
    <w: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PPFooter"/>
    </w:pPr>
    <w:r>
      <w:rPr>
        <w:rStyle w:val="PleaseReviewParagraphId"/>
        <w:b w:val="off"/>
        <w:i w:val="off"/>
      </w:rPr>
      <w:t>[419]</w:t>
    </w:r>
    <w:r>
      <w:t>International Plant Protection Convention</w:t>
    </w:r>
    <w:r>
      <w:tab/>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19</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rPr>
          <w:rStyle w:val="PleaseReviewParagraphId"/>
          <w:b w:val="off"/>
          <w:i w:val="off"/>
        </w:rPr>
        <w:t>[]</w:t>
      </w:r>
      <w:r>
        <w:separator/>
      </w:r>
    </w:p>
  </w:footnote>
  <w:footnote w:type="continuationSeparator" w:id="0">
    <w:p>
      <w:r>
        <w:rPr>
          <w:rStyle w:val="PleaseReviewParagraphId"/>
          <w:b w:val="off"/>
          <w:i w:val="off"/>
        </w:rPr>
        <w:t>[]</w:t>
      </w:r>
      <w:r>
        <w:continuationSeparator/>
      </w:r>
    </w:p>
  </w:footnote>
  <w:footnote w:id="1">
    <w:p>
      <w:pPr>
        <w:pStyle w:val="IPPPargraphnumbering"/>
        <w:tabs>
          <w:tab w:val="clear" w:pos="0"/>
        </w:tabs>
        <w:ind w:firstLine="0"/>
      </w:pPr>
      <w:r>
        <w:rPr>
          <w:rStyle w:val="PleaseReviewParagraphId"/>
          <w:b w:val="off"/>
          <w:i w:val="off"/>
        </w:rPr>
        <w:t>[99]</w:t>
      </w:r>
      <w:r>
        <w:rPr>
          <w:rStyle w:val="FootnoteReference"/>
        </w:rPr>
        <w:footnoteRef/>
      </w:r>
      <w:r>
        <w:t xml:space="preserve"> In this diagnostic protocol, methods (including reference to brand names) are described as published, as these defined the original level of sensitivity, specificity and reproducibility achieved. The use of names of reagents, chemicals or equipment in these diagnostic protocols implies no approval of them to the exclusion of others that may also be suitable. Laboratory procedures presented in the protocols may be adjusted to the standards of individual laboratories, provided that they are adequately validated.</w:t>
      </w:r>
    </w:p>
  </w:footnote>
  <w:footnote w:id="2">
    <w:p>
      <w:pPr>
        <w:pStyle w:val="FootnoteText"/>
        <w:rPr>
          <w:lang w:val="nl-NL"/>
        </w:rPr>
      </w:pPr>
      <w:r>
        <w:rPr>
          <w:rStyle w:val="PleaseReviewParagraphId"/>
          <w:b w:val="off"/>
          <w:i w:val="off"/>
        </w:rPr>
        <w:t>[106]</w:t>
      </w:r>
      <w:r>
        <w:rPr>
          <w:rStyle w:val="FootnoteReference"/>
        </w:rPr>
        <w:footnoteRef/>
      </w:r>
      <w:r>
        <w:t xml:space="preserve"> </w:t>
      </w:r>
      <w:r>
        <w:rPr>
          <w:lang w:val="nl-NL"/>
        </w:rPr>
        <w:t xml:space="preserve">See footnote </w:t>
      </w:r>
      <w:r>
        <w:rPr>
          <w:szCs w:val="20"/>
          <w:vertAlign w:val="superscript"/>
          <w:lang w:val="nl-NL"/>
        </w:rPr>
        <w:t>1</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PPHeader"/>
      <w:tabs>
        <w:tab w:val="clear" w:pos="9072"/>
        <w:tab w:val="right" w:pos="9071"/>
      </w:tabs>
      <w:jc w:val="both"/>
    </w:pPr>
    <w:r>
      <w:rPr>
        <w:rStyle w:val="PleaseReviewParagraphId"/>
        <w:b w:val="off"/>
        <w:i w:val="off"/>
      </w:rPr>
      <w:t>[415]</w:t>
    </w:r>
    <w:r>
      <w:rPr>
        <w:rStyle w:val="Strong"/>
        <w:rFonts w:cs="Arial"/>
        <w:b w:val="0"/>
        <w:bCs w:val="0"/>
      </w:rPr>
      <w:t>2006-021</w:t>
      <w:tab/>
      <w:tab/>
      <w:t xml:space="preserve">Draft Annex to ISPM 27: </w:t>
    </w:r>
    <w:r>
      <w:rPr>
        <w:i/>
        <w:iCs/>
      </w:rPr>
      <w:t>Fusarium circinatum</w:t>
    </w:r>
    <w:r>
      <w:rPr>
        <w:rStyle w:val="Strong"/>
        <w:rFonts w:cs="Arial"/>
        <w:b w:val="0"/>
        <w:bCs w:val="0"/>
      </w:rPr>
      <w:t xml:space="preserve"> </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PPHeader"/>
    </w:pPr>
    <w:r>
      <w:rPr>
        <w:rStyle w:val="PleaseReviewParagraphId"/>
        <w:b w:val="off"/>
        <w:i w:val="off"/>
      </w:rPr>
      <w:t>[416]</w:t>
    </w:r>
    <w:r>
      <w:rPr>
        <w:rStyle w:val="Strong"/>
        <w:rFonts w:cs="Arial"/>
        <w:b w:val="0"/>
        <w:bCs w:val="0"/>
      </w:rPr>
      <w:t xml:space="preserve">Draft Annex to ISPM 27: </w:t>
    </w:r>
    <w:r>
      <w:rPr>
        <w:i/>
        <w:iCs/>
      </w:rPr>
      <w:t>Fusarium circinatum</w:t>
    </w:r>
    <w:r>
      <w:rPr>
        <w:rStyle w:val="Strong"/>
        <w:rFonts w:cs="Arial"/>
        <w:b w:val="0"/>
        <w:bCs w:val="0"/>
      </w:rPr>
      <w:t xml:space="preserve"> </w:t>
    </w:r>
    <w:r>
      <w:rPr>
        <w:rStyle w:val="Strong"/>
        <w:b w:val="0"/>
        <w:bCs w:val="0"/>
      </w:rPr>
      <w:tab/>
    </w:r>
    <w:r>
      <w:rPr>
        <w:rStyle w:val="Strong"/>
        <w:rFonts w:cs="Arial"/>
        <w:b w:val="0"/>
        <w:bCs w:val="0"/>
      </w:rPr>
      <w:t xml:space="preserve">2006-021 </w: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B1D"/>
    <w:multiLevelType w:val="hybridMultilevel"/>
    <w:tmpl w:val="D534AC5A"/>
    <w:lvl w:ilvl="0" w:tplc="2C0E9DD4">
      <w:start w:val="1"/>
      <w:numFmt w:val="decimal"/>
      <w:lvlText w:val="[%1]"/>
      <w:lvlJc w:val="left"/>
      <w:pPr>
        <w:ind w:left="720" w:hanging="360"/>
      </w:pPr>
      <w:rPr>
        <w:rFonts w:ascii="Arial" w:hAnsi="Arial" w:cs="Arial" w:hint="default"/>
        <w:b w:val="0"/>
        <w:i/>
        <w:color w:val="0000FF"/>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A342C5"/>
    <w:multiLevelType w:val="multilevel"/>
    <w:tmpl w:val="60EA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491161D"/>
    <w:multiLevelType w:val="hybridMultilevel"/>
    <w:tmpl w:val="0AAA9DC6"/>
    <w:lvl w:ilvl="0" w:tplc="F91681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2A77B2C"/>
    <w:multiLevelType w:val="hybridMultilevel"/>
    <w:tmpl w:val="4288E7F4"/>
    <w:lvl w:ilvl="0" w:tplc="F91681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636388"/>
    <w:multiLevelType w:val="multilevel"/>
    <w:tmpl w:val="4B54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894DFC"/>
    <w:multiLevelType w:val="hybridMultilevel"/>
    <w:tmpl w:val="AB1A71BE"/>
    <w:lvl w:ilvl="0" w:tplc="9D8C8160">
      <w:numFmt w:val="bullet"/>
      <w:lvlText w:val="-"/>
      <w:lvlJc w:val="left"/>
      <w:pPr>
        <w:ind w:left="720" w:hanging="360"/>
      </w:pPr>
      <w:rPr>
        <w:rFonts w:ascii="Times New Roman" w:eastAsia="SimSu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2C7AA8"/>
    <w:multiLevelType w:val="multilevel"/>
    <w:tmpl w:val="A02E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0315D"/>
    <w:multiLevelType w:val="multilevel"/>
    <w:tmpl w:val="06E871E4"/>
    <w:numStyleLink w:val="IPPParagraphnumberedlist"/>
  </w:abstractNum>
  <w:abstractNum w:abstractNumId="1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
  </w:num>
  <w:num w:numId="3">
    <w:abstractNumId w:val="7"/>
  </w:num>
  <w:num w:numId="4">
    <w:abstractNumId w:val="18"/>
  </w:num>
  <w:num w:numId="5">
    <w:abstractNumId w:val="14"/>
  </w:num>
  <w:num w:numId="6">
    <w:abstractNumId w:val="10"/>
  </w:num>
  <w:num w:numId="7">
    <w:abstractNumId w:val="20"/>
  </w:num>
  <w:num w:numId="8">
    <w:abstractNumId w:val="2"/>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1"/>
  </w:num>
  <w:num w:numId="10">
    <w:abstractNumId w:val="16"/>
  </w:num>
  <w:num w:numId="11">
    <w:abstractNumId w:val="6"/>
  </w:num>
  <w:num w:numId="12">
    <w:abstractNumId w:val="8"/>
  </w:num>
  <w:num w:numId="13">
    <w:abstractNumId w:val="19"/>
  </w:num>
  <w:num w:numId="14">
    <w:abstractNumId w:val="11"/>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num>
  <w:num w:numId="17">
    <w:abstractNumId w:val="5"/>
  </w:num>
  <w:num w:numId="18">
    <w:abstractNumId w:val="12"/>
  </w:num>
  <w:num w:numId="19">
    <w:abstractNumId w:val="17"/>
  </w:num>
  <w:num w:numId="20">
    <w:abstractNumId w:val="4"/>
  </w:num>
  <w:num w:numId="21">
    <w:abstractNumId w:val="9"/>
  </w:num>
  <w:num w:numId="22">
    <w:abstractNumId w:val="0"/>
  </w:num>
  <w:num w:numId="23">
    <w:abstractNumId w:val="13"/>
  </w:num>
  <w:numIdMacAtCleanup w:val="15"/>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orest_Pathol 2014&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52spvt6watwveaa9gvwef4padv20wadt2x&quot;&gt;My EndNote Library&lt;record-ids&gt;&lt;item&gt;210&lt;/item&gt;&lt;item&gt;227&lt;/item&gt;&lt;item&gt;233&lt;/item&gt;&lt;item&gt;269&lt;/item&gt;&lt;item&gt;288&lt;/item&gt;&lt;item&gt;295&lt;/item&gt;&lt;item&gt;305&lt;/item&gt;&lt;item&gt;2163&lt;/item&gt;&lt;item&gt;2222&lt;/item&gt;&lt;item&gt;2661&lt;/item&gt;&lt;item&gt;2712&lt;/item&gt;&lt;item&gt;2713&lt;/item&gt;&lt;item&gt;2715&lt;/item&gt;&lt;item&gt;2720&lt;/item&gt;&lt;item&gt;2722&lt;/item&gt;&lt;item&gt;5204&lt;/item&gt;&lt;item&gt;5207&lt;/item&gt;&lt;item&gt;7006&lt;/item&gt;&lt;item&gt;7040&lt;/item&gt;&lt;item&gt;7176&lt;/item&gt;&lt;item&gt;7177&lt;/item&gt;&lt;item&gt;7178&lt;/item&gt;&lt;item&gt;7179&lt;/item&gt;&lt;item&gt;7180&lt;/item&gt;&lt;item&gt;7183&lt;/item&gt;&lt;item&gt;7185&lt;/item&gt;&lt;item&gt;7187&lt;/item&gt;&lt;/record-ids&gt;&lt;/item&gt;&lt;/Libraries&gt;"/>
  </w:docVars>
  <w:rsids>
    <w:rsidRoot w:val="00414DF9"/>
    <w:rsid w:val="00002A52"/>
    <w:rsid w:val="00004130"/>
    <w:rsid w:val="00004C56"/>
    <w:rsid w:val="00021DC3"/>
    <w:rsid w:val="0002258C"/>
    <w:rsid w:val="00083797"/>
    <w:rsid w:val="00087F9A"/>
    <w:rsid w:val="00097565"/>
    <w:rsid w:val="000A1557"/>
    <w:rsid w:val="000A6700"/>
    <w:rsid w:val="000D7826"/>
    <w:rsid w:val="000E2ACF"/>
    <w:rsid w:val="000E5910"/>
    <w:rsid w:val="000E70EE"/>
    <w:rsid w:val="000F258E"/>
    <w:rsid w:val="000F75CF"/>
    <w:rsid w:val="001020FF"/>
    <w:rsid w:val="0010376B"/>
    <w:rsid w:val="00111C1F"/>
    <w:rsid w:val="00117CF3"/>
    <w:rsid w:val="001241C0"/>
    <w:rsid w:val="0015343B"/>
    <w:rsid w:val="00163A33"/>
    <w:rsid w:val="001719EE"/>
    <w:rsid w:val="00172BF2"/>
    <w:rsid w:val="00175A05"/>
    <w:rsid w:val="001910E8"/>
    <w:rsid w:val="00196518"/>
    <w:rsid w:val="001C74EF"/>
    <w:rsid w:val="001E53C2"/>
    <w:rsid w:val="001F411F"/>
    <w:rsid w:val="001F5119"/>
    <w:rsid w:val="0020426C"/>
    <w:rsid w:val="002133CF"/>
    <w:rsid w:val="00221860"/>
    <w:rsid w:val="00224D53"/>
    <w:rsid w:val="00244E02"/>
    <w:rsid w:val="00264DC3"/>
    <w:rsid w:val="0028228F"/>
    <w:rsid w:val="00297EE9"/>
    <w:rsid w:val="002A4275"/>
    <w:rsid w:val="002A5740"/>
    <w:rsid w:val="002C32E5"/>
    <w:rsid w:val="002D2AF0"/>
    <w:rsid w:val="0031279B"/>
    <w:rsid w:val="0031432E"/>
    <w:rsid w:val="00314C38"/>
    <w:rsid w:val="00326DB5"/>
    <w:rsid w:val="00333881"/>
    <w:rsid w:val="00336669"/>
    <w:rsid w:val="00342C6C"/>
    <w:rsid w:val="003526E5"/>
    <w:rsid w:val="00355709"/>
    <w:rsid w:val="00356D2C"/>
    <w:rsid w:val="003755B7"/>
    <w:rsid w:val="003805F7"/>
    <w:rsid w:val="003807DF"/>
    <w:rsid w:val="00387223"/>
    <w:rsid w:val="00393553"/>
    <w:rsid w:val="00395CFF"/>
    <w:rsid w:val="0039752B"/>
    <w:rsid w:val="003A01CC"/>
    <w:rsid w:val="003A7C1A"/>
    <w:rsid w:val="003C17E3"/>
    <w:rsid w:val="003F2F77"/>
    <w:rsid w:val="003F5270"/>
    <w:rsid w:val="004022E0"/>
    <w:rsid w:val="00402D40"/>
    <w:rsid w:val="00414DF9"/>
    <w:rsid w:val="00415232"/>
    <w:rsid w:val="00421348"/>
    <w:rsid w:val="0043084E"/>
    <w:rsid w:val="00434032"/>
    <w:rsid w:val="004428A2"/>
    <w:rsid w:val="00467D8D"/>
    <w:rsid w:val="00472198"/>
    <w:rsid w:val="00474F61"/>
    <w:rsid w:val="004835BC"/>
    <w:rsid w:val="004A5FA9"/>
    <w:rsid w:val="004B68B2"/>
    <w:rsid w:val="004C1435"/>
    <w:rsid w:val="004F1CC5"/>
    <w:rsid w:val="00515E12"/>
    <w:rsid w:val="00536902"/>
    <w:rsid w:val="00544A34"/>
    <w:rsid w:val="005518D0"/>
    <w:rsid w:val="00551D36"/>
    <w:rsid w:val="005521B0"/>
    <w:rsid w:val="005525E9"/>
    <w:rsid w:val="0055782E"/>
    <w:rsid w:val="005603EF"/>
    <w:rsid w:val="005643F0"/>
    <w:rsid w:val="00564EEB"/>
    <w:rsid w:val="00565C55"/>
    <w:rsid w:val="0057033E"/>
    <w:rsid w:val="00571FDD"/>
    <w:rsid w:val="00575668"/>
    <w:rsid w:val="00584684"/>
    <w:rsid w:val="0059009D"/>
    <w:rsid w:val="005C6850"/>
    <w:rsid w:val="005D04F5"/>
    <w:rsid w:val="005F7384"/>
    <w:rsid w:val="006270EF"/>
    <w:rsid w:val="00635C59"/>
    <w:rsid w:val="00641948"/>
    <w:rsid w:val="00643571"/>
    <w:rsid w:val="0065445C"/>
    <w:rsid w:val="00663DDF"/>
    <w:rsid w:val="006649D1"/>
    <w:rsid w:val="00672B5D"/>
    <w:rsid w:val="00677126"/>
    <w:rsid w:val="0069522C"/>
    <w:rsid w:val="0069629C"/>
    <w:rsid w:val="006A5072"/>
    <w:rsid w:val="006C308C"/>
    <w:rsid w:val="006C59DF"/>
    <w:rsid w:val="006E4E04"/>
    <w:rsid w:val="006F05C5"/>
    <w:rsid w:val="006F7BF4"/>
    <w:rsid w:val="00706927"/>
    <w:rsid w:val="007230C7"/>
    <w:rsid w:val="00746AC5"/>
    <w:rsid w:val="007513B6"/>
    <w:rsid w:val="0076601C"/>
    <w:rsid w:val="00781144"/>
    <w:rsid w:val="00792894"/>
    <w:rsid w:val="007B0DF4"/>
    <w:rsid w:val="007B6DB7"/>
    <w:rsid w:val="007D34B9"/>
    <w:rsid w:val="007E4CB3"/>
    <w:rsid w:val="007E5971"/>
    <w:rsid w:val="008069BD"/>
    <w:rsid w:val="00817856"/>
    <w:rsid w:val="00820134"/>
    <w:rsid w:val="00824E73"/>
    <w:rsid w:val="00867A33"/>
    <w:rsid w:val="008719FC"/>
    <w:rsid w:val="00881BA8"/>
    <w:rsid w:val="00882084"/>
    <w:rsid w:val="00884E5E"/>
    <w:rsid w:val="00886C1B"/>
    <w:rsid w:val="008B0E5E"/>
    <w:rsid w:val="008B1691"/>
    <w:rsid w:val="008B1A8B"/>
    <w:rsid w:val="008C517A"/>
    <w:rsid w:val="008D07AC"/>
    <w:rsid w:val="008D3480"/>
    <w:rsid w:val="008D5610"/>
    <w:rsid w:val="008F29A6"/>
    <w:rsid w:val="00902433"/>
    <w:rsid w:val="00907717"/>
    <w:rsid w:val="00937B1D"/>
    <w:rsid w:val="00955854"/>
    <w:rsid w:val="009574FF"/>
    <w:rsid w:val="00965C96"/>
    <w:rsid w:val="00973A3E"/>
    <w:rsid w:val="009B1F33"/>
    <w:rsid w:val="009B3DC5"/>
    <w:rsid w:val="009B6F3E"/>
    <w:rsid w:val="009D7B89"/>
    <w:rsid w:val="009E35B2"/>
    <w:rsid w:val="00A00F3A"/>
    <w:rsid w:val="00A01841"/>
    <w:rsid w:val="00A103C1"/>
    <w:rsid w:val="00A12C8F"/>
    <w:rsid w:val="00A20874"/>
    <w:rsid w:val="00A27F64"/>
    <w:rsid w:val="00A435AE"/>
    <w:rsid w:val="00A50728"/>
    <w:rsid w:val="00A55CA8"/>
    <w:rsid w:val="00A722ED"/>
    <w:rsid w:val="00A72BEE"/>
    <w:rsid w:val="00A77017"/>
    <w:rsid w:val="00A87CD1"/>
    <w:rsid w:val="00A970A1"/>
    <w:rsid w:val="00AA165A"/>
    <w:rsid w:val="00AB3BB1"/>
    <w:rsid w:val="00AB44E2"/>
    <w:rsid w:val="00AC750C"/>
    <w:rsid w:val="00AD4F4B"/>
    <w:rsid w:val="00AF1D8E"/>
    <w:rsid w:val="00B176A3"/>
    <w:rsid w:val="00B33DDA"/>
    <w:rsid w:val="00B45FFC"/>
    <w:rsid w:val="00B67CD7"/>
    <w:rsid w:val="00B86103"/>
    <w:rsid w:val="00B87715"/>
    <w:rsid w:val="00B87968"/>
    <w:rsid w:val="00B926C2"/>
    <w:rsid w:val="00BA7193"/>
    <w:rsid w:val="00C01C63"/>
    <w:rsid w:val="00C069FC"/>
    <w:rsid w:val="00C166AE"/>
    <w:rsid w:val="00C24C09"/>
    <w:rsid w:val="00C3423F"/>
    <w:rsid w:val="00C3478F"/>
    <w:rsid w:val="00C35D14"/>
    <w:rsid w:val="00C460A2"/>
    <w:rsid w:val="00C47EA4"/>
    <w:rsid w:val="00C57613"/>
    <w:rsid w:val="00C731DB"/>
    <w:rsid w:val="00CC1A46"/>
    <w:rsid w:val="00CE4F75"/>
    <w:rsid w:val="00CE7E80"/>
    <w:rsid w:val="00D12F81"/>
    <w:rsid w:val="00D2000C"/>
    <w:rsid w:val="00D45412"/>
    <w:rsid w:val="00D45BF2"/>
    <w:rsid w:val="00D671B6"/>
    <w:rsid w:val="00D73A74"/>
    <w:rsid w:val="00D81A52"/>
    <w:rsid w:val="00D83C15"/>
    <w:rsid w:val="00D8428E"/>
    <w:rsid w:val="00D93E72"/>
    <w:rsid w:val="00D95FA5"/>
    <w:rsid w:val="00DB6A5C"/>
    <w:rsid w:val="00DC053D"/>
    <w:rsid w:val="00DC7AD5"/>
    <w:rsid w:val="00DD2BF9"/>
    <w:rsid w:val="00DD742C"/>
    <w:rsid w:val="00DF2600"/>
    <w:rsid w:val="00E06145"/>
    <w:rsid w:val="00E06F57"/>
    <w:rsid w:val="00E16B98"/>
    <w:rsid w:val="00E42546"/>
    <w:rsid w:val="00E528DE"/>
    <w:rsid w:val="00E63625"/>
    <w:rsid w:val="00E84D0B"/>
    <w:rsid w:val="00E95174"/>
    <w:rsid w:val="00EA0A79"/>
    <w:rsid w:val="00EA1B9D"/>
    <w:rsid w:val="00EB0B4B"/>
    <w:rsid w:val="00EB5F09"/>
    <w:rsid w:val="00EC083B"/>
    <w:rsid w:val="00EC522A"/>
    <w:rsid w:val="00EC72FF"/>
    <w:rsid w:val="00EE7594"/>
    <w:rsid w:val="00EE7917"/>
    <w:rsid w:val="00EF3B26"/>
    <w:rsid w:val="00F22C3D"/>
    <w:rsid w:val="00F43F75"/>
    <w:rsid w:val="00F55008"/>
    <w:rsid w:val="00F57123"/>
    <w:rsid w:val="00F90A75"/>
    <w:rsid w:val="00F97689"/>
    <w:rsid w:val="00FA6D8F"/>
    <w:rsid w:val="00FB695C"/>
    <w:rsid w:val="00FE18B1"/>
    <w:rsid w:val="00FE201B"/>
    <w:rsid w:val="00FE291E"/>
    <w:rsid w:val="00FE3C41"/>
    <w:rsid w:val="00FF1E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4EE383C7-8C7A-4C08-AC7F-6CFE73DB7A0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sz w:val="22"/>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link w:val="Heading4Char"/>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imes New Roman" w:eastAsia="MS Mincho" w:hAnsi="Times New Roman"/>
      <w:b/>
      <w:bCs/>
      <w:sz w:val="22"/>
      <w:szCs w:val="24"/>
      <w:lang w:eastAsia="en-US"/>
    </w:rPr>
  </w:style>
  <w:style w:type="character" w:customStyle="1" w:styleId="Heading2Char">
    <w:name w:val="Heading 2 Char"/>
    <w:basedOn w:val="DefaultParagraphFont"/>
    <w:link w:val="Heading2"/>
    <w:locked/>
    <w:rPr>
      <w:rFonts w:eastAsia="MS Mincho"/>
      <w:b/>
      <w:bCs/>
      <w:i/>
      <w:iCs/>
      <w:sz w:val="28"/>
      <w:szCs w:val="28"/>
      <w:lang w:eastAsia="en-US"/>
    </w:rPr>
  </w:style>
  <w:style w:type="character" w:customStyle="1" w:styleId="Heading3Char">
    <w:name w:val="Heading 3 Char"/>
    <w:basedOn w:val="DefaultParagraphFont"/>
    <w:link w:val="Heading3"/>
    <w:locked/>
    <w:rPr>
      <w:rFonts w:eastAsia="MS Mincho"/>
      <w:b/>
      <w:bCs/>
      <w:sz w:val="26"/>
      <w:szCs w:val="26"/>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locked/>
    <w:rPr>
      <w:rFonts w:ascii="Times New Roman" w:eastAsia="MS Mincho" w:hAnsi="Times New Roman"/>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locked/>
    <w:rPr>
      <w:rFonts w:ascii="Times New Roman" w:eastAsia="MS Mincho" w:hAnsi="Times New Roman"/>
      <w:sz w:val="22"/>
      <w:szCs w:val="24"/>
      <w:lang w:eastAsia="en-US"/>
    </w:rPr>
  </w:style>
  <w:style w:type="paragraph" w:customStyle="1" w:styleId="BalloonText1">
    <w:name w:val="Balloon Text1"/>
    <w:basedOn w:val="Normal"/>
    <w:semiHidden/>
    <w:rPr>
      <w:rFonts w:ascii="Tahoma" w:hAnsi="Tahoma" w:cs="Tahoma"/>
      <w:sz w:val="16"/>
      <w:szCs w:val="16"/>
      <w:lang w:val="nl-NL"/>
    </w:rPr>
  </w:style>
  <w:style w:type="character" w:customStyle="1" w:styleId="BalloonTextChar">
    <w:name w:val="Balloon Text Char"/>
    <w:basedOn w:val="DefaultParagraphFont"/>
    <w:link w:val="BalloonText"/>
    <w:locked/>
    <w:rPr>
      <w:rFonts w:ascii="Tahoma" w:eastAsia="MS Mincho" w:hAnsi="Tahoma" w:cs="Tahoma"/>
      <w:sz w:val="16"/>
      <w:szCs w:val="16"/>
      <w:lang w:eastAsia="en-US"/>
    </w:rPr>
  </w:style>
  <w:style w:type="character" w:styleId="Strong">
    <w:name w:val="Strong"/>
    <w:basedOn w:val="DefaultParagraphFont"/>
    <w:qFormat/>
    <w:rPr>
      <w:b/>
      <w:bCs/>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styleId="BalloonText">
    <w:name w:val="Balloon Text"/>
    <w:basedOn w:val="Normal"/>
    <w:link w:val="BalloonTextChar"/>
    <w:rPr>
      <w:rFonts w:ascii="Tahoma" w:hAnsi="Tahoma" w:cs="Tahoma"/>
      <w:sz w:val="16"/>
      <w:szCs w:val="16"/>
    </w:rPr>
  </w:style>
  <w:style w:type="paragraph" w:customStyle="1" w:styleId="container">
    <w:name w:val="container"/>
    <w:basedOn w:val="Normal"/>
    <w:pPr>
      <w:spacing w:before="100" w:beforeAutospacing="1" w:after="100" w:afterAutospacing="1"/>
    </w:pPr>
    <w:rPr>
      <w:rFonts w:eastAsia="Times New Roman"/>
      <w:sz w:val="24"/>
    </w:rPr>
  </w:style>
  <w:style w:type="paragraph" w:customStyle="1" w:styleId="paragraph">
    <w:name w:val="paragraph"/>
    <w:basedOn w:val="Normal"/>
    <w:pPr>
      <w:spacing w:before="100" w:beforeAutospacing="1" w:after="100" w:afterAutospacing="1"/>
    </w:pPr>
    <w:rPr>
      <w:rFonts w:eastAsia="Times New Roman"/>
      <w:color w:val="0000FF"/>
      <w:sz w:val="24"/>
    </w:rPr>
  </w:style>
  <w:style w:type="paragraph" w:styleId="NormalWeb">
    <w:name w:val="Normal (Web)"/>
    <w:basedOn w:val="Normal"/>
    <w:uiPriority w:val="99"/>
    <w:pPr>
      <w:spacing w:before="100" w:beforeAutospacing="1" w:after="100" w:afterAutospacing="1"/>
    </w:pPr>
    <w:rPr>
      <w:rFonts w:eastAsia="Times New Roman"/>
      <w:sz w:val="24"/>
    </w:rPr>
  </w:style>
  <w:style w:type="character" w:styleId="Emphasis">
    <w:name w:val="Emphasis"/>
    <w:uiPriority w:val="20"/>
    <w:qFormat/>
    <w:rPr>
      <w:rFonts w:cs="Times New Roman"/>
      <w:i/>
      <w:iCs/>
    </w:rPr>
  </w:style>
  <w:style w:type="character" w:styleId="Hyperlink">
    <w:name w:val="Hyperlink"/>
    <w:rPr>
      <w:rFonts w:cs="Times New Roman"/>
      <w:color w:val="0000FF"/>
      <w:u w:val="single"/>
    </w:rPr>
  </w:style>
  <w:style w:type="paragraph" w:customStyle="1" w:styleId="western">
    <w:name w:val="western"/>
    <w:basedOn w:val="Normal"/>
    <w:pPr>
      <w:spacing w:before="100" w:beforeAutospacing="1" w:after="100" w:afterAutospacing="1"/>
    </w:pPr>
    <w:rPr>
      <w:rFonts w:eastAsia="Times New Roman"/>
      <w:sz w:val="24"/>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1"/>
    <w:semiHidden/>
    <w:rPr>
      <w:sz w:val="20"/>
      <w:szCs w:val="20"/>
      <w:lang w:val="nl-NL"/>
    </w:rPr>
  </w:style>
  <w:style w:type="character" w:customStyle="1" w:styleId="CommentTextChar">
    <w:name w:val="Comment Text Char"/>
    <w:locked/>
    <w:rPr>
      <w:rFonts w:ascii="Times New Roman" w:eastAsia="SimSun" w:hAnsi="Times New Roman" w:cs="Times New Roman"/>
      <w:lang w:val="x-none" w:eastAsia="en-US"/>
    </w:rPr>
  </w:style>
  <w:style w:type="paragraph" w:customStyle="1" w:styleId="CommentSubject1">
    <w:name w:val="Comment Subject1"/>
    <w:basedOn w:val="CommentText"/>
    <w:next w:val="CommentText"/>
    <w:semiHidden/>
    <w:rPr>
      <w:b/>
      <w:bCs/>
    </w:rPr>
  </w:style>
  <w:style w:type="character" w:customStyle="1" w:styleId="CommentSubjectChar">
    <w:name w:val="Comment Subject Char"/>
    <w:locked/>
    <w:rPr>
      <w:rFonts w:ascii="Times New Roman" w:eastAsia="SimSun" w:hAnsi="Times New Roman" w:cs="Times New Roman"/>
      <w:b/>
      <w:bCs/>
      <w:lang w:val="x-none" w:eastAsia="en-US"/>
    </w:rPr>
  </w:style>
  <w:style w:type="character" w:customStyle="1" w:styleId="newcomment">
    <w:name w:val="newcomment"/>
    <w:rPr>
      <w:color w:val="auto"/>
      <w:u w:val="single"/>
    </w:rPr>
  </w:style>
  <w:style w:type="character" w:customStyle="1" w:styleId="markdelete">
    <w:name w:val="markdelete"/>
    <w:rPr>
      <w:strike/>
      <w:color w:val="auto"/>
    </w:rPr>
  </w:style>
  <w:style w:type="paragraph" w:customStyle="1" w:styleId="Header1">
    <w:name w:val="Header1"/>
    <w:basedOn w:val="Normal"/>
    <w:pPr>
      <w:shd w:val="clear" w:color="auto" w:fill="EEEEEE"/>
      <w:spacing w:before="100" w:beforeAutospacing="1" w:after="100" w:afterAutospacing="1"/>
    </w:pPr>
    <w:rPr>
      <w:rFonts w:eastAsia="Times New Roman"/>
      <w:b/>
      <w:bCs/>
      <w:sz w:val="24"/>
    </w:rPr>
  </w:style>
  <w:style w:type="character" w:styleId="FollowedHyperlink">
    <w:name w:val="FollowedHyperlink"/>
    <w:rPr>
      <w:rFonts w:cs="Times New Roman"/>
      <w:color w:val="800080"/>
      <w:u w:val="single"/>
    </w:rPr>
  </w:style>
  <w:style w:type="paragraph" w:styleId="FootnoteText">
    <w:name w:val="footnote text"/>
    <w:aliases w:val="FOOTNOTES,fn,single space"/>
    <w:basedOn w:val="Normal"/>
    <w:link w:val="FootnoteTextChar"/>
    <w:semiHidden/>
    <w:pPr>
      <w:spacing w:before="60"/>
    </w:pPr>
    <w:rPr>
      <w:sz w:val="20"/>
    </w:rPr>
  </w:style>
  <w:style w:type="character" w:customStyle="1" w:styleId="FootnoteTextChar">
    <w:name w:val="Footnote Text Char"/>
    <w:aliases w:val="FOOTNOTES Char,fn Char,single space Char"/>
    <w:basedOn w:val="DefaultParagraphFont"/>
    <w:link w:val="FootnoteText"/>
    <w:semiHidden/>
    <w:locked/>
    <w:rPr>
      <w:rFonts w:ascii="Times New Roman" w:eastAsia="MS Mincho" w:hAnsi="Times New Roman"/>
      <w:szCs w:val="24"/>
      <w:lang w:eastAsia="en-US"/>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10"/>
      </w:numPr>
      <w:spacing w:after="60"/>
      <w:ind w:left="567" w:hanging="567"/>
    </w:pPr>
    <w:rPr>
      <w:lang w:val="en-US"/>
    </w:rPr>
  </w:style>
  <w:style w:type="paragraph" w:customStyle="1" w:styleId="IPPBullet1Last">
    <w:name w:val="IPP Bullet1Last"/>
    <w:basedOn w:val="IPPNormal"/>
    <w:next w:val="IPPNormal"/>
    <w:autoRedefine/>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locked/>
    <w:rPr>
      <w:rFonts w:ascii="Courier" w:eastAsia="Times" w:hAnsi="Courier"/>
      <w:sz w:val="21"/>
      <w:szCs w:val="21"/>
      <w:lang w:val="en-AU"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9"/>
      </w:numPr>
    </w:pPr>
  </w:style>
  <w:style w:type="paragraph" w:customStyle="1" w:styleId="Paragraphedeliste1">
    <w:name w:val="Paragraphe de liste1"/>
    <w:basedOn w:val="Normal"/>
    <w:pPr>
      <w:spacing w:line="240" w:lineRule="atLeast"/>
      <w:ind w:leftChars="400" w:left="800"/>
    </w:pPr>
    <w:rPr>
      <w:rFonts w:ascii="Verdana" w:eastAsia="Times New Roman" w:hAnsi="Verdana" w:cs="Verdana"/>
      <w:sz w:val="20"/>
      <w:szCs w:val="20"/>
      <w:lang w:val="nl-NL" w:eastAsia="nl-NL"/>
    </w:rPr>
  </w:style>
  <w:style w:type="paragraph" w:customStyle="1" w:styleId="IPPPargraphnumbering">
    <w:name w:val="IPP Pargraph numbering"/>
    <w:basedOn w:val="IPPNormal"/>
    <w:pPr>
      <w:tabs>
        <w:tab w:val="num" w:pos="0"/>
      </w:tabs>
      <w:ind w:hanging="482"/>
    </w:pPr>
    <w:rPr>
      <w:lang w:val="en-US"/>
    </w:rPr>
  </w:style>
  <w:style w:type="paragraph" w:customStyle="1" w:styleId="Rvision1">
    <w:name w:val="Révision1"/>
    <w:hidden/>
    <w:semiHidden/>
    <w:rPr>
      <w:rFonts w:ascii="Times New Roman" w:eastAsia="MS Mincho" w:hAnsi="Times New Roman"/>
      <w:sz w:val="22"/>
      <w:szCs w:val="22"/>
      <w:lang w:eastAsia="en-US"/>
    </w:rPr>
  </w:style>
  <w:style w:type="paragraph" w:customStyle="1" w:styleId="Default">
    <w:name w:val="Default"/>
    <w:pPr>
      <w:autoSpaceDE w:val="0"/>
      <w:autoSpaceDN w:val="0"/>
      <w:adjustRightInd w:val="0"/>
      <w:spacing w:after="200" w:line="276" w:lineRule="auto"/>
    </w:pPr>
    <w:rPr>
      <w:rFonts w:ascii="Times New Roman" w:eastAsia="SimSun" w:hAnsi="Times New Roman"/>
      <w:color w:val="000000"/>
      <w:sz w:val="24"/>
      <w:szCs w:val="24"/>
      <w:lang w:eastAsia="ja-JP"/>
    </w:rPr>
  </w:style>
  <w:style w:type="paragraph" w:customStyle="1" w:styleId="EndNoteBibliographyTitle">
    <w:name w:val="EndNote Bibliography Title"/>
    <w:basedOn w:val="Normal"/>
    <w:pPr>
      <w:jc w:val="center"/>
    </w:pPr>
    <w:rPr>
      <w:szCs w:val="20"/>
      <w:lang w:val="en-US"/>
    </w:rPr>
  </w:style>
  <w:style w:type="character" w:customStyle="1" w:styleId="EndNoteBibliographyTitleCar">
    <w:name w:val="EndNote Bibliography Title Car"/>
    <w:locked/>
    <w:rPr>
      <w:rFonts w:ascii="Times New Roman" w:eastAsia="MS Mincho" w:hAnsi="Times New Roman"/>
      <w:sz w:val="22"/>
      <w:lang w:val="en-US" w:eastAsia="en-US"/>
    </w:rPr>
  </w:style>
  <w:style w:type="paragraph" w:customStyle="1" w:styleId="EndNoteBibliography">
    <w:name w:val="EndNote Bibliography"/>
    <w:basedOn w:val="Normal"/>
    <w:rPr>
      <w:szCs w:val="20"/>
      <w:lang w:val="en-US"/>
    </w:rPr>
  </w:style>
  <w:style w:type="character" w:customStyle="1" w:styleId="EndNoteBibliographyCar">
    <w:name w:val="EndNote Bibliography Car"/>
    <w:locked/>
    <w:rPr>
      <w:rFonts w:ascii="Times New Roman" w:eastAsia="MS Mincho" w:hAnsi="Times New Roman"/>
      <w:sz w:val="22"/>
      <w:lang w:val="en-US" w:eastAsia="en-US"/>
    </w:rPr>
  </w:style>
  <w:style w:type="character" w:customStyle="1" w:styleId="maintitle">
    <w:name w:val="maintitle"/>
    <w:rPr>
      <w:rFonts w:cs="Times New Roman"/>
    </w:rPr>
  </w:style>
  <w:style w:type="paragraph" w:customStyle="1" w:styleId="ParaAttribute1">
    <w:name w:val="ParaAttribute1"/>
    <w:pPr>
      <w:spacing w:after="200"/>
      <w:jc w:val="center"/>
    </w:pPr>
    <w:rPr>
      <w:rFonts w:ascii="Times New Roman" w:hAnsi="Times New Roman"/>
      <w:lang w:val="es-ES" w:eastAsia="es-ES"/>
    </w:rPr>
  </w:style>
  <w:style w:type="paragraph" w:customStyle="1" w:styleId="ListParagraph1">
    <w:name w:val="List Paragraph1"/>
    <w:basedOn w:val="Normal"/>
    <w:pPr>
      <w:spacing w:line="240" w:lineRule="atLeast"/>
      <w:ind w:leftChars="400" w:left="800"/>
    </w:pPr>
    <w:rPr>
      <w:rFonts w:ascii="Verdana" w:eastAsia="Times New Roman" w:hAnsi="Verdana" w:cs="Verdana"/>
      <w:sz w:val="20"/>
      <w:szCs w:val="20"/>
      <w:lang w:val="nl-NL" w:eastAsia="nl-NL"/>
    </w:rPr>
  </w:style>
  <w:style w:type="paragraph" w:customStyle="1" w:styleId="Revision1">
    <w:name w:val="Revision1"/>
    <w:hidden/>
    <w:semiHidden/>
    <w:rPr>
      <w:rFonts w:ascii="Times New Roman" w:eastAsia="MS Mincho" w:hAnsi="Times New Roman"/>
      <w:sz w:val="22"/>
      <w:szCs w:val="22"/>
      <w:lang w:eastAsia="en-US"/>
    </w:rPr>
  </w:style>
  <w:style w:type="paragraph" w:customStyle="1" w:styleId="IPPParagraphnumbering">
    <w:name w:val="IPP Paragraph numbering"/>
    <w:basedOn w:val="IPPNormal"/>
    <w:qFormat/>
    <w:pPr>
      <w:numPr>
        <w:numId w:val="15"/>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ArrowList">
    <w:name w:val="Arrow List"/>
    <w:basedOn w:val="Normal"/>
    <w:pPr>
      <w:numPr>
        <w:numId w:val="13"/>
      </w:numPr>
      <w:spacing w:before="120"/>
      <w:jc w:val="left"/>
    </w:pPr>
    <w:rPr>
      <w:rFonts w:eastAsia="Times New Roman"/>
    </w:rPr>
  </w:style>
  <w:style w:type="character" w:customStyle="1" w:styleId="apple-converted-space">
    <w:name w:val="apple-converted-space"/>
    <w:rPr>
      <w:rFonts w:cs="Times New Roman"/>
    </w:rPr>
  </w:style>
  <w:style w:type="paragraph" w:customStyle="1" w:styleId="Paragraphedeliste">
    <w:name w:val="Paragraphe de liste"/>
    <w:basedOn w:val="Normal"/>
    <w:uiPriority w:val="34"/>
    <w:qFormat/>
    <w:pPr>
      <w:spacing w:line="240" w:lineRule="atLeast"/>
      <w:ind w:leftChars="400" w:left="800"/>
    </w:pPr>
    <w:rPr>
      <w:rFonts w:ascii="Verdana" w:eastAsia="Times New Roman" w:hAnsi="Verdana"/>
      <w:sz w:val="20"/>
      <w:lang w:val="nl-NL" w:eastAsia="nl-NL"/>
    </w:rPr>
  </w:style>
  <w:style w:type="character" w:customStyle="1" w:styleId="st">
    <w:name w:val="st"/>
    <w:rPr>
      <w:rFonts w:cs="Times New Roman"/>
    </w:rPr>
  </w:style>
  <w:style w:type="character" w:customStyle="1" w:styleId="CharAttribute33">
    <w:name w:val="CharAttribute33"/>
    <w:rPr>
      <w:rFonts w:ascii="Times New Roman" w:eastAsia="Times New Roman"/>
      <w:sz w:val="24"/>
    </w:rPr>
  </w:style>
  <w:style w:type="character" w:customStyle="1" w:styleId="BalloonTextChar1">
    <w:name w:val="Balloon Text Char1"/>
    <w:rPr>
      <w:rFonts w:ascii="Tahoma" w:eastAsia="SimSun" w:hAnsi="Tahoma" w:cs="Tahoma"/>
      <w:sz w:val="16"/>
      <w:szCs w:val="16"/>
      <w:lang w:eastAsia="en-US"/>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PPParagraphnumberedlist">
    <w:name w:val="IPP Paragraph numbered list"/>
    <w:pPr>
      <w:numPr>
        <w:numId w:val="3"/>
      </w:numPr>
    </w:pPr>
  </w:style>
  <w:style w:type="paragraph" w:customStyle="1" w:styleId="IPPNumberedListLast">
    <w:name w:val="IPP NumberedListLast"/>
    <w:basedOn w:val="IPPNumberedList"/>
    <w:qFormat/>
    <w:pPr>
      <w:spacing w:after="180"/>
    </w:pPr>
  </w:style>
  <w:style w:type="paragraph" w:styleId="CommentSubject">
    <w:name w:val="annotation subject"/>
    <w:basedOn w:val="CommentText"/>
    <w:next w:val="CommentText"/>
    <w:link w:val="CommentSubjectChar1"/>
    <w:rPr>
      <w:b/>
      <w:bCs/>
      <w:lang w:val="en-GB"/>
    </w:rPr>
  </w:style>
  <w:style w:type="character" w:customStyle="1" w:styleId="CommentTextChar1">
    <w:name w:val="Comment Text Char1"/>
    <w:link w:val="CommentText"/>
    <w:semiHidden/>
    <w:rPr>
      <w:rFonts w:ascii="Times New Roman" w:eastAsia="MS Mincho" w:hAnsi="Times New Roman"/>
      <w:lang w:val="nl-NL" w:eastAsia="en-US"/>
    </w:rPr>
  </w:style>
  <w:style w:type="character" w:customStyle="1" w:styleId="CommentSubjectChar1">
    <w:name w:val="Comment Subject Char1"/>
    <w:link w:val="CommentSubject"/>
    <w:rPr>
      <w:rFonts w:ascii="Times New Roman" w:eastAsia="MS Mincho" w:hAnsi="Times New Roman"/>
      <w:b/>
      <w:bCs/>
      <w:lang w:val="nl-NL" w:eastAsia="en-US"/>
    </w:rPr>
  </w:style>
  <w:style w:type="character" w:customStyle="1" w:styleId="Heading4Char">
    <w:name w:val="Heading 4 Char"/>
    <w:link w:val="Heading4"/>
    <w:semiHidden/>
    <w:rPr>
      <w:rFonts w:ascii="Calibri" w:eastAsia="Times New Roman" w:hAnsi="Calibri" w:cs="Times New Roman"/>
      <w:b/>
      <w:bCs/>
      <w:sz w:val="28"/>
      <w:szCs w:val="28"/>
      <w:lang w:val="en-GB" w:eastAsia="en-US"/>
    </w:rPr>
  </w:style>
  <w:style w:type="character" w:customStyle="1" w:styleId="cit-auth">
    <w:name w:val="cit-auth"/>
  </w:style>
  <w:style w:type="character" w:customStyle="1" w:styleId="cit-sep">
    <w:name w:val="cit-sep"/>
  </w:style>
  <w:style w:type="character" w:styleId="HTMLCite">
    <w:name w:val="HTML Cite"/>
    <w:uiPriority w:val="99"/>
    <w:unhideWhenUsed/>
    <w:rPr>
      <w:i/>
      <w:iCs/>
    </w:rPr>
  </w:style>
  <w:style w:type="character" w:customStyle="1" w:styleId="cit-print-date">
    <w:name w:val="cit-print-date"/>
  </w:style>
  <w:style w:type="character" w:customStyle="1" w:styleId="cit-vol">
    <w:name w:val="cit-vol"/>
  </w:style>
  <w:style w:type="character" w:customStyle="1" w:styleId="cit-first-page">
    <w:name w:val="cit-first-page"/>
  </w:style>
  <w:style w:type="character" w:customStyle="1" w:styleId="cit-last-page">
    <w:name w:val="cit-last-page"/>
  </w:style>
  <w:style w:type="character" w:customStyle="1" w:styleId="cit-ahead-of-print-date">
    <w:name w:val="cit-ahead-of-print-date"/>
  </w:style>
  <w:style w:type="character" w:customStyle="1" w:styleId="cit-doi">
    <w:name w:val="cit-doi"/>
  </w:style>
  <w:style w:type="numbering" w:customStyle="1" w:styleId="IPPParagraphnumberedlist1">
    <w:name w:val="IPP Paragraph numbered list1"/>
  </w:style>
  <w:style w:type="paragraph" w:customStyle="1" w:styleId="Rvision">
    <w:name w:val="Révision"/>
    <w:hidden/>
    <w:uiPriority w:val="99"/>
    <w:semiHidden/>
    <w:rPr>
      <w:rFonts w:ascii="Times New Roman" w:eastAsia="MS Mincho" w:hAnsi="Times New Roman"/>
      <w:sz w:val="22"/>
      <w:szCs w:val="24"/>
      <w:lang w:eastAsia="en-US"/>
    </w:rPr>
  </w:style>
  <w:style w:type="character" w:customStyle="1" w:styleId="articletypelabel">
    <w:name w:val="articletypelabel"/>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363791558">
      <w:bodyDiv w:val="1"/>
      <w:marLeft w:val="0"/>
      <w:marRight w:val="0"/>
      <w:marTop w:val="0"/>
      <w:marBottom w:val="0"/>
      <w:divBdr>
        <w:top w:val="none" w:sz="0" w:space="0" w:color="auto"/>
        <w:left w:val="none" w:sz="0" w:space="0" w:color="auto"/>
        <w:bottom w:val="none" w:sz="0" w:space="0" w:color="auto"/>
        <w:right w:val="none" w:sz="0" w:space="0" w:color="auto"/>
      </w:divBdr>
    </w:div>
    <w:div w:id="534737637">
      <w:bodyDiv w:val="1"/>
      <w:marLeft w:val="0"/>
      <w:marRight w:val="0"/>
      <w:marTop w:val="0"/>
      <w:marBottom w:val="0"/>
      <w:divBdr>
        <w:top w:val="none" w:sz="0" w:space="0" w:color="auto"/>
        <w:left w:val="none" w:sz="0" w:space="0" w:color="auto"/>
        <w:bottom w:val="none" w:sz="0" w:space="0" w:color="auto"/>
        <w:right w:val="none" w:sz="0" w:space="0" w:color="auto"/>
      </w:divBdr>
      <w:divsChild>
        <w:div w:id="1834179944">
          <w:marLeft w:val="0"/>
          <w:marRight w:val="240"/>
          <w:marTop w:val="0"/>
          <w:marBottom w:val="0"/>
          <w:divBdr>
            <w:top w:val="none" w:sz="0" w:space="0" w:color="auto"/>
            <w:left w:val="none" w:sz="0" w:space="0" w:color="auto"/>
            <w:bottom w:val="none" w:sz="0" w:space="0" w:color="auto"/>
            <w:right w:val="none" w:sz="0" w:space="0" w:color="auto"/>
          </w:divBdr>
        </w:div>
      </w:divsChild>
    </w:div>
    <w:div w:id="781802558">
      <w:bodyDiv w:val="1"/>
      <w:marLeft w:val="0"/>
      <w:marRight w:val="0"/>
      <w:marTop w:val="0"/>
      <w:marBottom w:val="0"/>
      <w:divBdr>
        <w:top w:val="none" w:sz="0" w:space="0" w:color="auto"/>
        <w:left w:val="none" w:sz="0" w:space="0" w:color="auto"/>
        <w:bottom w:val="none" w:sz="0" w:space="0" w:color="auto"/>
        <w:right w:val="none" w:sz="0" w:space="0" w:color="auto"/>
      </w:divBdr>
    </w:div>
    <w:div w:id="13657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mobermar@etsia.upv.es" TargetMode="External" Id="rId8" /><Relationship Type="http://schemas.openxmlformats.org/officeDocument/2006/relationships/image" Target="media/image3.jpeg" Id="rId13" /><Relationship Type="http://schemas.openxmlformats.org/officeDocument/2006/relationships/image" Target="media/image8.jpeg" Id="rId18" /><Relationship Type="http://schemas.openxmlformats.org/officeDocument/2006/relationships/footer" Target="footer3.xml" Id="rId26" /><Relationship Type="http://schemas.openxmlformats.org/officeDocument/2006/relationships/settings" Target="settings.xml" Id="rId3" /><Relationship Type="http://schemas.openxmlformats.org/officeDocument/2006/relationships/image" Target="media/image11.jpeg" Id="rId21" /><Relationship Type="http://schemas.openxmlformats.org/officeDocument/2006/relationships/hyperlink" Target="http://www.cabi.org/isc/datasheet/25153" TargetMode="External" Id="rId7" /><Relationship Type="http://schemas.openxmlformats.org/officeDocument/2006/relationships/image" Target="media/image2.jpeg" Id="rId12" /><Relationship Type="http://schemas.openxmlformats.org/officeDocument/2006/relationships/image" Target="media/image7.jpeg" Id="rId17" /><Relationship Type="http://schemas.openxmlformats.org/officeDocument/2006/relationships/footer" Target="footer2.xml" Id="rId25" /><Relationship Type="http://schemas.openxmlformats.org/officeDocument/2006/relationships/styles" Target="styles.xml" Id="rId2" /><Relationship Type="http://schemas.openxmlformats.org/officeDocument/2006/relationships/image" Target="media/image6.jpeg" Id="rId16" /><Relationship Type="http://schemas.openxmlformats.org/officeDocument/2006/relationships/image" Target="media/image10.png"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1.jpeg" Id="rId11" /><Relationship Type="http://schemas.openxmlformats.org/officeDocument/2006/relationships/footer" Target="footer1.xml" Id="rId24" /><Relationship Type="http://schemas.openxmlformats.org/officeDocument/2006/relationships/footnotes" Target="footnotes.xml" Id="rId5" /><Relationship Type="http://schemas.openxmlformats.org/officeDocument/2006/relationships/image" Target="media/image5.jpeg" Id="rId15" /><Relationship Type="http://schemas.openxmlformats.org/officeDocument/2006/relationships/header" Target="header2.xml" Id="rId23" /><Relationship Type="http://schemas.openxmlformats.org/officeDocument/2006/relationships/theme" Target="theme/theme1.xml" Id="rId28" /><Relationship Type="http://schemas.openxmlformats.org/officeDocument/2006/relationships/hyperlink" Target="mailto:ana.perez-sierra@forestry.gsi.gov.uk" TargetMode="External" Id="rId10" /><Relationship Type="http://schemas.openxmlformats.org/officeDocument/2006/relationships/image" Target="media/image9.jpeg" Id="rId19" /><Relationship Type="http://schemas.openxmlformats.org/officeDocument/2006/relationships/webSettings" Target="webSettings.xml" Id="rId4" /><Relationship Type="http://schemas.openxmlformats.org/officeDocument/2006/relationships/hyperlink" Target="mailto:renaud.ioos@anses.fr" TargetMode="External" Id="rId9" /><Relationship Type="http://schemas.openxmlformats.org/officeDocument/2006/relationships/image" Target="media/image4.jpeg" Id="rId14" /><Relationship Type="http://schemas.openxmlformats.org/officeDocument/2006/relationships/header" Target="header1.xml" Id="rId22" /><Relationship Type="http://schemas.openxmlformats.org/officeDocument/2006/relationships/fontTable" Target="fontTable.xml" Id="rId27" /></Relationships>
</file>

<file path=word/_rels/settings.xml.rels>&#65279;<?xml version="1.0" encoding="utf-8"?><Relationships xmlns="http://schemas.openxmlformats.org/package/2006/relationships"><Relationship Type="http://schemas.openxmlformats.org/officeDocument/2006/relationships/attachedTemplate" Target="file:///C:\Users\Farren\AppData\Roaming\Microsoft\Template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10</TotalTime>
  <Pages>19</Pages>
  <Words>7674</Words>
  <Characters>42319</Characters>
  <Application>Microsoft Office Word</Application>
  <DocSecurity>0</DocSecurity>
  <Lines>352</Lines>
  <Paragraphs>99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vt:lpstr>
      <vt:lpstr>[G]</vt:lpstr>
      <vt:lpstr>[G]</vt:lpstr>
    </vt:vector>
  </TitlesOfParts>
  <Company>Benaki</Company>
  <LinksUpToDate>false</LinksUpToDate>
  <CharactersWithSpaces>49894</CharactersWithSpaces>
  <SharedDoc>false</SharedDoc>
  <HLinks>
    <vt:vector size="24" baseType="variant">
      <vt:variant>
        <vt:i4>5439610</vt:i4>
      </vt:variant>
      <vt:variant>
        <vt:i4>9</vt:i4>
      </vt:variant>
      <vt:variant>
        <vt:i4>0</vt:i4>
      </vt:variant>
      <vt:variant>
        <vt:i4>5</vt:i4>
      </vt:variant>
      <vt:variant>
        <vt:lpwstr>mailto:ana.perez-sierra@forestry.gsi.gov.uk</vt:lpwstr>
      </vt:variant>
      <vt:variant>
        <vt:lpwstr/>
      </vt:variant>
      <vt:variant>
        <vt:i4>4063305</vt:i4>
      </vt:variant>
      <vt:variant>
        <vt:i4>6</vt:i4>
      </vt:variant>
      <vt:variant>
        <vt:i4>0</vt:i4>
      </vt:variant>
      <vt:variant>
        <vt:i4>5</vt:i4>
      </vt:variant>
      <vt:variant>
        <vt:lpwstr>mailto:renaud.ioos@anses.fr</vt:lpwstr>
      </vt:variant>
      <vt:variant>
        <vt:lpwstr/>
      </vt:variant>
      <vt:variant>
        <vt:i4>2097230</vt:i4>
      </vt:variant>
      <vt:variant>
        <vt:i4>3</vt:i4>
      </vt:variant>
      <vt:variant>
        <vt:i4>0</vt:i4>
      </vt:variant>
      <vt:variant>
        <vt:i4>5</vt:i4>
      </vt:variant>
      <vt:variant>
        <vt:lpwstr>mailto:mobermar@etsia.upv.es</vt:lpwstr>
      </vt:variant>
      <vt:variant>
        <vt:lpwstr/>
      </vt:variant>
      <vt:variant>
        <vt:i4>2555947</vt:i4>
      </vt:variant>
      <vt:variant>
        <vt:i4>0</vt:i4>
      </vt:variant>
      <vt:variant>
        <vt:i4>0</vt:i4>
      </vt:variant>
      <vt:variant>
        <vt:i4>5</vt:i4>
      </vt:variant>
      <vt:variant>
        <vt:lpwstr>http://www.cabi.org/isc/datasheet/25153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IPPC OCS</dc:creator>
  <cp:keywords/>
  <cp:lastModifiedBy>Farren, Martin (AGDI)</cp:lastModifiedBy>
  <cp:revision>7</cp:revision>
  <cp:lastPrinted>2016-02-22T15:05:00Z</cp:lastPrinted>
  <dcterms:created xsi:type="dcterms:W3CDTF">2016-06-22T13:56:00Z</dcterms:created>
  <dcterms:modified xsi:type="dcterms:W3CDTF">2016-06-29T10:22:00Z</dcterms:modified>
</cp:coreProperties>
</file>