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72BD2" w14:textId="77777777" w:rsidR="00A13734" w:rsidRDefault="00A13734">
      <w:pPr>
        <w:spacing w:after="0" w:line="240" w:lineRule="auto"/>
        <w:rPr>
          <w:rFonts w:ascii="Times New Roman" w:hAnsi="Times New Roman"/>
          <w:b/>
          <w:sz w:val="24"/>
          <w:szCs w:val="24"/>
        </w:rPr>
      </w:pPr>
    </w:p>
    <w:p w14:paraId="54E8EFA1" w14:textId="77777777" w:rsidR="004219E1" w:rsidRPr="008C2971" w:rsidRDefault="0017405F" w:rsidP="008C2971">
      <w:pPr>
        <w:spacing w:after="120"/>
        <w:jc w:val="center"/>
        <w:rPr>
          <w:rFonts w:ascii="Times New Roman" w:hAnsi="Times New Roman"/>
        </w:rPr>
      </w:pPr>
      <w:r>
        <w:rPr>
          <w:rFonts w:ascii="Times New Roman" w:hAnsi="Times New Roman"/>
          <w:b/>
          <w:sz w:val="28"/>
          <w:szCs w:val="28"/>
        </w:rPr>
        <w:t xml:space="preserve">Rules for </w:t>
      </w:r>
      <w:r w:rsidR="008C2971">
        <w:rPr>
          <w:rFonts w:ascii="Times New Roman" w:hAnsi="Times New Roman"/>
          <w:b/>
          <w:sz w:val="28"/>
          <w:szCs w:val="28"/>
        </w:rPr>
        <w:t>O</w:t>
      </w:r>
      <w:r>
        <w:rPr>
          <w:rFonts w:ascii="Times New Roman" w:hAnsi="Times New Roman"/>
          <w:b/>
          <w:sz w:val="28"/>
          <w:szCs w:val="28"/>
        </w:rPr>
        <w:t xml:space="preserve">bservers at CPM and </w:t>
      </w:r>
      <w:r w:rsidR="008C2971">
        <w:rPr>
          <w:rFonts w:ascii="Times New Roman" w:hAnsi="Times New Roman"/>
          <w:b/>
          <w:sz w:val="28"/>
          <w:szCs w:val="28"/>
        </w:rPr>
        <w:t>S</w:t>
      </w:r>
      <w:r>
        <w:rPr>
          <w:rFonts w:ascii="Times New Roman" w:hAnsi="Times New Roman"/>
          <w:b/>
          <w:sz w:val="28"/>
          <w:szCs w:val="28"/>
        </w:rPr>
        <w:t xml:space="preserve">ubsidiary </w:t>
      </w:r>
      <w:r w:rsidR="008C2971">
        <w:rPr>
          <w:rFonts w:ascii="Times New Roman" w:hAnsi="Times New Roman"/>
          <w:b/>
          <w:sz w:val="28"/>
          <w:szCs w:val="28"/>
        </w:rPr>
        <w:t>B</w:t>
      </w:r>
      <w:r>
        <w:rPr>
          <w:rFonts w:ascii="Times New Roman" w:hAnsi="Times New Roman"/>
          <w:b/>
          <w:sz w:val="28"/>
          <w:szCs w:val="28"/>
        </w:rPr>
        <w:t xml:space="preserve">ody </w:t>
      </w:r>
      <w:r w:rsidR="008C2971">
        <w:rPr>
          <w:rFonts w:ascii="Times New Roman" w:hAnsi="Times New Roman"/>
          <w:b/>
          <w:sz w:val="28"/>
          <w:szCs w:val="28"/>
        </w:rPr>
        <w:t>M</w:t>
      </w:r>
      <w:r>
        <w:rPr>
          <w:rFonts w:ascii="Times New Roman" w:hAnsi="Times New Roman"/>
          <w:b/>
          <w:sz w:val="28"/>
          <w:szCs w:val="28"/>
        </w:rPr>
        <w:t>eetings</w:t>
      </w:r>
    </w:p>
    <w:p w14:paraId="073DD340" w14:textId="77777777" w:rsidR="004219E1" w:rsidRPr="00E11D91" w:rsidRDefault="004219E1" w:rsidP="004219E1">
      <w:pPr>
        <w:autoSpaceDE w:val="0"/>
        <w:autoSpaceDN w:val="0"/>
        <w:adjustRightInd w:val="0"/>
        <w:spacing w:after="0" w:line="240" w:lineRule="auto"/>
        <w:ind w:left="360"/>
        <w:jc w:val="both"/>
        <w:rPr>
          <w:rFonts w:ascii="Arial" w:hAnsi="Arial" w:cs="Arial"/>
          <w:bCs/>
          <w:sz w:val="24"/>
          <w:szCs w:val="24"/>
        </w:rPr>
      </w:pPr>
    </w:p>
    <w:p w14:paraId="69DDF6F8" w14:textId="77777777" w:rsidR="007703FE" w:rsidRDefault="007703FE" w:rsidP="00944347">
      <w:pPr>
        <w:pStyle w:val="ListParagraph"/>
        <w:numPr>
          <w:ilvl w:val="0"/>
          <w:numId w:val="19"/>
        </w:numPr>
        <w:jc w:val="both"/>
        <w:rPr>
          <w:rFonts w:ascii="Times New Roman" w:hAnsi="Times New Roman"/>
          <w:b/>
        </w:rPr>
      </w:pPr>
      <w:r w:rsidRPr="00944347">
        <w:rPr>
          <w:rFonts w:ascii="Times New Roman" w:hAnsi="Times New Roman"/>
          <w:b/>
        </w:rPr>
        <w:t>Background</w:t>
      </w:r>
    </w:p>
    <w:p w14:paraId="03587532" w14:textId="77777777" w:rsidR="00944347" w:rsidRPr="00944347" w:rsidRDefault="00944347" w:rsidP="00944347">
      <w:pPr>
        <w:pStyle w:val="ListParagraph"/>
        <w:ind w:left="1440"/>
        <w:jc w:val="both"/>
        <w:rPr>
          <w:rFonts w:ascii="Times New Roman" w:hAnsi="Times New Roman"/>
          <w:b/>
        </w:rPr>
      </w:pPr>
    </w:p>
    <w:p w14:paraId="73949E42" w14:textId="77777777" w:rsidR="00944347" w:rsidRPr="00944347" w:rsidRDefault="00944347" w:rsidP="00B44464">
      <w:pPr>
        <w:autoSpaceDE w:val="0"/>
        <w:autoSpaceDN w:val="0"/>
        <w:adjustRightInd w:val="0"/>
        <w:spacing w:after="0" w:line="240" w:lineRule="auto"/>
        <w:jc w:val="both"/>
        <w:rPr>
          <w:rFonts w:ascii="Times New Roman" w:hAnsi="Times New Roman"/>
        </w:rPr>
      </w:pPr>
      <w:r w:rsidRPr="00944347">
        <w:rPr>
          <w:rFonts w:ascii="Times New Roman" w:hAnsi="Times New Roman"/>
        </w:rPr>
        <w:t xml:space="preserve">The IPPC Secretariat is currently facing an outstanding number of requests from </w:t>
      </w:r>
      <w:r w:rsidR="00B719E2">
        <w:rPr>
          <w:rFonts w:ascii="Times New Roman" w:hAnsi="Times New Roman"/>
        </w:rPr>
        <w:t xml:space="preserve">persons and </w:t>
      </w:r>
      <w:r w:rsidRPr="00944347">
        <w:rPr>
          <w:rFonts w:ascii="Times New Roman" w:hAnsi="Times New Roman"/>
        </w:rPr>
        <w:t>organizations</w:t>
      </w:r>
      <w:r w:rsidR="00B719E2">
        <w:rPr>
          <w:rFonts w:ascii="Times New Roman" w:hAnsi="Times New Roman"/>
        </w:rPr>
        <w:t>,</w:t>
      </w:r>
      <w:r w:rsidRPr="00944347">
        <w:rPr>
          <w:rFonts w:ascii="Times New Roman" w:hAnsi="Times New Roman"/>
        </w:rPr>
        <w:t xml:space="preserve"> asking to be accepted as observers at CPM meetings</w:t>
      </w:r>
      <w:r w:rsidR="00B719E2">
        <w:rPr>
          <w:rFonts w:ascii="Times New Roman" w:hAnsi="Times New Roman"/>
        </w:rPr>
        <w:t>, what could in the future be a concern considering the timelines and resources available for the CPM meetings</w:t>
      </w:r>
      <w:r w:rsidRPr="00944347">
        <w:rPr>
          <w:rFonts w:ascii="Times New Roman" w:hAnsi="Times New Roman"/>
        </w:rPr>
        <w:t>.</w:t>
      </w:r>
      <w:r w:rsidRPr="00944347">
        <w:rPr>
          <w:rFonts w:ascii="Arial" w:hAnsi="Arial" w:cs="Arial"/>
          <w:bCs/>
          <w:sz w:val="24"/>
          <w:szCs w:val="24"/>
        </w:rPr>
        <w:t xml:space="preserve"> </w:t>
      </w:r>
      <w:r w:rsidRPr="00944347">
        <w:rPr>
          <w:rFonts w:ascii="Times New Roman" w:hAnsi="Times New Roman"/>
        </w:rPr>
        <w:t>The corresponding CPM Rule (RULE VII.</w:t>
      </w:r>
      <w:r w:rsidR="00B44464">
        <w:rPr>
          <w:rFonts w:ascii="Times New Roman" w:hAnsi="Times New Roman"/>
        </w:rPr>
        <w:t xml:space="preserve"> </w:t>
      </w:r>
      <w:r w:rsidRPr="00944347">
        <w:rPr>
          <w:rFonts w:ascii="Times New Roman" w:hAnsi="Times New Roman"/>
        </w:rPr>
        <w:t>OBSERVERS) offers considerable uncertainty on ho</w:t>
      </w:r>
      <w:r w:rsidR="00B719E2">
        <w:rPr>
          <w:rFonts w:ascii="Times New Roman" w:hAnsi="Times New Roman"/>
        </w:rPr>
        <w:t xml:space="preserve">w to proceed in some cases and </w:t>
      </w:r>
      <w:r w:rsidRPr="00944347">
        <w:rPr>
          <w:rFonts w:ascii="Times New Roman" w:hAnsi="Times New Roman"/>
        </w:rPr>
        <w:t>on which are the rights and obligations of observers. Even some uncertainty could</w:t>
      </w:r>
      <w:r w:rsidR="00B44464">
        <w:rPr>
          <w:rFonts w:ascii="Times New Roman" w:hAnsi="Times New Roman"/>
        </w:rPr>
        <w:t xml:space="preserve"> be related to consider what a </w:t>
      </w:r>
      <w:r w:rsidRPr="00944347">
        <w:rPr>
          <w:rFonts w:ascii="Times New Roman" w:hAnsi="Times New Roman"/>
        </w:rPr>
        <w:t>public meeting has to be.</w:t>
      </w:r>
    </w:p>
    <w:p w14:paraId="2788326E" w14:textId="77777777" w:rsidR="00944347" w:rsidRPr="00944347" w:rsidRDefault="00944347" w:rsidP="00B44464">
      <w:pPr>
        <w:autoSpaceDE w:val="0"/>
        <w:autoSpaceDN w:val="0"/>
        <w:adjustRightInd w:val="0"/>
        <w:spacing w:after="0" w:line="240" w:lineRule="auto"/>
        <w:ind w:left="360"/>
        <w:jc w:val="both"/>
        <w:rPr>
          <w:rFonts w:ascii="Times New Roman" w:hAnsi="Times New Roman"/>
        </w:rPr>
      </w:pPr>
    </w:p>
    <w:p w14:paraId="2F036188" w14:textId="77777777" w:rsidR="00B719E2" w:rsidRDefault="00944347" w:rsidP="00B44464">
      <w:pPr>
        <w:autoSpaceDE w:val="0"/>
        <w:autoSpaceDN w:val="0"/>
        <w:adjustRightInd w:val="0"/>
        <w:spacing w:after="0" w:line="240" w:lineRule="auto"/>
        <w:jc w:val="both"/>
        <w:rPr>
          <w:rFonts w:ascii="Times New Roman" w:hAnsi="Times New Roman"/>
        </w:rPr>
      </w:pPr>
      <w:r w:rsidRPr="00B719E2">
        <w:rPr>
          <w:rFonts w:ascii="Times New Roman" w:hAnsi="Times New Roman"/>
        </w:rPr>
        <w:t>No Rule contains indications on attendance of observers to Bureau meetings and not all cases under Rule VII take into account attendance to the meetings of subsidiary bodies.</w:t>
      </w:r>
    </w:p>
    <w:p w14:paraId="2FC16165" w14:textId="77777777" w:rsidR="00B44464" w:rsidRDefault="00B44464" w:rsidP="00B44464">
      <w:pPr>
        <w:autoSpaceDE w:val="0"/>
        <w:autoSpaceDN w:val="0"/>
        <w:adjustRightInd w:val="0"/>
        <w:spacing w:after="0" w:line="240" w:lineRule="auto"/>
        <w:jc w:val="both"/>
        <w:rPr>
          <w:rFonts w:ascii="Times New Roman" w:hAnsi="Times New Roman"/>
        </w:rPr>
      </w:pPr>
    </w:p>
    <w:p w14:paraId="28C22201" w14:textId="77777777" w:rsidR="00944347" w:rsidRPr="00944347" w:rsidRDefault="00944347" w:rsidP="00B44464">
      <w:pPr>
        <w:autoSpaceDE w:val="0"/>
        <w:autoSpaceDN w:val="0"/>
        <w:adjustRightInd w:val="0"/>
        <w:spacing w:after="0" w:line="240" w:lineRule="auto"/>
        <w:jc w:val="both"/>
        <w:rPr>
          <w:rFonts w:ascii="Times New Roman" w:hAnsi="Times New Roman"/>
        </w:rPr>
      </w:pPr>
      <w:r>
        <w:rPr>
          <w:rFonts w:ascii="Times New Roman" w:hAnsi="Times New Roman"/>
        </w:rPr>
        <w:t xml:space="preserve">The current </w:t>
      </w:r>
      <w:r w:rsidRPr="00944347">
        <w:rPr>
          <w:rFonts w:ascii="Times New Roman" w:hAnsi="Times New Roman"/>
        </w:rPr>
        <w:t>contents of Rule VII</w:t>
      </w:r>
      <w:r w:rsidR="00B719E2">
        <w:rPr>
          <w:rFonts w:ascii="Times New Roman" w:hAnsi="Times New Roman"/>
        </w:rPr>
        <w:t>,</w:t>
      </w:r>
      <w:r>
        <w:rPr>
          <w:rFonts w:ascii="Times New Roman" w:hAnsi="Times New Roman"/>
        </w:rPr>
        <w:t xml:space="preserve"> </w:t>
      </w:r>
      <w:r w:rsidR="00B719E2">
        <w:rPr>
          <w:rFonts w:ascii="Times New Roman" w:hAnsi="Times New Roman"/>
        </w:rPr>
        <w:t xml:space="preserve">of the CPM Rules of Procedure </w:t>
      </w:r>
      <w:r>
        <w:rPr>
          <w:rFonts w:ascii="Times New Roman" w:hAnsi="Times New Roman"/>
        </w:rPr>
        <w:t>is</w:t>
      </w:r>
      <w:r w:rsidRPr="00944347">
        <w:rPr>
          <w:rFonts w:ascii="Times New Roman" w:hAnsi="Times New Roman"/>
        </w:rPr>
        <w:t xml:space="preserve">: </w:t>
      </w:r>
    </w:p>
    <w:p w14:paraId="3A9F50B0" w14:textId="77777777" w:rsidR="00944347" w:rsidRDefault="00944347" w:rsidP="00944347">
      <w:pPr>
        <w:autoSpaceDE w:val="0"/>
        <w:autoSpaceDN w:val="0"/>
        <w:adjustRightInd w:val="0"/>
        <w:spacing w:after="0" w:line="240" w:lineRule="auto"/>
        <w:jc w:val="both"/>
        <w:rPr>
          <w:rFonts w:ascii="Arial" w:hAnsi="Arial" w:cs="Arial"/>
          <w:bCs/>
          <w:sz w:val="24"/>
          <w:szCs w:val="24"/>
        </w:rPr>
      </w:pPr>
    </w:p>
    <w:p w14:paraId="0CE73EFE" w14:textId="77777777" w:rsidR="00944347" w:rsidRDefault="00944347" w:rsidP="0047140E">
      <w:pPr>
        <w:pStyle w:val="Normale"/>
        <w:spacing w:after="120"/>
        <w:ind w:left="567" w:right="567"/>
        <w:jc w:val="both"/>
        <w:rPr>
          <w:i/>
          <w:color w:val="000000"/>
          <w:sz w:val="22"/>
          <w:szCs w:val="22"/>
        </w:rPr>
      </w:pPr>
      <w:r>
        <w:rPr>
          <w:i/>
          <w:color w:val="000000"/>
          <w:sz w:val="22"/>
          <w:szCs w:val="22"/>
        </w:rPr>
        <w:t>1.</w:t>
      </w:r>
      <w:r w:rsidR="00B44464">
        <w:rPr>
          <w:i/>
          <w:color w:val="000000"/>
          <w:sz w:val="22"/>
          <w:szCs w:val="22"/>
        </w:rPr>
        <w:t xml:space="preserve"> </w:t>
      </w:r>
      <w:r w:rsidRPr="00475FB7">
        <w:rPr>
          <w:i/>
          <w:color w:val="000000"/>
          <w:sz w:val="22"/>
          <w:szCs w:val="22"/>
        </w:rPr>
        <w:t xml:space="preserve">Any country that is not a contracting party but is a Member of the Organization, as well as the United Nations, any of its specialized agencies and the International Atomic Energy Agency, may, upon request communicated to the Director-General, attend sessions of the Commission, and its subsidiary bodies, as an observer. Any such observer may submit memoranda and participate in discussions without a vote. Any country that is not a contracting party and is not a Member of the Organization, but is a Member of the United Nations, any of its specialized agencies or the International Atomic Energy Agency, may, upon request and subject to the provisions relating to the granting of the Observer Status in respect of Nations as provided for by the Basic Texts of the Organization, be invited to attend, in an observer capacity, sessions of the Commission or of its subsidiary bodies. The </w:t>
      </w:r>
      <w:proofErr w:type="gramStart"/>
      <w:r w:rsidRPr="00475FB7">
        <w:rPr>
          <w:i/>
          <w:color w:val="000000"/>
          <w:sz w:val="22"/>
          <w:szCs w:val="22"/>
        </w:rPr>
        <w:t>status of such Nations shall be governed by the relevant provisions of the Basic Texts of the Organization</w:t>
      </w:r>
      <w:proofErr w:type="gramEnd"/>
      <w:r w:rsidRPr="00475FB7">
        <w:rPr>
          <w:i/>
          <w:color w:val="000000"/>
          <w:sz w:val="22"/>
          <w:szCs w:val="22"/>
        </w:rPr>
        <w:t xml:space="preserve">. </w:t>
      </w:r>
    </w:p>
    <w:p w14:paraId="1E683B97" w14:textId="77777777" w:rsidR="00944347" w:rsidRDefault="00944347" w:rsidP="0047140E">
      <w:pPr>
        <w:pStyle w:val="Normale"/>
        <w:spacing w:after="120"/>
        <w:ind w:left="567" w:right="567"/>
        <w:jc w:val="both"/>
        <w:rPr>
          <w:i/>
          <w:color w:val="000000"/>
          <w:sz w:val="22"/>
          <w:szCs w:val="22"/>
        </w:rPr>
      </w:pPr>
      <w:r w:rsidRPr="00475FB7">
        <w:rPr>
          <w:rStyle w:val="NroPara"/>
          <w:i/>
        </w:rPr>
        <w:t xml:space="preserve">2. </w:t>
      </w:r>
      <w:r w:rsidRPr="00475FB7">
        <w:rPr>
          <w:i/>
          <w:color w:val="000000"/>
          <w:sz w:val="22"/>
          <w:szCs w:val="22"/>
        </w:rPr>
        <w:t>Representatives of Regional Plant Protection Organizations shall be invited to attend all sessions of the Commission and its subsidiary bodies as observers. Any such obs</w:t>
      </w:r>
      <w:r w:rsidR="00B44464">
        <w:rPr>
          <w:i/>
          <w:color w:val="000000"/>
          <w:sz w:val="22"/>
          <w:szCs w:val="22"/>
        </w:rPr>
        <w:t xml:space="preserve">ervers may submit memoranda and </w:t>
      </w:r>
      <w:r w:rsidRPr="00475FB7">
        <w:rPr>
          <w:i/>
          <w:color w:val="000000"/>
          <w:sz w:val="22"/>
          <w:szCs w:val="22"/>
        </w:rPr>
        <w:t xml:space="preserve">participate in discussions without a vote. </w:t>
      </w:r>
    </w:p>
    <w:p w14:paraId="1FC2D4DE" w14:textId="77777777" w:rsidR="00944347" w:rsidRDefault="00944347" w:rsidP="0047140E">
      <w:pPr>
        <w:pStyle w:val="Normale"/>
        <w:spacing w:after="120"/>
        <w:ind w:left="567" w:right="567"/>
        <w:jc w:val="both"/>
        <w:rPr>
          <w:i/>
          <w:color w:val="000000"/>
          <w:sz w:val="22"/>
          <w:szCs w:val="22"/>
        </w:rPr>
      </w:pPr>
      <w:r w:rsidRPr="00475FB7">
        <w:rPr>
          <w:rStyle w:val="NroPara"/>
          <w:i/>
        </w:rPr>
        <w:t xml:space="preserve">3. </w:t>
      </w:r>
      <w:r w:rsidRPr="00475FB7">
        <w:rPr>
          <w:i/>
          <w:color w:val="000000"/>
          <w:sz w:val="22"/>
          <w:szCs w:val="22"/>
        </w:rPr>
        <w:t xml:space="preserve">Subject to the provisions of paragraph 4 of this Rule, the Director-General, taking into account guidance given by the Commission, may invite international (intergovernmental and non-governmental) organizations to attend sessions of the Commission in an observer capacity. </w:t>
      </w:r>
    </w:p>
    <w:p w14:paraId="106D074B" w14:textId="77777777" w:rsidR="00944347" w:rsidRDefault="00944347" w:rsidP="0047140E">
      <w:pPr>
        <w:pStyle w:val="Normale"/>
        <w:spacing w:after="120"/>
        <w:ind w:left="567" w:right="567"/>
        <w:jc w:val="both"/>
        <w:rPr>
          <w:i/>
          <w:color w:val="000000"/>
          <w:sz w:val="22"/>
          <w:szCs w:val="22"/>
        </w:rPr>
      </w:pPr>
      <w:proofErr w:type="gramStart"/>
      <w:r>
        <w:rPr>
          <w:i/>
          <w:color w:val="000000"/>
          <w:sz w:val="22"/>
          <w:szCs w:val="22"/>
        </w:rPr>
        <w:t>4.</w:t>
      </w:r>
      <w:r w:rsidR="00B44464">
        <w:rPr>
          <w:i/>
          <w:color w:val="000000"/>
          <w:sz w:val="22"/>
          <w:szCs w:val="22"/>
        </w:rPr>
        <w:t xml:space="preserve"> </w:t>
      </w:r>
      <w:r w:rsidRPr="00475FB7">
        <w:rPr>
          <w:i/>
          <w:color w:val="000000"/>
          <w:sz w:val="22"/>
          <w:szCs w:val="22"/>
        </w:rPr>
        <w:t>Participation of international organizations in the work of the Commission and the relations between the Commission and such organizations shall be governed by the relevant provisions of the Constitution and other pertinent Basic Texts of the Organization</w:t>
      </w:r>
      <w:proofErr w:type="gramEnd"/>
      <w:r w:rsidRPr="00475FB7">
        <w:rPr>
          <w:i/>
          <w:color w:val="000000"/>
          <w:sz w:val="22"/>
          <w:szCs w:val="22"/>
        </w:rPr>
        <w:t xml:space="preserve">. </w:t>
      </w:r>
      <w:proofErr w:type="gramStart"/>
      <w:r w:rsidRPr="00475FB7">
        <w:rPr>
          <w:i/>
          <w:color w:val="000000"/>
          <w:sz w:val="22"/>
          <w:szCs w:val="22"/>
        </w:rPr>
        <w:t>All such relations shall be dealt with by the Director-General, taking into account guidance given by the Commission</w:t>
      </w:r>
      <w:proofErr w:type="gramEnd"/>
      <w:r w:rsidRPr="00475FB7">
        <w:rPr>
          <w:i/>
          <w:color w:val="000000"/>
          <w:sz w:val="22"/>
          <w:szCs w:val="22"/>
        </w:rPr>
        <w:t>.</w:t>
      </w:r>
    </w:p>
    <w:p w14:paraId="41BD7607" w14:textId="77777777" w:rsidR="00944347" w:rsidRDefault="00944347" w:rsidP="0047140E">
      <w:pPr>
        <w:pStyle w:val="Normale"/>
        <w:spacing w:after="120"/>
        <w:ind w:left="567" w:right="567"/>
        <w:jc w:val="both"/>
        <w:rPr>
          <w:i/>
          <w:color w:val="000000"/>
          <w:sz w:val="22"/>
          <w:szCs w:val="22"/>
        </w:rPr>
      </w:pPr>
      <w:r>
        <w:rPr>
          <w:i/>
          <w:color w:val="000000"/>
          <w:sz w:val="22"/>
          <w:szCs w:val="22"/>
        </w:rPr>
        <w:t>5.</w:t>
      </w:r>
      <w:r w:rsidR="00B44464">
        <w:rPr>
          <w:i/>
          <w:color w:val="000000"/>
          <w:sz w:val="22"/>
          <w:szCs w:val="22"/>
        </w:rPr>
        <w:t xml:space="preserve"> </w:t>
      </w:r>
      <w:r w:rsidRPr="00475FB7">
        <w:rPr>
          <w:i/>
          <w:color w:val="000000"/>
          <w:sz w:val="22"/>
          <w:szCs w:val="22"/>
        </w:rPr>
        <w:t xml:space="preserve">Any country that is a contracting party may attend subsidiary body meetings as an observer, upon request to the Secretary of the IPPC. </w:t>
      </w:r>
    </w:p>
    <w:p w14:paraId="1C65C3B6" w14:textId="77777777" w:rsidR="00944347" w:rsidRDefault="00944347" w:rsidP="00944347">
      <w:pPr>
        <w:spacing w:after="0" w:line="240" w:lineRule="auto"/>
        <w:rPr>
          <w:rFonts w:ascii="Times New Roman" w:hAnsi="Times New Roman"/>
          <w:bCs/>
          <w:color w:val="000000"/>
        </w:rPr>
      </w:pPr>
    </w:p>
    <w:p w14:paraId="525C5ECD" w14:textId="4B4692CB" w:rsidR="007703FE" w:rsidRPr="0047140E" w:rsidRDefault="007703FE" w:rsidP="0047140E">
      <w:pPr>
        <w:jc w:val="both"/>
        <w:rPr>
          <w:rFonts w:ascii="Times New Roman" w:hAnsi="Times New Roman"/>
        </w:rPr>
      </w:pPr>
      <w:r w:rsidRPr="007E5BA4">
        <w:rPr>
          <w:rFonts w:ascii="Times New Roman" w:hAnsi="Times New Roman"/>
        </w:rPr>
        <w:t xml:space="preserve">The status of observers at CPM sessions is governed by CPM Rules of Procedure, in particular Rule VII, the relevant provisions of the FAO Constitution, the General Rules of the Organization (GRO) and Principles established by the Conference which are included in Volume II of the Basic Texts. </w:t>
      </w:r>
      <w:proofErr w:type="gramStart"/>
      <w:r w:rsidRPr="007E5BA4">
        <w:rPr>
          <w:rFonts w:ascii="Times New Roman" w:hAnsi="Times New Roman"/>
        </w:rPr>
        <w:t xml:space="preserve">The status of observers at meetings of CPM subsidiary bodies is governed by the relevant provisions of those </w:t>
      </w:r>
      <w:r w:rsidRPr="007E5BA4">
        <w:rPr>
          <w:rFonts w:ascii="Times New Roman" w:hAnsi="Times New Roman"/>
        </w:rPr>
        <w:lastRenderedPageBreak/>
        <w:t>bodies’</w:t>
      </w:r>
      <w:r w:rsidR="00AA27D8" w:rsidRPr="007E5BA4">
        <w:rPr>
          <w:rFonts w:ascii="Times New Roman" w:hAnsi="Times New Roman"/>
        </w:rPr>
        <w:t xml:space="preserve"> Rules of Procedure</w:t>
      </w:r>
      <w:proofErr w:type="gramEnd"/>
      <w:r w:rsidR="00AA27D8" w:rsidRPr="007E5BA4">
        <w:rPr>
          <w:rFonts w:ascii="Times New Roman" w:hAnsi="Times New Roman"/>
        </w:rPr>
        <w:t xml:space="preserve"> (e.g. Rule VII</w:t>
      </w:r>
      <w:r w:rsidRPr="007E5BA4">
        <w:rPr>
          <w:rFonts w:ascii="Times New Roman" w:hAnsi="Times New Roman"/>
        </w:rPr>
        <w:t xml:space="preserve"> of the Rules of Procedure for the Standards Committee and Rule </w:t>
      </w:r>
      <w:r w:rsidR="007E5BA4" w:rsidRPr="007E5BA4">
        <w:rPr>
          <w:rFonts w:ascii="Times New Roman" w:hAnsi="Times New Roman"/>
        </w:rPr>
        <w:t>6</w:t>
      </w:r>
      <w:r w:rsidRPr="007E5BA4">
        <w:rPr>
          <w:rFonts w:ascii="Times New Roman" w:hAnsi="Times New Roman"/>
        </w:rPr>
        <w:t xml:space="preserve"> of the Rules of Procedure for the Subsidiary Body on Dispute Settlement).</w:t>
      </w:r>
    </w:p>
    <w:p w14:paraId="3CADCFB1" w14:textId="77777777" w:rsidR="007703FE" w:rsidRPr="007E5BA4" w:rsidRDefault="007703FE" w:rsidP="007E5BA4">
      <w:pPr>
        <w:jc w:val="both"/>
        <w:rPr>
          <w:rFonts w:ascii="Times New Roman" w:hAnsi="Times New Roman"/>
        </w:rPr>
      </w:pPr>
      <w:r w:rsidRPr="007E5BA4">
        <w:rPr>
          <w:rFonts w:ascii="Times New Roman" w:hAnsi="Times New Roman"/>
          <w:lang w:val="en-GB"/>
        </w:rPr>
        <w:t xml:space="preserve">In order to analyze the existing provisions, a distinction should be made between </w:t>
      </w:r>
      <w:r w:rsidRPr="007E5BA4">
        <w:rPr>
          <w:rFonts w:ascii="Times New Roman" w:hAnsi="Times New Roman"/>
        </w:rPr>
        <w:t>the granting of observer status to: 1) countries; 2) Regional Plant Protection Organizations; and 3) international organizations; and between public and private meetings</w:t>
      </w:r>
      <w:r w:rsidR="007E5BA4" w:rsidRPr="007E5BA4">
        <w:rPr>
          <w:rFonts w:ascii="Times New Roman" w:hAnsi="Times New Roman"/>
        </w:rPr>
        <w:t>, as follows:</w:t>
      </w:r>
      <w:r w:rsidRPr="007E5BA4">
        <w:rPr>
          <w:rFonts w:ascii="Times New Roman" w:hAnsi="Times New Roman"/>
        </w:rPr>
        <w:t xml:space="preserve"> </w:t>
      </w:r>
    </w:p>
    <w:p w14:paraId="73057E62" w14:textId="77777777" w:rsidR="007703FE" w:rsidRPr="00964C00" w:rsidRDefault="007703FE" w:rsidP="0047140E">
      <w:pPr>
        <w:ind w:left="720" w:hanging="720"/>
        <w:jc w:val="both"/>
        <w:rPr>
          <w:rFonts w:ascii="Times New Roman" w:hAnsi="Times New Roman"/>
          <w:b/>
          <w:lang w:val="en-GB"/>
        </w:rPr>
      </w:pPr>
      <w:r w:rsidRPr="00964C00">
        <w:rPr>
          <w:rFonts w:ascii="Times New Roman" w:hAnsi="Times New Roman"/>
          <w:b/>
        </w:rPr>
        <w:t>II.</w:t>
      </w:r>
      <w:r w:rsidRPr="00964C00">
        <w:rPr>
          <w:rFonts w:ascii="Times New Roman" w:hAnsi="Times New Roman"/>
          <w:b/>
        </w:rPr>
        <w:tab/>
      </w:r>
      <w:r w:rsidRPr="00964C00">
        <w:rPr>
          <w:rFonts w:ascii="Times New Roman" w:hAnsi="Times New Roman"/>
          <w:b/>
          <w:lang w:val="en-GB"/>
        </w:rPr>
        <w:t xml:space="preserve">Granting of observer status in </w:t>
      </w:r>
      <w:r w:rsidRPr="00964C00">
        <w:rPr>
          <w:rFonts w:ascii="Times New Roman" w:hAnsi="Times New Roman"/>
          <w:b/>
        </w:rPr>
        <w:t>public meetings</w:t>
      </w:r>
    </w:p>
    <w:p w14:paraId="34CE6193" w14:textId="77777777" w:rsidR="007703FE" w:rsidRPr="00964C00" w:rsidRDefault="007703FE" w:rsidP="0047140E">
      <w:pPr>
        <w:jc w:val="both"/>
        <w:rPr>
          <w:rFonts w:ascii="Times New Roman" w:hAnsi="Times New Roman"/>
          <w:b/>
          <w:lang w:val="en-GB"/>
        </w:rPr>
      </w:pPr>
      <w:r w:rsidRPr="00964C00">
        <w:rPr>
          <w:rFonts w:ascii="Times New Roman" w:hAnsi="Times New Roman"/>
          <w:b/>
          <w:lang w:val="en-GB"/>
        </w:rPr>
        <w:t>1.</w:t>
      </w:r>
      <w:r w:rsidRPr="00964C00">
        <w:rPr>
          <w:rFonts w:ascii="Times New Roman" w:hAnsi="Times New Roman"/>
          <w:b/>
          <w:lang w:val="en-GB"/>
        </w:rPr>
        <w:tab/>
        <w:t>Granting of observer status to countries</w:t>
      </w:r>
    </w:p>
    <w:p w14:paraId="6C821480" w14:textId="77777777" w:rsidR="007703FE" w:rsidRPr="00964C00" w:rsidRDefault="007703FE" w:rsidP="0047140E">
      <w:pPr>
        <w:pStyle w:val="ListParagraph"/>
        <w:numPr>
          <w:ilvl w:val="0"/>
          <w:numId w:val="18"/>
        </w:numPr>
        <w:ind w:left="0" w:firstLine="0"/>
        <w:jc w:val="both"/>
        <w:rPr>
          <w:rFonts w:ascii="Times New Roman" w:hAnsi="Times New Roman"/>
        </w:rPr>
      </w:pPr>
      <w:r w:rsidRPr="00964C00">
        <w:rPr>
          <w:rFonts w:ascii="Times New Roman" w:hAnsi="Times New Roman"/>
          <w:lang w:val="en-GB"/>
        </w:rPr>
        <w:t xml:space="preserve">In general, countries admitted as observers </w:t>
      </w:r>
      <w:r>
        <w:rPr>
          <w:rFonts w:ascii="Times New Roman" w:hAnsi="Times New Roman"/>
          <w:lang w:val="en-GB"/>
        </w:rPr>
        <w:t xml:space="preserve">may, subject to the approval of the Chairperson, participate in discussions after all members have spoken and without the right to vote. They may receive documents, other than those of a restricted nature, and submit written statements on particular items of the agenda. </w:t>
      </w:r>
    </w:p>
    <w:p w14:paraId="55595302" w14:textId="77777777" w:rsidR="007703FE" w:rsidRPr="00964C00" w:rsidRDefault="007703FE" w:rsidP="007703FE">
      <w:pPr>
        <w:pStyle w:val="ListParagraph"/>
        <w:ind w:left="709"/>
        <w:jc w:val="both"/>
        <w:rPr>
          <w:rFonts w:ascii="Times New Roman" w:hAnsi="Times New Roman"/>
        </w:rPr>
      </w:pPr>
    </w:p>
    <w:p w14:paraId="5ED24BC4" w14:textId="77777777" w:rsidR="007703FE" w:rsidRPr="00964C00" w:rsidRDefault="007703FE" w:rsidP="0047140E">
      <w:pPr>
        <w:pStyle w:val="ListParagraph"/>
        <w:numPr>
          <w:ilvl w:val="0"/>
          <w:numId w:val="18"/>
        </w:numPr>
        <w:ind w:left="0" w:firstLine="0"/>
        <w:jc w:val="both"/>
        <w:rPr>
          <w:rFonts w:ascii="Times New Roman" w:hAnsi="Times New Roman"/>
        </w:rPr>
      </w:pPr>
      <w:r w:rsidRPr="00964C00">
        <w:rPr>
          <w:rFonts w:ascii="Times New Roman" w:hAnsi="Times New Roman"/>
        </w:rPr>
        <w:t xml:space="preserve">The references in paragraph 1 of Rule VII to the Basic Texts of the Organization </w:t>
      </w:r>
      <w:r>
        <w:rPr>
          <w:rFonts w:ascii="Times New Roman" w:hAnsi="Times New Roman"/>
        </w:rPr>
        <w:t>are</w:t>
      </w:r>
      <w:r w:rsidRPr="00964C00">
        <w:rPr>
          <w:rFonts w:ascii="Times New Roman" w:hAnsi="Times New Roman"/>
        </w:rPr>
        <w:t xml:space="preserve"> made to Rule XXV.8(c) of the GRO and the </w:t>
      </w:r>
      <w:r>
        <w:rPr>
          <w:rFonts w:ascii="Times New Roman" w:hAnsi="Times New Roman"/>
        </w:rPr>
        <w:t>“</w:t>
      </w:r>
      <w:r w:rsidRPr="001D04AE">
        <w:rPr>
          <w:rFonts w:ascii="Times New Roman" w:hAnsi="Times New Roman"/>
          <w:i/>
        </w:rPr>
        <w:t>Statement of Principles relating to the Granting of Observer Status to Nations</w:t>
      </w:r>
      <w:r>
        <w:rPr>
          <w:rFonts w:ascii="Times New Roman" w:hAnsi="Times New Roman"/>
        </w:rPr>
        <w:t>” (</w:t>
      </w:r>
      <w:r w:rsidRPr="00964C00">
        <w:rPr>
          <w:rFonts w:ascii="Times New Roman" w:hAnsi="Times New Roman"/>
        </w:rPr>
        <w:t>Part I of Volume II of the Basic Texts</w:t>
      </w:r>
      <w:r>
        <w:rPr>
          <w:rFonts w:ascii="Times New Roman" w:hAnsi="Times New Roman"/>
        </w:rPr>
        <w:t>)</w:t>
      </w:r>
      <w:r w:rsidRPr="00964C00">
        <w:rPr>
          <w:rFonts w:ascii="Times New Roman" w:hAnsi="Times New Roman"/>
        </w:rPr>
        <w:t xml:space="preserve">, as appropriate. </w:t>
      </w:r>
    </w:p>
    <w:p w14:paraId="44B18874" w14:textId="77777777" w:rsidR="007703FE" w:rsidRPr="00964C00" w:rsidRDefault="007703FE" w:rsidP="0047140E">
      <w:pPr>
        <w:jc w:val="both"/>
        <w:rPr>
          <w:rFonts w:ascii="Times New Roman" w:hAnsi="Times New Roman"/>
          <w:b/>
        </w:rPr>
      </w:pPr>
      <w:r w:rsidRPr="00964C00">
        <w:rPr>
          <w:rFonts w:ascii="Times New Roman" w:hAnsi="Times New Roman"/>
          <w:b/>
        </w:rPr>
        <w:t xml:space="preserve">a) </w:t>
      </w:r>
      <w:r w:rsidRPr="00964C00">
        <w:rPr>
          <w:rFonts w:ascii="Times New Roman" w:hAnsi="Times New Roman"/>
          <w:b/>
        </w:rPr>
        <w:tab/>
        <w:t xml:space="preserve">FAO </w:t>
      </w:r>
      <w:proofErr w:type="gramStart"/>
      <w:r w:rsidRPr="00964C00">
        <w:rPr>
          <w:rFonts w:ascii="Times New Roman" w:hAnsi="Times New Roman"/>
          <w:b/>
        </w:rPr>
        <w:t>Members which</w:t>
      </w:r>
      <w:proofErr w:type="gramEnd"/>
      <w:r w:rsidRPr="00964C00">
        <w:rPr>
          <w:rFonts w:ascii="Times New Roman" w:hAnsi="Times New Roman"/>
          <w:b/>
        </w:rPr>
        <w:t xml:space="preserve"> are not contracting parties </w:t>
      </w:r>
    </w:p>
    <w:p w14:paraId="69CC9358" w14:textId="77777777" w:rsidR="007703FE" w:rsidRPr="00964C00" w:rsidRDefault="007703FE" w:rsidP="0047140E">
      <w:pPr>
        <w:pStyle w:val="ListParagraph"/>
        <w:numPr>
          <w:ilvl w:val="0"/>
          <w:numId w:val="18"/>
        </w:numPr>
        <w:ind w:left="0" w:firstLine="0"/>
        <w:jc w:val="both"/>
        <w:rPr>
          <w:rFonts w:ascii="Times New Roman" w:hAnsi="Times New Roman"/>
        </w:rPr>
      </w:pPr>
      <w:r w:rsidRPr="00964C00">
        <w:rPr>
          <w:rFonts w:ascii="Times New Roman" w:hAnsi="Times New Roman"/>
        </w:rPr>
        <w:t xml:space="preserve">Any country that is not a contracting party but is a Member of FAO, as well as the United Nations, any of its specialized agencies and the International Atomic Energy Agency, may, upon request communicated to the Director-General, attend sessions of the Commission, and its subsidiary bodies, as an observer (paragraph 1 of Rule VII). </w:t>
      </w:r>
    </w:p>
    <w:p w14:paraId="683D8290" w14:textId="77777777" w:rsidR="007703FE" w:rsidRPr="00964C00" w:rsidRDefault="007703FE" w:rsidP="0047140E">
      <w:pPr>
        <w:jc w:val="both"/>
        <w:rPr>
          <w:rFonts w:ascii="Times New Roman" w:hAnsi="Times New Roman"/>
          <w:b/>
        </w:rPr>
      </w:pPr>
      <w:r w:rsidRPr="00964C00">
        <w:rPr>
          <w:rFonts w:ascii="Times New Roman" w:hAnsi="Times New Roman"/>
          <w:b/>
        </w:rPr>
        <w:t xml:space="preserve">b) </w:t>
      </w:r>
      <w:r w:rsidRPr="00964C00">
        <w:rPr>
          <w:rFonts w:ascii="Times New Roman" w:hAnsi="Times New Roman"/>
          <w:b/>
        </w:rPr>
        <w:tab/>
        <w:t xml:space="preserve">Non FAO </w:t>
      </w:r>
      <w:proofErr w:type="gramStart"/>
      <w:r w:rsidRPr="00964C00">
        <w:rPr>
          <w:rFonts w:ascii="Times New Roman" w:hAnsi="Times New Roman"/>
          <w:b/>
        </w:rPr>
        <w:t>Members which</w:t>
      </w:r>
      <w:proofErr w:type="gramEnd"/>
      <w:r w:rsidRPr="00964C00">
        <w:rPr>
          <w:rFonts w:ascii="Times New Roman" w:hAnsi="Times New Roman"/>
          <w:b/>
        </w:rPr>
        <w:t xml:space="preserve"> are not contracting parties </w:t>
      </w:r>
    </w:p>
    <w:p w14:paraId="1AC6C839" w14:textId="77777777" w:rsidR="007703FE" w:rsidRDefault="007703FE" w:rsidP="0047140E">
      <w:pPr>
        <w:pStyle w:val="ListParagraph"/>
        <w:numPr>
          <w:ilvl w:val="0"/>
          <w:numId w:val="18"/>
        </w:numPr>
        <w:ind w:left="0" w:firstLine="0"/>
        <w:jc w:val="both"/>
        <w:rPr>
          <w:rFonts w:ascii="Times New Roman" w:hAnsi="Times New Roman"/>
        </w:rPr>
      </w:pPr>
      <w:r w:rsidRPr="00964C00">
        <w:rPr>
          <w:rFonts w:ascii="Times New Roman" w:hAnsi="Times New Roman"/>
        </w:rPr>
        <w:t xml:space="preserve">Any country that is not a contracting party and is not a Member of the Organization, but is a Member of the United Nations, any of its specialized agencies or the International Atomic Energy Agency, may, upon request be invited to attend, in an observer capacity, sessions of the Commission or of its subsidiary bodies (paragraph 1 of Rule VII). </w:t>
      </w:r>
    </w:p>
    <w:p w14:paraId="56FBFA7D" w14:textId="77777777" w:rsidR="007703FE" w:rsidRPr="00964C00" w:rsidRDefault="007703FE" w:rsidP="0047140E">
      <w:pPr>
        <w:jc w:val="both"/>
        <w:rPr>
          <w:rFonts w:ascii="Times New Roman" w:hAnsi="Times New Roman"/>
          <w:b/>
        </w:rPr>
      </w:pPr>
      <w:r w:rsidRPr="00964C00">
        <w:rPr>
          <w:rFonts w:ascii="Times New Roman" w:hAnsi="Times New Roman"/>
          <w:b/>
        </w:rPr>
        <w:t xml:space="preserve">c) </w:t>
      </w:r>
      <w:r w:rsidRPr="00964C00">
        <w:rPr>
          <w:rFonts w:ascii="Times New Roman" w:hAnsi="Times New Roman"/>
          <w:b/>
        </w:rPr>
        <w:tab/>
        <w:t>Contracting parties</w:t>
      </w:r>
    </w:p>
    <w:p w14:paraId="1BC567B4" w14:textId="77777777" w:rsidR="007703FE" w:rsidRPr="00964C00" w:rsidRDefault="007703FE" w:rsidP="0047140E">
      <w:pPr>
        <w:pStyle w:val="ListParagraph"/>
        <w:numPr>
          <w:ilvl w:val="0"/>
          <w:numId w:val="18"/>
        </w:numPr>
        <w:ind w:left="0" w:firstLine="0"/>
        <w:jc w:val="both"/>
        <w:rPr>
          <w:rFonts w:ascii="Times New Roman" w:hAnsi="Times New Roman"/>
        </w:rPr>
      </w:pPr>
      <w:r w:rsidRPr="00964C00">
        <w:rPr>
          <w:rFonts w:ascii="Times New Roman" w:hAnsi="Times New Roman"/>
        </w:rPr>
        <w:t>All contracting parties to the IPPC are members of the Commission (Rule I, para. 1). Therefor</w:t>
      </w:r>
      <w:r>
        <w:rPr>
          <w:rFonts w:ascii="Times New Roman" w:hAnsi="Times New Roman"/>
        </w:rPr>
        <w:t xml:space="preserve">e, paragraph 5 of Rule VII concerns the granting of observer status to contracting </w:t>
      </w:r>
      <w:proofErr w:type="gramStart"/>
      <w:r>
        <w:rPr>
          <w:rFonts w:ascii="Times New Roman" w:hAnsi="Times New Roman"/>
        </w:rPr>
        <w:t>parties which</w:t>
      </w:r>
      <w:proofErr w:type="gramEnd"/>
      <w:r>
        <w:rPr>
          <w:rFonts w:ascii="Times New Roman" w:hAnsi="Times New Roman"/>
        </w:rPr>
        <w:t xml:space="preserve"> are not members of CPM subsidiary bodies (either because membership is limited to selected members of the Commission or because the subsidiary body is composed of individuals appointed in their respective capacity)</w:t>
      </w:r>
      <w:r w:rsidRPr="00964C00">
        <w:rPr>
          <w:rFonts w:ascii="Times New Roman" w:hAnsi="Times New Roman"/>
        </w:rPr>
        <w:t xml:space="preserve">.  </w:t>
      </w:r>
      <w:r>
        <w:rPr>
          <w:rFonts w:ascii="Times New Roman" w:hAnsi="Times New Roman"/>
        </w:rPr>
        <w:t xml:space="preserve">Under this provision, </w:t>
      </w:r>
      <w:r w:rsidRPr="00964C00">
        <w:rPr>
          <w:rFonts w:ascii="Times New Roman" w:hAnsi="Times New Roman"/>
        </w:rPr>
        <w:t xml:space="preserve">contracting parties may attend subsidiary body meetings as observers, upon request to the Secretary of the IPPC. </w:t>
      </w:r>
    </w:p>
    <w:p w14:paraId="7F281324" w14:textId="77777777" w:rsidR="007703FE" w:rsidRPr="00964C00" w:rsidRDefault="007703FE" w:rsidP="0047140E">
      <w:pPr>
        <w:pStyle w:val="ListParagraph"/>
        <w:ind w:left="709"/>
        <w:jc w:val="both"/>
        <w:rPr>
          <w:rFonts w:ascii="Times New Roman" w:hAnsi="Times New Roman"/>
        </w:rPr>
      </w:pPr>
    </w:p>
    <w:p w14:paraId="3F735978" w14:textId="77777777" w:rsidR="007703FE" w:rsidRPr="00964C00" w:rsidRDefault="007703FE" w:rsidP="0047140E">
      <w:pPr>
        <w:pStyle w:val="ListParagraph"/>
        <w:numPr>
          <w:ilvl w:val="0"/>
          <w:numId w:val="18"/>
        </w:numPr>
        <w:ind w:left="0" w:firstLine="0"/>
        <w:jc w:val="both"/>
        <w:rPr>
          <w:rFonts w:ascii="Times New Roman" w:hAnsi="Times New Roman"/>
        </w:rPr>
      </w:pPr>
      <w:r w:rsidRPr="00964C00">
        <w:rPr>
          <w:rFonts w:ascii="Times New Roman" w:hAnsi="Times New Roman"/>
        </w:rPr>
        <w:lastRenderedPageBreak/>
        <w:t xml:space="preserve">Paragraph 5 is silent regarding what these observers may be permitted to do as such. Therefore, general rules concerning observer status </w:t>
      </w:r>
      <w:r>
        <w:rPr>
          <w:rFonts w:ascii="Times New Roman" w:hAnsi="Times New Roman"/>
        </w:rPr>
        <w:t xml:space="preserve">of countries </w:t>
      </w:r>
      <w:r w:rsidRPr="00964C00">
        <w:rPr>
          <w:rFonts w:ascii="Times New Roman" w:hAnsi="Times New Roman"/>
        </w:rPr>
        <w:t xml:space="preserve">apply. </w:t>
      </w:r>
    </w:p>
    <w:p w14:paraId="473C2124" w14:textId="77777777" w:rsidR="007703FE" w:rsidRPr="00964C00" w:rsidRDefault="007703FE" w:rsidP="0047140E">
      <w:pPr>
        <w:jc w:val="both"/>
        <w:rPr>
          <w:rFonts w:ascii="Times New Roman" w:hAnsi="Times New Roman"/>
          <w:b/>
        </w:rPr>
      </w:pPr>
      <w:r w:rsidRPr="00964C00">
        <w:rPr>
          <w:rFonts w:ascii="Times New Roman" w:hAnsi="Times New Roman"/>
          <w:b/>
          <w:lang w:val="en-GB"/>
        </w:rPr>
        <w:t>2.</w:t>
      </w:r>
      <w:r w:rsidRPr="00964C00">
        <w:rPr>
          <w:rFonts w:ascii="Times New Roman" w:hAnsi="Times New Roman"/>
          <w:b/>
          <w:lang w:val="en-GB"/>
        </w:rPr>
        <w:tab/>
        <w:t xml:space="preserve">Granting of observer status to </w:t>
      </w:r>
      <w:r w:rsidRPr="00964C00">
        <w:rPr>
          <w:rFonts w:ascii="Times New Roman" w:hAnsi="Times New Roman"/>
          <w:b/>
        </w:rPr>
        <w:t>Regional Plant Protection Organizations</w:t>
      </w:r>
    </w:p>
    <w:p w14:paraId="68D04608" w14:textId="77777777" w:rsidR="007703FE" w:rsidRPr="00964C00" w:rsidRDefault="007703FE" w:rsidP="0047140E">
      <w:pPr>
        <w:pStyle w:val="ListParagraph"/>
        <w:numPr>
          <w:ilvl w:val="0"/>
          <w:numId w:val="18"/>
        </w:numPr>
        <w:ind w:left="0" w:firstLine="0"/>
        <w:jc w:val="both"/>
        <w:rPr>
          <w:rFonts w:ascii="Times New Roman" w:hAnsi="Times New Roman"/>
          <w:b/>
        </w:rPr>
      </w:pPr>
      <w:r w:rsidRPr="00964C00">
        <w:rPr>
          <w:rFonts w:ascii="Times New Roman" w:hAnsi="Times New Roman"/>
        </w:rPr>
        <w:t xml:space="preserve">Representatives of Regional Plant Protection Organizations (RPPOs) shall be invited to attend all sessions of the Commission and its subsidiary bodies as observers. General rules concerning observer status apply. Thus, they may submit memoranda and participate in discussions without a vote (Rule VII, paragraph 2). </w:t>
      </w:r>
    </w:p>
    <w:p w14:paraId="191B8696" w14:textId="77777777" w:rsidR="007703FE" w:rsidRPr="00964C00" w:rsidRDefault="007703FE" w:rsidP="0047140E">
      <w:pPr>
        <w:jc w:val="both"/>
        <w:rPr>
          <w:rFonts w:ascii="Times New Roman" w:hAnsi="Times New Roman"/>
          <w:b/>
          <w:lang w:val="en-GB"/>
        </w:rPr>
      </w:pPr>
      <w:r w:rsidRPr="00964C00">
        <w:rPr>
          <w:rFonts w:ascii="Times New Roman" w:hAnsi="Times New Roman"/>
          <w:b/>
          <w:lang w:val="en-GB"/>
        </w:rPr>
        <w:t>3.</w:t>
      </w:r>
      <w:r w:rsidRPr="00964C00">
        <w:rPr>
          <w:rFonts w:ascii="Times New Roman" w:hAnsi="Times New Roman"/>
          <w:b/>
          <w:lang w:val="en-GB"/>
        </w:rPr>
        <w:tab/>
        <w:t xml:space="preserve">Granting of observer status to </w:t>
      </w:r>
      <w:r w:rsidRPr="00964C00">
        <w:rPr>
          <w:rFonts w:ascii="Times New Roman" w:hAnsi="Times New Roman"/>
          <w:b/>
        </w:rPr>
        <w:t>international organizations</w:t>
      </w:r>
    </w:p>
    <w:p w14:paraId="5006EEA0" w14:textId="77777777" w:rsidR="007703FE" w:rsidRPr="0042044D" w:rsidRDefault="007703FE" w:rsidP="0047140E">
      <w:pPr>
        <w:pStyle w:val="ListParagraph"/>
        <w:numPr>
          <w:ilvl w:val="0"/>
          <w:numId w:val="18"/>
        </w:numPr>
        <w:ind w:left="0" w:firstLine="0"/>
        <w:jc w:val="both"/>
        <w:rPr>
          <w:rFonts w:ascii="Times New Roman" w:hAnsi="Times New Roman"/>
          <w:i/>
          <w:lang w:val="en-GB"/>
        </w:rPr>
      </w:pPr>
      <w:r w:rsidRPr="00964C00">
        <w:rPr>
          <w:rFonts w:ascii="Times New Roman" w:hAnsi="Times New Roman"/>
          <w:lang w:val="en-GB"/>
        </w:rPr>
        <w:t>International organizations, whether intergovernmental or non-governmental, may be invited to attend sessions of the Commission in an observer capacity (paragraphs 3 and 4 of Rule VII). These provisions are silent regarding international organizations’ attendance as observers to subsidiary body meetings.</w:t>
      </w:r>
      <w:r w:rsidRPr="00964C00">
        <w:rPr>
          <w:rFonts w:ascii="Times New Roman" w:hAnsi="Times New Roman"/>
          <w:color w:val="FF0000"/>
          <w:lang w:val="en-GB"/>
        </w:rPr>
        <w:t xml:space="preserve"> </w:t>
      </w:r>
      <w:r w:rsidRPr="0042044D">
        <w:rPr>
          <w:rFonts w:ascii="Times New Roman" w:hAnsi="Times New Roman"/>
          <w:lang w:val="en-GB"/>
        </w:rPr>
        <w:t>Since all the other paragraphs clearly refer to subsidiary bodies when attendance is permitted (by countries and RPPOs), these provisions are interpreted as not allowing international organizations to attend subsidiary body meetings as observers.</w:t>
      </w:r>
      <w:r>
        <w:rPr>
          <w:rFonts w:ascii="Times New Roman" w:hAnsi="Times New Roman"/>
          <w:lang w:val="en-GB"/>
        </w:rPr>
        <w:t xml:space="preserve"> </w:t>
      </w:r>
    </w:p>
    <w:p w14:paraId="34FD4A90" w14:textId="77777777" w:rsidR="007703FE" w:rsidRPr="00964C00" w:rsidRDefault="007703FE" w:rsidP="0047140E">
      <w:pPr>
        <w:pStyle w:val="ListParagraph"/>
        <w:ind w:left="709"/>
        <w:jc w:val="both"/>
        <w:rPr>
          <w:rFonts w:ascii="Times New Roman" w:hAnsi="Times New Roman"/>
          <w:lang w:val="en-GB"/>
        </w:rPr>
      </w:pPr>
    </w:p>
    <w:p w14:paraId="7422595D" w14:textId="77777777" w:rsidR="007703FE" w:rsidRPr="00964C00" w:rsidRDefault="007703FE" w:rsidP="0047140E">
      <w:pPr>
        <w:pStyle w:val="ListParagraph"/>
        <w:numPr>
          <w:ilvl w:val="0"/>
          <w:numId w:val="18"/>
        </w:numPr>
        <w:ind w:left="0" w:firstLine="0"/>
        <w:jc w:val="both"/>
        <w:rPr>
          <w:rFonts w:ascii="Times New Roman" w:hAnsi="Times New Roman"/>
          <w:lang w:val="en-GB"/>
        </w:rPr>
      </w:pPr>
      <w:r w:rsidRPr="00964C00">
        <w:rPr>
          <w:rFonts w:ascii="Times New Roman" w:hAnsi="Times New Roman"/>
          <w:lang w:val="en-GB"/>
        </w:rPr>
        <w:t xml:space="preserve">Their participation </w:t>
      </w:r>
      <w:r w:rsidRPr="00964C00">
        <w:rPr>
          <w:rFonts w:ascii="Times New Roman" w:hAnsi="Times New Roman"/>
        </w:rPr>
        <w:t xml:space="preserve">and their relations with the Commission are governed by the relevant provisions of the Constitution (Article III, paragraph 5) and </w:t>
      </w:r>
      <w:r>
        <w:rPr>
          <w:rFonts w:ascii="Times New Roman" w:hAnsi="Times New Roman"/>
        </w:rPr>
        <w:t>of the</w:t>
      </w:r>
      <w:r w:rsidRPr="00964C00">
        <w:rPr>
          <w:rFonts w:ascii="Times New Roman" w:hAnsi="Times New Roman"/>
        </w:rPr>
        <w:t xml:space="preserve"> Basic Texts of the Organization (“</w:t>
      </w:r>
      <w:r w:rsidRPr="00964C00">
        <w:rPr>
          <w:rFonts w:ascii="Times New Roman" w:hAnsi="Times New Roman"/>
          <w:i/>
          <w:lang w:val="en-GB"/>
        </w:rPr>
        <w:t>Guiding Lines regarding Relationship between FAO and Intergovernmental Organizations</w:t>
      </w:r>
      <w:r w:rsidRPr="00964C00">
        <w:rPr>
          <w:rFonts w:ascii="Times New Roman" w:hAnsi="Times New Roman"/>
          <w:lang w:val="en-GB"/>
        </w:rPr>
        <w:t>”</w:t>
      </w:r>
      <w:r w:rsidRPr="00964C00">
        <w:rPr>
          <w:rFonts w:ascii="Times New Roman" w:hAnsi="Times New Roman"/>
        </w:rPr>
        <w:t>, Part K of Volume II; “</w:t>
      </w:r>
      <w:r w:rsidRPr="00964C00">
        <w:rPr>
          <w:rFonts w:ascii="Times New Roman" w:hAnsi="Times New Roman"/>
          <w:i/>
          <w:lang w:val="en-GB"/>
        </w:rPr>
        <w:t>Granting of Observer Status in respect of International Governmental and Non-Governmental Organizations</w:t>
      </w:r>
      <w:r w:rsidRPr="00964C00">
        <w:rPr>
          <w:rFonts w:ascii="Times New Roman" w:hAnsi="Times New Roman"/>
          <w:lang w:val="en-GB"/>
        </w:rPr>
        <w:t>” Part N of Volume II; and “</w:t>
      </w:r>
      <w:r w:rsidRPr="00964C00">
        <w:rPr>
          <w:rFonts w:ascii="Times New Roman" w:hAnsi="Times New Roman"/>
          <w:i/>
        </w:rPr>
        <w:t>FAO Policy Concerning Relations with International Non-Governmental Organizations</w:t>
      </w:r>
      <w:r w:rsidRPr="00964C00">
        <w:rPr>
          <w:rFonts w:ascii="Times New Roman" w:hAnsi="Times New Roman"/>
        </w:rPr>
        <w:t xml:space="preserve">”, </w:t>
      </w:r>
      <w:r w:rsidRPr="00964C00">
        <w:rPr>
          <w:rFonts w:ascii="Times New Roman" w:hAnsi="Times New Roman"/>
          <w:lang w:val="en-GB"/>
        </w:rPr>
        <w:t>Part M of Volume II</w:t>
      </w:r>
      <w:r w:rsidRPr="00964C00">
        <w:rPr>
          <w:rFonts w:ascii="Times New Roman" w:hAnsi="Times New Roman"/>
        </w:rPr>
        <w:t xml:space="preserve">), as appropriate. </w:t>
      </w:r>
    </w:p>
    <w:p w14:paraId="64CB49EE" w14:textId="77777777" w:rsidR="007703FE" w:rsidRPr="00964C00" w:rsidRDefault="007703FE" w:rsidP="0047140E">
      <w:pPr>
        <w:pStyle w:val="ListParagraph"/>
        <w:ind w:left="709"/>
        <w:jc w:val="both"/>
        <w:rPr>
          <w:rFonts w:ascii="Times New Roman" w:hAnsi="Times New Roman"/>
          <w:lang w:val="en-GB"/>
        </w:rPr>
      </w:pPr>
    </w:p>
    <w:p w14:paraId="65E0271F" w14:textId="77777777" w:rsidR="007703FE" w:rsidRPr="00964C00" w:rsidRDefault="007703FE" w:rsidP="0047140E">
      <w:pPr>
        <w:pStyle w:val="ListParagraph"/>
        <w:numPr>
          <w:ilvl w:val="0"/>
          <w:numId w:val="18"/>
        </w:numPr>
        <w:ind w:left="0" w:firstLine="0"/>
        <w:jc w:val="both"/>
        <w:rPr>
          <w:rFonts w:ascii="Times New Roman" w:hAnsi="Times New Roman"/>
          <w:lang w:val="en-GB"/>
        </w:rPr>
      </w:pPr>
      <w:r>
        <w:rPr>
          <w:rFonts w:ascii="Times New Roman" w:hAnsi="Times New Roman"/>
        </w:rPr>
        <w:t>A</w:t>
      </w:r>
      <w:r w:rsidRPr="00964C00">
        <w:rPr>
          <w:rFonts w:ascii="Times New Roman" w:hAnsi="Times New Roman"/>
        </w:rPr>
        <w:t xml:space="preserve">s provided for by paragraphs 3 and 4 of Rule VII, </w:t>
      </w:r>
      <w:proofErr w:type="gramStart"/>
      <w:r w:rsidRPr="00964C00">
        <w:rPr>
          <w:rFonts w:ascii="Times New Roman" w:hAnsi="Times New Roman"/>
        </w:rPr>
        <w:t>such relations shall be dealt with by the Director-General, taking into account guidance given by the Commission</w:t>
      </w:r>
      <w:proofErr w:type="gramEnd"/>
      <w:r w:rsidRPr="00964C00">
        <w:rPr>
          <w:rFonts w:ascii="Times New Roman" w:hAnsi="Times New Roman"/>
        </w:rPr>
        <w:t>.</w:t>
      </w:r>
    </w:p>
    <w:p w14:paraId="6349AD2C" w14:textId="77777777" w:rsidR="007703FE" w:rsidRPr="00964C00" w:rsidRDefault="007703FE" w:rsidP="0047140E">
      <w:pPr>
        <w:jc w:val="both"/>
        <w:rPr>
          <w:rFonts w:ascii="Times New Roman" w:hAnsi="Times New Roman"/>
          <w:b/>
        </w:rPr>
      </w:pPr>
      <w:r w:rsidRPr="00964C00">
        <w:rPr>
          <w:rFonts w:ascii="Times New Roman" w:hAnsi="Times New Roman"/>
          <w:b/>
          <w:lang w:val="en-GB"/>
        </w:rPr>
        <w:t xml:space="preserve">a) </w:t>
      </w:r>
      <w:r w:rsidRPr="00964C00">
        <w:rPr>
          <w:rFonts w:ascii="Times New Roman" w:hAnsi="Times New Roman"/>
          <w:b/>
          <w:lang w:val="en-GB"/>
        </w:rPr>
        <w:tab/>
        <w:t>International intergovernmental</w:t>
      </w:r>
      <w:r w:rsidRPr="00964C00">
        <w:rPr>
          <w:rFonts w:ascii="Times New Roman" w:hAnsi="Times New Roman"/>
          <w:b/>
        </w:rPr>
        <w:t xml:space="preserve"> </w:t>
      </w:r>
      <w:r w:rsidRPr="00964C00">
        <w:rPr>
          <w:rFonts w:ascii="Times New Roman" w:hAnsi="Times New Roman"/>
          <w:b/>
          <w:lang w:val="en-GB"/>
        </w:rPr>
        <w:t xml:space="preserve">organizations (IGOs) </w:t>
      </w:r>
    </w:p>
    <w:p w14:paraId="1C8553D1" w14:textId="77777777" w:rsidR="007703FE" w:rsidRPr="00964C00" w:rsidRDefault="007703FE" w:rsidP="0047140E">
      <w:pPr>
        <w:pStyle w:val="ListParagraph"/>
        <w:numPr>
          <w:ilvl w:val="0"/>
          <w:numId w:val="18"/>
        </w:numPr>
        <w:tabs>
          <w:tab w:val="num" w:pos="720"/>
        </w:tabs>
        <w:ind w:left="0" w:firstLine="0"/>
        <w:jc w:val="both"/>
        <w:rPr>
          <w:rFonts w:ascii="Times New Roman" w:hAnsi="Times New Roman"/>
          <w:lang w:val="en-GB"/>
        </w:rPr>
      </w:pPr>
      <w:r w:rsidRPr="00964C00">
        <w:rPr>
          <w:rFonts w:ascii="Times New Roman" w:hAnsi="Times New Roman"/>
          <w:lang w:val="en-GB"/>
        </w:rPr>
        <w:t xml:space="preserve">The </w:t>
      </w:r>
      <w:proofErr w:type="gramStart"/>
      <w:r w:rsidRPr="00964C00">
        <w:rPr>
          <w:rFonts w:ascii="Times New Roman" w:hAnsi="Times New Roman"/>
          <w:lang w:val="en-GB"/>
        </w:rPr>
        <w:t>criteria for recognizing the intergovernmental character of an organization is</w:t>
      </w:r>
      <w:proofErr w:type="gramEnd"/>
      <w:r w:rsidRPr="00964C00">
        <w:rPr>
          <w:rFonts w:ascii="Times New Roman" w:hAnsi="Times New Roman"/>
          <w:lang w:val="en-GB"/>
        </w:rPr>
        <w:t xml:space="preserve"> established in the Guiding Lines regarding Relationship between FAO and Intergovernmental Organizations (see </w:t>
      </w:r>
      <w:r w:rsidRPr="00964C00">
        <w:rPr>
          <w:rFonts w:ascii="Times New Roman" w:hAnsi="Times New Roman"/>
        </w:rPr>
        <w:t>Part K of Volume II of the Basic Texts)</w:t>
      </w:r>
      <w:r w:rsidRPr="00964C00">
        <w:rPr>
          <w:rFonts w:ascii="Times New Roman" w:hAnsi="Times New Roman"/>
          <w:lang w:val="en-GB"/>
        </w:rPr>
        <w:t>. The organization should have been set up by an intergovernmental convention (a convention to which the parties are States); the governing body of the organization should be composed of members designated by governments; and the income of the organization should be made up mainly, if not exclusively, of contributions from governments.</w:t>
      </w:r>
    </w:p>
    <w:p w14:paraId="41ED42CE" w14:textId="77777777" w:rsidR="007703FE" w:rsidRPr="00964C00" w:rsidRDefault="007703FE" w:rsidP="0047140E">
      <w:pPr>
        <w:pStyle w:val="ListParagraph"/>
        <w:ind w:left="709"/>
        <w:jc w:val="both"/>
        <w:rPr>
          <w:rFonts w:ascii="Times New Roman" w:hAnsi="Times New Roman"/>
          <w:lang w:val="en-GB"/>
        </w:rPr>
      </w:pPr>
    </w:p>
    <w:p w14:paraId="4628B66C" w14:textId="77777777" w:rsidR="007703FE" w:rsidRPr="00964C00" w:rsidRDefault="007703FE" w:rsidP="0047140E">
      <w:pPr>
        <w:pStyle w:val="ListParagraph"/>
        <w:numPr>
          <w:ilvl w:val="0"/>
          <w:numId w:val="18"/>
        </w:numPr>
        <w:tabs>
          <w:tab w:val="num" w:pos="720"/>
        </w:tabs>
        <w:ind w:left="0" w:firstLine="0"/>
        <w:jc w:val="both"/>
        <w:rPr>
          <w:rFonts w:ascii="Times New Roman" w:hAnsi="Times New Roman"/>
          <w:lang w:val="en-GB"/>
        </w:rPr>
      </w:pPr>
      <w:r w:rsidRPr="00964C00">
        <w:rPr>
          <w:rFonts w:ascii="Times New Roman" w:hAnsi="Times New Roman"/>
          <w:lang w:val="en-GB"/>
        </w:rPr>
        <w:t xml:space="preserve">Under the current rules, the status of observers of IGOs depends on whether they have established formal relations with FAO or not. </w:t>
      </w:r>
    </w:p>
    <w:p w14:paraId="22EB220E" w14:textId="77777777" w:rsidR="007703FE" w:rsidRPr="00964C00" w:rsidRDefault="007703FE" w:rsidP="0047140E">
      <w:pPr>
        <w:pStyle w:val="ListParagraph"/>
        <w:ind w:left="709"/>
        <w:jc w:val="both"/>
        <w:rPr>
          <w:rFonts w:ascii="Times New Roman" w:hAnsi="Times New Roman"/>
          <w:lang w:val="en-GB"/>
        </w:rPr>
      </w:pPr>
    </w:p>
    <w:p w14:paraId="31863E3D" w14:textId="77777777" w:rsidR="007703FE" w:rsidRPr="00964C00" w:rsidRDefault="007703FE" w:rsidP="0047140E">
      <w:pPr>
        <w:pStyle w:val="ListParagraph"/>
        <w:numPr>
          <w:ilvl w:val="0"/>
          <w:numId w:val="18"/>
        </w:numPr>
        <w:tabs>
          <w:tab w:val="num" w:pos="720"/>
        </w:tabs>
        <w:ind w:left="0" w:firstLine="0"/>
        <w:jc w:val="both"/>
        <w:rPr>
          <w:rFonts w:ascii="Times New Roman" w:hAnsi="Times New Roman"/>
          <w:lang w:val="en-GB"/>
        </w:rPr>
      </w:pPr>
      <w:r w:rsidRPr="00964C00">
        <w:rPr>
          <w:rFonts w:ascii="Times New Roman" w:hAnsi="Times New Roman"/>
          <w:lang w:val="en-GB"/>
        </w:rPr>
        <w:t xml:space="preserve">For IGOs that have established formal relations with FAO, paragraph 2 of Rule XVII of the GRO applies. Thus, their representatives, accompanied by advisers and assistants, may speak at the sessions of the CPM, and upon the request of the Chairperson, participate in the discussions. They may </w:t>
      </w:r>
      <w:r w:rsidRPr="00964C00">
        <w:rPr>
          <w:rFonts w:ascii="Times New Roman" w:hAnsi="Times New Roman"/>
          <w:lang w:val="en-GB"/>
        </w:rPr>
        <w:lastRenderedPageBreak/>
        <w:t xml:space="preserve">also circulate, without abridgement, the views of the </w:t>
      </w:r>
      <w:proofErr w:type="gramStart"/>
      <w:r w:rsidRPr="00964C00">
        <w:rPr>
          <w:rFonts w:ascii="Times New Roman" w:hAnsi="Times New Roman"/>
          <w:lang w:val="en-GB"/>
        </w:rPr>
        <w:t>organizations which</w:t>
      </w:r>
      <w:proofErr w:type="gramEnd"/>
      <w:r w:rsidRPr="00964C00">
        <w:rPr>
          <w:rFonts w:ascii="Times New Roman" w:hAnsi="Times New Roman"/>
          <w:lang w:val="en-GB"/>
        </w:rPr>
        <w:t xml:space="preserve"> they represent. As any other observer, they do not vote. </w:t>
      </w:r>
    </w:p>
    <w:p w14:paraId="060E8B1F" w14:textId="77777777" w:rsidR="007703FE" w:rsidRPr="00964C00" w:rsidRDefault="007703FE" w:rsidP="0047140E">
      <w:pPr>
        <w:pStyle w:val="ListParagraph"/>
        <w:ind w:left="709"/>
        <w:jc w:val="both"/>
        <w:rPr>
          <w:rFonts w:ascii="Times New Roman" w:hAnsi="Times New Roman"/>
          <w:lang w:val="en-GB"/>
        </w:rPr>
      </w:pPr>
    </w:p>
    <w:p w14:paraId="76FBD962" w14:textId="77777777" w:rsidR="007703FE" w:rsidRPr="00964C00" w:rsidRDefault="007703FE" w:rsidP="0047140E">
      <w:pPr>
        <w:pStyle w:val="ListParagraph"/>
        <w:numPr>
          <w:ilvl w:val="0"/>
          <w:numId w:val="18"/>
        </w:numPr>
        <w:tabs>
          <w:tab w:val="num" w:pos="720"/>
        </w:tabs>
        <w:ind w:left="0" w:firstLine="0"/>
        <w:jc w:val="both"/>
        <w:rPr>
          <w:rFonts w:ascii="Times New Roman" w:hAnsi="Times New Roman"/>
          <w:lang w:val="en-GB"/>
        </w:rPr>
      </w:pPr>
      <w:r w:rsidRPr="00964C00">
        <w:rPr>
          <w:rFonts w:ascii="Times New Roman" w:hAnsi="Times New Roman"/>
          <w:lang w:val="en-GB"/>
        </w:rPr>
        <w:t>For IGOs that have not established formal relations with FAO, “</w:t>
      </w:r>
      <w:r w:rsidRPr="00964C00">
        <w:rPr>
          <w:rFonts w:ascii="Times New Roman" w:hAnsi="Times New Roman"/>
          <w:i/>
          <w:lang w:val="en-GB"/>
        </w:rPr>
        <w:t>they may be invited to send observers (...) if, in the judgement of the Director-General, there are concrete reasons for inviting them which would forward the work of the [Commission]</w:t>
      </w:r>
      <w:r w:rsidRPr="00964C00">
        <w:rPr>
          <w:rFonts w:ascii="Times New Roman" w:hAnsi="Times New Roman"/>
          <w:lang w:val="en-GB"/>
        </w:rPr>
        <w:t>” (</w:t>
      </w:r>
      <w:r w:rsidRPr="00964C00">
        <w:rPr>
          <w:rFonts w:ascii="Times New Roman" w:hAnsi="Times New Roman"/>
        </w:rPr>
        <w:t>“</w:t>
      </w:r>
      <w:r w:rsidRPr="00964C00">
        <w:rPr>
          <w:rFonts w:ascii="Times New Roman" w:hAnsi="Times New Roman"/>
          <w:i/>
          <w:lang w:val="en-GB"/>
        </w:rPr>
        <w:t>Granting of Observer Status in respect of International Governmental and Non-Governmental Organizations</w:t>
      </w:r>
      <w:r w:rsidRPr="00964C00">
        <w:rPr>
          <w:rFonts w:ascii="Times New Roman" w:hAnsi="Times New Roman"/>
          <w:lang w:val="en-GB"/>
        </w:rPr>
        <w:t>” Part N of Volume II). If invited, they participate in the same manner as indicated above for IGOs that have established formal relations with FAO.</w:t>
      </w:r>
    </w:p>
    <w:p w14:paraId="36CF7C7D" w14:textId="77777777" w:rsidR="00944347" w:rsidRPr="00964C00" w:rsidRDefault="00944347" w:rsidP="0047140E">
      <w:pPr>
        <w:jc w:val="both"/>
        <w:rPr>
          <w:rFonts w:ascii="Times New Roman" w:hAnsi="Times New Roman"/>
          <w:b/>
        </w:rPr>
      </w:pPr>
      <w:r w:rsidRPr="00964C00">
        <w:rPr>
          <w:rFonts w:ascii="Times New Roman" w:hAnsi="Times New Roman"/>
          <w:b/>
          <w:lang w:val="en-GB"/>
        </w:rPr>
        <w:t xml:space="preserve">b) </w:t>
      </w:r>
      <w:r w:rsidRPr="00964C00">
        <w:rPr>
          <w:rFonts w:ascii="Times New Roman" w:hAnsi="Times New Roman"/>
          <w:b/>
          <w:lang w:val="en-GB"/>
        </w:rPr>
        <w:tab/>
        <w:t>International non-governmental</w:t>
      </w:r>
      <w:r w:rsidRPr="00964C00">
        <w:rPr>
          <w:rFonts w:ascii="Times New Roman" w:hAnsi="Times New Roman"/>
          <w:b/>
        </w:rPr>
        <w:t xml:space="preserve"> </w:t>
      </w:r>
      <w:r w:rsidRPr="00964C00">
        <w:rPr>
          <w:rFonts w:ascii="Times New Roman" w:hAnsi="Times New Roman"/>
          <w:b/>
          <w:lang w:val="en-GB"/>
        </w:rPr>
        <w:t>organizations (INGOs)</w:t>
      </w:r>
    </w:p>
    <w:p w14:paraId="50E792DD" w14:textId="77777777" w:rsidR="00944347" w:rsidRPr="00964C00" w:rsidRDefault="00944347" w:rsidP="0047140E">
      <w:pPr>
        <w:pStyle w:val="ListParagraph"/>
        <w:numPr>
          <w:ilvl w:val="0"/>
          <w:numId w:val="18"/>
        </w:numPr>
        <w:ind w:left="0" w:firstLine="0"/>
        <w:jc w:val="both"/>
        <w:rPr>
          <w:rFonts w:ascii="Times New Roman" w:hAnsi="Times New Roman"/>
          <w:lang w:val="en-GB"/>
        </w:rPr>
      </w:pPr>
      <w:r w:rsidRPr="00964C00">
        <w:rPr>
          <w:rFonts w:ascii="Times New Roman" w:hAnsi="Times New Roman"/>
          <w:lang w:val="en-GB"/>
        </w:rPr>
        <w:t xml:space="preserve">The criteria for recognizing the non-governmental character of an organization is established in paragraphs 6 to 8 of </w:t>
      </w:r>
      <w:r w:rsidRPr="00964C00">
        <w:rPr>
          <w:rFonts w:ascii="Times New Roman" w:eastAsia="Times New Roman" w:hAnsi="Times New Roman"/>
          <w:lang w:val="en-GB"/>
        </w:rPr>
        <w:t xml:space="preserve">the </w:t>
      </w:r>
      <w:r w:rsidRPr="00964C00">
        <w:rPr>
          <w:rFonts w:ascii="Times New Roman" w:hAnsi="Times New Roman"/>
          <w:lang w:val="en-GB"/>
        </w:rPr>
        <w:t>“</w:t>
      </w:r>
      <w:r w:rsidRPr="00964C00">
        <w:rPr>
          <w:rFonts w:ascii="Times New Roman" w:hAnsi="Times New Roman"/>
          <w:i/>
        </w:rPr>
        <w:t>FAO Policy Concerning Relations with International Non-Governmental Organizations</w:t>
      </w:r>
      <w:r w:rsidRPr="00964C00">
        <w:rPr>
          <w:rFonts w:ascii="Times New Roman" w:hAnsi="Times New Roman"/>
        </w:rPr>
        <w:t>” (</w:t>
      </w:r>
      <w:r w:rsidRPr="00964C00">
        <w:rPr>
          <w:rFonts w:ascii="Times New Roman" w:hAnsi="Times New Roman"/>
          <w:lang w:val="en-GB"/>
        </w:rPr>
        <w:t>Part M of Volume II of the Basic Texts)</w:t>
      </w:r>
      <w:r w:rsidRPr="00964C00">
        <w:rPr>
          <w:rFonts w:ascii="Times New Roman" w:hAnsi="Times New Roman"/>
        </w:rPr>
        <w:t xml:space="preserve">. The minimum common requirements are the following: </w:t>
      </w:r>
    </w:p>
    <w:p w14:paraId="5EF9FEC0" w14:textId="77777777" w:rsidR="00944347" w:rsidRPr="00964C00" w:rsidRDefault="00944347" w:rsidP="0047140E">
      <w:pPr>
        <w:pStyle w:val="ListParagraph"/>
        <w:ind w:left="709"/>
        <w:jc w:val="both"/>
        <w:rPr>
          <w:rFonts w:ascii="Times New Roman" w:hAnsi="Times New Roman"/>
          <w:lang w:val="en-GB"/>
        </w:rPr>
      </w:pPr>
    </w:p>
    <w:p w14:paraId="37AEFD1E" w14:textId="77777777" w:rsidR="00944347" w:rsidRPr="00964C00" w:rsidRDefault="00944347" w:rsidP="0047140E">
      <w:pPr>
        <w:pStyle w:val="ListParagraph"/>
        <w:ind w:left="709"/>
        <w:jc w:val="both"/>
        <w:rPr>
          <w:rFonts w:ascii="Times New Roman" w:hAnsi="Times New Roman"/>
          <w:lang w:val="en-GB"/>
        </w:rPr>
      </w:pPr>
      <w:r w:rsidRPr="00964C00">
        <w:rPr>
          <w:rFonts w:ascii="Times New Roman" w:hAnsi="Times New Roman"/>
        </w:rPr>
        <w:t xml:space="preserve">(a) </w:t>
      </w:r>
      <w:proofErr w:type="gramStart"/>
      <w:r w:rsidRPr="00964C00">
        <w:rPr>
          <w:rFonts w:ascii="Times New Roman" w:hAnsi="Times New Roman"/>
        </w:rPr>
        <w:t>they</w:t>
      </w:r>
      <w:proofErr w:type="gramEnd"/>
      <w:r w:rsidRPr="00964C00">
        <w:rPr>
          <w:rFonts w:ascii="Times New Roman" w:hAnsi="Times New Roman"/>
        </w:rPr>
        <w:t xml:space="preserve"> shall </w:t>
      </w:r>
      <w:r w:rsidRPr="00964C00">
        <w:rPr>
          <w:rFonts w:ascii="Times New Roman" w:hAnsi="Times New Roman"/>
          <w:lang w:val="en-GB"/>
        </w:rPr>
        <w:t xml:space="preserve">be international in its structure and scope of activity and representative of the field of interest in which they operate; </w:t>
      </w:r>
    </w:p>
    <w:p w14:paraId="4F313AEB" w14:textId="77777777" w:rsidR="00944347" w:rsidRPr="00964C00" w:rsidRDefault="00944347" w:rsidP="0047140E">
      <w:pPr>
        <w:pStyle w:val="ListParagraph"/>
        <w:ind w:left="709"/>
        <w:jc w:val="both"/>
        <w:rPr>
          <w:rFonts w:ascii="Times New Roman" w:hAnsi="Times New Roman"/>
          <w:lang w:val="en-GB"/>
        </w:rPr>
      </w:pPr>
    </w:p>
    <w:p w14:paraId="2EAE2D1A" w14:textId="77777777" w:rsidR="00944347" w:rsidRPr="00964C00" w:rsidRDefault="00944347" w:rsidP="0047140E">
      <w:pPr>
        <w:pStyle w:val="ListParagraph"/>
        <w:ind w:left="709"/>
        <w:jc w:val="both"/>
        <w:rPr>
          <w:rFonts w:ascii="Times New Roman" w:hAnsi="Times New Roman"/>
          <w:lang w:val="en-GB"/>
        </w:rPr>
      </w:pPr>
      <w:r w:rsidRPr="00964C00">
        <w:rPr>
          <w:rFonts w:ascii="Times New Roman" w:hAnsi="Times New Roman"/>
          <w:lang w:val="en-GB"/>
        </w:rPr>
        <w:t xml:space="preserve">(b) </w:t>
      </w:r>
      <w:proofErr w:type="gramStart"/>
      <w:r w:rsidRPr="00964C00">
        <w:rPr>
          <w:rFonts w:ascii="Times New Roman" w:hAnsi="Times New Roman"/>
          <w:lang w:val="en-GB"/>
        </w:rPr>
        <w:t>they</w:t>
      </w:r>
      <w:proofErr w:type="gramEnd"/>
      <w:r w:rsidRPr="00964C00">
        <w:rPr>
          <w:rFonts w:ascii="Times New Roman" w:hAnsi="Times New Roman"/>
          <w:lang w:val="en-GB"/>
        </w:rPr>
        <w:t xml:space="preserve"> shall be concerned with matters covering a substantial portion of FAO's field of activity; </w:t>
      </w:r>
    </w:p>
    <w:p w14:paraId="6B050F37" w14:textId="77777777" w:rsidR="00944347" w:rsidRPr="00964C00" w:rsidRDefault="00944347" w:rsidP="0047140E">
      <w:pPr>
        <w:pStyle w:val="ListParagraph"/>
        <w:ind w:left="709"/>
        <w:jc w:val="both"/>
        <w:rPr>
          <w:rFonts w:ascii="Times New Roman" w:hAnsi="Times New Roman"/>
          <w:lang w:val="en-GB"/>
        </w:rPr>
      </w:pPr>
    </w:p>
    <w:p w14:paraId="3C25A9D7" w14:textId="77777777" w:rsidR="00944347" w:rsidRPr="00964C00" w:rsidRDefault="00944347" w:rsidP="0047140E">
      <w:pPr>
        <w:pStyle w:val="ListParagraph"/>
        <w:ind w:left="709"/>
        <w:jc w:val="both"/>
        <w:rPr>
          <w:rFonts w:ascii="Times New Roman" w:hAnsi="Times New Roman"/>
          <w:lang w:val="en-GB"/>
        </w:rPr>
      </w:pPr>
      <w:r w:rsidRPr="00964C00">
        <w:rPr>
          <w:rFonts w:ascii="Times New Roman" w:hAnsi="Times New Roman"/>
          <w:lang w:val="en-GB"/>
        </w:rPr>
        <w:t xml:space="preserve">(c) </w:t>
      </w:r>
      <w:proofErr w:type="gramStart"/>
      <w:r w:rsidRPr="00964C00">
        <w:rPr>
          <w:rFonts w:ascii="Times New Roman" w:hAnsi="Times New Roman"/>
          <w:lang w:val="en-GB"/>
        </w:rPr>
        <w:t>they</w:t>
      </w:r>
      <w:proofErr w:type="gramEnd"/>
      <w:r w:rsidRPr="00964C00">
        <w:rPr>
          <w:rFonts w:ascii="Times New Roman" w:hAnsi="Times New Roman"/>
          <w:lang w:val="en-GB"/>
        </w:rPr>
        <w:t xml:space="preserve"> shall have aims and purposes in conformity with the general principles embodied in the Constitution of FAO; and </w:t>
      </w:r>
    </w:p>
    <w:p w14:paraId="0BF17680" w14:textId="77777777" w:rsidR="00944347" w:rsidRPr="00964C00" w:rsidRDefault="00944347" w:rsidP="0047140E">
      <w:pPr>
        <w:pStyle w:val="ListParagraph"/>
        <w:ind w:left="709"/>
        <w:jc w:val="both"/>
        <w:rPr>
          <w:rFonts w:ascii="Times New Roman" w:hAnsi="Times New Roman"/>
          <w:lang w:val="en-GB"/>
        </w:rPr>
      </w:pPr>
    </w:p>
    <w:p w14:paraId="495BB45D" w14:textId="77777777" w:rsidR="00944347" w:rsidRPr="00964C00" w:rsidRDefault="00944347" w:rsidP="0047140E">
      <w:pPr>
        <w:pStyle w:val="ListParagraph"/>
        <w:ind w:left="709"/>
        <w:jc w:val="both"/>
        <w:rPr>
          <w:rFonts w:ascii="Times New Roman" w:hAnsi="Times New Roman"/>
          <w:lang w:val="en-GB"/>
        </w:rPr>
      </w:pPr>
      <w:r w:rsidRPr="00964C00">
        <w:rPr>
          <w:rFonts w:ascii="Times New Roman" w:hAnsi="Times New Roman"/>
          <w:lang w:val="en-GB"/>
        </w:rPr>
        <w:t xml:space="preserve">(d) </w:t>
      </w:r>
      <w:proofErr w:type="gramStart"/>
      <w:r w:rsidRPr="00964C00">
        <w:rPr>
          <w:rFonts w:ascii="Times New Roman" w:hAnsi="Times New Roman"/>
          <w:lang w:val="en-GB"/>
        </w:rPr>
        <w:t>they</w:t>
      </w:r>
      <w:proofErr w:type="gramEnd"/>
      <w:r w:rsidRPr="00964C00">
        <w:rPr>
          <w:rFonts w:ascii="Times New Roman" w:hAnsi="Times New Roman"/>
          <w:lang w:val="en-GB"/>
        </w:rPr>
        <w:t xml:space="preserve"> shall have a permanent directing body, authorized representatives and systematic procedures and machinery for communicating with its membership in various countries. </w:t>
      </w:r>
    </w:p>
    <w:p w14:paraId="5E231F89" w14:textId="77777777" w:rsidR="00944347" w:rsidRPr="00964C00" w:rsidRDefault="00944347" w:rsidP="0047140E">
      <w:pPr>
        <w:pStyle w:val="ListParagraph"/>
        <w:ind w:left="709"/>
        <w:jc w:val="both"/>
        <w:rPr>
          <w:rFonts w:ascii="Times New Roman" w:hAnsi="Times New Roman"/>
        </w:rPr>
      </w:pPr>
    </w:p>
    <w:p w14:paraId="047DBD1D" w14:textId="77777777" w:rsidR="00944347" w:rsidRPr="00964C00" w:rsidRDefault="00944347" w:rsidP="0047140E">
      <w:pPr>
        <w:pStyle w:val="ListParagraph"/>
        <w:numPr>
          <w:ilvl w:val="0"/>
          <w:numId w:val="18"/>
        </w:numPr>
        <w:ind w:left="0" w:firstLine="0"/>
        <w:jc w:val="both"/>
        <w:rPr>
          <w:rFonts w:ascii="Times New Roman" w:hAnsi="Times New Roman"/>
        </w:rPr>
      </w:pPr>
      <w:r w:rsidRPr="00964C00">
        <w:rPr>
          <w:rFonts w:ascii="Times New Roman" w:hAnsi="Times New Roman"/>
        </w:rPr>
        <w:t xml:space="preserve">Under the </w:t>
      </w:r>
      <w:r>
        <w:rPr>
          <w:rFonts w:ascii="Times New Roman" w:hAnsi="Times New Roman"/>
        </w:rPr>
        <w:t>abovementioned Policy,</w:t>
      </w:r>
      <w:r>
        <w:rPr>
          <w:rFonts w:ascii="Times New Roman" w:hAnsi="Times New Roman"/>
          <w:lang w:val="en-GB"/>
        </w:rPr>
        <w:t xml:space="preserve"> </w:t>
      </w:r>
      <w:r w:rsidRPr="00964C00">
        <w:rPr>
          <w:rFonts w:ascii="Times New Roman" w:hAnsi="Times New Roman"/>
        </w:rPr>
        <w:t xml:space="preserve">formal relations with an INGO may take one of three forms according to the importance of its field of activity in relation to the activities of FAO. These are consultative status, specialized consultative status or liaison status. The Policy establishes detailed eligibility criteria and a procedure for selecting the Organizations with which FAO may enter into formal relationship. </w:t>
      </w:r>
    </w:p>
    <w:p w14:paraId="66CCBC0D" w14:textId="77777777" w:rsidR="00944347" w:rsidRPr="00964C00" w:rsidRDefault="00944347" w:rsidP="0047140E">
      <w:pPr>
        <w:pStyle w:val="ListParagraph"/>
        <w:ind w:left="709"/>
        <w:jc w:val="both"/>
        <w:rPr>
          <w:rFonts w:ascii="Times New Roman" w:hAnsi="Times New Roman"/>
        </w:rPr>
      </w:pPr>
    </w:p>
    <w:p w14:paraId="5757399B" w14:textId="77777777" w:rsidR="00944347" w:rsidRPr="00964C00" w:rsidRDefault="00944347" w:rsidP="0047140E">
      <w:pPr>
        <w:pStyle w:val="ListParagraph"/>
        <w:numPr>
          <w:ilvl w:val="0"/>
          <w:numId w:val="18"/>
        </w:numPr>
        <w:ind w:left="0" w:firstLine="0"/>
        <w:jc w:val="both"/>
        <w:rPr>
          <w:rFonts w:ascii="Times New Roman" w:hAnsi="Times New Roman"/>
        </w:rPr>
      </w:pPr>
      <w:r w:rsidRPr="00964C00">
        <w:rPr>
          <w:rFonts w:ascii="Times New Roman" w:hAnsi="Times New Roman"/>
          <w:lang w:val="en-GB"/>
        </w:rPr>
        <w:t xml:space="preserve">For INGOs having consultative status, paragraph 3 of Rule XVII of the GRO applies. Thus, their representatives, accompanied by advisers and assistants, may attend the </w:t>
      </w:r>
      <w:r w:rsidRPr="00F85FB2">
        <w:rPr>
          <w:rFonts w:ascii="Times New Roman" w:hAnsi="Times New Roman"/>
          <w:lang w:val="en-GB"/>
        </w:rPr>
        <w:t xml:space="preserve">meetings </w:t>
      </w:r>
      <w:r w:rsidRPr="00964C00">
        <w:rPr>
          <w:rFonts w:ascii="Times New Roman" w:hAnsi="Times New Roman"/>
          <w:lang w:val="en-GB"/>
        </w:rPr>
        <w:t>of the CPM</w:t>
      </w:r>
      <w:r>
        <w:rPr>
          <w:rFonts w:ascii="Times New Roman" w:hAnsi="Times New Roman"/>
          <w:lang w:val="en-GB"/>
        </w:rPr>
        <w:t xml:space="preserve"> as observers</w:t>
      </w:r>
      <w:r w:rsidRPr="00964C00">
        <w:rPr>
          <w:rFonts w:ascii="Times New Roman" w:hAnsi="Times New Roman"/>
          <w:lang w:val="en-GB"/>
        </w:rPr>
        <w:t xml:space="preserve">. </w:t>
      </w:r>
      <w:r>
        <w:rPr>
          <w:rFonts w:ascii="Times New Roman" w:hAnsi="Times New Roman"/>
          <w:lang w:val="en-GB"/>
        </w:rPr>
        <w:t>As such, they</w:t>
      </w:r>
      <w:r w:rsidRPr="00964C00">
        <w:rPr>
          <w:rFonts w:ascii="Times New Roman" w:hAnsi="Times New Roman"/>
          <w:lang w:val="en-GB"/>
        </w:rPr>
        <w:t xml:space="preserve"> may, without vote, speak before the CPM and participate in the discussions therein upon the request of the Chairperson. They may circulate, without abridgement, the views of the organizations which they represent.</w:t>
      </w:r>
    </w:p>
    <w:p w14:paraId="4849C4F4" w14:textId="77777777" w:rsidR="00944347" w:rsidRPr="00964C00" w:rsidRDefault="00944347" w:rsidP="0047140E">
      <w:pPr>
        <w:pStyle w:val="ListParagraph"/>
        <w:ind w:left="709"/>
        <w:jc w:val="both"/>
        <w:rPr>
          <w:rFonts w:ascii="Times New Roman" w:hAnsi="Times New Roman"/>
        </w:rPr>
      </w:pPr>
    </w:p>
    <w:p w14:paraId="51158FB8" w14:textId="77777777" w:rsidR="00944347" w:rsidRPr="00964C00" w:rsidRDefault="00944347" w:rsidP="0047140E">
      <w:pPr>
        <w:pStyle w:val="ListParagraph"/>
        <w:numPr>
          <w:ilvl w:val="0"/>
          <w:numId w:val="18"/>
        </w:numPr>
        <w:ind w:left="0" w:firstLine="0"/>
        <w:jc w:val="both"/>
        <w:rPr>
          <w:rFonts w:ascii="Times New Roman" w:hAnsi="Times New Roman"/>
        </w:rPr>
      </w:pPr>
      <w:r w:rsidRPr="00964C00">
        <w:rPr>
          <w:rFonts w:ascii="Times New Roman" w:hAnsi="Times New Roman"/>
          <w:lang w:val="en-GB"/>
        </w:rPr>
        <w:t xml:space="preserve">INGOs having specialized consultative status are entitled to </w:t>
      </w:r>
      <w:r>
        <w:rPr>
          <w:rFonts w:ascii="Times New Roman" w:hAnsi="Times New Roman"/>
          <w:lang w:val="en-GB"/>
        </w:rPr>
        <w:t>attend as</w:t>
      </w:r>
      <w:r w:rsidRPr="00964C00">
        <w:rPr>
          <w:rFonts w:ascii="Times New Roman" w:hAnsi="Times New Roman"/>
          <w:lang w:val="en-GB"/>
        </w:rPr>
        <w:t xml:space="preserve"> observer</w:t>
      </w:r>
      <w:r>
        <w:rPr>
          <w:rFonts w:ascii="Times New Roman" w:hAnsi="Times New Roman"/>
          <w:lang w:val="en-GB"/>
        </w:rPr>
        <w:t>s</w:t>
      </w:r>
      <w:r w:rsidRPr="00964C00">
        <w:rPr>
          <w:rFonts w:ascii="Times New Roman" w:hAnsi="Times New Roman"/>
          <w:lang w:val="en-GB"/>
        </w:rPr>
        <w:t xml:space="preserve"> with the approval of the Director-General, to receive appropriate publications, and to submit memoranda (paragraph 21 of the aforementioned Policy). </w:t>
      </w:r>
    </w:p>
    <w:p w14:paraId="43375FD5" w14:textId="77777777" w:rsidR="00944347" w:rsidRPr="00964C00" w:rsidRDefault="00944347" w:rsidP="0047140E">
      <w:pPr>
        <w:pStyle w:val="ListParagraph"/>
        <w:ind w:left="709"/>
        <w:jc w:val="both"/>
        <w:rPr>
          <w:rFonts w:ascii="Times New Roman" w:hAnsi="Times New Roman"/>
        </w:rPr>
      </w:pPr>
    </w:p>
    <w:p w14:paraId="3E644DFD" w14:textId="77777777" w:rsidR="00944347" w:rsidRPr="00964C00" w:rsidRDefault="00944347" w:rsidP="0047140E">
      <w:pPr>
        <w:pStyle w:val="ListParagraph"/>
        <w:numPr>
          <w:ilvl w:val="0"/>
          <w:numId w:val="18"/>
        </w:numPr>
        <w:ind w:left="0" w:firstLine="0"/>
        <w:jc w:val="both"/>
        <w:rPr>
          <w:rFonts w:ascii="Times New Roman" w:hAnsi="Times New Roman"/>
        </w:rPr>
      </w:pPr>
      <w:r w:rsidRPr="00964C00">
        <w:rPr>
          <w:rFonts w:ascii="Times New Roman" w:hAnsi="Times New Roman"/>
          <w:lang w:val="en-GB"/>
        </w:rPr>
        <w:t xml:space="preserve">Regarding INGOs having liason status, the Director-General may invite them to send observers when he is satisfied that such participation may make a significant contribution to the meeting concerned. The rights of any such observers shall be determined in an exchange of correspondence but in no case shall they exceed those accorded to observers of organizations in specialized consultative status (paragraph 24 of the Policy). </w:t>
      </w:r>
    </w:p>
    <w:p w14:paraId="2910B40F" w14:textId="77777777" w:rsidR="00944347" w:rsidRPr="00964C00" w:rsidRDefault="00944347" w:rsidP="0047140E">
      <w:pPr>
        <w:pStyle w:val="ListParagraph"/>
        <w:ind w:left="709"/>
        <w:jc w:val="both"/>
        <w:rPr>
          <w:rFonts w:ascii="Times New Roman" w:hAnsi="Times New Roman"/>
        </w:rPr>
      </w:pPr>
    </w:p>
    <w:p w14:paraId="00D8726E" w14:textId="7CF33CD5" w:rsidR="00944347" w:rsidRPr="00964C00" w:rsidRDefault="00944347" w:rsidP="0047140E">
      <w:pPr>
        <w:pStyle w:val="ListParagraph"/>
        <w:numPr>
          <w:ilvl w:val="0"/>
          <w:numId w:val="18"/>
        </w:numPr>
        <w:ind w:left="0" w:firstLine="0"/>
        <w:jc w:val="both"/>
        <w:rPr>
          <w:rFonts w:ascii="Times New Roman" w:hAnsi="Times New Roman"/>
        </w:rPr>
      </w:pPr>
      <w:r w:rsidRPr="00964C00">
        <w:rPr>
          <w:rFonts w:ascii="Times New Roman" w:hAnsi="Times New Roman"/>
          <w:lang w:val="en-GB"/>
        </w:rPr>
        <w:t>In practice, a system has developed where a list of organizations that are invited to Commission meetings</w:t>
      </w:r>
      <w:r>
        <w:rPr>
          <w:rFonts w:ascii="Times New Roman" w:hAnsi="Times New Roman"/>
          <w:lang w:val="en-GB"/>
        </w:rPr>
        <w:t xml:space="preserve"> is maintained</w:t>
      </w:r>
      <w:r w:rsidRPr="00964C00">
        <w:rPr>
          <w:rFonts w:ascii="Times New Roman" w:hAnsi="Times New Roman"/>
          <w:lang w:val="en-GB"/>
        </w:rPr>
        <w:t>. If requests from organization</w:t>
      </w:r>
      <w:r>
        <w:rPr>
          <w:rFonts w:ascii="Times New Roman" w:hAnsi="Times New Roman"/>
          <w:lang w:val="en-GB"/>
        </w:rPr>
        <w:t>s</w:t>
      </w:r>
      <w:r w:rsidRPr="00964C00">
        <w:rPr>
          <w:rFonts w:ascii="Times New Roman" w:hAnsi="Times New Roman"/>
          <w:lang w:val="en-GB"/>
        </w:rPr>
        <w:t xml:space="preserve"> that have not been invited </w:t>
      </w:r>
      <w:r>
        <w:rPr>
          <w:rFonts w:ascii="Times New Roman" w:hAnsi="Times New Roman"/>
          <w:lang w:val="en-GB"/>
        </w:rPr>
        <w:t>previously</w:t>
      </w:r>
      <w:r w:rsidRPr="00964C00">
        <w:rPr>
          <w:rFonts w:ascii="Times New Roman" w:hAnsi="Times New Roman"/>
          <w:lang w:val="en-GB"/>
        </w:rPr>
        <w:t xml:space="preserve"> are received, the </w:t>
      </w:r>
      <w:r w:rsidR="00790B31" w:rsidRPr="00964C00">
        <w:rPr>
          <w:rFonts w:ascii="Times New Roman" w:hAnsi="Times New Roman"/>
          <w:lang w:val="en-GB"/>
        </w:rPr>
        <w:t>criteria explained above are</w:t>
      </w:r>
      <w:r w:rsidRPr="00964C00">
        <w:rPr>
          <w:rFonts w:ascii="Times New Roman" w:hAnsi="Times New Roman"/>
          <w:lang w:val="en-GB"/>
        </w:rPr>
        <w:t xml:space="preserve"> reviewed and the Director-General may decide to invite them. </w:t>
      </w:r>
    </w:p>
    <w:p w14:paraId="0AAA844F" w14:textId="77777777" w:rsidR="00944347" w:rsidRPr="00964C00" w:rsidRDefault="00944347" w:rsidP="0047140E">
      <w:pPr>
        <w:jc w:val="both"/>
        <w:rPr>
          <w:rFonts w:ascii="Times New Roman" w:hAnsi="Times New Roman"/>
          <w:b/>
        </w:rPr>
      </w:pPr>
      <w:r w:rsidRPr="00964C00">
        <w:rPr>
          <w:rFonts w:ascii="Times New Roman" w:hAnsi="Times New Roman"/>
          <w:b/>
          <w:lang w:val="en-GB"/>
        </w:rPr>
        <w:t>III.</w:t>
      </w:r>
      <w:r w:rsidRPr="00964C00">
        <w:rPr>
          <w:rFonts w:ascii="Times New Roman" w:hAnsi="Times New Roman"/>
          <w:b/>
          <w:lang w:val="en-GB"/>
        </w:rPr>
        <w:tab/>
        <w:t>Granting of observer status in pr</w:t>
      </w:r>
      <w:r w:rsidRPr="00964C00">
        <w:rPr>
          <w:rFonts w:ascii="Times New Roman" w:hAnsi="Times New Roman"/>
          <w:b/>
        </w:rPr>
        <w:t>ivate meetings and Bureau meetings</w:t>
      </w:r>
    </w:p>
    <w:p w14:paraId="4AA293D5" w14:textId="77777777" w:rsidR="00944347" w:rsidRDefault="00944347" w:rsidP="0047140E">
      <w:pPr>
        <w:pStyle w:val="ListParagraph"/>
        <w:numPr>
          <w:ilvl w:val="0"/>
          <w:numId w:val="18"/>
        </w:numPr>
        <w:ind w:left="0" w:firstLine="0"/>
        <w:jc w:val="both"/>
        <w:rPr>
          <w:rFonts w:ascii="Times New Roman" w:hAnsi="Times New Roman"/>
        </w:rPr>
      </w:pPr>
      <w:r w:rsidRPr="00964C00">
        <w:rPr>
          <w:rFonts w:ascii="Times New Roman" w:hAnsi="Times New Roman"/>
          <w:lang w:val="en-GB"/>
        </w:rPr>
        <w:t>Paragraph 5 of Rule IV of the Rules of Procedure of the CPM provides that “</w:t>
      </w:r>
      <w:r w:rsidRPr="00964C00">
        <w:rPr>
          <w:rFonts w:ascii="Times New Roman" w:hAnsi="Times New Roman"/>
          <w:i/>
          <w:lang w:val="en-GB"/>
        </w:rPr>
        <w:t>meetings of the Commission shall be held in public unless the Commission decides otherwise</w:t>
      </w:r>
      <w:r w:rsidRPr="00964C00">
        <w:rPr>
          <w:rFonts w:ascii="Times New Roman" w:hAnsi="Times New Roman"/>
          <w:lang w:val="en-GB"/>
        </w:rPr>
        <w:t>”. Thus, private meetings are exceptional in FAO practice. The general principle regarding private meetings is that when a body</w:t>
      </w:r>
      <w:r>
        <w:rPr>
          <w:rFonts w:ascii="Times New Roman" w:hAnsi="Times New Roman"/>
          <w:lang w:val="en-GB"/>
        </w:rPr>
        <w:t>, such as the CPM, decides to</w:t>
      </w:r>
      <w:r w:rsidRPr="00964C00">
        <w:rPr>
          <w:rFonts w:ascii="Times New Roman" w:hAnsi="Times New Roman"/>
          <w:lang w:val="en-GB"/>
        </w:rPr>
        <w:t xml:space="preserve"> hold a private </w:t>
      </w:r>
      <w:r w:rsidRPr="00964C00">
        <w:rPr>
          <w:rFonts w:ascii="Times New Roman" w:hAnsi="Times New Roman"/>
        </w:rPr>
        <w:t xml:space="preserve">meeting, it shall determine at the same time whether observers may attend or not and the scope of such a decision. </w:t>
      </w:r>
    </w:p>
    <w:p w14:paraId="5A0E1C25" w14:textId="77777777" w:rsidR="00944347" w:rsidRDefault="00944347" w:rsidP="0047140E">
      <w:pPr>
        <w:pStyle w:val="ListParagraph"/>
        <w:ind w:left="709"/>
        <w:jc w:val="both"/>
        <w:rPr>
          <w:rFonts w:ascii="Times New Roman" w:hAnsi="Times New Roman"/>
        </w:rPr>
      </w:pPr>
    </w:p>
    <w:p w14:paraId="6A5A9DCB" w14:textId="5CF5A07B" w:rsidR="00944347" w:rsidRPr="00964C00" w:rsidRDefault="00944347" w:rsidP="0047140E">
      <w:pPr>
        <w:pStyle w:val="ListParagraph"/>
        <w:numPr>
          <w:ilvl w:val="0"/>
          <w:numId w:val="18"/>
        </w:numPr>
        <w:ind w:left="0" w:firstLine="0"/>
        <w:jc w:val="both"/>
        <w:rPr>
          <w:rFonts w:ascii="Times New Roman" w:hAnsi="Times New Roman"/>
        </w:rPr>
      </w:pPr>
      <w:r>
        <w:rPr>
          <w:rFonts w:ascii="Times New Roman" w:hAnsi="Times New Roman"/>
        </w:rPr>
        <w:t xml:space="preserve">A similar rule is established in Rule 6 of the </w:t>
      </w:r>
      <w:r w:rsidRPr="00B551AD">
        <w:rPr>
          <w:rFonts w:ascii="Times New Roman" w:hAnsi="Times New Roman"/>
        </w:rPr>
        <w:t xml:space="preserve">Rules of Procedure for </w:t>
      </w:r>
      <w:r>
        <w:rPr>
          <w:rFonts w:ascii="Times New Roman" w:hAnsi="Times New Roman"/>
        </w:rPr>
        <w:t xml:space="preserve">the </w:t>
      </w:r>
      <w:r w:rsidRPr="00B551AD">
        <w:rPr>
          <w:rFonts w:ascii="Times New Roman" w:hAnsi="Times New Roman"/>
        </w:rPr>
        <w:t>Subsidiary Body on Dispute Settlement</w:t>
      </w:r>
      <w:r>
        <w:rPr>
          <w:rFonts w:ascii="Times New Roman" w:hAnsi="Times New Roman"/>
        </w:rPr>
        <w:t xml:space="preserve">, which </w:t>
      </w:r>
      <w:r w:rsidR="00790B31">
        <w:rPr>
          <w:rFonts w:ascii="Times New Roman" w:hAnsi="Times New Roman"/>
        </w:rPr>
        <w:t>specifies</w:t>
      </w:r>
      <w:r>
        <w:rPr>
          <w:rFonts w:ascii="Times New Roman" w:hAnsi="Times New Roman"/>
        </w:rPr>
        <w:t xml:space="preserve"> “</w:t>
      </w:r>
      <w:r w:rsidRPr="00B551AD">
        <w:rPr>
          <w:rFonts w:ascii="Times New Roman" w:hAnsi="Times New Roman"/>
          <w:i/>
        </w:rPr>
        <w:t>the subsidiary body may determine that certain meetings or business need to be conducted without observers, in particular where confidential or controversial information is involved</w:t>
      </w:r>
      <w:r w:rsidRPr="00B551AD">
        <w:rPr>
          <w:rFonts w:ascii="Times New Roman" w:hAnsi="Times New Roman"/>
        </w:rPr>
        <w:t>.</w:t>
      </w:r>
      <w:r>
        <w:rPr>
          <w:rFonts w:ascii="Times New Roman" w:hAnsi="Times New Roman"/>
        </w:rPr>
        <w:t>”</w:t>
      </w:r>
    </w:p>
    <w:p w14:paraId="3164533B" w14:textId="77777777" w:rsidR="00944347" w:rsidRPr="00964C00" w:rsidRDefault="00944347" w:rsidP="0047140E">
      <w:pPr>
        <w:pStyle w:val="ListParagraph"/>
        <w:ind w:left="709"/>
        <w:jc w:val="both"/>
        <w:rPr>
          <w:rFonts w:ascii="Times New Roman" w:hAnsi="Times New Roman"/>
        </w:rPr>
      </w:pPr>
    </w:p>
    <w:p w14:paraId="70D9DA25" w14:textId="4E2E6E18" w:rsidR="00944347" w:rsidRPr="00964C00" w:rsidRDefault="00944347" w:rsidP="0047140E">
      <w:pPr>
        <w:pStyle w:val="ListParagraph"/>
        <w:numPr>
          <w:ilvl w:val="0"/>
          <w:numId w:val="18"/>
        </w:numPr>
        <w:ind w:left="0" w:firstLine="0"/>
        <w:jc w:val="both"/>
        <w:rPr>
          <w:rFonts w:ascii="Times New Roman" w:hAnsi="Times New Roman"/>
          <w:lang w:val="en-GB"/>
        </w:rPr>
      </w:pPr>
      <w:r w:rsidRPr="00964C00">
        <w:rPr>
          <w:rFonts w:ascii="Times New Roman" w:hAnsi="Times New Roman"/>
          <w:lang w:val="en-GB"/>
        </w:rPr>
        <w:t xml:space="preserve">Regarding Bureau meetings, the </w:t>
      </w:r>
      <w:r>
        <w:rPr>
          <w:rFonts w:ascii="Times New Roman" w:hAnsi="Times New Roman"/>
          <w:lang w:val="en-GB"/>
        </w:rPr>
        <w:t xml:space="preserve">interpretation given to the </w:t>
      </w:r>
      <w:r w:rsidRPr="00964C00">
        <w:rPr>
          <w:rFonts w:ascii="Times New Roman" w:hAnsi="Times New Roman"/>
          <w:lang w:val="en-GB"/>
        </w:rPr>
        <w:t>CPM Rules of Procedure</w:t>
      </w:r>
      <w:r>
        <w:rPr>
          <w:rFonts w:ascii="Times New Roman" w:hAnsi="Times New Roman"/>
          <w:lang w:val="en-GB"/>
        </w:rPr>
        <w:t xml:space="preserve"> is that observers are not allowed</w:t>
      </w:r>
      <w:r w:rsidRPr="00964C00">
        <w:rPr>
          <w:rFonts w:ascii="Times New Roman" w:hAnsi="Times New Roman"/>
          <w:lang w:val="en-GB"/>
        </w:rPr>
        <w:t xml:space="preserve">. </w:t>
      </w:r>
      <w:r>
        <w:rPr>
          <w:rFonts w:ascii="Times New Roman" w:hAnsi="Times New Roman"/>
          <w:lang w:val="en-GB"/>
        </w:rPr>
        <w:t>Rule II, which governs the composition of the Bureau makes no provision for the participation of observers in it. Rule VII is similarly silent on the matter. Moreover, t</w:t>
      </w:r>
      <w:r w:rsidRPr="00964C00">
        <w:rPr>
          <w:rFonts w:ascii="Times New Roman" w:hAnsi="Times New Roman"/>
          <w:lang w:val="en-GB"/>
        </w:rPr>
        <w:t>he</w:t>
      </w:r>
      <w:r>
        <w:rPr>
          <w:rFonts w:ascii="Times New Roman" w:hAnsi="Times New Roman"/>
          <w:lang w:val="en-GB"/>
        </w:rPr>
        <w:t>re is a</w:t>
      </w:r>
      <w:r w:rsidRPr="00964C00">
        <w:rPr>
          <w:rFonts w:ascii="Times New Roman" w:hAnsi="Times New Roman"/>
          <w:lang w:val="en-GB"/>
        </w:rPr>
        <w:t xml:space="preserve"> </w:t>
      </w:r>
      <w:r w:rsidR="00790B31">
        <w:rPr>
          <w:rFonts w:ascii="Times New Roman" w:hAnsi="Times New Roman"/>
          <w:lang w:val="en-GB"/>
        </w:rPr>
        <w:t>long-standing</w:t>
      </w:r>
      <w:r>
        <w:rPr>
          <w:rFonts w:ascii="Times New Roman" w:hAnsi="Times New Roman"/>
          <w:lang w:val="en-GB"/>
        </w:rPr>
        <w:t xml:space="preserve"> practice in</w:t>
      </w:r>
      <w:r w:rsidRPr="00964C00">
        <w:rPr>
          <w:rFonts w:ascii="Times New Roman" w:hAnsi="Times New Roman"/>
          <w:lang w:val="en-GB"/>
        </w:rPr>
        <w:t xml:space="preserve"> FAO</w:t>
      </w:r>
      <w:r>
        <w:rPr>
          <w:rFonts w:ascii="Times New Roman" w:hAnsi="Times New Roman"/>
          <w:lang w:val="en-GB"/>
        </w:rPr>
        <w:t>, not to</w:t>
      </w:r>
      <w:r w:rsidRPr="00964C00">
        <w:rPr>
          <w:rFonts w:ascii="Times New Roman" w:hAnsi="Times New Roman"/>
          <w:lang w:val="en-GB"/>
        </w:rPr>
        <w:t xml:space="preserve"> open t</w:t>
      </w:r>
      <w:r>
        <w:rPr>
          <w:rFonts w:ascii="Times New Roman" w:hAnsi="Times New Roman"/>
          <w:lang w:val="en-GB"/>
        </w:rPr>
        <w:t>hese kinds of meetings to</w:t>
      </w:r>
      <w:r w:rsidRPr="00964C00">
        <w:rPr>
          <w:rFonts w:ascii="Times New Roman" w:hAnsi="Times New Roman"/>
          <w:lang w:val="en-GB"/>
        </w:rPr>
        <w:t xml:space="preserve"> observers. </w:t>
      </w:r>
      <w:r>
        <w:rPr>
          <w:rFonts w:ascii="Times New Roman" w:hAnsi="Times New Roman"/>
          <w:lang w:val="en-GB"/>
        </w:rPr>
        <w:t>T</w:t>
      </w:r>
      <w:r w:rsidRPr="00964C00">
        <w:rPr>
          <w:rFonts w:ascii="Times New Roman" w:hAnsi="Times New Roman"/>
        </w:rPr>
        <w:t xml:space="preserve">he </w:t>
      </w:r>
      <w:r>
        <w:rPr>
          <w:rFonts w:ascii="Times New Roman" w:hAnsi="Times New Roman"/>
        </w:rPr>
        <w:t>“</w:t>
      </w:r>
      <w:r w:rsidRPr="001D04AE">
        <w:rPr>
          <w:rFonts w:ascii="Times New Roman" w:hAnsi="Times New Roman"/>
          <w:i/>
        </w:rPr>
        <w:t>Statement of Principles relating to the Granting of Observer Status to Nations</w:t>
      </w:r>
      <w:r>
        <w:rPr>
          <w:rFonts w:ascii="Times New Roman" w:hAnsi="Times New Roman"/>
        </w:rPr>
        <w:t>” (</w:t>
      </w:r>
      <w:r w:rsidRPr="00964C00">
        <w:rPr>
          <w:rFonts w:ascii="Times New Roman" w:hAnsi="Times New Roman"/>
        </w:rPr>
        <w:t>Part I of Volume II of the Basic Texts</w:t>
      </w:r>
      <w:r>
        <w:rPr>
          <w:rFonts w:ascii="Times New Roman" w:hAnsi="Times New Roman"/>
        </w:rPr>
        <w:t>) provides that committees of limited membership are no</w:t>
      </w:r>
      <w:r w:rsidR="00790B31">
        <w:rPr>
          <w:rFonts w:ascii="Times New Roman" w:hAnsi="Times New Roman"/>
        </w:rPr>
        <w:t xml:space="preserve">t open to observers from </w:t>
      </w:r>
      <w:proofErr w:type="gramStart"/>
      <w:r w:rsidR="00790B31">
        <w:rPr>
          <w:rFonts w:ascii="Times New Roman" w:hAnsi="Times New Roman"/>
        </w:rPr>
        <w:t xml:space="preserve">States </w:t>
      </w:r>
      <w:r>
        <w:rPr>
          <w:rFonts w:ascii="Times New Roman" w:hAnsi="Times New Roman"/>
        </w:rPr>
        <w:t>which</w:t>
      </w:r>
      <w:proofErr w:type="gramEnd"/>
      <w:r>
        <w:rPr>
          <w:rFonts w:ascii="Times New Roman" w:hAnsi="Times New Roman"/>
        </w:rPr>
        <w:t xml:space="preserve"> are not members of such committees. That limitation is extended to international organizations, and to RPPOs, in the CPM case.   </w:t>
      </w:r>
    </w:p>
    <w:p w14:paraId="7092A3DE" w14:textId="77777777" w:rsidR="00944347" w:rsidRPr="002876CD" w:rsidRDefault="00944347" w:rsidP="0047140E">
      <w:pPr>
        <w:rPr>
          <w:rFonts w:ascii="Times New Roman" w:hAnsi="Times New Roman"/>
          <w:b/>
        </w:rPr>
      </w:pPr>
      <w:r w:rsidRPr="00964C00">
        <w:rPr>
          <w:rFonts w:ascii="Times New Roman" w:hAnsi="Times New Roman"/>
          <w:b/>
        </w:rPr>
        <w:t>IV.</w:t>
      </w:r>
      <w:r w:rsidRPr="00964C00">
        <w:rPr>
          <w:rFonts w:ascii="Times New Roman" w:hAnsi="Times New Roman"/>
          <w:b/>
        </w:rPr>
        <w:tab/>
        <w:t xml:space="preserve">Suggested action </w:t>
      </w:r>
    </w:p>
    <w:p w14:paraId="44A5612D" w14:textId="2F0D38CF" w:rsidR="007E5BA4" w:rsidRDefault="002876CD" w:rsidP="007E5BA4">
      <w:pPr>
        <w:jc w:val="both"/>
        <w:rPr>
          <w:rFonts w:ascii="Times New Roman" w:hAnsi="Times New Roman"/>
          <w:lang w:val="en-GB"/>
        </w:rPr>
      </w:pPr>
      <w:r w:rsidRPr="007E5BA4">
        <w:rPr>
          <w:rFonts w:ascii="Times New Roman" w:hAnsi="Times New Roman"/>
          <w:lang w:val="en-GB"/>
        </w:rPr>
        <w:t xml:space="preserve">The suggestion of the Bureau and the Secretariat is to consider the possibility to develop a proposal of amendment of this Rule following guidance from FAO-LEGA and considering the FAO Basic </w:t>
      </w:r>
      <w:r w:rsidR="00790B31">
        <w:rPr>
          <w:rFonts w:ascii="Times New Roman" w:hAnsi="Times New Roman"/>
          <w:lang w:val="en-GB"/>
        </w:rPr>
        <w:t>T</w:t>
      </w:r>
      <w:r w:rsidRPr="007E5BA4">
        <w:rPr>
          <w:rFonts w:ascii="Times New Roman" w:hAnsi="Times New Roman"/>
          <w:lang w:val="en-GB"/>
        </w:rPr>
        <w:t>exts</w:t>
      </w:r>
      <w:r w:rsidR="00B719E2" w:rsidRPr="007E5BA4">
        <w:rPr>
          <w:rFonts w:ascii="Times New Roman" w:hAnsi="Times New Roman"/>
          <w:lang w:val="en-GB"/>
        </w:rPr>
        <w:t xml:space="preserve"> a</w:t>
      </w:r>
      <w:r w:rsidR="007E5BA4">
        <w:rPr>
          <w:rFonts w:ascii="Times New Roman" w:hAnsi="Times New Roman"/>
          <w:lang w:val="en-GB"/>
        </w:rPr>
        <w:t>nd</w:t>
      </w:r>
      <w:r w:rsidR="000F7ED2">
        <w:rPr>
          <w:rFonts w:ascii="Times New Roman" w:hAnsi="Times New Roman"/>
          <w:lang w:val="en-GB"/>
        </w:rPr>
        <w:t xml:space="preserve"> G</w:t>
      </w:r>
      <w:r w:rsidR="00B719E2" w:rsidRPr="007E5BA4">
        <w:rPr>
          <w:rFonts w:ascii="Times New Roman" w:hAnsi="Times New Roman"/>
          <w:lang w:val="en-GB"/>
        </w:rPr>
        <w:t xml:space="preserve">eneral </w:t>
      </w:r>
      <w:r w:rsidR="00790B31">
        <w:rPr>
          <w:rFonts w:ascii="Times New Roman" w:hAnsi="Times New Roman"/>
          <w:lang w:val="en-GB"/>
        </w:rPr>
        <w:t>R</w:t>
      </w:r>
      <w:r w:rsidR="00B719E2" w:rsidRPr="007E5BA4">
        <w:rPr>
          <w:rFonts w:ascii="Times New Roman" w:hAnsi="Times New Roman"/>
          <w:lang w:val="en-GB"/>
        </w:rPr>
        <w:t>ules</w:t>
      </w:r>
      <w:r w:rsidRPr="007E5BA4">
        <w:rPr>
          <w:rFonts w:ascii="Times New Roman" w:hAnsi="Times New Roman"/>
          <w:lang w:val="en-GB"/>
        </w:rPr>
        <w:t xml:space="preserve">, to get a clear understanding on its application and follow procedures approved by CPM. </w:t>
      </w:r>
    </w:p>
    <w:p w14:paraId="178DD9FC" w14:textId="2949359E" w:rsidR="007E5BA4" w:rsidRDefault="007E5BA4" w:rsidP="007E5BA4">
      <w:pPr>
        <w:spacing w:line="240" w:lineRule="auto"/>
        <w:jc w:val="both"/>
        <w:rPr>
          <w:rFonts w:ascii="Times New Roman" w:hAnsi="Times New Roman"/>
          <w:lang w:val="en-GB"/>
        </w:rPr>
      </w:pPr>
      <w:r>
        <w:rPr>
          <w:rFonts w:ascii="Times New Roman" w:hAnsi="Times New Roman"/>
          <w:lang w:val="en-GB"/>
        </w:rPr>
        <w:t xml:space="preserve">Other international organizations as CODEX have developed specific guidance </w:t>
      </w:r>
      <w:r w:rsidR="00674DA3">
        <w:rPr>
          <w:rFonts w:ascii="Times New Roman" w:hAnsi="Times New Roman"/>
          <w:lang w:val="en-GB"/>
        </w:rPr>
        <w:t xml:space="preserve">at least </w:t>
      </w:r>
      <w:r>
        <w:rPr>
          <w:rFonts w:ascii="Times New Roman" w:hAnsi="Times New Roman"/>
          <w:lang w:val="en-GB"/>
        </w:rPr>
        <w:t>for the case of international non-gover</w:t>
      </w:r>
      <w:r w:rsidR="000F7ED2">
        <w:rPr>
          <w:rFonts w:ascii="Times New Roman" w:hAnsi="Times New Roman"/>
          <w:lang w:val="en-GB"/>
        </w:rPr>
        <w:t>n</w:t>
      </w:r>
      <w:r>
        <w:rPr>
          <w:rFonts w:ascii="Times New Roman" w:hAnsi="Times New Roman"/>
          <w:lang w:val="en-GB"/>
        </w:rPr>
        <w:t>mental organizations</w:t>
      </w:r>
      <w:r w:rsidR="00674DA3">
        <w:rPr>
          <w:rFonts w:ascii="Times New Roman" w:hAnsi="Times New Roman"/>
          <w:lang w:val="en-GB"/>
        </w:rPr>
        <w:t xml:space="preserve">, </w:t>
      </w:r>
      <w:r>
        <w:rPr>
          <w:rFonts w:ascii="Times New Roman" w:hAnsi="Times New Roman"/>
          <w:lang w:val="en-GB"/>
        </w:rPr>
        <w:t xml:space="preserve">related to the </w:t>
      </w:r>
      <w:r w:rsidRPr="007E5BA4">
        <w:rPr>
          <w:rFonts w:ascii="Times New Roman" w:hAnsi="Times New Roman"/>
          <w:lang w:val="en-GB"/>
        </w:rPr>
        <w:t>overall procedure for the so-called granting of observers status; the appl</w:t>
      </w:r>
      <w:r w:rsidR="00674DA3">
        <w:rPr>
          <w:rFonts w:ascii="Times New Roman" w:hAnsi="Times New Roman"/>
          <w:lang w:val="en-GB"/>
        </w:rPr>
        <w:t xml:space="preserve">ication of </w:t>
      </w:r>
      <w:r w:rsidRPr="007E5BA4">
        <w:rPr>
          <w:rFonts w:ascii="Times New Roman" w:hAnsi="Times New Roman"/>
          <w:lang w:val="en-GB"/>
        </w:rPr>
        <w:t>stricter criteria in that respect and, the extent of the rights and obligations of observers of international non-governmental organizations.</w:t>
      </w:r>
    </w:p>
    <w:p w14:paraId="37F05BD5" w14:textId="22950798" w:rsidR="00674DA3" w:rsidRPr="007E5BA4" w:rsidRDefault="00674DA3" w:rsidP="007E5BA4">
      <w:pPr>
        <w:spacing w:line="240" w:lineRule="auto"/>
        <w:jc w:val="both"/>
        <w:rPr>
          <w:rFonts w:ascii="Times New Roman" w:hAnsi="Times New Roman"/>
          <w:lang w:val="en-GB"/>
        </w:rPr>
      </w:pPr>
      <w:r>
        <w:rPr>
          <w:rFonts w:ascii="Times New Roman" w:hAnsi="Times New Roman"/>
          <w:lang w:val="en-GB"/>
        </w:rPr>
        <w:lastRenderedPageBreak/>
        <w:t>Special attention should be pa</w:t>
      </w:r>
      <w:r w:rsidR="000F7ED2">
        <w:rPr>
          <w:rFonts w:ascii="Times New Roman" w:hAnsi="Times New Roman"/>
          <w:lang w:val="en-GB"/>
        </w:rPr>
        <w:t>id</w:t>
      </w:r>
      <w:r>
        <w:rPr>
          <w:rFonts w:ascii="Times New Roman" w:hAnsi="Times New Roman"/>
          <w:lang w:val="en-GB"/>
        </w:rPr>
        <w:t xml:space="preserve"> to the fact that CPM has been entrusted </w:t>
      </w:r>
      <w:r w:rsidRPr="00BA43B3">
        <w:rPr>
          <w:rFonts w:ascii="Times New Roman" w:hAnsi="Times New Roman"/>
          <w:lang w:val="en-GB"/>
        </w:rPr>
        <w:t>with advisory functions with respect to the granting</w:t>
      </w:r>
      <w:r w:rsidR="000F7ED2" w:rsidRPr="00BA43B3">
        <w:rPr>
          <w:rFonts w:ascii="Times New Roman" w:hAnsi="Times New Roman"/>
          <w:lang w:val="en-GB"/>
        </w:rPr>
        <w:t xml:space="preserve"> </w:t>
      </w:r>
      <w:r w:rsidRPr="00BA43B3">
        <w:rPr>
          <w:rFonts w:ascii="Times New Roman" w:hAnsi="Times New Roman"/>
          <w:lang w:val="en-GB"/>
        </w:rPr>
        <w:t>of the observer status</w:t>
      </w:r>
      <w:r w:rsidR="00BA43B3" w:rsidRPr="00BA43B3">
        <w:rPr>
          <w:rFonts w:ascii="Times New Roman" w:hAnsi="Times New Roman"/>
          <w:lang w:val="en-GB"/>
        </w:rPr>
        <w:t xml:space="preserve"> </w:t>
      </w:r>
      <w:r w:rsidR="00BA43B3">
        <w:rPr>
          <w:rFonts w:ascii="Times New Roman" w:hAnsi="Times New Roman"/>
          <w:lang w:val="en-GB"/>
        </w:rPr>
        <w:t>to</w:t>
      </w:r>
      <w:r w:rsidR="00911CB9">
        <w:rPr>
          <w:rFonts w:ascii="Times New Roman" w:hAnsi="Times New Roman"/>
          <w:lang w:val="en-GB"/>
        </w:rPr>
        <w:t xml:space="preserve"> </w:t>
      </w:r>
      <w:r w:rsidR="00BA43B3" w:rsidRPr="00BA43B3">
        <w:rPr>
          <w:rFonts w:ascii="Times New Roman" w:hAnsi="Times New Roman"/>
          <w:lang w:val="en-GB"/>
        </w:rPr>
        <w:t>international (intergovernmental and non-governmental</w:t>
      </w:r>
      <w:r w:rsidR="00BA43B3">
        <w:rPr>
          <w:rFonts w:ascii="Times New Roman" w:hAnsi="Times New Roman"/>
          <w:lang w:val="en-GB"/>
        </w:rPr>
        <w:t xml:space="preserve"> organizations</w:t>
      </w:r>
      <w:r w:rsidR="00BA43B3" w:rsidRPr="00BA43B3">
        <w:rPr>
          <w:rFonts w:ascii="Times New Roman" w:hAnsi="Times New Roman"/>
          <w:lang w:val="en-GB"/>
        </w:rPr>
        <w:t>)</w:t>
      </w:r>
      <w:r w:rsidRPr="00BA43B3">
        <w:rPr>
          <w:rFonts w:ascii="Times New Roman" w:hAnsi="Times New Roman"/>
          <w:lang w:val="en-GB"/>
        </w:rPr>
        <w:t xml:space="preserve">, since Rule VII.3 and 4 of the </w:t>
      </w:r>
      <w:r w:rsidR="00790B31">
        <w:rPr>
          <w:rFonts w:ascii="Times New Roman" w:hAnsi="Times New Roman"/>
          <w:lang w:val="en-GB"/>
        </w:rPr>
        <w:t xml:space="preserve">Rules </w:t>
      </w:r>
      <w:r w:rsidRPr="00BA43B3">
        <w:rPr>
          <w:rFonts w:ascii="Times New Roman" w:hAnsi="Times New Roman"/>
          <w:lang w:val="en-GB"/>
        </w:rPr>
        <w:t>of Procedures of CPM mention</w:t>
      </w:r>
      <w:r w:rsidR="00BA43B3">
        <w:rPr>
          <w:rFonts w:ascii="Times New Roman" w:hAnsi="Times New Roman"/>
          <w:lang w:val="en-GB"/>
        </w:rPr>
        <w:t>s</w:t>
      </w:r>
      <w:r w:rsidRPr="00BA43B3">
        <w:rPr>
          <w:rFonts w:ascii="Times New Roman" w:hAnsi="Times New Roman"/>
          <w:lang w:val="en-GB"/>
        </w:rPr>
        <w:t>:</w:t>
      </w:r>
      <w:r>
        <w:rPr>
          <w:rFonts w:ascii="Times New Roman" w:hAnsi="Times New Roman"/>
          <w:sz w:val="24"/>
          <w:szCs w:val="24"/>
        </w:rPr>
        <w:t xml:space="preserve"> </w:t>
      </w:r>
      <w:r w:rsidR="00BA43B3">
        <w:rPr>
          <w:rFonts w:ascii="Times New Roman" w:hAnsi="Times New Roman"/>
          <w:sz w:val="24"/>
          <w:szCs w:val="24"/>
        </w:rPr>
        <w:t>“</w:t>
      </w:r>
      <w:r w:rsidRPr="0071151B">
        <w:rPr>
          <w:rFonts w:ascii="Times New Roman" w:hAnsi="Times New Roman"/>
          <w:i/>
          <w:color w:val="000000"/>
        </w:rPr>
        <w:t>taking into account guidance given by the Commission</w:t>
      </w:r>
      <w:r>
        <w:rPr>
          <w:i/>
          <w:color w:val="000000"/>
        </w:rPr>
        <w:t>”.</w:t>
      </w:r>
    </w:p>
    <w:p w14:paraId="1AFFD891" w14:textId="4C80E9C6" w:rsidR="00944347" w:rsidRPr="00790B31" w:rsidRDefault="002876CD" w:rsidP="00944347">
      <w:pPr>
        <w:jc w:val="both"/>
        <w:rPr>
          <w:rFonts w:ascii="Times New Roman" w:hAnsi="Times New Roman"/>
          <w:lang w:val="en-GB"/>
        </w:rPr>
      </w:pPr>
      <w:r w:rsidRPr="007E5BA4">
        <w:rPr>
          <w:rFonts w:ascii="Times New Roman" w:hAnsi="Times New Roman"/>
          <w:lang w:val="en-GB"/>
        </w:rPr>
        <w:t>In this case, and according with Rule XIII</w:t>
      </w:r>
      <w:r w:rsidR="00BA43B3">
        <w:rPr>
          <w:rFonts w:ascii="Times New Roman" w:hAnsi="Times New Roman"/>
          <w:lang w:val="en-GB"/>
        </w:rPr>
        <w:t xml:space="preserve"> of the CPM</w:t>
      </w:r>
      <w:r w:rsidRPr="007E5BA4">
        <w:rPr>
          <w:rFonts w:ascii="Times New Roman" w:hAnsi="Times New Roman"/>
          <w:lang w:val="en-GB"/>
        </w:rPr>
        <w:t xml:space="preserve">: </w:t>
      </w:r>
      <w:r w:rsidRPr="007E5BA4">
        <w:rPr>
          <w:rFonts w:ascii="Times New Roman" w:hAnsi="Times New Roman"/>
          <w:i/>
          <w:lang w:val="en-GB"/>
        </w:rPr>
        <w:t xml:space="preserve">Amendment of or additions to these Rules may be adopted by a two-thirds majority of the members of the Commission present and voting, provided that not less than 24 hours notice of the proposal for the amendment or the addition has been given. </w:t>
      </w:r>
    </w:p>
    <w:p w14:paraId="6423F283" w14:textId="605AC200" w:rsidR="007703FE" w:rsidRPr="0071151B" w:rsidRDefault="0071151B" w:rsidP="0071151B">
      <w:pPr>
        <w:jc w:val="both"/>
        <w:rPr>
          <w:rFonts w:ascii="Times New Roman" w:hAnsi="Times New Roman"/>
        </w:rPr>
      </w:pPr>
      <w:r>
        <w:rPr>
          <w:rFonts w:ascii="Times New Roman" w:hAnsi="Times New Roman"/>
        </w:rPr>
        <w:t>The SPTA is requested to consider this document and provided feedback with regard improvement of the document for submission to CPM-7 fo</w:t>
      </w:r>
      <w:bookmarkStart w:id="0" w:name="_GoBack"/>
      <w:bookmarkEnd w:id="0"/>
      <w:r>
        <w:rPr>
          <w:rFonts w:ascii="Times New Roman" w:hAnsi="Times New Roman"/>
        </w:rPr>
        <w:t>r their consideration.</w:t>
      </w:r>
    </w:p>
    <w:sectPr w:rsidR="007703FE" w:rsidRPr="0071151B" w:rsidSect="0094434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7CAAC" w14:textId="77777777" w:rsidR="00790B31" w:rsidRDefault="00790B31">
      <w:r>
        <w:separator/>
      </w:r>
    </w:p>
  </w:endnote>
  <w:endnote w:type="continuationSeparator" w:id="0">
    <w:p w14:paraId="58828C11" w14:textId="77777777" w:rsidR="00790B31" w:rsidRDefault="0079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B8280" w14:textId="77777777" w:rsidR="00790B31" w:rsidRDefault="00790B31">
      <w:r>
        <w:separator/>
      </w:r>
    </w:p>
  </w:footnote>
  <w:footnote w:type="continuationSeparator" w:id="0">
    <w:p w14:paraId="7D03E3D1" w14:textId="77777777" w:rsidR="00790B31" w:rsidRDefault="00790B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17BF2" w14:textId="77777777" w:rsidR="00790B31" w:rsidRPr="0071151B" w:rsidRDefault="00790B31" w:rsidP="008C2971">
    <w:pPr>
      <w:pStyle w:val="Header"/>
      <w:tabs>
        <w:tab w:val="clear" w:pos="4680"/>
        <w:tab w:val="left" w:pos="4785"/>
        <w:tab w:val="right" w:pos="9498"/>
      </w:tabs>
      <w:spacing w:before="120"/>
      <w:rPr>
        <w:rFonts w:ascii="Times New Roman" w:hAnsi="Times New Roman"/>
        <w:bCs/>
        <w:sz w:val="18"/>
        <w:szCs w:val="18"/>
      </w:rPr>
    </w:pPr>
    <w:r>
      <w:rPr>
        <w:noProof/>
      </w:rPr>
      <w:drawing>
        <wp:inline distT="0" distB="0" distL="0" distR="0" wp14:anchorId="31F6059B" wp14:editId="4641C946">
          <wp:extent cx="638175" cy="333375"/>
          <wp:effectExtent l="19050" t="0" r="9525" b="0"/>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8175" cy="333375"/>
                  </a:xfrm>
                  <a:prstGeom prst="rect">
                    <a:avLst/>
                  </a:prstGeom>
                  <a:noFill/>
                  <a:ln w="9525">
                    <a:noFill/>
                    <a:miter lim="800000"/>
                    <a:headEnd/>
                    <a:tailEnd/>
                  </a:ln>
                </pic:spPr>
              </pic:pic>
            </a:graphicData>
          </a:graphic>
        </wp:inline>
      </w:drawing>
    </w:r>
    <w:r w:rsidRPr="00D32D38">
      <w:rPr>
        <w:rFonts w:ascii="Arial" w:hAnsi="Arial" w:cs="Arial"/>
        <w:sz w:val="18"/>
        <w:szCs w:val="18"/>
      </w:rPr>
      <w:t>International Plant Protection Convention</w:t>
    </w:r>
    <w:r>
      <w:rPr>
        <w:rFonts w:ascii="Arial" w:hAnsi="Arial" w:cs="Arial"/>
        <w:sz w:val="18"/>
        <w:szCs w:val="18"/>
      </w:rPr>
      <w:tab/>
    </w:r>
    <w:r>
      <w:rPr>
        <w:rFonts w:ascii="Arial" w:hAnsi="Arial" w:cs="Arial"/>
        <w:sz w:val="18"/>
        <w:szCs w:val="18"/>
      </w:rPr>
      <w:tab/>
    </w:r>
    <w:r w:rsidRPr="0071151B">
      <w:rPr>
        <w:rFonts w:ascii="Times New Roman" w:hAnsi="Times New Roman"/>
        <w:bCs/>
        <w:sz w:val="18"/>
        <w:szCs w:val="18"/>
      </w:rPr>
      <w:t>SPTA 2011/13</w:t>
    </w:r>
  </w:p>
  <w:p w14:paraId="55ACB440" w14:textId="77777777" w:rsidR="00790B31" w:rsidRPr="0071151B" w:rsidRDefault="00790B31" w:rsidP="008C2971">
    <w:pPr>
      <w:pStyle w:val="Header"/>
      <w:tabs>
        <w:tab w:val="left" w:pos="4320"/>
      </w:tabs>
      <w:spacing w:before="120"/>
      <w:rPr>
        <w:rFonts w:ascii="Times New Roman" w:hAnsi="Times New Roman"/>
        <w:sz w:val="18"/>
        <w:szCs w:val="18"/>
      </w:rPr>
    </w:pPr>
    <w:r w:rsidRPr="0071151B">
      <w:rPr>
        <w:rFonts w:ascii="Times New Roman" w:hAnsi="Times New Roman"/>
        <w:sz w:val="18"/>
        <w:szCs w:val="18"/>
      </w:rPr>
      <w:tab/>
    </w:r>
  </w:p>
  <w:p w14:paraId="5D8BE413" w14:textId="427C515A" w:rsidR="00790B31" w:rsidRPr="0071151B" w:rsidRDefault="00790B31" w:rsidP="008C2971">
    <w:pPr>
      <w:pStyle w:val="Header"/>
      <w:pBdr>
        <w:bottom w:val="single" w:sz="4" w:space="1" w:color="auto"/>
      </w:pBdr>
      <w:tabs>
        <w:tab w:val="right" w:pos="9498"/>
      </w:tabs>
      <w:rPr>
        <w:rFonts w:ascii="Times New Roman" w:hAnsi="Times New Roman"/>
        <w:sz w:val="18"/>
        <w:szCs w:val="18"/>
      </w:rPr>
    </w:pPr>
    <w:r w:rsidRPr="0071151B">
      <w:rPr>
        <w:rFonts w:ascii="Times New Roman" w:hAnsi="Times New Roman"/>
        <w:i/>
        <w:sz w:val="18"/>
        <w:szCs w:val="18"/>
      </w:rPr>
      <w:t>Rul</w:t>
    </w:r>
    <w:r w:rsidR="0071151B" w:rsidRPr="0071151B">
      <w:rPr>
        <w:rFonts w:ascii="Times New Roman" w:hAnsi="Times New Roman"/>
        <w:i/>
        <w:sz w:val="18"/>
        <w:szCs w:val="18"/>
      </w:rPr>
      <w:t>e</w:t>
    </w:r>
    <w:r w:rsidRPr="0071151B">
      <w:rPr>
        <w:rFonts w:ascii="Times New Roman" w:hAnsi="Times New Roman"/>
        <w:i/>
        <w:sz w:val="18"/>
        <w:szCs w:val="18"/>
      </w:rPr>
      <w:t>s for Observers</w:t>
    </w:r>
    <w:r w:rsidRPr="0071151B">
      <w:rPr>
        <w:rFonts w:ascii="Times New Roman" w:hAnsi="Times New Roman"/>
        <w:i/>
        <w:sz w:val="18"/>
        <w:szCs w:val="18"/>
      </w:rPr>
      <w:tab/>
    </w:r>
    <w:r w:rsidRPr="0071151B">
      <w:rPr>
        <w:rFonts w:ascii="Times New Roman" w:hAnsi="Times New Roman"/>
        <w:i/>
        <w:sz w:val="18"/>
        <w:szCs w:val="18"/>
      </w:rPr>
      <w:tab/>
      <w:t>Agenda item: 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62D"/>
    <w:multiLevelType w:val="hybridMultilevel"/>
    <w:tmpl w:val="92B806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6994BD9"/>
    <w:multiLevelType w:val="hybridMultilevel"/>
    <w:tmpl w:val="15D60802"/>
    <w:lvl w:ilvl="0" w:tplc="86CCD7E6">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A1F7625"/>
    <w:multiLevelType w:val="hybridMultilevel"/>
    <w:tmpl w:val="04EAD478"/>
    <w:lvl w:ilvl="0" w:tplc="D902E2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B60F6"/>
    <w:multiLevelType w:val="hybridMultilevel"/>
    <w:tmpl w:val="7F06ADA4"/>
    <w:lvl w:ilvl="0" w:tplc="853CBB06">
      <w:start w:val="1"/>
      <w:numFmt w:val="lowerLetter"/>
      <w:lvlText w:val="%1)"/>
      <w:lvlJc w:val="left"/>
      <w:pPr>
        <w:tabs>
          <w:tab w:val="num" w:pos="360"/>
        </w:tabs>
        <w:ind w:left="360" w:hanging="720"/>
      </w:pPr>
      <w:rPr>
        <w:rFonts w:cs="Times New Roman" w:hint="default"/>
      </w:rPr>
    </w:lvl>
    <w:lvl w:ilvl="1" w:tplc="040B0019" w:tentative="1">
      <w:start w:val="1"/>
      <w:numFmt w:val="lowerLetter"/>
      <w:lvlText w:val="%2."/>
      <w:lvlJc w:val="left"/>
      <w:pPr>
        <w:tabs>
          <w:tab w:val="num" w:pos="720"/>
        </w:tabs>
        <w:ind w:left="720" w:hanging="360"/>
      </w:pPr>
      <w:rPr>
        <w:rFonts w:cs="Times New Roman"/>
      </w:rPr>
    </w:lvl>
    <w:lvl w:ilvl="2" w:tplc="040B001B" w:tentative="1">
      <w:start w:val="1"/>
      <w:numFmt w:val="lowerRoman"/>
      <w:lvlText w:val="%3."/>
      <w:lvlJc w:val="right"/>
      <w:pPr>
        <w:tabs>
          <w:tab w:val="num" w:pos="1440"/>
        </w:tabs>
        <w:ind w:left="1440" w:hanging="180"/>
      </w:pPr>
      <w:rPr>
        <w:rFonts w:cs="Times New Roman"/>
      </w:rPr>
    </w:lvl>
    <w:lvl w:ilvl="3" w:tplc="040B000F" w:tentative="1">
      <w:start w:val="1"/>
      <w:numFmt w:val="decimal"/>
      <w:lvlText w:val="%4."/>
      <w:lvlJc w:val="left"/>
      <w:pPr>
        <w:tabs>
          <w:tab w:val="num" w:pos="2160"/>
        </w:tabs>
        <w:ind w:left="2160" w:hanging="360"/>
      </w:pPr>
      <w:rPr>
        <w:rFonts w:cs="Times New Roman"/>
      </w:rPr>
    </w:lvl>
    <w:lvl w:ilvl="4" w:tplc="040B0019" w:tentative="1">
      <w:start w:val="1"/>
      <w:numFmt w:val="lowerLetter"/>
      <w:lvlText w:val="%5."/>
      <w:lvlJc w:val="left"/>
      <w:pPr>
        <w:tabs>
          <w:tab w:val="num" w:pos="2880"/>
        </w:tabs>
        <w:ind w:left="2880" w:hanging="360"/>
      </w:pPr>
      <w:rPr>
        <w:rFonts w:cs="Times New Roman"/>
      </w:rPr>
    </w:lvl>
    <w:lvl w:ilvl="5" w:tplc="040B001B" w:tentative="1">
      <w:start w:val="1"/>
      <w:numFmt w:val="lowerRoman"/>
      <w:lvlText w:val="%6."/>
      <w:lvlJc w:val="right"/>
      <w:pPr>
        <w:tabs>
          <w:tab w:val="num" w:pos="3600"/>
        </w:tabs>
        <w:ind w:left="3600" w:hanging="180"/>
      </w:pPr>
      <w:rPr>
        <w:rFonts w:cs="Times New Roman"/>
      </w:rPr>
    </w:lvl>
    <w:lvl w:ilvl="6" w:tplc="040B000F" w:tentative="1">
      <w:start w:val="1"/>
      <w:numFmt w:val="decimal"/>
      <w:lvlText w:val="%7."/>
      <w:lvlJc w:val="left"/>
      <w:pPr>
        <w:tabs>
          <w:tab w:val="num" w:pos="4320"/>
        </w:tabs>
        <w:ind w:left="4320" w:hanging="360"/>
      </w:pPr>
      <w:rPr>
        <w:rFonts w:cs="Times New Roman"/>
      </w:rPr>
    </w:lvl>
    <w:lvl w:ilvl="7" w:tplc="040B0019" w:tentative="1">
      <w:start w:val="1"/>
      <w:numFmt w:val="lowerLetter"/>
      <w:lvlText w:val="%8."/>
      <w:lvlJc w:val="left"/>
      <w:pPr>
        <w:tabs>
          <w:tab w:val="num" w:pos="5040"/>
        </w:tabs>
        <w:ind w:left="5040" w:hanging="360"/>
      </w:pPr>
      <w:rPr>
        <w:rFonts w:cs="Times New Roman"/>
      </w:rPr>
    </w:lvl>
    <w:lvl w:ilvl="8" w:tplc="040B001B" w:tentative="1">
      <w:start w:val="1"/>
      <w:numFmt w:val="lowerRoman"/>
      <w:lvlText w:val="%9."/>
      <w:lvlJc w:val="right"/>
      <w:pPr>
        <w:tabs>
          <w:tab w:val="num" w:pos="5760"/>
        </w:tabs>
        <w:ind w:left="5760" w:hanging="180"/>
      </w:pPr>
      <w:rPr>
        <w:rFonts w:cs="Times New Roman"/>
      </w:rPr>
    </w:lvl>
  </w:abstractNum>
  <w:abstractNum w:abstractNumId="4">
    <w:nsid w:val="39430B28"/>
    <w:multiLevelType w:val="hybridMultilevel"/>
    <w:tmpl w:val="CC1A7F36"/>
    <w:lvl w:ilvl="0" w:tplc="7D2A4CF2">
      <w:start w:val="1"/>
      <w:numFmt w:val="lowerRoman"/>
      <w:lvlText w:val="%1)"/>
      <w:lvlJc w:val="left"/>
      <w:pPr>
        <w:tabs>
          <w:tab w:val="num" w:pos="720"/>
        </w:tabs>
        <w:ind w:left="720" w:hanging="360"/>
      </w:pPr>
      <w:rPr>
        <w:rFonts w:cs="Times New Roman" w:hint="default"/>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5">
    <w:nsid w:val="3FF976B9"/>
    <w:multiLevelType w:val="hybridMultilevel"/>
    <w:tmpl w:val="AFF620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0753C5"/>
    <w:multiLevelType w:val="hybridMultilevel"/>
    <w:tmpl w:val="64AA3DE6"/>
    <w:lvl w:ilvl="0" w:tplc="0FF0CEF6">
      <w:start w:val="1"/>
      <w:numFmt w:val="upperRoman"/>
      <w:lvlText w:val="%1."/>
      <w:lvlJc w:val="left"/>
      <w:pPr>
        <w:ind w:left="720" w:hanging="720"/>
      </w:pPr>
      <w:rPr>
        <w:rFonts w:cs="Times New Roman" w:hint="default"/>
      </w:rPr>
    </w:lvl>
    <w:lvl w:ilvl="1" w:tplc="14B81A2E">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3000EFF"/>
    <w:multiLevelType w:val="hybridMultilevel"/>
    <w:tmpl w:val="3BBE3206"/>
    <w:lvl w:ilvl="0" w:tplc="4E0EC8A0">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049CF"/>
    <w:multiLevelType w:val="hybridMultilevel"/>
    <w:tmpl w:val="382407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5EC1735"/>
    <w:multiLevelType w:val="hybridMultilevel"/>
    <w:tmpl w:val="7B2CE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54002"/>
    <w:multiLevelType w:val="hybridMultilevel"/>
    <w:tmpl w:val="AB60147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5A066067"/>
    <w:multiLevelType w:val="hybridMultilevel"/>
    <w:tmpl w:val="37B46296"/>
    <w:lvl w:ilvl="0" w:tplc="D902E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1F3130"/>
    <w:multiLevelType w:val="hybridMultilevel"/>
    <w:tmpl w:val="D52A4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3F3112"/>
    <w:multiLevelType w:val="hybridMultilevel"/>
    <w:tmpl w:val="C94AC164"/>
    <w:lvl w:ilvl="0" w:tplc="CAE2CDD8">
      <w:start w:val="1"/>
      <w:numFmt w:val="upperLetter"/>
      <w:lvlText w:val="%1."/>
      <w:lvlJc w:val="left"/>
      <w:pPr>
        <w:ind w:left="1440" w:hanging="360"/>
      </w:pPr>
      <w:rPr>
        <w:rFonts w:cs="Times New Roman" w:hint="default"/>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65C21CE8"/>
    <w:multiLevelType w:val="multilevel"/>
    <w:tmpl w:val="DBBEABDE"/>
    <w:lvl w:ilvl="0">
      <w:start w:val="1"/>
      <w:numFmt w:val="upperRoman"/>
      <w:lvlText w:val="%1."/>
      <w:lvlJc w:val="left"/>
      <w:pPr>
        <w:ind w:left="1080" w:hanging="720"/>
      </w:pPr>
      <w:rPr>
        <w:rFonts w:cs="Times New Roman" w:hint="default"/>
      </w:rPr>
    </w:lvl>
    <w:lvl w:ilvl="1">
      <w:start w:val="1"/>
      <w:numFmt w:val="upp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6F5609D9"/>
    <w:multiLevelType w:val="hybridMultilevel"/>
    <w:tmpl w:val="A290EF9E"/>
    <w:lvl w:ilvl="0" w:tplc="414C58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0B41E5"/>
    <w:multiLevelType w:val="hybridMultilevel"/>
    <w:tmpl w:val="F8E28830"/>
    <w:lvl w:ilvl="0" w:tplc="601A57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0F2625"/>
    <w:multiLevelType w:val="hybridMultilevel"/>
    <w:tmpl w:val="116A67BC"/>
    <w:lvl w:ilvl="0" w:tplc="DF92A224">
      <w:start w:val="1"/>
      <w:numFmt w:val="upperLetter"/>
      <w:lvlText w:val="%1."/>
      <w:lvlJc w:val="left"/>
      <w:pPr>
        <w:tabs>
          <w:tab w:val="num" w:pos="1296"/>
        </w:tabs>
        <w:ind w:left="1296" w:hanging="576"/>
      </w:pPr>
      <w:rPr>
        <w:rFonts w:ascii="Times New Roman" w:eastAsia="Times New Roman" w:hAnsi="Times New Roman"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BBB10CD"/>
    <w:multiLevelType w:val="multilevel"/>
    <w:tmpl w:val="DBBEABDE"/>
    <w:lvl w:ilvl="0">
      <w:start w:val="1"/>
      <w:numFmt w:val="upperRoman"/>
      <w:lvlText w:val="%1."/>
      <w:lvlJc w:val="left"/>
      <w:pPr>
        <w:ind w:left="1080" w:hanging="720"/>
      </w:pPr>
      <w:rPr>
        <w:rFonts w:cs="Times New Roman" w:hint="default"/>
      </w:rPr>
    </w:lvl>
    <w:lvl w:ilvl="1">
      <w:start w:val="1"/>
      <w:numFmt w:val="upp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17"/>
  </w:num>
  <w:num w:numId="3">
    <w:abstractNumId w:val="10"/>
  </w:num>
  <w:num w:numId="4">
    <w:abstractNumId w:val="13"/>
  </w:num>
  <w:num w:numId="5">
    <w:abstractNumId w:val="4"/>
  </w:num>
  <w:num w:numId="6">
    <w:abstractNumId w:val="1"/>
  </w:num>
  <w:num w:numId="7">
    <w:abstractNumId w:val="14"/>
  </w:num>
  <w:num w:numId="8">
    <w:abstractNumId w:val="18"/>
  </w:num>
  <w:num w:numId="9">
    <w:abstractNumId w:val="3"/>
  </w:num>
  <w:num w:numId="10">
    <w:abstractNumId w:val="8"/>
  </w:num>
  <w:num w:numId="11">
    <w:abstractNumId w:val="12"/>
  </w:num>
  <w:num w:numId="12">
    <w:abstractNumId w:val="0"/>
  </w:num>
  <w:num w:numId="13">
    <w:abstractNumId w:val="5"/>
  </w:num>
  <w:num w:numId="14">
    <w:abstractNumId w:val="2"/>
  </w:num>
  <w:num w:numId="15">
    <w:abstractNumId w:val="11"/>
  </w:num>
  <w:num w:numId="16">
    <w:abstractNumId w:val="9"/>
  </w:num>
  <w:num w:numId="17">
    <w:abstractNumId w:val="7"/>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F9"/>
    <w:rsid w:val="00007A91"/>
    <w:rsid w:val="00012061"/>
    <w:rsid w:val="00052D0C"/>
    <w:rsid w:val="000533F9"/>
    <w:rsid w:val="000818B6"/>
    <w:rsid w:val="000C032E"/>
    <w:rsid w:val="000D32AE"/>
    <w:rsid w:val="000E34A7"/>
    <w:rsid w:val="000F275C"/>
    <w:rsid w:val="000F5C50"/>
    <w:rsid w:val="000F7ED2"/>
    <w:rsid w:val="0017270C"/>
    <w:rsid w:val="0017405F"/>
    <w:rsid w:val="00174799"/>
    <w:rsid w:val="00180F85"/>
    <w:rsid w:val="00190F2C"/>
    <w:rsid w:val="001B718D"/>
    <w:rsid w:val="001C6291"/>
    <w:rsid w:val="00217BF5"/>
    <w:rsid w:val="00223C78"/>
    <w:rsid w:val="00250B26"/>
    <w:rsid w:val="00254754"/>
    <w:rsid w:val="00261FCC"/>
    <w:rsid w:val="002876CD"/>
    <w:rsid w:val="00290188"/>
    <w:rsid w:val="00293FB5"/>
    <w:rsid w:val="00295F9C"/>
    <w:rsid w:val="0030585E"/>
    <w:rsid w:val="00313E13"/>
    <w:rsid w:val="003C198F"/>
    <w:rsid w:val="003D3A10"/>
    <w:rsid w:val="003F7512"/>
    <w:rsid w:val="004014C8"/>
    <w:rsid w:val="0041232C"/>
    <w:rsid w:val="00415D8D"/>
    <w:rsid w:val="004219E1"/>
    <w:rsid w:val="0047140E"/>
    <w:rsid w:val="004D3178"/>
    <w:rsid w:val="00517FDA"/>
    <w:rsid w:val="0054509F"/>
    <w:rsid w:val="00552560"/>
    <w:rsid w:val="00553078"/>
    <w:rsid w:val="00561171"/>
    <w:rsid w:val="00565E2F"/>
    <w:rsid w:val="005F0B21"/>
    <w:rsid w:val="00626A45"/>
    <w:rsid w:val="00646EC0"/>
    <w:rsid w:val="0066593A"/>
    <w:rsid w:val="00674DA3"/>
    <w:rsid w:val="006A006E"/>
    <w:rsid w:val="006C4407"/>
    <w:rsid w:val="006D12DE"/>
    <w:rsid w:val="0071151B"/>
    <w:rsid w:val="00726C57"/>
    <w:rsid w:val="00761AE0"/>
    <w:rsid w:val="007703FE"/>
    <w:rsid w:val="00775A96"/>
    <w:rsid w:val="00776AA9"/>
    <w:rsid w:val="00790B31"/>
    <w:rsid w:val="007A7FB0"/>
    <w:rsid w:val="007E5BA4"/>
    <w:rsid w:val="007F6150"/>
    <w:rsid w:val="00813343"/>
    <w:rsid w:val="00816F3B"/>
    <w:rsid w:val="0084100C"/>
    <w:rsid w:val="00880716"/>
    <w:rsid w:val="008808F8"/>
    <w:rsid w:val="008A0EDD"/>
    <w:rsid w:val="008C2971"/>
    <w:rsid w:val="00900728"/>
    <w:rsid w:val="00911CB9"/>
    <w:rsid w:val="00944347"/>
    <w:rsid w:val="0095724B"/>
    <w:rsid w:val="00967981"/>
    <w:rsid w:val="0099309A"/>
    <w:rsid w:val="009C17E1"/>
    <w:rsid w:val="009C60F4"/>
    <w:rsid w:val="009E4750"/>
    <w:rsid w:val="009F3268"/>
    <w:rsid w:val="009F4D48"/>
    <w:rsid w:val="00A11E93"/>
    <w:rsid w:val="00A13734"/>
    <w:rsid w:val="00A43A6B"/>
    <w:rsid w:val="00A4456C"/>
    <w:rsid w:val="00A52635"/>
    <w:rsid w:val="00A5318B"/>
    <w:rsid w:val="00AA27D8"/>
    <w:rsid w:val="00B06A3D"/>
    <w:rsid w:val="00B15887"/>
    <w:rsid w:val="00B44464"/>
    <w:rsid w:val="00B71665"/>
    <w:rsid w:val="00B719E2"/>
    <w:rsid w:val="00B7482E"/>
    <w:rsid w:val="00B75042"/>
    <w:rsid w:val="00BA2AF5"/>
    <w:rsid w:val="00BA43B3"/>
    <w:rsid w:val="00BB728D"/>
    <w:rsid w:val="00BD4694"/>
    <w:rsid w:val="00BE676F"/>
    <w:rsid w:val="00C2602B"/>
    <w:rsid w:val="00C61921"/>
    <w:rsid w:val="00C74873"/>
    <w:rsid w:val="00CB6FC5"/>
    <w:rsid w:val="00CE3BED"/>
    <w:rsid w:val="00CF7FD1"/>
    <w:rsid w:val="00D0624F"/>
    <w:rsid w:val="00D1633D"/>
    <w:rsid w:val="00D21351"/>
    <w:rsid w:val="00D50F1A"/>
    <w:rsid w:val="00D65278"/>
    <w:rsid w:val="00D911BF"/>
    <w:rsid w:val="00DA52D3"/>
    <w:rsid w:val="00DB7FBE"/>
    <w:rsid w:val="00DC59FB"/>
    <w:rsid w:val="00DC7C0E"/>
    <w:rsid w:val="00DD5C97"/>
    <w:rsid w:val="00DF21D0"/>
    <w:rsid w:val="00DF6FF8"/>
    <w:rsid w:val="00E137A9"/>
    <w:rsid w:val="00E2120B"/>
    <w:rsid w:val="00E511B2"/>
    <w:rsid w:val="00E55956"/>
    <w:rsid w:val="00E647D2"/>
    <w:rsid w:val="00E7681C"/>
    <w:rsid w:val="00ED7C68"/>
    <w:rsid w:val="00EF281C"/>
    <w:rsid w:val="00F35788"/>
    <w:rsid w:val="00F45ABB"/>
    <w:rsid w:val="00F84B8B"/>
    <w:rsid w:val="00FA6DF7"/>
    <w:rsid w:val="00FB7653"/>
    <w:rsid w:val="00FE3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C6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F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F9"/>
    <w:pPr>
      <w:ind w:left="720"/>
      <w:contextualSpacing/>
    </w:pPr>
  </w:style>
  <w:style w:type="paragraph" w:styleId="BalloonText">
    <w:name w:val="Balloon Text"/>
    <w:basedOn w:val="Normal"/>
    <w:link w:val="BalloonTextChar"/>
    <w:uiPriority w:val="99"/>
    <w:semiHidden/>
    <w:rsid w:val="00250B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5788"/>
    <w:rPr>
      <w:rFonts w:ascii="Times New Roman" w:hAnsi="Times New Roman" w:cs="Times New Roman"/>
      <w:sz w:val="2"/>
      <w:lang w:val="en-US" w:eastAsia="en-US"/>
    </w:rPr>
  </w:style>
  <w:style w:type="paragraph" w:styleId="Footer">
    <w:name w:val="footer"/>
    <w:basedOn w:val="Normal"/>
    <w:link w:val="FooterChar"/>
    <w:uiPriority w:val="99"/>
    <w:rsid w:val="008A0EDD"/>
    <w:pPr>
      <w:tabs>
        <w:tab w:val="center" w:pos="4819"/>
        <w:tab w:val="right" w:pos="9638"/>
      </w:tabs>
    </w:pPr>
  </w:style>
  <w:style w:type="character" w:customStyle="1" w:styleId="FooterChar">
    <w:name w:val="Footer Char"/>
    <w:basedOn w:val="DefaultParagraphFont"/>
    <w:link w:val="Footer"/>
    <w:uiPriority w:val="99"/>
    <w:semiHidden/>
    <w:locked/>
    <w:rsid w:val="00F35788"/>
    <w:rPr>
      <w:rFonts w:cs="Times New Roman"/>
      <w:lang w:val="en-US" w:eastAsia="en-US"/>
    </w:rPr>
  </w:style>
  <w:style w:type="character" w:styleId="PageNumber">
    <w:name w:val="page number"/>
    <w:basedOn w:val="DefaultParagraphFont"/>
    <w:uiPriority w:val="99"/>
    <w:rsid w:val="008A0EDD"/>
    <w:rPr>
      <w:rFonts w:cs="Times New Roman"/>
    </w:rPr>
  </w:style>
  <w:style w:type="paragraph" w:styleId="Header">
    <w:name w:val="header"/>
    <w:basedOn w:val="Normal"/>
    <w:link w:val="HeaderChar"/>
    <w:uiPriority w:val="99"/>
    <w:unhideWhenUsed/>
    <w:rsid w:val="0040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4C8"/>
    <w:rPr>
      <w:lang w:val="en-US" w:eastAsia="en-US"/>
    </w:rPr>
  </w:style>
  <w:style w:type="table" w:styleId="TableGrid">
    <w:name w:val="Table Grid"/>
    <w:basedOn w:val="TableNormal"/>
    <w:locked/>
    <w:rsid w:val="00D50F1A"/>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52635"/>
  </w:style>
  <w:style w:type="paragraph" w:customStyle="1" w:styleId="Normale">
    <w:name w:val="Normale"/>
    <w:basedOn w:val="Normal"/>
    <w:next w:val="Normal"/>
    <w:uiPriority w:val="99"/>
    <w:rsid w:val="004219E1"/>
    <w:pPr>
      <w:autoSpaceDE w:val="0"/>
      <w:autoSpaceDN w:val="0"/>
      <w:adjustRightInd w:val="0"/>
      <w:spacing w:after="0" w:line="240" w:lineRule="auto"/>
    </w:pPr>
    <w:rPr>
      <w:rFonts w:ascii="Times New Roman" w:hAnsi="Times New Roman"/>
      <w:sz w:val="24"/>
      <w:szCs w:val="24"/>
    </w:rPr>
  </w:style>
  <w:style w:type="character" w:customStyle="1" w:styleId="NroPara">
    <w:name w:val="NroPara"/>
    <w:uiPriority w:val="99"/>
    <w:rsid w:val="004219E1"/>
    <w:rPr>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F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F9"/>
    <w:pPr>
      <w:ind w:left="720"/>
      <w:contextualSpacing/>
    </w:pPr>
  </w:style>
  <w:style w:type="paragraph" w:styleId="BalloonText">
    <w:name w:val="Balloon Text"/>
    <w:basedOn w:val="Normal"/>
    <w:link w:val="BalloonTextChar"/>
    <w:uiPriority w:val="99"/>
    <w:semiHidden/>
    <w:rsid w:val="00250B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5788"/>
    <w:rPr>
      <w:rFonts w:ascii="Times New Roman" w:hAnsi="Times New Roman" w:cs="Times New Roman"/>
      <w:sz w:val="2"/>
      <w:lang w:val="en-US" w:eastAsia="en-US"/>
    </w:rPr>
  </w:style>
  <w:style w:type="paragraph" w:styleId="Footer">
    <w:name w:val="footer"/>
    <w:basedOn w:val="Normal"/>
    <w:link w:val="FooterChar"/>
    <w:uiPriority w:val="99"/>
    <w:rsid w:val="008A0EDD"/>
    <w:pPr>
      <w:tabs>
        <w:tab w:val="center" w:pos="4819"/>
        <w:tab w:val="right" w:pos="9638"/>
      </w:tabs>
    </w:pPr>
  </w:style>
  <w:style w:type="character" w:customStyle="1" w:styleId="FooterChar">
    <w:name w:val="Footer Char"/>
    <w:basedOn w:val="DefaultParagraphFont"/>
    <w:link w:val="Footer"/>
    <w:uiPriority w:val="99"/>
    <w:semiHidden/>
    <w:locked/>
    <w:rsid w:val="00F35788"/>
    <w:rPr>
      <w:rFonts w:cs="Times New Roman"/>
      <w:lang w:val="en-US" w:eastAsia="en-US"/>
    </w:rPr>
  </w:style>
  <w:style w:type="character" w:styleId="PageNumber">
    <w:name w:val="page number"/>
    <w:basedOn w:val="DefaultParagraphFont"/>
    <w:uiPriority w:val="99"/>
    <w:rsid w:val="008A0EDD"/>
    <w:rPr>
      <w:rFonts w:cs="Times New Roman"/>
    </w:rPr>
  </w:style>
  <w:style w:type="paragraph" w:styleId="Header">
    <w:name w:val="header"/>
    <w:basedOn w:val="Normal"/>
    <w:link w:val="HeaderChar"/>
    <w:uiPriority w:val="99"/>
    <w:unhideWhenUsed/>
    <w:rsid w:val="0040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4C8"/>
    <w:rPr>
      <w:lang w:val="en-US" w:eastAsia="en-US"/>
    </w:rPr>
  </w:style>
  <w:style w:type="table" w:styleId="TableGrid">
    <w:name w:val="Table Grid"/>
    <w:basedOn w:val="TableNormal"/>
    <w:locked/>
    <w:rsid w:val="00D50F1A"/>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52635"/>
  </w:style>
  <w:style w:type="paragraph" w:customStyle="1" w:styleId="Normale">
    <w:name w:val="Normale"/>
    <w:basedOn w:val="Normal"/>
    <w:next w:val="Normal"/>
    <w:uiPriority w:val="99"/>
    <w:rsid w:val="004219E1"/>
    <w:pPr>
      <w:autoSpaceDE w:val="0"/>
      <w:autoSpaceDN w:val="0"/>
      <w:adjustRightInd w:val="0"/>
      <w:spacing w:after="0" w:line="240" w:lineRule="auto"/>
    </w:pPr>
    <w:rPr>
      <w:rFonts w:ascii="Times New Roman" w:hAnsi="Times New Roman"/>
      <w:sz w:val="24"/>
      <w:szCs w:val="24"/>
    </w:rPr>
  </w:style>
  <w:style w:type="character" w:customStyle="1" w:styleId="NroPara">
    <w:name w:val="NroPara"/>
    <w:uiPriority w:val="99"/>
    <w:rsid w:val="004219E1"/>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2259</Words>
  <Characters>12880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Resource Mobilization for the IPPC</vt:lpstr>
    </vt:vector>
  </TitlesOfParts>
  <Company>USDA-APHIS</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 for the IPPC</dc:title>
  <dc:creator>cfedchock</dc:creator>
  <cp:lastModifiedBy>mac</cp:lastModifiedBy>
  <cp:revision>2</cp:revision>
  <cp:lastPrinted>2011-09-23T09:30:00Z</cp:lastPrinted>
  <dcterms:created xsi:type="dcterms:W3CDTF">2011-09-28T12:23:00Z</dcterms:created>
  <dcterms:modified xsi:type="dcterms:W3CDTF">2011-09-28T12:23:00Z</dcterms:modified>
</cp:coreProperties>
</file>