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1D" w:rsidRPr="007552F5" w:rsidRDefault="00143FEC" w:rsidP="0090611D">
      <w:pPr>
        <w:jc w:val="center"/>
        <w:rPr>
          <w:rFonts w:ascii="Times New Roman" w:hAnsi="Times New Roman" w:cs="Times New Roman"/>
          <w:b/>
        </w:rPr>
      </w:pPr>
      <w:r w:rsidRPr="007552F5">
        <w:rPr>
          <w:rFonts w:ascii="Times New Roman" w:hAnsi="Times New Roman" w:cs="Times New Roman"/>
          <w:b/>
        </w:rPr>
        <w:t>Discussion paper from Australia</w:t>
      </w:r>
    </w:p>
    <w:p w:rsidR="008B60BD" w:rsidRPr="007552F5" w:rsidRDefault="0090611D" w:rsidP="0090611D">
      <w:pPr>
        <w:jc w:val="center"/>
        <w:rPr>
          <w:rFonts w:ascii="Times New Roman" w:hAnsi="Times New Roman" w:cs="Times New Roman"/>
          <w:b/>
        </w:rPr>
      </w:pPr>
      <w:r w:rsidRPr="007552F5">
        <w:rPr>
          <w:rFonts w:ascii="Times New Roman" w:hAnsi="Times New Roman" w:cs="Times New Roman"/>
          <w:b/>
        </w:rPr>
        <w:t>F</w:t>
      </w:r>
      <w:r w:rsidR="002777DB" w:rsidRPr="007552F5">
        <w:rPr>
          <w:rFonts w:ascii="Times New Roman" w:hAnsi="Times New Roman" w:cs="Times New Roman"/>
          <w:b/>
        </w:rPr>
        <w:t>uture of the Informal Working Group on Strategic Planning and Technical Assistance</w:t>
      </w:r>
    </w:p>
    <w:p w:rsidR="005B3C3D" w:rsidRPr="007552F5" w:rsidRDefault="005B3C3D" w:rsidP="00C411BC">
      <w:pPr>
        <w:spacing w:before="120" w:after="120" w:line="240" w:lineRule="auto"/>
        <w:rPr>
          <w:rFonts w:ascii="Times New Roman" w:hAnsi="Times New Roman" w:cs="Times New Roman"/>
          <w:b/>
          <w:u w:val="single"/>
        </w:rPr>
      </w:pPr>
      <w:r w:rsidRPr="007552F5">
        <w:rPr>
          <w:rFonts w:ascii="Times New Roman" w:hAnsi="Times New Roman" w:cs="Times New Roman"/>
          <w:b/>
          <w:u w:val="single"/>
        </w:rPr>
        <w:t>Issue</w:t>
      </w:r>
    </w:p>
    <w:p w:rsidR="005B3C3D" w:rsidRPr="007552F5" w:rsidRDefault="005B3C3D" w:rsidP="00C411BC">
      <w:pPr>
        <w:spacing w:after="120" w:line="240" w:lineRule="auto"/>
        <w:rPr>
          <w:rFonts w:ascii="Times New Roman" w:hAnsi="Times New Roman" w:cs="Times New Roman"/>
        </w:rPr>
      </w:pPr>
      <w:r w:rsidRPr="007552F5">
        <w:rPr>
          <w:rFonts w:ascii="Times New Roman" w:hAnsi="Times New Roman" w:cs="Times New Roman"/>
        </w:rPr>
        <w:t>The need for the Informal Working Group on Strategic Planning and Technical Assistance (SPTA) should be closely examined against current IPPC governance structures and operations and consideration given to ceasing SPTA annual meetings.</w:t>
      </w:r>
    </w:p>
    <w:p w:rsidR="005B3C3D" w:rsidRPr="007552F5" w:rsidRDefault="005B3C3D" w:rsidP="00C411BC">
      <w:pPr>
        <w:spacing w:before="120" w:after="120" w:line="240" w:lineRule="auto"/>
        <w:rPr>
          <w:rFonts w:ascii="Times New Roman" w:hAnsi="Times New Roman" w:cs="Times New Roman"/>
          <w:b/>
          <w:u w:val="single"/>
        </w:rPr>
      </w:pPr>
      <w:r w:rsidRPr="007552F5">
        <w:rPr>
          <w:rFonts w:ascii="Times New Roman" w:hAnsi="Times New Roman" w:cs="Times New Roman"/>
          <w:b/>
          <w:u w:val="single"/>
        </w:rPr>
        <w:t>Considerations</w:t>
      </w:r>
    </w:p>
    <w:p w:rsidR="00837DC7" w:rsidRPr="007552F5" w:rsidRDefault="00BC7D19" w:rsidP="00C411BC">
      <w:pPr>
        <w:spacing w:after="120" w:line="240" w:lineRule="auto"/>
        <w:rPr>
          <w:rFonts w:ascii="Times New Roman" w:hAnsi="Times New Roman" w:cs="Times New Roman"/>
        </w:rPr>
      </w:pPr>
      <w:r w:rsidRPr="007552F5">
        <w:rPr>
          <w:rFonts w:ascii="Times New Roman" w:hAnsi="Times New Roman" w:cs="Times New Roman"/>
        </w:rPr>
        <w:t xml:space="preserve">The </w:t>
      </w:r>
      <w:r w:rsidR="00257B6B" w:rsidRPr="007552F5">
        <w:rPr>
          <w:rFonts w:ascii="Times New Roman" w:hAnsi="Times New Roman" w:cs="Times New Roman"/>
        </w:rPr>
        <w:t xml:space="preserve">scope of the </w:t>
      </w:r>
      <w:r w:rsidR="0090611D" w:rsidRPr="007552F5">
        <w:rPr>
          <w:rFonts w:ascii="Times New Roman" w:hAnsi="Times New Roman" w:cs="Times New Roman"/>
        </w:rPr>
        <w:t>Informal Working Group on Strategic Planning and Technical Assistance (SPTA)</w:t>
      </w:r>
      <w:r w:rsidRPr="007552F5">
        <w:rPr>
          <w:rFonts w:ascii="Times New Roman" w:hAnsi="Times New Roman" w:cs="Times New Roman"/>
        </w:rPr>
        <w:t xml:space="preserve"> </w:t>
      </w:r>
      <w:r w:rsidR="00257B6B" w:rsidRPr="007552F5">
        <w:rPr>
          <w:rFonts w:ascii="Times New Roman" w:hAnsi="Times New Roman" w:cs="Times New Roman"/>
        </w:rPr>
        <w:t>is to assist</w:t>
      </w:r>
      <w:r w:rsidRPr="007552F5">
        <w:rPr>
          <w:rFonts w:ascii="Times New Roman" w:hAnsi="Times New Roman" w:cs="Times New Roman"/>
        </w:rPr>
        <w:t xml:space="preserve"> the </w:t>
      </w:r>
      <w:r w:rsidR="007137B9" w:rsidRPr="007552F5">
        <w:rPr>
          <w:rFonts w:ascii="Times New Roman" w:hAnsi="Times New Roman" w:cs="Times New Roman"/>
        </w:rPr>
        <w:t>Commission on Phytosanitary Measures (CPM)</w:t>
      </w:r>
      <w:r w:rsidRPr="007552F5">
        <w:rPr>
          <w:rFonts w:ascii="Times New Roman" w:hAnsi="Times New Roman" w:cs="Times New Roman"/>
        </w:rPr>
        <w:t xml:space="preserve"> with business and strategic planning, technical assistance, administrative and procedural matters. </w:t>
      </w:r>
    </w:p>
    <w:p w:rsidR="00BC7D19" w:rsidRPr="007552F5" w:rsidRDefault="00837DC7" w:rsidP="00C411BC">
      <w:pPr>
        <w:spacing w:after="120" w:line="240" w:lineRule="auto"/>
        <w:rPr>
          <w:rFonts w:ascii="Times New Roman" w:hAnsi="Times New Roman" w:cs="Times New Roman"/>
        </w:rPr>
      </w:pPr>
      <w:r w:rsidRPr="007552F5">
        <w:rPr>
          <w:rFonts w:ascii="Times New Roman" w:hAnsi="Times New Roman" w:cs="Times New Roman"/>
        </w:rPr>
        <w:t>Traditionally the SPTA has worked on budget and operational planning. However, i</w:t>
      </w:r>
      <w:r w:rsidR="00BC7D19" w:rsidRPr="007552F5">
        <w:rPr>
          <w:rFonts w:ascii="Times New Roman" w:hAnsi="Times New Roman" w:cs="Times New Roman"/>
        </w:rPr>
        <w:t xml:space="preserve">n 2010, the Bureau recommended that the SPTA’s role should be longer term strategic planning. </w:t>
      </w:r>
      <w:r w:rsidR="005B3C3D" w:rsidRPr="007552F5">
        <w:rPr>
          <w:rFonts w:ascii="Times New Roman" w:hAnsi="Times New Roman" w:cs="Times New Roman"/>
        </w:rPr>
        <w:t>In</w:t>
      </w:r>
      <w:r w:rsidR="0090611D" w:rsidRPr="007552F5">
        <w:rPr>
          <w:rFonts w:ascii="Times New Roman" w:hAnsi="Times New Roman" w:cs="Times New Roman"/>
        </w:rPr>
        <w:t xml:space="preserve"> 2012, CPM 7 will consider adoption of the draft IPPC Strategic Framework 2012-2019. Once adopted, this document will provide the </w:t>
      </w:r>
      <w:r w:rsidR="00257B6B" w:rsidRPr="007552F5">
        <w:rPr>
          <w:rFonts w:ascii="Times New Roman" w:hAnsi="Times New Roman" w:cs="Times New Roman"/>
        </w:rPr>
        <w:t>direction</w:t>
      </w:r>
      <w:r w:rsidR="0090611D" w:rsidRPr="007552F5">
        <w:rPr>
          <w:rFonts w:ascii="Times New Roman" w:hAnsi="Times New Roman" w:cs="Times New Roman"/>
        </w:rPr>
        <w:t xml:space="preserve"> for IPPC activities</w:t>
      </w:r>
      <w:r w:rsidR="00257B6B" w:rsidRPr="007552F5">
        <w:rPr>
          <w:rFonts w:ascii="Times New Roman" w:hAnsi="Times New Roman" w:cs="Times New Roman"/>
        </w:rPr>
        <w:t xml:space="preserve"> for the next eight years</w:t>
      </w:r>
      <w:r w:rsidR="005B3C3D" w:rsidRPr="007552F5">
        <w:rPr>
          <w:rFonts w:ascii="Times New Roman" w:hAnsi="Times New Roman" w:cs="Times New Roman"/>
        </w:rPr>
        <w:t>, taking over the longer term strategic planning role undertaken by SPTA</w:t>
      </w:r>
      <w:r w:rsidR="0090611D" w:rsidRPr="007552F5">
        <w:rPr>
          <w:rFonts w:ascii="Times New Roman" w:hAnsi="Times New Roman" w:cs="Times New Roman"/>
        </w:rPr>
        <w:t>.</w:t>
      </w:r>
      <w:r w:rsidR="00854FB8" w:rsidRPr="007552F5">
        <w:rPr>
          <w:rFonts w:ascii="Times New Roman" w:hAnsi="Times New Roman" w:cs="Times New Roman"/>
        </w:rPr>
        <w:t xml:space="preserve"> </w:t>
      </w:r>
      <w:r w:rsidR="005B3C3D" w:rsidRPr="007552F5">
        <w:rPr>
          <w:rFonts w:ascii="Times New Roman" w:hAnsi="Times New Roman" w:cs="Times New Roman"/>
        </w:rPr>
        <w:t xml:space="preserve"> These changes </w:t>
      </w:r>
      <w:r w:rsidRPr="007552F5">
        <w:rPr>
          <w:rFonts w:ascii="Times New Roman" w:hAnsi="Times New Roman" w:cs="Times New Roman"/>
        </w:rPr>
        <w:t xml:space="preserve">contribute to diminishing the role of the SPTA. </w:t>
      </w:r>
      <w:r w:rsidR="00BC7D19" w:rsidRPr="007552F5">
        <w:rPr>
          <w:rFonts w:ascii="Times New Roman" w:hAnsi="Times New Roman" w:cs="Times New Roman"/>
        </w:rPr>
        <w:t xml:space="preserve">Other factors are: </w:t>
      </w:r>
    </w:p>
    <w:p w:rsidR="002777DB" w:rsidRPr="007552F5" w:rsidRDefault="00AF73E4" w:rsidP="00BC7D19">
      <w:pPr>
        <w:pStyle w:val="ListParagraph"/>
        <w:numPr>
          <w:ilvl w:val="0"/>
          <w:numId w:val="3"/>
        </w:numPr>
        <w:spacing w:line="240" w:lineRule="auto"/>
        <w:rPr>
          <w:rFonts w:ascii="Times New Roman" w:hAnsi="Times New Roman" w:cs="Times New Roman"/>
        </w:rPr>
      </w:pPr>
      <w:r w:rsidRPr="007552F5">
        <w:rPr>
          <w:rFonts w:ascii="Times New Roman" w:hAnsi="Times New Roman" w:cs="Times New Roman"/>
        </w:rPr>
        <w:t xml:space="preserve">The </w:t>
      </w:r>
      <w:r w:rsidR="002777DB" w:rsidRPr="007552F5">
        <w:rPr>
          <w:rFonts w:ascii="Times New Roman" w:hAnsi="Times New Roman" w:cs="Times New Roman"/>
        </w:rPr>
        <w:t>expansion of the CPM Bureau to seven members</w:t>
      </w:r>
      <w:r w:rsidRPr="007552F5">
        <w:rPr>
          <w:rFonts w:ascii="Times New Roman" w:hAnsi="Times New Roman" w:cs="Times New Roman"/>
        </w:rPr>
        <w:t>, thereby ensuring</w:t>
      </w:r>
      <w:r w:rsidR="00837DC7" w:rsidRPr="007552F5">
        <w:rPr>
          <w:rFonts w:ascii="Times New Roman" w:hAnsi="Times New Roman" w:cs="Times New Roman"/>
        </w:rPr>
        <w:t xml:space="preserve"> regional representation in Bureau discussions and decisions</w:t>
      </w:r>
      <w:r w:rsidR="005B3C3D" w:rsidRPr="007552F5">
        <w:rPr>
          <w:rFonts w:ascii="Times New Roman" w:hAnsi="Times New Roman" w:cs="Times New Roman"/>
        </w:rPr>
        <w:t>;</w:t>
      </w:r>
      <w:r w:rsidR="00837DC7" w:rsidRPr="007552F5">
        <w:rPr>
          <w:rFonts w:ascii="Times New Roman" w:hAnsi="Times New Roman" w:cs="Times New Roman"/>
        </w:rPr>
        <w:t xml:space="preserve"> </w:t>
      </w:r>
    </w:p>
    <w:p w:rsidR="0090611D" w:rsidRPr="007552F5" w:rsidRDefault="005B3C3D" w:rsidP="0090611D">
      <w:pPr>
        <w:pStyle w:val="ListParagraph"/>
        <w:numPr>
          <w:ilvl w:val="0"/>
          <w:numId w:val="3"/>
        </w:numPr>
        <w:spacing w:line="240" w:lineRule="auto"/>
        <w:rPr>
          <w:rFonts w:ascii="Times New Roman" w:hAnsi="Times New Roman" w:cs="Times New Roman"/>
        </w:rPr>
      </w:pPr>
      <w:r w:rsidRPr="007552F5">
        <w:rPr>
          <w:rFonts w:ascii="Times New Roman" w:hAnsi="Times New Roman" w:cs="Times New Roman"/>
        </w:rPr>
        <w:t>T</w:t>
      </w:r>
      <w:r w:rsidR="0090611D" w:rsidRPr="007552F5">
        <w:rPr>
          <w:rFonts w:ascii="Times New Roman" w:hAnsi="Times New Roman" w:cs="Times New Roman"/>
        </w:rPr>
        <w:t>he Bureau</w:t>
      </w:r>
      <w:r w:rsidR="00854FB8" w:rsidRPr="007552F5">
        <w:rPr>
          <w:rFonts w:ascii="Times New Roman" w:hAnsi="Times New Roman" w:cs="Times New Roman"/>
        </w:rPr>
        <w:t xml:space="preserve"> decision in 2010 </w:t>
      </w:r>
      <w:r w:rsidR="0090611D" w:rsidRPr="007552F5">
        <w:rPr>
          <w:rFonts w:ascii="Times New Roman" w:hAnsi="Times New Roman" w:cs="Times New Roman"/>
        </w:rPr>
        <w:t xml:space="preserve">that </w:t>
      </w:r>
      <w:r w:rsidR="00257B6B" w:rsidRPr="007552F5">
        <w:rPr>
          <w:rFonts w:ascii="Times New Roman" w:hAnsi="Times New Roman" w:cs="Times New Roman"/>
        </w:rPr>
        <w:t>the Bureau</w:t>
      </w:r>
      <w:r w:rsidR="0090611D" w:rsidRPr="007552F5">
        <w:rPr>
          <w:rFonts w:ascii="Times New Roman" w:hAnsi="Times New Roman" w:cs="Times New Roman"/>
        </w:rPr>
        <w:t xml:space="preserve"> would cover budgets and o</w:t>
      </w:r>
      <w:r w:rsidR="00854FB8" w:rsidRPr="007552F5">
        <w:rPr>
          <w:rFonts w:ascii="Times New Roman" w:hAnsi="Times New Roman" w:cs="Times New Roman"/>
        </w:rPr>
        <w:t>perational issues, not the SPTA</w:t>
      </w:r>
      <w:r w:rsidRPr="007552F5">
        <w:rPr>
          <w:rFonts w:ascii="Times New Roman" w:hAnsi="Times New Roman" w:cs="Times New Roman"/>
        </w:rPr>
        <w:t>;</w:t>
      </w:r>
      <w:r w:rsidR="0090611D" w:rsidRPr="007552F5">
        <w:rPr>
          <w:rFonts w:ascii="Times New Roman" w:hAnsi="Times New Roman" w:cs="Times New Roman"/>
        </w:rPr>
        <w:t xml:space="preserve"> </w:t>
      </w:r>
    </w:p>
    <w:p w:rsidR="00BC7D19" w:rsidRPr="007552F5" w:rsidRDefault="005B3C3D" w:rsidP="00BC7D19">
      <w:pPr>
        <w:pStyle w:val="ListParagraph"/>
        <w:numPr>
          <w:ilvl w:val="0"/>
          <w:numId w:val="3"/>
        </w:numPr>
        <w:spacing w:line="240" w:lineRule="auto"/>
        <w:rPr>
          <w:rFonts w:ascii="Times New Roman" w:hAnsi="Times New Roman" w:cs="Times New Roman"/>
        </w:rPr>
      </w:pPr>
      <w:r w:rsidRPr="007552F5">
        <w:rPr>
          <w:rFonts w:ascii="Times New Roman" w:hAnsi="Times New Roman" w:cs="Times New Roman"/>
        </w:rPr>
        <w:t>T</w:t>
      </w:r>
      <w:r w:rsidR="00BC7D19" w:rsidRPr="007552F5">
        <w:rPr>
          <w:rFonts w:ascii="Times New Roman" w:hAnsi="Times New Roman" w:cs="Times New Roman"/>
        </w:rPr>
        <w:t xml:space="preserve">he poor financial situation of the </w:t>
      </w:r>
      <w:r w:rsidR="007137B9" w:rsidRPr="007552F5">
        <w:rPr>
          <w:rFonts w:ascii="Times New Roman" w:hAnsi="Times New Roman" w:cs="Times New Roman"/>
        </w:rPr>
        <w:t>International Plant Protection Convention (IPPC)</w:t>
      </w:r>
      <w:r w:rsidR="00257B6B" w:rsidRPr="007552F5">
        <w:rPr>
          <w:rFonts w:ascii="Times New Roman" w:hAnsi="Times New Roman" w:cs="Times New Roman"/>
        </w:rPr>
        <w:t xml:space="preserve"> suggests that the resources used to hold SPTA meetings may be better utilised in supporting other activities of the IPPC, such as standard setting</w:t>
      </w:r>
      <w:r w:rsidRPr="007552F5">
        <w:rPr>
          <w:rFonts w:ascii="Times New Roman" w:hAnsi="Times New Roman" w:cs="Times New Roman"/>
        </w:rPr>
        <w:t>;</w:t>
      </w:r>
    </w:p>
    <w:p w:rsidR="00BC7D19" w:rsidRPr="007552F5" w:rsidRDefault="005B3C3D" w:rsidP="00BC7D19">
      <w:pPr>
        <w:pStyle w:val="ListParagraph"/>
        <w:numPr>
          <w:ilvl w:val="0"/>
          <w:numId w:val="3"/>
        </w:numPr>
        <w:spacing w:line="240" w:lineRule="auto"/>
        <w:rPr>
          <w:rFonts w:ascii="Times New Roman" w:hAnsi="Times New Roman" w:cs="Times New Roman"/>
        </w:rPr>
      </w:pPr>
      <w:r w:rsidRPr="007552F5">
        <w:rPr>
          <w:rFonts w:ascii="Times New Roman" w:hAnsi="Times New Roman" w:cs="Times New Roman"/>
        </w:rPr>
        <w:t>R</w:t>
      </w:r>
      <w:r w:rsidR="00BC7D19" w:rsidRPr="007552F5">
        <w:rPr>
          <w:rFonts w:ascii="Times New Roman" w:hAnsi="Times New Roman" w:cs="Times New Roman"/>
        </w:rPr>
        <w:t>ecommendations from the 2011 Focus Group on improving the standard setting process</w:t>
      </w:r>
      <w:r w:rsidR="000778E2" w:rsidRPr="007552F5">
        <w:rPr>
          <w:rFonts w:ascii="Times New Roman" w:hAnsi="Times New Roman" w:cs="Times New Roman"/>
        </w:rPr>
        <w:t>, if adopted,</w:t>
      </w:r>
      <w:r w:rsidR="00BC7D19" w:rsidRPr="007552F5">
        <w:rPr>
          <w:rFonts w:ascii="Times New Roman" w:hAnsi="Times New Roman" w:cs="Times New Roman"/>
        </w:rPr>
        <w:t xml:space="preserve"> </w:t>
      </w:r>
      <w:r w:rsidR="00257B6B" w:rsidRPr="007552F5">
        <w:rPr>
          <w:rFonts w:ascii="Times New Roman" w:hAnsi="Times New Roman" w:cs="Times New Roman"/>
        </w:rPr>
        <w:t xml:space="preserve">mean </w:t>
      </w:r>
      <w:r w:rsidR="00BC7D19" w:rsidRPr="007552F5">
        <w:rPr>
          <w:rFonts w:ascii="Times New Roman" w:hAnsi="Times New Roman" w:cs="Times New Roman"/>
        </w:rPr>
        <w:t>that SPTA would no longer need to be involved in setting priorities for standard</w:t>
      </w:r>
      <w:r w:rsidR="000778E2" w:rsidRPr="007552F5">
        <w:rPr>
          <w:rFonts w:ascii="Times New Roman" w:hAnsi="Times New Roman" w:cs="Times New Roman"/>
        </w:rPr>
        <w:t>s</w:t>
      </w:r>
      <w:r w:rsidR="00BC7D19" w:rsidRPr="007552F5">
        <w:rPr>
          <w:rFonts w:ascii="Times New Roman" w:hAnsi="Times New Roman" w:cs="Times New Roman"/>
        </w:rPr>
        <w:t xml:space="preserve"> development</w:t>
      </w:r>
      <w:r w:rsidR="00AF73E4" w:rsidRPr="007552F5">
        <w:rPr>
          <w:rFonts w:ascii="Times New Roman" w:hAnsi="Times New Roman" w:cs="Times New Roman"/>
        </w:rPr>
        <w:t xml:space="preserve"> nor would there be a need for evening sessions to finalise text of draft standards</w:t>
      </w:r>
      <w:r w:rsidRPr="007552F5">
        <w:rPr>
          <w:rFonts w:ascii="Times New Roman" w:hAnsi="Times New Roman" w:cs="Times New Roman"/>
        </w:rPr>
        <w:t>; and,</w:t>
      </w:r>
    </w:p>
    <w:p w:rsidR="00BC7D19" w:rsidRPr="007552F5" w:rsidRDefault="005B3C3D" w:rsidP="00BC7D19">
      <w:pPr>
        <w:pStyle w:val="ListParagraph"/>
        <w:numPr>
          <w:ilvl w:val="0"/>
          <w:numId w:val="3"/>
        </w:numPr>
        <w:spacing w:line="240" w:lineRule="auto"/>
        <w:rPr>
          <w:rFonts w:ascii="Times New Roman" w:hAnsi="Times New Roman" w:cs="Times New Roman"/>
        </w:rPr>
      </w:pPr>
      <w:r w:rsidRPr="007552F5">
        <w:rPr>
          <w:rFonts w:ascii="Times New Roman" w:hAnsi="Times New Roman" w:cs="Times New Roman"/>
        </w:rPr>
        <w:t>A</w:t>
      </w:r>
      <w:r w:rsidR="00257B6B" w:rsidRPr="007552F5">
        <w:rPr>
          <w:rFonts w:ascii="Times New Roman" w:hAnsi="Times New Roman" w:cs="Times New Roman"/>
        </w:rPr>
        <w:t xml:space="preserve"> recommendation from the </w:t>
      </w:r>
      <w:r w:rsidR="00A25D83" w:rsidRPr="007552F5">
        <w:rPr>
          <w:rFonts w:ascii="Times New Roman" w:hAnsi="Times New Roman" w:cs="Times New Roman"/>
        </w:rPr>
        <w:t>Expert Working Gro</w:t>
      </w:r>
      <w:r w:rsidR="00257B6B" w:rsidRPr="007552F5">
        <w:rPr>
          <w:rFonts w:ascii="Times New Roman" w:hAnsi="Times New Roman" w:cs="Times New Roman"/>
        </w:rPr>
        <w:t xml:space="preserve">up for </w:t>
      </w:r>
      <w:r w:rsidR="00A25D83" w:rsidRPr="007552F5">
        <w:rPr>
          <w:rFonts w:ascii="Times New Roman" w:hAnsi="Times New Roman" w:cs="Times New Roman"/>
        </w:rPr>
        <w:t>Phytosanitary Capacity Development</w:t>
      </w:r>
      <w:r w:rsidR="00257B6B" w:rsidRPr="007552F5">
        <w:rPr>
          <w:rFonts w:ascii="Times New Roman" w:hAnsi="Times New Roman" w:cs="Times New Roman"/>
        </w:rPr>
        <w:t xml:space="preserve"> that </w:t>
      </w:r>
      <w:r w:rsidR="00BC7D19" w:rsidRPr="007552F5">
        <w:rPr>
          <w:rFonts w:ascii="Times New Roman" w:hAnsi="Times New Roman" w:cs="Times New Roman"/>
        </w:rPr>
        <w:t>a subsidiary body on capacity building</w:t>
      </w:r>
      <w:r w:rsidR="00257B6B" w:rsidRPr="007552F5">
        <w:rPr>
          <w:rFonts w:ascii="Times New Roman" w:hAnsi="Times New Roman" w:cs="Times New Roman"/>
        </w:rPr>
        <w:t xml:space="preserve"> be established</w:t>
      </w:r>
      <w:r w:rsidR="000778E2" w:rsidRPr="007552F5">
        <w:rPr>
          <w:rFonts w:ascii="Times New Roman" w:hAnsi="Times New Roman" w:cs="Times New Roman"/>
        </w:rPr>
        <w:t>.</w:t>
      </w:r>
    </w:p>
    <w:p w:rsidR="00DD3056" w:rsidRPr="007552F5" w:rsidRDefault="00DD3056" w:rsidP="00C411BC">
      <w:pPr>
        <w:spacing w:after="120" w:line="240" w:lineRule="auto"/>
        <w:rPr>
          <w:rFonts w:ascii="Times New Roman" w:hAnsi="Times New Roman" w:cs="Times New Roman"/>
        </w:rPr>
      </w:pPr>
      <w:r w:rsidRPr="007552F5">
        <w:rPr>
          <w:rFonts w:ascii="Times New Roman" w:hAnsi="Times New Roman" w:cs="Times New Roman"/>
        </w:rPr>
        <w:t xml:space="preserve">The CPM is the global forum for all members to discuss strategy and phytosanitary issues and allow members to make decisions. If the Focus Group recommendations are adopted, evening sessions would be no longer needed for standard setting and the CPM could take the opportunity to hold an evening session on any issues that needed more in-depth member input if there was insufficient time during the plenary sessions. </w:t>
      </w:r>
    </w:p>
    <w:p w:rsidR="0056196C" w:rsidRPr="007552F5" w:rsidRDefault="0056196C" w:rsidP="00C411BC">
      <w:pPr>
        <w:spacing w:after="120" w:line="240" w:lineRule="auto"/>
        <w:rPr>
          <w:rFonts w:ascii="Times New Roman" w:hAnsi="Times New Roman" w:cs="Times New Roman"/>
        </w:rPr>
      </w:pPr>
      <w:r w:rsidRPr="007552F5">
        <w:rPr>
          <w:rFonts w:ascii="Times New Roman" w:hAnsi="Times New Roman" w:cs="Times New Roman"/>
        </w:rPr>
        <w:t xml:space="preserve">The Bureau has the responsibility for identifying issues and reporting to CPM. Together with the IPPC Secretariat, the Bureau continues the work of the IPPC between CPM meetings. There is a need to ensure that the work of the Bureau is not duplicated by the SPTA. </w:t>
      </w:r>
      <w:r w:rsidRPr="007552F5">
        <w:rPr>
          <w:rFonts w:ascii="Times New Roman" w:hAnsi="Times New Roman" w:cs="Times New Roman"/>
          <w:i/>
        </w:rPr>
        <w:t xml:space="preserve">The purpose of the Commission Bureau is to provide guidance to the Commission on the strategic direction, financial and operational management of its activities in cooperation with others as approved by the Commission. </w:t>
      </w:r>
      <w:r w:rsidRPr="007552F5">
        <w:rPr>
          <w:rFonts w:ascii="Times New Roman" w:hAnsi="Times New Roman" w:cs="Times New Roman"/>
        </w:rPr>
        <w:t xml:space="preserve">(Rule II of the Rules of Procedure for the Commission). </w:t>
      </w:r>
    </w:p>
    <w:p w:rsidR="000778E2" w:rsidRPr="007552F5" w:rsidRDefault="000778E2" w:rsidP="00C411BC">
      <w:pPr>
        <w:spacing w:after="120" w:line="240" w:lineRule="auto"/>
        <w:rPr>
          <w:rFonts w:ascii="Times New Roman" w:hAnsi="Times New Roman" w:cs="Times New Roman"/>
        </w:rPr>
      </w:pPr>
      <w:r w:rsidRPr="007552F5">
        <w:rPr>
          <w:rFonts w:ascii="Times New Roman" w:hAnsi="Times New Roman" w:cs="Times New Roman"/>
        </w:rPr>
        <w:t>The SPTA has made a valu</w:t>
      </w:r>
      <w:r w:rsidR="005B3C3D" w:rsidRPr="007552F5">
        <w:rPr>
          <w:rFonts w:ascii="Times New Roman" w:hAnsi="Times New Roman" w:cs="Times New Roman"/>
        </w:rPr>
        <w:t>able</w:t>
      </w:r>
      <w:r w:rsidRPr="007552F5">
        <w:rPr>
          <w:rFonts w:ascii="Times New Roman" w:hAnsi="Times New Roman" w:cs="Times New Roman"/>
        </w:rPr>
        <w:t xml:space="preserve"> contribution to the work of the IPPC, but it is now appropriate to reconsider what role the SPTA has in future workings of the IPPC. If the Bureau provides the regional inputs in developing guidance to the CPM, there is no reason for the SPTA to continue to meet annually.</w:t>
      </w:r>
    </w:p>
    <w:p w:rsidR="00C411BC" w:rsidRPr="007552F5" w:rsidRDefault="00317C48" w:rsidP="00C411BC">
      <w:pPr>
        <w:spacing w:before="120" w:after="120" w:line="240" w:lineRule="auto"/>
        <w:rPr>
          <w:rFonts w:ascii="Times New Roman" w:hAnsi="Times New Roman" w:cs="Times New Roman"/>
          <w:b/>
          <w:u w:val="single"/>
        </w:rPr>
      </w:pPr>
      <w:r w:rsidRPr="007552F5">
        <w:rPr>
          <w:rFonts w:ascii="Times New Roman" w:hAnsi="Times New Roman" w:cs="Times New Roman"/>
          <w:b/>
          <w:u w:val="single"/>
        </w:rPr>
        <w:br w:type="column"/>
      </w:r>
      <w:r w:rsidR="00C411BC" w:rsidRPr="007552F5">
        <w:rPr>
          <w:rFonts w:ascii="Times New Roman" w:hAnsi="Times New Roman" w:cs="Times New Roman"/>
          <w:b/>
          <w:u w:val="single"/>
        </w:rPr>
        <w:lastRenderedPageBreak/>
        <w:t>Background</w:t>
      </w:r>
    </w:p>
    <w:p w:rsidR="00BC7D19" w:rsidRPr="007552F5" w:rsidRDefault="00BC7D19" w:rsidP="00C411BC">
      <w:pPr>
        <w:spacing w:after="120" w:line="240" w:lineRule="auto"/>
        <w:rPr>
          <w:rFonts w:ascii="Times New Roman" w:hAnsi="Times New Roman" w:cs="Times New Roman"/>
        </w:rPr>
      </w:pPr>
      <w:r w:rsidRPr="007552F5">
        <w:rPr>
          <w:rFonts w:ascii="Times New Roman" w:hAnsi="Times New Roman" w:cs="Times New Roman"/>
        </w:rPr>
        <w:t xml:space="preserve">The SPTA was </w:t>
      </w:r>
      <w:r w:rsidR="007137B9" w:rsidRPr="007552F5">
        <w:rPr>
          <w:rFonts w:ascii="Times New Roman" w:hAnsi="Times New Roman" w:cs="Times New Roman"/>
        </w:rPr>
        <w:t>established under the Interim CPM</w:t>
      </w:r>
      <w:r w:rsidR="00257B6B" w:rsidRPr="007552F5">
        <w:rPr>
          <w:rFonts w:ascii="Times New Roman" w:hAnsi="Times New Roman" w:cs="Times New Roman"/>
        </w:rPr>
        <w:t xml:space="preserve"> to be a body that had full regional representation</w:t>
      </w:r>
      <w:r w:rsidR="00C411BC" w:rsidRPr="007552F5">
        <w:rPr>
          <w:rFonts w:ascii="Times New Roman" w:hAnsi="Times New Roman" w:cs="Times New Roman"/>
        </w:rPr>
        <w:t>,</w:t>
      </w:r>
      <w:r w:rsidR="00257B6B" w:rsidRPr="007552F5">
        <w:rPr>
          <w:rFonts w:ascii="Times New Roman" w:hAnsi="Times New Roman" w:cs="Times New Roman"/>
        </w:rPr>
        <w:t xml:space="preserve"> unlike the</w:t>
      </w:r>
      <w:r w:rsidR="00A25D83" w:rsidRPr="007552F5">
        <w:rPr>
          <w:rFonts w:ascii="Times New Roman" w:hAnsi="Times New Roman" w:cs="Times New Roman"/>
        </w:rPr>
        <w:t xml:space="preserve"> then Bureau</w:t>
      </w:r>
      <w:r w:rsidR="00C411BC" w:rsidRPr="007552F5">
        <w:rPr>
          <w:rFonts w:ascii="Times New Roman" w:hAnsi="Times New Roman" w:cs="Times New Roman"/>
        </w:rPr>
        <w:t>,</w:t>
      </w:r>
      <w:r w:rsidR="00A25D83" w:rsidRPr="007552F5">
        <w:rPr>
          <w:rFonts w:ascii="Times New Roman" w:hAnsi="Times New Roman" w:cs="Times New Roman"/>
        </w:rPr>
        <w:t xml:space="preserve"> that would develop a strategic work plan for the interim Commission. This role was later extended</w:t>
      </w:r>
      <w:r w:rsidR="007137B9" w:rsidRPr="007552F5">
        <w:rPr>
          <w:rFonts w:ascii="Times New Roman" w:hAnsi="Times New Roman" w:cs="Times New Roman"/>
        </w:rPr>
        <w:t xml:space="preserve"> to undertake specific activities related to planning and prioritising elements of the work program. CPM continued to recognise the value of the SPTA when the Bureau membership was extended from three to seven members</w:t>
      </w:r>
      <w:r w:rsidR="00A25D83" w:rsidRPr="007552F5">
        <w:rPr>
          <w:rFonts w:ascii="Times New Roman" w:hAnsi="Times New Roman" w:cs="Times New Roman"/>
        </w:rPr>
        <w:t>.</w:t>
      </w:r>
      <w:r w:rsidR="007137B9" w:rsidRPr="007552F5">
        <w:rPr>
          <w:rFonts w:ascii="Times New Roman" w:hAnsi="Times New Roman" w:cs="Times New Roman"/>
        </w:rPr>
        <w:t xml:space="preserve">  </w:t>
      </w:r>
    </w:p>
    <w:p w:rsidR="0090611D" w:rsidRPr="007552F5" w:rsidRDefault="0090611D" w:rsidP="0090611D">
      <w:pPr>
        <w:spacing w:after="0" w:line="240" w:lineRule="auto"/>
        <w:rPr>
          <w:rFonts w:ascii="Times New Roman" w:eastAsia="Calibri" w:hAnsi="Times New Roman" w:cs="Times New Roman"/>
        </w:rPr>
      </w:pPr>
      <w:r w:rsidRPr="007552F5">
        <w:rPr>
          <w:rFonts w:ascii="Times New Roman" w:hAnsi="Times New Roman" w:cs="Times New Roman"/>
        </w:rPr>
        <w:t xml:space="preserve">At its June 2010 meeting, the CPM Bureau clarified the respective roles for itself and the SPTA. </w:t>
      </w:r>
      <w:r w:rsidRPr="007552F5">
        <w:rPr>
          <w:rFonts w:ascii="Times New Roman" w:eastAsia="Calibri" w:hAnsi="Times New Roman" w:cs="Times New Roman"/>
        </w:rPr>
        <w:t>The Bureau made the following recommendations which it agreed would be formally proposed to CPM:</w:t>
      </w:r>
    </w:p>
    <w:p w:rsidR="0090611D" w:rsidRPr="007552F5" w:rsidRDefault="0090611D" w:rsidP="0090611D">
      <w:pPr>
        <w:numPr>
          <w:ilvl w:val="0"/>
          <w:numId w:val="1"/>
        </w:numPr>
        <w:spacing w:after="0" w:line="240" w:lineRule="auto"/>
        <w:ind w:left="720"/>
        <w:rPr>
          <w:rFonts w:ascii="Times New Roman" w:eastAsia="Calibri" w:hAnsi="Times New Roman" w:cs="Times New Roman"/>
        </w:rPr>
      </w:pPr>
      <w:r w:rsidRPr="007552F5">
        <w:rPr>
          <w:rFonts w:ascii="Times New Roman" w:eastAsia="Calibri" w:hAnsi="Times New Roman" w:cs="Times New Roman"/>
        </w:rPr>
        <w:t xml:space="preserve">Bureau responsibilities will be short term planning and operational issues - the Bureau was best placed to assist the Secretariat with budgeting, short-term planning and monitoring follow-up activities from CPM meetings, but could not undertake all long term strategic planning as well. The Bureau should conduct its work under the overall guidance of the IPPC strategic plan(s) once approved by CPM, and could establish focus groups where necessary in pursuit of implementing the strategic plan(s). </w:t>
      </w:r>
    </w:p>
    <w:p w:rsidR="0090611D" w:rsidRPr="007552F5" w:rsidRDefault="0090611D" w:rsidP="0090611D">
      <w:pPr>
        <w:numPr>
          <w:ilvl w:val="0"/>
          <w:numId w:val="1"/>
        </w:numPr>
        <w:spacing w:line="240" w:lineRule="auto"/>
        <w:ind w:left="720"/>
        <w:rPr>
          <w:rFonts w:ascii="Times New Roman" w:eastAsia="Calibri" w:hAnsi="Times New Roman" w:cs="Times New Roman"/>
        </w:rPr>
      </w:pPr>
      <w:r w:rsidRPr="007552F5">
        <w:rPr>
          <w:rFonts w:ascii="Times New Roman" w:eastAsia="Calibri" w:hAnsi="Times New Roman" w:cs="Times New Roman"/>
        </w:rPr>
        <w:t>SPTA responsibilities will be longer term strategic</w:t>
      </w:r>
      <w:r w:rsidRPr="007552F5">
        <w:rPr>
          <w:rFonts w:ascii="Times New Roman" w:eastAsia="Calibri" w:hAnsi="Times New Roman" w:cs="Times New Roman"/>
          <w:b/>
        </w:rPr>
        <w:t xml:space="preserve"> </w:t>
      </w:r>
      <w:r w:rsidRPr="007552F5">
        <w:rPr>
          <w:rFonts w:ascii="Times New Roman" w:eastAsia="Calibri" w:hAnsi="Times New Roman" w:cs="Times New Roman"/>
        </w:rPr>
        <w:t>planning - Bureau members noted that the SPTA had spent a lot of time recently reviewing budgets and operational issues, but they preferred the Bureau, rather than the SPTA, to do this from now on. The SPTA would then be free to focus on more strategic and longer term issues, rather than administration and regular business planning.</w:t>
      </w:r>
    </w:p>
    <w:p w:rsidR="0090611D" w:rsidRPr="007552F5" w:rsidRDefault="0090611D" w:rsidP="00837DC7">
      <w:pPr>
        <w:spacing w:after="0" w:line="240" w:lineRule="auto"/>
        <w:ind w:firstLine="294"/>
        <w:rPr>
          <w:rFonts w:ascii="Times New Roman" w:eastAsia="Calibri" w:hAnsi="Times New Roman" w:cs="Times New Roman"/>
        </w:rPr>
      </w:pPr>
      <w:r w:rsidRPr="007552F5">
        <w:rPr>
          <w:rFonts w:ascii="Times New Roman" w:eastAsia="Calibri" w:hAnsi="Times New Roman" w:cs="Times New Roman"/>
        </w:rPr>
        <w:t xml:space="preserve">The Bureau also flagged a range of other ideas on which no agreement was reached, including: </w:t>
      </w:r>
    </w:p>
    <w:p w:rsidR="0090611D" w:rsidRPr="007552F5" w:rsidRDefault="0090611D" w:rsidP="0090611D">
      <w:pPr>
        <w:numPr>
          <w:ilvl w:val="0"/>
          <w:numId w:val="2"/>
        </w:numPr>
        <w:tabs>
          <w:tab w:val="num" w:pos="0"/>
          <w:tab w:val="num" w:pos="709"/>
        </w:tabs>
        <w:spacing w:after="0" w:line="240" w:lineRule="auto"/>
        <w:ind w:left="720" w:hanging="426"/>
        <w:rPr>
          <w:rFonts w:ascii="Times New Roman" w:eastAsia="Calibri" w:hAnsi="Times New Roman" w:cs="Times New Roman"/>
        </w:rPr>
      </w:pPr>
      <w:r w:rsidRPr="007552F5">
        <w:rPr>
          <w:rFonts w:ascii="Times New Roman" w:eastAsia="Calibri" w:hAnsi="Times New Roman" w:cs="Times New Roman"/>
        </w:rPr>
        <w:t>scheduling an annual strategic planning meeting to discuss progress on the strategic plan</w:t>
      </w:r>
    </w:p>
    <w:p w:rsidR="0090611D" w:rsidRPr="007552F5" w:rsidRDefault="0090611D" w:rsidP="0090611D">
      <w:pPr>
        <w:numPr>
          <w:ilvl w:val="0"/>
          <w:numId w:val="2"/>
        </w:numPr>
        <w:tabs>
          <w:tab w:val="num" w:pos="0"/>
          <w:tab w:val="num" w:pos="709"/>
        </w:tabs>
        <w:spacing w:after="0" w:line="240" w:lineRule="auto"/>
        <w:ind w:left="720" w:hanging="426"/>
        <w:rPr>
          <w:rFonts w:ascii="Times New Roman" w:eastAsia="Calibri" w:hAnsi="Times New Roman" w:cs="Times New Roman"/>
        </w:rPr>
      </w:pPr>
      <w:r w:rsidRPr="007552F5">
        <w:rPr>
          <w:rFonts w:ascii="Times New Roman" w:eastAsia="Calibri" w:hAnsi="Times New Roman" w:cs="Times New Roman"/>
        </w:rPr>
        <w:t>making the ‘open-ended Bureau meeting’ (the SPTA) an ad-hoc meeting to be convened only when the Bureau decided</w:t>
      </w:r>
    </w:p>
    <w:p w:rsidR="0090611D" w:rsidRPr="007552F5" w:rsidRDefault="0090611D" w:rsidP="0090611D">
      <w:pPr>
        <w:numPr>
          <w:ilvl w:val="0"/>
          <w:numId w:val="2"/>
        </w:numPr>
        <w:tabs>
          <w:tab w:val="num" w:pos="0"/>
          <w:tab w:val="num" w:pos="709"/>
        </w:tabs>
        <w:spacing w:after="0" w:line="240" w:lineRule="auto"/>
        <w:ind w:left="720" w:hanging="426"/>
        <w:rPr>
          <w:rFonts w:ascii="Times New Roman" w:eastAsia="Calibri" w:hAnsi="Times New Roman" w:cs="Times New Roman"/>
        </w:rPr>
      </w:pPr>
      <w:r w:rsidRPr="007552F5">
        <w:rPr>
          <w:rFonts w:ascii="Times New Roman" w:eastAsia="Calibri" w:hAnsi="Times New Roman" w:cs="Times New Roman"/>
        </w:rPr>
        <w:t>reclassify</w:t>
      </w:r>
      <w:r w:rsidR="00C411BC" w:rsidRPr="007552F5">
        <w:rPr>
          <w:rFonts w:ascii="Times New Roman" w:eastAsia="Calibri" w:hAnsi="Times New Roman" w:cs="Times New Roman"/>
        </w:rPr>
        <w:t>ing</w:t>
      </w:r>
      <w:r w:rsidRPr="007552F5">
        <w:rPr>
          <w:rFonts w:ascii="Times New Roman" w:eastAsia="Calibri" w:hAnsi="Times New Roman" w:cs="Times New Roman"/>
        </w:rPr>
        <w:t xml:space="preserve"> the SPTA as a focus group on strategic planning to provide long term analysis and input (not as an extended Bureau meeting, but as a totally independent body)</w:t>
      </w:r>
    </w:p>
    <w:p w:rsidR="0090611D" w:rsidRPr="007552F5" w:rsidRDefault="0090611D" w:rsidP="0090611D">
      <w:pPr>
        <w:numPr>
          <w:ilvl w:val="0"/>
          <w:numId w:val="2"/>
        </w:numPr>
        <w:tabs>
          <w:tab w:val="num" w:pos="0"/>
          <w:tab w:val="num" w:pos="709"/>
        </w:tabs>
        <w:spacing w:after="0" w:line="240" w:lineRule="auto"/>
        <w:ind w:left="720" w:hanging="426"/>
        <w:rPr>
          <w:rFonts w:ascii="Times New Roman" w:eastAsia="Calibri" w:hAnsi="Times New Roman" w:cs="Times New Roman"/>
        </w:rPr>
      </w:pPr>
      <w:proofErr w:type="gramStart"/>
      <w:r w:rsidRPr="007552F5">
        <w:rPr>
          <w:rFonts w:ascii="Times New Roman" w:eastAsia="Calibri" w:hAnsi="Times New Roman" w:cs="Times New Roman"/>
        </w:rPr>
        <w:t>having</w:t>
      </w:r>
      <w:proofErr w:type="gramEnd"/>
      <w:r w:rsidRPr="007552F5">
        <w:rPr>
          <w:rFonts w:ascii="Times New Roman" w:eastAsia="Calibri" w:hAnsi="Times New Roman" w:cs="Times New Roman"/>
        </w:rPr>
        <w:t xml:space="preserve"> the SPTA focus on specific topics that need a strategy to proceed (e.g. sea containers).</w:t>
      </w:r>
    </w:p>
    <w:p w:rsidR="00837DC7" w:rsidRPr="007552F5" w:rsidRDefault="00C411BC" w:rsidP="00C411BC">
      <w:pPr>
        <w:spacing w:after="120" w:line="240" w:lineRule="auto"/>
        <w:rPr>
          <w:rFonts w:ascii="Times New Roman" w:hAnsi="Times New Roman" w:cs="Times New Roman"/>
        </w:rPr>
      </w:pPr>
      <w:r w:rsidRPr="007552F5">
        <w:rPr>
          <w:rFonts w:ascii="Times New Roman" w:hAnsi="Times New Roman" w:cs="Times New Roman"/>
        </w:rPr>
        <w:t>The</w:t>
      </w:r>
      <w:r w:rsidR="00FA2CD5" w:rsidRPr="007552F5">
        <w:rPr>
          <w:rFonts w:ascii="Times New Roman" w:hAnsi="Times New Roman" w:cs="Times New Roman"/>
        </w:rPr>
        <w:t xml:space="preserve"> 2011 Focus Group on improving the standard setting process </w:t>
      </w:r>
      <w:r w:rsidRPr="007552F5">
        <w:rPr>
          <w:rFonts w:ascii="Times New Roman" w:hAnsi="Times New Roman" w:cs="Times New Roman"/>
        </w:rPr>
        <w:t>is recommending</w:t>
      </w:r>
      <w:r w:rsidR="00FA2CD5" w:rsidRPr="007552F5">
        <w:rPr>
          <w:rFonts w:ascii="Times New Roman" w:hAnsi="Times New Roman" w:cs="Times New Roman"/>
        </w:rPr>
        <w:t xml:space="preserve"> that the Standards Committee should use the IPPC Strategic Framework when reviewing submissions of topic</w:t>
      </w:r>
      <w:r w:rsidR="00837DC7" w:rsidRPr="007552F5">
        <w:rPr>
          <w:rFonts w:ascii="Times New Roman" w:hAnsi="Times New Roman" w:cs="Times New Roman"/>
        </w:rPr>
        <w:t>s</w:t>
      </w:r>
      <w:r w:rsidR="00FA2CD5" w:rsidRPr="007552F5">
        <w:rPr>
          <w:rFonts w:ascii="Times New Roman" w:hAnsi="Times New Roman" w:cs="Times New Roman"/>
        </w:rPr>
        <w:t xml:space="preserve"> for proposed new standards and that as a result, the topics would no longer be submitted to the SPTA. </w:t>
      </w:r>
      <w:r w:rsidR="00837DC7" w:rsidRPr="007552F5">
        <w:rPr>
          <w:rFonts w:ascii="Times New Roman" w:hAnsi="Times New Roman" w:cs="Times New Roman"/>
        </w:rPr>
        <w:t xml:space="preserve">This diminishes further the role of the SPTA. </w:t>
      </w:r>
    </w:p>
    <w:p w:rsidR="00BC7D19" w:rsidRPr="007552F5" w:rsidRDefault="00BC7D19" w:rsidP="00C411BC">
      <w:pPr>
        <w:spacing w:after="120" w:line="240" w:lineRule="auto"/>
        <w:rPr>
          <w:rFonts w:ascii="Times New Roman" w:hAnsi="Times New Roman" w:cs="Times New Roman"/>
        </w:rPr>
      </w:pPr>
      <w:r w:rsidRPr="007552F5">
        <w:rPr>
          <w:rFonts w:ascii="Times New Roman" w:hAnsi="Times New Roman" w:cs="Times New Roman"/>
        </w:rPr>
        <w:t>If the 2011 Focus Group recommendations that there be no discussion of draft standards at CPM, the CPM would be able to discuss more strategic issues including the annual operational plan.</w:t>
      </w:r>
      <w:r w:rsidR="00837DC7" w:rsidRPr="007552F5">
        <w:rPr>
          <w:rFonts w:ascii="Times New Roman" w:hAnsi="Times New Roman" w:cs="Times New Roman"/>
        </w:rPr>
        <w:t xml:space="preserve"> Again this will reduce the role of the SPTA. </w:t>
      </w:r>
    </w:p>
    <w:p w:rsidR="00624F10" w:rsidRPr="007552F5" w:rsidRDefault="00624F10" w:rsidP="00C411BC">
      <w:pPr>
        <w:spacing w:after="120" w:line="240" w:lineRule="auto"/>
        <w:rPr>
          <w:rFonts w:ascii="Times New Roman" w:hAnsi="Times New Roman" w:cs="Times New Roman"/>
        </w:rPr>
      </w:pPr>
      <w:r w:rsidRPr="007552F5">
        <w:rPr>
          <w:rFonts w:ascii="Times New Roman" w:hAnsi="Times New Roman" w:cs="Times New Roman"/>
        </w:rPr>
        <w:t>The</w:t>
      </w:r>
      <w:r w:rsidR="00A25D83" w:rsidRPr="007552F5">
        <w:rPr>
          <w:rFonts w:ascii="Times New Roman" w:hAnsi="Times New Roman" w:cs="Times New Roman"/>
        </w:rPr>
        <w:t xml:space="preserve"> Expert Working Group on Phytosanitary Capacity Development has recommended that</w:t>
      </w:r>
      <w:r w:rsidRPr="007552F5">
        <w:rPr>
          <w:rFonts w:ascii="Times New Roman" w:hAnsi="Times New Roman" w:cs="Times New Roman"/>
        </w:rPr>
        <w:t xml:space="preserve"> a subsidiary body for capacity building be established</w:t>
      </w:r>
      <w:r w:rsidR="00A25D83" w:rsidRPr="007552F5">
        <w:rPr>
          <w:rFonts w:ascii="Times New Roman" w:hAnsi="Times New Roman" w:cs="Times New Roman"/>
        </w:rPr>
        <w:t xml:space="preserve">. Such a body would cover that aspect of the work in the SPTA’s scope. </w:t>
      </w:r>
    </w:p>
    <w:p w:rsidR="00AF73E4" w:rsidRPr="007552F5" w:rsidRDefault="00AF73E4" w:rsidP="00C411BC">
      <w:pPr>
        <w:spacing w:after="120" w:line="240" w:lineRule="auto"/>
        <w:rPr>
          <w:rFonts w:ascii="Times New Roman" w:hAnsi="Times New Roman" w:cs="Times New Roman"/>
        </w:rPr>
      </w:pPr>
      <w:r w:rsidRPr="007552F5">
        <w:rPr>
          <w:rFonts w:ascii="Times New Roman" w:hAnsi="Times New Roman" w:cs="Times New Roman"/>
        </w:rPr>
        <w:t xml:space="preserve">As a result of these activities, the </w:t>
      </w:r>
      <w:r w:rsidR="00DD3056" w:rsidRPr="007552F5">
        <w:rPr>
          <w:rFonts w:ascii="Times New Roman" w:hAnsi="Times New Roman" w:cs="Times New Roman"/>
        </w:rPr>
        <w:t>role for the SPTA is much reduced and does not warrant the holding of annual meetings. The SPTA should be put in abeyance and recalled as necessary to address any issues requiring increased input that cannot be covered during CPM meetings.</w:t>
      </w:r>
      <w:r w:rsidRPr="007552F5">
        <w:rPr>
          <w:rFonts w:ascii="Times New Roman" w:hAnsi="Times New Roman" w:cs="Times New Roman"/>
        </w:rPr>
        <w:t xml:space="preserve"> </w:t>
      </w:r>
    </w:p>
    <w:p w:rsidR="00C411BC" w:rsidRPr="007552F5" w:rsidRDefault="00C411BC" w:rsidP="00C411BC">
      <w:pPr>
        <w:spacing w:before="120" w:after="120" w:line="240" w:lineRule="auto"/>
        <w:rPr>
          <w:rFonts w:ascii="Times New Roman" w:hAnsi="Times New Roman" w:cs="Times New Roman"/>
          <w:b/>
          <w:u w:val="single"/>
        </w:rPr>
      </w:pPr>
      <w:r w:rsidRPr="007552F5">
        <w:rPr>
          <w:rFonts w:ascii="Times New Roman" w:hAnsi="Times New Roman" w:cs="Times New Roman"/>
          <w:b/>
          <w:u w:val="single"/>
        </w:rPr>
        <w:t>Recommendation</w:t>
      </w:r>
    </w:p>
    <w:p w:rsidR="00C411BC" w:rsidRPr="007552F5" w:rsidRDefault="00C411BC" w:rsidP="00C411BC">
      <w:pPr>
        <w:spacing w:after="120" w:line="240" w:lineRule="auto"/>
        <w:rPr>
          <w:rFonts w:ascii="Times New Roman" w:hAnsi="Times New Roman" w:cs="Times New Roman"/>
        </w:rPr>
      </w:pPr>
      <w:r w:rsidRPr="007552F5">
        <w:rPr>
          <w:rFonts w:ascii="Times New Roman" w:hAnsi="Times New Roman" w:cs="Times New Roman"/>
        </w:rPr>
        <w:t>Australia requests SPTA discussion on the future of the body with recommendation that CPM 7 in 2012 consider:</w:t>
      </w:r>
    </w:p>
    <w:p w:rsidR="00C411BC" w:rsidRPr="007552F5" w:rsidRDefault="00C411BC" w:rsidP="00113DA9">
      <w:pPr>
        <w:spacing w:after="120" w:line="240" w:lineRule="auto"/>
        <w:ind w:left="567" w:hanging="567"/>
        <w:rPr>
          <w:rFonts w:ascii="Times New Roman" w:hAnsi="Times New Roman" w:cs="Times New Roman"/>
        </w:rPr>
      </w:pPr>
      <w:bookmarkStart w:id="0" w:name="OLE_LINK1"/>
      <w:bookmarkStart w:id="1" w:name="OLE_LINK2"/>
      <w:r w:rsidRPr="007552F5">
        <w:rPr>
          <w:rFonts w:ascii="Times New Roman" w:hAnsi="Times New Roman" w:cs="Times New Roman"/>
        </w:rPr>
        <w:t>1.</w:t>
      </w:r>
      <w:r w:rsidRPr="007552F5">
        <w:rPr>
          <w:rFonts w:ascii="Times New Roman" w:hAnsi="Times New Roman" w:cs="Times New Roman"/>
        </w:rPr>
        <w:tab/>
      </w:r>
      <w:r w:rsidR="00E14310" w:rsidRPr="007552F5">
        <w:rPr>
          <w:rFonts w:ascii="Times New Roman" w:hAnsi="Times New Roman" w:cs="Times New Roman"/>
        </w:rPr>
        <w:t>The effectiveness of the 7-member Bureau in delivering the actions and strategies agreed by the CPM between annual meetings of the Commission</w:t>
      </w:r>
      <w:r w:rsidR="00516F52" w:rsidRPr="007552F5">
        <w:rPr>
          <w:rFonts w:ascii="Times New Roman" w:hAnsi="Times New Roman" w:cs="Times New Roman"/>
        </w:rPr>
        <w:t xml:space="preserve"> over the last four years</w:t>
      </w:r>
      <w:r w:rsidR="00E14310" w:rsidRPr="007552F5">
        <w:rPr>
          <w:rFonts w:ascii="Times New Roman" w:hAnsi="Times New Roman" w:cs="Times New Roman"/>
        </w:rPr>
        <w:t xml:space="preserve">. </w:t>
      </w:r>
      <w:r w:rsidR="00516F52" w:rsidRPr="007552F5">
        <w:rPr>
          <w:rFonts w:ascii="Times New Roman" w:hAnsi="Times New Roman" w:cs="Times New Roman"/>
        </w:rPr>
        <w:t xml:space="preserve"> A review of efficacy should also include the role and operations of the Bureau as they have evolved and the</w:t>
      </w:r>
      <w:r w:rsidR="00E14310" w:rsidRPr="007552F5">
        <w:rPr>
          <w:rFonts w:ascii="Times New Roman" w:hAnsi="Times New Roman" w:cs="Times New Roman"/>
        </w:rPr>
        <w:t xml:space="preserve"> relationship </w:t>
      </w:r>
      <w:r w:rsidR="00516F52" w:rsidRPr="007552F5">
        <w:rPr>
          <w:rFonts w:ascii="Times New Roman" w:hAnsi="Times New Roman" w:cs="Times New Roman"/>
        </w:rPr>
        <w:t xml:space="preserve">it has </w:t>
      </w:r>
      <w:r w:rsidR="00E14310" w:rsidRPr="007552F5">
        <w:rPr>
          <w:rFonts w:ascii="Times New Roman" w:hAnsi="Times New Roman" w:cs="Times New Roman"/>
        </w:rPr>
        <w:t xml:space="preserve">with the </w:t>
      </w:r>
      <w:r w:rsidR="00516F52" w:rsidRPr="007552F5">
        <w:rPr>
          <w:rFonts w:ascii="Times New Roman" w:hAnsi="Times New Roman" w:cs="Times New Roman"/>
        </w:rPr>
        <w:t xml:space="preserve">IPPC </w:t>
      </w:r>
      <w:r w:rsidR="00E14310" w:rsidRPr="007552F5">
        <w:rPr>
          <w:rFonts w:ascii="Times New Roman" w:hAnsi="Times New Roman" w:cs="Times New Roman"/>
        </w:rPr>
        <w:t>Secretary and Secretariat</w:t>
      </w:r>
      <w:r w:rsidR="00516F52" w:rsidRPr="007552F5">
        <w:rPr>
          <w:rFonts w:ascii="Times New Roman" w:hAnsi="Times New Roman" w:cs="Times New Roman"/>
        </w:rPr>
        <w:t>.</w:t>
      </w:r>
    </w:p>
    <w:bookmarkEnd w:id="0"/>
    <w:bookmarkEnd w:id="1"/>
    <w:p w:rsidR="00E14310" w:rsidRPr="007552F5" w:rsidRDefault="00E14310" w:rsidP="00113DA9">
      <w:pPr>
        <w:spacing w:after="120" w:line="240" w:lineRule="auto"/>
        <w:ind w:left="567" w:hanging="567"/>
        <w:rPr>
          <w:rFonts w:ascii="Times New Roman" w:hAnsi="Times New Roman" w:cs="Times New Roman"/>
        </w:rPr>
      </w:pPr>
      <w:r w:rsidRPr="007552F5">
        <w:rPr>
          <w:rFonts w:ascii="Times New Roman" w:hAnsi="Times New Roman" w:cs="Times New Roman"/>
        </w:rPr>
        <w:lastRenderedPageBreak/>
        <w:t>2.</w:t>
      </w:r>
      <w:r w:rsidRPr="007552F5">
        <w:rPr>
          <w:rFonts w:ascii="Times New Roman" w:hAnsi="Times New Roman" w:cs="Times New Roman"/>
        </w:rPr>
        <w:tab/>
        <w:t>The value added by the SPTA and the ongoing merit in continuing to hold regular meetings of the SPTA</w:t>
      </w:r>
      <w:r w:rsidR="00516F52" w:rsidRPr="007552F5">
        <w:rPr>
          <w:rFonts w:ascii="Times New Roman" w:hAnsi="Times New Roman" w:cs="Times New Roman"/>
        </w:rPr>
        <w:t xml:space="preserve"> in light of changes to strategic planning and the functions of the SPTA as outlined in the discussion paper</w:t>
      </w:r>
      <w:r w:rsidRPr="007552F5">
        <w:rPr>
          <w:rFonts w:ascii="Times New Roman" w:hAnsi="Times New Roman" w:cs="Times New Roman"/>
        </w:rPr>
        <w:t>.</w:t>
      </w:r>
    </w:p>
    <w:p w:rsidR="00C411BC" w:rsidRPr="007552F5" w:rsidRDefault="00C2787F" w:rsidP="00113DA9">
      <w:pPr>
        <w:spacing w:after="120" w:line="240" w:lineRule="auto"/>
        <w:ind w:left="567" w:hanging="567"/>
        <w:rPr>
          <w:rFonts w:ascii="Times New Roman" w:hAnsi="Times New Roman" w:cs="Times New Roman"/>
        </w:rPr>
      </w:pPr>
      <w:r w:rsidRPr="007552F5">
        <w:rPr>
          <w:rFonts w:ascii="Times New Roman" w:hAnsi="Times New Roman" w:cs="Times New Roman"/>
        </w:rPr>
        <w:t>3</w:t>
      </w:r>
      <w:r w:rsidR="00C411BC" w:rsidRPr="007552F5">
        <w:rPr>
          <w:rFonts w:ascii="Times New Roman" w:hAnsi="Times New Roman" w:cs="Times New Roman"/>
        </w:rPr>
        <w:t>.</w:t>
      </w:r>
      <w:r w:rsidR="00C411BC" w:rsidRPr="007552F5">
        <w:rPr>
          <w:rFonts w:ascii="Times New Roman" w:hAnsi="Times New Roman" w:cs="Times New Roman"/>
        </w:rPr>
        <w:tab/>
        <w:t>The impact on IPPC governance and operations if the SPTA was no longer convened annually.</w:t>
      </w:r>
    </w:p>
    <w:p w:rsidR="00C411BC" w:rsidRPr="007552F5" w:rsidRDefault="00C2787F" w:rsidP="00113DA9">
      <w:pPr>
        <w:spacing w:after="120" w:line="240" w:lineRule="auto"/>
        <w:ind w:left="567" w:hanging="567"/>
        <w:rPr>
          <w:rFonts w:ascii="Times New Roman" w:hAnsi="Times New Roman" w:cs="Times New Roman"/>
        </w:rPr>
      </w:pPr>
      <w:r w:rsidRPr="007552F5">
        <w:rPr>
          <w:rFonts w:ascii="Times New Roman" w:hAnsi="Times New Roman" w:cs="Times New Roman"/>
        </w:rPr>
        <w:t>4</w:t>
      </w:r>
      <w:r w:rsidR="00C411BC" w:rsidRPr="007552F5">
        <w:rPr>
          <w:rFonts w:ascii="Times New Roman" w:hAnsi="Times New Roman" w:cs="Times New Roman"/>
        </w:rPr>
        <w:t>.</w:t>
      </w:r>
      <w:r w:rsidR="00C411BC" w:rsidRPr="007552F5">
        <w:rPr>
          <w:rFonts w:ascii="Times New Roman" w:hAnsi="Times New Roman" w:cs="Times New Roman"/>
        </w:rPr>
        <w:tab/>
        <w:t xml:space="preserve">Any gaps that would arise as a result of ceasing SPTA annual meetings and how these might be filled including, for example, the option to reconvene the informal working group as needed or utilise evenings at CPM to focus on specific strategic issues. </w:t>
      </w:r>
    </w:p>
    <w:p w:rsidR="0020096F" w:rsidRPr="007552F5" w:rsidRDefault="0020096F" w:rsidP="00FA2CD5">
      <w:pPr>
        <w:spacing w:line="240" w:lineRule="auto"/>
        <w:rPr>
          <w:rFonts w:ascii="Times New Roman" w:hAnsi="Times New Roman" w:cs="Times New Roman"/>
        </w:rPr>
      </w:pPr>
    </w:p>
    <w:p w:rsidR="0020096F" w:rsidRPr="007552F5" w:rsidRDefault="0020096F" w:rsidP="00FA2CD5">
      <w:pPr>
        <w:spacing w:line="240" w:lineRule="auto"/>
        <w:rPr>
          <w:rFonts w:ascii="Times New Roman" w:hAnsi="Times New Roman" w:cs="Times New Roman"/>
        </w:rPr>
      </w:pPr>
      <w:r w:rsidRPr="007552F5">
        <w:rPr>
          <w:rFonts w:ascii="Times New Roman" w:hAnsi="Times New Roman" w:cs="Times New Roman"/>
        </w:rPr>
        <w:t>Australia</w:t>
      </w:r>
    </w:p>
    <w:p w:rsidR="0020096F" w:rsidRPr="007552F5" w:rsidRDefault="00EE361C" w:rsidP="00FA2CD5">
      <w:pPr>
        <w:spacing w:line="240" w:lineRule="auto"/>
        <w:rPr>
          <w:rFonts w:ascii="Times New Roman" w:hAnsi="Times New Roman" w:cs="Times New Roman"/>
        </w:rPr>
      </w:pPr>
      <w:r w:rsidRPr="007552F5">
        <w:rPr>
          <w:rFonts w:ascii="Times New Roman" w:hAnsi="Times New Roman" w:cs="Times New Roman"/>
        </w:rPr>
        <w:t>23 September 2011</w:t>
      </w:r>
    </w:p>
    <w:sectPr w:rsidR="0020096F" w:rsidRPr="007552F5" w:rsidSect="00094BE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310" w:rsidRDefault="00E14310" w:rsidP="0090611D">
      <w:pPr>
        <w:spacing w:after="0" w:line="240" w:lineRule="auto"/>
      </w:pPr>
      <w:r>
        <w:separator/>
      </w:r>
    </w:p>
  </w:endnote>
  <w:endnote w:type="continuationSeparator" w:id="0">
    <w:p w:rsidR="00E14310" w:rsidRDefault="00E14310" w:rsidP="00906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704"/>
      <w:docPartObj>
        <w:docPartGallery w:val="Page Numbers (Bottom of Page)"/>
        <w:docPartUnique/>
      </w:docPartObj>
    </w:sdtPr>
    <w:sdtEndPr>
      <w:rPr>
        <w:sz w:val="18"/>
      </w:rPr>
    </w:sdtEndPr>
    <w:sdtContent>
      <w:p w:rsidR="00E14310" w:rsidRDefault="00BB5B78">
        <w:pPr>
          <w:pStyle w:val="Footer"/>
          <w:jc w:val="center"/>
        </w:pPr>
        <w:r w:rsidRPr="0090611D">
          <w:rPr>
            <w:sz w:val="18"/>
          </w:rPr>
          <w:fldChar w:fldCharType="begin"/>
        </w:r>
        <w:r w:rsidR="00E14310" w:rsidRPr="0090611D">
          <w:rPr>
            <w:sz w:val="18"/>
          </w:rPr>
          <w:instrText xml:space="preserve"> PAGE   \* MERGEFORMAT </w:instrText>
        </w:r>
        <w:r w:rsidRPr="0090611D">
          <w:rPr>
            <w:sz w:val="18"/>
          </w:rPr>
          <w:fldChar w:fldCharType="separate"/>
        </w:r>
        <w:r w:rsidR="007552F5">
          <w:rPr>
            <w:noProof/>
            <w:sz w:val="18"/>
          </w:rPr>
          <w:t>1</w:t>
        </w:r>
        <w:r w:rsidRPr="0090611D">
          <w:rPr>
            <w:sz w:val="18"/>
          </w:rPr>
          <w:fldChar w:fldCharType="end"/>
        </w:r>
      </w:p>
    </w:sdtContent>
  </w:sdt>
  <w:p w:rsidR="00E14310" w:rsidRDefault="00E14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310" w:rsidRDefault="00E14310" w:rsidP="0090611D">
      <w:pPr>
        <w:spacing w:after="0" w:line="240" w:lineRule="auto"/>
      </w:pPr>
      <w:r>
        <w:separator/>
      </w:r>
    </w:p>
  </w:footnote>
  <w:footnote w:type="continuationSeparator" w:id="0">
    <w:p w:rsidR="00E14310" w:rsidRDefault="00E14310" w:rsidP="00906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38" w:rsidRPr="009171CA" w:rsidRDefault="001A7838" w:rsidP="001A7838">
    <w:pPr>
      <w:pStyle w:val="Header1"/>
      <w:rPr>
        <w:sz w:val="20"/>
        <w:szCs w:val="20"/>
      </w:rPr>
    </w:pPr>
    <w:r>
      <w:rPr>
        <w:noProof/>
      </w:rPr>
      <w:drawing>
        <wp:inline distT="0" distB="0" distL="0" distR="0">
          <wp:extent cx="633730" cy="328930"/>
          <wp:effectExtent l="0" t="0" r="127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730" cy="328930"/>
                  </a:xfrm>
                  <a:prstGeom prst="rect">
                    <a:avLst/>
                  </a:prstGeom>
                  <a:noFill/>
                  <a:ln>
                    <a:noFill/>
                  </a:ln>
                </pic:spPr>
              </pic:pic>
            </a:graphicData>
          </a:graphic>
        </wp:inline>
      </w:drawing>
    </w:r>
    <w:r w:rsidRPr="009171CA">
      <w:t>International Plant Protection Convention</w:t>
    </w:r>
    <w:r>
      <w:tab/>
    </w:r>
    <w:r>
      <w:rPr>
        <w:sz w:val="20"/>
        <w:szCs w:val="20"/>
      </w:rPr>
      <w:t xml:space="preserve">SPTA </w:t>
    </w:r>
    <w:r w:rsidRPr="009171CA">
      <w:rPr>
        <w:sz w:val="20"/>
        <w:szCs w:val="20"/>
      </w:rPr>
      <w:t>2011/1</w:t>
    </w:r>
    <w:r>
      <w:rPr>
        <w:sz w:val="20"/>
        <w:szCs w:val="20"/>
      </w:rPr>
      <w:t>7</w:t>
    </w:r>
  </w:p>
  <w:p w:rsidR="00E14310" w:rsidRPr="001A7838" w:rsidRDefault="001A7838" w:rsidP="001A7838">
    <w:pPr>
      <w:pStyle w:val="Header1"/>
      <w:rPr>
        <w:rFonts w:eastAsia="Times New Roman"/>
        <w:color w:val="auto"/>
        <w:sz w:val="18"/>
        <w:szCs w:val="18"/>
      </w:rPr>
    </w:pPr>
    <w:r w:rsidRPr="007D591B">
      <w:t>Australia</w:t>
    </w:r>
    <w:r>
      <w:t>n</w:t>
    </w:r>
    <w:r w:rsidRPr="007D591B">
      <w:t xml:space="preserve"> paper: SBDS</w:t>
    </w:r>
    <w:r w:rsidRPr="007D591B">
      <w:tab/>
    </w:r>
    <w:r w:rsidRPr="007D591B">
      <w:tab/>
    </w:r>
    <w:r w:rsidRPr="007D591B">
      <w:tab/>
    </w:r>
    <w:r w:rsidRPr="007D591B">
      <w:rPr>
        <w:sz w:val="18"/>
        <w:szCs w:val="18"/>
      </w:rPr>
      <w:t xml:space="preserve">Agenda item: </w:t>
    </w:r>
    <w:r>
      <w:rPr>
        <w:sz w:val="18"/>
        <w:szCs w:val="18"/>
      </w:rPr>
      <w:t>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F0"/>
    <w:multiLevelType w:val="hybridMultilevel"/>
    <w:tmpl w:val="B318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A71FF4"/>
    <w:multiLevelType w:val="hybridMultilevel"/>
    <w:tmpl w:val="212609C8"/>
    <w:lvl w:ilvl="0" w:tplc="78BADB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0938BB"/>
    <w:multiLevelType w:val="multilevel"/>
    <w:tmpl w:val="099E6B0C"/>
    <w:lvl w:ilvl="0">
      <w:start w:val="1"/>
      <w:numFmt w:val="bullet"/>
      <w:lvlText w:val=""/>
      <w:lvlJc w:val="left"/>
      <w:pPr>
        <w:tabs>
          <w:tab w:val="num" w:pos="-522"/>
        </w:tabs>
        <w:ind w:left="-522" w:firstLine="360"/>
      </w:pPr>
      <w:rPr>
        <w:rFonts w:ascii="Symbol" w:hAnsi="Symbol" w:hint="default"/>
        <w:color w:val="000000"/>
        <w:position w:val="0"/>
        <w:sz w:val="24"/>
      </w:rPr>
    </w:lvl>
    <w:lvl w:ilvl="1">
      <w:start w:val="1"/>
      <w:numFmt w:val="bullet"/>
      <w:lvlText w:val="o"/>
      <w:lvlJc w:val="left"/>
      <w:pPr>
        <w:tabs>
          <w:tab w:val="num" w:pos="-522"/>
        </w:tabs>
        <w:ind w:left="-522" w:firstLine="1080"/>
      </w:pPr>
      <w:rPr>
        <w:rFonts w:ascii="Courier New" w:eastAsia="ヒラギノ角ゴ Pro W3" w:hAnsi="Courier New" w:hint="default"/>
        <w:color w:val="000000"/>
        <w:position w:val="0"/>
        <w:sz w:val="24"/>
      </w:rPr>
    </w:lvl>
    <w:lvl w:ilvl="2">
      <w:start w:val="1"/>
      <w:numFmt w:val="bullet"/>
      <w:lvlText w:val=""/>
      <w:lvlJc w:val="left"/>
      <w:pPr>
        <w:tabs>
          <w:tab w:val="num" w:pos="-522"/>
        </w:tabs>
        <w:ind w:left="-522" w:firstLine="1800"/>
      </w:pPr>
      <w:rPr>
        <w:rFonts w:ascii="Wingdings" w:eastAsia="ヒラギノ角ゴ Pro W3" w:hAnsi="Wingdings" w:hint="default"/>
        <w:color w:val="000000"/>
        <w:position w:val="0"/>
        <w:sz w:val="24"/>
      </w:rPr>
    </w:lvl>
    <w:lvl w:ilvl="3">
      <w:start w:val="1"/>
      <w:numFmt w:val="bullet"/>
      <w:lvlText w:val="·"/>
      <w:lvlJc w:val="left"/>
      <w:pPr>
        <w:tabs>
          <w:tab w:val="num" w:pos="-522"/>
        </w:tabs>
        <w:ind w:left="-522" w:firstLine="2520"/>
      </w:pPr>
      <w:rPr>
        <w:rFonts w:ascii="Lucida Grande" w:eastAsia="ヒラギノ角ゴ Pro W3" w:hAnsi="Symbol" w:hint="default"/>
        <w:color w:val="000000"/>
        <w:position w:val="0"/>
        <w:sz w:val="24"/>
      </w:rPr>
    </w:lvl>
    <w:lvl w:ilvl="4">
      <w:start w:val="1"/>
      <w:numFmt w:val="bullet"/>
      <w:lvlText w:val="o"/>
      <w:lvlJc w:val="left"/>
      <w:pPr>
        <w:tabs>
          <w:tab w:val="num" w:pos="-522"/>
        </w:tabs>
        <w:ind w:left="-522" w:firstLine="3240"/>
      </w:pPr>
      <w:rPr>
        <w:rFonts w:ascii="Courier New" w:eastAsia="ヒラギノ角ゴ Pro W3" w:hAnsi="Courier New" w:hint="default"/>
        <w:color w:val="000000"/>
        <w:position w:val="0"/>
        <w:sz w:val="24"/>
      </w:rPr>
    </w:lvl>
    <w:lvl w:ilvl="5">
      <w:start w:val="1"/>
      <w:numFmt w:val="bullet"/>
      <w:lvlText w:val=""/>
      <w:lvlJc w:val="left"/>
      <w:pPr>
        <w:tabs>
          <w:tab w:val="num" w:pos="-522"/>
        </w:tabs>
        <w:ind w:left="-522" w:firstLine="3960"/>
      </w:pPr>
      <w:rPr>
        <w:rFonts w:ascii="Wingdings" w:eastAsia="ヒラギノ角ゴ Pro W3" w:hAnsi="Wingdings" w:hint="default"/>
        <w:color w:val="000000"/>
        <w:position w:val="0"/>
        <w:sz w:val="24"/>
      </w:rPr>
    </w:lvl>
    <w:lvl w:ilvl="6">
      <w:start w:val="1"/>
      <w:numFmt w:val="bullet"/>
      <w:lvlText w:val="·"/>
      <w:lvlJc w:val="left"/>
      <w:pPr>
        <w:tabs>
          <w:tab w:val="num" w:pos="-522"/>
        </w:tabs>
        <w:ind w:left="-522" w:firstLine="4680"/>
      </w:pPr>
      <w:rPr>
        <w:rFonts w:ascii="Lucida Grande" w:eastAsia="ヒラギノ角ゴ Pro W3" w:hAnsi="Symbol" w:hint="default"/>
        <w:color w:val="000000"/>
        <w:position w:val="0"/>
        <w:sz w:val="24"/>
      </w:rPr>
    </w:lvl>
    <w:lvl w:ilvl="7">
      <w:start w:val="1"/>
      <w:numFmt w:val="bullet"/>
      <w:lvlText w:val="o"/>
      <w:lvlJc w:val="left"/>
      <w:pPr>
        <w:tabs>
          <w:tab w:val="num" w:pos="-522"/>
        </w:tabs>
        <w:ind w:left="-522" w:firstLine="5400"/>
      </w:pPr>
      <w:rPr>
        <w:rFonts w:ascii="Courier New" w:eastAsia="ヒラギノ角ゴ Pro W3" w:hAnsi="Courier New" w:hint="default"/>
        <w:color w:val="000000"/>
        <w:position w:val="0"/>
        <w:sz w:val="24"/>
      </w:rPr>
    </w:lvl>
    <w:lvl w:ilvl="8">
      <w:start w:val="1"/>
      <w:numFmt w:val="bullet"/>
      <w:lvlText w:val=""/>
      <w:lvlJc w:val="left"/>
      <w:pPr>
        <w:tabs>
          <w:tab w:val="num" w:pos="-522"/>
        </w:tabs>
        <w:ind w:left="-522" w:firstLine="6120"/>
      </w:pPr>
      <w:rPr>
        <w:rFonts w:ascii="Wingdings" w:eastAsia="ヒラギノ角ゴ Pro W3" w:hAnsi="Wingdings" w:hint="default"/>
        <w:color w:val="000000"/>
        <w:position w:val="0"/>
        <w:sz w:val="24"/>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characterSpacingControl w:val="doNotCompress"/>
  <w:footnotePr>
    <w:footnote w:id="-1"/>
    <w:footnote w:id="0"/>
  </w:footnotePr>
  <w:endnotePr>
    <w:endnote w:id="-1"/>
    <w:endnote w:id="0"/>
  </w:endnotePr>
  <w:compat/>
  <w:rsids>
    <w:rsidRoot w:val="002777DB"/>
    <w:rsid w:val="00000908"/>
    <w:rsid w:val="00021349"/>
    <w:rsid w:val="00025306"/>
    <w:rsid w:val="000778E2"/>
    <w:rsid w:val="00094BE4"/>
    <w:rsid w:val="00113DA9"/>
    <w:rsid w:val="0012013D"/>
    <w:rsid w:val="00143FEC"/>
    <w:rsid w:val="001A7838"/>
    <w:rsid w:val="0020096F"/>
    <w:rsid w:val="00245660"/>
    <w:rsid w:val="00257B6B"/>
    <w:rsid w:val="002777DB"/>
    <w:rsid w:val="00317C48"/>
    <w:rsid w:val="00362C06"/>
    <w:rsid w:val="00372CAB"/>
    <w:rsid w:val="003E618F"/>
    <w:rsid w:val="003E6AB2"/>
    <w:rsid w:val="0046550F"/>
    <w:rsid w:val="00472895"/>
    <w:rsid w:val="004B38F5"/>
    <w:rsid w:val="004E0581"/>
    <w:rsid w:val="004E263B"/>
    <w:rsid w:val="004E35AF"/>
    <w:rsid w:val="004F33E9"/>
    <w:rsid w:val="00516F52"/>
    <w:rsid w:val="0056196C"/>
    <w:rsid w:val="0059282E"/>
    <w:rsid w:val="005B3C3D"/>
    <w:rsid w:val="005E45E8"/>
    <w:rsid w:val="00624F10"/>
    <w:rsid w:val="00667F02"/>
    <w:rsid w:val="006C6892"/>
    <w:rsid w:val="006F431E"/>
    <w:rsid w:val="007137B9"/>
    <w:rsid w:val="0074367E"/>
    <w:rsid w:val="007552F5"/>
    <w:rsid w:val="0076651D"/>
    <w:rsid w:val="007A58D3"/>
    <w:rsid w:val="007C16BE"/>
    <w:rsid w:val="007D6DE1"/>
    <w:rsid w:val="00821715"/>
    <w:rsid w:val="008308C7"/>
    <w:rsid w:val="00837DC7"/>
    <w:rsid w:val="00854FB8"/>
    <w:rsid w:val="008B60BD"/>
    <w:rsid w:val="0090611D"/>
    <w:rsid w:val="00980EEF"/>
    <w:rsid w:val="00A15D4F"/>
    <w:rsid w:val="00A25D83"/>
    <w:rsid w:val="00A6101E"/>
    <w:rsid w:val="00A96BFB"/>
    <w:rsid w:val="00AE0475"/>
    <w:rsid w:val="00AF73E4"/>
    <w:rsid w:val="00BB5B78"/>
    <w:rsid w:val="00BC7D19"/>
    <w:rsid w:val="00BF5BAD"/>
    <w:rsid w:val="00C10CDF"/>
    <w:rsid w:val="00C2787F"/>
    <w:rsid w:val="00C411BC"/>
    <w:rsid w:val="00C859E7"/>
    <w:rsid w:val="00C94CF2"/>
    <w:rsid w:val="00CA108E"/>
    <w:rsid w:val="00CA6824"/>
    <w:rsid w:val="00CF03B5"/>
    <w:rsid w:val="00D97408"/>
    <w:rsid w:val="00DD29D3"/>
    <w:rsid w:val="00DD3056"/>
    <w:rsid w:val="00E14310"/>
    <w:rsid w:val="00E2710D"/>
    <w:rsid w:val="00EA75D7"/>
    <w:rsid w:val="00EE361C"/>
    <w:rsid w:val="00F56AB1"/>
    <w:rsid w:val="00FA2C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7C16BE"/>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BC7D19"/>
    <w:pPr>
      <w:ind w:left="720"/>
      <w:contextualSpacing/>
    </w:pPr>
  </w:style>
  <w:style w:type="paragraph" w:styleId="Header">
    <w:name w:val="header"/>
    <w:basedOn w:val="Normal"/>
    <w:link w:val="HeaderChar"/>
    <w:uiPriority w:val="99"/>
    <w:semiHidden/>
    <w:unhideWhenUsed/>
    <w:rsid w:val="009061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11D"/>
  </w:style>
  <w:style w:type="paragraph" w:styleId="Footer">
    <w:name w:val="footer"/>
    <w:basedOn w:val="Normal"/>
    <w:link w:val="FooterChar"/>
    <w:uiPriority w:val="99"/>
    <w:unhideWhenUsed/>
    <w:rsid w:val="00906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11D"/>
  </w:style>
  <w:style w:type="paragraph" w:customStyle="1" w:styleId="Header1">
    <w:name w:val="Header1"/>
    <w:autoRedefine/>
    <w:rsid w:val="001A7838"/>
    <w:pPr>
      <w:pBdr>
        <w:bottom w:val="single" w:sz="4" w:space="1" w:color="auto"/>
      </w:pBdr>
      <w:tabs>
        <w:tab w:val="left" w:pos="4160"/>
        <w:tab w:val="center" w:pos="4320"/>
        <w:tab w:val="right" w:pos="9072"/>
      </w:tabs>
      <w:spacing w:after="240" w:line="240" w:lineRule="auto"/>
    </w:pPr>
    <w:rPr>
      <w:rFonts w:asciiTheme="minorBidi" w:eastAsia="ヒラギノ角ゴ Pro W3" w:hAnsiTheme="minorBidi"/>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rymer julia</dc:creator>
  <cp:lastModifiedBy>Nowell</cp:lastModifiedBy>
  <cp:revision>3</cp:revision>
  <dcterms:created xsi:type="dcterms:W3CDTF">2011-09-30T05:42:00Z</dcterms:created>
  <dcterms:modified xsi:type="dcterms:W3CDTF">2011-09-30T05:43:00Z</dcterms:modified>
</cp:coreProperties>
</file>