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FF" w:rsidRDefault="00BE1FFF" w:rsidP="00BE1FFF">
      <w:pPr>
        <w:jc w:val="center"/>
        <w:rPr>
          <w:b/>
        </w:rPr>
      </w:pPr>
    </w:p>
    <w:p w:rsidR="00B7321C" w:rsidRDefault="0031003D" w:rsidP="00BE1FFF">
      <w:pPr>
        <w:jc w:val="center"/>
        <w:rPr>
          <w:b/>
        </w:rPr>
      </w:pPr>
      <w:r>
        <w:rPr>
          <w:b/>
        </w:rPr>
        <w:t>Functional Autonomy for the IPPC Secretariat</w:t>
      </w:r>
    </w:p>
    <w:p w:rsidR="00BE1FFF" w:rsidRDefault="00BE1FFF" w:rsidP="00B7321C"/>
    <w:p w:rsidR="003C3877" w:rsidRDefault="003C3877" w:rsidP="00B7321C">
      <w:pPr>
        <w:numPr>
          <w:ilvl w:val="0"/>
          <w:numId w:val="15"/>
        </w:numPr>
      </w:pPr>
      <w:r>
        <w:t xml:space="preserve">The issue of operational autonomy from FAO </w:t>
      </w:r>
      <w:r w:rsidR="00A26FCD">
        <w:rPr>
          <w:rFonts w:hint="eastAsia"/>
          <w:lang w:eastAsia="ja-JP"/>
        </w:rPr>
        <w:t xml:space="preserve">of the statutory bodies stipulated under Article XIV and VI of Basic Text </w:t>
      </w:r>
      <w:r>
        <w:t>continues to be a subject that is under increasing scrutiny in FAO.</w:t>
      </w:r>
    </w:p>
    <w:p w:rsidR="003C3877" w:rsidRDefault="003C3877" w:rsidP="003C3877"/>
    <w:p w:rsidR="003C3877" w:rsidRDefault="003C3877" w:rsidP="003C3877">
      <w:pPr>
        <w:numPr>
          <w:ilvl w:val="0"/>
          <w:numId w:val="15"/>
        </w:numPr>
      </w:pPr>
      <w:r>
        <w:t>Although FAO would like to deal with this subject as soon as possible, there are no specific deadlines to which we are working (according to FAO Legal Office).</w:t>
      </w:r>
      <w:r w:rsidR="00190E26" w:rsidDel="00190E26">
        <w:t xml:space="preserve"> </w:t>
      </w:r>
      <w:r w:rsidR="00190E26">
        <w:rPr>
          <w:rFonts w:hint="eastAsia"/>
          <w:lang w:eastAsia="ja-JP"/>
        </w:rPr>
        <w:t xml:space="preserve"> </w:t>
      </w:r>
      <w:r>
        <w:t xml:space="preserve">The </w:t>
      </w:r>
      <w:r w:rsidR="009D52C1">
        <w:t xml:space="preserve">FAO </w:t>
      </w:r>
      <w:r>
        <w:t>Article XIV questionnaire is still under development and has not been sent out to countries yet.</w:t>
      </w:r>
      <w:r w:rsidR="008432E2">
        <w:t xml:space="preserve"> The IPPC Secretary is informed that the draft questionnaire will be circulated for the comments when it is developed and before distribution to member countries.</w:t>
      </w:r>
    </w:p>
    <w:p w:rsidR="003C3877" w:rsidRDefault="003C3877" w:rsidP="003C3877">
      <w:pPr>
        <w:ind w:left="360"/>
      </w:pPr>
    </w:p>
    <w:p w:rsidR="00190E26" w:rsidRDefault="00A26FCD" w:rsidP="00190E26">
      <w:pPr>
        <w:numPr>
          <w:ilvl w:val="0"/>
          <w:numId w:val="15"/>
        </w:numPr>
        <w:rPr>
          <w:rFonts w:hint="eastAsia"/>
        </w:rPr>
      </w:pPr>
      <w:r>
        <w:rPr>
          <w:rFonts w:hint="eastAsia"/>
          <w:lang w:eastAsia="ja-JP"/>
        </w:rPr>
        <w:t>A discussion paper (PC 108/10) was prepared for the next Programme Committee meeting (10-14 October</w:t>
      </w:r>
      <w:r w:rsidR="009A1EA6">
        <w:rPr>
          <w:lang w:eastAsia="ja-JP"/>
        </w:rPr>
        <w:t xml:space="preserve"> 2011</w:t>
      </w:r>
      <w:r>
        <w:rPr>
          <w:rFonts w:hint="eastAsia"/>
          <w:lang w:eastAsia="ja-JP"/>
        </w:rPr>
        <w:t>, just after the SPTA meeting) after individual interviews with Secretariats to the statutory bodies, which is attached to this paper.</w:t>
      </w:r>
      <w:r w:rsidR="00190E26">
        <w:rPr>
          <w:rFonts w:hint="eastAsia"/>
          <w:lang w:eastAsia="ja-JP"/>
        </w:rPr>
        <w:t xml:space="preserve">  The paper provides a list of issues of possible consideration, the current situations under various statutory bodies, and certain options to consider.  It should be noted that depth of such discussions differ and the some parts of the listed issues are discussed little.</w:t>
      </w:r>
    </w:p>
    <w:p w:rsidR="00A26FCD" w:rsidRDefault="00A26FCD" w:rsidP="00715871">
      <w:pPr>
        <w:pStyle w:val="ColorfulList-Accent1"/>
      </w:pPr>
    </w:p>
    <w:p w:rsidR="00B7321C" w:rsidRDefault="00190E26" w:rsidP="00B7321C">
      <w:pPr>
        <w:numPr>
          <w:ilvl w:val="0"/>
          <w:numId w:val="15"/>
        </w:numPr>
      </w:pPr>
      <w:r>
        <w:rPr>
          <w:rFonts w:hint="eastAsia"/>
          <w:lang w:eastAsia="ja-JP"/>
        </w:rPr>
        <w:t xml:space="preserve">Other </w:t>
      </w:r>
      <w:r w:rsidR="00B7321C">
        <w:t xml:space="preserve">information </w:t>
      </w:r>
      <w:r w:rsidR="009D52C1">
        <w:t xml:space="preserve">is </w:t>
      </w:r>
      <w:r w:rsidR="00B7321C">
        <w:t xml:space="preserve">available and </w:t>
      </w:r>
      <w:r w:rsidR="009D52C1">
        <w:t>provide background information to allow</w:t>
      </w:r>
      <w:r w:rsidR="00B7321C">
        <w:t xml:space="preserve"> us to actively investigate this before SPTA:</w:t>
      </w:r>
    </w:p>
    <w:p w:rsidR="00B7321C" w:rsidRDefault="00B7321C" w:rsidP="00B7321C">
      <w:pPr>
        <w:numPr>
          <w:ilvl w:val="1"/>
          <w:numId w:val="15"/>
        </w:numPr>
      </w:pPr>
      <w:r>
        <w:t>Legal background information available in CCLM 88/3</w:t>
      </w:r>
      <w:r w:rsidR="002A5603">
        <w:t xml:space="preserve">: </w:t>
      </w:r>
      <w:hyperlink r:id="rId8" w:history="1">
        <w:r w:rsidRPr="00C63BB3">
          <w:rPr>
            <w:rStyle w:val="Hyperlink"/>
          </w:rPr>
          <w:t>ftp://ftp.fao.org/docrep/fao/meeting/017/k5829e.pdf</w:t>
        </w:r>
      </w:hyperlink>
    </w:p>
    <w:p w:rsidR="00B7321C" w:rsidRDefault="00B7321C" w:rsidP="00B7321C">
      <w:pPr>
        <w:numPr>
          <w:ilvl w:val="1"/>
          <w:numId w:val="15"/>
        </w:numPr>
      </w:pPr>
      <w:r w:rsidRPr="00B7321C">
        <w:t>C</w:t>
      </w:r>
      <w:r w:rsidR="002A5603">
        <w:t>ompilation of Elements for</w:t>
      </w:r>
      <w:r w:rsidRPr="00B7321C">
        <w:t xml:space="preserve"> P</w:t>
      </w:r>
      <w:r w:rsidR="002A5603">
        <w:t>reparation of a List of</w:t>
      </w:r>
      <w:r w:rsidRPr="00B7321C">
        <w:t xml:space="preserve"> F</w:t>
      </w:r>
      <w:r w:rsidR="002A5603">
        <w:t xml:space="preserve">unctional Needs of the International Treaty: </w:t>
      </w:r>
      <w:hyperlink r:id="rId9" w:history="1">
        <w:r w:rsidR="003C3877" w:rsidRPr="00C63BB3">
          <w:rPr>
            <w:rStyle w:val="Hyperlink"/>
          </w:rPr>
          <w:t>ftp://ftp.fao.org/ag/agp/planttreaty/gb4/acfs6/acfs6_repe.pdf</w:t>
        </w:r>
      </w:hyperlink>
    </w:p>
    <w:p w:rsidR="003C3877" w:rsidRDefault="003C3877" w:rsidP="00B7321C">
      <w:pPr>
        <w:numPr>
          <w:ilvl w:val="1"/>
          <w:numId w:val="15"/>
        </w:numPr>
      </w:pPr>
      <w:r>
        <w:t>An FAO Agriculture workshop was held on 13 June 2011 to discuss how Treaties and Convention can become more effective and efficient within the AG Department.</w:t>
      </w:r>
    </w:p>
    <w:p w:rsidR="008432E2" w:rsidRDefault="008432E2" w:rsidP="00B7321C">
      <w:pPr>
        <w:numPr>
          <w:ilvl w:val="1"/>
          <w:numId w:val="15"/>
        </w:numPr>
      </w:pPr>
      <w:r>
        <w:t xml:space="preserve">Early ideas from the Secretariat (based on SPTA discussions) </w:t>
      </w:r>
      <w:hyperlink r:id="rId10" w:anchor="item" w:history="1">
        <w:r w:rsidRPr="00C63BB3">
          <w:rPr>
            <w:rStyle w:val="Hyperlink"/>
          </w:rPr>
          <w:t>https://www.ippc.int/index.php?id=1110798&amp;tx_publication_pi1[showUid]=2180891&amp;frompage=13330&amp;type=publication&amp;subtype=&amp;category=&amp;date=2011&amp;L=0#item</w:t>
        </w:r>
      </w:hyperlink>
    </w:p>
    <w:p w:rsidR="003C3877" w:rsidRDefault="003C3877" w:rsidP="003C3877">
      <w:pPr>
        <w:ind w:left="1080"/>
      </w:pPr>
    </w:p>
    <w:p w:rsidR="003C3877" w:rsidRDefault="003C3877" w:rsidP="00B7321C">
      <w:pPr>
        <w:numPr>
          <w:ilvl w:val="0"/>
          <w:numId w:val="15"/>
        </w:numPr>
      </w:pPr>
      <w:r>
        <w:t>FAO Legal Office has said there will be money available</w:t>
      </w:r>
      <w:r w:rsidR="00EA2E18">
        <w:t xml:space="preserve"> </w:t>
      </w:r>
      <w:r>
        <w:t>for 2-3 months to hire a consultant to develop relevant background material to allow the SPTA and CPM to make an informed decision about operational autonomy for the IPPC Secretariat / IPPC.</w:t>
      </w:r>
      <w:r w:rsidR="009D52C1">
        <w:t xml:space="preserve"> </w:t>
      </w:r>
      <w:r w:rsidR="00EA2E18">
        <w:t>This could p</w:t>
      </w:r>
      <w:r w:rsidR="009D52C1">
        <w:t xml:space="preserve">ossibly </w:t>
      </w:r>
      <w:r w:rsidR="00EA2E18">
        <w:t xml:space="preserve">include </w:t>
      </w:r>
      <w:r w:rsidR="009D52C1">
        <w:t xml:space="preserve">2 months before the </w:t>
      </w:r>
      <w:r w:rsidR="009A1EA6">
        <w:t>end of</w:t>
      </w:r>
      <w:r w:rsidR="00D665AF">
        <w:t xml:space="preserve"> 2011.</w:t>
      </w:r>
    </w:p>
    <w:p w:rsidR="003C3877" w:rsidRDefault="003C3877" w:rsidP="003C3877">
      <w:pPr>
        <w:ind w:left="360"/>
      </w:pPr>
    </w:p>
    <w:p w:rsidR="00B7321C" w:rsidRDefault="003C3877" w:rsidP="00B7321C">
      <w:pPr>
        <w:numPr>
          <w:ilvl w:val="0"/>
          <w:numId w:val="15"/>
        </w:numPr>
      </w:pPr>
      <w:r>
        <w:t xml:space="preserve">In addition, Mr Ashby </w:t>
      </w:r>
      <w:r w:rsidR="00EA2E18">
        <w:t xml:space="preserve">kindly </w:t>
      </w:r>
      <w:r>
        <w:t xml:space="preserve">drafted </w:t>
      </w:r>
      <w:r w:rsidR="00EA2E18">
        <w:t>propos</w:t>
      </w:r>
      <w:r>
        <w:t>ed terms of reference (see Appendix 1) for a consultant that could specifically develop a paper for CPM 7</w:t>
      </w:r>
      <w:r w:rsidR="009D52C1">
        <w:t>, via the Bureau,</w:t>
      </w:r>
      <w:r>
        <w:t xml:space="preserve"> on the subject of increased operational autonomy from CPM.</w:t>
      </w:r>
    </w:p>
    <w:p w:rsidR="003C3877" w:rsidRDefault="003C3877" w:rsidP="003C3877">
      <w:pPr>
        <w:pStyle w:val="ColorfulList-Accent1"/>
      </w:pPr>
    </w:p>
    <w:p w:rsidR="005B4274" w:rsidRDefault="003C3877" w:rsidP="00B7321C">
      <w:pPr>
        <w:numPr>
          <w:ilvl w:val="0"/>
          <w:numId w:val="15"/>
        </w:numPr>
      </w:pPr>
      <w:r>
        <w:t xml:space="preserve">The Bureau is invited to provide advice </w:t>
      </w:r>
      <w:r w:rsidR="008432E2">
        <w:t>for</w:t>
      </w:r>
      <w:r>
        <w:t xml:space="preserve"> </w:t>
      </w:r>
      <w:r w:rsidR="008432E2">
        <w:t xml:space="preserve">the </w:t>
      </w:r>
      <w:r>
        <w:t>improvement o</w:t>
      </w:r>
      <w:r w:rsidR="008432E2">
        <w:t>f</w:t>
      </w:r>
      <w:r>
        <w:t xml:space="preserve"> the </w:t>
      </w:r>
      <w:r w:rsidR="008432E2">
        <w:t>terms of reference</w:t>
      </w:r>
      <w:r>
        <w:t xml:space="preserve"> and possible c</w:t>
      </w:r>
      <w:r w:rsidR="008432E2">
        <w:t>onsultants</w:t>
      </w:r>
      <w:r>
        <w:t xml:space="preserve"> who could undertake this work</w:t>
      </w:r>
      <w:r w:rsidR="008432E2">
        <w:t xml:space="preserve"> in paragraph 6 above</w:t>
      </w:r>
      <w:r>
        <w:t>.</w:t>
      </w:r>
    </w:p>
    <w:p w:rsidR="005B4274" w:rsidRDefault="005B4274" w:rsidP="005B4274">
      <w:pPr>
        <w:jc w:val="right"/>
        <w:rPr>
          <w:b/>
        </w:rPr>
      </w:pPr>
      <w:r w:rsidRPr="005B4274">
        <w:rPr>
          <w:b/>
        </w:rPr>
        <w:br w:type="page"/>
      </w:r>
      <w:r>
        <w:rPr>
          <w:b/>
        </w:rPr>
        <w:lastRenderedPageBreak/>
        <w:t>Appendix 1</w:t>
      </w:r>
    </w:p>
    <w:p w:rsidR="005B4274" w:rsidRDefault="005B4274" w:rsidP="005B4274">
      <w:pPr>
        <w:jc w:val="center"/>
        <w:rPr>
          <w:b/>
          <w:sz w:val="28"/>
          <w:szCs w:val="28"/>
        </w:rPr>
      </w:pPr>
    </w:p>
    <w:p w:rsidR="005B4274" w:rsidRPr="005B4274" w:rsidRDefault="005B4274" w:rsidP="005B4274">
      <w:pPr>
        <w:jc w:val="center"/>
        <w:rPr>
          <w:b/>
          <w:sz w:val="28"/>
          <w:szCs w:val="28"/>
        </w:rPr>
      </w:pPr>
      <w:r w:rsidRPr="005B4274">
        <w:rPr>
          <w:b/>
          <w:sz w:val="28"/>
          <w:szCs w:val="28"/>
        </w:rPr>
        <w:t>Proposed terms of reference for a consultancy on the IPPC as an FAO Article XIV body</w:t>
      </w:r>
    </w:p>
    <w:p w:rsidR="005B4274" w:rsidRPr="005B4274" w:rsidRDefault="005B4274" w:rsidP="005B4274">
      <w:pPr>
        <w:rPr>
          <w:sz w:val="22"/>
          <w:szCs w:val="22"/>
        </w:rPr>
      </w:pPr>
    </w:p>
    <w:p w:rsidR="005B4274" w:rsidRPr="005B4274" w:rsidRDefault="005B4274" w:rsidP="005B4274">
      <w:pPr>
        <w:rPr>
          <w:b/>
          <w:sz w:val="22"/>
          <w:szCs w:val="22"/>
        </w:rPr>
      </w:pPr>
      <w:r w:rsidRPr="005B4274">
        <w:rPr>
          <w:b/>
          <w:sz w:val="22"/>
          <w:szCs w:val="22"/>
        </w:rPr>
        <w:t>Background</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1.</w:t>
      </w:r>
      <w:r w:rsidRPr="005B4274">
        <w:rPr>
          <w:sz w:val="22"/>
          <w:szCs w:val="22"/>
        </w:rPr>
        <w:tab/>
        <w:t>Document CCLM 88/3 was prepared for the 88th session of the FAO’s Committee on Constitutional and Legal Matters in September 2009.  It quoted the Immediate Plan of Action (IPA) for FAO Renewal (2009-11) which had been approved at the 35th (Special) session of the FAO Conference as follows:</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w:t>
      </w:r>
      <w:r w:rsidRPr="005B4274">
        <w:rPr>
          <w:i/>
          <w:sz w:val="22"/>
          <w:szCs w:val="22"/>
        </w:rPr>
        <w:t>28</w:t>
      </w:r>
      <w:proofErr w:type="gramStart"/>
      <w:r w:rsidRPr="005B4274">
        <w:rPr>
          <w:i/>
          <w:sz w:val="22"/>
          <w:szCs w:val="22"/>
        </w:rPr>
        <w:t>.  The</w:t>
      </w:r>
      <w:proofErr w:type="gramEnd"/>
      <w:r w:rsidRPr="005B4274">
        <w:rPr>
          <w:i/>
          <w:sz w:val="22"/>
          <w:szCs w:val="22"/>
        </w:rPr>
        <w:t xml:space="preserve"> statutory bodies and conventions will be strengthened, enjoying more financial and administrative authority within the framework of FAO and a greater degree of self-finding by their Members.  They will have a direct line of access to the appropriate FAO Technical Conference for the use of that proportion of their funding which is provided for from FAO Assessed Contributions</w:t>
      </w:r>
      <w:r w:rsidRPr="005B4274">
        <w:rPr>
          <w:sz w:val="22"/>
          <w:szCs w:val="22"/>
        </w:rPr>
        <w:t>.”</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2.</w:t>
      </w:r>
      <w:r w:rsidRPr="005B4274">
        <w:rPr>
          <w:sz w:val="22"/>
          <w:szCs w:val="22"/>
        </w:rPr>
        <w:tab/>
        <w:t xml:space="preserve">The Action Matrix included: </w:t>
      </w:r>
    </w:p>
    <w:p w:rsidR="005B4274" w:rsidRPr="005B4274" w:rsidRDefault="005B4274" w:rsidP="005B4274">
      <w:pPr>
        <w:rPr>
          <w:sz w:val="22"/>
          <w:szCs w:val="22"/>
        </w:rPr>
      </w:pPr>
    </w:p>
    <w:p w:rsidR="005B4274" w:rsidRPr="005B4274" w:rsidRDefault="005B4274" w:rsidP="005B4274">
      <w:pPr>
        <w:rPr>
          <w:i/>
          <w:sz w:val="22"/>
          <w:szCs w:val="22"/>
        </w:rPr>
      </w:pPr>
      <w:r w:rsidRPr="005B4274">
        <w:rPr>
          <w:sz w:val="22"/>
          <w:szCs w:val="22"/>
        </w:rPr>
        <w:t>“</w:t>
      </w:r>
      <w:r w:rsidRPr="005B4274">
        <w:rPr>
          <w:i/>
          <w:sz w:val="22"/>
          <w:szCs w:val="22"/>
        </w:rPr>
        <w:t>Conferences of parties to treaties, conventions and agreements such as Codex and the IPPC (incorporated under FAO statutes) may bring issues to the attention of the Council and Conference through the relevant Technical Committee (Basic Texts change) (IPA action 2.68)</w:t>
      </w:r>
    </w:p>
    <w:p w:rsidR="005B4274" w:rsidRPr="005B4274" w:rsidRDefault="005B4274" w:rsidP="005B4274">
      <w:pPr>
        <w:rPr>
          <w:i/>
          <w:sz w:val="22"/>
          <w:szCs w:val="22"/>
        </w:rPr>
      </w:pPr>
    </w:p>
    <w:p w:rsidR="005B4274" w:rsidRPr="005B4274" w:rsidRDefault="005B4274" w:rsidP="005B4274">
      <w:pPr>
        <w:rPr>
          <w:sz w:val="22"/>
          <w:szCs w:val="22"/>
        </w:rPr>
      </w:pPr>
      <w:r w:rsidRPr="005B4274">
        <w:rPr>
          <w:i/>
          <w:sz w:val="22"/>
          <w:szCs w:val="22"/>
        </w:rPr>
        <w:t>Undertake a review with a view to making any necessary changes to enable those statutory bodies which wish to do so to exercise financial and administrative authority and mobilize additional funding from their members, while remaining within the framework of FAO and maintaining a reporting relationship with it (IPA action 2.69).</w:t>
      </w:r>
      <w:r w:rsidRPr="005B4274">
        <w:rPr>
          <w:sz w:val="22"/>
          <w:szCs w:val="22"/>
        </w:rPr>
        <w:t>”</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 xml:space="preserve"> The implementation of these actions is related to another action, IPA action 3.17, which reads:</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w:t>
      </w:r>
      <w:r w:rsidRPr="005B4274">
        <w:rPr>
          <w:i/>
          <w:sz w:val="22"/>
          <w:szCs w:val="22"/>
        </w:rPr>
        <w:t>Review treaties, conventions, agreements and similar bodies and instruments</w:t>
      </w:r>
      <w:r>
        <w:rPr>
          <w:i/>
          <w:sz w:val="22"/>
          <w:szCs w:val="22"/>
        </w:rPr>
        <w:t xml:space="preserve"> </w:t>
      </w:r>
      <w:r w:rsidRPr="005B4274">
        <w:rPr>
          <w:i/>
          <w:sz w:val="22"/>
          <w:szCs w:val="22"/>
        </w:rPr>
        <w:t>established under articles VI, XIV and XV of the FAO Constitution with a view to</w:t>
      </w:r>
      <w:r>
        <w:rPr>
          <w:i/>
          <w:sz w:val="22"/>
          <w:szCs w:val="22"/>
        </w:rPr>
        <w:t xml:space="preserve"> </w:t>
      </w:r>
      <w:r w:rsidRPr="005B4274">
        <w:rPr>
          <w:i/>
          <w:sz w:val="22"/>
          <w:szCs w:val="22"/>
        </w:rPr>
        <w:t>their developing a greater degree of self-funding from their members (see also</w:t>
      </w:r>
      <w:r>
        <w:rPr>
          <w:i/>
          <w:sz w:val="22"/>
          <w:szCs w:val="22"/>
        </w:rPr>
        <w:t xml:space="preserve"> </w:t>
      </w:r>
      <w:r w:rsidRPr="005B4274">
        <w:rPr>
          <w:i/>
          <w:sz w:val="22"/>
          <w:szCs w:val="22"/>
        </w:rPr>
        <w:t>2.69). Present report to Council and reports to the parties to the agreements</w:t>
      </w:r>
      <w:r w:rsidRPr="005B4274">
        <w:rPr>
          <w:sz w:val="22"/>
          <w:szCs w:val="22"/>
        </w:rPr>
        <w:t>”.</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3.</w:t>
      </w:r>
      <w:r w:rsidRPr="005B4274">
        <w:rPr>
          <w:sz w:val="22"/>
          <w:szCs w:val="22"/>
        </w:rPr>
        <w:tab/>
        <w:t>The possibility of some self determination for the IPPC within FAO, in particular the possibility of financial and administrative authority, was discussed briefly at the IPPC/CPM’s Strategic Planning and Technical Assistance (SPTA) meeting in October 2010 and again at the plenary session of the Commission on Phytosanitary Measures (CPM) in March 2011.</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4.</w:t>
      </w:r>
      <w:r w:rsidRPr="005B4274">
        <w:rPr>
          <w:sz w:val="22"/>
          <w:szCs w:val="22"/>
        </w:rPr>
        <w:tab/>
        <w:t xml:space="preserve">There was strong support for further investigation of the legal, administrative and practical implications for the IPPC and its members of obtaining some self determination as described above.  </w:t>
      </w:r>
    </w:p>
    <w:p w:rsidR="005B4274" w:rsidRPr="005B4274" w:rsidRDefault="005B4274" w:rsidP="005B4274">
      <w:pPr>
        <w:rPr>
          <w:sz w:val="22"/>
          <w:szCs w:val="22"/>
        </w:rPr>
      </w:pPr>
    </w:p>
    <w:p w:rsidR="005B4274" w:rsidRPr="005B4274" w:rsidRDefault="005B4274" w:rsidP="005B4274">
      <w:pPr>
        <w:rPr>
          <w:sz w:val="22"/>
          <w:szCs w:val="22"/>
        </w:rPr>
      </w:pPr>
      <w:r w:rsidRPr="005B4274">
        <w:rPr>
          <w:sz w:val="22"/>
          <w:szCs w:val="22"/>
        </w:rPr>
        <w:t>5.</w:t>
      </w:r>
      <w:r w:rsidRPr="005B4274">
        <w:rPr>
          <w:sz w:val="22"/>
          <w:szCs w:val="22"/>
        </w:rPr>
        <w:tab/>
        <w:t>FAO ha</w:t>
      </w:r>
      <w:r>
        <w:rPr>
          <w:sz w:val="22"/>
          <w:szCs w:val="22"/>
        </w:rPr>
        <w:t>s</w:t>
      </w:r>
      <w:r w:rsidRPr="005B4274">
        <w:rPr>
          <w:sz w:val="22"/>
          <w:szCs w:val="22"/>
        </w:rPr>
        <w:t xml:space="preserve"> made funds available for exploration of this issue so that IPPC members can be informed fully about the implications.   This paper describes the terms of reference for the production of a report.</w:t>
      </w:r>
    </w:p>
    <w:p w:rsidR="005B4274" w:rsidRPr="005B4274" w:rsidRDefault="005B4274" w:rsidP="005B4274">
      <w:pPr>
        <w:rPr>
          <w:sz w:val="22"/>
          <w:szCs w:val="22"/>
        </w:rPr>
      </w:pPr>
    </w:p>
    <w:p w:rsidR="005B4274" w:rsidRPr="005B4274" w:rsidRDefault="005B4274" w:rsidP="005B4274">
      <w:pPr>
        <w:rPr>
          <w:b/>
          <w:sz w:val="22"/>
          <w:szCs w:val="22"/>
        </w:rPr>
      </w:pPr>
    </w:p>
    <w:p w:rsidR="005B4274" w:rsidRPr="005B4274" w:rsidRDefault="005B4274" w:rsidP="005B4274">
      <w:pPr>
        <w:rPr>
          <w:b/>
          <w:sz w:val="22"/>
          <w:szCs w:val="22"/>
        </w:rPr>
      </w:pPr>
      <w:r w:rsidRPr="005B4274">
        <w:rPr>
          <w:b/>
          <w:sz w:val="22"/>
          <w:szCs w:val="22"/>
        </w:rPr>
        <w:t>Task required</w:t>
      </w:r>
    </w:p>
    <w:p w:rsidR="005B4274" w:rsidRPr="005B4274" w:rsidRDefault="005B4274" w:rsidP="005B4274">
      <w:pPr>
        <w:rPr>
          <w:sz w:val="22"/>
          <w:szCs w:val="22"/>
        </w:rPr>
      </w:pPr>
    </w:p>
    <w:p w:rsidR="005B4274" w:rsidRPr="005B4274" w:rsidRDefault="005B4274" w:rsidP="005B4274">
      <w:pPr>
        <w:rPr>
          <w:sz w:val="22"/>
          <w:szCs w:val="22"/>
        </w:rPr>
      </w:pPr>
      <w:r>
        <w:rPr>
          <w:sz w:val="22"/>
          <w:szCs w:val="22"/>
        </w:rPr>
        <w:t>6</w:t>
      </w:r>
      <w:r w:rsidRPr="005B4274">
        <w:rPr>
          <w:sz w:val="22"/>
          <w:szCs w:val="22"/>
        </w:rPr>
        <w:t>.</w:t>
      </w:r>
      <w:r w:rsidRPr="005B4274">
        <w:rPr>
          <w:sz w:val="22"/>
          <w:szCs w:val="22"/>
        </w:rPr>
        <w:tab/>
        <w:t>Describe Article XIV of the FAO Treaty and the place of the International Plant Protection Convention in that article</w:t>
      </w:r>
    </w:p>
    <w:p w:rsidR="005B4274" w:rsidRPr="005B4274" w:rsidRDefault="005B4274" w:rsidP="005B4274">
      <w:pPr>
        <w:rPr>
          <w:sz w:val="22"/>
          <w:szCs w:val="22"/>
        </w:rPr>
      </w:pPr>
    </w:p>
    <w:p w:rsidR="005B4274" w:rsidRPr="005B4274" w:rsidRDefault="005B4274" w:rsidP="005B4274">
      <w:pPr>
        <w:rPr>
          <w:sz w:val="22"/>
          <w:szCs w:val="22"/>
        </w:rPr>
      </w:pPr>
      <w:r>
        <w:rPr>
          <w:sz w:val="22"/>
          <w:szCs w:val="22"/>
        </w:rPr>
        <w:t>7</w:t>
      </w:r>
      <w:r w:rsidRPr="005B4274">
        <w:rPr>
          <w:sz w:val="22"/>
          <w:szCs w:val="22"/>
        </w:rPr>
        <w:t>.</w:t>
      </w:r>
      <w:r w:rsidRPr="005B4274">
        <w:rPr>
          <w:sz w:val="22"/>
          <w:szCs w:val="22"/>
        </w:rPr>
        <w:tab/>
        <w:t>Explain the process by which a change on status for Article XIV bodies is being considered.</w:t>
      </w:r>
    </w:p>
    <w:p w:rsidR="005B4274" w:rsidRPr="005B4274" w:rsidRDefault="005B4274" w:rsidP="005B4274">
      <w:pPr>
        <w:rPr>
          <w:sz w:val="22"/>
          <w:szCs w:val="22"/>
        </w:rPr>
      </w:pPr>
    </w:p>
    <w:p w:rsidR="005B4274" w:rsidRPr="005B4274" w:rsidRDefault="005B4274" w:rsidP="005B4274">
      <w:pPr>
        <w:rPr>
          <w:sz w:val="22"/>
          <w:szCs w:val="22"/>
        </w:rPr>
      </w:pPr>
      <w:r>
        <w:rPr>
          <w:sz w:val="22"/>
          <w:szCs w:val="22"/>
        </w:rPr>
        <w:lastRenderedPageBreak/>
        <w:t>8</w:t>
      </w:r>
      <w:r w:rsidRPr="005B4274">
        <w:rPr>
          <w:sz w:val="22"/>
          <w:szCs w:val="22"/>
        </w:rPr>
        <w:t>.</w:t>
      </w:r>
      <w:r w:rsidRPr="005B4274">
        <w:rPr>
          <w:sz w:val="22"/>
          <w:szCs w:val="22"/>
        </w:rPr>
        <w:tab/>
        <w:t>Describe the implications of some self determination for the IPPC within FAO, listing what changes this would involve and possible benefits and disadvantages which could arise from a change in status for the IPPC, to include the following:</w:t>
      </w:r>
    </w:p>
    <w:p w:rsidR="005B4274" w:rsidRPr="005B4274" w:rsidRDefault="005B4274" w:rsidP="005B4274">
      <w:pPr>
        <w:rPr>
          <w:sz w:val="22"/>
          <w:szCs w:val="22"/>
        </w:rPr>
      </w:pPr>
    </w:p>
    <w:p w:rsidR="005B4274" w:rsidRPr="005B4274" w:rsidRDefault="005B4274" w:rsidP="005B4274">
      <w:pPr>
        <w:ind w:left="720"/>
        <w:rPr>
          <w:sz w:val="22"/>
          <w:szCs w:val="22"/>
        </w:rPr>
      </w:pPr>
      <w:r w:rsidRPr="005B4274">
        <w:rPr>
          <w:sz w:val="22"/>
          <w:szCs w:val="22"/>
        </w:rPr>
        <w:t>i.</w:t>
      </w:r>
      <w:r w:rsidRPr="005B4274">
        <w:rPr>
          <w:sz w:val="22"/>
          <w:szCs w:val="22"/>
        </w:rPr>
        <w:tab/>
        <w:t>Staff recruitment</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ii.</w:t>
      </w:r>
      <w:r w:rsidRPr="005B4274">
        <w:rPr>
          <w:sz w:val="22"/>
          <w:szCs w:val="22"/>
        </w:rPr>
        <w:tab/>
        <w:t>Staff activities – would they be able to focus 100% on IPPC or would they continue to be expected to do other FAO work?</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iii.</w:t>
      </w:r>
      <w:r w:rsidRPr="005B4274">
        <w:rPr>
          <w:sz w:val="22"/>
          <w:szCs w:val="22"/>
        </w:rPr>
        <w:tab/>
        <w:t>Staff Salary levels and other employment conditions</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iv.</w:t>
      </w:r>
      <w:r w:rsidRPr="005B4274">
        <w:rPr>
          <w:sz w:val="22"/>
          <w:szCs w:val="22"/>
        </w:rPr>
        <w:tab/>
        <w:t xml:space="preserve">Control of finances – to what extent would this </w:t>
      </w:r>
      <w:proofErr w:type="gramStart"/>
      <w:r w:rsidRPr="005B4274">
        <w:rPr>
          <w:sz w:val="22"/>
          <w:szCs w:val="22"/>
        </w:rPr>
        <w:t>be</w:t>
      </w:r>
      <w:proofErr w:type="gramEnd"/>
      <w:r w:rsidRPr="005B4274">
        <w:rPr>
          <w:sz w:val="22"/>
          <w:szCs w:val="22"/>
        </w:rPr>
        <w:t xml:space="preserve"> delegated to the Secretariat?</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v.</w:t>
      </w:r>
      <w:r w:rsidRPr="005B4274">
        <w:rPr>
          <w:sz w:val="22"/>
          <w:szCs w:val="22"/>
        </w:rPr>
        <w:tab/>
        <w:t>Would the IPPC budget be approved by the CPM plenary session?</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vi.</w:t>
      </w:r>
      <w:r w:rsidRPr="005B4274">
        <w:rPr>
          <w:sz w:val="22"/>
          <w:szCs w:val="22"/>
        </w:rPr>
        <w:tab/>
        <w:t>Would retention of FAO core funding be guaranteed, or would it become dependent on whether additional extra-budgetary funds would be raised?</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vii.</w:t>
      </w:r>
      <w:r w:rsidRPr="005B4274">
        <w:rPr>
          <w:sz w:val="22"/>
          <w:szCs w:val="22"/>
        </w:rPr>
        <w:tab/>
        <w:t>Extra-budgetary funding – would the FAO still take a percentage of the funds received?</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viii.</w:t>
      </w:r>
      <w:r w:rsidRPr="005B4274">
        <w:rPr>
          <w:sz w:val="22"/>
          <w:szCs w:val="22"/>
        </w:rPr>
        <w:tab/>
        <w:t>Daily Subsistence Allowance for meeting participants – would this remain linked to FAO rules?</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ix.</w:t>
      </w:r>
      <w:r w:rsidRPr="005B4274">
        <w:rPr>
          <w:sz w:val="22"/>
          <w:szCs w:val="22"/>
        </w:rPr>
        <w:tab/>
        <w:t>Would use of FAO interpretation and translation services be obligatory or could external contractors be used?</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x.</w:t>
      </w:r>
      <w:r w:rsidRPr="005B4274">
        <w:rPr>
          <w:sz w:val="22"/>
          <w:szCs w:val="22"/>
        </w:rPr>
        <w:tab/>
        <w:t>Plenary meetings – would these continue to be governed by FAO rules, e.g. on requiring delegates to have credentials?</w:t>
      </w:r>
    </w:p>
    <w:p w:rsidR="005B4274" w:rsidRPr="005B4274" w:rsidRDefault="005B4274" w:rsidP="005B4274">
      <w:pPr>
        <w:ind w:left="720"/>
        <w:rPr>
          <w:sz w:val="22"/>
          <w:szCs w:val="22"/>
        </w:rPr>
      </w:pPr>
    </w:p>
    <w:p w:rsidR="005B4274" w:rsidRPr="005B4274" w:rsidRDefault="005B4274" w:rsidP="005B4274">
      <w:pPr>
        <w:ind w:left="720"/>
        <w:rPr>
          <w:sz w:val="22"/>
          <w:szCs w:val="22"/>
        </w:rPr>
      </w:pPr>
      <w:r w:rsidRPr="005B4274">
        <w:rPr>
          <w:sz w:val="22"/>
          <w:szCs w:val="22"/>
        </w:rPr>
        <w:t>xi.</w:t>
      </w:r>
      <w:r w:rsidRPr="005B4274">
        <w:rPr>
          <w:sz w:val="22"/>
          <w:szCs w:val="22"/>
        </w:rPr>
        <w:tab/>
        <w:t xml:space="preserve">Reporting of progress, e.g. on Impact Focus Areas, to other FAO bodies – would this remain an obligation? </w:t>
      </w:r>
    </w:p>
    <w:p w:rsidR="005B4274" w:rsidRPr="005B4274" w:rsidRDefault="005B4274" w:rsidP="005B4274">
      <w:pPr>
        <w:rPr>
          <w:sz w:val="22"/>
          <w:szCs w:val="22"/>
        </w:rPr>
      </w:pPr>
    </w:p>
    <w:p w:rsidR="005B4274" w:rsidRPr="005B4274" w:rsidRDefault="005B4274" w:rsidP="005B4274">
      <w:pPr>
        <w:rPr>
          <w:b/>
          <w:sz w:val="22"/>
          <w:szCs w:val="22"/>
        </w:rPr>
      </w:pPr>
      <w:r w:rsidRPr="005B4274">
        <w:rPr>
          <w:b/>
          <w:sz w:val="22"/>
          <w:szCs w:val="22"/>
        </w:rPr>
        <w:t>Timing</w:t>
      </w:r>
    </w:p>
    <w:p w:rsidR="005B4274" w:rsidRPr="005B4274" w:rsidRDefault="005B4274" w:rsidP="005B4274">
      <w:pPr>
        <w:rPr>
          <w:sz w:val="22"/>
          <w:szCs w:val="22"/>
        </w:rPr>
      </w:pPr>
    </w:p>
    <w:p w:rsidR="003C3877" w:rsidRPr="005B4274" w:rsidRDefault="005B4274" w:rsidP="005B4274">
      <w:pPr>
        <w:numPr>
          <w:ilvl w:val="0"/>
          <w:numId w:val="16"/>
        </w:numPr>
        <w:ind w:left="709" w:hanging="709"/>
        <w:rPr>
          <w:sz w:val="22"/>
          <w:szCs w:val="22"/>
        </w:rPr>
      </w:pPr>
      <w:r w:rsidRPr="005B4274">
        <w:rPr>
          <w:sz w:val="22"/>
          <w:szCs w:val="22"/>
        </w:rPr>
        <w:t xml:space="preserve">The report should be completed by </w:t>
      </w:r>
      <w:r w:rsidRPr="00715871">
        <w:rPr>
          <w:sz w:val="22"/>
          <w:szCs w:val="22"/>
          <w:highlight w:val="yellow"/>
        </w:rPr>
        <w:t>1st October 2011</w:t>
      </w:r>
      <w:r w:rsidRPr="005B4274">
        <w:rPr>
          <w:sz w:val="22"/>
          <w:szCs w:val="22"/>
        </w:rPr>
        <w:t xml:space="preserve"> to allow consideration by the CPM Bureau meeting and the SPTA prior to finalization for presentation to the CPM meeting in March 2012.</w:t>
      </w:r>
    </w:p>
    <w:sectPr w:rsidR="003C3877" w:rsidRPr="005B4274" w:rsidSect="007861C0">
      <w:headerReference w:type="default" r:id="rId11"/>
      <w:footerReference w:type="even" r:id="rId12"/>
      <w:footerReference w:type="default" r:id="rId13"/>
      <w:pgSz w:w="11907" w:h="16840" w:code="9"/>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9A" w:rsidRDefault="0097259A">
      <w:r>
        <w:separator/>
      </w:r>
    </w:p>
  </w:endnote>
  <w:endnote w:type="continuationSeparator" w:id="0">
    <w:p w:rsidR="0097259A" w:rsidRDefault="00972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Times New Roman"/>
    <w:charset w:val="00"/>
    <w:family w:val="auto"/>
    <w:pitch w:val="variable"/>
    <w:sig w:usb0="00000001" w:usb1="5000204B"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E2" w:rsidRDefault="00FE7B9F" w:rsidP="00C66E21">
    <w:pPr>
      <w:pStyle w:val="Footer"/>
      <w:framePr w:wrap="around" w:vAnchor="text" w:hAnchor="margin" w:xAlign="center" w:y="1"/>
      <w:rPr>
        <w:rStyle w:val="PageNumber"/>
      </w:rPr>
    </w:pPr>
    <w:r>
      <w:rPr>
        <w:rStyle w:val="PageNumber"/>
      </w:rPr>
      <w:fldChar w:fldCharType="begin"/>
    </w:r>
    <w:r w:rsidR="008432E2">
      <w:rPr>
        <w:rStyle w:val="PageNumber"/>
      </w:rPr>
      <w:instrText xml:space="preserve">PAGE  </w:instrText>
    </w:r>
    <w:r>
      <w:rPr>
        <w:rStyle w:val="PageNumber"/>
      </w:rPr>
      <w:fldChar w:fldCharType="end"/>
    </w:r>
  </w:p>
  <w:p w:rsidR="008432E2" w:rsidRDefault="00843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E2" w:rsidRPr="00EF6DF9" w:rsidRDefault="00184855" w:rsidP="00A97C69">
    <w:pPr>
      <w:pStyle w:val="Footer"/>
      <w:jc w:val="right"/>
      <w:rPr>
        <w:i/>
        <w:sz w:val="20"/>
        <w:szCs w:val="20"/>
      </w:rPr>
    </w:pPr>
    <w:r>
      <w:rPr>
        <w:rStyle w:val="PageNumber"/>
        <w:i/>
        <w:sz w:val="20"/>
        <w:szCs w:val="20"/>
      </w:rPr>
      <w:t>SPTA</w:t>
    </w:r>
    <w:r w:rsidR="008432E2">
      <w:rPr>
        <w:rStyle w:val="PageNumber"/>
        <w:i/>
        <w:sz w:val="20"/>
        <w:szCs w:val="20"/>
      </w:rPr>
      <w:t xml:space="preserve"> Meeting 2011</w:t>
    </w:r>
    <w:r w:rsidR="008432E2">
      <w:rPr>
        <w:rStyle w:val="PageNumber"/>
        <w:i/>
        <w:sz w:val="20"/>
        <w:szCs w:val="20"/>
      </w:rPr>
      <w:tab/>
    </w:r>
    <w:r w:rsidR="008432E2">
      <w:rPr>
        <w:rStyle w:val="PageNumber"/>
        <w:i/>
        <w:sz w:val="20"/>
        <w:szCs w:val="20"/>
      </w:rPr>
      <w:tab/>
    </w:r>
    <w:r w:rsidR="008432E2" w:rsidRPr="00EF6DF9">
      <w:rPr>
        <w:rStyle w:val="PageNumber"/>
        <w:i/>
        <w:sz w:val="20"/>
        <w:szCs w:val="20"/>
      </w:rPr>
      <w:t xml:space="preserve">Page </w:t>
    </w:r>
    <w:r w:rsidR="00FE7B9F" w:rsidRPr="00EF6DF9">
      <w:rPr>
        <w:rStyle w:val="PageNumber"/>
        <w:i/>
        <w:sz w:val="20"/>
        <w:szCs w:val="20"/>
      </w:rPr>
      <w:fldChar w:fldCharType="begin"/>
    </w:r>
    <w:r w:rsidR="008432E2" w:rsidRPr="00EF6DF9">
      <w:rPr>
        <w:rStyle w:val="PageNumber"/>
        <w:i/>
        <w:sz w:val="20"/>
        <w:szCs w:val="20"/>
      </w:rPr>
      <w:instrText xml:space="preserve"> PAGE </w:instrText>
    </w:r>
    <w:r w:rsidR="00FE7B9F" w:rsidRPr="00EF6DF9">
      <w:rPr>
        <w:rStyle w:val="PageNumber"/>
        <w:i/>
        <w:sz w:val="20"/>
        <w:szCs w:val="20"/>
      </w:rPr>
      <w:fldChar w:fldCharType="separate"/>
    </w:r>
    <w:r w:rsidR="00B861A8">
      <w:rPr>
        <w:rStyle w:val="PageNumber"/>
        <w:i/>
        <w:noProof/>
        <w:sz w:val="20"/>
        <w:szCs w:val="20"/>
      </w:rPr>
      <w:t>1</w:t>
    </w:r>
    <w:r w:rsidR="00FE7B9F" w:rsidRPr="00EF6DF9">
      <w:rPr>
        <w:rStyle w:val="PageNumber"/>
        <w:i/>
        <w:sz w:val="20"/>
        <w:szCs w:val="20"/>
      </w:rPr>
      <w:fldChar w:fldCharType="end"/>
    </w:r>
    <w:r w:rsidR="008432E2" w:rsidRPr="00EF6DF9">
      <w:rPr>
        <w:rStyle w:val="PageNumber"/>
        <w:i/>
        <w:sz w:val="20"/>
        <w:szCs w:val="20"/>
      </w:rPr>
      <w:t xml:space="preserve"> of </w:t>
    </w:r>
    <w:r w:rsidR="00FE7B9F" w:rsidRPr="00EF6DF9">
      <w:rPr>
        <w:rStyle w:val="PageNumber"/>
        <w:i/>
        <w:sz w:val="20"/>
        <w:szCs w:val="20"/>
      </w:rPr>
      <w:fldChar w:fldCharType="begin"/>
    </w:r>
    <w:r w:rsidR="008432E2" w:rsidRPr="00EF6DF9">
      <w:rPr>
        <w:rStyle w:val="PageNumber"/>
        <w:i/>
        <w:sz w:val="20"/>
        <w:szCs w:val="20"/>
      </w:rPr>
      <w:instrText xml:space="preserve"> NUMPAGES </w:instrText>
    </w:r>
    <w:r w:rsidR="00FE7B9F" w:rsidRPr="00EF6DF9">
      <w:rPr>
        <w:rStyle w:val="PageNumber"/>
        <w:i/>
        <w:sz w:val="20"/>
        <w:szCs w:val="20"/>
      </w:rPr>
      <w:fldChar w:fldCharType="separate"/>
    </w:r>
    <w:r w:rsidR="00B861A8">
      <w:rPr>
        <w:rStyle w:val="PageNumber"/>
        <w:i/>
        <w:noProof/>
        <w:sz w:val="20"/>
        <w:szCs w:val="20"/>
      </w:rPr>
      <w:t>3</w:t>
    </w:r>
    <w:r w:rsidR="00FE7B9F" w:rsidRPr="00EF6DF9">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9A" w:rsidRDefault="0097259A">
      <w:r>
        <w:separator/>
      </w:r>
    </w:p>
  </w:footnote>
  <w:footnote w:type="continuationSeparator" w:id="0">
    <w:p w:rsidR="0097259A" w:rsidRDefault="00972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E2" w:rsidRDefault="00F3139A" w:rsidP="00CF5116">
    <w:pPr>
      <w:pStyle w:val="Header"/>
      <w:tabs>
        <w:tab w:val="clear" w:pos="8640"/>
        <w:tab w:val="left" w:pos="4785"/>
        <w:tab w:val="right" w:pos="9600"/>
      </w:tabs>
      <w:spacing w:before="120"/>
      <w:rPr>
        <w:bCs/>
        <w:sz w:val="20"/>
        <w:szCs w:val="20"/>
      </w:rPr>
    </w:pPr>
    <w:r w:rsidRPr="00F3139A">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説明: IPPCLogo" style="width:50.25pt;height:26.25pt;visibility:visible">
          <v:imagedata r:id="rId1" o:title="IPPCLogo"/>
        </v:shape>
      </w:pict>
    </w:r>
    <w:r w:rsidR="008432E2" w:rsidRPr="00D32D38">
      <w:rPr>
        <w:rFonts w:ascii="Arial" w:hAnsi="Arial" w:cs="Arial"/>
        <w:sz w:val="18"/>
        <w:szCs w:val="18"/>
      </w:rPr>
      <w:t>International Plant Protection Convention</w:t>
    </w:r>
    <w:r w:rsidR="008432E2">
      <w:rPr>
        <w:rFonts w:ascii="Arial" w:hAnsi="Arial" w:cs="Arial"/>
        <w:sz w:val="18"/>
        <w:szCs w:val="18"/>
      </w:rPr>
      <w:tab/>
    </w:r>
    <w:r w:rsidR="008432E2">
      <w:rPr>
        <w:rFonts w:ascii="Arial" w:hAnsi="Arial" w:cs="Arial"/>
        <w:sz w:val="18"/>
        <w:szCs w:val="18"/>
      </w:rPr>
      <w:tab/>
    </w:r>
    <w:r w:rsidR="008432E2">
      <w:rPr>
        <w:rFonts w:ascii="Arial" w:hAnsi="Arial" w:cs="Arial"/>
        <w:sz w:val="18"/>
        <w:szCs w:val="18"/>
      </w:rPr>
      <w:tab/>
    </w:r>
    <w:r w:rsidR="00184855">
      <w:rPr>
        <w:bCs/>
        <w:sz w:val="20"/>
        <w:szCs w:val="20"/>
      </w:rPr>
      <w:t xml:space="preserve">SPTA </w:t>
    </w:r>
    <w:r w:rsidR="008432E2">
      <w:rPr>
        <w:bCs/>
        <w:sz w:val="20"/>
        <w:szCs w:val="20"/>
      </w:rPr>
      <w:t>2011</w:t>
    </w:r>
    <w:r w:rsidR="00184855">
      <w:rPr>
        <w:bCs/>
        <w:sz w:val="20"/>
        <w:szCs w:val="20"/>
      </w:rPr>
      <w:t>/</w:t>
    </w:r>
    <w:r w:rsidR="00D665AF">
      <w:rPr>
        <w:bCs/>
        <w:sz w:val="20"/>
        <w:szCs w:val="20"/>
      </w:rPr>
      <w:t>18</w:t>
    </w:r>
  </w:p>
  <w:p w:rsidR="008432E2" w:rsidRPr="00B97784" w:rsidRDefault="008432E2" w:rsidP="00CA6A08">
    <w:pPr>
      <w:pStyle w:val="Header"/>
      <w:tabs>
        <w:tab w:val="clear" w:pos="8640"/>
        <w:tab w:val="right" w:pos="9600"/>
      </w:tabs>
      <w:spacing w:before="120"/>
      <w:rPr>
        <w:rFonts w:ascii="Arial" w:hAnsi="Arial" w:cs="Arial"/>
        <w:sz w:val="18"/>
        <w:szCs w:val="18"/>
      </w:rPr>
    </w:pPr>
  </w:p>
  <w:p w:rsidR="008432E2" w:rsidRPr="00CA6A08" w:rsidRDefault="008432E2" w:rsidP="00CA6A08">
    <w:pPr>
      <w:pStyle w:val="Header"/>
      <w:pBdr>
        <w:bottom w:val="single" w:sz="4" w:space="1" w:color="auto"/>
      </w:pBdr>
      <w:tabs>
        <w:tab w:val="clear" w:pos="8640"/>
        <w:tab w:val="right" w:pos="9600"/>
      </w:tabs>
      <w:rPr>
        <w:szCs w:val="20"/>
      </w:rPr>
    </w:pPr>
    <w:r>
      <w:rPr>
        <w:i/>
        <w:sz w:val="22"/>
        <w:szCs w:val="22"/>
        <w:lang w:val="en-US"/>
      </w:rPr>
      <w:t>Article XIV Bodies</w:t>
    </w:r>
    <w:r>
      <w:rPr>
        <w:rFonts w:ascii="Arial" w:hAnsi="Arial" w:cs="Arial"/>
        <w:i/>
        <w:sz w:val="18"/>
        <w:szCs w:val="18"/>
      </w:rPr>
      <w:tab/>
    </w:r>
    <w:r>
      <w:rPr>
        <w:rFonts w:ascii="Arial" w:hAnsi="Arial" w:cs="Arial"/>
        <w:i/>
        <w:sz w:val="18"/>
        <w:szCs w:val="18"/>
      </w:rPr>
      <w:tab/>
    </w:r>
    <w:r w:rsidRPr="000B2AF0">
      <w:rPr>
        <w:rFonts w:ascii="Arial" w:hAnsi="Arial" w:cs="Arial"/>
        <w:i/>
        <w:sz w:val="18"/>
        <w:szCs w:val="18"/>
      </w:rPr>
      <w:t xml:space="preserve">Agenda item: </w:t>
    </w:r>
    <w:r w:rsidRPr="00715871">
      <w:rPr>
        <w:rFonts w:ascii="Arial" w:hAnsi="Arial" w:cs="Arial"/>
        <w:i/>
        <w:sz w:val="18"/>
        <w:szCs w:val="18"/>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3A7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B6995"/>
    <w:multiLevelType w:val="hybridMultilevel"/>
    <w:tmpl w:val="C65E7E7C"/>
    <w:lvl w:ilvl="0" w:tplc="0409000F">
      <w:start w:val="1"/>
      <w:numFmt w:val="decimal"/>
      <w:lvlText w:val="%1."/>
      <w:lvlJc w:val="left"/>
      <w:pPr>
        <w:tabs>
          <w:tab w:val="num" w:pos="720"/>
        </w:tabs>
        <w:ind w:left="720" w:hanging="360"/>
      </w:pPr>
      <w:rPr>
        <w:rFonts w:cs="Times New Roman"/>
      </w:rPr>
    </w:lvl>
    <w:lvl w:ilvl="1" w:tplc="24089740">
      <w:start w:val="5"/>
      <w:numFmt w:val="bullet"/>
      <w:lvlText w:val="-"/>
      <w:lvlJc w:val="left"/>
      <w:pPr>
        <w:tabs>
          <w:tab w:val="num" w:pos="1440"/>
        </w:tabs>
        <w:ind w:left="1440" w:hanging="360"/>
      </w:pPr>
      <w:rPr>
        <w:rFonts w:ascii="Times New Roman" w:eastAsia="Times New Roman" w:hAnsi="Times New Roman" w:hint="default"/>
      </w:rPr>
    </w:lvl>
    <w:lvl w:ilvl="2" w:tplc="D5E8C2C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F76C0"/>
    <w:multiLevelType w:val="hybridMultilevel"/>
    <w:tmpl w:val="0D049C66"/>
    <w:lvl w:ilvl="0" w:tplc="5538C4C8">
      <w:start w:val="1"/>
      <w:numFmt w:val="bullet"/>
      <w:lvlText w:val="-"/>
      <w:lvlJc w:val="left"/>
      <w:pPr>
        <w:ind w:left="720" w:hanging="360"/>
      </w:pPr>
      <w:rPr>
        <w:rFonts w:ascii="Bliss 2 Light" w:hAnsi="Bliss 2 Light"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E5E2D"/>
    <w:multiLevelType w:val="hybridMultilevel"/>
    <w:tmpl w:val="1FD242D4"/>
    <w:lvl w:ilvl="0" w:tplc="06D67842">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25FE3CD6"/>
    <w:multiLevelType w:val="singleLevel"/>
    <w:tmpl w:val="5344E722"/>
    <w:lvl w:ilvl="0">
      <w:start w:val="1"/>
      <w:numFmt w:val="bullet"/>
      <w:pStyle w:val="DashListLev1"/>
      <w:lvlText w:val=""/>
      <w:lvlJc w:val="left"/>
      <w:pPr>
        <w:tabs>
          <w:tab w:val="num" w:pos="0"/>
        </w:tabs>
        <w:ind w:left="760" w:hanging="363"/>
      </w:pPr>
      <w:rPr>
        <w:rFonts w:ascii="Symbol" w:hAnsi="Symbol" w:hint="default"/>
      </w:rPr>
    </w:lvl>
  </w:abstractNum>
  <w:abstractNum w:abstractNumId="6">
    <w:nsid w:val="2A7E657C"/>
    <w:multiLevelType w:val="hybridMultilevel"/>
    <w:tmpl w:val="380ECBF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1A744D"/>
    <w:multiLevelType w:val="hybridMultilevel"/>
    <w:tmpl w:val="FB34A090"/>
    <w:lvl w:ilvl="0" w:tplc="08090001">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30A04"/>
    <w:multiLevelType w:val="hybridMultilevel"/>
    <w:tmpl w:val="FF808E1A"/>
    <w:lvl w:ilvl="0" w:tplc="F60AA24C">
      <w:start w:val="1"/>
      <w:numFmt w:val="bullet"/>
      <w:pStyle w:val="IPPBullet2"/>
      <w:lvlText w:val="•"/>
      <w:lvlJc w:val="left"/>
      <w:pPr>
        <w:tabs>
          <w:tab w:val="num" w:pos="1134"/>
        </w:tabs>
        <w:ind w:left="1134" w:hanging="567"/>
      </w:pPr>
      <w:rPr>
        <w:rFonts w:ascii="Times New Roman" w:hAnsi="Times New Roman" w:hint="default"/>
        <w:b w:val="0"/>
        <w:i w:val="0"/>
        <w:color w:val="auto"/>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50051"/>
    <w:multiLevelType w:val="hybridMultilevel"/>
    <w:tmpl w:val="9666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A1E"/>
    <w:multiLevelType w:val="hybridMultilevel"/>
    <w:tmpl w:val="87AEBD84"/>
    <w:lvl w:ilvl="0" w:tplc="88FEEDC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43567A0D"/>
    <w:multiLevelType w:val="multilevel"/>
    <w:tmpl w:val="A134F546"/>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E3C12A3"/>
    <w:multiLevelType w:val="hybridMultilevel"/>
    <w:tmpl w:val="E9FE7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0F2625"/>
    <w:multiLevelType w:val="hybridMultilevel"/>
    <w:tmpl w:val="116A67BC"/>
    <w:lvl w:ilvl="0" w:tplc="DF92A224">
      <w:start w:val="1"/>
      <w:numFmt w:val="upperLetter"/>
      <w:lvlText w:val="%1."/>
      <w:lvlJc w:val="left"/>
      <w:pPr>
        <w:tabs>
          <w:tab w:val="num" w:pos="1296"/>
        </w:tabs>
        <w:ind w:left="1296" w:hanging="576"/>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9E462A8"/>
    <w:multiLevelType w:val="hybridMultilevel"/>
    <w:tmpl w:val="1FC42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
  </w:num>
  <w:num w:numId="4">
    <w:abstractNumId w:val="10"/>
  </w:num>
  <w:num w:numId="5">
    <w:abstractNumId w:val="16"/>
  </w:num>
  <w:num w:numId="6">
    <w:abstractNumId w:val="5"/>
  </w:num>
  <w:num w:numId="7">
    <w:abstractNumId w:val="8"/>
  </w:num>
  <w:num w:numId="8">
    <w:abstractNumId w:val="1"/>
  </w:num>
  <w:num w:numId="9">
    <w:abstractNumId w:val="7"/>
  </w:num>
  <w:num w:numId="10">
    <w:abstractNumId w:val="15"/>
  </w:num>
  <w:num w:numId="11">
    <w:abstractNumId w:val="4"/>
  </w:num>
  <w:num w:numId="12">
    <w:abstractNumId w:val="11"/>
  </w:num>
  <w:num w:numId="13">
    <w:abstractNumId w:val="3"/>
  </w:num>
  <w:num w:numId="14">
    <w:abstractNumId w:val="9"/>
  </w:num>
  <w:num w:numId="15">
    <w:abstractNumId w:val="1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FB9"/>
    <w:rsid w:val="00002A5E"/>
    <w:rsid w:val="000072AB"/>
    <w:rsid w:val="00010295"/>
    <w:rsid w:val="00012F6E"/>
    <w:rsid w:val="00021A84"/>
    <w:rsid w:val="00025A44"/>
    <w:rsid w:val="00040822"/>
    <w:rsid w:val="00041321"/>
    <w:rsid w:val="0004227A"/>
    <w:rsid w:val="0004415D"/>
    <w:rsid w:val="00045DBB"/>
    <w:rsid w:val="00046857"/>
    <w:rsid w:val="00051E8C"/>
    <w:rsid w:val="00052CB9"/>
    <w:rsid w:val="00055934"/>
    <w:rsid w:val="00061A48"/>
    <w:rsid w:val="000670E2"/>
    <w:rsid w:val="00072AFA"/>
    <w:rsid w:val="000768CC"/>
    <w:rsid w:val="00077292"/>
    <w:rsid w:val="0007781E"/>
    <w:rsid w:val="0008108A"/>
    <w:rsid w:val="00084913"/>
    <w:rsid w:val="00091F61"/>
    <w:rsid w:val="00093D3B"/>
    <w:rsid w:val="000A4623"/>
    <w:rsid w:val="000A5F41"/>
    <w:rsid w:val="000A5F95"/>
    <w:rsid w:val="000A6113"/>
    <w:rsid w:val="000B2AF0"/>
    <w:rsid w:val="000B3896"/>
    <w:rsid w:val="000B5C48"/>
    <w:rsid w:val="000B74EB"/>
    <w:rsid w:val="000C6F27"/>
    <w:rsid w:val="000D2072"/>
    <w:rsid w:val="000D484C"/>
    <w:rsid w:val="000E27E7"/>
    <w:rsid w:val="000E42E0"/>
    <w:rsid w:val="000E691D"/>
    <w:rsid w:val="000F0BD2"/>
    <w:rsid w:val="000F3C8C"/>
    <w:rsid w:val="00104601"/>
    <w:rsid w:val="00104B83"/>
    <w:rsid w:val="00105822"/>
    <w:rsid w:val="00107351"/>
    <w:rsid w:val="0012200E"/>
    <w:rsid w:val="0012472D"/>
    <w:rsid w:val="00124CE7"/>
    <w:rsid w:val="00125C0F"/>
    <w:rsid w:val="00125E43"/>
    <w:rsid w:val="00130500"/>
    <w:rsid w:val="00141D47"/>
    <w:rsid w:val="00142FC0"/>
    <w:rsid w:val="00147C6C"/>
    <w:rsid w:val="001506E1"/>
    <w:rsid w:val="001540BC"/>
    <w:rsid w:val="00154BA6"/>
    <w:rsid w:val="00155490"/>
    <w:rsid w:val="00156C0D"/>
    <w:rsid w:val="001636E3"/>
    <w:rsid w:val="0016738A"/>
    <w:rsid w:val="0017167E"/>
    <w:rsid w:val="001720DB"/>
    <w:rsid w:val="001813BD"/>
    <w:rsid w:val="00182A77"/>
    <w:rsid w:val="00183259"/>
    <w:rsid w:val="00184389"/>
    <w:rsid w:val="00184855"/>
    <w:rsid w:val="00190E26"/>
    <w:rsid w:val="001972AD"/>
    <w:rsid w:val="001A175E"/>
    <w:rsid w:val="001A2AC4"/>
    <w:rsid w:val="001A5A2B"/>
    <w:rsid w:val="001A73A7"/>
    <w:rsid w:val="001B02B9"/>
    <w:rsid w:val="001B21AC"/>
    <w:rsid w:val="001B69A4"/>
    <w:rsid w:val="001C35DA"/>
    <w:rsid w:val="001D016F"/>
    <w:rsid w:val="001E1D1A"/>
    <w:rsid w:val="001E52BE"/>
    <w:rsid w:val="001E5A27"/>
    <w:rsid w:val="001F1708"/>
    <w:rsid w:val="001F2D0A"/>
    <w:rsid w:val="001F7A60"/>
    <w:rsid w:val="00200D10"/>
    <w:rsid w:val="00202269"/>
    <w:rsid w:val="00210045"/>
    <w:rsid w:val="00210CEC"/>
    <w:rsid w:val="00212E3A"/>
    <w:rsid w:val="00213F4C"/>
    <w:rsid w:val="00216701"/>
    <w:rsid w:val="00217AD0"/>
    <w:rsid w:val="00221213"/>
    <w:rsid w:val="0022561F"/>
    <w:rsid w:val="00231F64"/>
    <w:rsid w:val="002405BA"/>
    <w:rsid w:val="002423A0"/>
    <w:rsid w:val="00246465"/>
    <w:rsid w:val="00246E90"/>
    <w:rsid w:val="00247177"/>
    <w:rsid w:val="0025032E"/>
    <w:rsid w:val="002570CD"/>
    <w:rsid w:val="0026299A"/>
    <w:rsid w:val="002659F4"/>
    <w:rsid w:val="0027251C"/>
    <w:rsid w:val="00275BC5"/>
    <w:rsid w:val="002804DA"/>
    <w:rsid w:val="00280CC0"/>
    <w:rsid w:val="00282AC5"/>
    <w:rsid w:val="002932F5"/>
    <w:rsid w:val="00295126"/>
    <w:rsid w:val="002A4B99"/>
    <w:rsid w:val="002A5603"/>
    <w:rsid w:val="002B2913"/>
    <w:rsid w:val="002B46F6"/>
    <w:rsid w:val="002B4934"/>
    <w:rsid w:val="002C1931"/>
    <w:rsid w:val="002C6C35"/>
    <w:rsid w:val="002C6D46"/>
    <w:rsid w:val="002D0BEB"/>
    <w:rsid w:val="002D2CEE"/>
    <w:rsid w:val="002D32A8"/>
    <w:rsid w:val="002D484B"/>
    <w:rsid w:val="002D738F"/>
    <w:rsid w:val="002E28CE"/>
    <w:rsid w:val="002E477D"/>
    <w:rsid w:val="002E5171"/>
    <w:rsid w:val="002F776E"/>
    <w:rsid w:val="002F7DFA"/>
    <w:rsid w:val="003009BF"/>
    <w:rsid w:val="00302DAB"/>
    <w:rsid w:val="003039E3"/>
    <w:rsid w:val="00307365"/>
    <w:rsid w:val="0031003D"/>
    <w:rsid w:val="0031024F"/>
    <w:rsid w:val="003119B7"/>
    <w:rsid w:val="00313AC3"/>
    <w:rsid w:val="00314113"/>
    <w:rsid w:val="00315397"/>
    <w:rsid w:val="00321895"/>
    <w:rsid w:val="00331816"/>
    <w:rsid w:val="00332FCA"/>
    <w:rsid w:val="003403DF"/>
    <w:rsid w:val="003406C7"/>
    <w:rsid w:val="0034284E"/>
    <w:rsid w:val="00342DC6"/>
    <w:rsid w:val="00343B3C"/>
    <w:rsid w:val="003507AF"/>
    <w:rsid w:val="00356EB3"/>
    <w:rsid w:val="00356F4F"/>
    <w:rsid w:val="003658F2"/>
    <w:rsid w:val="00370E87"/>
    <w:rsid w:val="00372F76"/>
    <w:rsid w:val="00377E4C"/>
    <w:rsid w:val="0039416E"/>
    <w:rsid w:val="003941F0"/>
    <w:rsid w:val="003950C1"/>
    <w:rsid w:val="00395161"/>
    <w:rsid w:val="003A42C4"/>
    <w:rsid w:val="003A550D"/>
    <w:rsid w:val="003A591F"/>
    <w:rsid w:val="003B1DE7"/>
    <w:rsid w:val="003B37C3"/>
    <w:rsid w:val="003C3877"/>
    <w:rsid w:val="003C781B"/>
    <w:rsid w:val="003D2C89"/>
    <w:rsid w:val="003D3C69"/>
    <w:rsid w:val="003D6C15"/>
    <w:rsid w:val="003D7AEE"/>
    <w:rsid w:val="003E14FB"/>
    <w:rsid w:val="003E2FA5"/>
    <w:rsid w:val="003E7492"/>
    <w:rsid w:val="003F7CCC"/>
    <w:rsid w:val="00411728"/>
    <w:rsid w:val="00412A26"/>
    <w:rsid w:val="00413FB5"/>
    <w:rsid w:val="0041426E"/>
    <w:rsid w:val="0042181B"/>
    <w:rsid w:val="004267F7"/>
    <w:rsid w:val="00426A8D"/>
    <w:rsid w:val="00434865"/>
    <w:rsid w:val="004405A1"/>
    <w:rsid w:val="00440672"/>
    <w:rsid w:val="00440C86"/>
    <w:rsid w:val="004530DF"/>
    <w:rsid w:val="00456F9B"/>
    <w:rsid w:val="00460C5D"/>
    <w:rsid w:val="00462FB1"/>
    <w:rsid w:val="00463372"/>
    <w:rsid w:val="00464965"/>
    <w:rsid w:val="004663DA"/>
    <w:rsid w:val="004670B5"/>
    <w:rsid w:val="00470E9B"/>
    <w:rsid w:val="00474D26"/>
    <w:rsid w:val="004755B1"/>
    <w:rsid w:val="00476453"/>
    <w:rsid w:val="00476F0A"/>
    <w:rsid w:val="004901E9"/>
    <w:rsid w:val="004903C4"/>
    <w:rsid w:val="0049091B"/>
    <w:rsid w:val="0049348E"/>
    <w:rsid w:val="004946C9"/>
    <w:rsid w:val="004A35E0"/>
    <w:rsid w:val="004A363A"/>
    <w:rsid w:val="004B1E3C"/>
    <w:rsid w:val="004B4C50"/>
    <w:rsid w:val="004C6917"/>
    <w:rsid w:val="004D0968"/>
    <w:rsid w:val="004D3255"/>
    <w:rsid w:val="004D5DDB"/>
    <w:rsid w:val="004D71B2"/>
    <w:rsid w:val="004E0BC2"/>
    <w:rsid w:val="004E5623"/>
    <w:rsid w:val="004E7451"/>
    <w:rsid w:val="004F5850"/>
    <w:rsid w:val="004F5A85"/>
    <w:rsid w:val="004F7836"/>
    <w:rsid w:val="005001A5"/>
    <w:rsid w:val="00500B69"/>
    <w:rsid w:val="00502C67"/>
    <w:rsid w:val="0050536D"/>
    <w:rsid w:val="0052620D"/>
    <w:rsid w:val="00527B78"/>
    <w:rsid w:val="00531EA6"/>
    <w:rsid w:val="00534857"/>
    <w:rsid w:val="00535D0D"/>
    <w:rsid w:val="00536A93"/>
    <w:rsid w:val="0054046B"/>
    <w:rsid w:val="0054186A"/>
    <w:rsid w:val="005442D6"/>
    <w:rsid w:val="00544329"/>
    <w:rsid w:val="00547FDB"/>
    <w:rsid w:val="005553CD"/>
    <w:rsid w:val="005569D0"/>
    <w:rsid w:val="00561DB6"/>
    <w:rsid w:val="00564D66"/>
    <w:rsid w:val="00566A03"/>
    <w:rsid w:val="005733A0"/>
    <w:rsid w:val="00573DE5"/>
    <w:rsid w:val="00574654"/>
    <w:rsid w:val="00581D03"/>
    <w:rsid w:val="00582474"/>
    <w:rsid w:val="00584C99"/>
    <w:rsid w:val="005852EE"/>
    <w:rsid w:val="00587550"/>
    <w:rsid w:val="00590417"/>
    <w:rsid w:val="00593EDF"/>
    <w:rsid w:val="005970C8"/>
    <w:rsid w:val="005A317C"/>
    <w:rsid w:val="005A3E5D"/>
    <w:rsid w:val="005A4D20"/>
    <w:rsid w:val="005A67E3"/>
    <w:rsid w:val="005B0E65"/>
    <w:rsid w:val="005B343D"/>
    <w:rsid w:val="005B4274"/>
    <w:rsid w:val="005B73F7"/>
    <w:rsid w:val="005C34FF"/>
    <w:rsid w:val="005C6296"/>
    <w:rsid w:val="005D1B70"/>
    <w:rsid w:val="005E4417"/>
    <w:rsid w:val="005E642A"/>
    <w:rsid w:val="005E7440"/>
    <w:rsid w:val="005F64BA"/>
    <w:rsid w:val="005F78D9"/>
    <w:rsid w:val="005F7B06"/>
    <w:rsid w:val="00611020"/>
    <w:rsid w:val="00613780"/>
    <w:rsid w:val="00615576"/>
    <w:rsid w:val="006200E1"/>
    <w:rsid w:val="00623135"/>
    <w:rsid w:val="0062518B"/>
    <w:rsid w:val="00626246"/>
    <w:rsid w:val="00632F0F"/>
    <w:rsid w:val="00633C20"/>
    <w:rsid w:val="00634F49"/>
    <w:rsid w:val="00641CC5"/>
    <w:rsid w:val="00647333"/>
    <w:rsid w:val="00656B0C"/>
    <w:rsid w:val="00656DA8"/>
    <w:rsid w:val="00661D50"/>
    <w:rsid w:val="0067403B"/>
    <w:rsid w:val="00675192"/>
    <w:rsid w:val="006761C1"/>
    <w:rsid w:val="00681BB8"/>
    <w:rsid w:val="0068352C"/>
    <w:rsid w:val="0068436E"/>
    <w:rsid w:val="00691E20"/>
    <w:rsid w:val="006954BD"/>
    <w:rsid w:val="006A10CE"/>
    <w:rsid w:val="006B352C"/>
    <w:rsid w:val="006C2515"/>
    <w:rsid w:val="006C300F"/>
    <w:rsid w:val="006C4E5A"/>
    <w:rsid w:val="006D1659"/>
    <w:rsid w:val="006D2C9D"/>
    <w:rsid w:val="006D73E0"/>
    <w:rsid w:val="006E1B09"/>
    <w:rsid w:val="006E758C"/>
    <w:rsid w:val="006F1E40"/>
    <w:rsid w:val="00702077"/>
    <w:rsid w:val="00702091"/>
    <w:rsid w:val="007040A2"/>
    <w:rsid w:val="007056AA"/>
    <w:rsid w:val="00705CF8"/>
    <w:rsid w:val="0070738C"/>
    <w:rsid w:val="00713701"/>
    <w:rsid w:val="00715871"/>
    <w:rsid w:val="007170C0"/>
    <w:rsid w:val="00725F43"/>
    <w:rsid w:val="00730F7D"/>
    <w:rsid w:val="0074335D"/>
    <w:rsid w:val="007437BF"/>
    <w:rsid w:val="0075277C"/>
    <w:rsid w:val="00753FF7"/>
    <w:rsid w:val="007548E3"/>
    <w:rsid w:val="00762C38"/>
    <w:rsid w:val="00764B7E"/>
    <w:rsid w:val="00764C71"/>
    <w:rsid w:val="00765B17"/>
    <w:rsid w:val="0077179B"/>
    <w:rsid w:val="007819EE"/>
    <w:rsid w:val="00782C10"/>
    <w:rsid w:val="007838D5"/>
    <w:rsid w:val="00784CD6"/>
    <w:rsid w:val="007861C0"/>
    <w:rsid w:val="007904BA"/>
    <w:rsid w:val="0079395B"/>
    <w:rsid w:val="00796B32"/>
    <w:rsid w:val="007A3247"/>
    <w:rsid w:val="007A3287"/>
    <w:rsid w:val="007A38AE"/>
    <w:rsid w:val="007A4581"/>
    <w:rsid w:val="007B1163"/>
    <w:rsid w:val="007B157E"/>
    <w:rsid w:val="007B1EB5"/>
    <w:rsid w:val="007B26FF"/>
    <w:rsid w:val="007B2883"/>
    <w:rsid w:val="007B2BAF"/>
    <w:rsid w:val="007B506F"/>
    <w:rsid w:val="007C2740"/>
    <w:rsid w:val="007D1634"/>
    <w:rsid w:val="007D6307"/>
    <w:rsid w:val="007E18D6"/>
    <w:rsid w:val="007E518E"/>
    <w:rsid w:val="007F1579"/>
    <w:rsid w:val="007F531F"/>
    <w:rsid w:val="0080230E"/>
    <w:rsid w:val="00811901"/>
    <w:rsid w:val="0081448F"/>
    <w:rsid w:val="00820BD2"/>
    <w:rsid w:val="008238BF"/>
    <w:rsid w:val="00825E8D"/>
    <w:rsid w:val="00827634"/>
    <w:rsid w:val="008369D3"/>
    <w:rsid w:val="008432E2"/>
    <w:rsid w:val="00844164"/>
    <w:rsid w:val="00844990"/>
    <w:rsid w:val="00845098"/>
    <w:rsid w:val="008509F4"/>
    <w:rsid w:val="00851794"/>
    <w:rsid w:val="0085339B"/>
    <w:rsid w:val="00855CD2"/>
    <w:rsid w:val="00856F51"/>
    <w:rsid w:val="00857748"/>
    <w:rsid w:val="00857BB8"/>
    <w:rsid w:val="0086604E"/>
    <w:rsid w:val="00870914"/>
    <w:rsid w:val="00873981"/>
    <w:rsid w:val="008777AD"/>
    <w:rsid w:val="00880815"/>
    <w:rsid w:val="00882866"/>
    <w:rsid w:val="00882FA1"/>
    <w:rsid w:val="00883774"/>
    <w:rsid w:val="008859D6"/>
    <w:rsid w:val="008861F3"/>
    <w:rsid w:val="0089272D"/>
    <w:rsid w:val="00897834"/>
    <w:rsid w:val="00897C8C"/>
    <w:rsid w:val="008A2ADB"/>
    <w:rsid w:val="008B1AE3"/>
    <w:rsid w:val="008B29CF"/>
    <w:rsid w:val="008B349C"/>
    <w:rsid w:val="008B50DE"/>
    <w:rsid w:val="008B56BE"/>
    <w:rsid w:val="008B783F"/>
    <w:rsid w:val="008B7C68"/>
    <w:rsid w:val="008C009D"/>
    <w:rsid w:val="008C0277"/>
    <w:rsid w:val="008C08B2"/>
    <w:rsid w:val="008C25FB"/>
    <w:rsid w:val="008C5250"/>
    <w:rsid w:val="008C5DDB"/>
    <w:rsid w:val="008D64A4"/>
    <w:rsid w:val="008E77AE"/>
    <w:rsid w:val="008F1928"/>
    <w:rsid w:val="008F2337"/>
    <w:rsid w:val="008F26E0"/>
    <w:rsid w:val="008F7F22"/>
    <w:rsid w:val="00900CC8"/>
    <w:rsid w:val="0090200F"/>
    <w:rsid w:val="00902A28"/>
    <w:rsid w:val="00904753"/>
    <w:rsid w:val="00907A33"/>
    <w:rsid w:val="00907D29"/>
    <w:rsid w:val="00910E6F"/>
    <w:rsid w:val="00912896"/>
    <w:rsid w:val="00915EC0"/>
    <w:rsid w:val="009209A9"/>
    <w:rsid w:val="00920DF3"/>
    <w:rsid w:val="00920F64"/>
    <w:rsid w:val="00922DA3"/>
    <w:rsid w:val="00922DB5"/>
    <w:rsid w:val="009301D6"/>
    <w:rsid w:val="00930FFE"/>
    <w:rsid w:val="00931E0E"/>
    <w:rsid w:val="00933173"/>
    <w:rsid w:val="0093771B"/>
    <w:rsid w:val="00943BE3"/>
    <w:rsid w:val="009528F2"/>
    <w:rsid w:val="00953067"/>
    <w:rsid w:val="00960464"/>
    <w:rsid w:val="009617A1"/>
    <w:rsid w:val="00967CDA"/>
    <w:rsid w:val="0097259A"/>
    <w:rsid w:val="00976CD1"/>
    <w:rsid w:val="0098290D"/>
    <w:rsid w:val="00984613"/>
    <w:rsid w:val="0098673E"/>
    <w:rsid w:val="0099030B"/>
    <w:rsid w:val="00997A93"/>
    <w:rsid w:val="009A181E"/>
    <w:rsid w:val="009A1EA6"/>
    <w:rsid w:val="009A2870"/>
    <w:rsid w:val="009A4416"/>
    <w:rsid w:val="009B057E"/>
    <w:rsid w:val="009B0FDF"/>
    <w:rsid w:val="009B743D"/>
    <w:rsid w:val="009B78FB"/>
    <w:rsid w:val="009D46F5"/>
    <w:rsid w:val="009D4D86"/>
    <w:rsid w:val="009D52C1"/>
    <w:rsid w:val="009E4175"/>
    <w:rsid w:val="009F1A0E"/>
    <w:rsid w:val="009F20C7"/>
    <w:rsid w:val="009F2118"/>
    <w:rsid w:val="009F5378"/>
    <w:rsid w:val="009F5444"/>
    <w:rsid w:val="009F6157"/>
    <w:rsid w:val="009F6453"/>
    <w:rsid w:val="00A0022F"/>
    <w:rsid w:val="00A028AD"/>
    <w:rsid w:val="00A13D90"/>
    <w:rsid w:val="00A16788"/>
    <w:rsid w:val="00A17931"/>
    <w:rsid w:val="00A17987"/>
    <w:rsid w:val="00A17B1F"/>
    <w:rsid w:val="00A23386"/>
    <w:rsid w:val="00A25FBF"/>
    <w:rsid w:val="00A26FCD"/>
    <w:rsid w:val="00A36F51"/>
    <w:rsid w:val="00A41856"/>
    <w:rsid w:val="00A44F8A"/>
    <w:rsid w:val="00A45C13"/>
    <w:rsid w:val="00A46FA5"/>
    <w:rsid w:val="00A47224"/>
    <w:rsid w:val="00A552D4"/>
    <w:rsid w:val="00A5704F"/>
    <w:rsid w:val="00A57052"/>
    <w:rsid w:val="00A603AB"/>
    <w:rsid w:val="00A65E08"/>
    <w:rsid w:val="00A66B69"/>
    <w:rsid w:val="00A73358"/>
    <w:rsid w:val="00A7376B"/>
    <w:rsid w:val="00A76368"/>
    <w:rsid w:val="00A804EA"/>
    <w:rsid w:val="00A829E2"/>
    <w:rsid w:val="00A8603D"/>
    <w:rsid w:val="00A91E28"/>
    <w:rsid w:val="00A97C69"/>
    <w:rsid w:val="00AA30AD"/>
    <w:rsid w:val="00AA57AA"/>
    <w:rsid w:val="00AA5D0D"/>
    <w:rsid w:val="00AB019D"/>
    <w:rsid w:val="00AB20D7"/>
    <w:rsid w:val="00AB3694"/>
    <w:rsid w:val="00AB437C"/>
    <w:rsid w:val="00AB5D8D"/>
    <w:rsid w:val="00AB6748"/>
    <w:rsid w:val="00AB765F"/>
    <w:rsid w:val="00AD13E1"/>
    <w:rsid w:val="00AE091B"/>
    <w:rsid w:val="00AE4748"/>
    <w:rsid w:val="00AE7E93"/>
    <w:rsid w:val="00AF7247"/>
    <w:rsid w:val="00B061D3"/>
    <w:rsid w:val="00B23776"/>
    <w:rsid w:val="00B31E4A"/>
    <w:rsid w:val="00B33456"/>
    <w:rsid w:val="00B34006"/>
    <w:rsid w:val="00B34259"/>
    <w:rsid w:val="00B370CF"/>
    <w:rsid w:val="00B44124"/>
    <w:rsid w:val="00B461C7"/>
    <w:rsid w:val="00B46A15"/>
    <w:rsid w:val="00B55533"/>
    <w:rsid w:val="00B55FB9"/>
    <w:rsid w:val="00B604E0"/>
    <w:rsid w:val="00B70754"/>
    <w:rsid w:val="00B7321C"/>
    <w:rsid w:val="00B73CF1"/>
    <w:rsid w:val="00B740AE"/>
    <w:rsid w:val="00B74822"/>
    <w:rsid w:val="00B74DE1"/>
    <w:rsid w:val="00B804B7"/>
    <w:rsid w:val="00B81C43"/>
    <w:rsid w:val="00B82B97"/>
    <w:rsid w:val="00B8523D"/>
    <w:rsid w:val="00B85412"/>
    <w:rsid w:val="00B861A8"/>
    <w:rsid w:val="00B91ADB"/>
    <w:rsid w:val="00B9313D"/>
    <w:rsid w:val="00B94AA1"/>
    <w:rsid w:val="00B97784"/>
    <w:rsid w:val="00BB0244"/>
    <w:rsid w:val="00BB707B"/>
    <w:rsid w:val="00BC211F"/>
    <w:rsid w:val="00BC4C27"/>
    <w:rsid w:val="00BC712D"/>
    <w:rsid w:val="00BC721C"/>
    <w:rsid w:val="00BD59D5"/>
    <w:rsid w:val="00BD7898"/>
    <w:rsid w:val="00BD7A6F"/>
    <w:rsid w:val="00BE1FFF"/>
    <w:rsid w:val="00BE43AC"/>
    <w:rsid w:val="00BE4BCD"/>
    <w:rsid w:val="00BE5C92"/>
    <w:rsid w:val="00BF0A6C"/>
    <w:rsid w:val="00BF3354"/>
    <w:rsid w:val="00BF3D3F"/>
    <w:rsid w:val="00BF7721"/>
    <w:rsid w:val="00C01445"/>
    <w:rsid w:val="00C02087"/>
    <w:rsid w:val="00C0294F"/>
    <w:rsid w:val="00C10AA0"/>
    <w:rsid w:val="00C14871"/>
    <w:rsid w:val="00C14A6D"/>
    <w:rsid w:val="00C14C69"/>
    <w:rsid w:val="00C16B6E"/>
    <w:rsid w:val="00C237FE"/>
    <w:rsid w:val="00C27EF7"/>
    <w:rsid w:val="00C31546"/>
    <w:rsid w:val="00C35919"/>
    <w:rsid w:val="00C37254"/>
    <w:rsid w:val="00C37581"/>
    <w:rsid w:val="00C411CC"/>
    <w:rsid w:val="00C46E44"/>
    <w:rsid w:val="00C527FD"/>
    <w:rsid w:val="00C55679"/>
    <w:rsid w:val="00C55BA7"/>
    <w:rsid w:val="00C60935"/>
    <w:rsid w:val="00C620D8"/>
    <w:rsid w:val="00C66E21"/>
    <w:rsid w:val="00C67D4B"/>
    <w:rsid w:val="00C74D73"/>
    <w:rsid w:val="00C76954"/>
    <w:rsid w:val="00C7778F"/>
    <w:rsid w:val="00C80DF4"/>
    <w:rsid w:val="00C815C4"/>
    <w:rsid w:val="00C83E1D"/>
    <w:rsid w:val="00C903C3"/>
    <w:rsid w:val="00C9291C"/>
    <w:rsid w:val="00C95D42"/>
    <w:rsid w:val="00C96DF2"/>
    <w:rsid w:val="00C97ADC"/>
    <w:rsid w:val="00CA38C6"/>
    <w:rsid w:val="00CA451A"/>
    <w:rsid w:val="00CA6A08"/>
    <w:rsid w:val="00CC1A6D"/>
    <w:rsid w:val="00CC3AA8"/>
    <w:rsid w:val="00CD20DF"/>
    <w:rsid w:val="00CE2C01"/>
    <w:rsid w:val="00CE6D1B"/>
    <w:rsid w:val="00CF3B02"/>
    <w:rsid w:val="00CF5116"/>
    <w:rsid w:val="00CF674C"/>
    <w:rsid w:val="00CF67F9"/>
    <w:rsid w:val="00D01C7B"/>
    <w:rsid w:val="00D07CE0"/>
    <w:rsid w:val="00D20C37"/>
    <w:rsid w:val="00D20DD7"/>
    <w:rsid w:val="00D230B4"/>
    <w:rsid w:val="00D24C21"/>
    <w:rsid w:val="00D2658E"/>
    <w:rsid w:val="00D27C37"/>
    <w:rsid w:val="00D31EE2"/>
    <w:rsid w:val="00D3317C"/>
    <w:rsid w:val="00D365D1"/>
    <w:rsid w:val="00D40D2F"/>
    <w:rsid w:val="00D509FB"/>
    <w:rsid w:val="00D528FB"/>
    <w:rsid w:val="00D5361A"/>
    <w:rsid w:val="00D53A60"/>
    <w:rsid w:val="00D54FB6"/>
    <w:rsid w:val="00D55A23"/>
    <w:rsid w:val="00D665AF"/>
    <w:rsid w:val="00D66DF3"/>
    <w:rsid w:val="00D67133"/>
    <w:rsid w:val="00D67523"/>
    <w:rsid w:val="00D70331"/>
    <w:rsid w:val="00D72289"/>
    <w:rsid w:val="00D739F7"/>
    <w:rsid w:val="00D73D66"/>
    <w:rsid w:val="00D74FD1"/>
    <w:rsid w:val="00D75B04"/>
    <w:rsid w:val="00D761A8"/>
    <w:rsid w:val="00D807EC"/>
    <w:rsid w:val="00D838E9"/>
    <w:rsid w:val="00D843B6"/>
    <w:rsid w:val="00D848C1"/>
    <w:rsid w:val="00D85954"/>
    <w:rsid w:val="00D85AC9"/>
    <w:rsid w:val="00D86211"/>
    <w:rsid w:val="00D9174D"/>
    <w:rsid w:val="00D931E8"/>
    <w:rsid w:val="00D96B8E"/>
    <w:rsid w:val="00DA2BD6"/>
    <w:rsid w:val="00DA3A1E"/>
    <w:rsid w:val="00DA4FC6"/>
    <w:rsid w:val="00DA5433"/>
    <w:rsid w:val="00DA563A"/>
    <w:rsid w:val="00DA7A86"/>
    <w:rsid w:val="00DC0545"/>
    <w:rsid w:val="00DC0797"/>
    <w:rsid w:val="00DC1574"/>
    <w:rsid w:val="00DC20C4"/>
    <w:rsid w:val="00DC25DE"/>
    <w:rsid w:val="00DC34FB"/>
    <w:rsid w:val="00DC3621"/>
    <w:rsid w:val="00DD0C9A"/>
    <w:rsid w:val="00DD1052"/>
    <w:rsid w:val="00DE7EFD"/>
    <w:rsid w:val="00DF597F"/>
    <w:rsid w:val="00E079AA"/>
    <w:rsid w:val="00E14F0D"/>
    <w:rsid w:val="00E15E2A"/>
    <w:rsid w:val="00E22240"/>
    <w:rsid w:val="00E25344"/>
    <w:rsid w:val="00E25963"/>
    <w:rsid w:val="00E26475"/>
    <w:rsid w:val="00E45684"/>
    <w:rsid w:val="00E5101D"/>
    <w:rsid w:val="00E516E2"/>
    <w:rsid w:val="00E52442"/>
    <w:rsid w:val="00E53BDC"/>
    <w:rsid w:val="00E56292"/>
    <w:rsid w:val="00E56F76"/>
    <w:rsid w:val="00E63C70"/>
    <w:rsid w:val="00E64DA7"/>
    <w:rsid w:val="00E65E56"/>
    <w:rsid w:val="00E67354"/>
    <w:rsid w:val="00E71ADE"/>
    <w:rsid w:val="00E74A5E"/>
    <w:rsid w:val="00E751DF"/>
    <w:rsid w:val="00E7548B"/>
    <w:rsid w:val="00E75742"/>
    <w:rsid w:val="00E77FDE"/>
    <w:rsid w:val="00E80C4A"/>
    <w:rsid w:val="00E838FB"/>
    <w:rsid w:val="00E83D34"/>
    <w:rsid w:val="00E83D54"/>
    <w:rsid w:val="00E84FE5"/>
    <w:rsid w:val="00E85E53"/>
    <w:rsid w:val="00E90271"/>
    <w:rsid w:val="00E9282F"/>
    <w:rsid w:val="00E92EB7"/>
    <w:rsid w:val="00E9309C"/>
    <w:rsid w:val="00E96DFC"/>
    <w:rsid w:val="00EA2E18"/>
    <w:rsid w:val="00EB050A"/>
    <w:rsid w:val="00EB3780"/>
    <w:rsid w:val="00EB6AB5"/>
    <w:rsid w:val="00EC1170"/>
    <w:rsid w:val="00EC20AD"/>
    <w:rsid w:val="00EC501A"/>
    <w:rsid w:val="00EC64B2"/>
    <w:rsid w:val="00ED0B32"/>
    <w:rsid w:val="00ED271E"/>
    <w:rsid w:val="00ED3B01"/>
    <w:rsid w:val="00ED5A50"/>
    <w:rsid w:val="00EE35C9"/>
    <w:rsid w:val="00EE3C9C"/>
    <w:rsid w:val="00EE727A"/>
    <w:rsid w:val="00EF6208"/>
    <w:rsid w:val="00EF6DF9"/>
    <w:rsid w:val="00EF7E22"/>
    <w:rsid w:val="00F01D6A"/>
    <w:rsid w:val="00F04187"/>
    <w:rsid w:val="00F04DC0"/>
    <w:rsid w:val="00F05553"/>
    <w:rsid w:val="00F062DA"/>
    <w:rsid w:val="00F10189"/>
    <w:rsid w:val="00F3139A"/>
    <w:rsid w:val="00F3158B"/>
    <w:rsid w:val="00F32F1B"/>
    <w:rsid w:val="00F3362D"/>
    <w:rsid w:val="00F34488"/>
    <w:rsid w:val="00F36563"/>
    <w:rsid w:val="00F36C02"/>
    <w:rsid w:val="00F437C5"/>
    <w:rsid w:val="00F472BB"/>
    <w:rsid w:val="00F5285E"/>
    <w:rsid w:val="00F5305D"/>
    <w:rsid w:val="00F53149"/>
    <w:rsid w:val="00F54D41"/>
    <w:rsid w:val="00F5677B"/>
    <w:rsid w:val="00F64217"/>
    <w:rsid w:val="00F64462"/>
    <w:rsid w:val="00F677FC"/>
    <w:rsid w:val="00F742CD"/>
    <w:rsid w:val="00F7550B"/>
    <w:rsid w:val="00F80D20"/>
    <w:rsid w:val="00F871BB"/>
    <w:rsid w:val="00F90118"/>
    <w:rsid w:val="00F91C8A"/>
    <w:rsid w:val="00FA022F"/>
    <w:rsid w:val="00FA7ABD"/>
    <w:rsid w:val="00FB0B36"/>
    <w:rsid w:val="00FB2462"/>
    <w:rsid w:val="00FB39F1"/>
    <w:rsid w:val="00FB3AC5"/>
    <w:rsid w:val="00FC5B12"/>
    <w:rsid w:val="00FC6DC2"/>
    <w:rsid w:val="00FC76B2"/>
    <w:rsid w:val="00FD3681"/>
    <w:rsid w:val="00FD3FF4"/>
    <w:rsid w:val="00FD7666"/>
    <w:rsid w:val="00FE2950"/>
    <w:rsid w:val="00FE7B9F"/>
    <w:rsid w:val="00FF198E"/>
    <w:rsid w:val="00FF6D70"/>
    <w:rsid w:val="00FF77E8"/>
    <w:rsid w:val="00FF7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7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rsid w:val="002D2CEE"/>
    <w:rPr>
      <w:b/>
      <w:bCs/>
    </w:rPr>
  </w:style>
  <w:style w:type="paragraph" w:styleId="ListNumber">
    <w:name w:val="List Number"/>
    <w:basedOn w:val="Normal"/>
    <w:rsid w:val="009F5444"/>
    <w:pPr>
      <w:numPr>
        <w:numId w:val="2"/>
      </w:numPr>
    </w:pPr>
  </w:style>
  <w:style w:type="character" w:customStyle="1" w:styleId="EmailStyle241">
    <w:name w:val="EmailStyle241"/>
    <w:semiHidden/>
    <w:rsid w:val="008F26E0"/>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CA6A08"/>
    <w:pPr>
      <w:spacing w:after="160" w:line="240" w:lineRule="exact"/>
    </w:pPr>
    <w:rPr>
      <w:rFonts w:ascii="Tahoma" w:hAnsi="Tahoma"/>
      <w:sz w:val="20"/>
      <w:szCs w:val="20"/>
      <w:lang w:val="en-US" w:eastAsia="en-US"/>
    </w:rPr>
  </w:style>
  <w:style w:type="paragraph" w:customStyle="1" w:styleId="CarattereCarattere">
    <w:name w:val="Carattere Carattere"/>
    <w:basedOn w:val="Normal"/>
    <w:rsid w:val="005970C8"/>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4186A"/>
    <w:pPr>
      <w:spacing w:after="160" w:line="240" w:lineRule="exact"/>
    </w:pPr>
    <w:rPr>
      <w:rFonts w:ascii="Tahoma" w:hAnsi="Tahoma"/>
      <w:sz w:val="20"/>
      <w:szCs w:val="20"/>
      <w:lang w:val="en-US" w:eastAsia="en-US"/>
    </w:rPr>
  </w:style>
  <w:style w:type="paragraph" w:customStyle="1" w:styleId="IPPArialTable">
    <w:name w:val="IPP Arial Table"/>
    <w:basedOn w:val="Normal"/>
    <w:qFormat/>
    <w:rsid w:val="003D2C89"/>
    <w:pPr>
      <w:spacing w:before="60" w:after="60"/>
    </w:pPr>
    <w:rPr>
      <w:rFonts w:ascii="Arial" w:eastAsia="Times" w:hAnsi="Arial"/>
      <w:sz w:val="18"/>
      <w:szCs w:val="20"/>
      <w:lang w:eastAsia="en-US"/>
    </w:rPr>
  </w:style>
  <w:style w:type="paragraph" w:customStyle="1" w:styleId="IPPLetterListIndent">
    <w:name w:val="IPP LetterList Indent"/>
    <w:basedOn w:val="Normal"/>
    <w:qFormat/>
    <w:rsid w:val="003D2C89"/>
    <w:pPr>
      <w:numPr>
        <w:numId w:val="3"/>
      </w:numPr>
      <w:spacing w:after="60"/>
    </w:pPr>
    <w:rPr>
      <w:rFonts w:eastAsia="Times"/>
      <w:sz w:val="22"/>
      <w:szCs w:val="20"/>
      <w:lang w:eastAsia="en-US"/>
    </w:rPr>
  </w:style>
  <w:style w:type="paragraph" w:customStyle="1" w:styleId="IPPNormal">
    <w:name w:val="IPP Normal"/>
    <w:basedOn w:val="Normal"/>
    <w:qFormat/>
    <w:rsid w:val="003D2C89"/>
    <w:pPr>
      <w:spacing w:after="180"/>
      <w:jc w:val="both"/>
    </w:pPr>
    <w:rPr>
      <w:rFonts w:eastAsia="Times"/>
      <w:sz w:val="22"/>
      <w:szCs w:val="20"/>
      <w:lang w:eastAsia="en-US"/>
    </w:rPr>
  </w:style>
  <w:style w:type="paragraph" w:customStyle="1" w:styleId="IPPHeading1">
    <w:name w:val="IPP Heading1"/>
    <w:basedOn w:val="IPPNormal"/>
    <w:next w:val="IPPNormal"/>
    <w:qFormat/>
    <w:rsid w:val="003D2C89"/>
    <w:pPr>
      <w:keepNext/>
      <w:tabs>
        <w:tab w:val="left" w:pos="567"/>
      </w:tabs>
      <w:spacing w:before="240" w:after="120"/>
      <w:ind w:left="567" w:hanging="567"/>
      <w:jc w:val="left"/>
      <w:outlineLvl w:val="1"/>
    </w:pPr>
    <w:rPr>
      <w:b/>
      <w:sz w:val="24"/>
      <w:szCs w:val="22"/>
    </w:rPr>
  </w:style>
  <w:style w:type="paragraph" w:styleId="FootnoteText">
    <w:name w:val="footnote text"/>
    <w:basedOn w:val="Normal"/>
    <w:link w:val="FootnoteTextChar"/>
    <w:uiPriority w:val="99"/>
    <w:unhideWhenUsed/>
    <w:rsid w:val="003D2C89"/>
    <w:rPr>
      <w:rFonts w:eastAsia="Calibri"/>
      <w:sz w:val="20"/>
      <w:szCs w:val="20"/>
      <w:lang w:eastAsia="en-US"/>
    </w:rPr>
  </w:style>
  <w:style w:type="character" w:customStyle="1" w:styleId="FootnoteTextChar">
    <w:name w:val="Footnote Text Char"/>
    <w:link w:val="FootnoteText"/>
    <w:uiPriority w:val="99"/>
    <w:rsid w:val="003D2C89"/>
    <w:rPr>
      <w:rFonts w:eastAsia="Calibri"/>
      <w:lang w:val="en-GB"/>
    </w:rPr>
  </w:style>
  <w:style w:type="character" w:styleId="FootnoteReference">
    <w:name w:val="footnote reference"/>
    <w:uiPriority w:val="99"/>
    <w:semiHidden/>
    <w:unhideWhenUsed/>
    <w:rsid w:val="003D2C89"/>
    <w:rPr>
      <w:vertAlign w:val="superscript"/>
    </w:rPr>
  </w:style>
  <w:style w:type="paragraph" w:customStyle="1" w:styleId="Hdg1">
    <w:name w:val="Hdg1"/>
    <w:basedOn w:val="Normal"/>
    <w:uiPriority w:val="99"/>
    <w:rsid w:val="00BE1FFF"/>
    <w:pPr>
      <w:keepNext/>
      <w:spacing w:after="120"/>
      <w:jc w:val="both"/>
    </w:pPr>
    <w:rPr>
      <w:rFonts w:ascii="Times New Roman Bold" w:hAnsi="Times New Roman Bold"/>
      <w:b/>
      <w:caps/>
      <w:lang w:eastAsia="en-US"/>
    </w:rPr>
  </w:style>
  <w:style w:type="character" w:styleId="Emphasis">
    <w:name w:val="Emphasis"/>
    <w:uiPriority w:val="99"/>
    <w:qFormat/>
    <w:rsid w:val="00BE1FFF"/>
    <w:rPr>
      <w:rFonts w:cs="Times New Roman"/>
      <w:i/>
      <w:iCs/>
    </w:rPr>
  </w:style>
  <w:style w:type="paragraph" w:customStyle="1" w:styleId="Hdg2">
    <w:name w:val="Hdg2"/>
    <w:basedOn w:val="Normal"/>
    <w:uiPriority w:val="99"/>
    <w:rsid w:val="00BE1FFF"/>
    <w:pPr>
      <w:keepNext/>
      <w:spacing w:after="60"/>
      <w:jc w:val="both"/>
    </w:pPr>
    <w:rPr>
      <w:rFonts w:cs="Arial"/>
      <w:b/>
      <w:szCs w:val="20"/>
      <w:lang w:eastAsia="en-US"/>
    </w:rPr>
  </w:style>
  <w:style w:type="paragraph" w:customStyle="1" w:styleId="DashListLev1">
    <w:name w:val="Dash List Lev1"/>
    <w:basedOn w:val="Normal"/>
    <w:uiPriority w:val="99"/>
    <w:rsid w:val="00BE1FFF"/>
    <w:pPr>
      <w:numPr>
        <w:numId w:val="6"/>
      </w:numPr>
      <w:jc w:val="both"/>
    </w:pPr>
    <w:rPr>
      <w:noProof/>
      <w:sz w:val="22"/>
      <w:szCs w:val="20"/>
    </w:rPr>
  </w:style>
  <w:style w:type="paragraph" w:customStyle="1" w:styleId="IPPBullet2">
    <w:name w:val="IPP Bullet2"/>
    <w:basedOn w:val="Normal"/>
    <w:uiPriority w:val="99"/>
    <w:rsid w:val="00BE1FFF"/>
    <w:pPr>
      <w:numPr>
        <w:numId w:val="7"/>
      </w:numPr>
      <w:jc w:val="both"/>
    </w:pPr>
    <w:rPr>
      <w:lang w:val="en-NZ" w:eastAsia="en-US"/>
    </w:rPr>
  </w:style>
  <w:style w:type="paragraph" w:styleId="ColorfulList-Accent1">
    <w:name w:val="Colorful List Accent 1"/>
    <w:basedOn w:val="Normal"/>
    <w:uiPriority w:val="34"/>
    <w:qFormat/>
    <w:rsid w:val="003C3877"/>
    <w:pPr>
      <w:ind w:left="720"/>
    </w:p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tp://ftp.fao.org/docrep/fao/meeting/017/k5829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pc.int/index.php?id=1110798&amp;tx_publication_pi1%5bshowUid%5d=2180891&amp;frompage=13330&amp;type=publication&amp;subtype=&amp;category=&amp;date=2011&amp;L=0" TargetMode="External"/><Relationship Id="rId4" Type="http://schemas.openxmlformats.org/officeDocument/2006/relationships/settings" Target="settings.xml"/><Relationship Id="rId9" Type="http://schemas.openxmlformats.org/officeDocument/2006/relationships/hyperlink" Target="ftp://ftp.fao.org/ag/agp/planttreaty/gb4/acfs6/acfs6_rep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50EE-B2D6-42CF-A629-33525CCA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7262</CharactersWithSpaces>
  <SharedDoc>false</SharedDoc>
  <HLinks>
    <vt:vector size="18" baseType="variant">
      <vt:variant>
        <vt:i4>4063275</vt:i4>
      </vt:variant>
      <vt:variant>
        <vt:i4>6</vt:i4>
      </vt:variant>
      <vt:variant>
        <vt:i4>0</vt:i4>
      </vt:variant>
      <vt:variant>
        <vt:i4>5</vt:i4>
      </vt:variant>
      <vt:variant>
        <vt:lpwstr>https://www.ippc.int/index.php?id=1110798&amp;tx_publication_pi1%5bshowUid%5d=2180891&amp;frompage=13330&amp;type=publication&amp;subtype=&amp;category=&amp;date=2011&amp;L=0</vt:lpwstr>
      </vt:variant>
      <vt:variant>
        <vt:lpwstr>item</vt:lpwstr>
      </vt:variant>
      <vt:variant>
        <vt:i4>4915275</vt:i4>
      </vt:variant>
      <vt:variant>
        <vt:i4>3</vt:i4>
      </vt:variant>
      <vt:variant>
        <vt:i4>0</vt:i4>
      </vt:variant>
      <vt:variant>
        <vt:i4>5</vt:i4>
      </vt:variant>
      <vt:variant>
        <vt:lpwstr>ftp://ftp.fao.org/ag/agp/planttreaty/gb4/acfs6/acfs6_repe.pdf</vt:lpwstr>
      </vt:variant>
      <vt:variant>
        <vt:lpwstr/>
      </vt:variant>
      <vt:variant>
        <vt:i4>7077911</vt:i4>
      </vt:variant>
      <vt:variant>
        <vt:i4>0</vt:i4>
      </vt:variant>
      <vt:variant>
        <vt:i4>0</vt:i4>
      </vt:variant>
      <vt:variant>
        <vt:i4>5</vt:i4>
      </vt:variant>
      <vt:variant>
        <vt:lpwstr>ftp://ftp.fao.org/docrep/fao/meeting/017/k5829e.pdf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cp:lastModifiedBy>Nowell</cp:lastModifiedBy>
  <cp:revision>2</cp:revision>
  <cp:lastPrinted>2011-06-15T13:53:00Z</cp:lastPrinted>
  <dcterms:created xsi:type="dcterms:W3CDTF">2011-10-13T12:56:00Z</dcterms:created>
  <dcterms:modified xsi:type="dcterms:W3CDTF">2011-10-13T12:56:00Z</dcterms:modified>
</cp:coreProperties>
</file>