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BD" w:rsidRDefault="00AE59BD" w:rsidP="002313AC">
      <w:pPr>
        <w:jc w:val="center"/>
        <w:rPr>
          <w:b/>
        </w:rPr>
      </w:pPr>
    </w:p>
    <w:p w:rsidR="00AE59BD" w:rsidRDefault="00AE59BD" w:rsidP="002313AC">
      <w:pPr>
        <w:jc w:val="center"/>
        <w:rPr>
          <w:b/>
        </w:rPr>
      </w:pPr>
    </w:p>
    <w:p w:rsidR="002313AC" w:rsidRDefault="00AE59BD" w:rsidP="002313AC">
      <w:pPr>
        <w:jc w:val="center"/>
        <w:rPr>
          <w:b/>
        </w:rPr>
      </w:pPr>
      <w:r>
        <w:rPr>
          <w:b/>
        </w:rPr>
        <w:t>UPDATE ON FAO ARTICLE XIV BODIES</w:t>
      </w:r>
    </w:p>
    <w:p w:rsidR="002313AC" w:rsidRDefault="002313AC" w:rsidP="002313AC"/>
    <w:p w:rsidR="002313AC" w:rsidRDefault="002313AC" w:rsidP="00AE59BD">
      <w:r>
        <w:t>The issue of operational autonomy of FAO Article XIV bodies continues to be a subject that is under discussion in FAO.</w:t>
      </w:r>
    </w:p>
    <w:p w:rsidR="002313AC" w:rsidRDefault="002313AC" w:rsidP="00AE59BD"/>
    <w:p w:rsidR="00077DBB" w:rsidRDefault="00D80AE6" w:rsidP="00AE59BD">
      <w:r>
        <w:t>Earlier this year some changes with regard to Article XIV body operational autonomy were announced by the Director General.  These include limited independence with regard to travel approvals, but there have been no comprehensive changes to this point.  In addition, an FAO Article XIV questionnai</w:t>
      </w:r>
      <w:r w:rsidR="00077DBB">
        <w:t>re was distributed shortly after CPM-7 2012</w:t>
      </w:r>
      <w:r>
        <w:t xml:space="preserve">.  The IPPC Secretary provided comments during development of the questionnaire; not all of the Secretary’s comments were included, however, in the final document.  Due to the general nature of the questionnaire, distribution was to </w:t>
      </w:r>
      <w:r w:rsidR="005706BD">
        <w:t>Permanent Representatives to</w:t>
      </w:r>
      <w:r>
        <w:t xml:space="preserve"> FAO contact points only.  </w:t>
      </w:r>
    </w:p>
    <w:p w:rsidR="00077DBB" w:rsidRDefault="00077DBB" w:rsidP="00AE59BD">
      <w:pPr>
        <w:pStyle w:val="Paragrafoelenco"/>
      </w:pPr>
    </w:p>
    <w:p w:rsidR="00077DBB" w:rsidRPr="00077DBB" w:rsidRDefault="00D80AE6" w:rsidP="00AE59BD">
      <w:pPr>
        <w:autoSpaceDE w:val="0"/>
        <w:autoSpaceDN w:val="0"/>
        <w:adjustRightInd w:val="0"/>
      </w:pPr>
      <w:r w:rsidRPr="00077DBB">
        <w:t>The FAO legal department has prepared a paper for distribution to next week’s meeting of the Committee on Constitutional and Legal Matters (CCLM 95 12, attached) which provides a review of the results of the ques</w:t>
      </w:r>
      <w:r w:rsidR="00C737AD" w:rsidRPr="00077DBB">
        <w:t xml:space="preserve">tionnaire as well as proposals </w:t>
      </w:r>
      <w:r w:rsidRPr="00077DBB">
        <w:t xml:space="preserve">for those </w:t>
      </w:r>
      <w:r w:rsidRPr="00551989">
        <w:rPr>
          <w:rFonts w:eastAsiaTheme="minorHAnsi"/>
          <w:lang w:val="en-US" w:eastAsia="en-US"/>
        </w:rPr>
        <w:t>areas which have been identified as matters on which increased autonomy could be entrusted to statutory bodies and their secretaries.</w:t>
      </w:r>
      <w:r w:rsidRPr="00077DBB">
        <w:t xml:space="preserve">  </w:t>
      </w:r>
      <w:r w:rsidR="00077DBB">
        <w:t>The paper notes that</w:t>
      </w:r>
      <w:r w:rsidR="00077DBB" w:rsidRPr="00077DBB">
        <w:t xml:space="preserve"> </w:t>
      </w:r>
      <w:r w:rsidR="00077DBB">
        <w:t>“</w:t>
      </w:r>
      <w:r w:rsidR="00077DBB" w:rsidRPr="00551989">
        <w:rPr>
          <w:rFonts w:eastAsiaTheme="minorHAnsi"/>
          <w:lang w:val="en-US" w:eastAsia="en-US"/>
        </w:rPr>
        <w:t>the Organization received 45 responses to the questionnaire from only 37 Members, as some Members submitted more than one answer.</w:t>
      </w:r>
      <w:r w:rsidR="00551989" w:rsidRPr="00551989">
        <w:rPr>
          <w:rFonts w:eastAsiaTheme="minorHAnsi"/>
          <w:lang w:val="en-US" w:eastAsia="en-US"/>
        </w:rPr>
        <w:t>”</w:t>
      </w:r>
      <w:r w:rsidR="00077DBB" w:rsidRPr="00551989">
        <w:rPr>
          <w:rFonts w:eastAsiaTheme="minorHAnsi"/>
          <w:lang w:val="en-US" w:eastAsia="en-US"/>
        </w:rPr>
        <w:t xml:space="preserve">  </w:t>
      </w:r>
      <w:r w:rsidR="00551989" w:rsidRPr="00551989">
        <w:rPr>
          <w:rFonts w:eastAsiaTheme="minorHAnsi"/>
          <w:lang w:val="en-US" w:eastAsia="en-US"/>
        </w:rPr>
        <w:t xml:space="preserve">In addition, </w:t>
      </w:r>
      <w:r w:rsidR="00551989">
        <w:rPr>
          <w:rFonts w:eastAsiaTheme="minorHAnsi"/>
          <w:lang w:val="en-US" w:eastAsia="en-US"/>
        </w:rPr>
        <w:t>the paper continues to report that “</w:t>
      </w:r>
      <w:r w:rsidR="00551989" w:rsidRPr="00551989">
        <w:rPr>
          <w:rFonts w:eastAsiaTheme="minorHAnsi"/>
          <w:lang w:val="en-US" w:eastAsia="en-US"/>
        </w:rPr>
        <w:t>t</w:t>
      </w:r>
      <w:r w:rsidR="00077DBB" w:rsidRPr="00551989">
        <w:rPr>
          <w:rFonts w:eastAsiaTheme="minorHAnsi"/>
          <w:lang w:val="en-US" w:eastAsia="en-US"/>
        </w:rPr>
        <w:t>he responses received from the 37 respondent Members were predominantly in favor of increased autonomy, subject to some restrictions or caveats. Thus, a majority of the respondent Members which answered the questionnaire were generally in favor that</w:t>
      </w:r>
      <w:r w:rsidR="00551989" w:rsidRPr="00551989">
        <w:rPr>
          <w:rFonts w:eastAsiaTheme="minorHAnsi"/>
          <w:lang w:val="en-US" w:eastAsia="en-US"/>
        </w:rPr>
        <w:t xml:space="preserve"> </w:t>
      </w:r>
      <w:r w:rsidR="00077DBB" w:rsidRPr="00551989">
        <w:rPr>
          <w:rFonts w:eastAsiaTheme="minorHAnsi"/>
          <w:lang w:val="en-US" w:eastAsia="en-US"/>
        </w:rPr>
        <w:t>statutory bodies should be entrusted with greater authority in handling relations with external organizations, in handling relations with Governments which are not Members of the statutory bodies, or that they should be able to enjoy greater autonomy in relation to donors.</w:t>
      </w:r>
      <w:r w:rsidR="00551989">
        <w:rPr>
          <w:rFonts w:eastAsiaTheme="minorHAnsi"/>
          <w:lang w:val="en-US" w:eastAsia="en-US"/>
        </w:rPr>
        <w:t>”</w:t>
      </w:r>
    </w:p>
    <w:p w:rsidR="00077DBB" w:rsidRDefault="00077DBB" w:rsidP="00AE59BD">
      <w:pPr>
        <w:pStyle w:val="Paragrafoelenco"/>
      </w:pPr>
    </w:p>
    <w:p w:rsidR="002313AC" w:rsidRPr="00077DBB" w:rsidRDefault="00D80AE6" w:rsidP="00AE59BD">
      <w:r w:rsidRPr="00077DBB">
        <w:t>The</w:t>
      </w:r>
      <w:r w:rsidR="00C737AD" w:rsidRPr="00077DBB">
        <w:t xml:space="preserve"> </w:t>
      </w:r>
      <w:r w:rsidR="00551989">
        <w:t xml:space="preserve">proposals in the </w:t>
      </w:r>
      <w:r w:rsidR="00C737AD" w:rsidRPr="00077DBB">
        <w:t xml:space="preserve">document includes a </w:t>
      </w:r>
      <w:r w:rsidR="00551989">
        <w:t>suggestion</w:t>
      </w:r>
      <w:r w:rsidR="00C737AD" w:rsidRPr="00077DBB">
        <w:t xml:space="preserve"> that</w:t>
      </w:r>
      <w:r w:rsidRPr="00077DBB">
        <w:t xml:space="preserve"> </w:t>
      </w:r>
      <w:r w:rsidR="00C737AD" w:rsidRPr="00077DBB">
        <w:t>“</w:t>
      </w:r>
      <w:r w:rsidRPr="00077DBB">
        <w:rPr>
          <w:rFonts w:eastAsiaTheme="minorHAnsi"/>
          <w:lang w:val="en-US" w:eastAsia="en-US"/>
        </w:rPr>
        <w:t>bodies established under Article XIV of the Constitution that are basically self-financed should be allowed autonomy</w:t>
      </w:r>
      <w:r w:rsidR="00C737AD" w:rsidRPr="00077DBB">
        <w:rPr>
          <w:rFonts w:eastAsiaTheme="minorHAnsi"/>
          <w:lang w:val="en-US" w:eastAsia="en-US"/>
        </w:rPr>
        <w:t xml:space="preserve"> in attending  </w:t>
      </w:r>
      <w:r w:rsidRPr="00077DBB">
        <w:rPr>
          <w:rFonts w:eastAsiaTheme="minorHAnsi"/>
          <w:lang w:val="en-US" w:eastAsia="en-US"/>
        </w:rPr>
        <w:t xml:space="preserve">external meetings of important and direct relevant to the </w:t>
      </w:r>
      <w:proofErr w:type="spellStart"/>
      <w:r w:rsidRPr="00077DBB">
        <w:rPr>
          <w:rFonts w:eastAsiaTheme="minorHAnsi"/>
          <w:lang w:val="en-US" w:eastAsia="en-US"/>
        </w:rPr>
        <w:t>programme</w:t>
      </w:r>
      <w:proofErr w:type="spellEnd"/>
      <w:r w:rsidRPr="00077DBB">
        <w:rPr>
          <w:rFonts w:eastAsiaTheme="minorHAnsi"/>
          <w:lang w:val="en-US" w:eastAsia="en-US"/>
        </w:rPr>
        <w:t xml:space="preserve"> of activities of the bodies co</w:t>
      </w:r>
      <w:r w:rsidR="00C737AD" w:rsidRPr="00077DBB">
        <w:rPr>
          <w:rFonts w:eastAsiaTheme="minorHAnsi"/>
          <w:lang w:val="en-US" w:eastAsia="en-US"/>
        </w:rPr>
        <w:t>ncerned.”  In addition, the document proposes that, “In view of lessons learnt from the past and the lack of clarity on certain procedures and criteria for concluding agreements with the donors, it is useful to develop concrete proposals on what agreements can be signed by the Article XIV bodies, and to provide practical procedures to facilitate consultations and clearance of the agreement by relevant FAO offices, including the legal, technical and finance units.”  This should help to provide some clarity with regard to the development of partnerships under the auspices of memoranda of cooperation, and other legal instruments.  In a</w:t>
      </w:r>
      <w:r w:rsidR="00077DBB" w:rsidRPr="00077DBB">
        <w:rPr>
          <w:rFonts w:eastAsiaTheme="minorHAnsi"/>
          <w:lang w:val="en-US" w:eastAsia="en-US"/>
        </w:rPr>
        <w:t>ddition, the paper reinforces supports the continued application of the policies established by the Governing Bodies of the Organization with regard to project servicing costs.  The policy provides that long-term trust fund accounts (e.g. Commissions established under the auspices of FAO, including Article XIV bodies) will be subject to a case-by-case estimate of the actual level of varied indirect support costs and charged accordingly.</w:t>
      </w:r>
    </w:p>
    <w:p w:rsidR="00D80AE6" w:rsidRPr="00D80AE6" w:rsidRDefault="00D80AE6" w:rsidP="00AE59BD">
      <w:pPr>
        <w:pStyle w:val="Paragrafoelenco"/>
      </w:pPr>
    </w:p>
    <w:p w:rsidR="00AE59BD" w:rsidRDefault="002313AC" w:rsidP="00AE59BD">
      <w:r>
        <w:t>The SPG is invited to</w:t>
      </w:r>
      <w:r w:rsidR="00AE59BD">
        <w:t>:</w:t>
      </w:r>
    </w:p>
    <w:p w:rsidR="00AE59BD" w:rsidRDefault="00C737AD" w:rsidP="00AE59BD">
      <w:pPr>
        <w:pStyle w:val="Paragrafoelenco"/>
        <w:numPr>
          <w:ilvl w:val="0"/>
          <w:numId w:val="2"/>
        </w:numPr>
      </w:pPr>
      <w:r w:rsidRPr="00AE59BD">
        <w:rPr>
          <w:i/>
        </w:rPr>
        <w:t>review</w:t>
      </w:r>
      <w:r>
        <w:t xml:space="preserve"> the Legal Department’s paper for the </w:t>
      </w:r>
      <w:r w:rsidRPr="00C737AD">
        <w:t>Committee on Constitutional and Legal Matters (CCLM 95 12, attached)</w:t>
      </w:r>
      <w:r>
        <w:t>,</w:t>
      </w:r>
      <w:r w:rsidR="00AE59BD">
        <w:t xml:space="preserve"> and</w:t>
      </w:r>
    </w:p>
    <w:p w:rsidR="002313AC" w:rsidRDefault="002313AC" w:rsidP="00AE59BD">
      <w:pPr>
        <w:pStyle w:val="Paragrafoelenco"/>
        <w:numPr>
          <w:ilvl w:val="0"/>
          <w:numId w:val="2"/>
        </w:numPr>
      </w:pPr>
      <w:r w:rsidRPr="00AE59BD">
        <w:rPr>
          <w:i/>
        </w:rPr>
        <w:t>note</w:t>
      </w:r>
      <w:r>
        <w:t xml:space="preserve"> that while the issue of operational autonomy of FAO Article XIV bodies continues to be discussed and </w:t>
      </w:r>
      <w:r w:rsidR="006418FF">
        <w:t>some changes regarding autonomy</w:t>
      </w:r>
      <w:r>
        <w:t xml:space="preserve"> have occurred, </w:t>
      </w:r>
      <w:r w:rsidR="006418FF">
        <w:t>additional changes may be forthcoming in the near future following the conclusion of the CCLM</w:t>
      </w:r>
      <w:r>
        <w:t xml:space="preserve">.   </w:t>
      </w:r>
    </w:p>
    <w:sectPr w:rsidR="002313AC" w:rsidSect="00AE59BD">
      <w:headerReference w:type="even" r:id="rId7"/>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2F" w:rsidRDefault="000A0B2F" w:rsidP="00E13656">
      <w:r>
        <w:separator/>
      </w:r>
    </w:p>
  </w:endnote>
  <w:endnote w:type="continuationSeparator" w:id="0">
    <w:p w:rsidR="000A0B2F" w:rsidRDefault="000A0B2F" w:rsidP="00E13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BD" w:rsidRDefault="00AE59BD" w:rsidP="00AE59BD">
    <w:pPr>
      <w:pStyle w:val="Pidipagina"/>
      <w:pBdr>
        <w:top w:val="single" w:sz="4" w:space="1" w:color="auto"/>
      </w:pBdr>
      <w:tabs>
        <w:tab w:val="clear" w:pos="4680"/>
      </w:tabs>
    </w:pPr>
    <w:r w:rsidRPr="009F0F5E">
      <w:rPr>
        <w:rStyle w:val="PageNumber1"/>
        <w:rFonts w:ascii="Arial" w:hAnsi="Arial" w:cs="Arial"/>
        <w:sz w:val="18"/>
        <w:szCs w:val="18"/>
      </w:rPr>
      <w:t xml:space="preserve">Page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PAGE </w:instrText>
    </w:r>
    <w:r w:rsidRPr="009F0F5E">
      <w:rPr>
        <w:rStyle w:val="PageNumber1"/>
        <w:rFonts w:ascii="Arial" w:hAnsi="Arial" w:cs="Arial"/>
        <w:sz w:val="18"/>
        <w:szCs w:val="18"/>
      </w:rPr>
      <w:fldChar w:fldCharType="separate"/>
    </w:r>
    <w:r>
      <w:rPr>
        <w:rStyle w:val="PageNumber1"/>
        <w:rFonts w:ascii="Arial" w:hAnsi="Arial" w:cs="Arial"/>
        <w:noProof/>
        <w:sz w:val="18"/>
        <w:szCs w:val="18"/>
      </w:rPr>
      <w:t>2</w:t>
    </w:r>
    <w:r w:rsidRPr="009F0F5E">
      <w:rPr>
        <w:rStyle w:val="PageNumber1"/>
        <w:rFonts w:ascii="Arial" w:hAnsi="Arial" w:cs="Arial"/>
        <w:sz w:val="18"/>
        <w:szCs w:val="18"/>
      </w:rPr>
      <w:fldChar w:fldCharType="end"/>
    </w:r>
    <w:r w:rsidRPr="009F0F5E">
      <w:rPr>
        <w:rStyle w:val="PageNumber1"/>
        <w:rFonts w:ascii="Arial" w:hAnsi="Arial" w:cs="Arial"/>
        <w:sz w:val="18"/>
        <w:szCs w:val="18"/>
      </w:rPr>
      <w:t xml:space="preserve"> of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NUMPAGES </w:instrText>
    </w:r>
    <w:r w:rsidRPr="009F0F5E">
      <w:rPr>
        <w:rStyle w:val="PageNumber1"/>
        <w:rFonts w:ascii="Arial" w:hAnsi="Arial" w:cs="Arial"/>
        <w:sz w:val="18"/>
        <w:szCs w:val="18"/>
      </w:rPr>
      <w:fldChar w:fldCharType="separate"/>
    </w:r>
    <w:r>
      <w:rPr>
        <w:rStyle w:val="PageNumber1"/>
        <w:rFonts w:ascii="Arial" w:hAnsi="Arial" w:cs="Arial"/>
        <w:noProof/>
        <w:sz w:val="18"/>
        <w:szCs w:val="18"/>
      </w:rPr>
      <w:t>2</w:t>
    </w:r>
    <w:r w:rsidRPr="009F0F5E">
      <w:rPr>
        <w:rStyle w:val="PageNumber1"/>
        <w:rFonts w:ascii="Arial" w:hAnsi="Arial" w:cs="Arial"/>
        <w:sz w:val="18"/>
        <w:szCs w:val="18"/>
      </w:rPr>
      <w:fldChar w:fldCharType="end"/>
    </w:r>
    <w:r>
      <w:rPr>
        <w:rStyle w:val="PageNumber1"/>
        <w:rFonts w:ascii="Arial" w:hAnsi="Arial" w:cs="Arial"/>
        <w:sz w:val="18"/>
        <w:szCs w:val="18"/>
      </w:rPr>
      <w:tab/>
    </w:r>
    <w:r>
      <w:rPr>
        <w:rFonts w:ascii="Arial" w:hAnsi="Arial" w:cs="Arial"/>
        <w:sz w:val="18"/>
        <w:szCs w:val="18"/>
      </w:rPr>
      <w:t>International Plant Protection Convention</w:t>
    </w:r>
  </w:p>
  <w:p w:rsidR="00AE59BD" w:rsidRDefault="00AE59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BD" w:rsidRDefault="00AE59BD" w:rsidP="00AE59BD">
    <w:pPr>
      <w:pStyle w:val="Pidipagina"/>
      <w:pBdr>
        <w:top w:val="single" w:sz="4" w:space="1" w:color="auto"/>
      </w:pBdr>
      <w:jc w:val="right"/>
    </w:pPr>
    <w:r w:rsidRPr="009F0F5E">
      <w:rPr>
        <w:rStyle w:val="PageNumber1"/>
        <w:rFonts w:ascii="Arial" w:hAnsi="Arial" w:cs="Arial"/>
        <w:sz w:val="18"/>
        <w:szCs w:val="18"/>
      </w:rPr>
      <w:t xml:space="preserve">Page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PAGE </w:instrText>
    </w:r>
    <w:r w:rsidRPr="009F0F5E">
      <w:rPr>
        <w:rStyle w:val="PageNumber1"/>
        <w:rFonts w:ascii="Arial" w:hAnsi="Arial" w:cs="Arial"/>
        <w:sz w:val="18"/>
        <w:szCs w:val="18"/>
      </w:rPr>
      <w:fldChar w:fldCharType="separate"/>
    </w:r>
    <w:r>
      <w:rPr>
        <w:rStyle w:val="PageNumber1"/>
        <w:rFonts w:ascii="Arial" w:hAnsi="Arial" w:cs="Arial"/>
        <w:noProof/>
        <w:sz w:val="18"/>
        <w:szCs w:val="18"/>
      </w:rPr>
      <w:t>1</w:t>
    </w:r>
    <w:r w:rsidRPr="009F0F5E">
      <w:rPr>
        <w:rStyle w:val="PageNumber1"/>
        <w:rFonts w:ascii="Arial" w:hAnsi="Arial" w:cs="Arial"/>
        <w:sz w:val="18"/>
        <w:szCs w:val="18"/>
      </w:rPr>
      <w:fldChar w:fldCharType="end"/>
    </w:r>
    <w:r w:rsidRPr="009F0F5E">
      <w:rPr>
        <w:rStyle w:val="PageNumber1"/>
        <w:rFonts w:ascii="Arial" w:hAnsi="Arial" w:cs="Arial"/>
        <w:sz w:val="18"/>
        <w:szCs w:val="18"/>
      </w:rPr>
      <w:t xml:space="preserve"> of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NUMPAGES </w:instrText>
    </w:r>
    <w:r w:rsidRPr="009F0F5E">
      <w:rPr>
        <w:rStyle w:val="PageNumber1"/>
        <w:rFonts w:ascii="Arial" w:hAnsi="Arial" w:cs="Arial"/>
        <w:sz w:val="18"/>
        <w:szCs w:val="18"/>
      </w:rPr>
      <w:fldChar w:fldCharType="separate"/>
    </w:r>
    <w:r>
      <w:rPr>
        <w:rStyle w:val="PageNumber1"/>
        <w:rFonts w:ascii="Arial" w:hAnsi="Arial" w:cs="Arial"/>
        <w:noProof/>
        <w:sz w:val="18"/>
        <w:szCs w:val="18"/>
      </w:rPr>
      <w:t>2</w:t>
    </w:r>
    <w:r w:rsidRPr="009F0F5E">
      <w:rPr>
        <w:rStyle w:val="PageNumber1"/>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2F" w:rsidRDefault="000A0B2F" w:rsidP="00E13656">
      <w:r>
        <w:separator/>
      </w:r>
    </w:p>
  </w:footnote>
  <w:footnote w:type="continuationSeparator" w:id="0">
    <w:p w:rsidR="000A0B2F" w:rsidRDefault="000A0B2F" w:rsidP="00E13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BD" w:rsidRDefault="00AE59BD" w:rsidP="00AE59BD">
    <w:pPr>
      <w:pBdr>
        <w:bottom w:val="single" w:sz="4" w:space="1" w:color="auto"/>
      </w:pBdr>
      <w:tabs>
        <w:tab w:val="left" w:pos="1134"/>
        <w:tab w:val="right" w:pos="9356"/>
      </w:tabs>
      <w:spacing w:before="240"/>
      <w:rPr>
        <w:i/>
        <w:lang w:val="en-US"/>
      </w:rPr>
    </w:pPr>
    <w:r>
      <w:rPr>
        <w:rFonts w:ascii="Arial" w:hAnsi="Arial" w:cs="Arial"/>
        <w:sz w:val="18"/>
        <w:szCs w:val="18"/>
      </w:rPr>
      <w:t>SPG 2012/09</w:t>
    </w:r>
    <w:r>
      <w:rPr>
        <w:i/>
        <w:lang w:val="en-US"/>
      </w:rPr>
      <w:tab/>
    </w:r>
    <w:r>
      <w:rPr>
        <w:i/>
        <w:lang w:val="en-US"/>
      </w:rPr>
      <w:tab/>
    </w:r>
    <w:r>
      <w:rPr>
        <w:rFonts w:ascii="Arial" w:hAnsi="Arial" w:cs="Arial"/>
        <w:i/>
        <w:sz w:val="18"/>
        <w:szCs w:val="18"/>
        <w:lang w:val="en-US"/>
      </w:rPr>
      <w:t>Update on FAO Article XIV Bodies</w:t>
    </w:r>
  </w:p>
  <w:p w:rsidR="00AE59BD" w:rsidRDefault="00AE59B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BD" w:rsidRDefault="00AE59BD" w:rsidP="00AE59BD">
    <w:pPr>
      <w:pBdr>
        <w:bottom w:val="single" w:sz="4" w:space="1" w:color="auto"/>
      </w:pBdr>
      <w:tabs>
        <w:tab w:val="left" w:pos="1134"/>
        <w:tab w:val="right" w:pos="9356"/>
      </w:tabs>
      <w:spacing w:before="120"/>
    </w:pPr>
    <w:r>
      <w:rPr>
        <w:noProof/>
        <w:lang w:val="it-IT" w:eastAsia="it-IT"/>
      </w:rPr>
      <w:drawing>
        <wp:inline distT="0" distB="0" distL="0" distR="0">
          <wp:extent cx="5924550" cy="32385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4550" cy="323850"/>
                  </a:xfrm>
                  <a:prstGeom prst="rect">
                    <a:avLst/>
                  </a:prstGeom>
                  <a:noFill/>
                  <a:ln w="9525">
                    <a:noFill/>
                    <a:miter lim="800000"/>
                    <a:headEnd/>
                    <a:tailEnd/>
                  </a:ln>
                </pic:spPr>
              </pic:pic>
            </a:graphicData>
          </a:graphic>
        </wp:inline>
      </w:drawing>
    </w:r>
  </w:p>
  <w:p w:rsidR="00AE59BD" w:rsidRDefault="00AE59BD" w:rsidP="00AE59BD">
    <w:pPr>
      <w:pBdr>
        <w:bottom w:val="single" w:sz="4" w:space="1" w:color="auto"/>
      </w:pBdr>
      <w:tabs>
        <w:tab w:val="left" w:pos="1134"/>
        <w:tab w:val="right" w:pos="9356"/>
      </w:tabs>
      <w:spacing w:before="240"/>
      <w:rPr>
        <w:i/>
        <w:lang w:val="en-US"/>
      </w:rPr>
    </w:pPr>
    <w:r>
      <w:rPr>
        <w:noProof/>
        <w:lang w:val="it-IT"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73660</wp:posOffset>
          </wp:positionV>
          <wp:extent cx="628650" cy="323850"/>
          <wp:effectExtent l="19050" t="0" r="0" b="0"/>
          <wp:wrapSquare wrapText="bothSides"/>
          <wp:docPr id="24"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28650" cy="323850"/>
                  </a:xfrm>
                  <a:prstGeom prst="rect">
                    <a:avLst/>
                  </a:prstGeom>
                  <a:noFill/>
                </pic:spPr>
              </pic:pic>
            </a:graphicData>
          </a:graphic>
        </wp:anchor>
      </w:drawing>
    </w:r>
    <w:r>
      <w:tab/>
    </w:r>
    <w:r>
      <w:rPr>
        <w:rFonts w:ascii="Arial" w:hAnsi="Arial" w:cs="Arial"/>
        <w:sz w:val="18"/>
        <w:szCs w:val="18"/>
      </w:rPr>
      <w:t xml:space="preserve">International Plant Protection Convention </w:t>
    </w:r>
    <w:r>
      <w:rPr>
        <w:rFonts w:ascii="Arial" w:hAnsi="Arial" w:cs="Arial"/>
        <w:sz w:val="18"/>
        <w:szCs w:val="18"/>
      </w:rPr>
      <w:tab/>
      <w:t>SPG 2012/09</w:t>
    </w:r>
    <w:r>
      <w:rPr>
        <w:i/>
        <w:lang w:val="en-US"/>
      </w:rPr>
      <w:tab/>
    </w:r>
  </w:p>
  <w:p w:rsidR="00AE59BD" w:rsidRPr="00CE5657" w:rsidRDefault="00AE59BD" w:rsidP="00AE59BD">
    <w:pPr>
      <w:pBdr>
        <w:bottom w:val="single" w:sz="4" w:space="1" w:color="auto"/>
      </w:pBdr>
      <w:tabs>
        <w:tab w:val="left" w:pos="1134"/>
        <w:tab w:val="right" w:pos="9356"/>
      </w:tabs>
      <w:spacing w:before="120"/>
      <w:rPr>
        <w:rFonts w:ascii="Arial" w:hAnsi="Arial" w:cs="Arial"/>
        <w:sz w:val="18"/>
        <w:szCs w:val="18"/>
        <w:lang w:val="en-US"/>
      </w:rPr>
    </w:pPr>
    <w:r>
      <w:rPr>
        <w:i/>
        <w:lang w:val="en-US"/>
      </w:rPr>
      <w:tab/>
    </w:r>
    <w:r>
      <w:rPr>
        <w:rFonts w:ascii="Arial" w:hAnsi="Arial" w:cs="Arial"/>
        <w:i/>
        <w:sz w:val="18"/>
        <w:szCs w:val="18"/>
        <w:lang w:val="en-US"/>
      </w:rPr>
      <w:t>Update on FAO Article XIV Bodies</w:t>
    </w:r>
    <w:r w:rsidRPr="00CE5657">
      <w:rPr>
        <w:rFonts w:ascii="Arial" w:hAnsi="Arial" w:cs="Arial"/>
        <w:sz w:val="18"/>
        <w:szCs w:val="18"/>
        <w:lang w:val="en-US"/>
      </w:rPr>
      <w:tab/>
    </w:r>
    <w:r w:rsidRPr="00CE5657">
      <w:rPr>
        <w:rFonts w:ascii="Arial" w:hAnsi="Arial" w:cs="Arial"/>
        <w:i/>
        <w:iCs/>
        <w:sz w:val="18"/>
        <w:szCs w:val="18"/>
        <w:lang w:val="en-US"/>
      </w:rPr>
      <w:t xml:space="preserve">Agenda item </w:t>
    </w:r>
    <w:r>
      <w:rPr>
        <w:rFonts w:ascii="Arial" w:hAnsi="Arial" w:cs="Arial"/>
        <w:i/>
        <w:iCs/>
        <w:sz w:val="18"/>
        <w:szCs w:val="18"/>
        <w:lang w:val="en-US"/>
      </w:rPr>
      <w:t>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255"/>
    <w:multiLevelType w:val="hybridMultilevel"/>
    <w:tmpl w:val="5532FA0E"/>
    <w:lvl w:ilvl="0" w:tplc="04100011">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
    <w:nsid w:val="4E3C12A3"/>
    <w:multiLevelType w:val="hybridMultilevel"/>
    <w:tmpl w:val="E9FE7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drawingGridHorizontalSpacing w:val="120"/>
  <w:displayHorizontalDrawingGridEvery w:val="2"/>
  <w:characterSpacingControl w:val="doNotCompress"/>
  <w:footnotePr>
    <w:footnote w:id="-1"/>
    <w:footnote w:id="0"/>
  </w:footnotePr>
  <w:endnotePr>
    <w:endnote w:id="-1"/>
    <w:endnote w:id="0"/>
  </w:endnotePr>
  <w:compat/>
  <w:rsids>
    <w:rsidRoot w:val="002313AC"/>
    <w:rsid w:val="0000691E"/>
    <w:rsid w:val="00006D1F"/>
    <w:rsid w:val="00011F49"/>
    <w:rsid w:val="00012AC2"/>
    <w:rsid w:val="00013FE2"/>
    <w:rsid w:val="000173D8"/>
    <w:rsid w:val="000224BE"/>
    <w:rsid w:val="00030839"/>
    <w:rsid w:val="000308EB"/>
    <w:rsid w:val="00035F8A"/>
    <w:rsid w:val="00036A6A"/>
    <w:rsid w:val="00037121"/>
    <w:rsid w:val="00042722"/>
    <w:rsid w:val="00060B97"/>
    <w:rsid w:val="00064180"/>
    <w:rsid w:val="00070D9A"/>
    <w:rsid w:val="0007380C"/>
    <w:rsid w:val="00073F3D"/>
    <w:rsid w:val="000744AC"/>
    <w:rsid w:val="00077DBB"/>
    <w:rsid w:val="00082D5B"/>
    <w:rsid w:val="000A0B2F"/>
    <w:rsid w:val="000A72E8"/>
    <w:rsid w:val="000C1DD7"/>
    <w:rsid w:val="000C4C45"/>
    <w:rsid w:val="000C598C"/>
    <w:rsid w:val="000E0847"/>
    <w:rsid w:val="000E213E"/>
    <w:rsid w:val="000F4187"/>
    <w:rsid w:val="000F7EAD"/>
    <w:rsid w:val="00100DA8"/>
    <w:rsid w:val="001034F3"/>
    <w:rsid w:val="001059AD"/>
    <w:rsid w:val="00110F43"/>
    <w:rsid w:val="00111AE1"/>
    <w:rsid w:val="00132B39"/>
    <w:rsid w:val="0014064A"/>
    <w:rsid w:val="001656DA"/>
    <w:rsid w:val="00167C82"/>
    <w:rsid w:val="001734DB"/>
    <w:rsid w:val="0017690E"/>
    <w:rsid w:val="00191FF9"/>
    <w:rsid w:val="00194E14"/>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034F"/>
    <w:rsid w:val="00203763"/>
    <w:rsid w:val="0022708C"/>
    <w:rsid w:val="002313AC"/>
    <w:rsid w:val="0023167B"/>
    <w:rsid w:val="002348CB"/>
    <w:rsid w:val="00243C81"/>
    <w:rsid w:val="00246AB4"/>
    <w:rsid w:val="00250051"/>
    <w:rsid w:val="002501A4"/>
    <w:rsid w:val="00256AFB"/>
    <w:rsid w:val="002613CC"/>
    <w:rsid w:val="002654E7"/>
    <w:rsid w:val="00272026"/>
    <w:rsid w:val="002825C5"/>
    <w:rsid w:val="002A1FF4"/>
    <w:rsid w:val="002D09E8"/>
    <w:rsid w:val="002D4E91"/>
    <w:rsid w:val="002D7B43"/>
    <w:rsid w:val="002E309B"/>
    <w:rsid w:val="002E47CF"/>
    <w:rsid w:val="002F2DF5"/>
    <w:rsid w:val="0030559C"/>
    <w:rsid w:val="00305A0C"/>
    <w:rsid w:val="003122C7"/>
    <w:rsid w:val="00316946"/>
    <w:rsid w:val="00340155"/>
    <w:rsid w:val="00356422"/>
    <w:rsid w:val="003914CC"/>
    <w:rsid w:val="00391AD0"/>
    <w:rsid w:val="00394833"/>
    <w:rsid w:val="003A6FD8"/>
    <w:rsid w:val="003B2973"/>
    <w:rsid w:val="003B721C"/>
    <w:rsid w:val="003D1502"/>
    <w:rsid w:val="003D7FBB"/>
    <w:rsid w:val="003E1244"/>
    <w:rsid w:val="003E1FF7"/>
    <w:rsid w:val="0040010B"/>
    <w:rsid w:val="00401900"/>
    <w:rsid w:val="00401C68"/>
    <w:rsid w:val="004106A1"/>
    <w:rsid w:val="00417C75"/>
    <w:rsid w:val="00426579"/>
    <w:rsid w:val="00433FB6"/>
    <w:rsid w:val="00437992"/>
    <w:rsid w:val="0044213D"/>
    <w:rsid w:val="00450FC7"/>
    <w:rsid w:val="004573F1"/>
    <w:rsid w:val="00457D7E"/>
    <w:rsid w:val="00457FB1"/>
    <w:rsid w:val="004610F8"/>
    <w:rsid w:val="00465DA1"/>
    <w:rsid w:val="00470F75"/>
    <w:rsid w:val="004820A3"/>
    <w:rsid w:val="00491891"/>
    <w:rsid w:val="004A07C7"/>
    <w:rsid w:val="004A5CE5"/>
    <w:rsid w:val="004A7ED5"/>
    <w:rsid w:val="004B651C"/>
    <w:rsid w:val="004E1A2B"/>
    <w:rsid w:val="004F1564"/>
    <w:rsid w:val="004F5319"/>
    <w:rsid w:val="0050122A"/>
    <w:rsid w:val="00505DFC"/>
    <w:rsid w:val="005118D8"/>
    <w:rsid w:val="0051275E"/>
    <w:rsid w:val="00547A6B"/>
    <w:rsid w:val="00551989"/>
    <w:rsid w:val="00561856"/>
    <w:rsid w:val="005706BD"/>
    <w:rsid w:val="0058551A"/>
    <w:rsid w:val="0058759B"/>
    <w:rsid w:val="0059256F"/>
    <w:rsid w:val="0059492E"/>
    <w:rsid w:val="005A2993"/>
    <w:rsid w:val="005A610F"/>
    <w:rsid w:val="005C2E85"/>
    <w:rsid w:val="005E288C"/>
    <w:rsid w:val="005E65A7"/>
    <w:rsid w:val="005F7574"/>
    <w:rsid w:val="0060144B"/>
    <w:rsid w:val="00602ACF"/>
    <w:rsid w:val="00605E29"/>
    <w:rsid w:val="00611285"/>
    <w:rsid w:val="00620A6E"/>
    <w:rsid w:val="00623DB1"/>
    <w:rsid w:val="006256ED"/>
    <w:rsid w:val="006418FF"/>
    <w:rsid w:val="006523BE"/>
    <w:rsid w:val="00675541"/>
    <w:rsid w:val="0067755D"/>
    <w:rsid w:val="006877D5"/>
    <w:rsid w:val="006A38DC"/>
    <w:rsid w:val="006A3E79"/>
    <w:rsid w:val="006A61FB"/>
    <w:rsid w:val="006B277A"/>
    <w:rsid w:val="006B6E1C"/>
    <w:rsid w:val="006D24BB"/>
    <w:rsid w:val="006D6A9A"/>
    <w:rsid w:val="006E5186"/>
    <w:rsid w:val="006E6E06"/>
    <w:rsid w:val="007011C6"/>
    <w:rsid w:val="00702203"/>
    <w:rsid w:val="00702C73"/>
    <w:rsid w:val="00720363"/>
    <w:rsid w:val="00721E6C"/>
    <w:rsid w:val="00726C19"/>
    <w:rsid w:val="007427C4"/>
    <w:rsid w:val="00745EE8"/>
    <w:rsid w:val="007536B8"/>
    <w:rsid w:val="007620C1"/>
    <w:rsid w:val="007814FF"/>
    <w:rsid w:val="007916EB"/>
    <w:rsid w:val="00793B54"/>
    <w:rsid w:val="007A3588"/>
    <w:rsid w:val="007A5F06"/>
    <w:rsid w:val="007B0676"/>
    <w:rsid w:val="007B3EA0"/>
    <w:rsid w:val="007B5C9A"/>
    <w:rsid w:val="007C209C"/>
    <w:rsid w:val="007C7318"/>
    <w:rsid w:val="007D3CE7"/>
    <w:rsid w:val="007F0716"/>
    <w:rsid w:val="00814171"/>
    <w:rsid w:val="0081439C"/>
    <w:rsid w:val="0083132D"/>
    <w:rsid w:val="0083176E"/>
    <w:rsid w:val="00835340"/>
    <w:rsid w:val="00835F87"/>
    <w:rsid w:val="00851153"/>
    <w:rsid w:val="008629FE"/>
    <w:rsid w:val="00865C22"/>
    <w:rsid w:val="0086754E"/>
    <w:rsid w:val="008746F4"/>
    <w:rsid w:val="00877B4F"/>
    <w:rsid w:val="00883ECC"/>
    <w:rsid w:val="00897FD2"/>
    <w:rsid w:val="008A76A9"/>
    <w:rsid w:val="008B0CFA"/>
    <w:rsid w:val="008B4226"/>
    <w:rsid w:val="008C0C0C"/>
    <w:rsid w:val="008C1CC4"/>
    <w:rsid w:val="008C253C"/>
    <w:rsid w:val="008D2F97"/>
    <w:rsid w:val="008D5272"/>
    <w:rsid w:val="008F1903"/>
    <w:rsid w:val="008F3D25"/>
    <w:rsid w:val="008F6A48"/>
    <w:rsid w:val="00900DB3"/>
    <w:rsid w:val="009048DE"/>
    <w:rsid w:val="00912663"/>
    <w:rsid w:val="0091294E"/>
    <w:rsid w:val="0092099E"/>
    <w:rsid w:val="00923097"/>
    <w:rsid w:val="009320B2"/>
    <w:rsid w:val="00937EDA"/>
    <w:rsid w:val="00942CD5"/>
    <w:rsid w:val="00971060"/>
    <w:rsid w:val="00973249"/>
    <w:rsid w:val="00977411"/>
    <w:rsid w:val="00977816"/>
    <w:rsid w:val="00996473"/>
    <w:rsid w:val="00997E2E"/>
    <w:rsid w:val="009C3766"/>
    <w:rsid w:val="009D2B4A"/>
    <w:rsid w:val="009E04F5"/>
    <w:rsid w:val="009E11B3"/>
    <w:rsid w:val="009F6378"/>
    <w:rsid w:val="00A15895"/>
    <w:rsid w:val="00A22616"/>
    <w:rsid w:val="00A3417B"/>
    <w:rsid w:val="00A3668E"/>
    <w:rsid w:val="00A501EE"/>
    <w:rsid w:val="00A52362"/>
    <w:rsid w:val="00A62CAC"/>
    <w:rsid w:val="00A761CE"/>
    <w:rsid w:val="00AB03EE"/>
    <w:rsid w:val="00AB053C"/>
    <w:rsid w:val="00AC0058"/>
    <w:rsid w:val="00AC211B"/>
    <w:rsid w:val="00AE59BD"/>
    <w:rsid w:val="00AF6740"/>
    <w:rsid w:val="00B00FD3"/>
    <w:rsid w:val="00B01531"/>
    <w:rsid w:val="00B076A3"/>
    <w:rsid w:val="00B1313C"/>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3886"/>
    <w:rsid w:val="00B64135"/>
    <w:rsid w:val="00B64D14"/>
    <w:rsid w:val="00B7495E"/>
    <w:rsid w:val="00B77D52"/>
    <w:rsid w:val="00B81BAB"/>
    <w:rsid w:val="00B8325F"/>
    <w:rsid w:val="00B849A2"/>
    <w:rsid w:val="00B86646"/>
    <w:rsid w:val="00B92430"/>
    <w:rsid w:val="00B97280"/>
    <w:rsid w:val="00BA1038"/>
    <w:rsid w:val="00BB07A2"/>
    <w:rsid w:val="00BC082C"/>
    <w:rsid w:val="00BD3492"/>
    <w:rsid w:val="00BE4A41"/>
    <w:rsid w:val="00BE797C"/>
    <w:rsid w:val="00BF47AD"/>
    <w:rsid w:val="00BF67CC"/>
    <w:rsid w:val="00BF7B0A"/>
    <w:rsid w:val="00C00969"/>
    <w:rsid w:val="00C10051"/>
    <w:rsid w:val="00C1709B"/>
    <w:rsid w:val="00C2289D"/>
    <w:rsid w:val="00C26375"/>
    <w:rsid w:val="00C27DF5"/>
    <w:rsid w:val="00C737AD"/>
    <w:rsid w:val="00C74039"/>
    <w:rsid w:val="00C858E2"/>
    <w:rsid w:val="00CB182E"/>
    <w:rsid w:val="00CC44F8"/>
    <w:rsid w:val="00CC78A9"/>
    <w:rsid w:val="00CD182C"/>
    <w:rsid w:val="00CD32A9"/>
    <w:rsid w:val="00CD44EA"/>
    <w:rsid w:val="00CD4AE4"/>
    <w:rsid w:val="00CE1726"/>
    <w:rsid w:val="00D02171"/>
    <w:rsid w:val="00D07FEF"/>
    <w:rsid w:val="00D22869"/>
    <w:rsid w:val="00D37696"/>
    <w:rsid w:val="00D4309D"/>
    <w:rsid w:val="00D467ED"/>
    <w:rsid w:val="00D535C2"/>
    <w:rsid w:val="00D5411F"/>
    <w:rsid w:val="00D713EA"/>
    <w:rsid w:val="00D764D8"/>
    <w:rsid w:val="00D80976"/>
    <w:rsid w:val="00D80AE6"/>
    <w:rsid w:val="00D854C7"/>
    <w:rsid w:val="00D9211F"/>
    <w:rsid w:val="00D93770"/>
    <w:rsid w:val="00D94865"/>
    <w:rsid w:val="00D95C71"/>
    <w:rsid w:val="00DA7106"/>
    <w:rsid w:val="00DB40BE"/>
    <w:rsid w:val="00DB4238"/>
    <w:rsid w:val="00DC20A5"/>
    <w:rsid w:val="00DD120C"/>
    <w:rsid w:val="00DD3325"/>
    <w:rsid w:val="00DE5AA9"/>
    <w:rsid w:val="00E053B6"/>
    <w:rsid w:val="00E125A3"/>
    <w:rsid w:val="00E13656"/>
    <w:rsid w:val="00E13CC2"/>
    <w:rsid w:val="00E14401"/>
    <w:rsid w:val="00E148A9"/>
    <w:rsid w:val="00E14E60"/>
    <w:rsid w:val="00E20437"/>
    <w:rsid w:val="00E51460"/>
    <w:rsid w:val="00E5490F"/>
    <w:rsid w:val="00E55714"/>
    <w:rsid w:val="00E562A3"/>
    <w:rsid w:val="00E569CB"/>
    <w:rsid w:val="00E61932"/>
    <w:rsid w:val="00E62F34"/>
    <w:rsid w:val="00E66FE3"/>
    <w:rsid w:val="00E671E6"/>
    <w:rsid w:val="00E72EFA"/>
    <w:rsid w:val="00E8483A"/>
    <w:rsid w:val="00E876A2"/>
    <w:rsid w:val="00EA4E80"/>
    <w:rsid w:val="00EB06A1"/>
    <w:rsid w:val="00EC025B"/>
    <w:rsid w:val="00EC1525"/>
    <w:rsid w:val="00ED04F7"/>
    <w:rsid w:val="00ED5367"/>
    <w:rsid w:val="00EF50A5"/>
    <w:rsid w:val="00F008A9"/>
    <w:rsid w:val="00F058F5"/>
    <w:rsid w:val="00F1448B"/>
    <w:rsid w:val="00F14C04"/>
    <w:rsid w:val="00F16B54"/>
    <w:rsid w:val="00F173A7"/>
    <w:rsid w:val="00F2372C"/>
    <w:rsid w:val="00F23923"/>
    <w:rsid w:val="00F40B13"/>
    <w:rsid w:val="00F40F6E"/>
    <w:rsid w:val="00F42F5A"/>
    <w:rsid w:val="00F51109"/>
    <w:rsid w:val="00F52B03"/>
    <w:rsid w:val="00F5424D"/>
    <w:rsid w:val="00F56EC6"/>
    <w:rsid w:val="00F579DE"/>
    <w:rsid w:val="00F63405"/>
    <w:rsid w:val="00F63817"/>
    <w:rsid w:val="00F6394C"/>
    <w:rsid w:val="00F66C17"/>
    <w:rsid w:val="00F67F1D"/>
    <w:rsid w:val="00F72A98"/>
    <w:rsid w:val="00F75425"/>
    <w:rsid w:val="00F80244"/>
    <w:rsid w:val="00F83BDE"/>
    <w:rsid w:val="00F872E0"/>
    <w:rsid w:val="00F90D75"/>
    <w:rsid w:val="00F91666"/>
    <w:rsid w:val="00F94ED4"/>
    <w:rsid w:val="00F95E52"/>
    <w:rsid w:val="00F97423"/>
    <w:rsid w:val="00FA0A7D"/>
    <w:rsid w:val="00FC42C1"/>
    <w:rsid w:val="00FC5932"/>
    <w:rsid w:val="00FD26B3"/>
    <w:rsid w:val="00FD6890"/>
    <w:rsid w:val="00FF3C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3AC"/>
    <w:pPr>
      <w:spacing w:after="0" w:line="240" w:lineRule="auto"/>
    </w:pPr>
    <w:rPr>
      <w:rFonts w:ascii="Times New Roman" w:eastAsia="Times New Roman" w:hAnsi="Times New Roman" w:cs="Times New Roman"/>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13AC"/>
    <w:pPr>
      <w:ind w:left="720"/>
    </w:pPr>
  </w:style>
  <w:style w:type="paragraph" w:styleId="Intestazione">
    <w:name w:val="header"/>
    <w:basedOn w:val="Normale"/>
    <w:link w:val="IntestazioneCarattere"/>
    <w:uiPriority w:val="99"/>
    <w:unhideWhenUsed/>
    <w:rsid w:val="00E13656"/>
    <w:pPr>
      <w:tabs>
        <w:tab w:val="center" w:pos="4680"/>
        <w:tab w:val="right" w:pos="9360"/>
      </w:tabs>
    </w:pPr>
  </w:style>
  <w:style w:type="character" w:customStyle="1" w:styleId="IntestazioneCarattere">
    <w:name w:val="Intestazione Carattere"/>
    <w:basedOn w:val="Carpredefinitoparagrafo"/>
    <w:link w:val="Intestazione"/>
    <w:uiPriority w:val="99"/>
    <w:rsid w:val="00E13656"/>
    <w:rPr>
      <w:rFonts w:ascii="Times New Roman" w:eastAsia="Times New Roman" w:hAnsi="Times New Roman" w:cs="Times New Roman"/>
      <w:sz w:val="24"/>
      <w:szCs w:val="24"/>
      <w:lang w:val="en-GB" w:eastAsia="en-GB"/>
    </w:rPr>
  </w:style>
  <w:style w:type="paragraph" w:styleId="Pidipagina">
    <w:name w:val="footer"/>
    <w:basedOn w:val="Normale"/>
    <w:link w:val="PidipaginaCarattere"/>
    <w:uiPriority w:val="99"/>
    <w:semiHidden/>
    <w:unhideWhenUsed/>
    <w:rsid w:val="00E13656"/>
    <w:pPr>
      <w:tabs>
        <w:tab w:val="center" w:pos="4680"/>
        <w:tab w:val="right" w:pos="9360"/>
      </w:tabs>
    </w:pPr>
  </w:style>
  <w:style w:type="character" w:customStyle="1" w:styleId="PidipaginaCarattere">
    <w:name w:val="Piè di pagina Carattere"/>
    <w:basedOn w:val="Carpredefinitoparagrafo"/>
    <w:link w:val="Pidipagina"/>
    <w:uiPriority w:val="99"/>
    <w:semiHidden/>
    <w:rsid w:val="00E13656"/>
    <w:rPr>
      <w:rFonts w:ascii="Times New Roman" w:eastAsia="Times New Roman" w:hAnsi="Times New Roman" w:cs="Times New Roman"/>
      <w:sz w:val="24"/>
      <w:szCs w:val="24"/>
      <w:lang w:val="en-GB" w:eastAsia="en-GB"/>
    </w:rPr>
  </w:style>
  <w:style w:type="paragraph" w:styleId="Testofumetto">
    <w:name w:val="Balloon Text"/>
    <w:basedOn w:val="Normale"/>
    <w:link w:val="TestofumettoCarattere"/>
    <w:uiPriority w:val="99"/>
    <w:semiHidden/>
    <w:unhideWhenUsed/>
    <w:rsid w:val="00AE59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9BD"/>
    <w:rPr>
      <w:rFonts w:ascii="Tahoma" w:eastAsia="Times New Roman" w:hAnsi="Tahoma" w:cs="Tahoma"/>
      <w:sz w:val="16"/>
      <w:szCs w:val="16"/>
      <w:lang w:val="en-GB" w:eastAsia="en-GB"/>
    </w:rPr>
  </w:style>
  <w:style w:type="character" w:customStyle="1" w:styleId="PageNumber1">
    <w:name w:val="Page Number1"/>
    <w:rsid w:val="00AE59BD"/>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ANTO</cp:lastModifiedBy>
  <cp:revision>2</cp:revision>
  <dcterms:created xsi:type="dcterms:W3CDTF">2012-10-07T20:42:00Z</dcterms:created>
  <dcterms:modified xsi:type="dcterms:W3CDTF">2012-10-07T20:42:00Z</dcterms:modified>
</cp:coreProperties>
</file>