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9F6D5" w14:textId="4DDAFC1C" w:rsidR="00B66199" w:rsidRPr="000E1F81" w:rsidRDefault="00DE1EB1" w:rsidP="00793635">
      <w:pPr>
        <w:pStyle w:val="Title"/>
        <w:rPr>
          <w:b w:val="0"/>
          <w:lang w:val="en-GB"/>
        </w:rPr>
      </w:pPr>
      <w:r w:rsidRPr="000E1F81">
        <w:rPr>
          <w:lang w:val="en-GB"/>
        </w:rPr>
        <w:t>Re</w:t>
      </w:r>
      <w:r w:rsidR="00B66199" w:rsidRPr="000E1F81">
        <w:rPr>
          <w:lang w:val="en-GB"/>
        </w:rPr>
        <w:t xml:space="preserve">port of the </w:t>
      </w:r>
      <w:r w:rsidR="005647F7">
        <w:rPr>
          <w:lang w:val="en-GB"/>
        </w:rPr>
        <w:t>virtual meeting</w:t>
      </w:r>
      <w:r w:rsidR="00B66199" w:rsidRPr="000E1F81">
        <w:rPr>
          <w:lang w:val="en-GB"/>
        </w:rPr>
        <w:t xml:space="preserve"> </w:t>
      </w:r>
      <w:r w:rsidR="00B52485" w:rsidRPr="000E1F81">
        <w:rPr>
          <w:lang w:val="en-GB"/>
        </w:rPr>
        <w:t xml:space="preserve">of the IPPC ePhyto </w:t>
      </w:r>
      <w:r w:rsidR="00793635">
        <w:rPr>
          <w:lang w:val="en-GB"/>
        </w:rPr>
        <w:t xml:space="preserve">Project Technical Committee </w:t>
      </w:r>
      <w:r w:rsidR="00303A7B">
        <w:rPr>
          <w:lang w:val="en-GB"/>
        </w:rPr>
        <w:t xml:space="preserve">and </w:t>
      </w:r>
      <w:proofErr w:type="spellStart"/>
      <w:r w:rsidR="00793635">
        <w:rPr>
          <w:lang w:val="en-GB"/>
        </w:rPr>
        <w:t>ePhyto</w:t>
      </w:r>
      <w:proofErr w:type="spellEnd"/>
      <w:r w:rsidR="00793635">
        <w:rPr>
          <w:lang w:val="en-GB"/>
        </w:rPr>
        <w:t xml:space="preserve"> Steering Group</w:t>
      </w:r>
    </w:p>
    <w:p w14:paraId="7B9F22FD" w14:textId="6506AF9D" w:rsidR="00793635" w:rsidRDefault="00793635" w:rsidP="00793635">
      <w:pPr>
        <w:pStyle w:val="Title"/>
        <w:rPr>
          <w:lang w:val="en-GB"/>
        </w:rPr>
      </w:pPr>
      <w:bookmarkStart w:id="0" w:name="date"/>
      <w:r>
        <w:rPr>
          <w:lang w:val="en-GB"/>
        </w:rPr>
        <w:t xml:space="preserve">14 </w:t>
      </w:r>
      <w:r w:rsidR="00303A7B">
        <w:rPr>
          <w:lang w:val="en-GB"/>
        </w:rPr>
        <w:t xml:space="preserve">December </w:t>
      </w:r>
      <w:r>
        <w:rPr>
          <w:lang w:val="en-GB"/>
        </w:rPr>
        <w:t>2016</w:t>
      </w:r>
      <w:bookmarkEnd w:id="0"/>
    </w:p>
    <w:p w14:paraId="230E4D68" w14:textId="77777777" w:rsidR="00E05D9C" w:rsidRDefault="00B52485" w:rsidP="00226EE3">
      <w:pPr>
        <w:pStyle w:val="Heading1"/>
        <w:numPr>
          <w:ilvl w:val="0"/>
          <w:numId w:val="0"/>
        </w:numPr>
        <w:ind w:left="706" w:hanging="706"/>
        <w:rPr>
          <w:lang w:val="en-GB"/>
        </w:rPr>
      </w:pPr>
      <w:r w:rsidRPr="000E1F81">
        <w:rPr>
          <w:lang w:val="en-GB"/>
        </w:rPr>
        <w:t xml:space="preserve">Participants: </w:t>
      </w:r>
    </w:p>
    <w:p w14:paraId="76BC4E3E" w14:textId="77777777" w:rsidR="00E05D9C" w:rsidRDefault="00E05D9C" w:rsidP="00E05D9C">
      <w:pPr>
        <w:rPr>
          <w:lang w:val="en-GB"/>
        </w:rPr>
      </w:pPr>
      <w:r w:rsidRPr="00E05D9C">
        <w:rPr>
          <w:lang w:val="en-GB"/>
        </w:rPr>
        <w:t>Maoyu Chen (CN</w:t>
      </w:r>
      <w:r w:rsidR="005D16CC">
        <w:rPr>
          <w:lang w:val="en-GB"/>
        </w:rPr>
        <w:t>), Nico Horn (NL</w:t>
      </w:r>
      <w:r w:rsidRPr="00E05D9C">
        <w:rPr>
          <w:lang w:val="en-GB"/>
        </w:rPr>
        <w:t xml:space="preserve">), </w:t>
      </w:r>
      <w:proofErr w:type="spellStart"/>
      <w:r w:rsidRPr="00E05D9C">
        <w:rPr>
          <w:lang w:val="en-GB"/>
        </w:rPr>
        <w:t>Venkat</w:t>
      </w:r>
      <w:proofErr w:type="spellEnd"/>
      <w:r w:rsidRPr="00E05D9C">
        <w:rPr>
          <w:lang w:val="en-GB"/>
        </w:rPr>
        <w:t xml:space="preserve"> </w:t>
      </w:r>
      <w:proofErr w:type="spellStart"/>
      <w:r w:rsidRPr="00E05D9C">
        <w:rPr>
          <w:lang w:val="en-GB"/>
        </w:rPr>
        <w:t>Venkateswaran</w:t>
      </w:r>
      <w:proofErr w:type="spellEnd"/>
      <w:r w:rsidRPr="00E05D9C">
        <w:rPr>
          <w:lang w:val="en-GB"/>
        </w:rPr>
        <w:t xml:space="preserve"> (UNICC) and Shane Sela (IPPC Secretariat)</w:t>
      </w:r>
    </w:p>
    <w:p w14:paraId="31129AF5" w14:textId="77777777" w:rsidR="000E1F81" w:rsidRPr="000E1F81" w:rsidRDefault="000E1F81" w:rsidP="00226EE3">
      <w:pPr>
        <w:pStyle w:val="Heading1"/>
        <w:numPr>
          <w:ilvl w:val="0"/>
          <w:numId w:val="0"/>
        </w:numPr>
        <w:ind w:left="706" w:hanging="706"/>
        <w:rPr>
          <w:lang w:val="en-GB"/>
        </w:rPr>
      </w:pPr>
      <w:r w:rsidRPr="000E1F81">
        <w:rPr>
          <w:lang w:val="en-GB"/>
        </w:rPr>
        <w:t xml:space="preserve">Members </w:t>
      </w:r>
      <w:r w:rsidR="00773787">
        <w:rPr>
          <w:lang w:val="en-GB"/>
        </w:rPr>
        <w:t>unable to attend</w:t>
      </w:r>
      <w:r w:rsidRPr="000E1F81">
        <w:rPr>
          <w:lang w:val="en-GB"/>
        </w:rPr>
        <w:t>:</w:t>
      </w:r>
    </w:p>
    <w:p w14:paraId="31CF7B5A" w14:textId="77777777" w:rsidR="00793635" w:rsidRDefault="005D16CC" w:rsidP="00123213">
      <w:pPr>
        <w:rPr>
          <w:lang w:val="en-GB"/>
        </w:rPr>
      </w:pPr>
      <w:r w:rsidRPr="00E05D9C">
        <w:rPr>
          <w:lang w:val="en-GB"/>
        </w:rPr>
        <w:t xml:space="preserve">Mostafa </w:t>
      </w:r>
      <w:proofErr w:type="spellStart"/>
      <w:r w:rsidRPr="00E05D9C">
        <w:rPr>
          <w:lang w:val="en-GB"/>
        </w:rPr>
        <w:t>Abdelaziz</w:t>
      </w:r>
      <w:proofErr w:type="spellEnd"/>
      <w:r w:rsidRPr="00E05D9C">
        <w:rPr>
          <w:lang w:val="en-GB"/>
        </w:rPr>
        <w:t xml:space="preserve"> (EG), Walter </w:t>
      </w:r>
      <w:proofErr w:type="spellStart"/>
      <w:r w:rsidRPr="00E05D9C">
        <w:rPr>
          <w:lang w:val="en-GB"/>
        </w:rPr>
        <w:t>Alessandrini</w:t>
      </w:r>
      <w:proofErr w:type="spellEnd"/>
      <w:r w:rsidRPr="00E05D9C">
        <w:rPr>
          <w:lang w:val="en-GB"/>
        </w:rPr>
        <w:t xml:space="preserve"> (AR</w:t>
      </w:r>
      <w:r>
        <w:rPr>
          <w:lang w:val="en-GB"/>
        </w:rPr>
        <w:t>)</w:t>
      </w:r>
      <w:r w:rsidRPr="00E05D9C">
        <w:rPr>
          <w:lang w:val="en-GB"/>
        </w:rPr>
        <w:t>, Christian Dellis (US), Peter Neimanis (AU</w:t>
      </w:r>
      <w:r>
        <w:rPr>
          <w:lang w:val="en-GB"/>
        </w:rPr>
        <w:t>/Chair</w:t>
      </w:r>
      <w:r w:rsidRPr="00E05D9C">
        <w:rPr>
          <w:lang w:val="en-GB"/>
        </w:rPr>
        <w:t xml:space="preserve">), </w:t>
      </w:r>
      <w:r w:rsidR="001153F0">
        <w:rPr>
          <w:lang w:val="en-GB"/>
        </w:rPr>
        <w:t>Craig Fedchock, (IPPC Secretariat)</w:t>
      </w:r>
      <w:r w:rsidR="00E05D9C">
        <w:rPr>
          <w:lang w:val="en-GB"/>
        </w:rPr>
        <w:t>,</w:t>
      </w:r>
      <w:r w:rsidR="001153F0">
        <w:rPr>
          <w:lang w:val="en-GB"/>
        </w:rPr>
        <w:t xml:space="preserve"> </w:t>
      </w:r>
      <w:r w:rsidRPr="00E05D9C">
        <w:rPr>
          <w:lang w:val="en-GB"/>
        </w:rPr>
        <w:t>Shashank Rai (UNICC),</w:t>
      </w:r>
      <w:r>
        <w:rPr>
          <w:lang w:val="en-GB"/>
        </w:rPr>
        <w:t xml:space="preserve"> </w:t>
      </w:r>
      <w:r w:rsidR="00E05D9C" w:rsidRPr="000E1F81">
        <w:rPr>
          <w:lang w:val="en-GB"/>
        </w:rPr>
        <w:t xml:space="preserve">Josiah </w:t>
      </w:r>
      <w:proofErr w:type="spellStart"/>
      <w:r w:rsidR="00E05D9C" w:rsidRPr="000E1F81">
        <w:rPr>
          <w:lang w:val="en-GB"/>
        </w:rPr>
        <w:t>Syanda</w:t>
      </w:r>
      <w:proofErr w:type="spellEnd"/>
      <w:r w:rsidR="00E05D9C" w:rsidRPr="000E1F81">
        <w:rPr>
          <w:lang w:val="en-GB"/>
        </w:rPr>
        <w:t xml:space="preserve"> (KE)</w:t>
      </w:r>
      <w:r w:rsidR="00123213">
        <w:rPr>
          <w:lang w:val="en-GB"/>
        </w:rPr>
        <w:t xml:space="preserve">and </w:t>
      </w:r>
      <w:proofErr w:type="spellStart"/>
      <w:r w:rsidR="00E05D9C" w:rsidRPr="00E05D9C">
        <w:rPr>
          <w:lang w:val="en-GB"/>
        </w:rPr>
        <w:t>Kyu-Ock</w:t>
      </w:r>
      <w:proofErr w:type="spellEnd"/>
      <w:r w:rsidR="00E05D9C" w:rsidRPr="00E05D9C">
        <w:rPr>
          <w:lang w:val="en-GB"/>
        </w:rPr>
        <w:t xml:space="preserve"> </w:t>
      </w:r>
      <w:proofErr w:type="spellStart"/>
      <w:r w:rsidR="00E05D9C" w:rsidRPr="00E05D9C">
        <w:rPr>
          <w:lang w:val="en-GB"/>
        </w:rPr>
        <w:t>Yim</w:t>
      </w:r>
      <w:proofErr w:type="spellEnd"/>
      <w:r w:rsidR="00E05D9C" w:rsidRPr="00E05D9C">
        <w:rPr>
          <w:lang w:val="en-GB"/>
        </w:rPr>
        <w:t xml:space="preserve"> (CPM Bureau)</w:t>
      </w:r>
    </w:p>
    <w:p w14:paraId="7FBBF712" w14:textId="77777777" w:rsidR="005D16CC" w:rsidRDefault="005D16CC" w:rsidP="005D16CC">
      <w:pPr>
        <w:pStyle w:val="Heading1"/>
        <w:rPr>
          <w:lang w:val="en-GB"/>
        </w:rPr>
      </w:pPr>
      <w:r>
        <w:rPr>
          <w:lang w:val="en-GB"/>
        </w:rPr>
        <w:t>Project funding</w:t>
      </w:r>
    </w:p>
    <w:p w14:paraId="69026366" w14:textId="77777777" w:rsidR="005D16CC" w:rsidRDefault="005D16CC" w:rsidP="005D16CC">
      <w:pPr>
        <w:rPr>
          <w:rFonts w:eastAsiaTheme="majorEastAsia"/>
          <w:lang w:val="en-GB"/>
        </w:rPr>
      </w:pPr>
      <w:r>
        <w:rPr>
          <w:rFonts w:eastAsiaTheme="majorEastAsia"/>
          <w:lang w:val="en-GB"/>
        </w:rPr>
        <w:t>The International Plant Protection Convention (IPPC) Secretariat noted that the Food and Agriculture Organization (FAO) and the Standards and Trade Development Facility (STDF) had approved the ePhyto Project and that the Implementation Assignment had been signed by both parties. The project commencement date had been established as 15</w:t>
      </w:r>
      <w:r w:rsidRPr="005D16CC">
        <w:rPr>
          <w:rFonts w:eastAsiaTheme="majorEastAsia"/>
          <w:vertAlign w:val="superscript"/>
          <w:lang w:val="en-GB"/>
        </w:rPr>
        <w:t>th</w:t>
      </w:r>
      <w:r>
        <w:rPr>
          <w:rFonts w:eastAsiaTheme="majorEastAsia"/>
          <w:lang w:val="en-GB"/>
        </w:rPr>
        <w:t xml:space="preserve"> December 2016. </w:t>
      </w:r>
      <w:r w:rsidR="00097B90">
        <w:rPr>
          <w:rFonts w:eastAsiaTheme="majorEastAsia"/>
          <w:lang w:val="en-GB"/>
        </w:rPr>
        <w:t xml:space="preserve">He also noted that the final project document had been circulated to the PTC and the </w:t>
      </w:r>
      <w:proofErr w:type="spellStart"/>
      <w:r w:rsidR="00097B90">
        <w:rPr>
          <w:rFonts w:eastAsiaTheme="majorEastAsia"/>
          <w:lang w:val="en-GB"/>
        </w:rPr>
        <w:t>ePhyto</w:t>
      </w:r>
      <w:proofErr w:type="spellEnd"/>
      <w:r w:rsidR="00097B90">
        <w:rPr>
          <w:rFonts w:eastAsiaTheme="majorEastAsia"/>
          <w:lang w:val="en-GB"/>
        </w:rPr>
        <w:t xml:space="preserve"> Project Advisory Committee</w:t>
      </w:r>
      <w:r w:rsidR="00303A7B">
        <w:rPr>
          <w:rFonts w:eastAsiaTheme="majorEastAsia"/>
          <w:lang w:val="en-GB"/>
        </w:rPr>
        <w:t>.</w:t>
      </w:r>
    </w:p>
    <w:p w14:paraId="1BAC359F" w14:textId="77777777" w:rsidR="005D16CC" w:rsidRDefault="005D16CC" w:rsidP="005D16CC">
      <w:pPr>
        <w:rPr>
          <w:rFonts w:eastAsiaTheme="majorEastAsia"/>
          <w:lang w:val="en-GB"/>
        </w:rPr>
      </w:pPr>
      <w:r>
        <w:rPr>
          <w:rFonts w:eastAsiaTheme="majorEastAsia"/>
          <w:lang w:val="en-GB"/>
        </w:rPr>
        <w:t xml:space="preserve">The Secretariat was completing some supplementary documentation required by FAO in support of project approval, but these documents should not affect project timelines, given that UNICC is still completing work under the existing project agreement (i.e. requirements setting). </w:t>
      </w:r>
    </w:p>
    <w:p w14:paraId="3891C803" w14:textId="77777777" w:rsidR="005D16CC" w:rsidRPr="005D16CC" w:rsidRDefault="005D16CC" w:rsidP="005D16CC">
      <w:pPr>
        <w:rPr>
          <w:rFonts w:eastAsiaTheme="majorEastAsia"/>
          <w:u w:val="single"/>
          <w:lang w:val="en-GB"/>
        </w:rPr>
      </w:pPr>
      <w:r>
        <w:rPr>
          <w:rFonts w:eastAsiaTheme="majorEastAsia"/>
          <w:lang w:val="en-GB"/>
        </w:rPr>
        <w:t>UNICC noted that it has commenced development of a service agreement to support implementation of the hub. A draft of the agreement should be completed by early January and provided to the IPPC Secretariat for review.</w:t>
      </w:r>
    </w:p>
    <w:p w14:paraId="4BB2FE38" w14:textId="77777777" w:rsidR="005D16CC" w:rsidRPr="005D16CC" w:rsidRDefault="005D16CC" w:rsidP="00226EE3">
      <w:pPr>
        <w:pStyle w:val="Heading1"/>
        <w:rPr>
          <w:lang w:val="en-GB"/>
        </w:rPr>
      </w:pPr>
      <w:r w:rsidRPr="005D16CC">
        <w:rPr>
          <w:lang w:val="en-GB"/>
        </w:rPr>
        <w:t xml:space="preserve">Status of the requirements documents </w:t>
      </w:r>
      <w:r w:rsidR="00226EE3">
        <w:rPr>
          <w:lang w:val="en-GB"/>
        </w:rPr>
        <w:t>for the hub and generic ePhyto national system (</w:t>
      </w:r>
      <w:proofErr w:type="spellStart"/>
      <w:r w:rsidR="00226EE3">
        <w:rPr>
          <w:lang w:val="en-GB"/>
        </w:rPr>
        <w:t>GeNS</w:t>
      </w:r>
      <w:proofErr w:type="spellEnd"/>
      <w:r w:rsidR="00226EE3">
        <w:rPr>
          <w:lang w:val="en-GB"/>
        </w:rPr>
        <w:t>)</w:t>
      </w:r>
    </w:p>
    <w:p w14:paraId="2CCF9019" w14:textId="4C8BF406" w:rsidR="005D16CC" w:rsidRDefault="005D16CC" w:rsidP="005D16CC">
      <w:pPr>
        <w:rPr>
          <w:rFonts w:eastAsiaTheme="majorEastAsia"/>
          <w:lang w:val="en-GB"/>
        </w:rPr>
      </w:pPr>
      <w:r w:rsidRPr="005D16CC">
        <w:rPr>
          <w:rFonts w:eastAsiaTheme="majorEastAsia"/>
          <w:lang w:val="en-GB"/>
        </w:rPr>
        <w:t xml:space="preserve">The </w:t>
      </w:r>
      <w:r>
        <w:rPr>
          <w:rFonts w:eastAsiaTheme="majorEastAsia"/>
          <w:lang w:val="en-GB"/>
        </w:rPr>
        <w:t xml:space="preserve">requirements document for the hub has been circulated and a second version of the document has been provided to the </w:t>
      </w:r>
      <w:r w:rsidR="00226EE3">
        <w:rPr>
          <w:rFonts w:eastAsiaTheme="majorEastAsia"/>
          <w:lang w:val="en-GB"/>
        </w:rPr>
        <w:t xml:space="preserve">Secretariat for review by the </w:t>
      </w:r>
      <w:r w:rsidR="00226EE3" w:rsidRPr="00226EE3">
        <w:rPr>
          <w:rFonts w:eastAsiaTheme="majorEastAsia"/>
          <w:lang w:val="en-GB"/>
        </w:rPr>
        <w:t xml:space="preserve">ePhyto Project Technical Committee </w:t>
      </w:r>
      <w:r w:rsidR="00226EE3">
        <w:rPr>
          <w:rFonts w:eastAsiaTheme="majorEastAsia"/>
          <w:lang w:val="en-GB"/>
        </w:rPr>
        <w:t>(PTC). The PTC agreed to review the document one last time and provide any comments to the Secretariat by 13</w:t>
      </w:r>
      <w:r w:rsidR="00226EE3" w:rsidRPr="00226EE3">
        <w:rPr>
          <w:rFonts w:eastAsiaTheme="majorEastAsia"/>
          <w:vertAlign w:val="superscript"/>
          <w:lang w:val="en-GB"/>
        </w:rPr>
        <w:t>th</w:t>
      </w:r>
      <w:r w:rsidR="00226EE3">
        <w:rPr>
          <w:rFonts w:eastAsiaTheme="majorEastAsia"/>
          <w:lang w:val="en-GB"/>
        </w:rPr>
        <w:t xml:space="preserve"> January </w:t>
      </w:r>
      <w:r w:rsidR="00303A7B">
        <w:rPr>
          <w:rFonts w:eastAsiaTheme="majorEastAsia"/>
          <w:lang w:val="en-GB"/>
        </w:rPr>
        <w:t>2017</w:t>
      </w:r>
      <w:r w:rsidR="00226EE3">
        <w:rPr>
          <w:rFonts w:eastAsiaTheme="majorEastAsia"/>
          <w:lang w:val="en-GB"/>
        </w:rPr>
        <w:t xml:space="preserve">. </w:t>
      </w:r>
    </w:p>
    <w:p w14:paraId="31D7DC2F" w14:textId="77777777" w:rsidR="00226EE3" w:rsidRPr="005D16CC" w:rsidRDefault="00226EE3" w:rsidP="005D16CC">
      <w:pPr>
        <w:rPr>
          <w:rFonts w:eastAsiaTheme="majorEastAsia"/>
          <w:lang w:val="en-GB"/>
        </w:rPr>
      </w:pPr>
      <w:r>
        <w:rPr>
          <w:rFonts w:eastAsiaTheme="majorEastAsia"/>
          <w:lang w:val="en-GB"/>
        </w:rPr>
        <w:t xml:space="preserve">The UNICC noted that the requirements for </w:t>
      </w:r>
      <w:proofErr w:type="spellStart"/>
      <w:r>
        <w:rPr>
          <w:rFonts w:eastAsiaTheme="majorEastAsia"/>
          <w:lang w:val="en-GB"/>
        </w:rPr>
        <w:t>GeNS</w:t>
      </w:r>
      <w:proofErr w:type="spellEnd"/>
      <w:r>
        <w:rPr>
          <w:rFonts w:eastAsiaTheme="majorEastAsia"/>
          <w:lang w:val="en-GB"/>
        </w:rPr>
        <w:t xml:space="preserve"> and description of the </w:t>
      </w:r>
      <w:r w:rsidRPr="00226EE3">
        <w:rPr>
          <w:rFonts w:eastAsiaTheme="majorEastAsia"/>
          <w:lang w:val="en-GB"/>
        </w:rPr>
        <w:t>Web Services Description Language</w:t>
      </w:r>
      <w:r>
        <w:rPr>
          <w:rFonts w:eastAsiaTheme="majorEastAsia"/>
          <w:lang w:val="en-GB"/>
        </w:rPr>
        <w:t xml:space="preserve"> (WSDL) to be used for harmonized exchange will be completed by 15</w:t>
      </w:r>
      <w:r w:rsidRPr="00226EE3">
        <w:rPr>
          <w:rFonts w:eastAsiaTheme="majorEastAsia"/>
          <w:vertAlign w:val="superscript"/>
          <w:lang w:val="en-GB"/>
        </w:rPr>
        <w:t>th</w:t>
      </w:r>
      <w:r>
        <w:rPr>
          <w:rFonts w:eastAsiaTheme="majorEastAsia"/>
          <w:lang w:val="en-GB"/>
        </w:rPr>
        <w:t xml:space="preserve"> December 2016. The Secretariat agreed to circulate the documents once received with the expectation that comments from the PTC could be collected by 13</w:t>
      </w:r>
      <w:r w:rsidRPr="00226EE3">
        <w:rPr>
          <w:rFonts w:eastAsiaTheme="majorEastAsia"/>
          <w:vertAlign w:val="superscript"/>
          <w:lang w:val="en-GB"/>
        </w:rPr>
        <w:t>th</w:t>
      </w:r>
      <w:r>
        <w:rPr>
          <w:rFonts w:eastAsiaTheme="majorEastAsia"/>
          <w:lang w:val="en-GB"/>
        </w:rPr>
        <w:t xml:space="preserve"> January 2017. </w:t>
      </w:r>
    </w:p>
    <w:p w14:paraId="4126CD64" w14:textId="77777777" w:rsidR="005D16CC" w:rsidRPr="005D16CC" w:rsidRDefault="005D16CC" w:rsidP="005D16CC">
      <w:pPr>
        <w:rPr>
          <w:rFonts w:eastAsiaTheme="majorEastAsia" w:cstheme="majorBidi"/>
          <w:b/>
          <w:bCs/>
          <w:color w:val="365F91" w:themeColor="accent1" w:themeShade="BF"/>
          <w:szCs w:val="28"/>
          <w:lang w:val="en-GB"/>
        </w:rPr>
      </w:pPr>
      <w:r w:rsidRPr="005D16CC">
        <w:rPr>
          <w:rFonts w:eastAsiaTheme="majorEastAsia" w:cstheme="majorBidi"/>
          <w:b/>
          <w:bCs/>
          <w:color w:val="365F91" w:themeColor="accent1" w:themeShade="BF"/>
          <w:szCs w:val="28"/>
          <w:lang w:val="en-GB"/>
        </w:rPr>
        <w:t xml:space="preserve">3.       Outcome of </w:t>
      </w:r>
      <w:r w:rsidR="00226EE3">
        <w:rPr>
          <w:rFonts w:eastAsiaTheme="majorEastAsia" w:cstheme="majorBidi"/>
          <w:b/>
          <w:bCs/>
          <w:color w:val="365F91" w:themeColor="accent1" w:themeShade="BF"/>
          <w:szCs w:val="28"/>
          <w:lang w:val="en-GB"/>
        </w:rPr>
        <w:t>Industry Advisory Group (</w:t>
      </w:r>
      <w:r w:rsidRPr="005D16CC">
        <w:rPr>
          <w:rFonts w:eastAsiaTheme="majorEastAsia" w:cstheme="majorBidi"/>
          <w:b/>
          <w:bCs/>
          <w:color w:val="365F91" w:themeColor="accent1" w:themeShade="BF"/>
          <w:szCs w:val="28"/>
          <w:lang w:val="en-GB"/>
        </w:rPr>
        <w:t>IAG</w:t>
      </w:r>
      <w:r w:rsidR="00226EE3">
        <w:rPr>
          <w:rFonts w:eastAsiaTheme="majorEastAsia" w:cstheme="majorBidi"/>
          <w:b/>
          <w:bCs/>
          <w:color w:val="365F91" w:themeColor="accent1" w:themeShade="BF"/>
          <w:szCs w:val="28"/>
          <w:lang w:val="en-GB"/>
        </w:rPr>
        <w:t>)</w:t>
      </w:r>
      <w:r w:rsidRPr="005D16CC">
        <w:rPr>
          <w:rFonts w:eastAsiaTheme="majorEastAsia" w:cstheme="majorBidi"/>
          <w:b/>
          <w:bCs/>
          <w:color w:val="365F91" w:themeColor="accent1" w:themeShade="BF"/>
          <w:szCs w:val="28"/>
          <w:lang w:val="en-GB"/>
        </w:rPr>
        <w:t xml:space="preserve"> meeting </w:t>
      </w:r>
    </w:p>
    <w:p w14:paraId="08A258C3" w14:textId="77777777" w:rsidR="005D16CC" w:rsidRDefault="007C203C" w:rsidP="007C203C">
      <w:pPr>
        <w:rPr>
          <w:rFonts w:eastAsiaTheme="majorEastAsia"/>
          <w:lang w:val="en-GB"/>
        </w:rPr>
      </w:pPr>
      <w:r w:rsidRPr="007C203C">
        <w:rPr>
          <w:rFonts w:eastAsiaTheme="majorEastAsia"/>
          <w:lang w:val="en-GB"/>
        </w:rPr>
        <w:lastRenderedPageBreak/>
        <w:t xml:space="preserve">The Secretariat reported that the </w:t>
      </w:r>
      <w:r>
        <w:rPr>
          <w:rFonts w:eastAsiaTheme="majorEastAsia"/>
          <w:lang w:val="en-GB"/>
        </w:rPr>
        <w:t xml:space="preserve">IAG meeting had been provided with an overview of the project and the progress to date. The IAG members indicated their strong support for the project and the work that has been completed. They noted that the project includes an ambitious time frame given its scope and complexity. They further suggested that some rationalization of the timelines should be considered. </w:t>
      </w:r>
      <w:r w:rsidR="00870F5A">
        <w:rPr>
          <w:rFonts w:eastAsiaTheme="majorEastAsia"/>
          <w:lang w:val="en-GB"/>
        </w:rPr>
        <w:t>The IAG also made several specific comments related to the operation of the system. These included:</w:t>
      </w:r>
    </w:p>
    <w:p w14:paraId="5733E5BD" w14:textId="77777777" w:rsidR="00870F5A" w:rsidRDefault="00870F5A" w:rsidP="00870F5A">
      <w:pPr>
        <w:pStyle w:val="ListParagraph"/>
        <w:numPr>
          <w:ilvl w:val="0"/>
          <w:numId w:val="18"/>
        </w:numPr>
        <w:rPr>
          <w:rFonts w:eastAsiaTheme="majorEastAsia"/>
          <w:lang w:val="en-GB"/>
        </w:rPr>
      </w:pPr>
      <w:r>
        <w:rPr>
          <w:rFonts w:eastAsiaTheme="majorEastAsia"/>
          <w:lang w:val="en-GB"/>
        </w:rPr>
        <w:t xml:space="preserve">Access to tracking information associated with certificate exchange; </w:t>
      </w:r>
    </w:p>
    <w:p w14:paraId="7D0166A3" w14:textId="77777777" w:rsidR="00870F5A" w:rsidRDefault="00870F5A" w:rsidP="00870F5A">
      <w:pPr>
        <w:pStyle w:val="ListParagraph"/>
        <w:numPr>
          <w:ilvl w:val="0"/>
          <w:numId w:val="18"/>
        </w:numPr>
        <w:rPr>
          <w:rFonts w:eastAsiaTheme="majorEastAsia"/>
          <w:lang w:val="en-GB"/>
        </w:rPr>
      </w:pPr>
      <w:r>
        <w:rPr>
          <w:rFonts w:eastAsiaTheme="majorEastAsia"/>
          <w:lang w:val="en-GB"/>
        </w:rPr>
        <w:t>Establishment of a simple process for legal arrangements between countries and the IPPC for operation of the system;</w:t>
      </w:r>
    </w:p>
    <w:p w14:paraId="39CB7965" w14:textId="77777777" w:rsidR="00870F5A" w:rsidRDefault="00870F5A" w:rsidP="00870F5A">
      <w:pPr>
        <w:pStyle w:val="ListParagraph"/>
        <w:numPr>
          <w:ilvl w:val="0"/>
          <w:numId w:val="18"/>
        </w:numPr>
        <w:rPr>
          <w:rFonts w:eastAsiaTheme="majorEastAsia"/>
          <w:lang w:val="en-GB"/>
        </w:rPr>
      </w:pPr>
      <w:r>
        <w:rPr>
          <w:rFonts w:eastAsiaTheme="majorEastAsia"/>
          <w:lang w:val="en-GB"/>
        </w:rPr>
        <w:t>The development of approach to address the operational costs of the Solution should await the outcome of the pilot.</w:t>
      </w:r>
    </w:p>
    <w:p w14:paraId="4DFCED09" w14:textId="77777777" w:rsidR="00870F5A" w:rsidRPr="00870F5A" w:rsidRDefault="00870F5A" w:rsidP="00870F5A">
      <w:pPr>
        <w:rPr>
          <w:rFonts w:eastAsiaTheme="majorEastAsia"/>
          <w:lang w:val="en-GB"/>
        </w:rPr>
      </w:pPr>
      <w:r>
        <w:rPr>
          <w:rFonts w:eastAsiaTheme="majorEastAsia"/>
          <w:lang w:val="en-GB"/>
        </w:rPr>
        <w:t xml:space="preserve">The IAG agreed to meet again closer to the initiation of the </w:t>
      </w:r>
      <w:proofErr w:type="gramStart"/>
      <w:r>
        <w:rPr>
          <w:rFonts w:eastAsiaTheme="majorEastAsia"/>
          <w:lang w:val="en-GB"/>
        </w:rPr>
        <w:t>pilot,</w:t>
      </w:r>
      <w:proofErr w:type="gramEnd"/>
      <w:r>
        <w:rPr>
          <w:rFonts w:eastAsiaTheme="majorEastAsia"/>
          <w:lang w:val="en-GB"/>
        </w:rPr>
        <w:t xml:space="preserve"> in particular, the meeting should focus on determining the role for industry in the operation of the pilot. </w:t>
      </w:r>
    </w:p>
    <w:p w14:paraId="7B1E47D6" w14:textId="77777777" w:rsidR="005D16CC" w:rsidRPr="005D16CC" w:rsidRDefault="005D16CC" w:rsidP="005D16CC">
      <w:pPr>
        <w:rPr>
          <w:rFonts w:eastAsiaTheme="majorEastAsia" w:cstheme="majorBidi"/>
          <w:b/>
          <w:bCs/>
          <w:color w:val="365F91" w:themeColor="accent1" w:themeShade="BF"/>
          <w:szCs w:val="28"/>
          <w:lang w:val="en-GB"/>
        </w:rPr>
      </w:pPr>
      <w:r w:rsidRPr="005D16CC">
        <w:rPr>
          <w:rFonts w:eastAsiaTheme="majorEastAsia" w:cstheme="majorBidi"/>
          <w:b/>
          <w:bCs/>
          <w:color w:val="365F91" w:themeColor="accent1" w:themeShade="BF"/>
          <w:szCs w:val="28"/>
          <w:lang w:val="en-GB"/>
        </w:rPr>
        <w:t>4.        Harmonisation of codes and mapping - Christian/Walter/Nico</w:t>
      </w:r>
    </w:p>
    <w:p w14:paraId="53B6C737" w14:textId="77777777" w:rsidR="00D90727" w:rsidRDefault="00870F5A" w:rsidP="00870F5A">
      <w:pPr>
        <w:rPr>
          <w:rFonts w:eastAsiaTheme="majorEastAsia"/>
          <w:lang w:val="en-GB"/>
        </w:rPr>
      </w:pPr>
      <w:r>
        <w:rPr>
          <w:rFonts w:eastAsiaTheme="majorEastAsia"/>
          <w:lang w:val="en-GB"/>
        </w:rPr>
        <w:t xml:space="preserve">The Secretariat noted that </w:t>
      </w:r>
      <w:proofErr w:type="spellStart"/>
      <w:r>
        <w:rPr>
          <w:rFonts w:eastAsiaTheme="majorEastAsia"/>
          <w:lang w:val="en-GB"/>
        </w:rPr>
        <w:t>Mssrs</w:t>
      </w:r>
      <w:proofErr w:type="spellEnd"/>
      <w:r>
        <w:rPr>
          <w:rFonts w:eastAsiaTheme="majorEastAsia"/>
          <w:lang w:val="en-GB"/>
        </w:rPr>
        <w:t xml:space="preserve">. Dellis and Alessandrini had developed a document outlining the harmonization and coding elements required for the </w:t>
      </w:r>
      <w:proofErr w:type="spellStart"/>
      <w:r>
        <w:rPr>
          <w:rFonts w:eastAsiaTheme="majorEastAsia"/>
          <w:lang w:val="en-GB"/>
        </w:rPr>
        <w:t>GeNS</w:t>
      </w:r>
      <w:proofErr w:type="spellEnd"/>
      <w:r>
        <w:rPr>
          <w:rFonts w:eastAsiaTheme="majorEastAsia"/>
          <w:lang w:val="en-GB"/>
        </w:rPr>
        <w:t xml:space="preserve"> and that the members should review the document and provide comments</w:t>
      </w:r>
      <w:r w:rsidR="00D90727">
        <w:rPr>
          <w:rFonts w:eastAsiaTheme="majorEastAsia"/>
          <w:lang w:val="en-GB"/>
        </w:rPr>
        <w:t>,</w:t>
      </w:r>
      <w:r>
        <w:rPr>
          <w:rFonts w:eastAsiaTheme="majorEastAsia"/>
          <w:lang w:val="en-GB"/>
        </w:rPr>
        <w:t xml:space="preserve"> so that it </w:t>
      </w:r>
      <w:r w:rsidR="00D90727">
        <w:rPr>
          <w:rFonts w:eastAsiaTheme="majorEastAsia"/>
          <w:lang w:val="en-GB"/>
        </w:rPr>
        <w:t>may</w:t>
      </w:r>
      <w:r>
        <w:rPr>
          <w:rFonts w:eastAsiaTheme="majorEastAsia"/>
          <w:lang w:val="en-GB"/>
        </w:rPr>
        <w:t xml:space="preserve"> be finalized before development. The group agreed that with holidays that comments should be provided by early January. </w:t>
      </w:r>
    </w:p>
    <w:p w14:paraId="2605672B" w14:textId="77777777" w:rsidR="00D90727" w:rsidRPr="00D90727" w:rsidRDefault="00D90727" w:rsidP="00D90727">
      <w:pPr>
        <w:rPr>
          <w:rFonts w:eastAsiaTheme="majorEastAsia"/>
          <w:lang w:val="en-GB"/>
        </w:rPr>
      </w:pPr>
      <w:r>
        <w:rPr>
          <w:rFonts w:eastAsiaTheme="majorEastAsia"/>
          <w:lang w:val="en-GB"/>
        </w:rPr>
        <w:t xml:space="preserve">Mr. Horn noted that he had met with the IPPC Technical Panel for the Glossary (TPG). He noted that the Panel had confirmed that the discussion on defining </w:t>
      </w:r>
      <w:r w:rsidRPr="00D90727">
        <w:rPr>
          <w:rFonts w:eastAsiaTheme="majorEastAsia"/>
          <w:lang w:val="en-GB"/>
        </w:rPr>
        <w:t xml:space="preserve">commodities and commodity classes </w:t>
      </w:r>
      <w:r>
        <w:rPr>
          <w:rFonts w:eastAsiaTheme="majorEastAsia"/>
          <w:lang w:val="en-GB"/>
        </w:rPr>
        <w:t xml:space="preserve">was the role of the TPG. </w:t>
      </w:r>
      <w:r w:rsidRPr="00D90727">
        <w:rPr>
          <w:rFonts w:eastAsiaTheme="majorEastAsia"/>
          <w:lang w:val="en-GB"/>
        </w:rPr>
        <w:t xml:space="preserve">The TPG </w:t>
      </w:r>
      <w:r>
        <w:rPr>
          <w:rFonts w:eastAsiaTheme="majorEastAsia"/>
          <w:lang w:val="en-GB"/>
        </w:rPr>
        <w:t xml:space="preserve">also indicated that the Harmonized </w:t>
      </w:r>
      <w:r w:rsidRPr="00D90727">
        <w:rPr>
          <w:rFonts w:eastAsiaTheme="majorEastAsia"/>
          <w:lang w:val="en-GB"/>
        </w:rPr>
        <w:t>Custom codes are not sufficient for phytosanitary purposes</w:t>
      </w:r>
      <w:r>
        <w:rPr>
          <w:rFonts w:eastAsiaTheme="majorEastAsia"/>
          <w:lang w:val="en-GB"/>
        </w:rPr>
        <w:t>.  They agreed that defining products on the basis of the plant part and then the condition of the part was appropriate, but that flexibility should be maintained. They also suggested considering the intended</w:t>
      </w:r>
      <w:r w:rsidRPr="00D90727">
        <w:rPr>
          <w:rFonts w:eastAsiaTheme="majorEastAsia"/>
          <w:lang w:val="en-GB"/>
        </w:rPr>
        <w:t xml:space="preserve"> use </w:t>
      </w:r>
      <w:r>
        <w:rPr>
          <w:rFonts w:eastAsiaTheme="majorEastAsia"/>
          <w:lang w:val="en-GB"/>
        </w:rPr>
        <w:t>of the commodity.</w:t>
      </w:r>
    </w:p>
    <w:p w14:paraId="38539C76" w14:textId="301D69CA" w:rsidR="00D90727" w:rsidRPr="00D90727" w:rsidRDefault="00D90727" w:rsidP="00D90727">
      <w:pPr>
        <w:rPr>
          <w:rFonts w:eastAsiaTheme="majorEastAsia"/>
          <w:lang w:val="en-GB"/>
        </w:rPr>
      </w:pPr>
      <w:r>
        <w:rPr>
          <w:rFonts w:eastAsiaTheme="majorEastAsia"/>
          <w:lang w:val="en-GB"/>
        </w:rPr>
        <w:t xml:space="preserve">Mr. Horn noted that the TPG had suggested that the system should restrict the selection of terms to those defined (e.g. “grains” vs. “seeds”). </w:t>
      </w:r>
      <w:r w:rsidR="00412437">
        <w:rPr>
          <w:rFonts w:eastAsiaTheme="majorEastAsia"/>
          <w:lang w:val="en-GB"/>
        </w:rPr>
        <w:t>The UN</w:t>
      </w:r>
      <w:r w:rsidR="00C057D2">
        <w:rPr>
          <w:rFonts w:eastAsiaTheme="majorEastAsia"/>
          <w:lang w:val="en-GB"/>
        </w:rPr>
        <w:t>N</w:t>
      </w:r>
      <w:r w:rsidR="00412437">
        <w:rPr>
          <w:rFonts w:eastAsiaTheme="majorEastAsia"/>
          <w:lang w:val="en-GB"/>
        </w:rPr>
        <w:t xml:space="preserve">IC noted that the system could be structured in such way as to achieve these restrictions. </w:t>
      </w:r>
    </w:p>
    <w:p w14:paraId="7AA62B69" w14:textId="77777777" w:rsidR="00D90727" w:rsidRPr="005D16CC" w:rsidRDefault="00870F5A" w:rsidP="00870F5A">
      <w:pPr>
        <w:rPr>
          <w:rFonts w:eastAsiaTheme="majorEastAsia"/>
          <w:lang w:val="en-GB"/>
        </w:rPr>
      </w:pPr>
      <w:r>
        <w:rPr>
          <w:rFonts w:eastAsiaTheme="majorEastAsia"/>
          <w:lang w:val="en-GB"/>
        </w:rPr>
        <w:t xml:space="preserve">The UNICC noted that the harmonization </w:t>
      </w:r>
      <w:r w:rsidR="00D90727">
        <w:rPr>
          <w:rFonts w:eastAsiaTheme="majorEastAsia"/>
          <w:lang w:val="en-GB"/>
        </w:rPr>
        <w:t xml:space="preserve">elements are </w:t>
      </w:r>
      <w:r>
        <w:rPr>
          <w:rFonts w:eastAsiaTheme="majorEastAsia"/>
          <w:lang w:val="en-GB"/>
        </w:rPr>
        <w:t xml:space="preserve">not required until </w:t>
      </w:r>
      <w:r w:rsidR="00D90727">
        <w:rPr>
          <w:rFonts w:eastAsiaTheme="majorEastAsia"/>
          <w:lang w:val="en-GB"/>
        </w:rPr>
        <w:t xml:space="preserve">closer to </w:t>
      </w:r>
      <w:r>
        <w:rPr>
          <w:rFonts w:eastAsiaTheme="majorEastAsia"/>
          <w:lang w:val="en-GB"/>
        </w:rPr>
        <w:t xml:space="preserve">the build and as such these could be finalized in early </w:t>
      </w:r>
      <w:r w:rsidR="00412437">
        <w:rPr>
          <w:rFonts w:eastAsiaTheme="majorEastAsia"/>
          <w:lang w:val="en-GB"/>
        </w:rPr>
        <w:t xml:space="preserve">2017.The group proposed that the documents should be reviewed by </w:t>
      </w:r>
      <w:r w:rsidR="00240AC8">
        <w:rPr>
          <w:rFonts w:eastAsiaTheme="majorEastAsia"/>
          <w:lang w:val="en-GB"/>
        </w:rPr>
        <w:t xml:space="preserve">end of </w:t>
      </w:r>
      <w:r w:rsidR="00412437">
        <w:rPr>
          <w:rFonts w:eastAsiaTheme="majorEastAsia"/>
          <w:lang w:val="en-GB"/>
        </w:rPr>
        <w:t xml:space="preserve">January. </w:t>
      </w:r>
    </w:p>
    <w:p w14:paraId="53DC6576" w14:textId="73703B87" w:rsidR="005D16CC" w:rsidRPr="005D16CC" w:rsidRDefault="005D16CC" w:rsidP="005D16CC">
      <w:pPr>
        <w:rPr>
          <w:rFonts w:eastAsiaTheme="majorEastAsia" w:cstheme="majorBidi"/>
          <w:b/>
          <w:bCs/>
          <w:color w:val="365F91" w:themeColor="accent1" w:themeShade="BF"/>
          <w:szCs w:val="28"/>
          <w:lang w:val="en-GB"/>
        </w:rPr>
      </w:pPr>
      <w:r w:rsidRPr="005D16CC">
        <w:rPr>
          <w:rFonts w:eastAsiaTheme="majorEastAsia" w:cstheme="majorBidi"/>
          <w:b/>
          <w:bCs/>
          <w:color w:val="365F91" w:themeColor="accent1" w:themeShade="BF"/>
          <w:szCs w:val="28"/>
          <w:lang w:val="en-GB"/>
        </w:rPr>
        <w:t xml:space="preserve">5.        Security factsheet </w:t>
      </w:r>
    </w:p>
    <w:p w14:paraId="492D45B2" w14:textId="63D4AD51" w:rsidR="005D16CC" w:rsidRDefault="00412437" w:rsidP="00412437">
      <w:pPr>
        <w:rPr>
          <w:rFonts w:eastAsiaTheme="majorEastAsia"/>
          <w:lang w:val="en-GB"/>
        </w:rPr>
      </w:pPr>
      <w:r w:rsidRPr="00412437">
        <w:rPr>
          <w:rFonts w:eastAsiaTheme="majorEastAsia"/>
          <w:lang w:val="en-GB"/>
        </w:rPr>
        <w:t xml:space="preserve">The Secretariat noted that </w:t>
      </w:r>
      <w:r>
        <w:rPr>
          <w:rFonts w:eastAsiaTheme="majorEastAsia"/>
          <w:lang w:val="en-GB"/>
        </w:rPr>
        <w:t xml:space="preserve">there was confusion amongst NPPOs attending a workshop on electronic sanitary and phytosanitary certification held in Bangkok in October 2016. He noted that many NPPOs did not understand the concepts and were confused as to the extent of security required in electronic certification.  To assist in their understanding the </w:t>
      </w:r>
      <w:r>
        <w:rPr>
          <w:rFonts w:eastAsiaTheme="majorEastAsia"/>
          <w:lang w:val="en-GB"/>
        </w:rPr>
        <w:lastRenderedPageBreak/>
        <w:t>development of a technical guide would be welcome by many NPP</w:t>
      </w:r>
      <w:r w:rsidR="00C057D2">
        <w:rPr>
          <w:rFonts w:eastAsiaTheme="majorEastAsia"/>
          <w:lang w:val="en-GB"/>
        </w:rPr>
        <w:t>O</w:t>
      </w:r>
      <w:r>
        <w:rPr>
          <w:rFonts w:eastAsiaTheme="majorEastAsia"/>
          <w:lang w:val="en-GB"/>
        </w:rPr>
        <w:t xml:space="preserve">s unfamiliar with e-certification. </w:t>
      </w:r>
    </w:p>
    <w:p w14:paraId="68D791BB" w14:textId="77777777" w:rsidR="00412437" w:rsidRPr="00412437" w:rsidRDefault="00412437" w:rsidP="00412437">
      <w:pPr>
        <w:rPr>
          <w:rFonts w:eastAsiaTheme="majorEastAsia"/>
          <w:lang w:val="en-GB"/>
        </w:rPr>
      </w:pPr>
      <w:r>
        <w:rPr>
          <w:rFonts w:eastAsiaTheme="majorEastAsia"/>
          <w:lang w:val="en-GB"/>
        </w:rPr>
        <w:t xml:space="preserve">The members noted that the proposed document had been reviewed and that any further </w:t>
      </w:r>
      <w:r w:rsidR="00097B90">
        <w:rPr>
          <w:rFonts w:eastAsiaTheme="majorEastAsia"/>
          <w:lang w:val="en-GB"/>
        </w:rPr>
        <w:t xml:space="preserve">comments would be provided by close of business on Wednesday, 14 December 2016. </w:t>
      </w:r>
    </w:p>
    <w:p w14:paraId="30FEAB7F" w14:textId="33A89F62" w:rsidR="005D16CC" w:rsidRPr="005D16CC" w:rsidRDefault="005D16CC" w:rsidP="005D16CC">
      <w:pPr>
        <w:rPr>
          <w:rFonts w:eastAsiaTheme="majorEastAsia" w:cstheme="majorBidi"/>
          <w:b/>
          <w:bCs/>
          <w:color w:val="365F91" w:themeColor="accent1" w:themeShade="BF"/>
          <w:szCs w:val="28"/>
          <w:lang w:val="en-GB"/>
        </w:rPr>
      </w:pPr>
      <w:r w:rsidRPr="005D16CC">
        <w:rPr>
          <w:rFonts w:eastAsiaTheme="majorEastAsia" w:cstheme="majorBidi"/>
          <w:b/>
          <w:bCs/>
          <w:color w:val="365F91" w:themeColor="accent1" w:themeShade="BF"/>
          <w:szCs w:val="28"/>
          <w:lang w:val="en-GB"/>
        </w:rPr>
        <w:t xml:space="preserve">6.         </w:t>
      </w:r>
      <w:r w:rsidR="00097B90">
        <w:rPr>
          <w:rFonts w:eastAsiaTheme="majorEastAsia" w:cstheme="majorBidi"/>
          <w:b/>
          <w:bCs/>
          <w:color w:val="365F91" w:themeColor="accent1" w:themeShade="BF"/>
          <w:szCs w:val="28"/>
          <w:lang w:val="en-GB"/>
        </w:rPr>
        <w:t>KPIs for countries</w:t>
      </w:r>
      <w:r w:rsidR="00C057D2">
        <w:rPr>
          <w:rFonts w:eastAsiaTheme="majorEastAsia" w:cstheme="majorBidi"/>
          <w:b/>
          <w:bCs/>
          <w:color w:val="365F91" w:themeColor="accent1" w:themeShade="BF"/>
          <w:szCs w:val="28"/>
          <w:lang w:val="en-GB"/>
        </w:rPr>
        <w:t xml:space="preserve"> </w:t>
      </w:r>
    </w:p>
    <w:p w14:paraId="3505E494" w14:textId="77777777" w:rsidR="005D16CC" w:rsidRPr="00097B90" w:rsidRDefault="00097B90" w:rsidP="00097B90">
      <w:pPr>
        <w:rPr>
          <w:rFonts w:eastAsiaTheme="majorEastAsia"/>
          <w:lang w:val="en-GB"/>
        </w:rPr>
      </w:pPr>
      <w:r w:rsidRPr="00097B90">
        <w:rPr>
          <w:rFonts w:eastAsiaTheme="majorEastAsia"/>
          <w:lang w:val="en-GB"/>
        </w:rPr>
        <w:t>The</w:t>
      </w:r>
      <w:r>
        <w:rPr>
          <w:rFonts w:eastAsiaTheme="majorEastAsia"/>
          <w:lang w:val="en-GB"/>
        </w:rPr>
        <w:t xml:space="preserve"> Secretariat explained that although broad KPIs had been established to measure the success of the project, more detailed indicators should be identified to measure whether implementation of the Solution was achieving the stated benefits perceived by the PTC. To measure these benefits participating pilot countries would need to undertake an analysis of the current state now so that the impacts could be evaluated following implementation. The Secretariat agreed to draft a paper for review by the PTC.</w:t>
      </w:r>
    </w:p>
    <w:p w14:paraId="3E1ED982" w14:textId="77777777" w:rsidR="005D16CC" w:rsidRPr="005D16CC" w:rsidRDefault="005D16CC" w:rsidP="005D16CC">
      <w:pPr>
        <w:rPr>
          <w:rFonts w:eastAsiaTheme="majorEastAsia" w:cstheme="majorBidi"/>
          <w:b/>
          <w:bCs/>
          <w:color w:val="365F91" w:themeColor="accent1" w:themeShade="BF"/>
          <w:szCs w:val="28"/>
          <w:lang w:val="en-GB"/>
        </w:rPr>
      </w:pPr>
      <w:r w:rsidRPr="005D16CC">
        <w:rPr>
          <w:rFonts w:eastAsiaTheme="majorEastAsia" w:cstheme="majorBidi"/>
          <w:b/>
          <w:bCs/>
          <w:color w:val="365F91" w:themeColor="accent1" w:themeShade="BF"/>
          <w:szCs w:val="28"/>
          <w:lang w:val="en-GB"/>
        </w:rPr>
        <w:t>7.       Other issues</w:t>
      </w:r>
    </w:p>
    <w:p w14:paraId="408B1E9A" w14:textId="77777777" w:rsidR="007F7739" w:rsidRPr="000E1F81" w:rsidRDefault="00097B90" w:rsidP="007F7739">
      <w:pPr>
        <w:rPr>
          <w:lang w:val="en-GB"/>
        </w:rPr>
      </w:pPr>
      <w:r>
        <w:rPr>
          <w:lang w:val="en-GB"/>
        </w:rPr>
        <w:t>The group reviewed the need for a virtual meeting in January. They noted that many of the members would be taking holidays over the coming weeks and that the due dates for action items had been adjusted to take into account the holiday break. The group also noted that several members had already indicated that attending the proposed 8</w:t>
      </w:r>
      <w:r w:rsidRPr="00097B90">
        <w:rPr>
          <w:vertAlign w:val="superscript"/>
          <w:lang w:val="en-GB"/>
        </w:rPr>
        <w:t>th</w:t>
      </w:r>
      <w:r>
        <w:rPr>
          <w:lang w:val="en-GB"/>
        </w:rPr>
        <w:t xml:space="preserve"> January 2017 meeting was not feasible. The group suggested that meeting in early February should be sufficient.</w:t>
      </w:r>
    </w:p>
    <w:p w14:paraId="3421D3A3" w14:textId="77777777" w:rsidR="00C65431" w:rsidRPr="000E1F81" w:rsidRDefault="008C45E7" w:rsidP="00B35F8B">
      <w:pPr>
        <w:rPr>
          <w:b/>
          <w:lang w:val="en-GB"/>
        </w:rPr>
      </w:pPr>
      <w:r w:rsidRPr="000E1F81">
        <w:rPr>
          <w:b/>
          <w:lang w:val="en-GB"/>
        </w:rPr>
        <w:t>Action items</w:t>
      </w:r>
    </w:p>
    <w:p w14:paraId="10C0D7F4" w14:textId="77777777" w:rsidR="00C33B32" w:rsidRPr="000E1F81" w:rsidRDefault="00C33B32" w:rsidP="00B35F8B">
      <w:pPr>
        <w:rPr>
          <w:lang w:val="en-GB"/>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53"/>
        <w:gridCol w:w="3060"/>
        <w:gridCol w:w="1418"/>
      </w:tblGrid>
      <w:tr w:rsidR="001153B9" w:rsidRPr="000E1F81" w14:paraId="7C778690" w14:textId="77777777" w:rsidTr="00097B90">
        <w:trPr>
          <w:cantSplit/>
          <w:tblHeader/>
        </w:trPr>
        <w:tc>
          <w:tcPr>
            <w:tcW w:w="675" w:type="dxa"/>
          </w:tcPr>
          <w:p w14:paraId="512966E8" w14:textId="77777777" w:rsidR="001153B9" w:rsidRPr="000E1F81" w:rsidRDefault="001153B9" w:rsidP="00B35F8B">
            <w:pPr>
              <w:rPr>
                <w:b/>
                <w:lang w:val="en-GB"/>
              </w:rPr>
            </w:pPr>
          </w:p>
        </w:tc>
        <w:tc>
          <w:tcPr>
            <w:tcW w:w="4653" w:type="dxa"/>
            <w:shd w:val="clear" w:color="auto" w:fill="auto"/>
          </w:tcPr>
          <w:p w14:paraId="3C5DC61F" w14:textId="77777777" w:rsidR="001153B9" w:rsidRPr="000E1F81" w:rsidRDefault="001153B9" w:rsidP="00F228D2">
            <w:pPr>
              <w:jc w:val="center"/>
              <w:rPr>
                <w:b/>
                <w:lang w:val="en-GB"/>
              </w:rPr>
            </w:pPr>
            <w:r w:rsidRPr="000E1F81">
              <w:rPr>
                <w:b/>
                <w:lang w:val="en-GB"/>
              </w:rPr>
              <w:t>Action</w:t>
            </w:r>
          </w:p>
        </w:tc>
        <w:tc>
          <w:tcPr>
            <w:tcW w:w="3060" w:type="dxa"/>
            <w:shd w:val="clear" w:color="auto" w:fill="auto"/>
          </w:tcPr>
          <w:p w14:paraId="7486660E" w14:textId="77777777" w:rsidR="001153B9" w:rsidRPr="000E1F81" w:rsidRDefault="001153B9" w:rsidP="00F228D2">
            <w:pPr>
              <w:jc w:val="center"/>
              <w:rPr>
                <w:b/>
                <w:lang w:val="en-GB"/>
              </w:rPr>
            </w:pPr>
            <w:r w:rsidRPr="000E1F81">
              <w:rPr>
                <w:b/>
                <w:lang w:val="en-GB"/>
              </w:rPr>
              <w:t>Lead</w:t>
            </w:r>
          </w:p>
        </w:tc>
        <w:tc>
          <w:tcPr>
            <w:tcW w:w="1418" w:type="dxa"/>
            <w:shd w:val="clear" w:color="auto" w:fill="auto"/>
          </w:tcPr>
          <w:p w14:paraId="63061C46" w14:textId="77777777" w:rsidR="001153B9" w:rsidRPr="000E1F81" w:rsidRDefault="00F228D2" w:rsidP="00F228D2">
            <w:pPr>
              <w:jc w:val="center"/>
              <w:rPr>
                <w:b/>
                <w:lang w:val="en-GB"/>
              </w:rPr>
            </w:pPr>
            <w:r w:rsidRPr="000E1F81">
              <w:rPr>
                <w:b/>
                <w:lang w:val="en-GB"/>
              </w:rPr>
              <w:t>Due Date</w:t>
            </w:r>
          </w:p>
        </w:tc>
      </w:tr>
      <w:tr w:rsidR="001153B9" w:rsidRPr="000E1F81" w14:paraId="1279482D" w14:textId="77777777" w:rsidTr="00097B90">
        <w:trPr>
          <w:cantSplit/>
        </w:trPr>
        <w:tc>
          <w:tcPr>
            <w:tcW w:w="675" w:type="dxa"/>
          </w:tcPr>
          <w:p w14:paraId="10723A0D" w14:textId="77777777" w:rsidR="001153B9" w:rsidRPr="00E029D3" w:rsidRDefault="001153B9" w:rsidP="00E029D3">
            <w:pPr>
              <w:pStyle w:val="ListParagraph"/>
              <w:numPr>
                <w:ilvl w:val="0"/>
                <w:numId w:val="11"/>
              </w:numPr>
              <w:rPr>
                <w:lang w:val="en-GB"/>
              </w:rPr>
            </w:pPr>
          </w:p>
        </w:tc>
        <w:tc>
          <w:tcPr>
            <w:tcW w:w="4653" w:type="dxa"/>
            <w:shd w:val="clear" w:color="auto" w:fill="auto"/>
          </w:tcPr>
          <w:p w14:paraId="0929C264" w14:textId="77777777" w:rsidR="001153B9" w:rsidRPr="000E1F81" w:rsidRDefault="00240AC8" w:rsidP="00675C3C">
            <w:pPr>
              <w:rPr>
                <w:lang w:val="en-GB"/>
              </w:rPr>
            </w:pPr>
            <w:r>
              <w:rPr>
                <w:lang w:val="en-GB"/>
              </w:rPr>
              <w:t>Draft service agreement to commence ePhyto Solution build and circulate to IPPC Secretariat</w:t>
            </w:r>
          </w:p>
        </w:tc>
        <w:tc>
          <w:tcPr>
            <w:tcW w:w="3060" w:type="dxa"/>
            <w:shd w:val="clear" w:color="auto" w:fill="auto"/>
          </w:tcPr>
          <w:p w14:paraId="22133C9D" w14:textId="77777777" w:rsidR="001153B9" w:rsidRPr="000E1F81" w:rsidRDefault="00240AC8" w:rsidP="00B35F8B">
            <w:pPr>
              <w:rPr>
                <w:lang w:val="en-GB"/>
              </w:rPr>
            </w:pPr>
            <w:proofErr w:type="spellStart"/>
            <w:r w:rsidRPr="00240AC8">
              <w:rPr>
                <w:lang w:val="en-GB"/>
              </w:rPr>
              <w:t>Venkateswaran</w:t>
            </w:r>
            <w:proofErr w:type="spellEnd"/>
          </w:p>
        </w:tc>
        <w:tc>
          <w:tcPr>
            <w:tcW w:w="1418" w:type="dxa"/>
            <w:shd w:val="clear" w:color="auto" w:fill="auto"/>
          </w:tcPr>
          <w:p w14:paraId="5709150C" w14:textId="77777777" w:rsidR="001153B9" w:rsidRPr="000E1F81" w:rsidRDefault="00240AC8" w:rsidP="00240AC8">
            <w:pPr>
              <w:rPr>
                <w:lang w:val="en-GB"/>
              </w:rPr>
            </w:pPr>
            <w:r>
              <w:rPr>
                <w:lang w:val="en-GB"/>
              </w:rPr>
              <w:t xml:space="preserve">30 January 2017 </w:t>
            </w:r>
          </w:p>
        </w:tc>
      </w:tr>
      <w:tr w:rsidR="00B90F02" w:rsidRPr="000E1F81" w14:paraId="0CC7B902" w14:textId="77777777" w:rsidTr="00097B90">
        <w:trPr>
          <w:cantSplit/>
        </w:trPr>
        <w:tc>
          <w:tcPr>
            <w:tcW w:w="675" w:type="dxa"/>
          </w:tcPr>
          <w:p w14:paraId="51D29F84" w14:textId="77777777" w:rsidR="00B90F02" w:rsidRPr="00E029D3" w:rsidRDefault="00B90F02" w:rsidP="00E029D3">
            <w:pPr>
              <w:pStyle w:val="ListParagraph"/>
              <w:numPr>
                <w:ilvl w:val="0"/>
                <w:numId w:val="11"/>
              </w:numPr>
              <w:rPr>
                <w:lang w:val="en-GB"/>
              </w:rPr>
            </w:pPr>
          </w:p>
        </w:tc>
        <w:tc>
          <w:tcPr>
            <w:tcW w:w="4653" w:type="dxa"/>
            <w:shd w:val="clear" w:color="auto" w:fill="auto"/>
          </w:tcPr>
          <w:p w14:paraId="183E7B80" w14:textId="43870B9C" w:rsidR="00B90F02" w:rsidRDefault="00240AC8" w:rsidP="00240AC8">
            <w:pPr>
              <w:rPr>
                <w:lang w:val="en-GB"/>
              </w:rPr>
            </w:pPr>
            <w:r>
              <w:rPr>
                <w:lang w:val="en-GB"/>
              </w:rPr>
              <w:t xml:space="preserve">Comments on hub requirements </w:t>
            </w:r>
            <w:r w:rsidR="001013E1">
              <w:rPr>
                <w:lang w:val="en-GB"/>
              </w:rPr>
              <w:t xml:space="preserve">v2.0 </w:t>
            </w:r>
            <w:r>
              <w:rPr>
                <w:lang w:val="en-GB"/>
              </w:rPr>
              <w:t>from PTC to Secretariat</w:t>
            </w:r>
          </w:p>
        </w:tc>
        <w:tc>
          <w:tcPr>
            <w:tcW w:w="3060" w:type="dxa"/>
            <w:shd w:val="clear" w:color="auto" w:fill="auto"/>
          </w:tcPr>
          <w:p w14:paraId="30148A3C" w14:textId="77777777" w:rsidR="00B90F02" w:rsidRDefault="00240AC8">
            <w:pPr>
              <w:rPr>
                <w:lang w:val="en-GB"/>
              </w:rPr>
            </w:pPr>
            <w:r>
              <w:rPr>
                <w:lang w:val="en-GB"/>
              </w:rPr>
              <w:t>PTC members</w:t>
            </w:r>
          </w:p>
        </w:tc>
        <w:tc>
          <w:tcPr>
            <w:tcW w:w="1418" w:type="dxa"/>
            <w:shd w:val="clear" w:color="auto" w:fill="auto"/>
          </w:tcPr>
          <w:p w14:paraId="1F07E422" w14:textId="77777777" w:rsidR="00B90F02" w:rsidRDefault="00240AC8">
            <w:pPr>
              <w:rPr>
                <w:lang w:val="en-GB"/>
              </w:rPr>
            </w:pPr>
            <w:r>
              <w:rPr>
                <w:lang w:val="en-GB"/>
              </w:rPr>
              <w:t>13 January, 2017</w:t>
            </w:r>
          </w:p>
        </w:tc>
      </w:tr>
      <w:tr w:rsidR="00B90F02" w:rsidRPr="000E1F81" w14:paraId="47DA6CD6" w14:textId="77777777" w:rsidTr="00097B90">
        <w:trPr>
          <w:cantSplit/>
        </w:trPr>
        <w:tc>
          <w:tcPr>
            <w:tcW w:w="675" w:type="dxa"/>
          </w:tcPr>
          <w:p w14:paraId="65112E3B" w14:textId="77777777" w:rsidR="00B90F02" w:rsidRPr="00E029D3" w:rsidRDefault="00B90F02" w:rsidP="00E029D3">
            <w:pPr>
              <w:pStyle w:val="ListParagraph"/>
              <w:numPr>
                <w:ilvl w:val="0"/>
                <w:numId w:val="11"/>
              </w:numPr>
              <w:rPr>
                <w:lang w:val="en-GB"/>
              </w:rPr>
            </w:pPr>
          </w:p>
        </w:tc>
        <w:tc>
          <w:tcPr>
            <w:tcW w:w="4653" w:type="dxa"/>
            <w:shd w:val="clear" w:color="auto" w:fill="auto"/>
          </w:tcPr>
          <w:p w14:paraId="5F278997" w14:textId="77777777" w:rsidR="00B90F02" w:rsidRDefault="00240AC8">
            <w:pPr>
              <w:rPr>
                <w:lang w:val="en-GB"/>
              </w:rPr>
            </w:pPr>
            <w:proofErr w:type="spellStart"/>
            <w:r>
              <w:rPr>
                <w:lang w:val="en-GB"/>
              </w:rPr>
              <w:t>GeNS</w:t>
            </w:r>
            <w:proofErr w:type="spellEnd"/>
            <w:r>
              <w:rPr>
                <w:lang w:val="en-GB"/>
              </w:rPr>
              <w:t xml:space="preserve"> requirements document and WSDL description to Secretariat</w:t>
            </w:r>
          </w:p>
        </w:tc>
        <w:tc>
          <w:tcPr>
            <w:tcW w:w="3060" w:type="dxa"/>
            <w:shd w:val="clear" w:color="auto" w:fill="auto"/>
          </w:tcPr>
          <w:p w14:paraId="0AD63EE0" w14:textId="77777777" w:rsidR="00B90F02" w:rsidRDefault="00240AC8">
            <w:pPr>
              <w:rPr>
                <w:lang w:val="en-GB"/>
              </w:rPr>
            </w:pPr>
            <w:r>
              <w:rPr>
                <w:lang w:val="en-GB"/>
              </w:rPr>
              <w:t>Rai</w:t>
            </w:r>
          </w:p>
        </w:tc>
        <w:tc>
          <w:tcPr>
            <w:tcW w:w="1418" w:type="dxa"/>
            <w:shd w:val="clear" w:color="auto" w:fill="auto"/>
          </w:tcPr>
          <w:p w14:paraId="5836C2C2" w14:textId="77777777" w:rsidR="00B90F02" w:rsidRDefault="00240AC8">
            <w:pPr>
              <w:rPr>
                <w:lang w:val="en-GB"/>
              </w:rPr>
            </w:pPr>
            <w:r>
              <w:rPr>
                <w:lang w:val="en-GB"/>
              </w:rPr>
              <w:t>15 December 2016</w:t>
            </w:r>
          </w:p>
        </w:tc>
      </w:tr>
      <w:tr w:rsidR="00B90F02" w:rsidRPr="000E1F81" w14:paraId="7C7EE6DA" w14:textId="77777777" w:rsidTr="00097B90">
        <w:trPr>
          <w:cantSplit/>
        </w:trPr>
        <w:tc>
          <w:tcPr>
            <w:tcW w:w="675" w:type="dxa"/>
          </w:tcPr>
          <w:p w14:paraId="218E17D9" w14:textId="77777777" w:rsidR="00B90F02" w:rsidRPr="00E029D3" w:rsidRDefault="00B90F02" w:rsidP="00E029D3">
            <w:pPr>
              <w:pStyle w:val="ListParagraph"/>
              <w:numPr>
                <w:ilvl w:val="0"/>
                <w:numId w:val="11"/>
              </w:numPr>
              <w:rPr>
                <w:lang w:val="en-GB"/>
              </w:rPr>
            </w:pPr>
          </w:p>
        </w:tc>
        <w:tc>
          <w:tcPr>
            <w:tcW w:w="4653" w:type="dxa"/>
            <w:shd w:val="clear" w:color="auto" w:fill="auto"/>
          </w:tcPr>
          <w:p w14:paraId="6335ABF5" w14:textId="77777777" w:rsidR="00B90F02" w:rsidRDefault="00240AC8" w:rsidP="00240AC8">
            <w:pPr>
              <w:rPr>
                <w:lang w:val="en-GB"/>
              </w:rPr>
            </w:pPr>
            <w:r w:rsidRPr="00240AC8">
              <w:rPr>
                <w:lang w:val="en-GB"/>
              </w:rPr>
              <w:t xml:space="preserve">Comments on </w:t>
            </w:r>
            <w:proofErr w:type="spellStart"/>
            <w:r w:rsidRPr="00240AC8">
              <w:rPr>
                <w:lang w:val="en-GB"/>
              </w:rPr>
              <w:t>GeNS</w:t>
            </w:r>
            <w:proofErr w:type="spellEnd"/>
            <w:r w:rsidRPr="00240AC8">
              <w:rPr>
                <w:lang w:val="en-GB"/>
              </w:rPr>
              <w:t xml:space="preserve"> requirement</w:t>
            </w:r>
            <w:r>
              <w:rPr>
                <w:lang w:val="en-GB"/>
              </w:rPr>
              <w:t>s</w:t>
            </w:r>
            <w:r w:rsidRPr="00240AC8">
              <w:rPr>
                <w:lang w:val="en-GB"/>
              </w:rPr>
              <w:t xml:space="preserve"> document and WSDL description</w:t>
            </w:r>
            <w:r>
              <w:rPr>
                <w:lang w:val="en-GB"/>
              </w:rPr>
              <w:t xml:space="preserve"> from PTC to Secretariat </w:t>
            </w:r>
            <w:r w:rsidRPr="00240AC8">
              <w:rPr>
                <w:lang w:val="en-GB"/>
              </w:rPr>
              <w:t xml:space="preserve"> </w:t>
            </w:r>
          </w:p>
        </w:tc>
        <w:tc>
          <w:tcPr>
            <w:tcW w:w="3060" w:type="dxa"/>
            <w:shd w:val="clear" w:color="auto" w:fill="auto"/>
          </w:tcPr>
          <w:p w14:paraId="1D12C4D3" w14:textId="77777777" w:rsidR="00B90F02" w:rsidRDefault="00240AC8" w:rsidP="00240AC8">
            <w:pPr>
              <w:rPr>
                <w:lang w:val="en-GB"/>
              </w:rPr>
            </w:pPr>
            <w:r>
              <w:rPr>
                <w:lang w:val="en-GB"/>
              </w:rPr>
              <w:t>PTC members</w:t>
            </w:r>
          </w:p>
        </w:tc>
        <w:tc>
          <w:tcPr>
            <w:tcW w:w="1418" w:type="dxa"/>
            <w:shd w:val="clear" w:color="auto" w:fill="auto"/>
          </w:tcPr>
          <w:p w14:paraId="74159EED" w14:textId="3511C132" w:rsidR="00B90F02" w:rsidRDefault="009C5698" w:rsidP="003A4CB5">
            <w:pPr>
              <w:rPr>
                <w:lang w:val="en-GB"/>
              </w:rPr>
            </w:pPr>
            <w:r>
              <w:rPr>
                <w:lang w:val="en-GB"/>
              </w:rPr>
              <w:t>27</w:t>
            </w:r>
            <w:bookmarkStart w:id="1" w:name="_GoBack"/>
            <w:bookmarkEnd w:id="1"/>
            <w:r w:rsidR="00240AC8">
              <w:rPr>
                <w:lang w:val="en-GB"/>
              </w:rPr>
              <w:t xml:space="preserve"> January, 2017</w:t>
            </w:r>
          </w:p>
        </w:tc>
      </w:tr>
      <w:tr w:rsidR="00B90F02" w:rsidRPr="000E1F81" w14:paraId="27CE8C3E" w14:textId="77777777" w:rsidTr="00097B90">
        <w:trPr>
          <w:cantSplit/>
        </w:trPr>
        <w:tc>
          <w:tcPr>
            <w:tcW w:w="675" w:type="dxa"/>
          </w:tcPr>
          <w:p w14:paraId="2B6B23AC" w14:textId="77777777" w:rsidR="00B90F02" w:rsidRPr="00E029D3" w:rsidRDefault="00B90F02" w:rsidP="00E029D3">
            <w:pPr>
              <w:pStyle w:val="ListParagraph"/>
              <w:numPr>
                <w:ilvl w:val="0"/>
                <w:numId w:val="11"/>
              </w:numPr>
              <w:rPr>
                <w:lang w:val="en-GB"/>
              </w:rPr>
            </w:pPr>
          </w:p>
        </w:tc>
        <w:tc>
          <w:tcPr>
            <w:tcW w:w="4653" w:type="dxa"/>
            <w:shd w:val="clear" w:color="auto" w:fill="auto"/>
          </w:tcPr>
          <w:p w14:paraId="4844354E" w14:textId="77777777" w:rsidR="00B90F02" w:rsidRDefault="00240AC8">
            <w:pPr>
              <w:pStyle w:val="ListNumber"/>
              <w:numPr>
                <w:ilvl w:val="0"/>
                <w:numId w:val="0"/>
              </w:numPr>
              <w:tabs>
                <w:tab w:val="left" w:pos="720"/>
              </w:tabs>
              <w:rPr>
                <w:lang w:val="en-US"/>
              </w:rPr>
            </w:pPr>
            <w:r>
              <w:rPr>
                <w:lang w:val="en-US"/>
              </w:rPr>
              <w:t xml:space="preserve">Finalize hub and </w:t>
            </w:r>
            <w:proofErr w:type="spellStart"/>
            <w:r w:rsidRPr="00240AC8">
              <w:rPr>
                <w:lang w:val="en-US"/>
              </w:rPr>
              <w:t>GeNS</w:t>
            </w:r>
            <w:proofErr w:type="spellEnd"/>
            <w:r w:rsidRPr="00240AC8">
              <w:rPr>
                <w:lang w:val="en-US"/>
              </w:rPr>
              <w:t xml:space="preserve"> requirement</w:t>
            </w:r>
            <w:r>
              <w:rPr>
                <w:lang w:val="en-US"/>
              </w:rPr>
              <w:t>s</w:t>
            </w:r>
            <w:r w:rsidRPr="00240AC8">
              <w:rPr>
                <w:lang w:val="en-US"/>
              </w:rPr>
              <w:t xml:space="preserve"> document and WSDL description</w:t>
            </w:r>
            <w:r>
              <w:rPr>
                <w:lang w:val="en-US"/>
              </w:rPr>
              <w:t xml:space="preserve"> and return to UNICC</w:t>
            </w:r>
          </w:p>
        </w:tc>
        <w:tc>
          <w:tcPr>
            <w:tcW w:w="3060" w:type="dxa"/>
            <w:shd w:val="clear" w:color="auto" w:fill="auto"/>
          </w:tcPr>
          <w:p w14:paraId="7BBDD789" w14:textId="77777777" w:rsidR="00B90F02" w:rsidRPr="00240AC8" w:rsidRDefault="00240AC8">
            <w:pPr>
              <w:rPr>
                <w:lang w:val="en-US"/>
              </w:rPr>
            </w:pPr>
            <w:r>
              <w:rPr>
                <w:lang w:val="en-US"/>
              </w:rPr>
              <w:t>Sela</w:t>
            </w:r>
          </w:p>
        </w:tc>
        <w:tc>
          <w:tcPr>
            <w:tcW w:w="1418" w:type="dxa"/>
            <w:shd w:val="clear" w:color="auto" w:fill="auto"/>
          </w:tcPr>
          <w:p w14:paraId="3D0299AE" w14:textId="77777777" w:rsidR="00B90F02" w:rsidRDefault="00240AC8">
            <w:pPr>
              <w:rPr>
                <w:lang w:val="en-GB"/>
              </w:rPr>
            </w:pPr>
            <w:r>
              <w:rPr>
                <w:lang w:val="en-GB"/>
              </w:rPr>
              <w:t>20 January 2017</w:t>
            </w:r>
          </w:p>
        </w:tc>
      </w:tr>
      <w:tr w:rsidR="00B90F02" w:rsidRPr="000E1F81" w14:paraId="07357252" w14:textId="77777777" w:rsidTr="00097B90">
        <w:trPr>
          <w:cantSplit/>
        </w:trPr>
        <w:tc>
          <w:tcPr>
            <w:tcW w:w="675" w:type="dxa"/>
          </w:tcPr>
          <w:p w14:paraId="39E6ECCF" w14:textId="77777777" w:rsidR="00B90F02" w:rsidRPr="00E029D3" w:rsidRDefault="00B90F02" w:rsidP="00E029D3">
            <w:pPr>
              <w:pStyle w:val="ListParagraph"/>
              <w:numPr>
                <w:ilvl w:val="0"/>
                <w:numId w:val="11"/>
              </w:numPr>
              <w:rPr>
                <w:lang w:val="en-GB"/>
              </w:rPr>
            </w:pPr>
          </w:p>
        </w:tc>
        <w:tc>
          <w:tcPr>
            <w:tcW w:w="4653" w:type="dxa"/>
            <w:shd w:val="clear" w:color="auto" w:fill="auto"/>
          </w:tcPr>
          <w:p w14:paraId="6B178335" w14:textId="77777777" w:rsidR="00B90F02" w:rsidRDefault="00240AC8" w:rsidP="00B90F02">
            <w:pPr>
              <w:rPr>
                <w:lang w:val="en-GB"/>
              </w:rPr>
            </w:pPr>
            <w:r>
              <w:rPr>
                <w:lang w:val="en-GB"/>
              </w:rPr>
              <w:t>Comments on harmonization document from PTC to Dellis</w:t>
            </w:r>
          </w:p>
        </w:tc>
        <w:tc>
          <w:tcPr>
            <w:tcW w:w="3060" w:type="dxa"/>
            <w:shd w:val="clear" w:color="auto" w:fill="auto"/>
          </w:tcPr>
          <w:p w14:paraId="0011896F" w14:textId="77777777" w:rsidR="00B90F02" w:rsidRDefault="00240AC8" w:rsidP="003A4CB5">
            <w:pPr>
              <w:rPr>
                <w:lang w:val="en-GB"/>
              </w:rPr>
            </w:pPr>
            <w:r>
              <w:rPr>
                <w:lang w:val="en-GB"/>
              </w:rPr>
              <w:t>PTC Members</w:t>
            </w:r>
          </w:p>
        </w:tc>
        <w:tc>
          <w:tcPr>
            <w:tcW w:w="1418" w:type="dxa"/>
            <w:shd w:val="clear" w:color="auto" w:fill="auto"/>
          </w:tcPr>
          <w:p w14:paraId="3BD2207F" w14:textId="052D596F" w:rsidR="00B90F02" w:rsidRDefault="00240AC8" w:rsidP="00240AC8">
            <w:pPr>
              <w:rPr>
                <w:lang w:val="en-GB"/>
              </w:rPr>
            </w:pPr>
            <w:r>
              <w:rPr>
                <w:lang w:val="en-GB"/>
              </w:rPr>
              <w:t>27 January 2017</w:t>
            </w:r>
          </w:p>
        </w:tc>
      </w:tr>
      <w:tr w:rsidR="00240AC8" w:rsidRPr="000E1F81" w14:paraId="42215F29" w14:textId="77777777" w:rsidTr="00097B90">
        <w:trPr>
          <w:cantSplit/>
        </w:trPr>
        <w:tc>
          <w:tcPr>
            <w:tcW w:w="675" w:type="dxa"/>
          </w:tcPr>
          <w:p w14:paraId="286F6E29" w14:textId="77777777" w:rsidR="00240AC8" w:rsidRPr="00E029D3" w:rsidRDefault="00240AC8" w:rsidP="00E029D3">
            <w:pPr>
              <w:pStyle w:val="ListParagraph"/>
              <w:numPr>
                <w:ilvl w:val="0"/>
                <w:numId w:val="11"/>
              </w:numPr>
              <w:rPr>
                <w:lang w:val="en-GB"/>
              </w:rPr>
            </w:pPr>
          </w:p>
        </w:tc>
        <w:tc>
          <w:tcPr>
            <w:tcW w:w="4653" w:type="dxa"/>
            <w:shd w:val="clear" w:color="auto" w:fill="auto"/>
          </w:tcPr>
          <w:p w14:paraId="55E1E17A" w14:textId="77777777" w:rsidR="00240AC8" w:rsidRDefault="00240AC8" w:rsidP="00B90F02">
            <w:pPr>
              <w:rPr>
                <w:lang w:val="en-GB"/>
              </w:rPr>
            </w:pPr>
            <w:r>
              <w:rPr>
                <w:lang w:val="en-GB"/>
              </w:rPr>
              <w:t>Comments on product descriptions document from PTC to Horn</w:t>
            </w:r>
          </w:p>
        </w:tc>
        <w:tc>
          <w:tcPr>
            <w:tcW w:w="3060" w:type="dxa"/>
            <w:shd w:val="clear" w:color="auto" w:fill="auto"/>
          </w:tcPr>
          <w:p w14:paraId="5593E334" w14:textId="77777777" w:rsidR="00240AC8" w:rsidRDefault="00240AC8" w:rsidP="003A4CB5">
            <w:pPr>
              <w:rPr>
                <w:lang w:val="en-GB"/>
              </w:rPr>
            </w:pPr>
            <w:r w:rsidRPr="00240AC8">
              <w:rPr>
                <w:lang w:val="en-GB"/>
              </w:rPr>
              <w:t>PTC Members</w:t>
            </w:r>
          </w:p>
        </w:tc>
        <w:tc>
          <w:tcPr>
            <w:tcW w:w="1418" w:type="dxa"/>
            <w:shd w:val="clear" w:color="auto" w:fill="auto"/>
          </w:tcPr>
          <w:p w14:paraId="25803296" w14:textId="77777777" w:rsidR="00240AC8" w:rsidRDefault="00240AC8" w:rsidP="003A4CB5">
            <w:pPr>
              <w:rPr>
                <w:lang w:val="en-GB"/>
              </w:rPr>
            </w:pPr>
            <w:r w:rsidRPr="00240AC8">
              <w:rPr>
                <w:lang w:val="en-GB"/>
              </w:rPr>
              <w:t>27 January 2017</w:t>
            </w:r>
          </w:p>
        </w:tc>
      </w:tr>
      <w:tr w:rsidR="00240AC8" w:rsidRPr="000E1F81" w14:paraId="7BBD9C9D" w14:textId="77777777" w:rsidTr="00097B90">
        <w:trPr>
          <w:cantSplit/>
        </w:trPr>
        <w:tc>
          <w:tcPr>
            <w:tcW w:w="675" w:type="dxa"/>
          </w:tcPr>
          <w:p w14:paraId="154C8A5A" w14:textId="77777777" w:rsidR="00240AC8" w:rsidRPr="00E029D3" w:rsidRDefault="00240AC8" w:rsidP="00E029D3">
            <w:pPr>
              <w:pStyle w:val="ListParagraph"/>
              <w:numPr>
                <w:ilvl w:val="0"/>
                <w:numId w:val="11"/>
              </w:numPr>
              <w:rPr>
                <w:lang w:val="en-GB"/>
              </w:rPr>
            </w:pPr>
          </w:p>
        </w:tc>
        <w:tc>
          <w:tcPr>
            <w:tcW w:w="4653" w:type="dxa"/>
            <w:shd w:val="clear" w:color="auto" w:fill="auto"/>
          </w:tcPr>
          <w:p w14:paraId="34646C19" w14:textId="77777777" w:rsidR="00240AC8" w:rsidRDefault="00240AC8" w:rsidP="007C1655">
            <w:pPr>
              <w:rPr>
                <w:lang w:val="en-GB"/>
              </w:rPr>
            </w:pPr>
            <w:r>
              <w:rPr>
                <w:lang w:val="en-GB"/>
              </w:rPr>
              <w:t>Security factsheet posted</w:t>
            </w:r>
          </w:p>
        </w:tc>
        <w:tc>
          <w:tcPr>
            <w:tcW w:w="3060" w:type="dxa"/>
            <w:shd w:val="clear" w:color="auto" w:fill="auto"/>
          </w:tcPr>
          <w:p w14:paraId="0B93C6EA" w14:textId="77777777" w:rsidR="00240AC8" w:rsidRDefault="00240AC8" w:rsidP="007C1655">
            <w:pPr>
              <w:rPr>
                <w:lang w:val="en-GB"/>
              </w:rPr>
            </w:pPr>
            <w:r>
              <w:rPr>
                <w:lang w:val="en-GB"/>
              </w:rPr>
              <w:t>Sela</w:t>
            </w:r>
          </w:p>
        </w:tc>
        <w:tc>
          <w:tcPr>
            <w:tcW w:w="1418" w:type="dxa"/>
            <w:shd w:val="clear" w:color="auto" w:fill="auto"/>
          </w:tcPr>
          <w:p w14:paraId="3F42AB97" w14:textId="77777777" w:rsidR="00240AC8" w:rsidRDefault="00240AC8" w:rsidP="007C1655">
            <w:pPr>
              <w:rPr>
                <w:lang w:val="en-GB"/>
              </w:rPr>
            </w:pPr>
            <w:r>
              <w:rPr>
                <w:lang w:val="en-GB"/>
              </w:rPr>
              <w:t>20 January 2017</w:t>
            </w:r>
          </w:p>
        </w:tc>
      </w:tr>
      <w:tr w:rsidR="00240AC8" w:rsidRPr="000E1F81" w14:paraId="5C9E7859" w14:textId="77777777" w:rsidTr="00097B90">
        <w:trPr>
          <w:cantSplit/>
        </w:trPr>
        <w:tc>
          <w:tcPr>
            <w:tcW w:w="675" w:type="dxa"/>
          </w:tcPr>
          <w:p w14:paraId="342E2E4B" w14:textId="77777777" w:rsidR="00240AC8" w:rsidRPr="00E029D3" w:rsidRDefault="00240AC8" w:rsidP="00E029D3">
            <w:pPr>
              <w:pStyle w:val="ListParagraph"/>
              <w:numPr>
                <w:ilvl w:val="0"/>
                <w:numId w:val="11"/>
              </w:numPr>
              <w:rPr>
                <w:lang w:val="en-GB"/>
              </w:rPr>
            </w:pPr>
          </w:p>
        </w:tc>
        <w:tc>
          <w:tcPr>
            <w:tcW w:w="4653" w:type="dxa"/>
            <w:shd w:val="clear" w:color="auto" w:fill="auto"/>
          </w:tcPr>
          <w:p w14:paraId="6AB2C571" w14:textId="77777777" w:rsidR="00240AC8" w:rsidRDefault="00240AC8" w:rsidP="00B90F02">
            <w:pPr>
              <w:rPr>
                <w:lang w:val="en-GB"/>
              </w:rPr>
            </w:pPr>
            <w:r>
              <w:rPr>
                <w:lang w:val="en-GB"/>
              </w:rPr>
              <w:t xml:space="preserve">KPI discussion document for review by PTC </w:t>
            </w:r>
          </w:p>
        </w:tc>
        <w:tc>
          <w:tcPr>
            <w:tcW w:w="3060" w:type="dxa"/>
            <w:shd w:val="clear" w:color="auto" w:fill="auto"/>
          </w:tcPr>
          <w:p w14:paraId="674D63DA" w14:textId="77777777" w:rsidR="00240AC8" w:rsidRDefault="00240AC8" w:rsidP="003A4CB5">
            <w:pPr>
              <w:rPr>
                <w:lang w:val="en-GB"/>
              </w:rPr>
            </w:pPr>
            <w:r>
              <w:rPr>
                <w:lang w:val="en-GB"/>
              </w:rPr>
              <w:t>Sela</w:t>
            </w:r>
          </w:p>
        </w:tc>
        <w:tc>
          <w:tcPr>
            <w:tcW w:w="1418" w:type="dxa"/>
            <w:shd w:val="clear" w:color="auto" w:fill="auto"/>
          </w:tcPr>
          <w:p w14:paraId="1EFCA04D" w14:textId="77777777" w:rsidR="00240AC8" w:rsidRDefault="00240AC8" w:rsidP="003A4CB5">
            <w:pPr>
              <w:rPr>
                <w:lang w:val="en-GB"/>
              </w:rPr>
            </w:pPr>
            <w:r>
              <w:rPr>
                <w:lang w:val="en-GB"/>
              </w:rPr>
              <w:t>20 January 2017</w:t>
            </w:r>
          </w:p>
        </w:tc>
      </w:tr>
    </w:tbl>
    <w:p w14:paraId="467BC805" w14:textId="77777777" w:rsidR="008C45E7" w:rsidRPr="000E1F81" w:rsidRDefault="008C45E7" w:rsidP="00B35F8B">
      <w:pPr>
        <w:rPr>
          <w:lang w:val="en-GB"/>
        </w:rPr>
      </w:pPr>
    </w:p>
    <w:p w14:paraId="15B551EB" w14:textId="77777777" w:rsidR="00637B2B" w:rsidRPr="000E1F81" w:rsidRDefault="00637B2B">
      <w:pPr>
        <w:rPr>
          <w:lang w:val="en-GB"/>
        </w:rPr>
      </w:pPr>
    </w:p>
    <w:p w14:paraId="68145FA3" w14:textId="77777777" w:rsidR="00637B2B" w:rsidRPr="000E1F81" w:rsidRDefault="00637B2B">
      <w:pPr>
        <w:rPr>
          <w:lang w:val="en-GB"/>
        </w:rPr>
      </w:pPr>
    </w:p>
    <w:sectPr w:rsidR="00637B2B" w:rsidRPr="000E1F81" w:rsidSect="00AD1A48">
      <w:headerReference w:type="default" r:id="rId9"/>
      <w:footerReference w:type="even" r:id="rId10"/>
      <w:footerReference w:type="default" r:id="rId11"/>
      <w:pgSz w:w="12240" w:h="15840"/>
      <w:pgMar w:top="1811" w:right="1417" w:bottom="1417" w:left="1417"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688D4B" w15:done="0"/>
  <w15:commentEx w15:paraId="28014FB6" w15:done="0"/>
  <w15:commentEx w15:paraId="555BCE4F" w15:done="0"/>
  <w15:commentEx w15:paraId="5D954548" w15:done="0"/>
  <w15:commentEx w15:paraId="1888E1E3" w15:done="0"/>
  <w15:commentEx w15:paraId="5164E10A" w15:done="0"/>
  <w15:commentEx w15:paraId="2ED54414" w15:done="0"/>
  <w15:commentEx w15:paraId="0AF3F4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42899" w14:textId="77777777" w:rsidR="0022228C" w:rsidRDefault="0022228C">
      <w:r>
        <w:separator/>
      </w:r>
    </w:p>
  </w:endnote>
  <w:endnote w:type="continuationSeparator" w:id="0">
    <w:p w14:paraId="3276810B" w14:textId="77777777" w:rsidR="0022228C" w:rsidRDefault="0022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5304F" w14:textId="77777777" w:rsidR="005D1C28" w:rsidRDefault="005D1C28" w:rsidP="005D1C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DB293C" w14:textId="77777777" w:rsidR="005D1C28" w:rsidRDefault="005D1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958603"/>
      <w:docPartObj>
        <w:docPartGallery w:val="Page Numbers (Bottom of Page)"/>
        <w:docPartUnique/>
      </w:docPartObj>
    </w:sdtPr>
    <w:sdtEndPr/>
    <w:sdtContent>
      <w:sdt>
        <w:sdtPr>
          <w:id w:val="860082579"/>
          <w:docPartObj>
            <w:docPartGallery w:val="Page Numbers (Top of Page)"/>
            <w:docPartUnique/>
          </w:docPartObj>
        </w:sdtPr>
        <w:sdtEndPr/>
        <w:sdtContent>
          <w:p w14:paraId="5BC4F68A" w14:textId="77777777" w:rsidR="00226EE3" w:rsidRDefault="00226EE3">
            <w:pPr>
              <w:pStyle w:val="Footer"/>
              <w:jc w:val="right"/>
            </w:pPr>
            <w:r>
              <w:t xml:space="preserve">Page </w:t>
            </w:r>
            <w:r>
              <w:rPr>
                <w:b/>
                <w:bCs/>
              </w:rPr>
              <w:fldChar w:fldCharType="begin"/>
            </w:r>
            <w:r>
              <w:rPr>
                <w:b/>
                <w:bCs/>
              </w:rPr>
              <w:instrText xml:space="preserve"> PAGE </w:instrText>
            </w:r>
            <w:r>
              <w:rPr>
                <w:b/>
                <w:bCs/>
              </w:rPr>
              <w:fldChar w:fldCharType="separate"/>
            </w:r>
            <w:r w:rsidR="009C569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C5698">
              <w:rPr>
                <w:b/>
                <w:bCs/>
                <w:noProof/>
              </w:rPr>
              <w:t>4</w:t>
            </w:r>
            <w:r>
              <w:rPr>
                <w:b/>
                <w:bCs/>
              </w:rPr>
              <w:fldChar w:fldCharType="end"/>
            </w:r>
          </w:p>
        </w:sdtContent>
      </w:sdt>
    </w:sdtContent>
  </w:sdt>
  <w:p w14:paraId="2E3305E5" w14:textId="77777777" w:rsidR="005D1C28" w:rsidRDefault="005D1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96B05" w14:textId="77777777" w:rsidR="0022228C" w:rsidRDefault="0022228C">
      <w:r>
        <w:separator/>
      </w:r>
    </w:p>
  </w:footnote>
  <w:footnote w:type="continuationSeparator" w:id="0">
    <w:p w14:paraId="7857F2D6" w14:textId="77777777" w:rsidR="0022228C" w:rsidRDefault="00222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3D1F1" w14:textId="77777777" w:rsidR="00AD1A48" w:rsidRDefault="00AD1A48">
    <w:pPr>
      <w:pStyle w:val="Header"/>
    </w:pPr>
    <w:r>
      <w:rPr>
        <w:rFonts w:ascii="Arial" w:hAnsi="Arial" w:cs="Arial"/>
        <w:noProof/>
        <w:sz w:val="18"/>
        <w:szCs w:val="18"/>
        <w:lang w:val="en-CA" w:eastAsia="en-CA"/>
      </w:rPr>
      <w:drawing>
        <wp:anchor distT="0" distB="0" distL="114300" distR="114300" simplePos="0" relativeHeight="251659264" behindDoc="0" locked="0" layoutInCell="1" allowOverlap="1" wp14:anchorId="360EB7EB" wp14:editId="6DB2810B">
          <wp:simplePos x="0" y="0"/>
          <wp:positionH relativeFrom="column">
            <wp:posOffset>-706120</wp:posOffset>
          </wp:positionH>
          <wp:positionV relativeFrom="paragraph">
            <wp:posOffset>-248432</wp:posOffset>
          </wp:positionV>
          <wp:extent cx="7593965" cy="419100"/>
          <wp:effectExtent l="0" t="0" r="698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3965" cy="419100"/>
                  </a:xfrm>
                  <a:prstGeom prst="rect">
                    <a:avLst/>
                  </a:prstGeom>
                  <a:noFill/>
                </pic:spPr>
              </pic:pic>
            </a:graphicData>
          </a:graphic>
        </wp:anchor>
      </w:drawing>
    </w:r>
  </w:p>
  <w:p w14:paraId="37E9FE17" w14:textId="77777777" w:rsidR="00AD1A48" w:rsidRDefault="00AD1A48" w:rsidP="00AD1A48">
    <w:pPr>
      <w:pStyle w:val="Header"/>
      <w:rPr>
        <w:rFonts w:ascii="Arial" w:hAnsi="Arial" w:cs="Arial"/>
        <w:sz w:val="18"/>
        <w:szCs w:val="18"/>
      </w:rPr>
    </w:pPr>
    <w:r>
      <w:rPr>
        <w:rFonts w:ascii="Arial" w:hAnsi="Arial" w:cs="Arial"/>
        <w:noProof/>
        <w:sz w:val="18"/>
        <w:szCs w:val="18"/>
        <w:lang w:val="en-CA" w:eastAsia="en-CA"/>
      </w:rPr>
      <w:drawing>
        <wp:anchor distT="0" distB="0" distL="114300" distR="114300" simplePos="0" relativeHeight="251661312" behindDoc="0" locked="0" layoutInCell="1" allowOverlap="1" wp14:anchorId="740D788E" wp14:editId="43D6DFA3">
          <wp:simplePos x="0" y="0"/>
          <wp:positionH relativeFrom="column">
            <wp:posOffset>-3175</wp:posOffset>
          </wp:positionH>
          <wp:positionV relativeFrom="paragraph">
            <wp:posOffset>57003</wp:posOffset>
          </wp:positionV>
          <wp:extent cx="619200" cy="324000"/>
          <wp:effectExtent l="0" t="0" r="0" b="0"/>
          <wp:wrapNone/>
          <wp:docPr id="6" name="Picture 1" descr="Description: 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PPCLogo"/>
                  <pic:cNvPicPr>
                    <a:picLocks noChangeAspect="1" noChangeArrowheads="1"/>
                  </pic:cNvPicPr>
                </pic:nvPicPr>
                <pic:blipFill>
                  <a:blip r:embed="rId2"/>
                  <a:srcRect/>
                  <a:stretch>
                    <a:fillRect/>
                  </a:stretch>
                </pic:blipFill>
                <pic:spPr bwMode="auto">
                  <a:xfrm>
                    <a:off x="0" y="0"/>
                    <a:ext cx="619200" cy="32400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26C595CB" w14:textId="416DEFE5" w:rsidR="00AD1A48" w:rsidRPr="00226EE3" w:rsidRDefault="00AD1A48" w:rsidP="00AD1A48">
    <w:pPr>
      <w:pStyle w:val="Header"/>
      <w:tabs>
        <w:tab w:val="left" w:pos="1276"/>
      </w:tabs>
    </w:pPr>
    <w:r>
      <w:rPr>
        <w:rFonts w:ascii="Arial" w:hAnsi="Arial" w:cs="Arial"/>
        <w:sz w:val="18"/>
        <w:szCs w:val="18"/>
      </w:rPr>
      <w:tab/>
    </w:r>
    <w:r w:rsidRPr="00226EE3">
      <w:rPr>
        <w:rFonts w:cs="Arial"/>
      </w:rPr>
      <w:t xml:space="preserve">International Plant </w:t>
    </w:r>
    <w:proofErr w:type="spellStart"/>
    <w:r w:rsidRPr="00226EE3">
      <w:rPr>
        <w:rFonts w:cs="Arial"/>
      </w:rPr>
      <w:t>Protection</w:t>
    </w:r>
    <w:proofErr w:type="spellEnd"/>
    <w:r w:rsidRPr="00226EE3">
      <w:rPr>
        <w:rFonts w:cs="Arial"/>
      </w:rPr>
      <w:t xml:space="preserve"> </w:t>
    </w:r>
    <w:proofErr w:type="spellStart"/>
    <w:r w:rsidRPr="00226EE3">
      <w:rPr>
        <w:rFonts w:cs="Arial"/>
      </w:rPr>
      <w:t>Convention</w:t>
    </w:r>
    <w:proofErr w:type="spellEnd"/>
    <w:r w:rsidR="00793635" w:rsidRPr="00226EE3">
      <w:rPr>
        <w:rFonts w:cs="Arial"/>
      </w:rPr>
      <w:tab/>
    </w:r>
    <w:r w:rsidR="009C5698">
      <w:rPr>
        <w:rFonts w:cs="Arial"/>
      </w:rPr>
      <w:t xml:space="preserve">14 </w:t>
    </w:r>
    <w:proofErr w:type="gramStart"/>
    <w:r w:rsidR="009C5698">
      <w:rPr>
        <w:rFonts w:cs="Arial"/>
      </w:rPr>
      <w:t>December</w:t>
    </w:r>
    <w:proofErr w:type="gramEnd"/>
    <w:r w:rsidR="009C5698">
      <w:rPr>
        <w:rFonts w:cs="Arial"/>
      </w:rPr>
      <w:t xml:space="preserve"> 2016</w:t>
    </w:r>
  </w:p>
  <w:p w14:paraId="051053A2" w14:textId="77777777" w:rsidR="00AD1A48" w:rsidRDefault="00AD1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562CDE8"/>
    <w:lvl w:ilvl="0">
      <w:start w:val="1"/>
      <w:numFmt w:val="decimal"/>
      <w:pStyle w:val="ListNumber"/>
      <w:lvlText w:val="%1."/>
      <w:lvlJc w:val="left"/>
      <w:pPr>
        <w:tabs>
          <w:tab w:val="num" w:pos="360"/>
        </w:tabs>
        <w:ind w:left="360" w:hanging="360"/>
      </w:pPr>
    </w:lvl>
  </w:abstractNum>
  <w:abstractNum w:abstractNumId="1">
    <w:nsid w:val="FFFFFF89"/>
    <w:multiLevelType w:val="singleLevel"/>
    <w:tmpl w:val="62282FD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743BBF"/>
    <w:multiLevelType w:val="hybridMultilevel"/>
    <w:tmpl w:val="29AE3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C87596"/>
    <w:multiLevelType w:val="hybridMultilevel"/>
    <w:tmpl w:val="921A55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F703DA"/>
    <w:multiLevelType w:val="hybridMultilevel"/>
    <w:tmpl w:val="D1704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671892"/>
    <w:multiLevelType w:val="hybridMultilevel"/>
    <w:tmpl w:val="C37AB7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48514F3"/>
    <w:multiLevelType w:val="hybridMultilevel"/>
    <w:tmpl w:val="9F364F9C"/>
    <w:lvl w:ilvl="0" w:tplc="77BCF5BA">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52D362B"/>
    <w:multiLevelType w:val="hybridMultilevel"/>
    <w:tmpl w:val="A1ACD496"/>
    <w:lvl w:ilvl="0" w:tplc="1DF2306C">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A498D"/>
    <w:multiLevelType w:val="hybridMultilevel"/>
    <w:tmpl w:val="31E6D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480CBA"/>
    <w:multiLevelType w:val="hybridMultilevel"/>
    <w:tmpl w:val="CFA8E7D8"/>
    <w:lvl w:ilvl="0" w:tplc="1DF2306C">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12B2D"/>
    <w:multiLevelType w:val="hybridMultilevel"/>
    <w:tmpl w:val="59688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055C07"/>
    <w:multiLevelType w:val="hybridMultilevel"/>
    <w:tmpl w:val="D26AB74C"/>
    <w:lvl w:ilvl="0" w:tplc="6FA215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75A5CDD"/>
    <w:multiLevelType w:val="hybridMultilevel"/>
    <w:tmpl w:val="91B69FFA"/>
    <w:lvl w:ilvl="0" w:tplc="1DF2306C">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94581"/>
    <w:multiLevelType w:val="hybridMultilevel"/>
    <w:tmpl w:val="7A467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73245DB"/>
    <w:multiLevelType w:val="hybridMultilevel"/>
    <w:tmpl w:val="2752CDD6"/>
    <w:lvl w:ilvl="0" w:tplc="5224C0A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B4464D7"/>
    <w:multiLevelType w:val="hybridMultilevel"/>
    <w:tmpl w:val="3E501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62C19"/>
    <w:multiLevelType w:val="hybridMultilevel"/>
    <w:tmpl w:val="91D04F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1"/>
  </w:num>
  <w:num w:numId="2">
    <w:abstractNumId w:val="5"/>
  </w:num>
  <w:num w:numId="3">
    <w:abstractNumId w:val="13"/>
  </w:num>
  <w:num w:numId="4">
    <w:abstractNumId w:val="1"/>
  </w:num>
  <w:num w:numId="5">
    <w:abstractNumId w:val="0"/>
  </w:num>
  <w:num w:numId="6">
    <w:abstractNumId w:val="3"/>
  </w:num>
  <w:num w:numId="7">
    <w:abstractNumId w:val="12"/>
  </w:num>
  <w:num w:numId="8">
    <w:abstractNumId w:val="9"/>
  </w:num>
  <w:num w:numId="9">
    <w:abstractNumId w:val="8"/>
  </w:num>
  <w:num w:numId="10">
    <w:abstractNumId w:val="7"/>
  </w:num>
  <w:num w:numId="11">
    <w:abstractNumId w:val="1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2"/>
  </w:num>
  <w:num w:numId="16">
    <w:abstractNumId w:val="0"/>
    <w:lvlOverride w:ilvl="0">
      <w:startOverride w:val="1"/>
    </w:lvlOverride>
  </w:num>
  <w:num w:numId="17">
    <w:abstractNumId w:val="6"/>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imanis, Peter">
    <w15:presenceInfo w15:providerId="None" w15:userId="Neimanis,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85"/>
    <w:rsid w:val="000101D5"/>
    <w:rsid w:val="000309BE"/>
    <w:rsid w:val="00056EE6"/>
    <w:rsid w:val="00073888"/>
    <w:rsid w:val="00076847"/>
    <w:rsid w:val="00080270"/>
    <w:rsid w:val="00082B40"/>
    <w:rsid w:val="00086398"/>
    <w:rsid w:val="00097B90"/>
    <w:rsid w:val="000A5701"/>
    <w:rsid w:val="000B4B4B"/>
    <w:rsid w:val="000D51FA"/>
    <w:rsid w:val="000D541C"/>
    <w:rsid w:val="000E1F81"/>
    <w:rsid w:val="001013E1"/>
    <w:rsid w:val="001153B9"/>
    <w:rsid w:val="001153F0"/>
    <w:rsid w:val="00123213"/>
    <w:rsid w:val="00124793"/>
    <w:rsid w:val="001358A7"/>
    <w:rsid w:val="001434B5"/>
    <w:rsid w:val="001739EA"/>
    <w:rsid w:val="00181805"/>
    <w:rsid w:val="001930A3"/>
    <w:rsid w:val="001936E6"/>
    <w:rsid w:val="00197E2B"/>
    <w:rsid w:val="002165A4"/>
    <w:rsid w:val="0022228C"/>
    <w:rsid w:val="00226EE3"/>
    <w:rsid w:val="00240AC8"/>
    <w:rsid w:val="0025317A"/>
    <w:rsid w:val="00270A61"/>
    <w:rsid w:val="002C4BEB"/>
    <w:rsid w:val="002C7AC2"/>
    <w:rsid w:val="002D4F5F"/>
    <w:rsid w:val="002E7B17"/>
    <w:rsid w:val="00303A7B"/>
    <w:rsid w:val="00382530"/>
    <w:rsid w:val="00383958"/>
    <w:rsid w:val="003868D9"/>
    <w:rsid w:val="003A42D4"/>
    <w:rsid w:val="003B1CB2"/>
    <w:rsid w:val="003C5479"/>
    <w:rsid w:val="003D1035"/>
    <w:rsid w:val="003D2C8A"/>
    <w:rsid w:val="003F7093"/>
    <w:rsid w:val="00412437"/>
    <w:rsid w:val="004161A1"/>
    <w:rsid w:val="004470EB"/>
    <w:rsid w:val="004717B3"/>
    <w:rsid w:val="0048510B"/>
    <w:rsid w:val="00495FDC"/>
    <w:rsid w:val="004B38AF"/>
    <w:rsid w:val="004C0484"/>
    <w:rsid w:val="004E7245"/>
    <w:rsid w:val="00504BB5"/>
    <w:rsid w:val="00530381"/>
    <w:rsid w:val="00540BBF"/>
    <w:rsid w:val="00551A94"/>
    <w:rsid w:val="005647F7"/>
    <w:rsid w:val="00586F52"/>
    <w:rsid w:val="00593C7B"/>
    <w:rsid w:val="005B1AF8"/>
    <w:rsid w:val="005D16CC"/>
    <w:rsid w:val="005D18FF"/>
    <w:rsid w:val="005D1916"/>
    <w:rsid w:val="005D1C28"/>
    <w:rsid w:val="005D4871"/>
    <w:rsid w:val="005E3C76"/>
    <w:rsid w:val="005F2C6F"/>
    <w:rsid w:val="00601E28"/>
    <w:rsid w:val="00623C8F"/>
    <w:rsid w:val="00624249"/>
    <w:rsid w:val="00637B2B"/>
    <w:rsid w:val="006464F3"/>
    <w:rsid w:val="00652057"/>
    <w:rsid w:val="0067137B"/>
    <w:rsid w:val="00675C3C"/>
    <w:rsid w:val="00684087"/>
    <w:rsid w:val="00686570"/>
    <w:rsid w:val="006D04DE"/>
    <w:rsid w:val="006D1679"/>
    <w:rsid w:val="006F046D"/>
    <w:rsid w:val="007060F3"/>
    <w:rsid w:val="007124D9"/>
    <w:rsid w:val="00714519"/>
    <w:rsid w:val="00723575"/>
    <w:rsid w:val="007407F2"/>
    <w:rsid w:val="00757FF6"/>
    <w:rsid w:val="00762AA2"/>
    <w:rsid w:val="00772130"/>
    <w:rsid w:val="00773787"/>
    <w:rsid w:val="00776554"/>
    <w:rsid w:val="00785652"/>
    <w:rsid w:val="00793635"/>
    <w:rsid w:val="00796774"/>
    <w:rsid w:val="007A3912"/>
    <w:rsid w:val="007A6998"/>
    <w:rsid w:val="007B58ED"/>
    <w:rsid w:val="007C203C"/>
    <w:rsid w:val="007D40F5"/>
    <w:rsid w:val="007E0881"/>
    <w:rsid w:val="007F7739"/>
    <w:rsid w:val="00802748"/>
    <w:rsid w:val="00807A7A"/>
    <w:rsid w:val="008164BD"/>
    <w:rsid w:val="00816F03"/>
    <w:rsid w:val="00826F73"/>
    <w:rsid w:val="00842CAF"/>
    <w:rsid w:val="0084467D"/>
    <w:rsid w:val="00865963"/>
    <w:rsid w:val="00870DE3"/>
    <w:rsid w:val="00870F5A"/>
    <w:rsid w:val="008727AD"/>
    <w:rsid w:val="00882675"/>
    <w:rsid w:val="008A4BDF"/>
    <w:rsid w:val="008C0415"/>
    <w:rsid w:val="008C263A"/>
    <w:rsid w:val="008C45E7"/>
    <w:rsid w:val="008D214E"/>
    <w:rsid w:val="008D682F"/>
    <w:rsid w:val="008D77B2"/>
    <w:rsid w:val="008E28DD"/>
    <w:rsid w:val="009200B4"/>
    <w:rsid w:val="00921590"/>
    <w:rsid w:val="009253E6"/>
    <w:rsid w:val="009318FA"/>
    <w:rsid w:val="00935AE5"/>
    <w:rsid w:val="00952C7E"/>
    <w:rsid w:val="00985216"/>
    <w:rsid w:val="00990568"/>
    <w:rsid w:val="009C5698"/>
    <w:rsid w:val="009E4FAF"/>
    <w:rsid w:val="00A72905"/>
    <w:rsid w:val="00A80EBA"/>
    <w:rsid w:val="00A82D65"/>
    <w:rsid w:val="00A841EE"/>
    <w:rsid w:val="00A846CB"/>
    <w:rsid w:val="00AA1CF0"/>
    <w:rsid w:val="00AB11E2"/>
    <w:rsid w:val="00AB40DE"/>
    <w:rsid w:val="00AB4DDC"/>
    <w:rsid w:val="00AC1E1F"/>
    <w:rsid w:val="00AD1A48"/>
    <w:rsid w:val="00AE0658"/>
    <w:rsid w:val="00AE1343"/>
    <w:rsid w:val="00B0353B"/>
    <w:rsid w:val="00B35F8B"/>
    <w:rsid w:val="00B46ABF"/>
    <w:rsid w:val="00B523FB"/>
    <w:rsid w:val="00B52485"/>
    <w:rsid w:val="00B66199"/>
    <w:rsid w:val="00B7438A"/>
    <w:rsid w:val="00B77600"/>
    <w:rsid w:val="00B90F02"/>
    <w:rsid w:val="00B92CAA"/>
    <w:rsid w:val="00B9408D"/>
    <w:rsid w:val="00BA7EAC"/>
    <w:rsid w:val="00C04530"/>
    <w:rsid w:val="00C057D2"/>
    <w:rsid w:val="00C15661"/>
    <w:rsid w:val="00C16FD0"/>
    <w:rsid w:val="00C33B32"/>
    <w:rsid w:val="00C65431"/>
    <w:rsid w:val="00C73BD8"/>
    <w:rsid w:val="00C76302"/>
    <w:rsid w:val="00CA2EDB"/>
    <w:rsid w:val="00CD33E4"/>
    <w:rsid w:val="00CE536E"/>
    <w:rsid w:val="00D05C87"/>
    <w:rsid w:val="00D329F3"/>
    <w:rsid w:val="00D33259"/>
    <w:rsid w:val="00D42B65"/>
    <w:rsid w:val="00D52540"/>
    <w:rsid w:val="00D64DEF"/>
    <w:rsid w:val="00D6605A"/>
    <w:rsid w:val="00D7110D"/>
    <w:rsid w:val="00D742F8"/>
    <w:rsid w:val="00D84734"/>
    <w:rsid w:val="00D90727"/>
    <w:rsid w:val="00DB763F"/>
    <w:rsid w:val="00DC631E"/>
    <w:rsid w:val="00DE1EB1"/>
    <w:rsid w:val="00DF4BFA"/>
    <w:rsid w:val="00E029D3"/>
    <w:rsid w:val="00E05D9C"/>
    <w:rsid w:val="00E07291"/>
    <w:rsid w:val="00E11D53"/>
    <w:rsid w:val="00E27BDF"/>
    <w:rsid w:val="00E37444"/>
    <w:rsid w:val="00E5102E"/>
    <w:rsid w:val="00EA397C"/>
    <w:rsid w:val="00EA49A3"/>
    <w:rsid w:val="00EF30DA"/>
    <w:rsid w:val="00F2117B"/>
    <w:rsid w:val="00F228D2"/>
    <w:rsid w:val="00F23F31"/>
    <w:rsid w:val="00F46CC3"/>
    <w:rsid w:val="00F47ADE"/>
    <w:rsid w:val="00F47D4E"/>
    <w:rsid w:val="00F54C20"/>
    <w:rsid w:val="00F84C9B"/>
    <w:rsid w:val="00FC4130"/>
    <w:rsid w:val="00FC6157"/>
    <w:rsid w:val="00FD768B"/>
    <w:rsid w:val="00FF7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9EE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CC"/>
    <w:pPr>
      <w:spacing w:after="120"/>
    </w:pPr>
    <w:rPr>
      <w:rFonts w:asciiTheme="majorHAnsi" w:hAnsiTheme="majorHAnsi"/>
      <w:sz w:val="24"/>
      <w:szCs w:val="24"/>
      <w:lang w:val="nl-NL" w:eastAsia="nl-NL"/>
    </w:rPr>
  </w:style>
  <w:style w:type="paragraph" w:styleId="Heading1">
    <w:name w:val="heading 1"/>
    <w:basedOn w:val="Normal"/>
    <w:next w:val="Normal"/>
    <w:link w:val="Heading1Char"/>
    <w:qFormat/>
    <w:rsid w:val="00226EE3"/>
    <w:pPr>
      <w:keepNext/>
      <w:keepLines/>
      <w:numPr>
        <w:numId w:val="17"/>
      </w:numPr>
      <w:ind w:left="706" w:hanging="706"/>
      <w:outlineLvl w:val="0"/>
    </w:pPr>
    <w:rPr>
      <w:rFonts w:eastAsiaTheme="majorEastAsia"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51A94"/>
    <w:rPr>
      <w:sz w:val="16"/>
      <w:szCs w:val="16"/>
    </w:rPr>
  </w:style>
  <w:style w:type="paragraph" w:styleId="CommentText">
    <w:name w:val="annotation text"/>
    <w:basedOn w:val="Normal"/>
    <w:link w:val="CommentTextChar"/>
    <w:rsid w:val="00551A94"/>
    <w:rPr>
      <w:sz w:val="20"/>
      <w:szCs w:val="20"/>
    </w:rPr>
  </w:style>
  <w:style w:type="character" w:customStyle="1" w:styleId="CommentTextChar">
    <w:name w:val="Comment Text Char"/>
    <w:link w:val="CommentText"/>
    <w:rsid w:val="00551A94"/>
    <w:rPr>
      <w:lang w:val="nl-NL" w:eastAsia="nl-NL"/>
    </w:rPr>
  </w:style>
  <w:style w:type="paragraph" w:styleId="CommentSubject">
    <w:name w:val="annotation subject"/>
    <w:basedOn w:val="CommentText"/>
    <w:next w:val="CommentText"/>
    <w:link w:val="CommentSubjectChar"/>
    <w:rsid w:val="00551A94"/>
    <w:rPr>
      <w:b/>
      <w:bCs/>
    </w:rPr>
  </w:style>
  <w:style w:type="character" w:customStyle="1" w:styleId="CommentSubjectChar">
    <w:name w:val="Comment Subject Char"/>
    <w:link w:val="CommentSubject"/>
    <w:rsid w:val="00551A94"/>
    <w:rPr>
      <w:b/>
      <w:bCs/>
      <w:lang w:val="nl-NL" w:eastAsia="nl-NL"/>
    </w:rPr>
  </w:style>
  <w:style w:type="paragraph" w:styleId="BalloonText">
    <w:name w:val="Balloon Text"/>
    <w:basedOn w:val="Normal"/>
    <w:link w:val="BalloonTextChar"/>
    <w:rsid w:val="00551A94"/>
    <w:rPr>
      <w:rFonts w:ascii="Tahoma" w:hAnsi="Tahoma" w:cs="Tahoma"/>
      <w:sz w:val="16"/>
      <w:szCs w:val="16"/>
    </w:rPr>
  </w:style>
  <w:style w:type="character" w:customStyle="1" w:styleId="BalloonTextChar">
    <w:name w:val="Balloon Text Char"/>
    <w:link w:val="BalloonText"/>
    <w:rsid w:val="00551A94"/>
    <w:rPr>
      <w:rFonts w:ascii="Tahoma" w:hAnsi="Tahoma" w:cs="Tahoma"/>
      <w:sz w:val="16"/>
      <w:szCs w:val="16"/>
      <w:lang w:val="nl-NL" w:eastAsia="nl-NL"/>
    </w:rPr>
  </w:style>
  <w:style w:type="paragraph" w:styleId="Footer">
    <w:name w:val="footer"/>
    <w:basedOn w:val="Normal"/>
    <w:link w:val="FooterChar"/>
    <w:uiPriority w:val="99"/>
    <w:rsid w:val="00056EE6"/>
    <w:pPr>
      <w:tabs>
        <w:tab w:val="center" w:pos="4536"/>
        <w:tab w:val="right" w:pos="9072"/>
      </w:tabs>
    </w:pPr>
  </w:style>
  <w:style w:type="character" w:styleId="PageNumber">
    <w:name w:val="page number"/>
    <w:basedOn w:val="DefaultParagraphFont"/>
    <w:rsid w:val="00056EE6"/>
  </w:style>
  <w:style w:type="table" w:styleId="TableGrid">
    <w:name w:val="Table Grid"/>
    <w:basedOn w:val="TableNormal"/>
    <w:rsid w:val="008C4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D1035"/>
    <w:pPr>
      <w:numPr>
        <w:numId w:val="4"/>
      </w:numPr>
      <w:contextualSpacing/>
    </w:pPr>
  </w:style>
  <w:style w:type="paragraph" w:styleId="ListNumber">
    <w:name w:val="List Number"/>
    <w:basedOn w:val="Normal"/>
    <w:rsid w:val="003D1035"/>
    <w:pPr>
      <w:numPr>
        <w:numId w:val="5"/>
      </w:numPr>
      <w:contextualSpacing/>
    </w:pPr>
  </w:style>
  <w:style w:type="paragraph" w:styleId="ListParagraph">
    <w:name w:val="List Paragraph"/>
    <w:basedOn w:val="Normal"/>
    <w:uiPriority w:val="34"/>
    <w:qFormat/>
    <w:rsid w:val="00B66199"/>
    <w:pPr>
      <w:ind w:left="720"/>
      <w:contextualSpacing/>
    </w:pPr>
  </w:style>
  <w:style w:type="paragraph" w:styleId="Header">
    <w:name w:val="header"/>
    <w:basedOn w:val="Normal"/>
    <w:link w:val="HeaderChar"/>
    <w:uiPriority w:val="99"/>
    <w:rsid w:val="00AD1A48"/>
    <w:pPr>
      <w:tabs>
        <w:tab w:val="center" w:pos="4680"/>
        <w:tab w:val="right" w:pos="9360"/>
      </w:tabs>
    </w:pPr>
  </w:style>
  <w:style w:type="character" w:customStyle="1" w:styleId="HeaderChar">
    <w:name w:val="Header Char"/>
    <w:basedOn w:val="DefaultParagraphFont"/>
    <w:link w:val="Header"/>
    <w:uiPriority w:val="99"/>
    <w:rsid w:val="00AD1A48"/>
    <w:rPr>
      <w:sz w:val="24"/>
      <w:szCs w:val="24"/>
      <w:lang w:val="nl-NL" w:eastAsia="nl-NL"/>
    </w:rPr>
  </w:style>
  <w:style w:type="paragraph" w:styleId="Title">
    <w:name w:val="Title"/>
    <w:basedOn w:val="Normal"/>
    <w:next w:val="Normal"/>
    <w:link w:val="TitleChar"/>
    <w:autoRedefine/>
    <w:qFormat/>
    <w:rsid w:val="00793635"/>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28"/>
      <w:szCs w:val="52"/>
    </w:rPr>
  </w:style>
  <w:style w:type="character" w:customStyle="1" w:styleId="TitleChar">
    <w:name w:val="Title Char"/>
    <w:basedOn w:val="DefaultParagraphFont"/>
    <w:link w:val="Title"/>
    <w:rsid w:val="00793635"/>
    <w:rPr>
      <w:rFonts w:asciiTheme="majorHAnsi" w:eastAsiaTheme="majorEastAsia" w:hAnsiTheme="majorHAnsi" w:cstheme="majorBidi"/>
      <w:b/>
      <w:color w:val="17365D" w:themeColor="text2" w:themeShade="BF"/>
      <w:spacing w:val="5"/>
      <w:kern w:val="28"/>
      <w:sz w:val="28"/>
      <w:szCs w:val="52"/>
      <w:lang w:val="nl-NL" w:eastAsia="nl-NL"/>
    </w:rPr>
  </w:style>
  <w:style w:type="character" w:customStyle="1" w:styleId="Heading1Char">
    <w:name w:val="Heading 1 Char"/>
    <w:basedOn w:val="DefaultParagraphFont"/>
    <w:link w:val="Heading1"/>
    <w:rsid w:val="00226EE3"/>
    <w:rPr>
      <w:rFonts w:asciiTheme="majorHAnsi" w:eastAsiaTheme="majorEastAsia" w:hAnsiTheme="majorHAnsi" w:cstheme="majorBidi"/>
      <w:b/>
      <w:bCs/>
      <w:color w:val="365F91" w:themeColor="accent1" w:themeShade="BF"/>
      <w:sz w:val="24"/>
      <w:szCs w:val="28"/>
      <w:lang w:val="nl-NL" w:eastAsia="nl-NL"/>
    </w:rPr>
  </w:style>
  <w:style w:type="character" w:styleId="Hyperlink">
    <w:name w:val="Hyperlink"/>
    <w:basedOn w:val="DefaultParagraphFont"/>
    <w:rsid w:val="00793635"/>
    <w:rPr>
      <w:color w:val="0000FF" w:themeColor="hyperlink"/>
      <w:u w:val="single"/>
    </w:rPr>
  </w:style>
  <w:style w:type="character" w:styleId="FollowedHyperlink">
    <w:name w:val="FollowedHyperlink"/>
    <w:basedOn w:val="DefaultParagraphFont"/>
    <w:rsid w:val="00793635"/>
    <w:rPr>
      <w:color w:val="800080" w:themeColor="followedHyperlink"/>
      <w:u w:val="single"/>
    </w:rPr>
  </w:style>
  <w:style w:type="character" w:customStyle="1" w:styleId="FooterChar">
    <w:name w:val="Footer Char"/>
    <w:basedOn w:val="DefaultParagraphFont"/>
    <w:link w:val="Footer"/>
    <w:uiPriority w:val="99"/>
    <w:rsid w:val="00226EE3"/>
    <w:rPr>
      <w:rFonts w:asciiTheme="majorHAnsi" w:hAnsiTheme="majorHAnsi"/>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CC"/>
    <w:pPr>
      <w:spacing w:after="120"/>
    </w:pPr>
    <w:rPr>
      <w:rFonts w:asciiTheme="majorHAnsi" w:hAnsiTheme="majorHAnsi"/>
      <w:sz w:val="24"/>
      <w:szCs w:val="24"/>
      <w:lang w:val="nl-NL" w:eastAsia="nl-NL"/>
    </w:rPr>
  </w:style>
  <w:style w:type="paragraph" w:styleId="Heading1">
    <w:name w:val="heading 1"/>
    <w:basedOn w:val="Normal"/>
    <w:next w:val="Normal"/>
    <w:link w:val="Heading1Char"/>
    <w:qFormat/>
    <w:rsid w:val="00226EE3"/>
    <w:pPr>
      <w:keepNext/>
      <w:keepLines/>
      <w:numPr>
        <w:numId w:val="17"/>
      </w:numPr>
      <w:ind w:left="706" w:hanging="706"/>
      <w:outlineLvl w:val="0"/>
    </w:pPr>
    <w:rPr>
      <w:rFonts w:eastAsiaTheme="majorEastAsia"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51A94"/>
    <w:rPr>
      <w:sz w:val="16"/>
      <w:szCs w:val="16"/>
    </w:rPr>
  </w:style>
  <w:style w:type="paragraph" w:styleId="CommentText">
    <w:name w:val="annotation text"/>
    <w:basedOn w:val="Normal"/>
    <w:link w:val="CommentTextChar"/>
    <w:rsid w:val="00551A94"/>
    <w:rPr>
      <w:sz w:val="20"/>
      <w:szCs w:val="20"/>
    </w:rPr>
  </w:style>
  <w:style w:type="character" w:customStyle="1" w:styleId="CommentTextChar">
    <w:name w:val="Comment Text Char"/>
    <w:link w:val="CommentText"/>
    <w:rsid w:val="00551A94"/>
    <w:rPr>
      <w:lang w:val="nl-NL" w:eastAsia="nl-NL"/>
    </w:rPr>
  </w:style>
  <w:style w:type="paragraph" w:styleId="CommentSubject">
    <w:name w:val="annotation subject"/>
    <w:basedOn w:val="CommentText"/>
    <w:next w:val="CommentText"/>
    <w:link w:val="CommentSubjectChar"/>
    <w:rsid w:val="00551A94"/>
    <w:rPr>
      <w:b/>
      <w:bCs/>
    </w:rPr>
  </w:style>
  <w:style w:type="character" w:customStyle="1" w:styleId="CommentSubjectChar">
    <w:name w:val="Comment Subject Char"/>
    <w:link w:val="CommentSubject"/>
    <w:rsid w:val="00551A94"/>
    <w:rPr>
      <w:b/>
      <w:bCs/>
      <w:lang w:val="nl-NL" w:eastAsia="nl-NL"/>
    </w:rPr>
  </w:style>
  <w:style w:type="paragraph" w:styleId="BalloonText">
    <w:name w:val="Balloon Text"/>
    <w:basedOn w:val="Normal"/>
    <w:link w:val="BalloonTextChar"/>
    <w:rsid w:val="00551A94"/>
    <w:rPr>
      <w:rFonts w:ascii="Tahoma" w:hAnsi="Tahoma" w:cs="Tahoma"/>
      <w:sz w:val="16"/>
      <w:szCs w:val="16"/>
    </w:rPr>
  </w:style>
  <w:style w:type="character" w:customStyle="1" w:styleId="BalloonTextChar">
    <w:name w:val="Balloon Text Char"/>
    <w:link w:val="BalloonText"/>
    <w:rsid w:val="00551A94"/>
    <w:rPr>
      <w:rFonts w:ascii="Tahoma" w:hAnsi="Tahoma" w:cs="Tahoma"/>
      <w:sz w:val="16"/>
      <w:szCs w:val="16"/>
      <w:lang w:val="nl-NL" w:eastAsia="nl-NL"/>
    </w:rPr>
  </w:style>
  <w:style w:type="paragraph" w:styleId="Footer">
    <w:name w:val="footer"/>
    <w:basedOn w:val="Normal"/>
    <w:link w:val="FooterChar"/>
    <w:uiPriority w:val="99"/>
    <w:rsid w:val="00056EE6"/>
    <w:pPr>
      <w:tabs>
        <w:tab w:val="center" w:pos="4536"/>
        <w:tab w:val="right" w:pos="9072"/>
      </w:tabs>
    </w:pPr>
  </w:style>
  <w:style w:type="character" w:styleId="PageNumber">
    <w:name w:val="page number"/>
    <w:basedOn w:val="DefaultParagraphFont"/>
    <w:rsid w:val="00056EE6"/>
  </w:style>
  <w:style w:type="table" w:styleId="TableGrid">
    <w:name w:val="Table Grid"/>
    <w:basedOn w:val="TableNormal"/>
    <w:rsid w:val="008C4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D1035"/>
    <w:pPr>
      <w:numPr>
        <w:numId w:val="4"/>
      </w:numPr>
      <w:contextualSpacing/>
    </w:pPr>
  </w:style>
  <w:style w:type="paragraph" w:styleId="ListNumber">
    <w:name w:val="List Number"/>
    <w:basedOn w:val="Normal"/>
    <w:rsid w:val="003D1035"/>
    <w:pPr>
      <w:numPr>
        <w:numId w:val="5"/>
      </w:numPr>
      <w:contextualSpacing/>
    </w:pPr>
  </w:style>
  <w:style w:type="paragraph" w:styleId="ListParagraph">
    <w:name w:val="List Paragraph"/>
    <w:basedOn w:val="Normal"/>
    <w:uiPriority w:val="34"/>
    <w:qFormat/>
    <w:rsid w:val="00B66199"/>
    <w:pPr>
      <w:ind w:left="720"/>
      <w:contextualSpacing/>
    </w:pPr>
  </w:style>
  <w:style w:type="paragraph" w:styleId="Header">
    <w:name w:val="header"/>
    <w:basedOn w:val="Normal"/>
    <w:link w:val="HeaderChar"/>
    <w:uiPriority w:val="99"/>
    <w:rsid w:val="00AD1A48"/>
    <w:pPr>
      <w:tabs>
        <w:tab w:val="center" w:pos="4680"/>
        <w:tab w:val="right" w:pos="9360"/>
      </w:tabs>
    </w:pPr>
  </w:style>
  <w:style w:type="character" w:customStyle="1" w:styleId="HeaderChar">
    <w:name w:val="Header Char"/>
    <w:basedOn w:val="DefaultParagraphFont"/>
    <w:link w:val="Header"/>
    <w:uiPriority w:val="99"/>
    <w:rsid w:val="00AD1A48"/>
    <w:rPr>
      <w:sz w:val="24"/>
      <w:szCs w:val="24"/>
      <w:lang w:val="nl-NL" w:eastAsia="nl-NL"/>
    </w:rPr>
  </w:style>
  <w:style w:type="paragraph" w:styleId="Title">
    <w:name w:val="Title"/>
    <w:basedOn w:val="Normal"/>
    <w:next w:val="Normal"/>
    <w:link w:val="TitleChar"/>
    <w:autoRedefine/>
    <w:qFormat/>
    <w:rsid w:val="00793635"/>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28"/>
      <w:szCs w:val="52"/>
    </w:rPr>
  </w:style>
  <w:style w:type="character" w:customStyle="1" w:styleId="TitleChar">
    <w:name w:val="Title Char"/>
    <w:basedOn w:val="DefaultParagraphFont"/>
    <w:link w:val="Title"/>
    <w:rsid w:val="00793635"/>
    <w:rPr>
      <w:rFonts w:asciiTheme="majorHAnsi" w:eastAsiaTheme="majorEastAsia" w:hAnsiTheme="majorHAnsi" w:cstheme="majorBidi"/>
      <w:b/>
      <w:color w:val="17365D" w:themeColor="text2" w:themeShade="BF"/>
      <w:spacing w:val="5"/>
      <w:kern w:val="28"/>
      <w:sz w:val="28"/>
      <w:szCs w:val="52"/>
      <w:lang w:val="nl-NL" w:eastAsia="nl-NL"/>
    </w:rPr>
  </w:style>
  <w:style w:type="character" w:customStyle="1" w:styleId="Heading1Char">
    <w:name w:val="Heading 1 Char"/>
    <w:basedOn w:val="DefaultParagraphFont"/>
    <w:link w:val="Heading1"/>
    <w:rsid w:val="00226EE3"/>
    <w:rPr>
      <w:rFonts w:asciiTheme="majorHAnsi" w:eastAsiaTheme="majorEastAsia" w:hAnsiTheme="majorHAnsi" w:cstheme="majorBidi"/>
      <w:b/>
      <w:bCs/>
      <w:color w:val="365F91" w:themeColor="accent1" w:themeShade="BF"/>
      <w:sz w:val="24"/>
      <w:szCs w:val="28"/>
      <w:lang w:val="nl-NL" w:eastAsia="nl-NL"/>
    </w:rPr>
  </w:style>
  <w:style w:type="character" w:styleId="Hyperlink">
    <w:name w:val="Hyperlink"/>
    <w:basedOn w:val="DefaultParagraphFont"/>
    <w:rsid w:val="00793635"/>
    <w:rPr>
      <w:color w:val="0000FF" w:themeColor="hyperlink"/>
      <w:u w:val="single"/>
    </w:rPr>
  </w:style>
  <w:style w:type="character" w:styleId="FollowedHyperlink">
    <w:name w:val="FollowedHyperlink"/>
    <w:basedOn w:val="DefaultParagraphFont"/>
    <w:rsid w:val="00793635"/>
    <w:rPr>
      <w:color w:val="800080" w:themeColor="followedHyperlink"/>
      <w:u w:val="single"/>
    </w:rPr>
  </w:style>
  <w:style w:type="character" w:customStyle="1" w:styleId="FooterChar">
    <w:name w:val="Footer Char"/>
    <w:basedOn w:val="DefaultParagraphFont"/>
    <w:link w:val="Footer"/>
    <w:uiPriority w:val="99"/>
    <w:rsid w:val="00226EE3"/>
    <w:rPr>
      <w:rFonts w:asciiTheme="majorHAnsi" w:hAnsiTheme="majorHAnsi"/>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6841">
      <w:bodyDiv w:val="1"/>
      <w:marLeft w:val="0"/>
      <w:marRight w:val="0"/>
      <w:marTop w:val="0"/>
      <w:marBottom w:val="0"/>
      <w:divBdr>
        <w:top w:val="none" w:sz="0" w:space="0" w:color="auto"/>
        <w:left w:val="none" w:sz="0" w:space="0" w:color="auto"/>
        <w:bottom w:val="none" w:sz="0" w:space="0" w:color="auto"/>
        <w:right w:val="none" w:sz="0" w:space="0" w:color="auto"/>
      </w:divBdr>
    </w:div>
    <w:div w:id="951328883">
      <w:bodyDiv w:val="1"/>
      <w:marLeft w:val="0"/>
      <w:marRight w:val="0"/>
      <w:marTop w:val="0"/>
      <w:marBottom w:val="0"/>
      <w:divBdr>
        <w:top w:val="none" w:sz="0" w:space="0" w:color="auto"/>
        <w:left w:val="none" w:sz="0" w:space="0" w:color="auto"/>
        <w:bottom w:val="none" w:sz="0" w:space="0" w:color="auto"/>
        <w:right w:val="none" w:sz="0" w:space="0" w:color="auto"/>
      </w:divBdr>
    </w:div>
    <w:div w:id="178862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FFAE-75D0-4FB0-B4ED-BDE50A2C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1126</Words>
  <Characters>6051</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of 3rd meeting of the IPPC ePhyto steering Group, Rome, 24 – 27 May 2015</vt:lpstr>
      <vt:lpstr>Report of 3rd meeting of the IPPC ePhyto steering Group, Rome, 24 – 27 May 2015</vt:lpstr>
    </vt:vector>
  </TitlesOfParts>
  <Company>Ministerie van LNV</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3rd meeting of the IPPC ePhyto steering Group, Rome, 24 – 27 May 2015</dc:title>
  <dc:creator>horn</dc:creator>
  <cp:lastModifiedBy>Sela, Shane</cp:lastModifiedBy>
  <cp:revision>2</cp:revision>
  <dcterms:created xsi:type="dcterms:W3CDTF">2017-01-10T21:51:00Z</dcterms:created>
  <dcterms:modified xsi:type="dcterms:W3CDTF">2017-01-10T21:51:00Z</dcterms:modified>
</cp:coreProperties>
</file>