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455"/>
        <w:gridCol w:w="905"/>
        <w:gridCol w:w="3720"/>
        <w:gridCol w:w="4197"/>
      </w:tblGrid>
      <w:tr w:rsidR="00A70C65" w:rsidRPr="008270A3" w:rsidTr="00FC659A">
        <w:trPr>
          <w:trHeight w:val="502"/>
        </w:trPr>
        <w:tc>
          <w:tcPr>
            <w:tcW w:w="5000" w:type="pct"/>
            <w:gridSpan w:val="4"/>
            <w:shd w:val="clear" w:color="auto" w:fill="000000" w:themeFill="text1"/>
            <w:vAlign w:val="bottom"/>
          </w:tcPr>
          <w:p w:rsidR="00A70C65" w:rsidRPr="008270A3" w:rsidRDefault="00A70C65" w:rsidP="00FC659A">
            <w:pPr>
              <w:pStyle w:val="IPPArialTable"/>
              <w:spacing w:before="0" w:after="0"/>
              <w:jc w:val="center"/>
              <w:rPr>
                <w:sz w:val="22"/>
                <w:lang w:val="en-US"/>
              </w:rPr>
            </w:pPr>
            <w:r w:rsidRPr="008270A3">
              <w:rPr>
                <w:b/>
                <w:bCs/>
                <w:sz w:val="22"/>
                <w:szCs w:val="22"/>
                <w:lang w:val="en-US"/>
              </w:rPr>
              <w:t xml:space="preserve">Cold treatment for </w:t>
            </w:r>
            <w:r w:rsidRPr="008270A3">
              <w:rPr>
                <w:b/>
                <w:bCs/>
                <w:i/>
                <w:sz w:val="22"/>
                <w:szCs w:val="22"/>
                <w:lang w:val="en-US"/>
              </w:rPr>
              <w:t>Ceratitis capitata</w:t>
            </w:r>
            <w:r w:rsidRPr="008270A3">
              <w:rPr>
                <w:b/>
                <w:bCs/>
                <w:sz w:val="22"/>
                <w:szCs w:val="22"/>
                <w:lang w:val="en-US"/>
              </w:rPr>
              <w:t xml:space="preserve"> on </w:t>
            </w:r>
            <w:r w:rsidRPr="008270A3">
              <w:rPr>
                <w:b/>
                <w:bCs/>
                <w:i/>
                <w:sz w:val="22"/>
                <w:szCs w:val="22"/>
                <w:lang w:val="en-US"/>
              </w:rPr>
              <w:t xml:space="preserve">Citrus sinensis </w:t>
            </w:r>
            <w:r w:rsidRPr="008270A3">
              <w:rPr>
                <w:b/>
                <w:bCs/>
                <w:iCs/>
                <w:sz w:val="22"/>
                <w:szCs w:val="22"/>
                <w:lang w:val="en-US"/>
              </w:rPr>
              <w:t>(2007-206A)</w:t>
            </w:r>
          </w:p>
        </w:tc>
      </w:tr>
      <w:tr w:rsidR="00A70C65" w:rsidRPr="002367C1" w:rsidTr="00FC659A">
        <w:trPr>
          <w:trHeight w:val="502"/>
        </w:trPr>
        <w:tc>
          <w:tcPr>
            <w:tcW w:w="245" w:type="pct"/>
            <w:shd w:val="clear" w:color="auto" w:fill="D9D9D9" w:themeFill="background1" w:themeFillShade="D9"/>
          </w:tcPr>
          <w:p w:rsidR="00A70C65" w:rsidRPr="001D07F3" w:rsidRDefault="00A70C65" w:rsidP="00FC659A">
            <w:pPr>
              <w:pStyle w:val="IPPArialTable"/>
              <w:widowControl w:val="0"/>
              <w:spacing w:before="0" w:after="0"/>
              <w:rPr>
                <w:b/>
              </w:rPr>
            </w:pPr>
          </w:p>
        </w:tc>
        <w:tc>
          <w:tcPr>
            <w:tcW w:w="488" w:type="pct"/>
            <w:shd w:val="clear" w:color="auto" w:fill="D9D9D9" w:themeFill="background1" w:themeFillShade="D9"/>
          </w:tcPr>
          <w:p w:rsidR="00A70C65" w:rsidRPr="001D07F3" w:rsidRDefault="00A70C65" w:rsidP="00FC659A">
            <w:pPr>
              <w:pStyle w:val="IPPArialTable"/>
              <w:spacing w:before="0" w:after="0"/>
              <w:rPr>
                <w:b/>
                <w:bCs/>
              </w:rPr>
            </w:pPr>
            <w:r w:rsidRPr="001D07F3">
              <w:rPr>
                <w:b/>
                <w:bCs/>
              </w:rPr>
              <w:t>Contracting Party</w:t>
            </w:r>
          </w:p>
        </w:tc>
        <w:tc>
          <w:tcPr>
            <w:tcW w:w="2005" w:type="pct"/>
            <w:shd w:val="clear" w:color="auto" w:fill="D9D9D9" w:themeFill="background1" w:themeFillShade="D9"/>
          </w:tcPr>
          <w:p w:rsidR="00A70C65" w:rsidRPr="001D07F3" w:rsidRDefault="00A70C65" w:rsidP="00FC659A">
            <w:pPr>
              <w:pStyle w:val="IPPArialTable"/>
              <w:widowControl w:val="0"/>
              <w:spacing w:before="0" w:after="0"/>
              <w:rPr>
                <w:b/>
                <w:bCs/>
              </w:rPr>
            </w:pPr>
            <w:r w:rsidRPr="001D07F3">
              <w:rPr>
                <w:b/>
                <w:bCs/>
              </w:rPr>
              <w:t>Formal objection and Explanation 2014</w:t>
            </w:r>
          </w:p>
        </w:tc>
        <w:tc>
          <w:tcPr>
            <w:tcW w:w="2262" w:type="pct"/>
            <w:shd w:val="clear" w:color="auto" w:fill="D9D9D9" w:themeFill="background1" w:themeFillShade="D9"/>
          </w:tcPr>
          <w:p w:rsidR="00A70C65" w:rsidRPr="001D07F3" w:rsidRDefault="00380E85" w:rsidP="00FC659A">
            <w:pPr>
              <w:pStyle w:val="IPPArialTable"/>
              <w:widowControl w:val="0"/>
              <w:spacing w:before="0" w:after="0"/>
              <w:rPr>
                <w:b/>
                <w:bCs/>
              </w:rPr>
            </w:pPr>
            <w:r>
              <w:rPr>
                <w:b/>
                <w:bCs/>
              </w:rPr>
              <w:t>SC</w:t>
            </w:r>
            <w:r w:rsidRPr="001D07F3">
              <w:rPr>
                <w:b/>
                <w:bCs/>
              </w:rPr>
              <w:t xml:space="preserve"> </w:t>
            </w:r>
            <w:r w:rsidR="00A70C65" w:rsidRPr="001D07F3">
              <w:rPr>
                <w:b/>
                <w:bCs/>
              </w:rPr>
              <w:t>Response</w:t>
            </w:r>
            <w:bookmarkStart w:id="0" w:name="_GoBack"/>
            <w:r w:rsidR="00524128">
              <w:rPr>
                <w:b/>
                <w:bCs/>
              </w:rPr>
              <w:t>s</w:t>
            </w:r>
            <w:bookmarkEnd w:id="0"/>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t>24</w:t>
            </w:r>
          </w:p>
        </w:tc>
        <w:tc>
          <w:tcPr>
            <w:tcW w:w="488" w:type="pct"/>
          </w:tcPr>
          <w:p w:rsidR="00A70C65" w:rsidRPr="001D7D3D" w:rsidRDefault="00A70C65" w:rsidP="00FC659A">
            <w:pPr>
              <w:pStyle w:val="IPPArialTable"/>
              <w:widowControl w:val="0"/>
              <w:spacing w:before="0" w:after="0"/>
            </w:pPr>
            <w:r w:rsidRPr="00A0690E">
              <w:t>China</w:t>
            </w:r>
          </w:p>
        </w:tc>
        <w:tc>
          <w:tcPr>
            <w:tcW w:w="2005" w:type="pct"/>
          </w:tcPr>
          <w:p w:rsidR="00A70C65" w:rsidRDefault="00A70C65" w:rsidP="00FC659A">
            <w:pPr>
              <w:pStyle w:val="IPPArialTable"/>
              <w:widowControl w:val="0"/>
              <w:spacing w:before="0" w:after="0"/>
            </w:pPr>
            <w:r w:rsidRPr="001D7D3D">
              <w:t>China</w:t>
            </w:r>
            <w:r w:rsidRPr="001D7D3D">
              <w:rPr>
                <w:rFonts w:hint="eastAsia"/>
              </w:rPr>
              <w:t xml:space="preserve"> believes that the conditions for adopting </w:t>
            </w:r>
            <w:r w:rsidRPr="001D7D3D">
              <w:t xml:space="preserve">&lt;Cold treatment for </w:t>
            </w:r>
            <w:r w:rsidRPr="001D7D3D">
              <w:rPr>
                <w:i/>
              </w:rPr>
              <w:t>Ceratitis capitata</w:t>
            </w:r>
            <w:r w:rsidRPr="001D7D3D">
              <w:t xml:space="preserve"> on </w:t>
            </w:r>
            <w:r w:rsidRPr="001D7D3D">
              <w:rPr>
                <w:i/>
              </w:rPr>
              <w:t>Citrus sinensis</w:t>
            </w:r>
            <w:r w:rsidRPr="001D7D3D">
              <w:t xml:space="preserve"> &gt;</w:t>
            </w:r>
            <w:r w:rsidRPr="001D7D3D">
              <w:rPr>
                <w:rFonts w:hint="eastAsia"/>
              </w:rPr>
              <w:t xml:space="preserve"> (</w:t>
            </w:r>
            <w:r w:rsidRPr="001D7D3D">
              <w:t>CPM 2014/03_0</w:t>
            </w:r>
            <w:r w:rsidRPr="001D7D3D">
              <w:rPr>
                <w:rFonts w:hint="eastAsia"/>
              </w:rPr>
              <w:t>4</w:t>
            </w:r>
            <w:r w:rsidRPr="001D7D3D">
              <w:t>)</w:t>
            </w:r>
            <w:r w:rsidRPr="001D7D3D">
              <w:rPr>
                <w:rFonts w:hint="eastAsia"/>
              </w:rPr>
              <w:t xml:space="preserve"> are not perfectly </w:t>
            </w:r>
            <w:r w:rsidRPr="001D7D3D">
              <w:t>satisfied</w:t>
            </w:r>
            <w:r w:rsidRPr="001D7D3D">
              <w:rPr>
                <w:rFonts w:hint="eastAsia"/>
              </w:rPr>
              <w:t xml:space="preserve"> and formally objects to adopting the draft standard. The reasons are as follows:</w:t>
            </w:r>
          </w:p>
          <w:p w:rsidR="00D676F0" w:rsidRDefault="00A70C65" w:rsidP="00FE7C79">
            <w:pPr>
              <w:pStyle w:val="IPPArialTable"/>
              <w:widowControl w:val="0"/>
              <w:numPr>
                <w:ilvl w:val="0"/>
                <w:numId w:val="20"/>
              </w:numPr>
              <w:spacing w:before="0" w:after="0"/>
            </w:pPr>
            <w:r w:rsidRPr="001D7D3D">
              <w:t xml:space="preserve">High security of phytosanitary treatment requires a large number of </w:t>
            </w:r>
            <w:r w:rsidRPr="001D7D3D">
              <w:rPr>
                <w:rFonts w:hint="eastAsia"/>
              </w:rPr>
              <w:t xml:space="preserve">studies </w:t>
            </w:r>
            <w:r w:rsidRPr="001D7D3D">
              <w:t xml:space="preserve">and test data. </w:t>
            </w:r>
            <w:r w:rsidRPr="001D7D3D">
              <w:rPr>
                <w:rFonts w:hint="eastAsia"/>
              </w:rPr>
              <w:t>T</w:t>
            </w:r>
            <w:r w:rsidRPr="001D7D3D">
              <w:t xml:space="preserve">he draft standard </w:t>
            </w:r>
            <w:r w:rsidRPr="001D7D3D">
              <w:rPr>
                <w:rFonts w:hint="eastAsia"/>
              </w:rPr>
              <w:t>is bas</w:t>
            </w:r>
          </w:p>
          <w:p w:rsidR="00A70C65" w:rsidRPr="001D7D3D" w:rsidRDefault="00A70C65" w:rsidP="00FE7C79">
            <w:pPr>
              <w:pStyle w:val="IPPArialTable"/>
              <w:widowControl w:val="0"/>
              <w:numPr>
                <w:ilvl w:val="0"/>
                <w:numId w:val="20"/>
              </w:numPr>
              <w:spacing w:before="0" w:after="0"/>
            </w:pPr>
            <w:r w:rsidRPr="001D7D3D">
              <w:rPr>
                <w:rFonts w:hint="eastAsia"/>
              </w:rPr>
              <w:t>ed on 4</w:t>
            </w:r>
            <w:r w:rsidRPr="001D7D3D">
              <w:t xml:space="preserve"> references</w:t>
            </w:r>
            <w:r w:rsidRPr="001D7D3D">
              <w:rPr>
                <w:rFonts w:hint="eastAsia"/>
              </w:rPr>
              <w:t xml:space="preserve">, among which only 3 are drawn from laboratory studies. And one of the major bases, i.e. the study by De Lima </w:t>
            </w:r>
            <w:r w:rsidRPr="001D7D3D">
              <w:rPr>
                <w:rFonts w:hint="eastAsia"/>
                <w:i/>
              </w:rPr>
              <w:t>et al.</w:t>
            </w:r>
            <w:r w:rsidRPr="001D7D3D">
              <w:rPr>
                <w:rFonts w:hint="eastAsia"/>
              </w:rPr>
              <w:t xml:space="preserve"> (2007) is </w:t>
            </w:r>
            <w:r w:rsidRPr="001D7D3D">
              <w:t xml:space="preserve">less rigorous </w:t>
            </w:r>
            <w:r w:rsidRPr="001D7D3D">
              <w:rPr>
                <w:rFonts w:hint="eastAsia"/>
              </w:rPr>
              <w:t xml:space="preserve">and insufficient in data record and test design, which can hardly </w:t>
            </w:r>
            <w:r w:rsidRPr="001D7D3D">
              <w:t xml:space="preserve">support the </w:t>
            </w:r>
            <w:r w:rsidRPr="001D7D3D">
              <w:rPr>
                <w:rFonts w:hint="eastAsia"/>
              </w:rPr>
              <w:t xml:space="preserve">cold </w:t>
            </w:r>
            <w:r w:rsidRPr="001D7D3D">
              <w:t>treatment standard.</w:t>
            </w:r>
          </w:p>
        </w:tc>
        <w:tc>
          <w:tcPr>
            <w:tcW w:w="2262" w:type="pct"/>
          </w:tcPr>
          <w:p w:rsidR="00A70C65" w:rsidRDefault="00A70C65" w:rsidP="00FC659A">
            <w:pPr>
              <w:pStyle w:val="IPPArialTable"/>
              <w:widowControl w:val="0"/>
              <w:spacing w:before="0" w:after="0"/>
            </w:pPr>
            <w:r w:rsidRPr="00B10B9C">
              <w:t xml:space="preserve">The data and other information submitted by the NPPO for the evaluation of efficacy, feasibility and applicability of these treatments were analyzed by the TPPT and </w:t>
            </w:r>
            <w:r>
              <w:t xml:space="preserve">found to fulfill </w:t>
            </w:r>
            <w:r w:rsidRPr="00B10B9C">
              <w:t>all the requirements stated by ISPM 28</w:t>
            </w:r>
            <w:r>
              <w:t xml:space="preserve"> regarding sufficiency of data and requirements for scientific rigour.</w:t>
            </w:r>
          </w:p>
          <w:p w:rsidR="00A70C65" w:rsidRPr="002367C1" w:rsidRDefault="00A70C65" w:rsidP="00FC659A">
            <w:pPr>
              <w:pStyle w:val="IPPArialTable"/>
              <w:widowControl w:val="0"/>
              <w:spacing w:before="0" w:after="0"/>
            </w:pPr>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t>25</w:t>
            </w:r>
          </w:p>
        </w:tc>
        <w:tc>
          <w:tcPr>
            <w:tcW w:w="488" w:type="pct"/>
          </w:tcPr>
          <w:p w:rsidR="00A70C65" w:rsidRPr="001D7D3D" w:rsidRDefault="00A70C65" w:rsidP="00FC659A">
            <w:pPr>
              <w:pStyle w:val="IPPArialTable"/>
              <w:spacing w:before="0" w:after="0"/>
            </w:pPr>
            <w:r w:rsidRPr="00543E32">
              <w:t>China</w:t>
            </w:r>
          </w:p>
        </w:tc>
        <w:tc>
          <w:tcPr>
            <w:tcW w:w="2005" w:type="pct"/>
          </w:tcPr>
          <w:p w:rsidR="00A70C65" w:rsidRPr="001D7D3D" w:rsidRDefault="00A70C65" w:rsidP="00FC659A">
            <w:pPr>
              <w:pStyle w:val="IPPArialTable"/>
              <w:spacing w:before="0" w:after="0"/>
            </w:pPr>
            <w:r w:rsidRPr="001D7D3D">
              <w:rPr>
                <w:rFonts w:hint="eastAsia"/>
              </w:rPr>
              <w:t>2.</w:t>
            </w:r>
            <w:r w:rsidRPr="001D7D3D">
              <w:t xml:space="preserve"> The </w:t>
            </w:r>
            <w:r w:rsidRPr="001D7D3D">
              <w:rPr>
                <w:rFonts w:hint="eastAsia"/>
              </w:rPr>
              <w:t xml:space="preserve">study of the cold treatment for </w:t>
            </w:r>
            <w:r w:rsidRPr="001D7D3D">
              <w:rPr>
                <w:i/>
              </w:rPr>
              <w:t>Ceratitis capitata</w:t>
            </w:r>
            <w:r w:rsidRPr="001D7D3D">
              <w:t xml:space="preserve"> on </w:t>
            </w:r>
            <w:r w:rsidRPr="001D7D3D">
              <w:rPr>
                <w:i/>
              </w:rPr>
              <w:t>Citrus sinensis</w:t>
            </w:r>
            <w:r w:rsidRPr="001D7D3D">
              <w:rPr>
                <w:rFonts w:hint="eastAsia"/>
              </w:rPr>
              <w:t xml:space="preserve"> by </w:t>
            </w:r>
            <w:r w:rsidRPr="001D7D3D">
              <w:t xml:space="preserve">De Lima </w:t>
            </w:r>
            <w:r w:rsidRPr="001D7D3D">
              <w:rPr>
                <w:i/>
              </w:rPr>
              <w:t>et al</w:t>
            </w:r>
            <w:r w:rsidRPr="001D7D3D">
              <w:rPr>
                <w:rFonts w:hint="eastAsia"/>
              </w:rPr>
              <w:t>.</w:t>
            </w:r>
            <w:r w:rsidRPr="001D7D3D">
              <w:t xml:space="preserve"> (2007) </w:t>
            </w:r>
            <w:r w:rsidRPr="001D7D3D">
              <w:rPr>
                <w:rFonts w:hint="eastAsia"/>
              </w:rPr>
              <w:t xml:space="preserve">demonstrates a treatment schedule of </w:t>
            </w:r>
            <w:r w:rsidRPr="001D7D3D">
              <w:t>“2</w:t>
            </w:r>
            <w:r w:rsidRPr="001D7D3D">
              <w:rPr>
                <w:rFonts w:hint="eastAsia"/>
              </w:rPr>
              <w:t xml:space="preserve"> </w:t>
            </w:r>
            <w:r w:rsidRPr="001D7D3D">
              <w:rPr>
                <w:rFonts w:ascii="Cambria Math" w:hAnsi="Cambria Math" w:cs="Cambria Math"/>
              </w:rPr>
              <w:t>℃</w:t>
            </w:r>
            <w:r w:rsidRPr="001D7D3D">
              <w:t xml:space="preserve"> or below</w:t>
            </w:r>
            <w:r w:rsidRPr="001D7D3D">
              <w:rPr>
                <w:rFonts w:hint="eastAsia"/>
              </w:rPr>
              <w:t xml:space="preserve"> for 18 continuous days</w:t>
            </w:r>
            <w:r w:rsidRPr="001D7D3D">
              <w:t>”</w:t>
            </w:r>
            <w:r w:rsidRPr="001D7D3D">
              <w:rPr>
                <w:rFonts w:hint="eastAsia"/>
              </w:rPr>
              <w:t xml:space="preserve">, while the study by </w:t>
            </w:r>
            <w:r w:rsidRPr="001D7D3D">
              <w:t xml:space="preserve">Willink </w:t>
            </w:r>
            <w:r w:rsidRPr="001D7D3D">
              <w:rPr>
                <w:i/>
              </w:rPr>
              <w:t>et al</w:t>
            </w:r>
            <w:r w:rsidRPr="001D7D3D">
              <w:rPr>
                <w:rFonts w:hint="eastAsia"/>
                <w:i/>
              </w:rPr>
              <w:t>.</w:t>
            </w:r>
            <w:r w:rsidRPr="001D7D3D">
              <w:t xml:space="preserve"> (2007)</w:t>
            </w:r>
            <w:r w:rsidRPr="001D7D3D">
              <w:rPr>
                <w:rFonts w:hint="eastAsia"/>
              </w:rPr>
              <w:t xml:space="preserve"> supports the schedule of </w:t>
            </w:r>
            <w:r w:rsidRPr="001D7D3D">
              <w:t>“2</w:t>
            </w:r>
            <w:r w:rsidRPr="001D7D3D">
              <w:rPr>
                <w:rFonts w:hint="eastAsia"/>
              </w:rPr>
              <w:t xml:space="preserve"> </w:t>
            </w:r>
            <w:r w:rsidRPr="001D7D3D">
              <w:rPr>
                <w:rFonts w:ascii="Cambria Math" w:hAnsi="Cambria Math" w:cs="Cambria Math"/>
              </w:rPr>
              <w:t>℃</w:t>
            </w:r>
            <w:r w:rsidRPr="001D7D3D">
              <w:t xml:space="preserve"> or below</w:t>
            </w:r>
            <w:r w:rsidRPr="001D7D3D">
              <w:rPr>
                <w:rFonts w:hint="eastAsia"/>
              </w:rPr>
              <w:t xml:space="preserve"> for 21 continuous days</w:t>
            </w:r>
            <w:r w:rsidRPr="001D7D3D">
              <w:t>”</w:t>
            </w:r>
            <w:r w:rsidRPr="001D7D3D">
              <w:rPr>
                <w:rFonts w:hint="eastAsia"/>
              </w:rPr>
              <w:t xml:space="preserve">, which indicates that there could be </w:t>
            </w:r>
            <w:r w:rsidRPr="001D7D3D">
              <w:t xml:space="preserve">a big difference </w:t>
            </w:r>
            <w:r w:rsidRPr="001D7D3D">
              <w:rPr>
                <w:rFonts w:hint="eastAsia"/>
              </w:rPr>
              <w:t xml:space="preserve">of low temperature </w:t>
            </w:r>
            <w:r w:rsidRPr="001D7D3D">
              <w:t>tolerance</w:t>
            </w:r>
            <w:r w:rsidRPr="001D7D3D">
              <w:rPr>
                <w:rFonts w:hint="eastAsia"/>
              </w:rPr>
              <w:t xml:space="preserve"> </w:t>
            </w:r>
            <w:r w:rsidRPr="001D7D3D">
              <w:t>between</w:t>
            </w:r>
            <w:r w:rsidRPr="001D7D3D">
              <w:rPr>
                <w:rFonts w:hint="eastAsia"/>
              </w:rPr>
              <w:t xml:space="preserve"> different geographical populations of</w:t>
            </w:r>
            <w:r w:rsidRPr="001D7D3D">
              <w:t xml:space="preserve"> </w:t>
            </w:r>
            <w:r w:rsidRPr="001D7D3D">
              <w:rPr>
                <w:i/>
              </w:rPr>
              <w:t>Ceratitis capitata</w:t>
            </w:r>
            <w:r w:rsidRPr="001D7D3D">
              <w:rPr>
                <w:rFonts w:hint="eastAsia"/>
              </w:rPr>
              <w:t>.</w:t>
            </w:r>
            <w:r w:rsidRPr="001D7D3D">
              <w:t xml:space="preserve"> </w:t>
            </w:r>
            <w:r w:rsidRPr="001D7D3D">
              <w:rPr>
                <w:rFonts w:hint="eastAsia"/>
              </w:rPr>
              <w:t xml:space="preserve">And hence it may incur high phytosanitary risk that the draft standard </w:t>
            </w:r>
            <w:r w:rsidRPr="001D7D3D">
              <w:t>extrapolates</w:t>
            </w:r>
            <w:r w:rsidRPr="001D7D3D">
              <w:rPr>
                <w:rFonts w:hint="eastAsia"/>
              </w:rPr>
              <w:t xml:space="preserve"> the study findings from a specific geographical population of</w:t>
            </w:r>
            <w:r w:rsidRPr="001D7D3D">
              <w:t xml:space="preserve"> </w:t>
            </w:r>
            <w:r w:rsidRPr="001D7D3D">
              <w:rPr>
                <w:i/>
              </w:rPr>
              <w:t>Ceratitis capitata</w:t>
            </w:r>
            <w:r w:rsidRPr="001D7D3D">
              <w:t xml:space="preserve"> </w:t>
            </w:r>
            <w:r w:rsidRPr="001D7D3D">
              <w:rPr>
                <w:rFonts w:hint="eastAsia"/>
              </w:rPr>
              <w:t>to all the populations of the species worldwide</w:t>
            </w:r>
            <w:r w:rsidRPr="001D7D3D">
              <w:t>.</w:t>
            </w:r>
          </w:p>
        </w:tc>
        <w:tc>
          <w:tcPr>
            <w:tcW w:w="2262" w:type="pct"/>
          </w:tcPr>
          <w:p w:rsidR="00A70C65" w:rsidRDefault="00A70C65" w:rsidP="00FC659A">
            <w:pPr>
              <w:pStyle w:val="IPPArialTable"/>
              <w:widowControl w:val="0"/>
              <w:spacing w:before="0" w:after="0"/>
            </w:pPr>
            <w:r>
              <w:t xml:space="preserve">The TPPT noted that different research methodologies may result in different, but valid treatment schedules. </w:t>
            </w:r>
            <w:r w:rsidRPr="00355480">
              <w:t xml:space="preserve">The TPPT considered a recent scientific study (see 2016-09 TPPT meeting report) undertaken to investigate 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r w:rsidRPr="00355480">
              <w:rPr>
                <w:i/>
              </w:rPr>
              <w:t>Cerati</w:t>
            </w:r>
            <w:r>
              <w:rPr>
                <w:i/>
              </w:rPr>
              <w:t>t</w:t>
            </w:r>
            <w:r w:rsidRPr="00355480">
              <w:rPr>
                <w:i/>
              </w:rPr>
              <w:t>is capitata</w:t>
            </w:r>
            <w:r w:rsidRPr="00355480">
              <w:t xml:space="preserve"> </w:t>
            </w:r>
            <w:r>
              <w:t>from geographically separate regions</w:t>
            </w:r>
            <w:r w:rsidRPr="00355480">
              <w:t xml:space="preserve">. </w:t>
            </w:r>
          </w:p>
          <w:p w:rsidR="00A70C65" w:rsidRDefault="00A70C65" w:rsidP="00FC659A">
            <w:pPr>
              <w:pStyle w:val="IPPArialTable"/>
              <w:widowControl w:val="0"/>
              <w:spacing w:before="0" w:after="0"/>
            </w:pPr>
          </w:p>
          <w:p w:rsidR="00A70C65" w:rsidRPr="00355480" w:rsidRDefault="00A70C65"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r w:rsidRPr="00254F97">
              <w:rPr>
                <w:i/>
              </w:rPr>
              <w:t>capitata</w:t>
            </w:r>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capitata</w:t>
            </w:r>
            <w:r>
              <w:t>.</w:t>
            </w:r>
            <w:r w:rsidRPr="00355480">
              <w:t xml:space="preserve"> </w:t>
            </w:r>
            <w:r>
              <w:t>T</w:t>
            </w:r>
            <w:r w:rsidRPr="00355480">
              <w:t>herefore this phytosanitary treatment fully meets the requirements set out in ISPM 28.</w:t>
            </w:r>
            <w:r>
              <w:t xml:space="preserve">  </w:t>
            </w:r>
          </w:p>
          <w:p w:rsidR="00A70C65" w:rsidRDefault="00A70C65" w:rsidP="00FC659A">
            <w:pPr>
              <w:pStyle w:val="IPPArialTable"/>
              <w:widowControl w:val="0"/>
              <w:spacing w:before="0" w:after="0"/>
            </w:pPr>
          </w:p>
          <w:p w:rsidR="00A70C65" w:rsidRPr="002367C1" w:rsidRDefault="00A70C65" w:rsidP="00FC659A">
            <w:pPr>
              <w:pStyle w:val="IPPArialTable"/>
              <w:widowControl w:val="0"/>
              <w:spacing w:before="0" w:after="0"/>
            </w:pPr>
          </w:p>
        </w:tc>
      </w:tr>
      <w:tr w:rsidR="00A70C65" w:rsidRPr="002367C1" w:rsidTr="00FC659A">
        <w:trPr>
          <w:trHeight w:val="1188"/>
        </w:trPr>
        <w:tc>
          <w:tcPr>
            <w:tcW w:w="245" w:type="pct"/>
          </w:tcPr>
          <w:p w:rsidR="00A70C65" w:rsidRDefault="00A70C65" w:rsidP="00FC659A">
            <w:pPr>
              <w:pStyle w:val="IPPArialTable"/>
              <w:widowControl w:val="0"/>
              <w:spacing w:before="0" w:after="0"/>
              <w:rPr>
                <w:caps/>
              </w:rPr>
            </w:pPr>
            <w:r>
              <w:rPr>
                <w:caps/>
              </w:rPr>
              <w:t>26</w:t>
            </w:r>
          </w:p>
        </w:tc>
        <w:tc>
          <w:tcPr>
            <w:tcW w:w="488" w:type="pct"/>
          </w:tcPr>
          <w:p w:rsidR="00A70C65" w:rsidRPr="001D7D3D" w:rsidRDefault="00A70C65" w:rsidP="00FC659A">
            <w:pPr>
              <w:pStyle w:val="IPPArialTable"/>
              <w:spacing w:before="0" w:after="0"/>
            </w:pPr>
            <w:r w:rsidRPr="00A0690E">
              <w:t>China</w:t>
            </w:r>
          </w:p>
        </w:tc>
        <w:tc>
          <w:tcPr>
            <w:tcW w:w="2005" w:type="pct"/>
          </w:tcPr>
          <w:p w:rsidR="00A70C65" w:rsidRPr="001D7D3D" w:rsidRDefault="00A70C65" w:rsidP="00FC659A">
            <w:pPr>
              <w:pStyle w:val="IPPArialTable"/>
              <w:spacing w:before="0" w:after="0"/>
            </w:pPr>
            <w:r w:rsidRPr="001D7D3D">
              <w:rPr>
                <w:rFonts w:hint="eastAsia"/>
              </w:rPr>
              <w:t xml:space="preserve">3. As the bases for the draft standard, the studies by </w:t>
            </w:r>
            <w:r w:rsidRPr="001D7D3D">
              <w:t xml:space="preserve">De Lima </w:t>
            </w:r>
            <w:r w:rsidRPr="001D7D3D">
              <w:rPr>
                <w:i/>
              </w:rPr>
              <w:t>et al</w:t>
            </w:r>
            <w:r w:rsidRPr="001D7D3D">
              <w:rPr>
                <w:rFonts w:hint="eastAsia"/>
              </w:rPr>
              <w:t>.</w:t>
            </w:r>
            <w:r w:rsidRPr="001D7D3D">
              <w:t xml:space="preserve"> </w:t>
            </w:r>
            <w:r w:rsidRPr="001D7D3D">
              <w:rPr>
                <w:rFonts w:hint="eastAsia"/>
              </w:rPr>
              <w:t>(</w:t>
            </w:r>
            <w:r w:rsidRPr="001D7D3D">
              <w:t>2007</w:t>
            </w:r>
            <w:r w:rsidRPr="001D7D3D">
              <w:rPr>
                <w:rFonts w:hint="eastAsia"/>
              </w:rPr>
              <w:t>)</w:t>
            </w:r>
            <w:r w:rsidRPr="001D7D3D">
              <w:t xml:space="preserve"> and Willink </w:t>
            </w:r>
            <w:r w:rsidRPr="001D7D3D">
              <w:rPr>
                <w:i/>
              </w:rPr>
              <w:t>et al</w:t>
            </w:r>
            <w:r w:rsidRPr="001D7D3D">
              <w:rPr>
                <w:rFonts w:hint="eastAsia"/>
                <w:i/>
              </w:rPr>
              <w:t>.</w:t>
            </w:r>
            <w:r w:rsidRPr="001D7D3D">
              <w:t xml:space="preserve"> </w:t>
            </w:r>
            <w:r w:rsidRPr="001D7D3D">
              <w:rPr>
                <w:rFonts w:hint="eastAsia"/>
              </w:rPr>
              <w:t>(</w:t>
            </w:r>
            <w:r w:rsidRPr="001D7D3D">
              <w:t>2007</w:t>
            </w:r>
            <w:r w:rsidRPr="001D7D3D">
              <w:rPr>
                <w:rFonts w:hint="eastAsia"/>
              </w:rPr>
              <w:t xml:space="preserve">) test only a few of cultivars while the difference of cultivars has not been taken into consideration. The extrapolation of the findings from a few cultivars to all the cultivars may incur </w:t>
            </w:r>
            <w:r w:rsidRPr="001D7D3D">
              <w:t>phytosanitary risk.</w:t>
            </w:r>
          </w:p>
        </w:tc>
        <w:tc>
          <w:tcPr>
            <w:tcW w:w="2262" w:type="pct"/>
          </w:tcPr>
          <w:p w:rsidR="00A70C65" w:rsidRDefault="00A70C65" w:rsidP="00FC659A">
            <w:pPr>
              <w:pStyle w:val="IPPArialTable"/>
              <w:widowControl w:val="0"/>
              <w:spacing w:before="0" w:after="0"/>
            </w:pPr>
            <w:r>
              <w:t xml:space="preserve">The TPPT is unaware of evidence that substantiates cultivar and varietal differences in cold treatment efficacy in </w:t>
            </w:r>
            <w:r w:rsidRPr="007F1687">
              <w:rPr>
                <w:i/>
              </w:rPr>
              <w:t xml:space="preserve">Citrus </w:t>
            </w:r>
            <w:r w:rsidRPr="00D7734E">
              <w:t>species</w:t>
            </w:r>
            <w:r>
              <w:t xml:space="preserve">. In addition, Willink et al., 2007 demonstrated the efficacy of the treatment schedule across four varieties of </w:t>
            </w:r>
            <w:r w:rsidRPr="00D7734E">
              <w:rPr>
                <w:i/>
              </w:rPr>
              <w:t>C. paradisi</w:t>
            </w:r>
            <w:r>
              <w:t xml:space="preserve"> and found no significant differences in varietal responses. The TPPT concluded that this study demonstrates that there are no significant differences in varietal responses to cold treatments.</w:t>
            </w:r>
          </w:p>
          <w:p w:rsidR="00A70C65" w:rsidRDefault="00A70C65" w:rsidP="00FC659A">
            <w:pPr>
              <w:pStyle w:val="IPPArialTable"/>
              <w:widowControl w:val="0"/>
              <w:spacing w:before="0" w:after="0"/>
            </w:pPr>
          </w:p>
          <w:p w:rsidR="00A70C65" w:rsidRPr="005A546E" w:rsidRDefault="00A70C65" w:rsidP="00FC659A">
            <w:pPr>
              <w:pStyle w:val="IPPArialTable"/>
              <w:widowControl w:val="0"/>
              <w:spacing w:before="0" w:after="0"/>
            </w:pPr>
            <w:r>
              <w:t>In accordance with ISPM 28 section 3.2.1, the TPPT accepts the treatment applicability at species level. T</w:t>
            </w:r>
            <w:r w:rsidRPr="00355480">
              <w:t>herefore this phytosanitary treatment fully meets the requirements set out in ISPM 28.</w:t>
            </w:r>
            <w:r>
              <w:t xml:space="preserve"> </w:t>
            </w:r>
          </w:p>
          <w:p w:rsidR="00A70C65" w:rsidRDefault="00A70C65" w:rsidP="00FC659A">
            <w:pPr>
              <w:pStyle w:val="IPPArialTable"/>
              <w:widowControl w:val="0"/>
              <w:spacing w:before="0" w:after="0"/>
            </w:pPr>
          </w:p>
          <w:p w:rsidR="00A70C65" w:rsidRPr="002367C1" w:rsidRDefault="00A70C65" w:rsidP="00FC659A">
            <w:pPr>
              <w:pStyle w:val="IPPArialTable"/>
              <w:widowControl w:val="0"/>
              <w:spacing w:before="0" w:after="0"/>
            </w:pPr>
          </w:p>
        </w:tc>
      </w:tr>
      <w:tr w:rsidR="00A70C65" w:rsidRPr="002367C1" w:rsidTr="00FC659A">
        <w:trPr>
          <w:trHeight w:val="731"/>
        </w:trPr>
        <w:tc>
          <w:tcPr>
            <w:tcW w:w="245" w:type="pct"/>
          </w:tcPr>
          <w:p w:rsidR="00A70C65" w:rsidRDefault="00A70C65" w:rsidP="00FC659A">
            <w:pPr>
              <w:pStyle w:val="IPPArialTable"/>
              <w:widowControl w:val="0"/>
              <w:spacing w:before="0" w:after="0"/>
              <w:rPr>
                <w:caps/>
              </w:rPr>
            </w:pPr>
            <w:r>
              <w:rPr>
                <w:caps/>
              </w:rPr>
              <w:lastRenderedPageBreak/>
              <w:t>27</w:t>
            </w:r>
          </w:p>
        </w:tc>
        <w:tc>
          <w:tcPr>
            <w:tcW w:w="488" w:type="pct"/>
          </w:tcPr>
          <w:p w:rsidR="00A70C65" w:rsidRPr="00A0690E" w:rsidRDefault="00A70C65" w:rsidP="00FC659A">
            <w:pPr>
              <w:pStyle w:val="IPPArialTable"/>
              <w:spacing w:before="0" w:after="0"/>
            </w:pPr>
            <w:r>
              <w:t>China</w:t>
            </w:r>
          </w:p>
        </w:tc>
        <w:tc>
          <w:tcPr>
            <w:tcW w:w="2005" w:type="pct"/>
          </w:tcPr>
          <w:p w:rsidR="00A70C65" w:rsidRPr="001D7D3D" w:rsidRDefault="00A70C65" w:rsidP="00FC659A">
            <w:pPr>
              <w:pStyle w:val="IPPArialTable"/>
              <w:spacing w:before="0" w:after="0"/>
            </w:pPr>
            <w:r w:rsidRPr="001D7D3D">
              <w:rPr>
                <w:rFonts w:hint="eastAsia"/>
              </w:rPr>
              <w:t xml:space="preserve">4. </w:t>
            </w:r>
            <w:r w:rsidRPr="001D7D3D">
              <w:t xml:space="preserve">The </w:t>
            </w:r>
            <w:r w:rsidRPr="001D7D3D">
              <w:rPr>
                <w:rFonts w:hint="eastAsia"/>
              </w:rPr>
              <w:t>ISPM</w:t>
            </w:r>
            <w:r w:rsidRPr="001D7D3D">
              <w:t xml:space="preserve"> should</w:t>
            </w:r>
            <w:r w:rsidRPr="001D7D3D">
              <w:rPr>
                <w:rFonts w:hint="eastAsia"/>
              </w:rPr>
              <w:t xml:space="preserve"> provide clear and definite treatment schedules for </w:t>
            </w:r>
            <w:r w:rsidRPr="001D7D3D">
              <w:t xml:space="preserve">the purpose of consistent adoption of the Plant Protection Organizations of </w:t>
            </w:r>
            <w:r w:rsidRPr="001D7D3D">
              <w:rPr>
                <w:rFonts w:hint="eastAsia"/>
              </w:rPr>
              <w:t xml:space="preserve">different </w:t>
            </w:r>
            <w:r w:rsidRPr="001D7D3D">
              <w:t>counties. The</w:t>
            </w:r>
            <w:r w:rsidRPr="001D7D3D">
              <w:rPr>
                <w:rFonts w:hint="eastAsia"/>
              </w:rPr>
              <w:t xml:space="preserve"> temperature</w:t>
            </w:r>
            <w:r w:rsidRPr="001D7D3D">
              <w:t xml:space="preserve"> </w:t>
            </w:r>
            <w:r w:rsidRPr="001D7D3D">
              <w:rPr>
                <w:rFonts w:hint="eastAsia"/>
              </w:rPr>
              <w:t>requirements are the same (</w:t>
            </w:r>
            <w:r w:rsidRPr="001D7D3D">
              <w:t>2</w:t>
            </w:r>
            <w:r w:rsidRPr="001D7D3D">
              <w:rPr>
                <w:rFonts w:ascii="Cambria Math" w:hAnsi="Cambria Math" w:cs="Cambria Math"/>
              </w:rPr>
              <w:t>℃</w:t>
            </w:r>
            <w:r w:rsidRPr="001D7D3D">
              <w:t xml:space="preserve"> or below</w:t>
            </w:r>
            <w:r w:rsidRPr="001D7D3D">
              <w:rPr>
                <w:rFonts w:hint="eastAsia"/>
              </w:rPr>
              <w:t xml:space="preserve">) in </w:t>
            </w:r>
            <w:r w:rsidRPr="001D7D3D">
              <w:t>schedule 1 and schedule 3 in the draft standard</w:t>
            </w:r>
            <w:r w:rsidRPr="001D7D3D">
              <w:rPr>
                <w:rFonts w:hint="eastAsia"/>
              </w:rPr>
              <w:t xml:space="preserve">, while the duration requirements are </w:t>
            </w:r>
            <w:r w:rsidRPr="001D7D3D">
              <w:t>“</w:t>
            </w:r>
            <w:r w:rsidRPr="001D7D3D">
              <w:rPr>
                <w:rFonts w:hint="eastAsia"/>
              </w:rPr>
              <w:t>18 continuous days</w:t>
            </w:r>
            <w:r w:rsidRPr="001D7D3D">
              <w:t>”</w:t>
            </w:r>
            <w:r>
              <w:t xml:space="preserve"> </w:t>
            </w:r>
            <w:r w:rsidRPr="001D7D3D">
              <w:rPr>
                <w:rFonts w:hint="eastAsia"/>
              </w:rPr>
              <w:t xml:space="preserve">and </w:t>
            </w:r>
            <w:r w:rsidRPr="001D7D3D">
              <w:t>“</w:t>
            </w:r>
            <w:r w:rsidRPr="001D7D3D">
              <w:rPr>
                <w:rFonts w:hint="eastAsia"/>
              </w:rPr>
              <w:t>21 continuous days</w:t>
            </w:r>
            <w:r w:rsidRPr="001D7D3D">
              <w:t>”</w:t>
            </w:r>
            <w:r w:rsidRPr="001D7D3D">
              <w:rPr>
                <w:rFonts w:hint="eastAsia"/>
              </w:rPr>
              <w:t xml:space="preserve"> respectively. Should the draft </w:t>
            </w:r>
            <w:r w:rsidRPr="001D7D3D">
              <w:t>standard</w:t>
            </w:r>
            <w:r w:rsidRPr="001D7D3D">
              <w:rPr>
                <w:rFonts w:hint="eastAsia"/>
              </w:rPr>
              <w:t xml:space="preserve"> be approved, </w:t>
            </w:r>
            <w:r w:rsidRPr="001D7D3D">
              <w:t xml:space="preserve">the Plant Protection Organizations of the </w:t>
            </w:r>
            <w:r w:rsidRPr="001D7D3D">
              <w:rPr>
                <w:rFonts w:hint="eastAsia"/>
              </w:rPr>
              <w:t>c</w:t>
            </w:r>
            <w:r w:rsidRPr="001D7D3D">
              <w:t xml:space="preserve">ontracting </w:t>
            </w:r>
            <w:r w:rsidRPr="001D7D3D">
              <w:rPr>
                <w:rFonts w:hint="eastAsia"/>
              </w:rPr>
              <w:t>p</w:t>
            </w:r>
            <w:r w:rsidRPr="001D7D3D">
              <w:t xml:space="preserve">arties </w:t>
            </w:r>
            <w:r w:rsidRPr="001D7D3D">
              <w:rPr>
                <w:rFonts w:hint="eastAsia"/>
              </w:rPr>
              <w:t xml:space="preserve">would </w:t>
            </w:r>
            <w:r w:rsidRPr="001D7D3D">
              <w:t xml:space="preserve">be confused with </w:t>
            </w:r>
            <w:r w:rsidRPr="001D7D3D">
              <w:rPr>
                <w:rFonts w:hint="eastAsia"/>
              </w:rPr>
              <w:t xml:space="preserve">the two different </w:t>
            </w:r>
            <w:r w:rsidRPr="001D7D3D">
              <w:t xml:space="preserve">schedules </w:t>
            </w:r>
            <w:r w:rsidRPr="001D7D3D">
              <w:rPr>
                <w:rFonts w:hint="eastAsia"/>
              </w:rPr>
              <w:t xml:space="preserve">of the same </w:t>
            </w:r>
            <w:r w:rsidRPr="001D7D3D">
              <w:t>temperature</w:t>
            </w:r>
            <w:r w:rsidRPr="001D7D3D">
              <w:rPr>
                <w:rFonts w:hint="eastAsia"/>
              </w:rPr>
              <w:t xml:space="preserve">, </w:t>
            </w:r>
            <w:r w:rsidRPr="001D7D3D">
              <w:t xml:space="preserve">and dispute </w:t>
            </w:r>
            <w:r w:rsidRPr="001D7D3D">
              <w:rPr>
                <w:rFonts w:hint="eastAsia"/>
              </w:rPr>
              <w:t xml:space="preserve">might arise </w:t>
            </w:r>
            <w:r w:rsidRPr="001D7D3D">
              <w:t xml:space="preserve">between the </w:t>
            </w:r>
            <w:r w:rsidRPr="001D7D3D">
              <w:rPr>
                <w:rFonts w:hint="eastAsia"/>
              </w:rPr>
              <w:t xml:space="preserve">Plant Protection </w:t>
            </w:r>
            <w:r w:rsidRPr="001D7D3D">
              <w:t>Organizations of the importing and exporting countries.</w:t>
            </w:r>
          </w:p>
        </w:tc>
        <w:tc>
          <w:tcPr>
            <w:tcW w:w="2262" w:type="pct"/>
          </w:tcPr>
          <w:p w:rsidR="00A70C65" w:rsidRDefault="00A70C65" w:rsidP="00FC659A">
            <w:pPr>
              <w:pStyle w:val="IPPArialTable"/>
              <w:widowControl w:val="0"/>
              <w:spacing w:before="0" w:after="0"/>
            </w:pPr>
            <w:r>
              <w:t xml:space="preserve">. Phytosanitary treatments may provide treatment schedule options where different levels of efficacy are provided. </w:t>
            </w:r>
          </w:p>
          <w:p w:rsidR="00A70C65" w:rsidRPr="002E7716" w:rsidRDefault="00A70C65" w:rsidP="00FC659A">
            <w:pPr>
              <w:pStyle w:val="IPPArialTable"/>
              <w:widowControl w:val="0"/>
              <w:spacing w:before="0" w:after="0"/>
            </w:pPr>
          </w:p>
        </w:tc>
      </w:tr>
      <w:tr w:rsidR="00A70C65" w:rsidRPr="002367C1" w:rsidTr="00FC659A">
        <w:trPr>
          <w:trHeight w:val="731"/>
        </w:trPr>
        <w:tc>
          <w:tcPr>
            <w:tcW w:w="245" w:type="pct"/>
          </w:tcPr>
          <w:p w:rsidR="00A70C65" w:rsidRDefault="00A70C65" w:rsidP="00FC659A">
            <w:pPr>
              <w:pStyle w:val="IPPArialTable"/>
              <w:widowControl w:val="0"/>
              <w:spacing w:before="0" w:after="0"/>
              <w:rPr>
                <w:caps/>
              </w:rPr>
            </w:pPr>
            <w:r>
              <w:rPr>
                <w:caps/>
              </w:rPr>
              <w:t>28</w:t>
            </w:r>
          </w:p>
        </w:tc>
        <w:tc>
          <w:tcPr>
            <w:tcW w:w="488" w:type="pct"/>
          </w:tcPr>
          <w:p w:rsidR="00A70C65" w:rsidRPr="001D7D3D" w:rsidRDefault="00A70C65" w:rsidP="00FC659A">
            <w:pPr>
              <w:pStyle w:val="IPPArialTable"/>
              <w:spacing w:before="0" w:after="0"/>
            </w:pPr>
            <w:r w:rsidRPr="00A0690E">
              <w:t>China</w:t>
            </w:r>
          </w:p>
        </w:tc>
        <w:tc>
          <w:tcPr>
            <w:tcW w:w="2005" w:type="pct"/>
          </w:tcPr>
          <w:p w:rsidR="00A70C65" w:rsidRPr="001D7D3D" w:rsidRDefault="00A70C65" w:rsidP="00FC659A">
            <w:pPr>
              <w:pStyle w:val="IPPArialTable"/>
              <w:spacing w:before="0" w:after="0"/>
            </w:pPr>
            <w:r w:rsidRPr="001D7D3D">
              <w:rPr>
                <w:rFonts w:hint="eastAsia"/>
              </w:rPr>
              <w:t xml:space="preserve">5. </w:t>
            </w:r>
            <w:r w:rsidRPr="001D7D3D">
              <w:t xml:space="preserve">The </w:t>
            </w:r>
            <w:r w:rsidRPr="001D7D3D">
              <w:rPr>
                <w:rFonts w:hint="eastAsia"/>
              </w:rPr>
              <w:t xml:space="preserve">temperature requirements are the same in </w:t>
            </w:r>
            <w:r w:rsidRPr="001D7D3D">
              <w:t>schedule 1 and schedule 3</w:t>
            </w:r>
            <w:r w:rsidRPr="001D7D3D">
              <w:rPr>
                <w:rFonts w:hint="eastAsia"/>
              </w:rPr>
              <w:t xml:space="preserve">, the duration in </w:t>
            </w:r>
            <w:r w:rsidRPr="001D7D3D">
              <w:t>schedule</w:t>
            </w:r>
            <w:r w:rsidRPr="001D7D3D">
              <w:rPr>
                <w:rFonts w:hint="eastAsia"/>
              </w:rPr>
              <w:t xml:space="preserve"> 1 is shorter than that in schedule 3, and hence the efficacy of schedule 3 should be better. However the ED value for schedule 1 is 99.9978, greater than that of 99.9917 for schedule 3 with the same cultivar </w:t>
            </w:r>
            <w:r w:rsidRPr="001D7D3D">
              <w:t>“</w:t>
            </w:r>
            <w:r w:rsidRPr="001D7D3D">
              <w:rPr>
                <w:rFonts w:hint="eastAsia"/>
              </w:rPr>
              <w:t>Valencia</w:t>
            </w:r>
            <w:r w:rsidRPr="001D7D3D">
              <w:t>”</w:t>
            </w:r>
            <w:r w:rsidRPr="001D7D3D">
              <w:rPr>
                <w:rFonts w:hint="eastAsia"/>
              </w:rPr>
              <w:t xml:space="preserve">, which constitutes an obvious logical error. Meanwhile, the ED value of </w:t>
            </w:r>
            <w:r w:rsidRPr="001D7D3D">
              <w:t>schedule</w:t>
            </w:r>
            <w:r w:rsidRPr="001D7D3D">
              <w:rPr>
                <w:rFonts w:hint="eastAsia"/>
              </w:rPr>
              <w:t xml:space="preserve"> 3 is less than the scientific value of 99.9968, which will incur phytosanitary risk in practical </w:t>
            </w:r>
            <w:r w:rsidRPr="001D7D3D">
              <w:t>application</w:t>
            </w:r>
            <w:r w:rsidRPr="001D7D3D">
              <w:rPr>
                <w:rFonts w:hint="eastAsia"/>
              </w:rPr>
              <w:t>.</w:t>
            </w:r>
          </w:p>
        </w:tc>
        <w:tc>
          <w:tcPr>
            <w:tcW w:w="2262" w:type="pct"/>
          </w:tcPr>
          <w:p w:rsidR="00A70C65" w:rsidRDefault="00A70C65" w:rsidP="00FC659A">
            <w:pPr>
              <w:pStyle w:val="IPPArialTable"/>
              <w:widowControl w:val="0"/>
              <w:spacing w:before="0" w:after="0"/>
            </w:pPr>
            <w:r w:rsidRPr="002E7716">
              <w:t xml:space="preserve">The efficacy level is </w:t>
            </w:r>
            <w:r>
              <w:t xml:space="preserve">directly related to the number of insects used in confirmatory trials </w:t>
            </w:r>
            <w:r w:rsidRPr="002E7716">
              <w:t>when developing a treatment schedule</w:t>
            </w:r>
            <w:r>
              <w:t>. Therefore, the stated efficacy values are merely a reflection of the number of insects used in the different tests (see Couey and Chew, 1986</w:t>
            </w:r>
            <w:r>
              <w:rPr>
                <w:rStyle w:val="EndnoteReference"/>
              </w:rPr>
              <w:endnoteReference w:id="1"/>
            </w:r>
            <w:r>
              <w:t>). ISPM 28 only requires efficacy values to be stated and does not prescribe a specific threshold.</w:t>
            </w:r>
          </w:p>
          <w:p w:rsidR="00A70C65" w:rsidRPr="002367C1" w:rsidRDefault="00A70C65" w:rsidP="00FC659A">
            <w:pPr>
              <w:pStyle w:val="IPPArialTable"/>
              <w:widowControl w:val="0"/>
              <w:spacing w:before="0" w:after="0"/>
            </w:pPr>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t>29</w:t>
            </w:r>
          </w:p>
        </w:tc>
        <w:tc>
          <w:tcPr>
            <w:tcW w:w="488" w:type="pct"/>
          </w:tcPr>
          <w:p w:rsidR="00A70C65" w:rsidRPr="001D7D3D" w:rsidRDefault="00A70C65" w:rsidP="00FC659A">
            <w:pPr>
              <w:pStyle w:val="IPPArialTable"/>
              <w:spacing w:before="0" w:after="0"/>
            </w:pPr>
            <w:r w:rsidRPr="00A0690E">
              <w:t>China</w:t>
            </w:r>
          </w:p>
        </w:tc>
        <w:tc>
          <w:tcPr>
            <w:tcW w:w="2005" w:type="pct"/>
          </w:tcPr>
          <w:p w:rsidR="00A70C65" w:rsidRPr="001D7D3D" w:rsidRDefault="00A70C65" w:rsidP="00FC659A">
            <w:pPr>
              <w:pStyle w:val="IPPArialTable"/>
              <w:spacing w:before="0" w:after="0"/>
            </w:pPr>
            <w:r w:rsidRPr="001D7D3D">
              <w:rPr>
                <w:rFonts w:hint="eastAsia"/>
              </w:rPr>
              <w:t xml:space="preserve">6. For most fruit flies, usually the third instar is the most </w:t>
            </w:r>
            <w:r w:rsidRPr="001D7D3D">
              <w:t>tolerant</w:t>
            </w:r>
            <w:r w:rsidRPr="001D7D3D">
              <w:rPr>
                <w:rFonts w:hint="eastAsia"/>
              </w:rPr>
              <w:t xml:space="preserve"> larva stage for low temperature. The second instar larvae of </w:t>
            </w:r>
            <w:r w:rsidRPr="001D7D3D">
              <w:rPr>
                <w:i/>
              </w:rPr>
              <w:t>Ceratitis capitata</w:t>
            </w:r>
            <w:r w:rsidRPr="001D7D3D">
              <w:rPr>
                <w:rFonts w:hint="eastAsia"/>
              </w:rPr>
              <w:t xml:space="preserve"> were tested by </w:t>
            </w:r>
            <w:r w:rsidRPr="001D7D3D">
              <w:t xml:space="preserve">De lima </w:t>
            </w:r>
            <w:r w:rsidRPr="001D7D3D">
              <w:rPr>
                <w:i/>
              </w:rPr>
              <w:t>et al</w:t>
            </w:r>
            <w:r w:rsidRPr="001D7D3D">
              <w:rPr>
                <w:rFonts w:hint="eastAsia"/>
              </w:rPr>
              <w:t xml:space="preserve">. (2007), the reliability of the </w:t>
            </w:r>
            <w:r w:rsidRPr="001D7D3D">
              <w:t>tolerance</w:t>
            </w:r>
            <w:r w:rsidRPr="001D7D3D">
              <w:rPr>
                <w:rFonts w:hint="eastAsia"/>
              </w:rPr>
              <w:t xml:space="preserve"> needs to be validated. </w:t>
            </w:r>
            <w:r w:rsidRPr="001D7D3D">
              <w:t xml:space="preserve">Especially, </w:t>
            </w:r>
            <w:r w:rsidRPr="001D7D3D">
              <w:rPr>
                <w:rFonts w:hint="eastAsia"/>
              </w:rPr>
              <w:t xml:space="preserve">it deserves much attention </w:t>
            </w:r>
            <w:r w:rsidRPr="001D7D3D">
              <w:t>that</w:t>
            </w:r>
            <w:r w:rsidRPr="001D7D3D">
              <w:rPr>
                <w:rFonts w:hint="eastAsia"/>
              </w:rPr>
              <w:t xml:space="preserve"> there is a broad </w:t>
            </w:r>
            <w:r w:rsidRPr="001D7D3D">
              <w:t xml:space="preserve">difference between </w:t>
            </w:r>
            <w:r w:rsidRPr="001D7D3D">
              <w:rPr>
                <w:rFonts w:hint="eastAsia"/>
              </w:rPr>
              <w:t xml:space="preserve">the </w:t>
            </w:r>
            <w:r w:rsidRPr="001D7D3D">
              <w:t xml:space="preserve">test results in </w:t>
            </w:r>
            <w:r w:rsidRPr="001D7D3D">
              <w:rPr>
                <w:rFonts w:hint="eastAsia"/>
              </w:rPr>
              <w:t xml:space="preserve">the </w:t>
            </w:r>
            <w:r w:rsidRPr="001D7D3D">
              <w:t xml:space="preserve">references and </w:t>
            </w:r>
            <w:r w:rsidRPr="001D7D3D">
              <w:rPr>
                <w:rFonts w:hint="eastAsia"/>
              </w:rPr>
              <w:t xml:space="preserve">the phytosanitary treatment requirements which has been proven to be effective by the practical application by the contracting parties. For that reason, the draft standard should </w:t>
            </w:r>
            <w:r w:rsidRPr="001D7D3D">
              <w:t xml:space="preserve">be treated cautiously and further test </w:t>
            </w:r>
            <w:r w:rsidRPr="001D7D3D">
              <w:rPr>
                <w:rFonts w:hint="eastAsia"/>
              </w:rPr>
              <w:t>is in need.</w:t>
            </w:r>
          </w:p>
        </w:tc>
        <w:tc>
          <w:tcPr>
            <w:tcW w:w="2262" w:type="pct"/>
          </w:tcPr>
          <w:p w:rsidR="00A70C65" w:rsidRPr="002367C1" w:rsidRDefault="00A70C65" w:rsidP="00FC659A">
            <w:pPr>
              <w:pStyle w:val="IPPArialTable"/>
              <w:widowControl w:val="0"/>
              <w:spacing w:before="0" w:after="0"/>
            </w:pPr>
            <w:r w:rsidRPr="00AA218B">
              <w:t xml:space="preserve">The TPPT re-examined the data from De Lima et al. (2007) and concluded that the difference in tolerance between second and third instar were extremely small. The TPPT </w:t>
            </w:r>
            <w:r>
              <w:t>noted</w:t>
            </w:r>
            <w:r w:rsidRPr="00AA218B">
              <w:t xml:space="preserve"> that the study was highly robust and that it demonstrated that all life stages were killed after treatment application.</w:t>
            </w:r>
            <w:r>
              <w:t xml:space="preserve"> </w:t>
            </w:r>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t>30</w:t>
            </w:r>
          </w:p>
        </w:tc>
        <w:tc>
          <w:tcPr>
            <w:tcW w:w="488" w:type="pct"/>
          </w:tcPr>
          <w:p w:rsidR="00A70C65" w:rsidRPr="001D7D3D" w:rsidRDefault="00A70C65" w:rsidP="00FC659A">
            <w:pPr>
              <w:pStyle w:val="IPPArialTable"/>
              <w:widowControl w:val="0"/>
              <w:spacing w:before="0" w:after="0"/>
            </w:pPr>
            <w:r w:rsidRPr="00A0690E">
              <w:t>China</w:t>
            </w:r>
          </w:p>
        </w:tc>
        <w:tc>
          <w:tcPr>
            <w:tcW w:w="2005" w:type="pct"/>
          </w:tcPr>
          <w:p w:rsidR="00A70C65" w:rsidRPr="001D7D3D" w:rsidRDefault="00A70C65" w:rsidP="00FC659A">
            <w:pPr>
              <w:pStyle w:val="IPPArialTable"/>
              <w:widowControl w:val="0"/>
              <w:spacing w:before="0" w:after="0"/>
            </w:pPr>
            <w:r w:rsidRPr="001D7D3D">
              <w:rPr>
                <w:rFonts w:hint="eastAsia"/>
              </w:rPr>
              <w:t>7. Pre-cooling before treatment, t</w:t>
            </w:r>
            <w:r w:rsidRPr="001D7D3D">
              <w:t xml:space="preserve">emperature monitoring and recording </w:t>
            </w:r>
            <w:r w:rsidRPr="001D7D3D">
              <w:rPr>
                <w:rFonts w:hint="eastAsia"/>
              </w:rPr>
              <w:t xml:space="preserve">during the treatment have a direct </w:t>
            </w:r>
            <w:r w:rsidRPr="001D7D3D">
              <w:t xml:space="preserve">influence on the efficiency. The draft standard </w:t>
            </w:r>
            <w:r w:rsidRPr="001D7D3D">
              <w:rPr>
                <w:rFonts w:hint="eastAsia"/>
              </w:rPr>
              <w:t xml:space="preserve">sets only the temperature and duration </w:t>
            </w:r>
            <w:r w:rsidRPr="001D7D3D">
              <w:t>require</w:t>
            </w:r>
            <w:r w:rsidRPr="001D7D3D">
              <w:rPr>
                <w:rFonts w:hint="eastAsia"/>
              </w:rPr>
              <w:t>ments</w:t>
            </w:r>
            <w:r w:rsidRPr="001D7D3D">
              <w:t xml:space="preserve"> </w:t>
            </w:r>
            <w:r w:rsidRPr="001D7D3D">
              <w:rPr>
                <w:rFonts w:hint="eastAsia"/>
              </w:rPr>
              <w:t xml:space="preserve">for the treatment without </w:t>
            </w:r>
            <w:r w:rsidRPr="001D7D3D">
              <w:t>illustrating</w:t>
            </w:r>
            <w:r w:rsidRPr="001D7D3D">
              <w:rPr>
                <w:rFonts w:hint="eastAsia"/>
              </w:rPr>
              <w:t xml:space="preserve"> the approach to meeting such requirements. The wording in the draft standard </w:t>
            </w:r>
            <w:r w:rsidRPr="001D7D3D">
              <w:t>“</w:t>
            </w:r>
            <w:r w:rsidRPr="001D7D3D">
              <w:rPr>
                <w:rFonts w:hint="eastAsia"/>
              </w:rPr>
              <w:t>Pre-cooling of the commodity to treatment temperature may be required</w:t>
            </w:r>
            <w:r w:rsidRPr="001D7D3D">
              <w:t>”</w:t>
            </w:r>
            <w:r w:rsidRPr="001D7D3D">
              <w:rPr>
                <w:rFonts w:hint="eastAsia"/>
              </w:rPr>
              <w:t xml:space="preserve"> is ambiguous, and some </w:t>
            </w:r>
            <w:r w:rsidRPr="001D7D3D">
              <w:t>important</w:t>
            </w:r>
            <w:r w:rsidRPr="001D7D3D">
              <w:rPr>
                <w:rFonts w:hint="eastAsia"/>
              </w:rPr>
              <w:t xml:space="preserve"> operational requirements such as temperature monitoring and recording are not addressed in the draft at all.</w:t>
            </w:r>
            <w:r w:rsidRPr="001D7D3D">
              <w:t xml:space="preserve"> </w:t>
            </w:r>
            <w:r w:rsidRPr="001D7D3D">
              <w:rPr>
                <w:rFonts w:hint="eastAsia"/>
              </w:rPr>
              <w:t xml:space="preserve">Should the draft standard be approved, </w:t>
            </w:r>
            <w:r w:rsidRPr="001D7D3D">
              <w:t xml:space="preserve">the </w:t>
            </w:r>
            <w:r w:rsidRPr="001D7D3D">
              <w:rPr>
                <w:rFonts w:hint="eastAsia"/>
              </w:rPr>
              <w:t xml:space="preserve">ambiguous and incomplete operational requirements could render the treatment invalid. </w:t>
            </w:r>
            <w:r w:rsidRPr="001D7D3D">
              <w:t xml:space="preserve">Considering the wide </w:t>
            </w:r>
            <w:r w:rsidRPr="001D7D3D">
              <w:rPr>
                <w:rFonts w:hint="eastAsia"/>
              </w:rPr>
              <w:t xml:space="preserve">application </w:t>
            </w:r>
            <w:r w:rsidRPr="001D7D3D">
              <w:t xml:space="preserve">and significant influence of the </w:t>
            </w:r>
            <w:r w:rsidRPr="001D7D3D">
              <w:rPr>
                <w:rFonts w:hint="eastAsia"/>
              </w:rPr>
              <w:t>cold</w:t>
            </w:r>
            <w:r w:rsidRPr="001D7D3D">
              <w:t xml:space="preserve"> treatment</w:t>
            </w:r>
            <w:r w:rsidRPr="001D7D3D">
              <w:rPr>
                <w:rFonts w:hint="eastAsia"/>
              </w:rPr>
              <w:t xml:space="preserve"> worldwide</w:t>
            </w:r>
            <w:r w:rsidRPr="001D7D3D">
              <w:t>, it is recommended that</w:t>
            </w:r>
            <w:r w:rsidRPr="001D7D3D">
              <w:rPr>
                <w:rFonts w:hint="eastAsia"/>
              </w:rPr>
              <w:t xml:space="preserve"> </w:t>
            </w:r>
            <w:r w:rsidRPr="001D7D3D">
              <w:t xml:space="preserve">taking </w:t>
            </w:r>
            <w:r w:rsidRPr="001D7D3D">
              <w:rPr>
                <w:rFonts w:hint="eastAsia"/>
              </w:rPr>
              <w:t xml:space="preserve">the </w:t>
            </w:r>
            <w:r w:rsidRPr="001D7D3D">
              <w:t xml:space="preserve">example </w:t>
            </w:r>
            <w:r w:rsidRPr="001D7D3D">
              <w:rPr>
                <w:rFonts w:hint="eastAsia"/>
              </w:rPr>
              <w:t xml:space="preserve">of setting the series of </w:t>
            </w:r>
            <w:r w:rsidRPr="001D7D3D">
              <w:rPr>
                <w:rFonts w:hint="eastAsia"/>
              </w:rPr>
              <w:lastRenderedPageBreak/>
              <w:t>irradiation treatment standards, an comprehensive operational standard similar to &lt;</w:t>
            </w:r>
            <w:r w:rsidRPr="001D7D3D">
              <w:t xml:space="preserve"> </w:t>
            </w:r>
            <w:r w:rsidRPr="001D7D3D">
              <w:rPr>
                <w:i/>
              </w:rPr>
              <w:t>G</w:t>
            </w:r>
            <w:r w:rsidRPr="001D7D3D">
              <w:rPr>
                <w:rFonts w:hint="eastAsia"/>
                <w:i/>
              </w:rPr>
              <w:t xml:space="preserve">idelines for the Use of </w:t>
            </w:r>
            <w:r w:rsidRPr="001D7D3D">
              <w:rPr>
                <w:i/>
              </w:rPr>
              <w:t>Irradiation</w:t>
            </w:r>
            <w:r w:rsidRPr="001D7D3D">
              <w:rPr>
                <w:rFonts w:hint="eastAsia"/>
                <w:i/>
              </w:rPr>
              <w:t xml:space="preserve"> as a Phytosanitary</w:t>
            </w:r>
            <w:r w:rsidRPr="004C7150">
              <w:rPr>
                <w:rFonts w:ascii="Times New Roman" w:eastAsia="MS Mincho" w:hAnsi="Times New Roman" w:hint="eastAsia"/>
                <w:i/>
                <w:sz w:val="22"/>
              </w:rPr>
              <w:t xml:space="preserve"> </w:t>
            </w:r>
            <w:r w:rsidRPr="004C7150">
              <w:rPr>
                <w:rFonts w:hint="eastAsia"/>
                <w:i/>
              </w:rPr>
              <w:t>Measure&gt;</w:t>
            </w:r>
            <w:r w:rsidRPr="004C7150">
              <w:rPr>
                <w:i/>
              </w:rPr>
              <w:t xml:space="preserve"> </w:t>
            </w:r>
            <w:r w:rsidRPr="004C7150">
              <w:rPr>
                <w:rFonts w:hint="eastAsia"/>
                <w:i/>
              </w:rPr>
              <w:t xml:space="preserve">(ISPM 18) be set in advance to standardize the operational requirements including pre-cooling, temperature </w:t>
            </w:r>
            <w:r w:rsidRPr="004C7150">
              <w:rPr>
                <w:i/>
              </w:rPr>
              <w:t>monitoring</w:t>
            </w:r>
            <w:r w:rsidRPr="004C7150">
              <w:rPr>
                <w:rFonts w:hint="eastAsia"/>
                <w:i/>
              </w:rPr>
              <w:t xml:space="preserve"> and recording, and then proceed to specific cold treatment measures</w:t>
            </w:r>
          </w:p>
        </w:tc>
        <w:tc>
          <w:tcPr>
            <w:tcW w:w="2262" w:type="pct"/>
          </w:tcPr>
          <w:p w:rsidR="00A70C65" w:rsidRDefault="00A70C65" w:rsidP="00FC659A">
            <w:pPr>
              <w:pStyle w:val="IPPArialTable"/>
              <w:widowControl w:val="0"/>
              <w:spacing w:before="0" w:after="0"/>
            </w:pPr>
            <w:r w:rsidRPr="005040A0">
              <w:lastRenderedPageBreak/>
              <w:t>The</w:t>
            </w:r>
            <w:r>
              <w:t xml:space="preserve"> TPPT considered that pre-cooling, </w:t>
            </w:r>
            <w:r w:rsidRPr="008C7819">
              <w:rPr>
                <w:rFonts w:hint="eastAsia"/>
              </w:rPr>
              <w:t xml:space="preserve">temperature monitoring and recording </w:t>
            </w:r>
            <w:r>
              <w:t xml:space="preserve">are important operationally but are not part of the treatment schedule. NPPOs certifying the use of cold treatments should therefore ensure these operational issues are managed appropriately. Further guidance to NPPOs on these issues will be addressed by the drafting of the ISPM on requirements for the use of temperature treatments. Reference to pre-cooling has therefore been removed from the draft treatment schedule.   </w:t>
            </w:r>
            <w:r w:rsidRPr="00B10B9C">
              <w:t xml:space="preserve"> </w:t>
            </w:r>
          </w:p>
          <w:p w:rsidR="00A70C65" w:rsidRDefault="00A70C65" w:rsidP="00FC659A">
            <w:pPr>
              <w:pStyle w:val="IPPArialTable"/>
              <w:widowControl w:val="0"/>
              <w:spacing w:before="0" w:after="0"/>
            </w:pPr>
          </w:p>
          <w:p w:rsidR="00A70C65" w:rsidRPr="002367C1" w:rsidRDefault="00A70C65" w:rsidP="00FC659A">
            <w:pPr>
              <w:pStyle w:val="IPPArialTable"/>
              <w:widowControl w:val="0"/>
              <w:spacing w:before="0" w:after="0"/>
            </w:pPr>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lastRenderedPageBreak/>
              <w:t>31</w:t>
            </w:r>
          </w:p>
        </w:tc>
        <w:tc>
          <w:tcPr>
            <w:tcW w:w="488" w:type="pct"/>
          </w:tcPr>
          <w:p w:rsidR="00A70C65" w:rsidRDefault="00A70C65" w:rsidP="00FC659A">
            <w:pPr>
              <w:pStyle w:val="IPPArialTable"/>
              <w:widowControl w:val="0"/>
              <w:spacing w:before="0" w:after="0"/>
            </w:pPr>
            <w:r>
              <w:t>China</w:t>
            </w:r>
          </w:p>
        </w:tc>
        <w:tc>
          <w:tcPr>
            <w:tcW w:w="2005" w:type="pct"/>
          </w:tcPr>
          <w:p w:rsidR="00A70C65" w:rsidRPr="001D7D3D" w:rsidRDefault="00A70C65" w:rsidP="00FC659A">
            <w:pPr>
              <w:pStyle w:val="IPPArialTable"/>
              <w:widowControl w:val="0"/>
              <w:spacing w:before="0" w:after="0"/>
            </w:pPr>
            <w:r w:rsidRPr="00A0690E">
              <w:rPr>
                <w:rFonts w:hint="eastAsia"/>
              </w:rPr>
              <w:t>8.</w:t>
            </w:r>
            <w:r w:rsidRPr="00A0690E">
              <w:t xml:space="preserve"> China further maintains that the </w:t>
            </w:r>
            <w:r w:rsidRPr="00A0690E">
              <w:rPr>
                <w:rFonts w:hint="eastAsia"/>
              </w:rPr>
              <w:t xml:space="preserve">treatment </w:t>
            </w:r>
            <w:r w:rsidRPr="00A0690E">
              <w:t>standard</w:t>
            </w:r>
            <w:r w:rsidRPr="00A0690E">
              <w:rPr>
                <w:rFonts w:hint="eastAsia"/>
              </w:rPr>
              <w:t>s</w:t>
            </w:r>
            <w:r w:rsidRPr="00A0690E">
              <w:t xml:space="preserve"> differ from the conceptual standards. It </w:t>
            </w:r>
            <w:r w:rsidRPr="00A0690E">
              <w:rPr>
                <w:rFonts w:hint="eastAsia"/>
              </w:rPr>
              <w:t xml:space="preserve">has a direct relationship with </w:t>
            </w:r>
            <w:r w:rsidRPr="00A0690E">
              <w:t>the spread of pest</w:t>
            </w:r>
            <w:r w:rsidRPr="00A0690E">
              <w:rPr>
                <w:rFonts w:hint="eastAsia"/>
              </w:rPr>
              <w:t>s</w:t>
            </w:r>
            <w:r w:rsidRPr="00A0690E">
              <w:t xml:space="preserve"> </w:t>
            </w:r>
            <w:r w:rsidRPr="00A0690E">
              <w:rPr>
                <w:rFonts w:hint="eastAsia"/>
              </w:rPr>
              <w:t xml:space="preserve">infesting </w:t>
            </w:r>
            <w:r w:rsidRPr="00A0690E">
              <w:t xml:space="preserve">agricultural products and the </w:t>
            </w:r>
            <w:r w:rsidRPr="00A0690E">
              <w:rPr>
                <w:rFonts w:hint="eastAsia"/>
              </w:rPr>
              <w:t xml:space="preserve">achievement </w:t>
            </w:r>
            <w:r w:rsidRPr="00A0690E">
              <w:t xml:space="preserve">of </w:t>
            </w:r>
            <w:r w:rsidRPr="00A0690E">
              <w:rPr>
                <w:rFonts w:hint="eastAsia"/>
              </w:rPr>
              <w:t xml:space="preserve">the purpose and responsibility of the </w:t>
            </w:r>
            <w:r w:rsidRPr="00A0690E">
              <w:t xml:space="preserve">International Plant Protection Convention. The </w:t>
            </w:r>
            <w:r w:rsidRPr="00A0690E">
              <w:rPr>
                <w:rFonts w:hint="eastAsia"/>
              </w:rPr>
              <w:t xml:space="preserve">treatment </w:t>
            </w:r>
            <w:r w:rsidRPr="00A0690E">
              <w:t>standard approved by C</w:t>
            </w:r>
            <w:r w:rsidRPr="00A0690E">
              <w:rPr>
                <w:rFonts w:hint="eastAsia"/>
              </w:rPr>
              <w:t>PM</w:t>
            </w:r>
            <w:r w:rsidRPr="00A0690E">
              <w:t xml:space="preserve"> should be based on sufficient test data or a large </w:t>
            </w:r>
            <w:r w:rsidRPr="00A0690E">
              <w:rPr>
                <w:rFonts w:hint="eastAsia"/>
              </w:rPr>
              <w:t xml:space="preserve">volume </w:t>
            </w:r>
            <w:r w:rsidRPr="00A0690E">
              <w:t xml:space="preserve">of </w:t>
            </w:r>
            <w:r w:rsidRPr="00A0690E">
              <w:rPr>
                <w:rFonts w:hint="eastAsia"/>
              </w:rPr>
              <w:t xml:space="preserve">the </w:t>
            </w:r>
            <w:r w:rsidRPr="00A0690E">
              <w:t>practic</w:t>
            </w:r>
            <w:r w:rsidRPr="00A0690E">
              <w:rPr>
                <w:rFonts w:hint="eastAsia"/>
              </w:rPr>
              <w:t>al</w:t>
            </w:r>
            <w:r w:rsidRPr="00A0690E">
              <w:t xml:space="preserve"> </w:t>
            </w:r>
            <w:r w:rsidRPr="00A0690E">
              <w:rPr>
                <w:rFonts w:hint="eastAsia"/>
              </w:rPr>
              <w:t xml:space="preserve">application </w:t>
            </w:r>
            <w:r w:rsidRPr="00A0690E">
              <w:t>of</w:t>
            </w:r>
            <w:r w:rsidRPr="00A0690E">
              <w:rPr>
                <w:rFonts w:hint="eastAsia"/>
              </w:rPr>
              <w:t xml:space="preserve"> the treatment by </w:t>
            </w:r>
            <w:r w:rsidRPr="00A0690E">
              <w:t xml:space="preserve">the </w:t>
            </w:r>
            <w:r w:rsidRPr="00A0690E">
              <w:rPr>
                <w:rFonts w:hint="eastAsia"/>
              </w:rPr>
              <w:t>contracting parties</w:t>
            </w:r>
            <w:r w:rsidRPr="00A0690E">
              <w:t>. I</w:t>
            </w:r>
            <w:r w:rsidRPr="00A0690E">
              <w:rPr>
                <w:rFonts w:hint="eastAsia"/>
              </w:rPr>
              <w:t xml:space="preserve">f </w:t>
            </w:r>
            <w:r w:rsidRPr="00A0690E">
              <w:t xml:space="preserve">the method concluded from a few tests was promoted globally in a form of </w:t>
            </w:r>
            <w:r w:rsidRPr="00A0690E">
              <w:rPr>
                <w:rFonts w:hint="eastAsia"/>
              </w:rPr>
              <w:t>ISPM</w:t>
            </w:r>
            <w:r w:rsidRPr="00A0690E">
              <w:t xml:space="preserve">, it </w:t>
            </w:r>
            <w:r w:rsidRPr="00A0690E">
              <w:rPr>
                <w:rFonts w:hint="eastAsia"/>
              </w:rPr>
              <w:t>would</w:t>
            </w:r>
            <w:r w:rsidRPr="00A0690E">
              <w:t xml:space="preserve"> turn the </w:t>
            </w:r>
            <w:r w:rsidRPr="00A0690E">
              <w:rPr>
                <w:rFonts w:hint="eastAsia"/>
              </w:rPr>
              <w:t xml:space="preserve">contracting parties </w:t>
            </w:r>
            <w:r w:rsidRPr="00A0690E">
              <w:t>into trial sites of new method</w:t>
            </w:r>
            <w:r w:rsidRPr="00A0690E">
              <w:rPr>
                <w:rFonts w:hint="eastAsia"/>
              </w:rPr>
              <w:t>s</w:t>
            </w:r>
            <w:r w:rsidRPr="00A0690E">
              <w:t xml:space="preserve"> and technolog</w:t>
            </w:r>
            <w:r w:rsidRPr="00A0690E">
              <w:rPr>
                <w:rFonts w:hint="eastAsia"/>
              </w:rPr>
              <w:t>ies</w:t>
            </w:r>
            <w:r w:rsidRPr="00A0690E">
              <w:t xml:space="preserve"> </w:t>
            </w:r>
            <w:r w:rsidRPr="00A0690E">
              <w:rPr>
                <w:rFonts w:hint="eastAsia"/>
              </w:rPr>
              <w:t xml:space="preserve">and finally </w:t>
            </w:r>
            <w:r w:rsidRPr="00A0690E">
              <w:t>significantly increase the risk of pest spread.</w:t>
            </w:r>
          </w:p>
        </w:tc>
        <w:tc>
          <w:tcPr>
            <w:tcW w:w="2262" w:type="pct"/>
          </w:tcPr>
          <w:p w:rsidR="00A70C65" w:rsidRDefault="00A70C65" w:rsidP="00FC659A">
            <w:pPr>
              <w:pStyle w:val="IPPArialTable"/>
              <w:widowControl w:val="0"/>
              <w:spacing w:before="0" w:after="0"/>
            </w:pPr>
            <w:r>
              <w:t>The TPPT considers that the treatment submission conformed with ISPM 28 requirements, including the level of evidence provided. T</w:t>
            </w:r>
            <w:r w:rsidRPr="00355480">
              <w:t>herefore this phytosanitary treatment fully meets the requirements set out in ISPM 28.</w:t>
            </w:r>
          </w:p>
          <w:p w:rsidR="00A70C65" w:rsidRPr="002367C1" w:rsidRDefault="00A70C65" w:rsidP="00FC659A">
            <w:pPr>
              <w:pStyle w:val="IPPArialTable"/>
              <w:widowControl w:val="0"/>
              <w:spacing w:before="0" w:after="0"/>
            </w:pPr>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t>32</w:t>
            </w:r>
          </w:p>
        </w:tc>
        <w:tc>
          <w:tcPr>
            <w:tcW w:w="488" w:type="pct"/>
          </w:tcPr>
          <w:p w:rsidR="00A70C65" w:rsidRPr="00A0690E" w:rsidRDefault="00A70C65" w:rsidP="00FC659A">
            <w:pPr>
              <w:pStyle w:val="IPPArialTable"/>
              <w:widowControl w:val="0"/>
              <w:spacing w:before="0" w:after="0"/>
            </w:pPr>
            <w:r>
              <w:t>Japan</w:t>
            </w:r>
          </w:p>
        </w:tc>
        <w:tc>
          <w:tcPr>
            <w:tcW w:w="2005" w:type="pct"/>
          </w:tcPr>
          <w:p w:rsidR="00A70C65" w:rsidRPr="00A0690E" w:rsidRDefault="00A70C65" w:rsidP="00FC659A">
            <w:pPr>
              <w:pStyle w:val="IPPArialTable"/>
              <w:widowControl w:val="0"/>
              <w:spacing w:before="0" w:after="0"/>
            </w:pPr>
            <w:r w:rsidRPr="00A0690E">
              <w:rPr>
                <w:rFonts w:hint="eastAsia"/>
              </w:rPr>
              <w:t xml:space="preserve">Japan appreciates the extensive discussions and efforts of the SC and the TPPT in </w:t>
            </w:r>
            <w:r w:rsidRPr="00A0690E">
              <w:t>develop</w:t>
            </w:r>
            <w:r w:rsidRPr="00A0690E">
              <w:rPr>
                <w:rFonts w:hint="eastAsia"/>
              </w:rPr>
              <w:t>ing important phytosanitary treatments over the years.</w:t>
            </w:r>
            <w:r w:rsidRPr="00A0690E">
              <w:t xml:space="preserve"> </w:t>
            </w:r>
          </w:p>
          <w:p w:rsidR="00A70C65" w:rsidRPr="00A0690E" w:rsidRDefault="00A70C65" w:rsidP="00FC659A">
            <w:pPr>
              <w:pStyle w:val="IPPArialTable"/>
              <w:widowControl w:val="0"/>
              <w:spacing w:before="0" w:after="0"/>
            </w:pPr>
            <w:r w:rsidRPr="00A0690E">
              <w:t xml:space="preserve">Japan would like to </w:t>
            </w:r>
            <w:r w:rsidRPr="00A0690E">
              <w:rPr>
                <w:rFonts w:hint="eastAsia"/>
              </w:rPr>
              <w:t>express</w:t>
            </w:r>
            <w:r w:rsidRPr="00A0690E">
              <w:t xml:space="preserve"> </w:t>
            </w:r>
            <w:r w:rsidRPr="00A0690E">
              <w:rPr>
                <w:rFonts w:hint="eastAsia"/>
              </w:rPr>
              <w:t xml:space="preserve">its </w:t>
            </w:r>
            <w:r w:rsidRPr="00A0690E">
              <w:t>formal objection</w:t>
            </w:r>
            <w:r w:rsidRPr="00A0690E">
              <w:rPr>
                <w:rFonts w:hint="eastAsia"/>
              </w:rPr>
              <w:t>s</w:t>
            </w:r>
            <w:r w:rsidRPr="00A0690E">
              <w:t xml:space="preserve"> </w:t>
            </w:r>
            <w:r w:rsidRPr="00A0690E">
              <w:rPr>
                <w:rFonts w:hint="eastAsia"/>
              </w:rPr>
              <w:t xml:space="preserve">with regards to </w:t>
            </w:r>
            <w:r w:rsidRPr="00A0690E">
              <w:t>this draft cold treatment</w:t>
            </w:r>
            <w:r w:rsidRPr="00A0690E">
              <w:rPr>
                <w:rFonts w:hint="eastAsia"/>
              </w:rPr>
              <w:t xml:space="preserve"> because the schedule </w:t>
            </w:r>
            <w:r w:rsidRPr="00A0690E">
              <w:t>is</w:t>
            </w:r>
            <w:r w:rsidRPr="00A0690E">
              <w:rPr>
                <w:rFonts w:hint="eastAsia"/>
              </w:rPr>
              <w:t xml:space="preserve"> not deemed to fulfil the requirements for phytosanitary treatment in section 3 of ISPM 28</w:t>
            </w:r>
            <w:r w:rsidRPr="00A0690E">
              <w:t>.</w:t>
            </w:r>
            <w:r>
              <w:t xml:space="preserve"> </w:t>
            </w:r>
            <w:r w:rsidRPr="00A0690E">
              <w:rPr>
                <w:rFonts w:hint="eastAsia"/>
              </w:rPr>
              <w:t xml:space="preserve">Japan does not object to the </w:t>
            </w:r>
            <w:r w:rsidRPr="00A0690E">
              <w:t>treatment</w:t>
            </w:r>
            <w:r w:rsidRPr="00A0690E">
              <w:rPr>
                <w:rFonts w:hint="eastAsia"/>
              </w:rPr>
              <w:t xml:space="preserve"> schedules proposed, insofar as they will be used in certain countries where research was conducted and they are well supported by research data and rationale for presenting the schedules.  However Japan has concerns about the </w:t>
            </w:r>
            <w:r w:rsidRPr="00A0690E">
              <w:t>feasibility</w:t>
            </w:r>
            <w:r w:rsidRPr="00A0690E">
              <w:rPr>
                <w:rFonts w:hint="eastAsia"/>
              </w:rPr>
              <w:t xml:space="preserve"> and applicability </w:t>
            </w:r>
            <w:r w:rsidRPr="00A0690E">
              <w:t>(</w:t>
            </w:r>
            <w:r w:rsidRPr="00A0690E">
              <w:rPr>
                <w:rFonts w:hint="eastAsia"/>
              </w:rPr>
              <w:t>especially versatility of the treatment e.g. application to a wide range of countries) of the above-mentioned four treatments proposed as international standards.</w:t>
            </w:r>
          </w:p>
          <w:p w:rsidR="00A70C65" w:rsidRPr="00A0690E" w:rsidRDefault="00A70C65" w:rsidP="00FC659A">
            <w:pPr>
              <w:pStyle w:val="IPPArialTable"/>
              <w:spacing w:before="0" w:after="0"/>
            </w:pPr>
            <w:r w:rsidRPr="00A0690E">
              <w:rPr>
                <w:rFonts w:hint="eastAsia"/>
              </w:rPr>
              <w:t xml:space="preserve">For the purpose of developing </w:t>
            </w:r>
            <w:r w:rsidRPr="00A0690E">
              <w:t>efficient</w:t>
            </w:r>
            <w:r w:rsidRPr="00A0690E">
              <w:rPr>
                <w:rFonts w:hint="eastAsia"/>
              </w:rPr>
              <w:t xml:space="preserve"> phytosanitary treatments to be used as international standards by contracting countries that wish to use them, Japan suggests that the adoption of the said four standard treatments be suspended until the following points are reviewed.This cold treatment standard provides two different treatment schedules for a </w:t>
            </w:r>
            <w:r w:rsidRPr="00A0690E">
              <w:t>cultivar</w:t>
            </w:r>
            <w:r w:rsidRPr="00A0690E">
              <w:rPr>
                <w:rFonts w:hint="eastAsia"/>
              </w:rPr>
              <w:t xml:space="preserve"> </w:t>
            </w:r>
            <w:r w:rsidRPr="00A0690E">
              <w:t>Valencia</w:t>
            </w:r>
            <w:r w:rsidRPr="00A0690E">
              <w:rPr>
                <w:rFonts w:hint="eastAsia"/>
              </w:rPr>
              <w:t xml:space="preserve"> at the same temperature (Schedule 1: </w:t>
            </w:r>
            <w:r w:rsidRPr="00A0690E">
              <w:t>2 °C for 18 days</w:t>
            </w:r>
            <w:r w:rsidRPr="00A0690E">
              <w:rPr>
                <w:rFonts w:hint="eastAsia"/>
              </w:rPr>
              <w:t xml:space="preserve">, Schedule 3: </w:t>
            </w:r>
            <w:r w:rsidRPr="00A0690E">
              <w:t>2 °C for 21 days</w:t>
            </w:r>
            <w:r w:rsidRPr="00A0690E">
              <w:rPr>
                <w:rFonts w:hint="eastAsia"/>
              </w:rPr>
              <w:t xml:space="preserve">) based on different research results, </w:t>
            </w:r>
            <w:r w:rsidRPr="00A0690E">
              <w:t xml:space="preserve">De Lima </w:t>
            </w:r>
            <w:r w:rsidRPr="00A0690E">
              <w:rPr>
                <w:i/>
              </w:rPr>
              <w:t>et al</w:t>
            </w:r>
            <w:r w:rsidRPr="00A0690E">
              <w:rPr>
                <w:rFonts w:hint="eastAsia"/>
              </w:rPr>
              <w:t>.</w:t>
            </w:r>
            <w:r w:rsidRPr="00A0690E">
              <w:t xml:space="preserve"> (2007)</w:t>
            </w:r>
            <w:r w:rsidRPr="00A0690E">
              <w:rPr>
                <w:rFonts w:hint="eastAsia"/>
              </w:rPr>
              <w:t xml:space="preserve"> and Willink </w:t>
            </w:r>
            <w:r w:rsidRPr="00A0690E">
              <w:rPr>
                <w:rFonts w:hint="eastAsia"/>
                <w:i/>
              </w:rPr>
              <w:t>et al.</w:t>
            </w:r>
            <w:r w:rsidRPr="00A0690E">
              <w:rPr>
                <w:rFonts w:hint="eastAsia"/>
              </w:rPr>
              <w:t xml:space="preserve"> (2007a and b) respectively (Refer to Table A).</w:t>
            </w:r>
          </w:p>
          <w:p w:rsidR="00A70C65" w:rsidRDefault="00A70C65" w:rsidP="00FC659A">
            <w:pPr>
              <w:pStyle w:val="IPPArialTable"/>
              <w:spacing w:before="0" w:after="0"/>
            </w:pPr>
            <w:r w:rsidRPr="00A0690E">
              <w:rPr>
                <w:rFonts w:hint="eastAsia"/>
              </w:rPr>
              <w:t xml:space="preserve">According to </w:t>
            </w:r>
            <w:r w:rsidRPr="00A0690E">
              <w:t xml:space="preserve">Willink </w:t>
            </w:r>
            <w:r w:rsidRPr="00A0690E">
              <w:rPr>
                <w:i/>
              </w:rPr>
              <w:t>et al</w:t>
            </w:r>
            <w:r w:rsidRPr="00A0690E">
              <w:rPr>
                <w:rFonts w:hint="eastAsia"/>
              </w:rPr>
              <w:t>.</w:t>
            </w:r>
            <w:r w:rsidRPr="00A0690E">
              <w:rPr>
                <w:i/>
              </w:rPr>
              <w:t xml:space="preserve"> </w:t>
            </w:r>
            <w:r w:rsidRPr="00A0690E">
              <w:t>(2007</w:t>
            </w:r>
            <w:r w:rsidRPr="00A0690E">
              <w:rPr>
                <w:rFonts w:hint="eastAsia"/>
              </w:rPr>
              <w:t>b) which is the basis for Schedule 3 (</w:t>
            </w:r>
            <w:r w:rsidRPr="00A0690E">
              <w:t>2 °C for 21 days</w:t>
            </w:r>
            <w:r w:rsidRPr="00A0690E">
              <w:rPr>
                <w:rFonts w:hint="eastAsia"/>
              </w:rPr>
              <w:t xml:space="preserve">), one </w:t>
            </w:r>
            <w:r w:rsidRPr="00A0690E">
              <w:t>larva</w:t>
            </w:r>
            <w:r w:rsidRPr="00A0690E">
              <w:rPr>
                <w:rFonts w:hint="eastAsia"/>
              </w:rPr>
              <w:t xml:space="preserve"> </w:t>
            </w:r>
            <w:r w:rsidRPr="00A0690E">
              <w:t>survive</w:t>
            </w:r>
            <w:r w:rsidRPr="00A0690E">
              <w:rPr>
                <w:rFonts w:hint="eastAsia"/>
              </w:rPr>
              <w:t xml:space="preserve">d on day 19 at </w:t>
            </w:r>
            <w:r w:rsidRPr="00A0690E">
              <w:t>2 °C</w:t>
            </w:r>
            <w:r w:rsidRPr="00A0690E">
              <w:rPr>
                <w:rFonts w:hint="eastAsia"/>
              </w:rPr>
              <w:t xml:space="preserve">.  This result suggests that schedule 1 is not </w:t>
            </w:r>
            <w:r w:rsidRPr="00A0690E">
              <w:rPr>
                <w:rFonts w:hint="eastAsia"/>
              </w:rPr>
              <w:lastRenderedPageBreak/>
              <w:t xml:space="preserve">applicable to a wide range of countries where </w:t>
            </w:r>
            <w:r w:rsidRPr="00A0690E">
              <w:rPr>
                <w:rFonts w:hint="eastAsia"/>
                <w:i/>
              </w:rPr>
              <w:t>C. capita</w:t>
            </w:r>
            <w:r w:rsidRPr="00A0690E">
              <w:rPr>
                <w:rFonts w:hint="eastAsia"/>
              </w:rPr>
              <w:t xml:space="preserve"> is present, and for which in turn the schedules are lacking in versatility.</w:t>
            </w:r>
            <w:r>
              <w:t xml:space="preserve"> </w:t>
            </w:r>
            <w:r w:rsidRPr="00A0690E">
              <w:rPr>
                <w:rFonts w:hint="eastAsia"/>
              </w:rPr>
              <w:t>Furthermore, two different treatment periods for the same target regulated article (cultivar) at the same treatment temperature may cause unnecessary confusion about which schedule should be applied by the NPPOs.</w:t>
            </w:r>
          </w:p>
          <w:p w:rsidR="00A70C65" w:rsidRDefault="00A70C65" w:rsidP="00FC659A">
            <w:pPr>
              <w:pStyle w:val="IPPArialTable"/>
              <w:spacing w:before="0" w:after="0"/>
            </w:pPr>
            <w:r w:rsidRPr="00A0690E">
              <w:rPr>
                <w:rFonts w:hint="eastAsia"/>
              </w:rPr>
              <w:t xml:space="preserve">The summary of </w:t>
            </w:r>
            <w:r w:rsidRPr="00A0690E">
              <w:t xml:space="preserve">research submitted by the exporting countries to Japan </w:t>
            </w:r>
            <w:r w:rsidRPr="00A0690E">
              <w:rPr>
                <w:rFonts w:hint="eastAsia"/>
              </w:rPr>
              <w:t xml:space="preserve">as well as data </w:t>
            </w:r>
            <w:r w:rsidRPr="00A0690E">
              <w:t>refer</w:t>
            </w:r>
            <w:r w:rsidRPr="00A0690E">
              <w:rPr>
                <w:rFonts w:hint="eastAsia"/>
              </w:rPr>
              <w:t>red to in the</w:t>
            </w:r>
            <w:r w:rsidRPr="00A0690E">
              <w:t xml:space="preserve"> draft ISPMs</w:t>
            </w:r>
            <w:r w:rsidRPr="00A0690E">
              <w:rPr>
                <w:rFonts w:hint="eastAsia"/>
              </w:rPr>
              <w:t xml:space="preserve"> (Table attached to this document)</w:t>
            </w:r>
            <w:r w:rsidRPr="00A0690E">
              <w:t xml:space="preserve"> show</w:t>
            </w:r>
            <w:r w:rsidRPr="00A0690E">
              <w:rPr>
                <w:rFonts w:hint="eastAsia"/>
              </w:rPr>
              <w:t>s</w:t>
            </w:r>
            <w:r w:rsidRPr="00A0690E">
              <w:t xml:space="preserve"> differences between fruit fly populations in terms of their cold hardiness</w:t>
            </w:r>
            <w:r w:rsidRPr="00A0690E">
              <w:rPr>
                <w:rFonts w:hint="eastAsia"/>
              </w:rPr>
              <w:t>.</w:t>
            </w:r>
            <w:r w:rsidRPr="00A0690E">
              <w:t xml:space="preserve"> </w:t>
            </w:r>
            <w:r w:rsidRPr="00A0690E">
              <w:rPr>
                <w:rFonts w:hint="eastAsia"/>
              </w:rPr>
              <w:t xml:space="preserve">This is likely </w:t>
            </w:r>
            <w:r w:rsidRPr="00A0690E">
              <w:t xml:space="preserve">because there are </w:t>
            </w:r>
            <w:r w:rsidRPr="00A0690E">
              <w:rPr>
                <w:rFonts w:hint="eastAsia"/>
              </w:rPr>
              <w:t>notable</w:t>
            </w:r>
            <w:r w:rsidRPr="00A0690E">
              <w:t xml:space="preserve"> differences </w:t>
            </w:r>
            <w:r w:rsidRPr="00A0690E">
              <w:rPr>
                <w:rFonts w:hint="eastAsia"/>
              </w:rPr>
              <w:t>in</w:t>
            </w:r>
            <w:r w:rsidRPr="00A0690E">
              <w:t xml:space="preserve"> treatment days for the same target article at the same treatment temperature (5-7days)</w:t>
            </w:r>
            <w:r w:rsidRPr="00A0690E">
              <w:rPr>
                <w:rFonts w:hint="eastAsia"/>
              </w:rPr>
              <w:t>. J</w:t>
            </w:r>
            <w:r w:rsidRPr="00A0690E">
              <w:t xml:space="preserve">apan </w:t>
            </w:r>
            <w:r w:rsidRPr="00A0690E">
              <w:rPr>
                <w:rFonts w:hint="eastAsia"/>
              </w:rPr>
              <w:t>suggested in</w:t>
            </w:r>
            <w:r w:rsidRPr="00A0690E">
              <w:t xml:space="preserve"> </w:t>
            </w:r>
            <w:r w:rsidRPr="00A0690E">
              <w:rPr>
                <w:rFonts w:hint="eastAsia"/>
              </w:rPr>
              <w:t>the m</w:t>
            </w:r>
            <w:r w:rsidRPr="00A0690E">
              <w:t>ember consultation</w:t>
            </w:r>
            <w:r w:rsidRPr="00A0690E">
              <w:rPr>
                <w:rFonts w:hint="eastAsia"/>
              </w:rPr>
              <w:t xml:space="preserve"> in 2009</w:t>
            </w:r>
            <w:r w:rsidRPr="00A0690E">
              <w:t xml:space="preserve"> that</w:t>
            </w:r>
            <w:r w:rsidRPr="00A0690E">
              <w:rPr>
                <w:rFonts w:hint="eastAsia"/>
              </w:rPr>
              <w:t xml:space="preserve"> the </w:t>
            </w:r>
            <w:r w:rsidRPr="00A0690E">
              <w:t xml:space="preserve">differences </w:t>
            </w:r>
            <w:r w:rsidRPr="00A0690E">
              <w:rPr>
                <w:rFonts w:hint="eastAsia"/>
              </w:rPr>
              <w:t xml:space="preserve">between fruit fly populations in terms of cold hardiness possibly </w:t>
            </w:r>
            <w:r w:rsidRPr="00A0690E">
              <w:t>indicate tolerance (susceptibility) to cold treatment differs by origins</w:t>
            </w:r>
            <w:r w:rsidRPr="00A0690E">
              <w:rPr>
                <w:rFonts w:hint="eastAsia"/>
              </w:rPr>
              <w:t>.  However, the</w:t>
            </w:r>
            <w:r w:rsidRPr="00A0690E">
              <w:t xml:space="preserve"> TPPT concluded that “</w:t>
            </w:r>
            <w:r w:rsidRPr="00A0690E">
              <w:rPr>
                <w:i/>
              </w:rPr>
              <w:t xml:space="preserve">while there were considered to be phenotypic differences (plasticity) induced by the environment and </w:t>
            </w:r>
            <w:r w:rsidRPr="00A0690E">
              <w:rPr>
                <w:rFonts w:hint="eastAsia"/>
                <w:i/>
              </w:rPr>
              <w:t xml:space="preserve">as </w:t>
            </w:r>
            <w:r w:rsidRPr="00A0690E">
              <w:rPr>
                <w:i/>
              </w:rPr>
              <w:t>a result of seasonal or geographical effects, it was not thought that this was a significant issue</w:t>
            </w:r>
            <w:r w:rsidRPr="00A0690E">
              <w:rPr>
                <w:rFonts w:hint="eastAsia"/>
                <w:i/>
              </w:rPr>
              <w:t>.</w:t>
            </w:r>
            <w:r w:rsidRPr="00A0690E">
              <w:rPr>
                <w:i/>
              </w:rPr>
              <w:t>”</w:t>
            </w:r>
            <w:r w:rsidRPr="00A0690E">
              <w:t xml:space="preserve"> (2010 TPPT Meeting Report)</w:t>
            </w:r>
            <w:r w:rsidRPr="00A0690E">
              <w:rPr>
                <w:rFonts w:hint="eastAsia"/>
              </w:rPr>
              <w:t xml:space="preserve"> It has not been explained the </w:t>
            </w:r>
            <w:r w:rsidRPr="00A0690E">
              <w:t>r</w:t>
            </w:r>
            <w:r w:rsidRPr="00A0690E">
              <w:rPr>
                <w:rFonts w:hint="eastAsia"/>
              </w:rPr>
              <w:t xml:space="preserve">ationale as to why the TPPT </w:t>
            </w:r>
            <w:r w:rsidRPr="00A0690E">
              <w:t>conclude</w:t>
            </w:r>
            <w:r w:rsidRPr="00A0690E">
              <w:rPr>
                <w:rFonts w:hint="eastAsia"/>
              </w:rPr>
              <w:t>d the differences are</w:t>
            </w:r>
            <w:r w:rsidRPr="00A0690E">
              <w:t xml:space="preserve"> not thought </w:t>
            </w:r>
            <w:r w:rsidRPr="00A0690E">
              <w:rPr>
                <w:rFonts w:hint="eastAsia"/>
              </w:rPr>
              <w:t xml:space="preserve">to be </w:t>
            </w:r>
            <w:r w:rsidRPr="00A0690E">
              <w:t>a significant issue</w:t>
            </w:r>
            <w:r w:rsidRPr="00A0690E">
              <w:rPr>
                <w:rFonts w:hint="eastAsia"/>
              </w:rPr>
              <w:t xml:space="preserve"> in terms of effectiveness of</w:t>
            </w:r>
            <w:r w:rsidRPr="004C7150">
              <w:rPr>
                <w:rFonts w:ascii="Times New Roman" w:eastAsia="MS Mincho" w:hAnsi="Times New Roman" w:hint="eastAsia"/>
                <w:sz w:val="22"/>
              </w:rPr>
              <w:t xml:space="preserve"> </w:t>
            </w:r>
            <w:r w:rsidRPr="004C7150">
              <w:rPr>
                <w:rFonts w:hint="eastAsia"/>
              </w:rPr>
              <w:t xml:space="preserve">phytosanitary treatment. </w:t>
            </w:r>
            <w:r w:rsidRPr="004C7150">
              <w:t xml:space="preserve">Japan </w:t>
            </w:r>
            <w:r w:rsidRPr="004C7150">
              <w:rPr>
                <w:rFonts w:hint="eastAsia"/>
              </w:rPr>
              <w:t xml:space="preserve">underlines the </w:t>
            </w:r>
            <w:r w:rsidRPr="004C7150">
              <w:t xml:space="preserve">difference </w:t>
            </w:r>
            <w:r w:rsidRPr="004C7150">
              <w:rPr>
                <w:rFonts w:hint="eastAsia"/>
              </w:rPr>
              <w:t>between fruit fly populations in terms of cold hardiness</w:t>
            </w:r>
            <w:r w:rsidRPr="004C7150">
              <w:t xml:space="preserve"> should be </w:t>
            </w:r>
            <w:r w:rsidRPr="004C7150">
              <w:rPr>
                <w:rFonts w:hint="eastAsia"/>
              </w:rPr>
              <w:t xml:space="preserve">duly </w:t>
            </w:r>
            <w:r w:rsidRPr="004C7150">
              <w:t>taken into account</w:t>
            </w:r>
            <w:r w:rsidRPr="004C7150">
              <w:rPr>
                <w:rFonts w:hint="eastAsia"/>
              </w:rPr>
              <w:t xml:space="preserve"> so that the </w:t>
            </w:r>
            <w:r w:rsidRPr="004C7150">
              <w:t>treatments</w:t>
            </w:r>
            <w:r w:rsidRPr="004C7150">
              <w:rPr>
                <w:rFonts w:hint="eastAsia"/>
              </w:rPr>
              <w:t xml:space="preserve"> can achieve</w:t>
            </w:r>
            <w:r w:rsidRPr="004C7150">
              <w:t xml:space="preserve"> </w:t>
            </w:r>
            <w:r w:rsidRPr="004C7150">
              <w:rPr>
                <w:rFonts w:hint="eastAsia"/>
              </w:rPr>
              <w:t xml:space="preserve">stated </w:t>
            </w:r>
            <w:r w:rsidRPr="004C7150">
              <w:t>eff</w:t>
            </w:r>
            <w:r w:rsidRPr="004C7150">
              <w:rPr>
                <w:rFonts w:hint="eastAsia"/>
              </w:rPr>
              <w:t xml:space="preserve">icacy </w:t>
            </w:r>
            <w:r w:rsidRPr="004C7150">
              <w:t>in any circumstances</w:t>
            </w:r>
            <w:r w:rsidRPr="004C7150">
              <w:rPr>
                <w:rFonts w:hint="eastAsia"/>
              </w:rPr>
              <w:t>.</w:t>
            </w:r>
          </w:p>
          <w:p w:rsidR="00A70C65" w:rsidRDefault="00A70C65" w:rsidP="00FC659A">
            <w:pPr>
              <w:pStyle w:val="IPPArialTable"/>
              <w:spacing w:before="0" w:after="0"/>
            </w:pPr>
          </w:p>
          <w:p w:rsidR="00A70C65" w:rsidRPr="00A0690E" w:rsidRDefault="00A70C65" w:rsidP="00FC659A">
            <w:pPr>
              <w:pStyle w:val="IPPArialTable"/>
              <w:widowControl w:val="0"/>
              <w:spacing w:before="0" w:after="0"/>
            </w:pPr>
            <w:r w:rsidRPr="00A0690E">
              <w:t>In addition, the proposed standard treatment on orange (CPM 2014/03_04) seems to support the differences between fruit fly populations in terms of their cold hardiness because it presents different treatment schedules (18 days / 21 days) at the same temperature (2.0°C) based on the different results conducted in different countries.</w:t>
            </w:r>
          </w:p>
          <w:p w:rsidR="00A70C65" w:rsidRPr="00A0690E" w:rsidRDefault="00A70C65" w:rsidP="00FC659A">
            <w:pPr>
              <w:pStyle w:val="IPPArialTable"/>
              <w:widowControl w:val="0"/>
              <w:spacing w:before="0" w:after="0"/>
            </w:pPr>
          </w:p>
        </w:tc>
        <w:tc>
          <w:tcPr>
            <w:tcW w:w="2262" w:type="pct"/>
          </w:tcPr>
          <w:p w:rsidR="00A70C65" w:rsidRDefault="00A70C65" w:rsidP="00FC659A">
            <w:pPr>
              <w:pStyle w:val="IPPArialTable"/>
              <w:widowControl w:val="0"/>
              <w:spacing w:before="0" w:after="0"/>
            </w:pPr>
            <w:r>
              <w:lastRenderedPageBreak/>
              <w:t xml:space="preserve">The TPPT noted that different research methodologies may result in different, but valid treatment schedules. </w:t>
            </w:r>
            <w:r w:rsidRPr="00355480">
              <w:t xml:space="preserve">The TPPT considered a recent scientific study (see 2016-09 TPPT meeting report) undertaken to investigate 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r w:rsidRPr="00355480">
              <w:rPr>
                <w:i/>
              </w:rPr>
              <w:t>Cerati</w:t>
            </w:r>
            <w:r>
              <w:rPr>
                <w:i/>
              </w:rPr>
              <w:t>t</w:t>
            </w:r>
            <w:r w:rsidRPr="00355480">
              <w:rPr>
                <w:i/>
              </w:rPr>
              <w:t>is capitata</w:t>
            </w:r>
            <w:r w:rsidRPr="00355480">
              <w:t xml:space="preserve"> </w:t>
            </w:r>
            <w:r>
              <w:t>from geographically separate regions</w:t>
            </w:r>
            <w:r w:rsidRPr="00355480">
              <w:t xml:space="preserve">. </w:t>
            </w:r>
          </w:p>
          <w:p w:rsidR="00A70C65" w:rsidRDefault="00A70C65" w:rsidP="00FC659A">
            <w:pPr>
              <w:pStyle w:val="IPPArialTable"/>
              <w:widowControl w:val="0"/>
              <w:spacing w:before="0" w:after="0"/>
            </w:pPr>
          </w:p>
          <w:p w:rsidR="00A70C65" w:rsidRPr="00355480" w:rsidRDefault="00A70C65"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r w:rsidRPr="00254F97">
              <w:rPr>
                <w:i/>
              </w:rPr>
              <w:t>capitata</w:t>
            </w:r>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capitata</w:t>
            </w:r>
            <w:r>
              <w:t>.</w:t>
            </w:r>
            <w:r w:rsidRPr="00355480">
              <w:t xml:space="preserve"> </w:t>
            </w:r>
            <w:r>
              <w:t>T</w:t>
            </w:r>
            <w:r w:rsidRPr="00355480">
              <w:t>herefore this phytosanitary treatment fully meets the requirements set out in ISPM 28.</w:t>
            </w:r>
            <w:r>
              <w:t xml:space="preserve">  </w:t>
            </w:r>
          </w:p>
          <w:p w:rsidR="00A70C65" w:rsidRPr="002367C1" w:rsidRDefault="00A70C65" w:rsidP="00FC659A">
            <w:pPr>
              <w:pStyle w:val="IPPArialTable"/>
              <w:widowControl w:val="0"/>
              <w:spacing w:before="0" w:after="0"/>
            </w:pPr>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lastRenderedPageBreak/>
              <w:t>33</w:t>
            </w:r>
          </w:p>
        </w:tc>
        <w:tc>
          <w:tcPr>
            <w:tcW w:w="488" w:type="pct"/>
          </w:tcPr>
          <w:p w:rsidR="00A70C65" w:rsidRPr="00A0690E" w:rsidRDefault="00A70C65" w:rsidP="00FC659A">
            <w:pPr>
              <w:pStyle w:val="IPPArialTable"/>
              <w:spacing w:before="0" w:after="0"/>
            </w:pPr>
            <w:r w:rsidRPr="00A0690E">
              <w:t>Japan</w:t>
            </w:r>
          </w:p>
        </w:tc>
        <w:tc>
          <w:tcPr>
            <w:tcW w:w="2005" w:type="pct"/>
          </w:tcPr>
          <w:p w:rsidR="00A70C65" w:rsidRPr="00A0690E" w:rsidRDefault="00A70C65" w:rsidP="00FC659A">
            <w:pPr>
              <w:pStyle w:val="IPPArialTable"/>
              <w:spacing w:before="0" w:after="0"/>
              <w:rPr>
                <w:u w:val="single"/>
                <w:lang w:val="en-US"/>
              </w:rPr>
            </w:pPr>
            <w:r w:rsidRPr="00A0690E">
              <w:rPr>
                <w:rFonts w:hint="eastAsia"/>
                <w:u w:val="single"/>
                <w:lang w:val="en-US"/>
              </w:rPr>
              <w:t>S</w:t>
            </w:r>
            <w:r w:rsidRPr="00A0690E">
              <w:rPr>
                <w:u w:val="single"/>
                <w:lang w:val="en-US"/>
              </w:rPr>
              <w:t>uggestions for improvement to the draft ISPM</w:t>
            </w:r>
          </w:p>
          <w:p w:rsidR="00A70C65" w:rsidRPr="00A0690E" w:rsidRDefault="00A70C65" w:rsidP="00FC659A">
            <w:pPr>
              <w:pStyle w:val="IPPArialTable"/>
              <w:spacing w:before="0" w:after="0"/>
            </w:pPr>
            <w:r w:rsidRPr="00A0690E">
              <w:t xml:space="preserve">Japan would like to suggest that </w:t>
            </w:r>
            <w:r w:rsidRPr="00A0690E">
              <w:rPr>
                <w:rFonts w:hint="eastAsia"/>
              </w:rPr>
              <w:t xml:space="preserve">the said four standard treatments be reviewed </w:t>
            </w:r>
            <w:r w:rsidRPr="00A0690E">
              <w:t>while taking into account</w:t>
            </w:r>
            <w:r w:rsidRPr="00A0690E">
              <w:rPr>
                <w:rFonts w:hint="eastAsia"/>
              </w:rPr>
              <w:t xml:space="preserve"> the following points, with the understanding that the standard treatment should be </w:t>
            </w:r>
            <w:r w:rsidRPr="00A0690E">
              <w:t>feasib</w:t>
            </w:r>
            <w:r w:rsidRPr="00A0690E">
              <w:rPr>
                <w:rFonts w:hint="eastAsia"/>
              </w:rPr>
              <w:t xml:space="preserve">le </w:t>
            </w:r>
            <w:r w:rsidRPr="00A0690E">
              <w:t>an</w:t>
            </w:r>
            <w:r w:rsidRPr="00A0690E">
              <w:rPr>
                <w:rFonts w:hint="eastAsia"/>
              </w:rPr>
              <w:t xml:space="preserve">d applicable to a wide range of countries without </w:t>
            </w:r>
            <w:r w:rsidRPr="00A0690E">
              <w:t>inviting</w:t>
            </w:r>
            <w:r w:rsidRPr="00A0690E">
              <w:rPr>
                <w:rFonts w:hint="eastAsia"/>
              </w:rPr>
              <w:t xml:space="preserve"> any confusion in implementing them once they are adopted by the CPM.</w:t>
            </w:r>
          </w:p>
          <w:p w:rsidR="00A70C65" w:rsidRPr="00A0690E" w:rsidRDefault="00A70C65" w:rsidP="00FC659A">
            <w:pPr>
              <w:pStyle w:val="IPPArialTable"/>
              <w:spacing w:before="0" w:after="0"/>
            </w:pPr>
            <w:r w:rsidRPr="00A0690E">
              <w:rPr>
                <w:rFonts w:hint="eastAsia"/>
              </w:rPr>
              <w:t xml:space="preserve">1. </w:t>
            </w:r>
            <w:r w:rsidRPr="00A0690E">
              <w:rPr>
                <w:rFonts w:hint="eastAsia"/>
              </w:rPr>
              <w:tab/>
            </w:r>
            <w:r w:rsidRPr="00A0690E">
              <w:t xml:space="preserve">It is </w:t>
            </w:r>
            <w:r w:rsidRPr="00A0690E">
              <w:rPr>
                <w:rFonts w:hint="eastAsia"/>
              </w:rPr>
              <w:t xml:space="preserve">requested that </w:t>
            </w:r>
            <w:r w:rsidRPr="00A0690E">
              <w:t>a treatment schedule which is the least restrictive measure available but is effective in disinfecting target pests in any circumstances</w:t>
            </w:r>
            <w:r w:rsidRPr="00A0690E">
              <w:rPr>
                <w:rFonts w:hint="eastAsia"/>
              </w:rPr>
              <w:t xml:space="preserve"> be developed</w:t>
            </w:r>
            <w:r w:rsidRPr="00A0690E">
              <w:t xml:space="preserve">. </w:t>
            </w:r>
            <w:r w:rsidRPr="00A0690E">
              <w:rPr>
                <w:rFonts w:hint="eastAsia"/>
              </w:rPr>
              <w:t xml:space="preserve"> It is also requested that a</w:t>
            </w:r>
            <w:r w:rsidRPr="00A0690E">
              <w:t xml:space="preserve">vailable research data and </w:t>
            </w:r>
            <w:r w:rsidRPr="00A0690E">
              <w:lastRenderedPageBreak/>
              <w:t>existing treatment schedule</w:t>
            </w:r>
            <w:r w:rsidRPr="00A0690E">
              <w:rPr>
                <w:rFonts w:hint="eastAsia"/>
              </w:rPr>
              <w:t>s</w:t>
            </w:r>
            <w:r w:rsidRPr="00A0690E">
              <w:t xml:space="preserve"> used in many countries</w:t>
            </w:r>
            <w:r w:rsidRPr="00A0690E">
              <w:rPr>
                <w:rFonts w:hint="eastAsia"/>
              </w:rPr>
              <w:t xml:space="preserve"> be collected.</w:t>
            </w:r>
            <w:r>
              <w:t xml:space="preserve"> </w:t>
            </w:r>
            <w:r w:rsidRPr="00A0690E">
              <w:rPr>
                <w:rFonts w:hint="eastAsia"/>
              </w:rPr>
              <w:t>For this purpose, Japan is willing to provide available research data submitted by exporting countries to the IPPC Secretariat when requesting export of their products to Japan, subject to the approval of these countries.</w:t>
            </w:r>
          </w:p>
        </w:tc>
        <w:tc>
          <w:tcPr>
            <w:tcW w:w="2262" w:type="pct"/>
          </w:tcPr>
          <w:p w:rsidR="00A70C65" w:rsidRPr="0042321D" w:rsidRDefault="00A70C65" w:rsidP="00FC659A">
            <w:pPr>
              <w:pStyle w:val="IPPArialTable"/>
              <w:widowControl w:val="0"/>
              <w:spacing w:before="0" w:after="0"/>
            </w:pPr>
            <w:r w:rsidRPr="0042321D">
              <w:lastRenderedPageBreak/>
              <w:t>The TPPT</w:t>
            </w:r>
            <w:r>
              <w:t xml:space="preserve"> has considered the four treatment schedules and agreed that they fulfil the requirements in ISPM 28. The TPPT supports transparency and encourages treatment submitters to make data available to all IPPC contracting parties.</w:t>
            </w:r>
          </w:p>
          <w:p w:rsidR="00A70C65" w:rsidRDefault="00A70C65" w:rsidP="00FC659A">
            <w:pPr>
              <w:pStyle w:val="IPPArialTable"/>
              <w:widowControl w:val="0"/>
              <w:spacing w:before="0" w:after="0"/>
            </w:pPr>
            <w:r w:rsidRPr="0042321D">
              <w:t xml:space="preserve"> </w:t>
            </w:r>
          </w:p>
          <w:p w:rsidR="00A70C65" w:rsidRPr="002367C1" w:rsidRDefault="00A70C65" w:rsidP="00FC659A">
            <w:pPr>
              <w:pStyle w:val="IPPArialTable"/>
              <w:widowControl w:val="0"/>
              <w:spacing w:before="0" w:after="0"/>
            </w:pPr>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lastRenderedPageBreak/>
              <w:t>34</w:t>
            </w:r>
          </w:p>
        </w:tc>
        <w:tc>
          <w:tcPr>
            <w:tcW w:w="488" w:type="pct"/>
          </w:tcPr>
          <w:p w:rsidR="00A70C65" w:rsidRDefault="00A70C65" w:rsidP="00FC659A">
            <w:pPr>
              <w:pStyle w:val="IPPArialTable"/>
              <w:widowControl w:val="0"/>
              <w:spacing w:before="0" w:after="0"/>
            </w:pPr>
            <w:r>
              <w:t>Japan</w:t>
            </w:r>
          </w:p>
        </w:tc>
        <w:tc>
          <w:tcPr>
            <w:tcW w:w="2005" w:type="pct"/>
          </w:tcPr>
          <w:p w:rsidR="00A70C65" w:rsidRPr="00A0690E" w:rsidRDefault="00A70C65" w:rsidP="00FC659A">
            <w:pPr>
              <w:pStyle w:val="IPPArialTable"/>
              <w:spacing w:before="0" w:after="0"/>
              <w:rPr>
                <w:u w:val="single"/>
              </w:rPr>
            </w:pPr>
            <w:r w:rsidRPr="00A0690E">
              <w:rPr>
                <w:rFonts w:hint="eastAsia"/>
              </w:rPr>
              <w:t xml:space="preserve">2. </w:t>
            </w:r>
            <w:r w:rsidRPr="00A0690E">
              <w:rPr>
                <w:rFonts w:hint="eastAsia"/>
              </w:rPr>
              <w:tab/>
              <w:t xml:space="preserve">More detailed information on the rationale and validity of presenting draft standard treatments made by the SC and TPPT </w:t>
            </w:r>
            <w:r w:rsidRPr="00A0690E">
              <w:t>should</w:t>
            </w:r>
            <w:r w:rsidRPr="00A0690E">
              <w:rPr>
                <w:rFonts w:hint="eastAsia"/>
              </w:rPr>
              <w:t xml:space="preserve"> be available to the contracting countries for </w:t>
            </w:r>
            <w:r w:rsidRPr="00A0690E">
              <w:t>their</w:t>
            </w:r>
            <w:r w:rsidRPr="00A0690E">
              <w:rPr>
                <w:rFonts w:hint="eastAsia"/>
              </w:rPr>
              <w:t xml:space="preserve"> </w:t>
            </w:r>
            <w:r w:rsidRPr="00A0690E">
              <w:t>scrutiny</w:t>
            </w:r>
            <w:r w:rsidRPr="00A0690E">
              <w:rPr>
                <w:rFonts w:hint="eastAsia"/>
              </w:rPr>
              <w:t>.</w:t>
            </w:r>
          </w:p>
        </w:tc>
        <w:tc>
          <w:tcPr>
            <w:tcW w:w="2262" w:type="pct"/>
          </w:tcPr>
          <w:p w:rsidR="00A70C65" w:rsidRDefault="00A70C65" w:rsidP="00FC659A">
            <w:pPr>
              <w:pStyle w:val="IPPArialTable"/>
              <w:widowControl w:val="0"/>
              <w:spacing w:before="0" w:after="0"/>
            </w:pPr>
            <w:r>
              <w:t>The TPPT and the IPPC Secretariat have taken steps to include more of the rationale and val</w:t>
            </w:r>
            <w:r w:rsidR="00BC10C5">
              <w:t>idity for the draft treatments</w:t>
            </w:r>
            <w:r>
              <w:t xml:space="preserve"> to satisfy these suggestions.</w:t>
            </w:r>
          </w:p>
        </w:tc>
      </w:tr>
      <w:tr w:rsidR="00A70C65" w:rsidRPr="002367C1" w:rsidTr="00FC659A">
        <w:trPr>
          <w:trHeight w:val="502"/>
        </w:trPr>
        <w:tc>
          <w:tcPr>
            <w:tcW w:w="245" w:type="pct"/>
          </w:tcPr>
          <w:p w:rsidR="00A70C65" w:rsidRDefault="00A70C65" w:rsidP="00FC659A">
            <w:pPr>
              <w:pStyle w:val="IPPArialTable"/>
              <w:widowControl w:val="0"/>
              <w:spacing w:before="0" w:after="0"/>
              <w:rPr>
                <w:caps/>
              </w:rPr>
            </w:pPr>
            <w:r>
              <w:rPr>
                <w:caps/>
              </w:rPr>
              <w:t>35</w:t>
            </w:r>
          </w:p>
        </w:tc>
        <w:tc>
          <w:tcPr>
            <w:tcW w:w="488" w:type="pct"/>
          </w:tcPr>
          <w:p w:rsidR="00A70C65" w:rsidRDefault="00A70C65" w:rsidP="00FC659A">
            <w:pPr>
              <w:pStyle w:val="IPPArialTable"/>
              <w:widowControl w:val="0"/>
              <w:spacing w:before="0" w:after="0"/>
            </w:pPr>
            <w:r>
              <w:t>Korea</w:t>
            </w:r>
          </w:p>
        </w:tc>
        <w:tc>
          <w:tcPr>
            <w:tcW w:w="2005" w:type="pct"/>
          </w:tcPr>
          <w:p w:rsidR="00A70C65" w:rsidRPr="00C5126C" w:rsidRDefault="00A70C65" w:rsidP="00FC659A">
            <w:pPr>
              <w:pStyle w:val="IPPArialTable"/>
              <w:spacing w:before="0" w:after="0"/>
            </w:pPr>
            <w:r w:rsidRPr="00C5126C">
              <w:t>According to Willink et al (2007b), one larva survived on day 19 at 2C, which does not support the Schedule 1 (2C for 18 days).</w:t>
            </w:r>
            <w:r w:rsidRPr="00C5126C">
              <w:br/>
            </w:r>
            <w:r w:rsidRPr="00C5126C">
              <w:br/>
              <w:t>In addition, 2 different periods were suggested at the same temperature (2C) for the same commodity which may lead confusion and debate. Rep. of KOREA hopes, ISPMs are developed with through analysis to provide effective and least trade restricted schedules in harmonized way.</w:t>
            </w:r>
          </w:p>
        </w:tc>
        <w:tc>
          <w:tcPr>
            <w:tcW w:w="2262" w:type="pct"/>
          </w:tcPr>
          <w:p w:rsidR="00A70C65" w:rsidRDefault="00A70C65" w:rsidP="00FC659A">
            <w:pPr>
              <w:pStyle w:val="IPPArialTable"/>
              <w:widowControl w:val="0"/>
              <w:spacing w:before="0" w:after="0"/>
            </w:pPr>
            <w:r>
              <w:t xml:space="preserve">]Initial acceptance of the schedule was based on unpublished data in addition to the studies by Willink </w:t>
            </w:r>
            <w:r w:rsidRPr="00630F59">
              <w:rPr>
                <w:i/>
              </w:rPr>
              <w:t>et al.</w:t>
            </w:r>
            <w:r>
              <w:t xml:space="preserve"> 2007 and Gastaminza </w:t>
            </w:r>
            <w:r w:rsidRPr="00FE7C79">
              <w:rPr>
                <w:i/>
              </w:rPr>
              <w:t>et al.</w:t>
            </w:r>
            <w:r>
              <w:t xml:space="preserve"> 2007 as part of the original submission. The additional data was included in the list of references for the proposed schedule.</w:t>
            </w:r>
          </w:p>
          <w:p w:rsidR="00A70C65" w:rsidRDefault="00A70C65" w:rsidP="00FC659A">
            <w:pPr>
              <w:pStyle w:val="IPPArialTable"/>
              <w:widowControl w:val="0"/>
              <w:spacing w:before="0" w:after="0"/>
            </w:pPr>
          </w:p>
          <w:p w:rsidR="00A70C65" w:rsidRPr="002367C1" w:rsidRDefault="00A70C65" w:rsidP="00FC659A">
            <w:pPr>
              <w:pStyle w:val="IPPArialTable"/>
              <w:widowControl w:val="0"/>
              <w:spacing w:before="0" w:after="0"/>
            </w:pPr>
            <w:r>
              <w:t xml:space="preserve">Phytosanitary treatments may provide treatment schedule options where different levels of efficacy are provided. </w:t>
            </w:r>
          </w:p>
        </w:tc>
      </w:tr>
    </w:tbl>
    <w:p w:rsidR="00483FFE" w:rsidRDefault="00483FFE"/>
    <w:sectPr w:rsidR="00483FFE" w:rsidSect="00C11F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65" w:rsidRDefault="00A70C65" w:rsidP="00A70C65">
      <w:r>
        <w:separator/>
      </w:r>
    </w:p>
  </w:endnote>
  <w:endnote w:type="continuationSeparator" w:id="0">
    <w:p w:rsidR="00A70C65" w:rsidRDefault="00A70C65" w:rsidP="00A70C65">
      <w:r>
        <w:continuationSeparator/>
      </w:r>
    </w:p>
  </w:endnote>
  <w:endnote w:id="1">
    <w:p w:rsidR="00A70C65" w:rsidRPr="00C5126C" w:rsidRDefault="00A70C65" w:rsidP="00A70C65">
      <w:pPr>
        <w:pStyle w:val="EndnoteText"/>
        <w:rPr>
          <w:lang w:val="en-US"/>
        </w:rPr>
      </w:pPr>
      <w:r w:rsidRPr="005024A3">
        <w:rPr>
          <w:rStyle w:val="EndnoteReference"/>
        </w:rPr>
        <w:endnoteRef/>
      </w:r>
      <w:r w:rsidRPr="005024A3">
        <w:t xml:space="preserve"> Couey, H.M.</w:t>
      </w:r>
      <w:r w:rsidRPr="00C5126C">
        <w:t>,</w:t>
      </w:r>
      <w:r w:rsidRPr="005024A3">
        <w:t xml:space="preserve"> &amp; V. Chew. 1986.</w:t>
      </w:r>
      <w:r w:rsidRPr="00164D7F">
        <w:t xml:space="preserve"> Confidence</w:t>
      </w:r>
      <w:r>
        <w:t xml:space="preserve"> limits and sample size in quarantine research. </w:t>
      </w:r>
      <w:r w:rsidRPr="00C5126C">
        <w:rPr>
          <w:i/>
        </w:rPr>
        <w:t>J. Econ. Entomol</w:t>
      </w:r>
      <w:r>
        <w:t>. 79: 887 – 890.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jc w:val="both"/>
    </w:pPr>
    <w:r w:rsidRPr="0046265B">
      <w:t xml:space="preserve">Page </w:t>
    </w:r>
    <w:r w:rsidRPr="0046265B">
      <w:fldChar w:fldCharType="begin"/>
    </w:r>
    <w:r w:rsidRPr="0046265B">
      <w:instrText xml:space="preserve"> PAGE </w:instrText>
    </w:r>
    <w:r w:rsidRPr="0046265B">
      <w:fldChar w:fldCharType="separate"/>
    </w:r>
    <w:r w:rsidR="00524128">
      <w:rPr>
        <w:noProof/>
      </w:rPr>
      <w:t>4</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524128">
      <w:rPr>
        <w:noProof/>
      </w:rPr>
      <w:t>5</w:t>
    </w:r>
    <w:r w:rsidRPr="0046265B">
      <w:fldChar w:fldCharType="end"/>
    </w:r>
    <w:r>
      <w:tab/>
    </w:r>
    <w:r w:rsidRPr="0046265B">
      <w:t>International Plant Protection C</w:t>
    </w:r>
    <w:r>
      <w:t>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524128">
      <w:rPr>
        <w:noProof/>
      </w:rPr>
      <w:t>5</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524128">
      <w:rPr>
        <w:noProof/>
      </w:rPr>
      <w:t>5</w:t>
    </w:r>
    <w:r w:rsidRPr="0046265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524128">
      <w:rPr>
        <w:noProof/>
      </w:rPr>
      <w:t>1</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524128">
      <w:rPr>
        <w:noProof/>
      </w:rPr>
      <w:t>5</w:t>
    </w:r>
    <w:r w:rsidRPr="004626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65" w:rsidRDefault="00A70C65" w:rsidP="00A70C65">
      <w:r>
        <w:separator/>
      </w:r>
    </w:p>
  </w:footnote>
  <w:footnote w:type="continuationSeparator" w:id="0">
    <w:p w:rsidR="00A70C65" w:rsidRDefault="00A70C65" w:rsidP="00A7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Header"/>
    </w:pPr>
    <w:r>
      <w:t>Responses to Objections: 2007-206A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Pr="00C11F7E" w:rsidRDefault="00C11F7E" w:rsidP="00C11F7E">
    <w:pPr>
      <w:pStyle w:val="IPPHeader"/>
    </w:pPr>
    <w:r>
      <w:tab/>
    </w:r>
    <w:r>
      <w:tab/>
      <w:t>Responses to Objections: 2007-206A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Pr="0098497A" w:rsidRDefault="00C11F7E" w:rsidP="00C11F7E">
    <w:pPr>
      <w:pStyle w:val="IPPHeader"/>
      <w:spacing w:before="60" w:after="60"/>
      <w:rPr>
        <w:i/>
        <w:szCs w:val="18"/>
        <w:lang w:val="fr-FR"/>
      </w:rPr>
    </w:pPr>
    <w:r>
      <w:rPr>
        <w:rFonts w:ascii="Times New Roman" w:eastAsia="Times New Roman" w:hAnsi="Times New Roman"/>
        <w:noProof/>
        <w:szCs w:val="20"/>
        <w:lang w:val="en-GB" w:eastAsia="en-GB"/>
      </w:rPr>
      <w:drawing>
        <wp:anchor distT="0" distB="0" distL="114300" distR="114300" simplePos="0" relativeHeight="251660288" behindDoc="0" locked="0" layoutInCell="1" allowOverlap="1" wp14:anchorId="63E1BB89" wp14:editId="65E4655D">
          <wp:simplePos x="0" y="0"/>
          <wp:positionH relativeFrom="column">
            <wp:posOffset>-921385</wp:posOffset>
          </wp:positionH>
          <wp:positionV relativeFrom="paragraph">
            <wp:posOffset>-480695</wp:posOffset>
          </wp:positionV>
          <wp:extent cx="7597140" cy="4286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14:anchorId="06117E86" wp14:editId="682F9712">
          <wp:simplePos x="0" y="0"/>
          <wp:positionH relativeFrom="column">
            <wp:posOffset>-6985</wp:posOffset>
          </wp:positionH>
          <wp:positionV relativeFrom="paragraph">
            <wp:posOffset>12700</wp:posOffset>
          </wp:positionV>
          <wp:extent cx="630555" cy="32575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D38">
      <w:rPr>
        <w:szCs w:val="18"/>
      </w:rPr>
      <w:t>International Plant Protection Convention</w:t>
    </w:r>
  </w:p>
  <w:p w:rsidR="00C11F7E" w:rsidRPr="00C11F7E" w:rsidRDefault="00C11F7E" w:rsidP="00C11F7E">
    <w:pPr>
      <w:pStyle w:val="IPPHeader"/>
      <w:rPr>
        <w:i/>
        <w:iCs/>
      </w:rPr>
    </w:pPr>
    <w:r>
      <w:rPr>
        <w:i/>
      </w:rPr>
      <w:t>Responses to Objections: 2007-206A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523063B"/>
    <w:multiLevelType w:val="hybridMultilevel"/>
    <w:tmpl w:val="B470D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4"/>
  </w:num>
  <w:num w:numId="5">
    <w:abstractNumId w:val="12"/>
  </w:num>
  <w:num w:numId="6">
    <w:abstractNumId w:val="8"/>
  </w:num>
  <w:num w:numId="7">
    <w:abstractNumId w:val="5"/>
  </w:num>
  <w:num w:numId="8">
    <w:abstractNumId w:val="13"/>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7"/>
  </w:num>
  <w:num w:numId="18">
    <w:abstractNumId w:val="1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trackRevision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4B"/>
    <w:rsid w:val="00191C20"/>
    <w:rsid w:val="00380E85"/>
    <w:rsid w:val="00483FFE"/>
    <w:rsid w:val="00524128"/>
    <w:rsid w:val="007805D6"/>
    <w:rsid w:val="0089254C"/>
    <w:rsid w:val="00A70C65"/>
    <w:rsid w:val="00BC10C5"/>
    <w:rsid w:val="00C11F7E"/>
    <w:rsid w:val="00D676F0"/>
    <w:rsid w:val="00E77E4B"/>
    <w:rsid w:val="00E92A5E"/>
    <w:rsid w:val="00FE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D6D424-40B4-4F45-BBC0-57BB857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28"/>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52412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2412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2412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241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4128"/>
  </w:style>
  <w:style w:type="paragraph" w:customStyle="1" w:styleId="IPPArialTable">
    <w:name w:val="IPP Arial Table"/>
    <w:basedOn w:val="IPPArial"/>
    <w:qFormat/>
    <w:rsid w:val="00524128"/>
    <w:pPr>
      <w:spacing w:before="60" w:after="60"/>
      <w:jc w:val="left"/>
    </w:pPr>
  </w:style>
  <w:style w:type="paragraph" w:styleId="EndnoteText">
    <w:name w:val="endnote text"/>
    <w:basedOn w:val="Normal"/>
    <w:link w:val="EndnoteTextChar"/>
    <w:uiPriority w:val="99"/>
    <w:semiHidden/>
    <w:unhideWhenUsed/>
    <w:rsid w:val="00A70C65"/>
    <w:rPr>
      <w:sz w:val="20"/>
      <w:szCs w:val="20"/>
    </w:rPr>
  </w:style>
  <w:style w:type="character" w:customStyle="1" w:styleId="EndnoteTextChar">
    <w:name w:val="Endnote Text Char"/>
    <w:basedOn w:val="DefaultParagraphFont"/>
    <w:link w:val="EndnoteText"/>
    <w:uiPriority w:val="99"/>
    <w:semiHidden/>
    <w:rsid w:val="00A70C65"/>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A70C65"/>
    <w:rPr>
      <w:vertAlign w:val="superscript"/>
    </w:rPr>
  </w:style>
  <w:style w:type="paragraph" w:styleId="Header">
    <w:name w:val="header"/>
    <w:basedOn w:val="Normal"/>
    <w:link w:val="HeaderChar"/>
    <w:rsid w:val="00524128"/>
    <w:pPr>
      <w:tabs>
        <w:tab w:val="center" w:pos="4680"/>
        <w:tab w:val="right" w:pos="9360"/>
      </w:tabs>
    </w:pPr>
  </w:style>
  <w:style w:type="character" w:customStyle="1" w:styleId="HeaderChar">
    <w:name w:val="Header Char"/>
    <w:basedOn w:val="DefaultParagraphFont"/>
    <w:link w:val="Header"/>
    <w:rsid w:val="00524128"/>
    <w:rPr>
      <w:rFonts w:ascii="Times New Roman" w:eastAsia="MS Mincho" w:hAnsi="Times New Roman" w:cs="Times New Roman"/>
      <w:szCs w:val="24"/>
    </w:rPr>
  </w:style>
  <w:style w:type="paragraph" w:styleId="Footer">
    <w:name w:val="footer"/>
    <w:basedOn w:val="Normal"/>
    <w:link w:val="FooterChar"/>
    <w:rsid w:val="00524128"/>
    <w:pPr>
      <w:tabs>
        <w:tab w:val="center" w:pos="4680"/>
        <w:tab w:val="right" w:pos="9360"/>
      </w:tabs>
    </w:pPr>
  </w:style>
  <w:style w:type="character" w:customStyle="1" w:styleId="FooterChar">
    <w:name w:val="Footer Char"/>
    <w:basedOn w:val="DefaultParagraphFont"/>
    <w:link w:val="Footer"/>
    <w:rsid w:val="00524128"/>
    <w:rPr>
      <w:rFonts w:ascii="Times New Roman" w:eastAsia="MS Mincho" w:hAnsi="Times New Roman" w:cs="Times New Roman"/>
      <w:szCs w:val="24"/>
    </w:rPr>
  </w:style>
  <w:style w:type="paragraph" w:customStyle="1" w:styleId="IPPHeader">
    <w:name w:val="IPP Header"/>
    <w:basedOn w:val="Normal"/>
    <w:qFormat/>
    <w:rsid w:val="0052412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524128"/>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52412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24128"/>
    <w:rPr>
      <w:rFonts w:ascii="Courier" w:eastAsia="Times" w:hAnsi="Courier" w:cs="Times New Roman"/>
      <w:sz w:val="21"/>
      <w:szCs w:val="21"/>
      <w:lang w:val="en-AU"/>
    </w:rPr>
  </w:style>
  <w:style w:type="character" w:customStyle="1" w:styleId="Heading1Char">
    <w:name w:val="Heading 1 Char"/>
    <w:basedOn w:val="DefaultParagraphFont"/>
    <w:link w:val="Heading1"/>
    <w:rsid w:val="00524128"/>
    <w:rPr>
      <w:rFonts w:ascii="Times New Roman" w:eastAsia="MS Mincho" w:hAnsi="Times New Roman" w:cs="Times New Roman"/>
      <w:b/>
      <w:bCs/>
      <w:szCs w:val="24"/>
    </w:rPr>
  </w:style>
  <w:style w:type="character" w:customStyle="1" w:styleId="Heading2Char">
    <w:name w:val="Heading 2 Char"/>
    <w:basedOn w:val="DefaultParagraphFont"/>
    <w:link w:val="Heading2"/>
    <w:rsid w:val="00524128"/>
    <w:rPr>
      <w:rFonts w:ascii="Calibri" w:eastAsia="MS Mincho" w:hAnsi="Calibri" w:cs="Times New Roman"/>
      <w:b/>
      <w:bCs/>
      <w:i/>
      <w:iCs/>
      <w:sz w:val="28"/>
      <w:szCs w:val="28"/>
    </w:rPr>
  </w:style>
  <w:style w:type="character" w:customStyle="1" w:styleId="Heading3Char">
    <w:name w:val="Heading 3 Char"/>
    <w:basedOn w:val="DefaultParagraphFont"/>
    <w:link w:val="Heading3"/>
    <w:rsid w:val="00524128"/>
    <w:rPr>
      <w:rFonts w:ascii="Calibri" w:eastAsia="MS Mincho" w:hAnsi="Calibri" w:cs="Times New Roman"/>
      <w:b/>
      <w:bCs/>
      <w:sz w:val="26"/>
      <w:szCs w:val="26"/>
    </w:rPr>
  </w:style>
  <w:style w:type="paragraph" w:styleId="FootnoteText">
    <w:name w:val="footnote text"/>
    <w:basedOn w:val="Normal"/>
    <w:link w:val="FootnoteTextChar"/>
    <w:semiHidden/>
    <w:rsid w:val="00524128"/>
    <w:pPr>
      <w:spacing w:before="60"/>
    </w:pPr>
    <w:rPr>
      <w:sz w:val="20"/>
    </w:rPr>
  </w:style>
  <w:style w:type="character" w:customStyle="1" w:styleId="FootnoteTextChar">
    <w:name w:val="Footnote Text Char"/>
    <w:basedOn w:val="DefaultParagraphFont"/>
    <w:link w:val="FootnoteText"/>
    <w:semiHidden/>
    <w:rsid w:val="00524128"/>
    <w:rPr>
      <w:rFonts w:ascii="Times New Roman" w:eastAsia="MS Mincho" w:hAnsi="Times New Roman" w:cs="Times New Roman"/>
      <w:sz w:val="20"/>
      <w:szCs w:val="24"/>
    </w:rPr>
  </w:style>
  <w:style w:type="character" w:styleId="FootnoteReference">
    <w:name w:val="footnote reference"/>
    <w:basedOn w:val="DefaultParagraphFont"/>
    <w:semiHidden/>
    <w:rsid w:val="00524128"/>
    <w:rPr>
      <w:vertAlign w:val="superscript"/>
    </w:rPr>
  </w:style>
  <w:style w:type="paragraph" w:customStyle="1" w:styleId="Style">
    <w:name w:val="Style"/>
    <w:basedOn w:val="Footer"/>
    <w:autoRedefine/>
    <w:qFormat/>
    <w:rsid w:val="0052412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24128"/>
    <w:rPr>
      <w:rFonts w:ascii="Arial" w:hAnsi="Arial"/>
      <w:b/>
      <w:sz w:val="18"/>
    </w:rPr>
  </w:style>
  <w:style w:type="paragraph" w:customStyle="1" w:styleId="IPPArialFootnote">
    <w:name w:val="IPP Arial Footnote"/>
    <w:basedOn w:val="IPPArialTable"/>
    <w:qFormat/>
    <w:rsid w:val="00524128"/>
    <w:pPr>
      <w:tabs>
        <w:tab w:val="left" w:pos="28"/>
      </w:tabs>
      <w:ind w:left="284" w:hanging="284"/>
    </w:pPr>
    <w:rPr>
      <w:sz w:val="16"/>
    </w:rPr>
  </w:style>
  <w:style w:type="paragraph" w:customStyle="1" w:styleId="IPPContentsHead">
    <w:name w:val="IPP ContentsHead"/>
    <w:basedOn w:val="IPPSubhead"/>
    <w:next w:val="IPPNormal"/>
    <w:qFormat/>
    <w:rsid w:val="00524128"/>
    <w:pPr>
      <w:spacing w:after="240"/>
    </w:pPr>
    <w:rPr>
      <w:sz w:val="24"/>
    </w:rPr>
  </w:style>
  <w:style w:type="table" w:styleId="TableGrid">
    <w:name w:val="Table Grid"/>
    <w:basedOn w:val="TableNormal"/>
    <w:rsid w:val="00524128"/>
    <w:pPr>
      <w:spacing w:after="0" w:line="240" w:lineRule="auto"/>
    </w:pPr>
    <w:rPr>
      <w:rFonts w:ascii="Cambria" w:eastAsia="MS Mincho"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4128"/>
    <w:rPr>
      <w:rFonts w:ascii="Tahoma" w:hAnsi="Tahoma" w:cs="Tahoma"/>
      <w:sz w:val="16"/>
      <w:szCs w:val="16"/>
    </w:rPr>
  </w:style>
  <w:style w:type="character" w:customStyle="1" w:styleId="BalloonTextChar">
    <w:name w:val="Balloon Text Char"/>
    <w:basedOn w:val="DefaultParagraphFont"/>
    <w:link w:val="BalloonText"/>
    <w:rsid w:val="00524128"/>
    <w:rPr>
      <w:rFonts w:ascii="Tahoma" w:eastAsia="MS Mincho" w:hAnsi="Tahoma" w:cs="Tahoma"/>
      <w:sz w:val="16"/>
      <w:szCs w:val="16"/>
    </w:rPr>
  </w:style>
  <w:style w:type="paragraph" w:customStyle="1" w:styleId="IPPBullet2">
    <w:name w:val="IPP Bullet2"/>
    <w:basedOn w:val="IPPNormal"/>
    <w:next w:val="IPPBullet1"/>
    <w:qFormat/>
    <w:rsid w:val="00524128"/>
    <w:pPr>
      <w:numPr>
        <w:numId w:val="5"/>
      </w:numPr>
      <w:tabs>
        <w:tab w:val="left" w:pos="1134"/>
      </w:tabs>
      <w:spacing w:after="60"/>
      <w:ind w:left="1134" w:hanging="567"/>
    </w:pPr>
  </w:style>
  <w:style w:type="paragraph" w:customStyle="1" w:styleId="IPPQuote">
    <w:name w:val="IPP Quote"/>
    <w:basedOn w:val="IPPNormal"/>
    <w:qFormat/>
    <w:rsid w:val="00524128"/>
    <w:pPr>
      <w:ind w:left="851" w:right="851"/>
    </w:pPr>
    <w:rPr>
      <w:sz w:val="18"/>
    </w:rPr>
  </w:style>
  <w:style w:type="paragraph" w:customStyle="1" w:styleId="IPPNormal">
    <w:name w:val="IPP Normal"/>
    <w:basedOn w:val="Normal"/>
    <w:qFormat/>
    <w:rsid w:val="00524128"/>
    <w:pPr>
      <w:spacing w:after="180"/>
    </w:pPr>
    <w:rPr>
      <w:rFonts w:eastAsia="Times"/>
    </w:rPr>
  </w:style>
  <w:style w:type="paragraph" w:customStyle="1" w:styleId="IPPIndentClose">
    <w:name w:val="IPP Indent Close"/>
    <w:basedOn w:val="IPPNormal"/>
    <w:qFormat/>
    <w:rsid w:val="00524128"/>
    <w:pPr>
      <w:tabs>
        <w:tab w:val="left" w:pos="2835"/>
      </w:tabs>
      <w:spacing w:after="60"/>
      <w:ind w:left="567"/>
    </w:pPr>
  </w:style>
  <w:style w:type="paragraph" w:customStyle="1" w:styleId="IPPIndent">
    <w:name w:val="IPP Indent"/>
    <w:basedOn w:val="IPPIndentClose"/>
    <w:qFormat/>
    <w:rsid w:val="00524128"/>
    <w:pPr>
      <w:spacing w:after="180"/>
    </w:pPr>
  </w:style>
  <w:style w:type="paragraph" w:customStyle="1" w:styleId="IPPFootnote">
    <w:name w:val="IPP Footnote"/>
    <w:basedOn w:val="IPPArialFootnote"/>
    <w:qFormat/>
    <w:rsid w:val="0052412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24128"/>
    <w:pPr>
      <w:keepNext/>
      <w:tabs>
        <w:tab w:val="left" w:pos="567"/>
      </w:tabs>
      <w:spacing w:before="120" w:after="120"/>
      <w:ind w:left="567" w:hanging="567"/>
    </w:pPr>
    <w:rPr>
      <w:b/>
      <w:i/>
    </w:rPr>
  </w:style>
  <w:style w:type="character" w:customStyle="1" w:styleId="IPPnormalitalics">
    <w:name w:val="IPP normal italics"/>
    <w:basedOn w:val="DefaultParagraphFont"/>
    <w:rsid w:val="00524128"/>
    <w:rPr>
      <w:rFonts w:ascii="Times New Roman" w:hAnsi="Times New Roman"/>
      <w:i/>
      <w:sz w:val="22"/>
      <w:lang w:val="en-US"/>
    </w:rPr>
  </w:style>
  <w:style w:type="character" w:customStyle="1" w:styleId="IPPNormalbold">
    <w:name w:val="IPP Normal bold"/>
    <w:basedOn w:val="PlainTextChar"/>
    <w:rsid w:val="00524128"/>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52412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2412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24128"/>
    <w:pPr>
      <w:keepNext/>
      <w:ind w:left="567" w:hanging="567"/>
      <w:jc w:val="left"/>
    </w:pPr>
    <w:rPr>
      <w:b/>
      <w:bCs/>
      <w:iCs/>
      <w:szCs w:val="22"/>
    </w:rPr>
  </w:style>
  <w:style w:type="character" w:customStyle="1" w:styleId="IPPNormalunderlined">
    <w:name w:val="IPP Normal underlined"/>
    <w:basedOn w:val="DefaultParagraphFont"/>
    <w:rsid w:val="00524128"/>
    <w:rPr>
      <w:rFonts w:ascii="Times New Roman" w:hAnsi="Times New Roman"/>
      <w:sz w:val="22"/>
      <w:u w:val="single"/>
      <w:lang w:val="en-US"/>
    </w:rPr>
  </w:style>
  <w:style w:type="paragraph" w:customStyle="1" w:styleId="IPPBullet1">
    <w:name w:val="IPP Bullet1"/>
    <w:basedOn w:val="IPPBullet1Last"/>
    <w:qFormat/>
    <w:rsid w:val="00524128"/>
    <w:pPr>
      <w:numPr>
        <w:numId w:val="18"/>
      </w:numPr>
      <w:spacing w:after="60"/>
      <w:ind w:left="567" w:hanging="567"/>
    </w:pPr>
    <w:rPr>
      <w:lang w:val="en-US"/>
    </w:rPr>
  </w:style>
  <w:style w:type="paragraph" w:customStyle="1" w:styleId="IPPBullet1Last">
    <w:name w:val="IPP Bullet1Last"/>
    <w:basedOn w:val="IPPNormal"/>
    <w:next w:val="IPPNormal"/>
    <w:autoRedefine/>
    <w:qFormat/>
    <w:rsid w:val="00524128"/>
    <w:pPr>
      <w:numPr>
        <w:numId w:val="6"/>
      </w:numPr>
    </w:pPr>
  </w:style>
  <w:style w:type="character" w:customStyle="1" w:styleId="IPPNormalstrikethrough">
    <w:name w:val="IPP Normal strikethrough"/>
    <w:rsid w:val="00524128"/>
    <w:rPr>
      <w:rFonts w:ascii="Times New Roman" w:hAnsi="Times New Roman"/>
      <w:strike/>
      <w:dstrike w:val="0"/>
      <w:sz w:val="22"/>
    </w:rPr>
  </w:style>
  <w:style w:type="paragraph" w:customStyle="1" w:styleId="IPPTitle16pt">
    <w:name w:val="IPP Title16pt"/>
    <w:basedOn w:val="Normal"/>
    <w:qFormat/>
    <w:rsid w:val="0052412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2412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524128"/>
    <w:pPr>
      <w:keepNext/>
      <w:tabs>
        <w:tab w:val="left" w:pos="567"/>
      </w:tabs>
      <w:spacing w:before="120"/>
      <w:jc w:val="left"/>
      <w:outlineLvl w:val="1"/>
    </w:pPr>
    <w:rPr>
      <w:b/>
      <w:sz w:val="24"/>
    </w:rPr>
  </w:style>
  <w:style w:type="numbering" w:customStyle="1" w:styleId="IPPParagraphnumberedlist">
    <w:name w:val="IPP Paragraph numbered list"/>
    <w:rsid w:val="00524128"/>
    <w:pPr>
      <w:numPr>
        <w:numId w:val="4"/>
      </w:numPr>
    </w:pPr>
  </w:style>
  <w:style w:type="paragraph" w:customStyle="1" w:styleId="IPPNormalCloseSpace">
    <w:name w:val="IPP NormalCloseSpace"/>
    <w:basedOn w:val="Normal"/>
    <w:qFormat/>
    <w:rsid w:val="00524128"/>
    <w:pPr>
      <w:keepNext/>
      <w:spacing w:after="60"/>
    </w:pPr>
  </w:style>
  <w:style w:type="paragraph" w:customStyle="1" w:styleId="IPPHeading2">
    <w:name w:val="IPP Heading2"/>
    <w:basedOn w:val="IPPNormal"/>
    <w:next w:val="IPPNormal"/>
    <w:qFormat/>
    <w:rsid w:val="00524128"/>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524128"/>
    <w:pPr>
      <w:tabs>
        <w:tab w:val="right" w:leader="dot" w:pos="9072"/>
      </w:tabs>
      <w:spacing w:before="240"/>
      <w:ind w:left="567" w:hanging="567"/>
    </w:pPr>
  </w:style>
  <w:style w:type="paragraph" w:styleId="TOC2">
    <w:name w:val="toc 2"/>
    <w:basedOn w:val="TOC1"/>
    <w:next w:val="Normal"/>
    <w:autoRedefine/>
    <w:uiPriority w:val="39"/>
    <w:rsid w:val="00524128"/>
    <w:pPr>
      <w:keepNext w:val="0"/>
      <w:tabs>
        <w:tab w:val="left" w:pos="425"/>
      </w:tabs>
      <w:spacing w:before="120" w:after="0"/>
      <w:ind w:left="425" w:right="284" w:hanging="425"/>
    </w:pPr>
  </w:style>
  <w:style w:type="paragraph" w:styleId="TOC3">
    <w:name w:val="toc 3"/>
    <w:basedOn w:val="TOC2"/>
    <w:next w:val="Normal"/>
    <w:autoRedefine/>
    <w:uiPriority w:val="39"/>
    <w:rsid w:val="00524128"/>
    <w:pPr>
      <w:tabs>
        <w:tab w:val="left" w:pos="1276"/>
      </w:tabs>
      <w:spacing w:before="60"/>
      <w:ind w:left="1276" w:hanging="851"/>
    </w:pPr>
    <w:rPr>
      <w:rFonts w:eastAsia="Times"/>
    </w:rPr>
  </w:style>
  <w:style w:type="paragraph" w:styleId="TOC4">
    <w:name w:val="toc 4"/>
    <w:basedOn w:val="Normal"/>
    <w:next w:val="Normal"/>
    <w:autoRedefine/>
    <w:uiPriority w:val="39"/>
    <w:rsid w:val="00524128"/>
    <w:pPr>
      <w:spacing w:after="120"/>
      <w:ind w:left="660"/>
    </w:pPr>
    <w:rPr>
      <w:rFonts w:eastAsia="Times"/>
      <w:lang w:val="en-AU"/>
    </w:rPr>
  </w:style>
  <w:style w:type="paragraph" w:styleId="TOC5">
    <w:name w:val="toc 5"/>
    <w:basedOn w:val="Normal"/>
    <w:next w:val="Normal"/>
    <w:autoRedefine/>
    <w:uiPriority w:val="39"/>
    <w:rsid w:val="00524128"/>
    <w:pPr>
      <w:spacing w:after="120"/>
      <w:ind w:left="880"/>
    </w:pPr>
    <w:rPr>
      <w:rFonts w:eastAsia="Times"/>
      <w:lang w:val="en-AU"/>
    </w:rPr>
  </w:style>
  <w:style w:type="paragraph" w:styleId="TOC6">
    <w:name w:val="toc 6"/>
    <w:basedOn w:val="Normal"/>
    <w:next w:val="Normal"/>
    <w:autoRedefine/>
    <w:uiPriority w:val="39"/>
    <w:rsid w:val="00524128"/>
    <w:pPr>
      <w:spacing w:after="120"/>
      <w:ind w:left="1100"/>
    </w:pPr>
    <w:rPr>
      <w:rFonts w:eastAsia="Times"/>
      <w:lang w:val="en-AU"/>
    </w:rPr>
  </w:style>
  <w:style w:type="paragraph" w:styleId="TOC7">
    <w:name w:val="toc 7"/>
    <w:basedOn w:val="Normal"/>
    <w:next w:val="Normal"/>
    <w:autoRedefine/>
    <w:uiPriority w:val="39"/>
    <w:rsid w:val="00524128"/>
    <w:pPr>
      <w:spacing w:after="120"/>
      <w:ind w:left="1320"/>
    </w:pPr>
    <w:rPr>
      <w:rFonts w:eastAsia="Times"/>
      <w:lang w:val="en-AU"/>
    </w:rPr>
  </w:style>
  <w:style w:type="paragraph" w:styleId="TOC8">
    <w:name w:val="toc 8"/>
    <w:basedOn w:val="Normal"/>
    <w:next w:val="Normal"/>
    <w:autoRedefine/>
    <w:uiPriority w:val="39"/>
    <w:rsid w:val="00524128"/>
    <w:pPr>
      <w:spacing w:after="120"/>
      <w:ind w:left="1540"/>
    </w:pPr>
    <w:rPr>
      <w:rFonts w:eastAsia="Times"/>
      <w:lang w:val="en-AU"/>
    </w:rPr>
  </w:style>
  <w:style w:type="paragraph" w:styleId="TOC9">
    <w:name w:val="toc 9"/>
    <w:basedOn w:val="Normal"/>
    <w:next w:val="Normal"/>
    <w:autoRedefine/>
    <w:uiPriority w:val="39"/>
    <w:rsid w:val="00524128"/>
    <w:pPr>
      <w:spacing w:after="120"/>
      <w:ind w:left="1760"/>
    </w:pPr>
    <w:rPr>
      <w:rFonts w:eastAsia="Times"/>
      <w:lang w:val="en-AU"/>
    </w:rPr>
  </w:style>
  <w:style w:type="paragraph" w:customStyle="1" w:styleId="IPPReferences">
    <w:name w:val="IPP References"/>
    <w:basedOn w:val="IPPNormal"/>
    <w:qFormat/>
    <w:rsid w:val="00524128"/>
    <w:pPr>
      <w:spacing w:after="60"/>
      <w:ind w:left="567" w:hanging="567"/>
    </w:pPr>
  </w:style>
  <w:style w:type="paragraph" w:customStyle="1" w:styleId="IPPArial">
    <w:name w:val="IPP Arial"/>
    <w:basedOn w:val="IPPNormal"/>
    <w:qFormat/>
    <w:rsid w:val="00524128"/>
    <w:pPr>
      <w:spacing w:after="0"/>
    </w:pPr>
    <w:rPr>
      <w:rFonts w:ascii="Arial" w:hAnsi="Arial"/>
      <w:sz w:val="18"/>
    </w:rPr>
  </w:style>
  <w:style w:type="paragraph" w:customStyle="1" w:styleId="IPPHeaderlandscape">
    <w:name w:val="IPP Header landscape"/>
    <w:basedOn w:val="IPPHeader"/>
    <w:qFormat/>
    <w:rsid w:val="00524128"/>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524128"/>
    <w:pPr>
      <w:numPr>
        <w:numId w:val="1"/>
      </w:numPr>
      <w:jc w:val="left"/>
    </w:pPr>
  </w:style>
  <w:style w:type="paragraph" w:customStyle="1" w:styleId="IPPLetterListIndent">
    <w:name w:val="IPP LetterList Indent"/>
    <w:basedOn w:val="IPPLetterList"/>
    <w:qFormat/>
    <w:rsid w:val="00524128"/>
    <w:pPr>
      <w:numPr>
        <w:numId w:val="2"/>
      </w:numPr>
    </w:pPr>
  </w:style>
  <w:style w:type="paragraph" w:customStyle="1" w:styleId="IPPFooterLandscape">
    <w:name w:val="IPP Footer Landscape"/>
    <w:basedOn w:val="IPPHeaderlandscape"/>
    <w:qFormat/>
    <w:rsid w:val="00524128"/>
    <w:pPr>
      <w:pBdr>
        <w:top w:val="single" w:sz="4" w:space="1" w:color="auto"/>
        <w:bottom w:val="none" w:sz="0" w:space="0" w:color="auto"/>
      </w:pBdr>
      <w:jc w:val="right"/>
    </w:pPr>
    <w:rPr>
      <w:b/>
    </w:rPr>
  </w:style>
  <w:style w:type="paragraph" w:customStyle="1" w:styleId="IPPSubheadSpace">
    <w:name w:val="IPP Subhead Space"/>
    <w:basedOn w:val="IPPSubhead"/>
    <w:qFormat/>
    <w:rsid w:val="00524128"/>
    <w:pPr>
      <w:tabs>
        <w:tab w:val="left" w:pos="567"/>
      </w:tabs>
      <w:spacing w:before="60" w:after="60"/>
    </w:pPr>
  </w:style>
  <w:style w:type="paragraph" w:customStyle="1" w:styleId="IPPSubheadSpaceAfter">
    <w:name w:val="IPP Subhead SpaceAfter"/>
    <w:basedOn w:val="IPPSubhead"/>
    <w:qFormat/>
    <w:rsid w:val="00524128"/>
    <w:pPr>
      <w:spacing w:after="60"/>
    </w:pPr>
  </w:style>
  <w:style w:type="paragraph" w:customStyle="1" w:styleId="IPPHdg1Num">
    <w:name w:val="IPP Hdg1Num"/>
    <w:basedOn w:val="IPPHeading1"/>
    <w:next w:val="IPPNormal"/>
    <w:qFormat/>
    <w:rsid w:val="00524128"/>
    <w:pPr>
      <w:numPr>
        <w:numId w:val="7"/>
      </w:numPr>
    </w:pPr>
  </w:style>
  <w:style w:type="paragraph" w:customStyle="1" w:styleId="IPPHdg2Num">
    <w:name w:val="IPP Hdg2Num"/>
    <w:basedOn w:val="IPPHeading2"/>
    <w:next w:val="IPPNormal"/>
    <w:qFormat/>
    <w:rsid w:val="00524128"/>
    <w:pPr>
      <w:numPr>
        <w:ilvl w:val="1"/>
        <w:numId w:val="8"/>
      </w:numPr>
    </w:pPr>
  </w:style>
  <w:style w:type="paragraph" w:customStyle="1" w:styleId="IPPNumberedList">
    <w:name w:val="IPP NumberedList"/>
    <w:basedOn w:val="IPPBullet1"/>
    <w:qFormat/>
    <w:rsid w:val="00524128"/>
    <w:pPr>
      <w:numPr>
        <w:numId w:val="16"/>
      </w:numPr>
    </w:pPr>
  </w:style>
  <w:style w:type="character" w:styleId="Strong">
    <w:name w:val="Strong"/>
    <w:basedOn w:val="DefaultParagraphFont"/>
    <w:qFormat/>
    <w:rsid w:val="00524128"/>
    <w:rPr>
      <w:b/>
      <w:bCs/>
    </w:rPr>
  </w:style>
  <w:style w:type="paragraph" w:styleId="ListParagraph">
    <w:name w:val="List Paragraph"/>
    <w:basedOn w:val="Normal"/>
    <w:uiPriority w:val="34"/>
    <w:qFormat/>
    <w:rsid w:val="00524128"/>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524128"/>
    <w:pPr>
      <w:numPr>
        <w:numId w:val="10"/>
      </w:numPr>
    </w:pPr>
    <w:rPr>
      <w:lang w:val="en-US"/>
    </w:rPr>
  </w:style>
  <w:style w:type="paragraph" w:customStyle="1" w:styleId="IPPParagraphnumberingclose">
    <w:name w:val="IPP Paragraph numbering close"/>
    <w:basedOn w:val="IPPParagraphnumbering"/>
    <w:qFormat/>
    <w:rsid w:val="00524128"/>
    <w:pPr>
      <w:keepNext/>
      <w:spacing w:after="60"/>
    </w:pPr>
  </w:style>
  <w:style w:type="paragraph" w:customStyle="1" w:styleId="IPPNumberedListLast">
    <w:name w:val="IPP NumberedListLast"/>
    <w:basedOn w:val="IPPNumberedList"/>
    <w:qFormat/>
    <w:rsid w:val="00524128"/>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Quality\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2</TotalTime>
  <Pages>5</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Kiss (AGDI)</dc:creator>
  <cp:keywords/>
  <dc:description/>
  <cp:lastModifiedBy>Kiss, Janka (AGDI)</cp:lastModifiedBy>
  <cp:revision>7</cp:revision>
  <dcterms:created xsi:type="dcterms:W3CDTF">2016-10-11T15:59:00Z</dcterms:created>
  <dcterms:modified xsi:type="dcterms:W3CDTF">2016-11-11T10:01:00Z</dcterms:modified>
</cp:coreProperties>
</file>