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C6A91" w14:textId="77777777" w:rsidR="00A321A9" w:rsidRPr="00B02E0D" w:rsidRDefault="00A321A9" w:rsidP="00B02E0D">
      <w:pPr>
        <w:pStyle w:val="IPPHeadSection"/>
        <w:jc w:val="center"/>
        <w:rPr>
          <w:sz w:val="28"/>
          <w:szCs w:val="28"/>
        </w:rPr>
      </w:pPr>
      <w:r w:rsidRPr="00B02E0D">
        <w:rPr>
          <w:sz w:val="28"/>
          <w:szCs w:val="28"/>
        </w:rPr>
        <w:t>TC-RPPO</w:t>
      </w:r>
    </w:p>
    <w:p w14:paraId="6031201B" w14:textId="77777777" w:rsidR="00A321A9" w:rsidRPr="004231C2" w:rsidRDefault="00A321A9" w:rsidP="00B02E0D">
      <w:pPr>
        <w:pStyle w:val="IPPHeading1"/>
        <w:ind w:left="562" w:hanging="562"/>
        <w:contextualSpacing/>
        <w:jc w:val="center"/>
      </w:pPr>
      <w:r w:rsidRPr="004231C2">
        <w:t>30 October – 3 November, 2017</w:t>
      </w:r>
    </w:p>
    <w:p w14:paraId="22242140" w14:textId="57A98712" w:rsidR="00A321A9" w:rsidRPr="004231C2" w:rsidRDefault="00A321A9" w:rsidP="00B02E0D">
      <w:pPr>
        <w:pStyle w:val="IPPHeading1"/>
        <w:ind w:left="562" w:hanging="562"/>
        <w:contextualSpacing/>
        <w:jc w:val="center"/>
      </w:pPr>
      <w:r w:rsidRPr="004231C2">
        <w:rPr>
          <w:lang w:val="en-US"/>
        </w:rPr>
        <w:t>Paris, France</w:t>
      </w:r>
    </w:p>
    <w:p w14:paraId="600493A5" w14:textId="0F56BC1A" w:rsidR="00627EA2" w:rsidRPr="00B02E0D" w:rsidRDefault="00067E06" w:rsidP="00B02E0D">
      <w:pPr>
        <w:pStyle w:val="IPPHeading1"/>
        <w:jc w:val="center"/>
      </w:pPr>
      <w:r w:rsidRPr="00B02E0D">
        <w:t>ENGAGEMENT OF REGIONAL PLANT PROTECTION ORGANIZATIONS</w:t>
      </w:r>
      <w:r w:rsidRPr="00B02E0D">
        <w:br/>
        <w:t>IN THE IPPC STANDARD SETTING PROCESS</w:t>
      </w:r>
    </w:p>
    <w:p w14:paraId="2AA113F5" w14:textId="77777777" w:rsidR="00EA6252" w:rsidRPr="00B02E0D" w:rsidRDefault="00EA6252" w:rsidP="002E4AEE">
      <w:pPr>
        <w:spacing w:after="120"/>
        <w:jc w:val="center"/>
        <w:rPr>
          <w:rStyle w:val="IPPnormalitalics"/>
        </w:rPr>
      </w:pPr>
      <w:r w:rsidRPr="00B02E0D">
        <w:rPr>
          <w:rStyle w:val="IPPnormalitalics"/>
        </w:rPr>
        <w:t>(</w:t>
      </w:r>
      <w:r w:rsidR="002022BA" w:rsidRPr="00B02E0D">
        <w:rPr>
          <w:rStyle w:val="IPPnormalitalics"/>
        </w:rPr>
        <w:t>Prepared</w:t>
      </w:r>
      <w:r w:rsidRPr="00B02E0D">
        <w:rPr>
          <w:rStyle w:val="IPPnormalitalics"/>
        </w:rPr>
        <w:t xml:space="preserve"> by the IPPC Secretariat)</w:t>
      </w:r>
    </w:p>
    <w:p w14:paraId="6702172A" w14:textId="77777777" w:rsidR="00A675C5" w:rsidRPr="004231C2" w:rsidRDefault="00A675C5" w:rsidP="00B02E0D">
      <w:pPr>
        <w:pStyle w:val="IPPHeading1"/>
      </w:pPr>
      <w:r w:rsidRPr="004231C2">
        <w:t>Introduction</w:t>
      </w:r>
    </w:p>
    <w:p w14:paraId="563FA5A3" w14:textId="5E4264ED" w:rsidR="00A675C5" w:rsidRPr="004231C2" w:rsidRDefault="00A675C5" w:rsidP="00B02E0D">
      <w:pPr>
        <w:pStyle w:val="IPPParagraphnumbering"/>
      </w:pPr>
      <w:r w:rsidRPr="004231C2">
        <w:t xml:space="preserve">The International Plant Protection Convention (IPPC) promotes cooperation between contracting parties (CPs) to achieve the goals of the IPPC. </w:t>
      </w:r>
      <w:r w:rsidR="00F01CF6" w:rsidRPr="004231C2">
        <w:t xml:space="preserve">A </w:t>
      </w:r>
      <w:r w:rsidRPr="004231C2">
        <w:t>key role in the cooperation is played by regional plant pro</w:t>
      </w:r>
      <w:r w:rsidR="00D27D24" w:rsidRPr="004231C2">
        <w:t>tection organizations (RPPOs)</w:t>
      </w:r>
      <w:r w:rsidR="002E4AEE" w:rsidRPr="004231C2">
        <w:t xml:space="preserve">. </w:t>
      </w:r>
      <w:r w:rsidR="00F51924" w:rsidRPr="004231C2">
        <w:t xml:space="preserve">The purpose of the paper is to identify areas where the engagement of RPPOs in the standard setting process </w:t>
      </w:r>
      <w:r w:rsidR="003460A3" w:rsidRPr="004231C2">
        <w:t>could</w:t>
      </w:r>
      <w:r w:rsidR="00F51924" w:rsidRPr="004231C2">
        <w:t xml:space="preserve"> be strengthened and </w:t>
      </w:r>
      <w:r w:rsidR="00B007CB" w:rsidRPr="004231C2">
        <w:t xml:space="preserve">to </w:t>
      </w:r>
      <w:r w:rsidR="00F51924" w:rsidRPr="004231C2">
        <w:t>suggest possible options to do so.</w:t>
      </w:r>
    </w:p>
    <w:p w14:paraId="62C23B6D" w14:textId="0E491D12" w:rsidR="00A675C5" w:rsidRPr="004231C2" w:rsidRDefault="00D468E0" w:rsidP="00B02E0D">
      <w:pPr>
        <w:pStyle w:val="IPPHeading1"/>
      </w:pPr>
      <w:r w:rsidRPr="004231C2">
        <w:t xml:space="preserve">Roles of </w:t>
      </w:r>
      <w:r w:rsidR="00A675C5" w:rsidRPr="004231C2">
        <w:t>RPPOs</w:t>
      </w:r>
    </w:p>
    <w:p w14:paraId="31AB2CF9" w14:textId="7DA43DBA" w:rsidR="00F94D34" w:rsidRPr="004231C2" w:rsidRDefault="00F94D34" w:rsidP="00B02E0D">
      <w:pPr>
        <w:pStyle w:val="IPPParagraphnumbering"/>
      </w:pPr>
      <w:r w:rsidRPr="004231C2">
        <w:t>According to the</w:t>
      </w:r>
      <w:r w:rsidR="00003861" w:rsidRPr="004231C2">
        <w:t xml:space="preserve"> CPM-12 (2017) decision on the roles and functions of</w:t>
      </w:r>
      <w:r w:rsidRPr="004231C2">
        <w:t xml:space="preserve"> regional plant protection organizations (RPPOs)</w:t>
      </w:r>
      <w:r w:rsidR="00003861" w:rsidRPr="004231C2">
        <w:t xml:space="preserve"> in their relationship with the Commission on Phytosanitary Measures (CPM)</w:t>
      </w:r>
      <w:r w:rsidR="00003861" w:rsidRPr="004231C2">
        <w:rPr>
          <w:rStyle w:val="FootnoteReference"/>
          <w:szCs w:val="22"/>
        </w:rPr>
        <w:footnoteReference w:id="1"/>
      </w:r>
      <w:r w:rsidR="00003861" w:rsidRPr="004231C2">
        <w:t>, areas of cooperation between RPPOs and the IPPC Secretariat in the standard setting process include the following</w:t>
      </w:r>
      <w:r w:rsidRPr="004231C2">
        <w:t>:</w:t>
      </w:r>
    </w:p>
    <w:p w14:paraId="09213471" w14:textId="418479EA" w:rsidR="00003861" w:rsidRPr="004231C2" w:rsidRDefault="00003861" w:rsidP="00B02E0D">
      <w:pPr>
        <w:pStyle w:val="IPPBullet1"/>
      </w:pPr>
      <w:r w:rsidRPr="004231C2">
        <w:t>participation in the development of standards, such as identifying topics for standards and providing comments during the consultation periods;</w:t>
      </w:r>
    </w:p>
    <w:p w14:paraId="59E57E0F" w14:textId="0D424860" w:rsidR="00003861" w:rsidRPr="004231C2" w:rsidRDefault="00003861" w:rsidP="00B02E0D">
      <w:pPr>
        <w:pStyle w:val="IPPBullet1"/>
      </w:pPr>
      <w:r w:rsidRPr="004231C2">
        <w:t>identification of regional standards that should be proposed as the basis for future ISPMs;</w:t>
      </w:r>
    </w:p>
    <w:p w14:paraId="5421E954" w14:textId="745A47A0" w:rsidR="00003861" w:rsidRPr="004231C2" w:rsidRDefault="00003861" w:rsidP="00B02E0D">
      <w:pPr>
        <w:pStyle w:val="IPPBullet1"/>
      </w:pPr>
      <w:r w:rsidRPr="004231C2">
        <w:t>action as collaborators and assistance in hosting standard setting meetings, as appropriate;</w:t>
      </w:r>
    </w:p>
    <w:p w14:paraId="34011A3A" w14:textId="750C6BD7" w:rsidR="00003861" w:rsidRPr="004231C2" w:rsidRDefault="00003861" w:rsidP="00B02E0D">
      <w:pPr>
        <w:pStyle w:val="IPPBullet1"/>
      </w:pPr>
      <w:r w:rsidRPr="004231C2">
        <w:t>preparation of draft explanatory documents on ISPMs according to paragraph 111 of the Report of the Sixth Session of the ICPM  under the auspices of the IPPC Secretariat;</w:t>
      </w:r>
    </w:p>
    <w:p w14:paraId="0C79A784" w14:textId="77777777" w:rsidR="00003861" w:rsidRPr="004231C2" w:rsidRDefault="00003861" w:rsidP="00B02E0D">
      <w:pPr>
        <w:pStyle w:val="IPPBullet1"/>
      </w:pPr>
      <w:r w:rsidRPr="004231C2">
        <w:t>provision of technical and administrative support to Standards Committee members;</w:t>
      </w:r>
    </w:p>
    <w:p w14:paraId="5CF2E815" w14:textId="3BD84260" w:rsidR="00003861" w:rsidRPr="004231C2" w:rsidRDefault="00B02E0D" w:rsidP="00B02E0D">
      <w:pPr>
        <w:pStyle w:val="IPPBullet1Last"/>
      </w:pPr>
      <w:r w:rsidRPr="004231C2">
        <w:t>Participation</w:t>
      </w:r>
      <w:r w:rsidR="00003861" w:rsidRPr="004231C2">
        <w:t xml:space="preserve"> of RPPO observers in the Standards Committee meetings.</w:t>
      </w:r>
    </w:p>
    <w:p w14:paraId="10DC0DF9" w14:textId="3B113FC6" w:rsidR="000C12C4" w:rsidRPr="004231C2" w:rsidRDefault="000C12C4" w:rsidP="00B02E0D">
      <w:pPr>
        <w:pStyle w:val="IPPParagraphnumbering"/>
      </w:pPr>
      <w:r w:rsidRPr="004231C2">
        <w:t xml:space="preserve">RPPOs </w:t>
      </w:r>
      <w:r w:rsidR="00741E11" w:rsidRPr="004231C2">
        <w:t>should</w:t>
      </w:r>
      <w:r w:rsidRPr="004231C2">
        <w:t xml:space="preserve"> cooperate </w:t>
      </w:r>
      <w:r w:rsidR="00741E11" w:rsidRPr="004231C2">
        <w:t xml:space="preserve">between them and </w:t>
      </w:r>
      <w:r w:rsidR="00BF5B1E" w:rsidRPr="004231C2">
        <w:t>with the IPPC Secretariat</w:t>
      </w:r>
      <w:r w:rsidRPr="004231C2">
        <w:t xml:space="preserve"> </w:t>
      </w:r>
      <w:r w:rsidR="00BF5B1E" w:rsidRPr="004231C2">
        <w:t>on</w:t>
      </w:r>
      <w:r w:rsidRPr="004231C2">
        <w:t xml:space="preserve"> activities in the standard setting process, as set out in Art. IX of the IPPC</w:t>
      </w:r>
      <w:r w:rsidR="0048078B" w:rsidRPr="004231C2">
        <w:t xml:space="preserve"> and further detailed in the IPPC Procedure Manual for Standard Setting</w:t>
      </w:r>
      <w:r w:rsidR="00CE2255" w:rsidRPr="004231C2">
        <w:rPr>
          <w:rStyle w:val="FootnoteReference"/>
          <w:szCs w:val="22"/>
        </w:rPr>
        <w:footnoteReference w:id="2"/>
      </w:r>
      <w:r w:rsidRPr="004231C2">
        <w:t>.</w:t>
      </w:r>
      <w:r w:rsidR="00067E06" w:rsidRPr="004231C2">
        <w:t xml:space="preserve"> The following are of key importance for the engagement of RPPOs in the standard setting process:</w:t>
      </w:r>
      <w:r w:rsidRPr="004231C2">
        <w:t xml:space="preserve"> </w:t>
      </w:r>
    </w:p>
    <w:p w14:paraId="0B9F5887" w14:textId="72773776" w:rsidR="0048078B" w:rsidRPr="004231C2" w:rsidRDefault="00741E11" w:rsidP="00B02E0D">
      <w:pPr>
        <w:pStyle w:val="IPPNumberedList"/>
      </w:pPr>
      <w:r w:rsidRPr="004231C2">
        <w:t xml:space="preserve">RPPOs </w:t>
      </w:r>
      <w:r w:rsidR="000E66A2" w:rsidRPr="004231C2">
        <w:t xml:space="preserve">play an </w:t>
      </w:r>
      <w:r w:rsidR="002625DD" w:rsidRPr="004231C2">
        <w:t xml:space="preserve">important role </w:t>
      </w:r>
      <w:r w:rsidR="000E66A2" w:rsidRPr="004231C2">
        <w:t>by</w:t>
      </w:r>
      <w:r w:rsidR="002625DD" w:rsidRPr="004231C2">
        <w:t xml:space="preserve"> </w:t>
      </w:r>
      <w:r w:rsidR="002625DD" w:rsidRPr="004231C2">
        <w:rPr>
          <w:b/>
          <w:bCs/>
        </w:rPr>
        <w:t>setting regional standards</w:t>
      </w:r>
      <w:r w:rsidR="00EA6252" w:rsidRPr="004231C2">
        <w:t xml:space="preserve"> for phytosanitary measures</w:t>
      </w:r>
      <w:r w:rsidR="002625DD" w:rsidRPr="004231C2">
        <w:t>. Th</w:t>
      </w:r>
      <w:r w:rsidR="000E66A2" w:rsidRPr="004231C2">
        <w:t>e</w:t>
      </w:r>
      <w:r w:rsidR="002625DD" w:rsidRPr="004231C2">
        <w:t>s</w:t>
      </w:r>
      <w:r w:rsidR="000E66A2" w:rsidRPr="004231C2">
        <w:t>e</w:t>
      </w:r>
      <w:r w:rsidR="002625DD" w:rsidRPr="004231C2">
        <w:t xml:space="preserve"> provide a platform for the regional cooperation between national plant protection organizations (NPPOs)</w:t>
      </w:r>
      <w:r w:rsidR="000E66A2" w:rsidRPr="004231C2">
        <w:t>,</w:t>
      </w:r>
      <w:r w:rsidR="002625DD" w:rsidRPr="004231C2">
        <w:t xml:space="preserve"> for the regional harmonization of phytosanitary measures</w:t>
      </w:r>
      <w:r w:rsidR="000E66A2" w:rsidRPr="004231C2">
        <w:t xml:space="preserve"> and serve as a basis for discussions on draft international standards</w:t>
      </w:r>
      <w:r w:rsidR="002625DD" w:rsidRPr="004231C2">
        <w:t>.</w:t>
      </w:r>
      <w:r w:rsidR="00EA6252" w:rsidRPr="004231C2">
        <w:t xml:space="preserve"> </w:t>
      </w:r>
      <w:r w:rsidR="00C465FB" w:rsidRPr="004231C2">
        <w:t xml:space="preserve">As they address the issues of regional relevance, </w:t>
      </w:r>
      <w:r w:rsidR="00D11A40" w:rsidRPr="004231C2">
        <w:t>it helps</w:t>
      </w:r>
      <w:r w:rsidR="00C465FB" w:rsidRPr="004231C2">
        <w:t xml:space="preserve"> the IPPC Secretariat focus on global issues.</w:t>
      </w:r>
    </w:p>
    <w:p w14:paraId="1989DA15" w14:textId="62979ADB" w:rsidR="0019170A" w:rsidRPr="004231C2" w:rsidRDefault="0048078B" w:rsidP="00B02E0D">
      <w:pPr>
        <w:pStyle w:val="IPPNumberedList"/>
      </w:pPr>
      <w:r w:rsidRPr="004231C2">
        <w:t xml:space="preserve">RPPOs should actively engage in various stages of the standard setting procedure </w:t>
      </w:r>
      <w:r w:rsidR="0019170A" w:rsidRPr="004231C2">
        <w:t xml:space="preserve">for the drafting of standards </w:t>
      </w:r>
      <w:r w:rsidRPr="004231C2">
        <w:t xml:space="preserve">such as </w:t>
      </w:r>
      <w:r w:rsidR="0019170A" w:rsidRPr="004231C2">
        <w:t xml:space="preserve">submitting proposals for new topics for revisions to standards or new standards, </w:t>
      </w:r>
      <w:r w:rsidRPr="004231C2">
        <w:t xml:space="preserve">providing comments to draft specifications and draft ISPMs, participating in Standards Committee </w:t>
      </w:r>
      <w:r w:rsidR="0019170A" w:rsidRPr="004231C2">
        <w:lastRenderedPageBreak/>
        <w:t xml:space="preserve">(SC) meetings as observers. </w:t>
      </w:r>
      <w:r w:rsidR="00C628FE" w:rsidRPr="004231C2">
        <w:t>Their engagement helps to ensure that regional aspects are taken into consideration.</w:t>
      </w:r>
    </w:p>
    <w:p w14:paraId="2C55506F" w14:textId="6D1CC076" w:rsidR="00946437" w:rsidRPr="004231C2" w:rsidRDefault="0019170A" w:rsidP="00B02E0D">
      <w:pPr>
        <w:pStyle w:val="IPPNumberedListLast"/>
      </w:pPr>
      <w:r w:rsidRPr="004231C2">
        <w:t>RPPOs should support the nomination of SC members and of expert working group members.</w:t>
      </w:r>
    </w:p>
    <w:p w14:paraId="27C83F65" w14:textId="57F2AD64" w:rsidR="004E4C3C" w:rsidRPr="00B02E0D" w:rsidRDefault="004E4C3C" w:rsidP="00B02E0D">
      <w:pPr>
        <w:pStyle w:val="IPPHeading3"/>
        <w:rPr>
          <w:rStyle w:val="IPPNormalbold"/>
          <w:b/>
        </w:rPr>
      </w:pPr>
      <w:r w:rsidRPr="00B02E0D">
        <w:rPr>
          <w:rStyle w:val="IPPNormalbold"/>
          <w:b/>
        </w:rPr>
        <w:t>Nominations of members for the Standards Committee</w:t>
      </w:r>
      <w:r w:rsidR="004B5466" w:rsidRPr="00B02E0D">
        <w:rPr>
          <w:rStyle w:val="IPPNormalbold"/>
          <w:b/>
        </w:rPr>
        <w:t xml:space="preserve"> (SC)</w:t>
      </w:r>
    </w:p>
    <w:p w14:paraId="2EEDC543" w14:textId="1FC86446" w:rsidR="006A0A51" w:rsidRPr="004231C2" w:rsidRDefault="003418EA" w:rsidP="00B02E0D">
      <w:pPr>
        <w:pStyle w:val="IPPParagraphnumbering"/>
      </w:pPr>
      <w:r w:rsidRPr="004231C2">
        <w:t>A</w:t>
      </w:r>
      <w:r w:rsidR="00B64BCF" w:rsidRPr="004231C2">
        <w:t>c</w:t>
      </w:r>
      <w:r w:rsidR="00E370F9" w:rsidRPr="004231C2">
        <w:t>cording to the Rules of Procedure for the SC,</w:t>
      </w:r>
      <w:r w:rsidR="00190CA5" w:rsidRPr="004231C2">
        <w:t xml:space="preserve"> the</w:t>
      </w:r>
      <w:r w:rsidR="00E370F9" w:rsidRPr="004231C2">
        <w:t xml:space="preserve"> </w:t>
      </w:r>
      <w:r w:rsidR="00074E0B" w:rsidRPr="004231C2">
        <w:t>FAO regional chair</w:t>
      </w:r>
      <w:r w:rsidR="00190CA5" w:rsidRPr="004231C2">
        <w:rPr>
          <w:rStyle w:val="FootnoteReference"/>
          <w:szCs w:val="22"/>
        </w:rPr>
        <w:footnoteReference w:id="3"/>
      </w:r>
      <w:r w:rsidR="00E370F9" w:rsidRPr="004231C2">
        <w:t xml:space="preserve"> </w:t>
      </w:r>
      <w:r w:rsidR="00DF7706" w:rsidRPr="004231C2">
        <w:t>is</w:t>
      </w:r>
      <w:r w:rsidR="00E370F9" w:rsidRPr="004231C2">
        <w:t xml:space="preserve"> to </w:t>
      </w:r>
      <w:r w:rsidR="00DF7706" w:rsidRPr="004231C2">
        <w:t>submit</w:t>
      </w:r>
      <w:r w:rsidR="00E370F9" w:rsidRPr="004231C2">
        <w:t xml:space="preserve"> nominations</w:t>
      </w:r>
      <w:r w:rsidR="00332AF6" w:rsidRPr="004231C2">
        <w:t xml:space="preserve"> for SC members</w:t>
      </w:r>
      <w:r w:rsidR="006A0A51" w:rsidRPr="004231C2">
        <w:t>, which may at times provide for a lengthy and complex procedure</w:t>
      </w:r>
      <w:r w:rsidR="00E370F9" w:rsidRPr="004231C2">
        <w:t xml:space="preserve">. </w:t>
      </w:r>
      <w:r w:rsidR="00F152B5" w:rsidRPr="004231C2">
        <w:t>However, each FAO region may devise its own procedures</w:t>
      </w:r>
      <w:r w:rsidR="00946437" w:rsidRPr="004231C2">
        <w:t xml:space="preserve"> (</w:t>
      </w:r>
      <w:r w:rsidR="006A0A51" w:rsidRPr="004231C2">
        <w:t>i.e. not through the FAO regional chair</w:t>
      </w:r>
      <w:r w:rsidR="00946437" w:rsidRPr="004231C2">
        <w:t>)</w:t>
      </w:r>
      <w:r w:rsidR="004D5227" w:rsidRPr="004231C2">
        <w:t xml:space="preserve">. </w:t>
      </w:r>
      <w:r w:rsidR="006A0A51" w:rsidRPr="004231C2">
        <w:t>In fact, s</w:t>
      </w:r>
      <w:r w:rsidR="003460A3" w:rsidRPr="004231C2">
        <w:t xml:space="preserve">ome regions have set up a procedure where, </w:t>
      </w:r>
      <w:r w:rsidR="00F265F4" w:rsidRPr="004231C2">
        <w:t xml:space="preserve">once the </w:t>
      </w:r>
      <w:r w:rsidR="00D250CF" w:rsidRPr="004231C2">
        <w:t xml:space="preserve">nominations </w:t>
      </w:r>
      <w:r w:rsidR="003460A3" w:rsidRPr="004231C2">
        <w:t xml:space="preserve">are </w:t>
      </w:r>
      <w:r w:rsidR="004D5227" w:rsidRPr="004231C2">
        <w:t xml:space="preserve">agreed </w:t>
      </w:r>
      <w:r w:rsidR="00D250CF" w:rsidRPr="004231C2">
        <w:t>up</w:t>
      </w:r>
      <w:r w:rsidR="004D5227" w:rsidRPr="004231C2">
        <w:t>on regional</w:t>
      </w:r>
      <w:r w:rsidR="00D250CF" w:rsidRPr="004231C2">
        <w:t>ly</w:t>
      </w:r>
      <w:r w:rsidR="003460A3" w:rsidRPr="004231C2">
        <w:t>, they</w:t>
      </w:r>
      <w:r w:rsidR="004D5227" w:rsidRPr="004231C2">
        <w:t xml:space="preserve"> </w:t>
      </w:r>
      <w:r w:rsidR="003460A3" w:rsidRPr="004231C2">
        <w:t xml:space="preserve">are </w:t>
      </w:r>
      <w:r w:rsidR="004D5227" w:rsidRPr="004231C2">
        <w:t>submitted by the</w:t>
      </w:r>
      <w:r w:rsidR="00AE265D" w:rsidRPr="004231C2">
        <w:t xml:space="preserve"> </w:t>
      </w:r>
      <w:r w:rsidR="004D5227" w:rsidRPr="004231C2">
        <w:t>head of the RPPO or</w:t>
      </w:r>
      <w:r w:rsidR="00DC381D" w:rsidRPr="004231C2">
        <w:t xml:space="preserve"> </w:t>
      </w:r>
      <w:r w:rsidR="003460A3" w:rsidRPr="004231C2">
        <w:t xml:space="preserve">by </w:t>
      </w:r>
      <w:r w:rsidR="004E4C3C" w:rsidRPr="004231C2">
        <w:t xml:space="preserve">the </w:t>
      </w:r>
      <w:r w:rsidR="00DC381D" w:rsidRPr="004231C2">
        <w:t>C</w:t>
      </w:r>
      <w:r w:rsidR="004E4C3C" w:rsidRPr="004231C2">
        <w:t>PM Bureau member from the region</w:t>
      </w:r>
      <w:r w:rsidR="00D250CF" w:rsidRPr="004231C2">
        <w:t>,</w:t>
      </w:r>
      <w:r w:rsidR="00E370F9" w:rsidRPr="004231C2">
        <w:t xml:space="preserve"> </w:t>
      </w:r>
      <w:r w:rsidR="00F152B5" w:rsidRPr="004231C2">
        <w:t>copying</w:t>
      </w:r>
      <w:r w:rsidR="00E370F9" w:rsidRPr="004231C2">
        <w:t xml:space="preserve"> the FAO regional chair</w:t>
      </w:r>
      <w:r w:rsidR="004B5466" w:rsidRPr="004231C2">
        <w:t xml:space="preserve">, allowing </w:t>
      </w:r>
      <w:r w:rsidR="00B64BCF" w:rsidRPr="004231C2">
        <w:t xml:space="preserve">for </w:t>
      </w:r>
      <w:r w:rsidR="00F152B5" w:rsidRPr="004231C2">
        <w:t>a fast</w:t>
      </w:r>
      <w:r w:rsidR="004B5466" w:rsidRPr="004231C2">
        <w:t>, straightforward</w:t>
      </w:r>
      <w:r w:rsidR="00B64BCF" w:rsidRPr="004231C2">
        <w:t xml:space="preserve"> and </w:t>
      </w:r>
      <w:r w:rsidR="004B5466" w:rsidRPr="004231C2">
        <w:t>well-coordinated</w:t>
      </w:r>
      <w:r w:rsidR="00B64BCF" w:rsidRPr="004231C2">
        <w:t xml:space="preserve"> process</w:t>
      </w:r>
      <w:r w:rsidR="004B5466" w:rsidRPr="004231C2">
        <w:t xml:space="preserve">. </w:t>
      </w:r>
    </w:p>
    <w:p w14:paraId="72A6A3BB" w14:textId="3A8CF76E" w:rsidR="004E4C3C" w:rsidRPr="004231C2" w:rsidRDefault="006A0A51" w:rsidP="00B02E0D">
      <w:pPr>
        <w:pStyle w:val="IPPParagraphnumbering"/>
      </w:pPr>
      <w:r w:rsidRPr="004231C2">
        <w:t xml:space="preserve">In the regions where there is not such a fast-track process, </w:t>
      </w:r>
      <w:r w:rsidR="004B5466" w:rsidRPr="004231C2">
        <w:t>RPPOs may consider having a coordinating function in the nomination process for SC members.</w:t>
      </w:r>
    </w:p>
    <w:p w14:paraId="0785746D" w14:textId="65BBA6FF" w:rsidR="008C5EDC" w:rsidRPr="00B02E0D" w:rsidRDefault="008C5EDC" w:rsidP="00B02E0D">
      <w:pPr>
        <w:pStyle w:val="IPPHeading3"/>
      </w:pPr>
      <w:r w:rsidRPr="00B02E0D">
        <w:t>SC meetings preparation</w:t>
      </w:r>
    </w:p>
    <w:p w14:paraId="4A947617" w14:textId="237A1455" w:rsidR="008C5EDC" w:rsidRPr="004231C2" w:rsidRDefault="00AE3466" w:rsidP="00B02E0D">
      <w:pPr>
        <w:pStyle w:val="IPPParagraphnumbering"/>
      </w:pPr>
      <w:r w:rsidRPr="004231C2">
        <w:t xml:space="preserve">RPPOs </w:t>
      </w:r>
      <w:r w:rsidR="006A0A51" w:rsidRPr="004231C2">
        <w:t xml:space="preserve">should </w:t>
      </w:r>
      <w:r w:rsidR="00946437" w:rsidRPr="004231C2">
        <w:t xml:space="preserve">help </w:t>
      </w:r>
      <w:r w:rsidRPr="004231C2">
        <w:t>coordinat</w:t>
      </w:r>
      <w:r w:rsidR="006A0A51" w:rsidRPr="004231C2">
        <w:t xml:space="preserve">e </w:t>
      </w:r>
      <w:r w:rsidRPr="004231C2">
        <w:t>the regional</w:t>
      </w:r>
      <w:r w:rsidR="00F152B5" w:rsidRPr="004231C2">
        <w:t xml:space="preserve"> preparation for SC meetings</w:t>
      </w:r>
      <w:r w:rsidRPr="004231C2">
        <w:t>.</w:t>
      </w:r>
      <w:r w:rsidR="008C5EDC" w:rsidRPr="004231C2">
        <w:t xml:space="preserve"> </w:t>
      </w:r>
      <w:r w:rsidR="007965EE" w:rsidRPr="004231C2">
        <w:t xml:space="preserve">RPPOs may also submit discussion papers to SC meetings and are encouraged to communicate </w:t>
      </w:r>
      <w:r w:rsidR="00F152B5" w:rsidRPr="004231C2">
        <w:t>regularly</w:t>
      </w:r>
      <w:r w:rsidR="007965EE" w:rsidRPr="004231C2">
        <w:t xml:space="preserve"> with SC members</w:t>
      </w:r>
      <w:r w:rsidR="00E31A0C" w:rsidRPr="004231C2">
        <w:t xml:space="preserve"> </w:t>
      </w:r>
      <w:r w:rsidR="00450683" w:rsidRPr="004231C2">
        <w:t xml:space="preserve">from their region </w:t>
      </w:r>
      <w:r w:rsidR="00E31A0C" w:rsidRPr="004231C2">
        <w:t>to ensure that the views presented are shared by countries across the region</w:t>
      </w:r>
      <w:r w:rsidR="007965EE" w:rsidRPr="004231C2">
        <w:t xml:space="preserve">. </w:t>
      </w:r>
      <w:r w:rsidR="00450683" w:rsidRPr="004231C2">
        <w:t>Having RPPOs c</w:t>
      </w:r>
      <w:r w:rsidR="007965EE" w:rsidRPr="004231C2">
        <w:t>oordinati</w:t>
      </w:r>
      <w:r w:rsidR="00450683" w:rsidRPr="004231C2">
        <w:t xml:space="preserve">ng </w:t>
      </w:r>
      <w:r w:rsidR="007965EE" w:rsidRPr="004231C2">
        <w:t>the position</w:t>
      </w:r>
      <w:r w:rsidR="00450683" w:rsidRPr="004231C2">
        <w:t>s</w:t>
      </w:r>
      <w:r w:rsidR="007965EE" w:rsidRPr="004231C2">
        <w:t xml:space="preserve"> of the countries in the region </w:t>
      </w:r>
      <w:r w:rsidR="00364B19" w:rsidRPr="004231C2">
        <w:t xml:space="preserve">allows for </w:t>
      </w:r>
      <w:r w:rsidR="00E8558F" w:rsidRPr="004231C2">
        <w:t>more experts</w:t>
      </w:r>
      <w:r w:rsidR="00364B19" w:rsidRPr="004231C2">
        <w:t xml:space="preserve"> to provide input into the issues to be discussed during SC meetings; this</w:t>
      </w:r>
      <w:r w:rsidR="00E8558F" w:rsidRPr="004231C2">
        <w:t xml:space="preserve"> </w:t>
      </w:r>
      <w:r w:rsidR="007965EE" w:rsidRPr="004231C2">
        <w:t xml:space="preserve">may </w:t>
      </w:r>
      <w:r w:rsidR="00364B19" w:rsidRPr="004231C2">
        <w:t xml:space="preserve">lead to the preparation of more solid regional positions </w:t>
      </w:r>
      <w:r w:rsidR="007965EE" w:rsidRPr="004231C2">
        <w:t xml:space="preserve">to </w:t>
      </w:r>
      <w:r w:rsidR="00364B19" w:rsidRPr="004231C2">
        <w:t>be presented by the SC members of the region</w:t>
      </w:r>
      <w:r w:rsidR="007965EE" w:rsidRPr="004231C2">
        <w:t xml:space="preserve">. </w:t>
      </w:r>
    </w:p>
    <w:p w14:paraId="548BF213" w14:textId="6B4604D4" w:rsidR="009D5B9D" w:rsidRPr="004231C2" w:rsidRDefault="00364B19" w:rsidP="00B02E0D">
      <w:pPr>
        <w:pStyle w:val="IPPParagraphnumbering"/>
      </w:pPr>
      <w:r w:rsidRPr="004231C2">
        <w:t>In addition, e</w:t>
      </w:r>
      <w:r w:rsidR="009D5B9D" w:rsidRPr="004231C2">
        <w:t>ach RPPO may request to send an observer to the SC meeting</w:t>
      </w:r>
      <w:r w:rsidRPr="004231C2">
        <w:t xml:space="preserve"> (</w:t>
      </w:r>
      <w:r w:rsidR="00E31A0C" w:rsidRPr="004231C2">
        <w:t>SC-7 meetings do not allow observers</w:t>
      </w:r>
      <w:r w:rsidRPr="004231C2">
        <w:t>)</w:t>
      </w:r>
      <w:r w:rsidR="00E31A0C" w:rsidRPr="004231C2">
        <w:t>.</w:t>
      </w:r>
    </w:p>
    <w:p w14:paraId="1152AEE0" w14:textId="78341985" w:rsidR="00B6690C" w:rsidRPr="004231C2" w:rsidRDefault="007235C1" w:rsidP="00A321A9">
      <w:pPr>
        <w:pStyle w:val="IPPHeading3"/>
        <w:rPr>
          <w:szCs w:val="22"/>
        </w:rPr>
      </w:pPr>
      <w:r w:rsidRPr="004231C2">
        <w:rPr>
          <w:szCs w:val="22"/>
        </w:rPr>
        <w:t xml:space="preserve">Submitting topics for </w:t>
      </w:r>
      <w:r w:rsidR="00E72005" w:rsidRPr="004231C2">
        <w:rPr>
          <w:szCs w:val="22"/>
        </w:rPr>
        <w:t>I</w:t>
      </w:r>
      <w:r w:rsidRPr="004231C2">
        <w:rPr>
          <w:szCs w:val="22"/>
        </w:rPr>
        <w:t>nternational standards</w:t>
      </w:r>
      <w:r w:rsidR="00E72005" w:rsidRPr="004231C2">
        <w:rPr>
          <w:szCs w:val="22"/>
        </w:rPr>
        <w:t xml:space="preserve"> for phytosanitary measures (ISPMs)</w:t>
      </w:r>
      <w:r w:rsidR="00613474" w:rsidRPr="004231C2">
        <w:rPr>
          <w:rStyle w:val="FootnoteReference"/>
          <w:szCs w:val="22"/>
        </w:rPr>
        <w:footnoteReference w:id="4"/>
      </w:r>
    </w:p>
    <w:p w14:paraId="5140BA2D" w14:textId="26269C6E" w:rsidR="007235C1" w:rsidRPr="004231C2" w:rsidRDefault="00B6690C" w:rsidP="00B02E0D">
      <w:pPr>
        <w:pStyle w:val="IPPParagraphnumbering"/>
      </w:pPr>
      <w:r w:rsidRPr="004231C2">
        <w:t xml:space="preserve">In response to the </w:t>
      </w:r>
      <w:r w:rsidR="00C628FE" w:rsidRPr="004231C2">
        <w:t xml:space="preserve">biennial </w:t>
      </w:r>
      <w:r w:rsidRPr="004231C2">
        <w:t>call</w:t>
      </w:r>
      <w:r w:rsidR="00C628FE" w:rsidRPr="004231C2">
        <w:t xml:space="preserve"> for topics</w:t>
      </w:r>
      <w:r w:rsidRPr="004231C2">
        <w:t xml:space="preserve">, RPPOs may submit proposals for new topics or for the revision of existing ISPMs. </w:t>
      </w:r>
      <w:r w:rsidR="00C628FE" w:rsidRPr="004231C2">
        <w:t xml:space="preserve">RPPOs may submit proposals for phytosanitary treatments, providing all the supporting data needed, when </w:t>
      </w:r>
      <w:r w:rsidR="00C979C5" w:rsidRPr="004231C2">
        <w:t>call</w:t>
      </w:r>
      <w:r w:rsidR="00C628FE" w:rsidRPr="004231C2">
        <w:t>s</w:t>
      </w:r>
      <w:r w:rsidR="00C979C5" w:rsidRPr="004231C2">
        <w:t xml:space="preserve"> </w:t>
      </w:r>
      <w:r w:rsidR="004979ED" w:rsidRPr="004231C2">
        <w:t xml:space="preserve">for phytosanitary treatments </w:t>
      </w:r>
      <w:r w:rsidR="00C628FE" w:rsidRPr="004231C2">
        <w:t>are</w:t>
      </w:r>
      <w:r w:rsidR="004979ED" w:rsidRPr="004231C2">
        <w:t xml:space="preserve"> made</w:t>
      </w:r>
      <w:r w:rsidR="00C979C5" w:rsidRPr="004231C2">
        <w:rPr>
          <w:rStyle w:val="FootnoteReference"/>
          <w:szCs w:val="22"/>
        </w:rPr>
        <w:footnoteReference w:id="5"/>
      </w:r>
      <w:r w:rsidR="00C979C5" w:rsidRPr="004231C2">
        <w:t>.</w:t>
      </w:r>
      <w:r w:rsidR="00C628FE" w:rsidRPr="004231C2">
        <w:t xml:space="preserve"> When RPPOs do not wish to submit topics directly, they may facilitate or aid the submission made by CPs. RPPOs may also influence the topics being proposed by supporting specific topics, as, to </w:t>
      </w:r>
      <w:r w:rsidR="00332AF6" w:rsidRPr="004231C2">
        <w:t xml:space="preserve">indicate a global need for the proposed topic, submitters are encouraged to gain support from CPs and RPPOs in other regions. </w:t>
      </w:r>
      <w:r w:rsidR="00293D95" w:rsidRPr="004231C2">
        <w:t>This could also help the situation where</w:t>
      </w:r>
      <w:r w:rsidR="007235C1" w:rsidRPr="004231C2">
        <w:t xml:space="preserve"> some regions </w:t>
      </w:r>
      <w:r w:rsidR="00E72005" w:rsidRPr="004231C2">
        <w:t>d</w:t>
      </w:r>
      <w:r w:rsidR="00293D95" w:rsidRPr="004231C2">
        <w:t>o</w:t>
      </w:r>
      <w:r w:rsidR="00E72005" w:rsidRPr="004231C2">
        <w:t xml:space="preserve"> not submit any proposal for</w:t>
      </w:r>
      <w:r w:rsidR="007235C1" w:rsidRPr="004231C2">
        <w:t xml:space="preserve"> topics</w:t>
      </w:r>
      <w:r w:rsidR="00293D95" w:rsidRPr="004231C2">
        <w:t xml:space="preserve"> (as has been the case in the past), and which </w:t>
      </w:r>
      <w:r w:rsidR="00D335BA" w:rsidRPr="004231C2">
        <w:t>may</w:t>
      </w:r>
      <w:r w:rsidR="00B923F2" w:rsidRPr="004231C2">
        <w:t xml:space="preserve"> result </w:t>
      </w:r>
      <w:r w:rsidR="00D335BA" w:rsidRPr="004231C2">
        <w:t>in</w:t>
      </w:r>
      <w:r w:rsidR="007235C1" w:rsidRPr="004231C2">
        <w:t xml:space="preserve"> standards </w:t>
      </w:r>
      <w:r w:rsidR="00293D95" w:rsidRPr="004231C2">
        <w:t xml:space="preserve">that do </w:t>
      </w:r>
      <w:r w:rsidR="007235C1" w:rsidRPr="004231C2">
        <w:t xml:space="preserve">not </w:t>
      </w:r>
      <w:r w:rsidR="00D335BA" w:rsidRPr="004231C2">
        <w:t xml:space="preserve">reflect </w:t>
      </w:r>
      <w:r w:rsidR="007235C1" w:rsidRPr="004231C2">
        <w:t>the needs of all regions.</w:t>
      </w:r>
    </w:p>
    <w:p w14:paraId="7ADD8ECD" w14:textId="1E3568F8" w:rsidR="00E72005" w:rsidRPr="004231C2" w:rsidRDefault="00B923F2" w:rsidP="00B02E0D">
      <w:pPr>
        <w:pStyle w:val="IPPParagraphnumbering"/>
      </w:pPr>
      <w:r w:rsidRPr="004231C2">
        <w:t>RPPOs may play an important role</w:t>
      </w:r>
      <w:r w:rsidR="00E72005" w:rsidRPr="004231C2">
        <w:t xml:space="preserve"> in:</w:t>
      </w:r>
    </w:p>
    <w:p w14:paraId="40CCF0D1" w14:textId="42D981EF" w:rsidR="00E72005" w:rsidRPr="004231C2" w:rsidRDefault="00E72005" w:rsidP="00B02E0D">
      <w:pPr>
        <w:pStyle w:val="IPPBullet1"/>
      </w:pPr>
      <w:r w:rsidRPr="00B02E0D">
        <w:rPr>
          <w:rStyle w:val="IPPnormalitalics"/>
        </w:rPr>
        <w:t>encouraging</w:t>
      </w:r>
      <w:r w:rsidRPr="004231C2">
        <w:t xml:space="preserve"> NPPOs from their region to submit proposals for topics;</w:t>
      </w:r>
    </w:p>
    <w:p w14:paraId="19E68C92" w14:textId="324BF5AA" w:rsidR="00E72005" w:rsidRPr="004231C2" w:rsidRDefault="00E72005" w:rsidP="00B02E0D">
      <w:pPr>
        <w:pStyle w:val="IPPBullet1"/>
      </w:pPr>
      <w:r w:rsidRPr="00B02E0D">
        <w:rPr>
          <w:rStyle w:val="IPPnormalitalics"/>
        </w:rPr>
        <w:t>coordinating</w:t>
      </w:r>
      <w:r w:rsidRPr="004231C2">
        <w:t xml:space="preserve"> submissions for topics at the regional level and submitting proposals for topics;</w:t>
      </w:r>
    </w:p>
    <w:p w14:paraId="33C1124D" w14:textId="6F213AA9" w:rsidR="00B923F2" w:rsidRPr="004231C2" w:rsidRDefault="00B02E0D" w:rsidP="00B02E0D">
      <w:pPr>
        <w:pStyle w:val="IPPBullet1Last"/>
      </w:pPr>
      <w:r w:rsidRPr="00B02E0D">
        <w:rPr>
          <w:rStyle w:val="IPPnormalitalics"/>
        </w:rPr>
        <w:t>Coordinating</w:t>
      </w:r>
      <w:r w:rsidR="00B923F2" w:rsidRPr="004231C2">
        <w:t xml:space="preserve"> the </w:t>
      </w:r>
      <w:r w:rsidR="00E31A0C" w:rsidRPr="004231C2">
        <w:t>inter-</w:t>
      </w:r>
      <w:r w:rsidR="00B923F2" w:rsidRPr="004231C2">
        <w:t xml:space="preserve">regional support </w:t>
      </w:r>
      <w:r w:rsidR="00D335BA" w:rsidRPr="004231C2">
        <w:t>for</w:t>
      </w:r>
      <w:r w:rsidR="00B923F2" w:rsidRPr="004231C2">
        <w:t xml:space="preserve"> topic submission</w:t>
      </w:r>
      <w:r w:rsidR="00D335BA" w:rsidRPr="004231C2">
        <w:t>s</w:t>
      </w:r>
      <w:r w:rsidR="00B923F2" w:rsidRPr="004231C2">
        <w:t>.</w:t>
      </w:r>
    </w:p>
    <w:p w14:paraId="4B754BAF" w14:textId="5A9DA82E" w:rsidR="009D5B9D" w:rsidRPr="004231C2" w:rsidRDefault="00D335BA" w:rsidP="00A321A9">
      <w:pPr>
        <w:pStyle w:val="IPPHeading3"/>
        <w:rPr>
          <w:szCs w:val="22"/>
        </w:rPr>
      </w:pPr>
      <w:r w:rsidRPr="004231C2">
        <w:rPr>
          <w:szCs w:val="22"/>
        </w:rPr>
        <w:lastRenderedPageBreak/>
        <w:t xml:space="preserve">Drafting </w:t>
      </w:r>
      <w:r w:rsidR="00296341" w:rsidRPr="004231C2">
        <w:rPr>
          <w:szCs w:val="22"/>
        </w:rPr>
        <w:t>of standards</w:t>
      </w:r>
    </w:p>
    <w:p w14:paraId="120D58E1" w14:textId="27D07380" w:rsidR="009D5B9D" w:rsidRPr="004231C2" w:rsidRDefault="009D5B9D" w:rsidP="00B02E0D">
      <w:pPr>
        <w:pStyle w:val="IPPParagraphnumbering"/>
      </w:pPr>
      <w:r w:rsidRPr="004231C2">
        <w:t xml:space="preserve">Once the SC </w:t>
      </w:r>
      <w:r w:rsidR="00E72005" w:rsidRPr="004231C2">
        <w:t xml:space="preserve">has </w:t>
      </w:r>
      <w:r w:rsidRPr="004231C2">
        <w:t>approve</w:t>
      </w:r>
      <w:r w:rsidR="00E72005" w:rsidRPr="004231C2">
        <w:t>d</w:t>
      </w:r>
      <w:r w:rsidRPr="004231C2">
        <w:t xml:space="preserve"> </w:t>
      </w:r>
      <w:r w:rsidR="00E72005" w:rsidRPr="004231C2">
        <w:t>a</w:t>
      </w:r>
      <w:r w:rsidRPr="004231C2">
        <w:t xml:space="preserve"> draft specification for consultation, the IPPC Secretariat solicits comments through </w:t>
      </w:r>
      <w:r w:rsidR="00F370EF" w:rsidRPr="004231C2">
        <w:t>the Online Comment System (OCS).</w:t>
      </w:r>
      <w:r w:rsidR="00E72005" w:rsidRPr="004231C2">
        <w:t xml:space="preserve"> RPPOs are encouraged to provide comments during the consultation and they may coordinate at the regional level the submission of comments from NPPOs.</w:t>
      </w:r>
    </w:p>
    <w:p w14:paraId="2653324C" w14:textId="229AA7BA" w:rsidR="00296341" w:rsidRPr="004231C2" w:rsidRDefault="00E72005" w:rsidP="00B02E0D">
      <w:pPr>
        <w:pStyle w:val="IPPParagraphnumbering"/>
      </w:pPr>
      <w:r w:rsidRPr="004231C2">
        <w:t>When t</w:t>
      </w:r>
      <w:r w:rsidR="00296341" w:rsidRPr="004231C2">
        <w:t>he IPPC Secretariat launches call</w:t>
      </w:r>
      <w:r w:rsidR="00BC1B28" w:rsidRPr="004231C2">
        <w:t>s</w:t>
      </w:r>
      <w:r w:rsidR="00296341" w:rsidRPr="004231C2">
        <w:t xml:space="preserve"> for experts to </w:t>
      </w:r>
      <w:r w:rsidRPr="004231C2">
        <w:t>take part in</w:t>
      </w:r>
      <w:r w:rsidR="00296341" w:rsidRPr="004231C2">
        <w:t xml:space="preserve"> </w:t>
      </w:r>
      <w:r w:rsidR="005346DE" w:rsidRPr="004231C2">
        <w:t>e</w:t>
      </w:r>
      <w:r w:rsidR="00296341" w:rsidRPr="004231C2">
        <w:t>xpert working group</w:t>
      </w:r>
      <w:r w:rsidRPr="004231C2">
        <w:t>s</w:t>
      </w:r>
      <w:r w:rsidR="00296341" w:rsidRPr="004231C2">
        <w:t xml:space="preserve"> (EWG)</w:t>
      </w:r>
      <w:r w:rsidR="00BC1B28" w:rsidRPr="004231C2">
        <w:t xml:space="preserve"> </w:t>
      </w:r>
      <w:r w:rsidRPr="004231C2">
        <w:t>or</w:t>
      </w:r>
      <w:r w:rsidR="00296341" w:rsidRPr="004231C2">
        <w:t xml:space="preserve"> </w:t>
      </w:r>
      <w:r w:rsidR="00BC1B28" w:rsidRPr="004231C2">
        <w:t xml:space="preserve">in </w:t>
      </w:r>
      <w:r w:rsidR="005346DE" w:rsidRPr="004231C2">
        <w:t>t</w:t>
      </w:r>
      <w:r w:rsidR="00296341" w:rsidRPr="004231C2">
        <w:t>echnical panels (TPs)</w:t>
      </w:r>
      <w:r w:rsidRPr="004231C2">
        <w:t xml:space="preserve">, </w:t>
      </w:r>
      <w:r w:rsidR="00296341" w:rsidRPr="004231C2">
        <w:t xml:space="preserve">RPPOs are encouraged to </w:t>
      </w:r>
      <w:r w:rsidR="00BC1B28" w:rsidRPr="004231C2">
        <w:t xml:space="preserve">invite NPPOs from their regions to </w:t>
      </w:r>
      <w:r w:rsidR="00296341" w:rsidRPr="004231C2">
        <w:t>nominate experts to become members of the EWGs.</w:t>
      </w:r>
      <w:r w:rsidR="00BC1B28" w:rsidRPr="004231C2">
        <w:t xml:space="preserve"> RPPOs may also coordinate nominations of experts at the regional level and submit nominations to the IPPC Secretariat. </w:t>
      </w:r>
    </w:p>
    <w:p w14:paraId="5CA87A68" w14:textId="72C02839" w:rsidR="00296341" w:rsidRPr="004231C2" w:rsidRDefault="00296341" w:rsidP="00B02E0D">
      <w:pPr>
        <w:pStyle w:val="IPPParagraphnumbering"/>
      </w:pPr>
      <w:r w:rsidRPr="004231C2">
        <w:t xml:space="preserve">Even </w:t>
      </w:r>
      <w:r w:rsidR="005346DE" w:rsidRPr="004231C2">
        <w:t xml:space="preserve">when </w:t>
      </w:r>
      <w:r w:rsidRPr="004231C2">
        <w:t xml:space="preserve">a region is not represented in the EWG or TP, the RPPO and the CPs of the region </w:t>
      </w:r>
      <w:r w:rsidR="008B077D" w:rsidRPr="004231C2">
        <w:t xml:space="preserve">are encouraged to </w:t>
      </w:r>
      <w:r w:rsidRPr="004231C2">
        <w:t xml:space="preserve">submit discussion papers on the subject of the draft ISPM to the EWG or TP to provide a regional viewpoint and </w:t>
      </w:r>
      <w:r w:rsidR="00F265F4" w:rsidRPr="004231C2">
        <w:t xml:space="preserve">share </w:t>
      </w:r>
      <w:r w:rsidRPr="004231C2">
        <w:t>experience.</w:t>
      </w:r>
    </w:p>
    <w:p w14:paraId="51363D1E" w14:textId="57933BB6" w:rsidR="00165678" w:rsidRPr="004231C2" w:rsidRDefault="00165678" w:rsidP="00B02E0D">
      <w:pPr>
        <w:pStyle w:val="IPPParagraphnumbering"/>
      </w:pPr>
      <w:r w:rsidRPr="004231C2">
        <w:t xml:space="preserve">RPPOs are encouraged to host meetings of the expert drafting groups (EWGs or TPs), especially if issues that the draft ISPM should deal with are relevant for the region </w:t>
      </w:r>
      <w:r w:rsidR="00784477" w:rsidRPr="004231C2">
        <w:t>or the CP</w:t>
      </w:r>
      <w:r w:rsidR="00A321A9" w:rsidRPr="004231C2">
        <w:t xml:space="preserve"> (see document 11_TC-RPPO_2017_Nov Opportunities for hosting IPPC Standard setting meetings)</w:t>
      </w:r>
      <w:r w:rsidR="008B077D" w:rsidRPr="004231C2">
        <w:t>.</w:t>
      </w:r>
    </w:p>
    <w:p w14:paraId="5AD184A5" w14:textId="77777777" w:rsidR="00D335BA" w:rsidRPr="004231C2" w:rsidRDefault="00D335BA" w:rsidP="00A321A9">
      <w:pPr>
        <w:pStyle w:val="IPPHeading3"/>
        <w:rPr>
          <w:szCs w:val="22"/>
        </w:rPr>
      </w:pPr>
      <w:r w:rsidRPr="004231C2">
        <w:rPr>
          <w:szCs w:val="22"/>
        </w:rPr>
        <w:t>Consultation and review</w:t>
      </w:r>
    </w:p>
    <w:p w14:paraId="4EE4B62E" w14:textId="40DA36B0" w:rsidR="00D335BA" w:rsidRPr="004231C2" w:rsidRDefault="00D335BA" w:rsidP="00B02E0D">
      <w:pPr>
        <w:pStyle w:val="IPPParagraphnumbering"/>
      </w:pPr>
      <w:r w:rsidRPr="004231C2">
        <w:t>RPPOs are encouraged to provide comments on draft ISPMs during consultation</w:t>
      </w:r>
      <w:r w:rsidR="008B077D" w:rsidRPr="004231C2">
        <w:t xml:space="preserve">s. They may coordinate at the regional level the submission of comments from NPPOs; for instance, they can </w:t>
      </w:r>
      <w:r w:rsidRPr="004231C2">
        <w:t>organise technical coordination meetings or workshops for the CPs of the region to discuss draft ISPMs under consultation.</w:t>
      </w:r>
    </w:p>
    <w:p w14:paraId="580C89D6" w14:textId="6B026F1C" w:rsidR="004B6517" w:rsidRPr="004231C2" w:rsidRDefault="00293D95" w:rsidP="00B02E0D">
      <w:pPr>
        <w:pStyle w:val="IPPHeading3"/>
      </w:pPr>
      <w:r w:rsidRPr="004231C2">
        <w:t>T</w:t>
      </w:r>
      <w:r w:rsidR="009D5B9D" w:rsidRPr="004231C2">
        <w:t>ranslation</w:t>
      </w:r>
      <w:r w:rsidRPr="004231C2">
        <w:t>s</w:t>
      </w:r>
      <w:r w:rsidR="009D5B9D" w:rsidRPr="004231C2">
        <w:t xml:space="preserve"> </w:t>
      </w:r>
    </w:p>
    <w:p w14:paraId="7410C02A" w14:textId="1481A3ED" w:rsidR="004B6517" w:rsidRPr="004231C2" w:rsidRDefault="004B6517" w:rsidP="00B02E0D">
      <w:pPr>
        <w:pStyle w:val="IPPParagraphnumbering"/>
      </w:pPr>
      <w:r w:rsidRPr="004231C2">
        <w:t>Representatives from CPs and RPPOs may form a Language Review Group (LRG) and, following the CPM-agreed LRG process, may propose modifications to translations of adopted ISPMs.</w:t>
      </w:r>
      <w:r w:rsidR="008B077D" w:rsidRPr="004231C2">
        <w:t xml:space="preserve"> RPPOs are encouraged to take an active part in the LRG process.</w:t>
      </w:r>
    </w:p>
    <w:p w14:paraId="580DAA64" w14:textId="7901BC87" w:rsidR="00293D95" w:rsidRPr="004231C2" w:rsidRDefault="00293D95" w:rsidP="00B02E0D">
      <w:pPr>
        <w:pStyle w:val="IPPParagraphnumbering"/>
      </w:pPr>
      <w:r w:rsidRPr="004231C2">
        <w:t xml:space="preserve">RPPOs </w:t>
      </w:r>
      <w:r w:rsidR="005346DE" w:rsidRPr="004231C2">
        <w:t>may support standard setting activities and the objectives of the Convention by providing translations of supporting documentation or outreach materials under co</w:t>
      </w:r>
      <w:r w:rsidR="00D11A40" w:rsidRPr="004231C2">
        <w:t>-</w:t>
      </w:r>
      <w:r w:rsidR="005346DE" w:rsidRPr="004231C2">
        <w:t>publishing agreements (e.g. explanatory documents, brochures, factsheets). The translations may be into any language, including the official FAO languages.</w:t>
      </w:r>
    </w:p>
    <w:p w14:paraId="67D69547" w14:textId="380D2F5A" w:rsidR="003802FF" w:rsidRPr="004231C2" w:rsidRDefault="003802FF" w:rsidP="00B02E0D">
      <w:pPr>
        <w:pStyle w:val="IPPParagraphnumbering"/>
      </w:pPr>
      <w:r w:rsidRPr="004231C2">
        <w:t>A tentative list of resources that would benefit from translation in FAO languages is provided in Annex 1.</w:t>
      </w:r>
    </w:p>
    <w:p w14:paraId="09225701" w14:textId="3A04C95A" w:rsidR="005346DE" w:rsidRPr="004231C2" w:rsidRDefault="005346DE" w:rsidP="00B02E0D">
      <w:pPr>
        <w:pStyle w:val="IPPHeading3"/>
      </w:pPr>
      <w:r w:rsidRPr="004231C2">
        <w:t>General support</w:t>
      </w:r>
    </w:p>
    <w:p w14:paraId="458FD5AB" w14:textId="2E485B1E" w:rsidR="005346DE" w:rsidRPr="004231C2" w:rsidRDefault="005346DE" w:rsidP="00B02E0D">
      <w:pPr>
        <w:pStyle w:val="IPPParagraphnumbering"/>
      </w:pPr>
      <w:r w:rsidRPr="004231C2">
        <w:t xml:space="preserve">In the past, RPPOs have supported the organization of </w:t>
      </w:r>
      <w:r w:rsidR="00B61C8E" w:rsidRPr="004231C2">
        <w:t>CPM sessions and</w:t>
      </w:r>
      <w:r w:rsidRPr="004231C2">
        <w:t xml:space="preserve"> </w:t>
      </w:r>
      <w:r w:rsidR="00B61C8E" w:rsidRPr="004231C2">
        <w:t>similar support could be provided to</w:t>
      </w:r>
      <w:r w:rsidRPr="004231C2">
        <w:t xml:space="preserve"> </w:t>
      </w:r>
      <w:r w:rsidR="00B61C8E" w:rsidRPr="004231C2">
        <w:t>SC or expert drafting group meetings</w:t>
      </w:r>
      <w:r w:rsidRPr="004231C2">
        <w:t>, by supplying human resources for some time to work with the IPPC Secretariat on tasks such as</w:t>
      </w:r>
      <w:r w:rsidR="00B61C8E" w:rsidRPr="004231C2">
        <w:t xml:space="preserve"> drafting meeting reports, in-session track changing, </w:t>
      </w:r>
      <w:proofErr w:type="gramStart"/>
      <w:r w:rsidRPr="004231C2">
        <w:t>document</w:t>
      </w:r>
      <w:proofErr w:type="gramEnd"/>
      <w:r w:rsidRPr="004231C2">
        <w:t xml:space="preserve"> handling, and so on. This </w:t>
      </w:r>
      <w:r w:rsidR="00B61C8E" w:rsidRPr="004231C2">
        <w:t xml:space="preserve">would </w:t>
      </w:r>
      <w:r w:rsidRPr="004231C2">
        <w:t>provide for an excellent opportunity for RPPO staff to increase their knowledge about the working pro</w:t>
      </w:r>
      <w:r w:rsidR="00B61C8E" w:rsidRPr="004231C2">
        <w:t>cedures of the IPPC Secretariat</w:t>
      </w:r>
      <w:r w:rsidRPr="004231C2">
        <w:t xml:space="preserve"> and expose them to international high level or technical meetings.</w:t>
      </w:r>
    </w:p>
    <w:p w14:paraId="3CE942BC" w14:textId="493C6147" w:rsidR="003802FF" w:rsidRPr="004231C2" w:rsidRDefault="003802FF" w:rsidP="00B02E0D">
      <w:pPr>
        <w:pStyle w:val="IPPHeading3"/>
      </w:pPr>
      <w:r w:rsidRPr="004231C2">
        <w:t>IPPC regional workshops and TC-RPPO</w:t>
      </w:r>
    </w:p>
    <w:p w14:paraId="2C6CCE0A" w14:textId="77777777" w:rsidR="003802FF" w:rsidRPr="004231C2" w:rsidRDefault="003802FF" w:rsidP="00B02E0D">
      <w:pPr>
        <w:pStyle w:val="IPPParagraphnumbering"/>
      </w:pPr>
      <w:r w:rsidRPr="004231C2">
        <w:t>IPPC regional workshops and Technical Consultation of RPPOs (TC-RPPOs) may also provide a good opportunity for RPPOs to discuss issues related to the nominations or to development of specifications and standards.</w:t>
      </w:r>
    </w:p>
    <w:p w14:paraId="17C8EBEA" w14:textId="28DC474C" w:rsidR="00225877" w:rsidRPr="004231C2" w:rsidRDefault="00225877" w:rsidP="00B02E0D">
      <w:pPr>
        <w:pStyle w:val="IPPParagraphnumbering"/>
      </w:pPr>
      <w:r w:rsidRPr="004231C2">
        <w:t>RPPOs are invited to</w:t>
      </w:r>
      <w:r w:rsidR="00B61C8E" w:rsidRPr="004231C2">
        <w:t>:</w:t>
      </w:r>
    </w:p>
    <w:p w14:paraId="77AE4764" w14:textId="123574F4" w:rsidR="00131B43" w:rsidRPr="004231C2" w:rsidRDefault="00A10E44" w:rsidP="00D52A0A">
      <w:pPr>
        <w:pStyle w:val="IPPNumberedList"/>
        <w:numPr>
          <w:ilvl w:val="0"/>
          <w:numId w:val="25"/>
        </w:numPr>
        <w:spacing w:after="120"/>
      </w:pPr>
      <w:r w:rsidRPr="00D52A0A">
        <w:rPr>
          <w:i/>
        </w:rPr>
        <w:t>discuss</w:t>
      </w:r>
      <w:r w:rsidRPr="004231C2">
        <w:t xml:space="preserve"> </w:t>
      </w:r>
      <w:r w:rsidR="00225877" w:rsidRPr="004231C2">
        <w:t>the poin</w:t>
      </w:r>
      <w:r w:rsidR="00D216CF" w:rsidRPr="004231C2">
        <w:t>ts above</w:t>
      </w:r>
      <w:r w:rsidR="00131B43" w:rsidRPr="004231C2">
        <w:t>;</w:t>
      </w:r>
    </w:p>
    <w:p w14:paraId="35AD40FF" w14:textId="673E1C74" w:rsidR="00A10E44" w:rsidRPr="004231C2" w:rsidRDefault="00131B43" w:rsidP="00A321A9">
      <w:pPr>
        <w:pStyle w:val="IPPNumberedList"/>
        <w:spacing w:after="120"/>
      </w:pPr>
      <w:r w:rsidRPr="004231C2">
        <w:rPr>
          <w:i/>
        </w:rPr>
        <w:lastRenderedPageBreak/>
        <w:t xml:space="preserve">discuss </w:t>
      </w:r>
      <w:r w:rsidR="00B007CB" w:rsidRPr="004231C2">
        <w:t xml:space="preserve">the possible benefits </w:t>
      </w:r>
      <w:r w:rsidRPr="004231C2">
        <w:t xml:space="preserve">and challenges </w:t>
      </w:r>
      <w:r w:rsidR="00774AAC" w:rsidRPr="004231C2">
        <w:t xml:space="preserve">of </w:t>
      </w:r>
      <w:r w:rsidR="00A10E44" w:rsidRPr="004231C2">
        <w:t>regional processes coordinated by RPPOs;</w:t>
      </w:r>
    </w:p>
    <w:p w14:paraId="7AD05691" w14:textId="587CE74A" w:rsidR="00A10E44" w:rsidRPr="004231C2" w:rsidRDefault="00A10E44" w:rsidP="00A321A9">
      <w:pPr>
        <w:pStyle w:val="IPPNumberedList"/>
        <w:spacing w:after="120"/>
      </w:pPr>
      <w:r w:rsidRPr="004231C2">
        <w:rPr>
          <w:i/>
          <w:iCs/>
        </w:rPr>
        <w:t>consider</w:t>
      </w:r>
      <w:r w:rsidRPr="004231C2">
        <w:t xml:space="preserve"> ways to strengthen further the engagement of RPPOs in the IPPC Standard setting process for instance with regards to the nomination of SC members, the preparation of SC meetings, the submission of proposals for new topics, the drafting of standards, the consultation and review of draft standards</w:t>
      </w:r>
      <w:r w:rsidR="00B61C8E" w:rsidRPr="004231C2">
        <w:t>,</w:t>
      </w:r>
      <w:r w:rsidRPr="004231C2">
        <w:t xml:space="preserve"> the translation of standard</w:t>
      </w:r>
      <w:r w:rsidR="00B61C8E" w:rsidRPr="004231C2">
        <w:t xml:space="preserve"> setting documents and outreach material, and to general support of the standard setting work </w:t>
      </w:r>
      <w:proofErr w:type="spellStart"/>
      <w:r w:rsidR="00B61C8E" w:rsidRPr="004231C2">
        <w:t>programme</w:t>
      </w:r>
      <w:proofErr w:type="spellEnd"/>
      <w:r w:rsidRPr="004231C2">
        <w:t>.</w:t>
      </w:r>
    </w:p>
    <w:p w14:paraId="5FCB74B7" w14:textId="5F9026FF" w:rsidR="003802FF" w:rsidRPr="004231C2" w:rsidRDefault="00DF44A0" w:rsidP="00A321A9">
      <w:pPr>
        <w:pStyle w:val="IPPNumberedList"/>
        <w:spacing w:after="120"/>
        <w:rPr>
          <w:iCs/>
        </w:rPr>
      </w:pPr>
      <w:r w:rsidRPr="004231C2">
        <w:rPr>
          <w:i/>
          <w:iCs/>
        </w:rPr>
        <w:t xml:space="preserve">Identify </w:t>
      </w:r>
      <w:r w:rsidRPr="004231C2">
        <w:rPr>
          <w:iCs/>
        </w:rPr>
        <w:t>which RPPO will attend the 2018 SC meetings.</w:t>
      </w:r>
    </w:p>
    <w:p w14:paraId="3834FC73" w14:textId="77777777" w:rsidR="003802FF" w:rsidRPr="004231C2" w:rsidRDefault="003802FF">
      <w:pPr>
        <w:spacing w:after="160" w:line="259" w:lineRule="auto"/>
        <w:jc w:val="left"/>
        <w:rPr>
          <w:rFonts w:eastAsia="Times"/>
          <w:iCs/>
          <w:szCs w:val="22"/>
          <w:lang w:val="en-US"/>
        </w:rPr>
      </w:pPr>
      <w:r w:rsidRPr="004231C2">
        <w:rPr>
          <w:iCs/>
          <w:szCs w:val="22"/>
        </w:rPr>
        <w:br w:type="page"/>
      </w:r>
    </w:p>
    <w:p w14:paraId="1DD06A71" w14:textId="209189E6" w:rsidR="00DF44A0" w:rsidRDefault="003802FF" w:rsidP="00D52A0A">
      <w:pPr>
        <w:pStyle w:val="IPPAnnexHead"/>
      </w:pPr>
      <w:r w:rsidRPr="004231C2">
        <w:lastRenderedPageBreak/>
        <w:t>Annex 1: Tentative list of resources that would benefit from translation in FAO languages</w:t>
      </w:r>
    </w:p>
    <w:p w14:paraId="792C8BAA" w14:textId="4EB0AFA2" w:rsidR="004231C2" w:rsidRPr="004231C2" w:rsidRDefault="004231C2" w:rsidP="00D52A0A">
      <w:pPr>
        <w:pStyle w:val="IPPParagraphnumbering"/>
      </w:pPr>
      <w:r>
        <w:t>C</w:t>
      </w:r>
      <w:r w:rsidRPr="004231C2">
        <w:t>urrent Standard setting documents and outreach material that should be translated into all FAO languages for broader distribution</w:t>
      </w:r>
      <w:r>
        <w:t xml:space="preserve"> are listed below. In addition to this list</w:t>
      </w:r>
      <w:r w:rsidRPr="004231C2">
        <w:t xml:space="preserve">, the Standard setting unit may produce other brochures and factsheets in the future (also based on feedback from stakeholders). </w:t>
      </w:r>
    </w:p>
    <w:p w14:paraId="69F62452" w14:textId="3E2A094A" w:rsidR="004231C2" w:rsidRPr="004231C2" w:rsidRDefault="004231C2" w:rsidP="00D52A0A">
      <w:pPr>
        <w:pStyle w:val="IPPParagraphnumbering"/>
      </w:pPr>
      <w:r w:rsidRPr="004231C2">
        <w:t>The mater</w:t>
      </w:r>
      <w:r>
        <w:t>ial provides insights into the S</w:t>
      </w:r>
      <w:r w:rsidRPr="004231C2">
        <w:t>tandard setting work and helps IPPC sta</w:t>
      </w:r>
      <w:r>
        <w:t>keholders engage better in the S</w:t>
      </w:r>
      <w:r w:rsidRPr="004231C2">
        <w:t>tandard setting process by explaining procedures or providing useful guidance. Part of the material advocates for standard setting in a plant health context and explains the benefits of international harmonization. By translating the documents into other languages, the material will be able to be distributed more broadly and used more extensively.</w:t>
      </w:r>
    </w:p>
    <w:p w14:paraId="22DC53BA" w14:textId="77777777" w:rsidR="004231C2" w:rsidRPr="004231C2" w:rsidRDefault="004231C2" w:rsidP="00DF64F7">
      <w:pPr>
        <w:pStyle w:val="IPPHeading2"/>
      </w:pPr>
      <w:r w:rsidRPr="004231C2">
        <w:t>BROCHURES AND FACTSHEETS</w:t>
      </w:r>
    </w:p>
    <w:p w14:paraId="7984DCA9" w14:textId="77777777" w:rsidR="004231C2" w:rsidRPr="004231C2" w:rsidRDefault="004231C2" w:rsidP="00D52A0A">
      <w:pPr>
        <w:pStyle w:val="IPPParagraphnumbering"/>
      </w:pPr>
      <w:r w:rsidRPr="004231C2">
        <w:t xml:space="preserve">Standard setting unit at a glance (updated yearly): </w:t>
      </w:r>
      <w:hyperlink r:id="rId8" w:history="1">
        <w:r w:rsidRPr="004231C2">
          <w:rPr>
            <w:rStyle w:val="Hyperlink"/>
            <w:szCs w:val="22"/>
          </w:rPr>
          <w:t>https://www.ippc.int/static/media/files/publication/en/2017/10/Factsheet_2016-SSU_At_A_Glance_2017-03-14.pdf</w:t>
        </w:r>
      </w:hyperlink>
      <w:r w:rsidRPr="004231C2">
        <w:t xml:space="preserve">  </w:t>
      </w:r>
      <w:r w:rsidRPr="004231C2">
        <w:rPr>
          <w:i/>
          <w:iCs/>
        </w:rPr>
        <w:t>(Currently available only in English.)</w:t>
      </w:r>
    </w:p>
    <w:p w14:paraId="79123448" w14:textId="77777777" w:rsidR="004231C2" w:rsidRPr="004231C2" w:rsidRDefault="004231C2" w:rsidP="004231C2">
      <w:pPr>
        <w:spacing w:afterLines="120" w:after="288"/>
        <w:rPr>
          <w:szCs w:val="22"/>
        </w:rPr>
      </w:pPr>
      <w:r w:rsidRPr="004231C2">
        <w:rPr>
          <w:szCs w:val="22"/>
        </w:rPr>
        <w:t xml:space="preserve">Brochure on Introduction to the Standard setting process: </w:t>
      </w:r>
      <w:hyperlink r:id="rId9" w:history="1">
        <w:r w:rsidRPr="004231C2">
          <w:rPr>
            <w:rStyle w:val="Hyperlink"/>
            <w:szCs w:val="22"/>
          </w:rPr>
          <w:t>https://www.ippc.int/static/media/files/publication/en/2017/07/brochure_introtoippc-ssp.pdf</w:t>
        </w:r>
      </w:hyperlink>
      <w:r w:rsidRPr="004231C2">
        <w:rPr>
          <w:szCs w:val="22"/>
        </w:rPr>
        <w:t xml:space="preserve"> </w:t>
      </w:r>
      <w:r w:rsidRPr="004231C2">
        <w:rPr>
          <w:i/>
          <w:iCs/>
          <w:szCs w:val="22"/>
        </w:rPr>
        <w:t>(Currently available only in English.)</w:t>
      </w:r>
    </w:p>
    <w:p w14:paraId="4A6C95C8" w14:textId="77777777" w:rsidR="004231C2" w:rsidRPr="004231C2" w:rsidRDefault="004231C2" w:rsidP="004231C2">
      <w:pPr>
        <w:spacing w:afterLines="120" w:after="288"/>
        <w:rPr>
          <w:b/>
          <w:bCs/>
          <w:szCs w:val="22"/>
        </w:rPr>
      </w:pPr>
      <w:r w:rsidRPr="004231C2">
        <w:rPr>
          <w:szCs w:val="22"/>
        </w:rPr>
        <w:t>Factsheet on Introduct</w:t>
      </w:r>
      <w:bookmarkStart w:id="0" w:name="_GoBack"/>
      <w:bookmarkEnd w:id="0"/>
      <w:r w:rsidRPr="004231C2">
        <w:rPr>
          <w:szCs w:val="22"/>
        </w:rPr>
        <w:t xml:space="preserve">ion to the Standard setting process: </w:t>
      </w:r>
      <w:hyperlink r:id="rId10" w:history="1">
        <w:r w:rsidRPr="004231C2">
          <w:rPr>
            <w:rStyle w:val="Hyperlink"/>
            <w:szCs w:val="22"/>
          </w:rPr>
          <w:t>https://www.ippc.int/static/media/files/publication/en/2016/12/FactSheets_IntrotoIPPC-SSP_W.pdf</w:t>
        </w:r>
      </w:hyperlink>
      <w:r w:rsidRPr="004231C2">
        <w:rPr>
          <w:szCs w:val="22"/>
        </w:rPr>
        <w:t xml:space="preserve"> </w:t>
      </w:r>
      <w:r w:rsidRPr="004231C2">
        <w:rPr>
          <w:i/>
          <w:iCs/>
          <w:szCs w:val="22"/>
        </w:rPr>
        <w:t>(Currently available only in English.)</w:t>
      </w:r>
    </w:p>
    <w:p w14:paraId="42BAFB96" w14:textId="77777777" w:rsidR="004231C2" w:rsidRPr="004231C2" w:rsidRDefault="004231C2" w:rsidP="004231C2">
      <w:pPr>
        <w:spacing w:afterLines="120" w:after="288"/>
        <w:rPr>
          <w:i/>
          <w:iCs/>
          <w:szCs w:val="22"/>
        </w:rPr>
      </w:pPr>
      <w:r w:rsidRPr="004231C2">
        <w:rPr>
          <w:szCs w:val="22"/>
        </w:rPr>
        <w:t xml:space="preserve">Brochure on Introduction to phytosanitary terminology: </w:t>
      </w:r>
      <w:hyperlink r:id="rId11" w:history="1">
        <w:r w:rsidRPr="004231C2">
          <w:rPr>
            <w:rStyle w:val="Hyperlink"/>
            <w:szCs w:val="22"/>
          </w:rPr>
          <w:t>https://www.ippc.int/static/media/uploads/web_ippc_ispm5_e_170216.pdf</w:t>
        </w:r>
      </w:hyperlink>
      <w:r w:rsidRPr="004231C2">
        <w:rPr>
          <w:szCs w:val="22"/>
        </w:rPr>
        <w:t xml:space="preserve"> </w:t>
      </w:r>
      <w:r w:rsidRPr="004231C2">
        <w:rPr>
          <w:i/>
          <w:iCs/>
          <w:szCs w:val="22"/>
        </w:rPr>
        <w:t>(Currently available in English and Spanish – the latter yet to be published.)</w:t>
      </w:r>
    </w:p>
    <w:p w14:paraId="1A5292D8" w14:textId="77777777" w:rsidR="004231C2" w:rsidRPr="004231C2" w:rsidRDefault="004231C2" w:rsidP="004231C2">
      <w:pPr>
        <w:spacing w:afterLines="120" w:after="288"/>
        <w:rPr>
          <w:szCs w:val="22"/>
        </w:rPr>
      </w:pPr>
      <w:r w:rsidRPr="004231C2">
        <w:rPr>
          <w:szCs w:val="22"/>
        </w:rPr>
        <w:t xml:space="preserve">Factsheet on </w:t>
      </w:r>
      <w:proofErr w:type="spellStart"/>
      <w:r w:rsidRPr="004231C2">
        <w:rPr>
          <w:szCs w:val="22"/>
        </w:rPr>
        <w:t>ePhyto</w:t>
      </w:r>
      <w:proofErr w:type="spellEnd"/>
      <w:r w:rsidRPr="004231C2">
        <w:rPr>
          <w:szCs w:val="22"/>
        </w:rPr>
        <w:t xml:space="preserve">: </w:t>
      </w:r>
      <w:hyperlink r:id="rId12" w:history="1">
        <w:r w:rsidRPr="004231C2">
          <w:rPr>
            <w:rStyle w:val="Hyperlink"/>
            <w:szCs w:val="22"/>
          </w:rPr>
          <w:t>https://www.ippc.int/static/media/files/publication/2017/07/10/factsheet_ePhyto.pdf</w:t>
        </w:r>
      </w:hyperlink>
      <w:r w:rsidRPr="004231C2">
        <w:rPr>
          <w:szCs w:val="22"/>
        </w:rPr>
        <w:t xml:space="preserve"> </w:t>
      </w:r>
      <w:r w:rsidRPr="004231C2">
        <w:rPr>
          <w:i/>
          <w:iCs/>
          <w:szCs w:val="22"/>
        </w:rPr>
        <w:t>(Currently available only in English.)</w:t>
      </w:r>
    </w:p>
    <w:p w14:paraId="3BEE0AFB" w14:textId="6DB31E91" w:rsidR="004231C2" w:rsidRPr="004231C2" w:rsidRDefault="004231C2" w:rsidP="004231C2">
      <w:pPr>
        <w:tabs>
          <w:tab w:val="left" w:pos="2450"/>
        </w:tabs>
        <w:spacing w:afterLines="120" w:after="288"/>
        <w:rPr>
          <w:szCs w:val="22"/>
        </w:rPr>
      </w:pPr>
      <w:r w:rsidRPr="004231C2">
        <w:rPr>
          <w:szCs w:val="22"/>
        </w:rPr>
        <w:t xml:space="preserve">Factsheet on the ISPM on the International movement of grain: </w:t>
      </w:r>
      <w:hyperlink r:id="rId13" w:history="1">
        <w:r w:rsidRPr="004231C2">
          <w:rPr>
            <w:rStyle w:val="Hyperlink"/>
            <w:szCs w:val="22"/>
          </w:rPr>
          <w:t>https://www.ippc.int/static/media/files/publication/2017/07/10/factsheet_IMG.pdf</w:t>
        </w:r>
      </w:hyperlink>
      <w:r w:rsidRPr="004231C2">
        <w:rPr>
          <w:szCs w:val="22"/>
        </w:rPr>
        <w:t xml:space="preserve"> </w:t>
      </w:r>
      <w:r w:rsidRPr="004231C2">
        <w:rPr>
          <w:i/>
          <w:iCs/>
          <w:szCs w:val="22"/>
        </w:rPr>
        <w:t>(Currently available only in English.)</w:t>
      </w:r>
    </w:p>
    <w:p w14:paraId="36280E3C" w14:textId="77777777" w:rsidR="004231C2" w:rsidRPr="004231C2" w:rsidRDefault="004231C2" w:rsidP="00D52A0A">
      <w:pPr>
        <w:pStyle w:val="IPPHeading2"/>
      </w:pPr>
      <w:r w:rsidRPr="004231C2">
        <w:t>EXPLANATORY DOCUMENTS</w:t>
      </w:r>
    </w:p>
    <w:p w14:paraId="39B6DF7A" w14:textId="77777777" w:rsidR="004231C2" w:rsidRPr="004231C2" w:rsidRDefault="004231C2" w:rsidP="00D52A0A">
      <w:pPr>
        <w:pStyle w:val="IPPParagraphnumbering"/>
        <w:rPr>
          <w:szCs w:val="22"/>
        </w:rPr>
      </w:pPr>
      <w:r w:rsidRPr="004231C2">
        <w:rPr>
          <w:color w:val="000000"/>
          <w:szCs w:val="22"/>
        </w:rPr>
        <w:t xml:space="preserve">Explanatory document for ISPM 15 </w:t>
      </w:r>
      <w:r w:rsidRPr="00D52A0A">
        <w:rPr>
          <w:rStyle w:val="IPPNormalunderlined"/>
          <w:i/>
        </w:rPr>
        <w:t>(Regulation of wood packaging material in international trade)</w:t>
      </w:r>
      <w:r w:rsidRPr="00D52A0A">
        <w:rPr>
          <w:rStyle w:val="IPPnormalitalics"/>
        </w:rPr>
        <w:t xml:space="preserve"> (Currently available in English, French and Spanish – the latter yet to be published.)</w:t>
      </w:r>
    </w:p>
    <w:p w14:paraId="37A81055" w14:textId="77777777" w:rsidR="004231C2" w:rsidRPr="00D52A0A" w:rsidRDefault="004231C2" w:rsidP="004231C2">
      <w:pPr>
        <w:spacing w:afterLines="120" w:after="288"/>
        <w:rPr>
          <w:rStyle w:val="IPPnormalitalics"/>
        </w:rPr>
      </w:pPr>
      <w:r w:rsidRPr="004231C2">
        <w:rPr>
          <w:color w:val="000000"/>
          <w:szCs w:val="22"/>
        </w:rPr>
        <w:t xml:space="preserve">Explanatory document for ISPM 17 </w:t>
      </w:r>
      <w:r w:rsidRPr="00D52A0A">
        <w:rPr>
          <w:rStyle w:val="IPPnormalitalics"/>
        </w:rPr>
        <w:t>(Pest reporting). (Currently available only in English.)</w:t>
      </w:r>
    </w:p>
    <w:p w14:paraId="45874B85" w14:textId="77777777" w:rsidR="004231C2" w:rsidRPr="004231C2" w:rsidRDefault="004231C2" w:rsidP="004231C2">
      <w:pPr>
        <w:spacing w:afterLines="120" w:after="288"/>
        <w:rPr>
          <w:szCs w:val="22"/>
        </w:rPr>
      </w:pPr>
      <w:r w:rsidRPr="004231C2">
        <w:rPr>
          <w:color w:val="000000"/>
          <w:szCs w:val="22"/>
        </w:rPr>
        <w:t xml:space="preserve">Explanatory document for ISPM 18 </w:t>
      </w:r>
      <w:r w:rsidRPr="004231C2">
        <w:rPr>
          <w:i/>
          <w:iCs/>
          <w:color w:val="000000"/>
          <w:szCs w:val="22"/>
        </w:rPr>
        <w:t>(Guidelines for the use of irradiation as a phytosanitary measure)</w:t>
      </w:r>
      <w:r w:rsidRPr="004231C2">
        <w:rPr>
          <w:color w:val="000000"/>
          <w:szCs w:val="22"/>
        </w:rPr>
        <w:t xml:space="preserve">. This explanatory document will need to be revised in the future to be aligned with the future revision of the ISPM, currently on the List of topics for IPPC standards. </w:t>
      </w:r>
      <w:r w:rsidRPr="004231C2">
        <w:rPr>
          <w:i/>
          <w:iCs/>
          <w:szCs w:val="22"/>
        </w:rPr>
        <w:t>(Currently available only in English.)</w:t>
      </w:r>
    </w:p>
    <w:p w14:paraId="72690175" w14:textId="77777777" w:rsidR="004231C2" w:rsidRPr="004231C2" w:rsidRDefault="004231C2" w:rsidP="004231C2">
      <w:pPr>
        <w:spacing w:afterLines="120" w:after="288"/>
        <w:rPr>
          <w:szCs w:val="22"/>
        </w:rPr>
      </w:pPr>
      <w:r w:rsidRPr="004231C2">
        <w:rPr>
          <w:color w:val="000000"/>
          <w:szCs w:val="22"/>
        </w:rPr>
        <w:t xml:space="preserve">Explanatory document for ISPM 20 </w:t>
      </w:r>
      <w:r w:rsidRPr="004231C2">
        <w:rPr>
          <w:i/>
          <w:iCs/>
          <w:color w:val="000000"/>
          <w:szCs w:val="22"/>
        </w:rPr>
        <w:t xml:space="preserve">(Guidelines for a phytosanitary import regulatory system). </w:t>
      </w:r>
      <w:r w:rsidRPr="004231C2">
        <w:rPr>
          <w:color w:val="000000"/>
          <w:szCs w:val="22"/>
        </w:rPr>
        <w:t xml:space="preserve">This explanatory document should be revised to be aligned with the revised version of ISPM from 2016). </w:t>
      </w:r>
      <w:r w:rsidRPr="004231C2">
        <w:rPr>
          <w:i/>
          <w:iCs/>
          <w:szCs w:val="22"/>
        </w:rPr>
        <w:t>(Currently available only in English.)</w:t>
      </w:r>
    </w:p>
    <w:p w14:paraId="168443BE" w14:textId="0BA893D8" w:rsidR="004231C2" w:rsidRPr="004231C2" w:rsidRDefault="004231C2" w:rsidP="004231C2">
      <w:pPr>
        <w:spacing w:afterLines="120" w:after="288"/>
        <w:rPr>
          <w:szCs w:val="22"/>
        </w:rPr>
      </w:pPr>
      <w:r w:rsidRPr="004231C2">
        <w:rPr>
          <w:color w:val="000000"/>
          <w:szCs w:val="22"/>
        </w:rPr>
        <w:lastRenderedPageBreak/>
        <w:t xml:space="preserve">Explanatory document for ISPM 31 </w:t>
      </w:r>
      <w:r w:rsidRPr="004231C2">
        <w:rPr>
          <w:i/>
          <w:iCs/>
          <w:color w:val="000000"/>
          <w:szCs w:val="22"/>
        </w:rPr>
        <w:t xml:space="preserve">(Methodologies for sampling of consignments). </w:t>
      </w:r>
      <w:r w:rsidRPr="004231C2">
        <w:rPr>
          <w:i/>
          <w:iCs/>
          <w:szCs w:val="22"/>
        </w:rPr>
        <w:t>(Currently available only in English.)</w:t>
      </w:r>
    </w:p>
    <w:p w14:paraId="6B278FB6" w14:textId="77777777" w:rsidR="004231C2" w:rsidRPr="004231C2" w:rsidRDefault="004231C2" w:rsidP="00D52A0A">
      <w:pPr>
        <w:pStyle w:val="IPPHeading2"/>
      </w:pPr>
      <w:r w:rsidRPr="004231C2">
        <w:t>OTHERS, INCLUDING PROCEDURAL DOCUMENTS OR TRAINING MATERIAL</w:t>
      </w:r>
    </w:p>
    <w:p w14:paraId="67C12217" w14:textId="77777777" w:rsidR="004231C2" w:rsidRPr="004231C2" w:rsidRDefault="004231C2" w:rsidP="00D52A0A">
      <w:pPr>
        <w:pStyle w:val="IPPParagraphnumbering"/>
      </w:pPr>
      <w:r w:rsidRPr="004231C2">
        <w:t xml:space="preserve">Standards Committee Terms of reference and Rules of procedure (updated by the IPPC Secretariat following CPM-11): </w:t>
      </w:r>
      <w:hyperlink r:id="rId14" w:history="1">
        <w:r w:rsidRPr="004231C2">
          <w:rPr>
            <w:rStyle w:val="Hyperlink"/>
            <w:szCs w:val="22"/>
          </w:rPr>
          <w:t>https://www.ippc.int/static/media/files/publication/2017/07/31/TORs_and_ROPs_Standards_Committee_2017-07-31.pdf</w:t>
        </w:r>
      </w:hyperlink>
      <w:r w:rsidRPr="004231C2">
        <w:t xml:space="preserve"> </w:t>
      </w:r>
      <w:r w:rsidRPr="004231C2">
        <w:rPr>
          <w:i/>
          <w:iCs/>
        </w:rPr>
        <w:t>(Currently available in English with all changes but CPM-11 adopted version available in all languages in CPM report.)</w:t>
      </w:r>
    </w:p>
    <w:p w14:paraId="7745B8A0" w14:textId="77777777" w:rsidR="004231C2" w:rsidRPr="004231C2" w:rsidRDefault="004231C2" w:rsidP="004231C2">
      <w:pPr>
        <w:spacing w:afterLines="120" w:after="288"/>
        <w:outlineLvl w:val="0"/>
        <w:rPr>
          <w:szCs w:val="22"/>
        </w:rPr>
      </w:pPr>
      <w:r w:rsidRPr="004231C2">
        <w:rPr>
          <w:szCs w:val="22"/>
        </w:rPr>
        <w:t xml:space="preserve">Standards Committee - Good practices for participation in meetings:  </w:t>
      </w:r>
      <w:hyperlink r:id="rId15" w:history="1">
        <w:r w:rsidRPr="004231C2">
          <w:rPr>
            <w:rStyle w:val="Hyperlink"/>
            <w:szCs w:val="22"/>
          </w:rPr>
          <w:t>https://www.ippc.int/en/publications/82802/</w:t>
        </w:r>
      </w:hyperlink>
      <w:r w:rsidRPr="004231C2">
        <w:rPr>
          <w:szCs w:val="22"/>
        </w:rPr>
        <w:t xml:space="preserve"> </w:t>
      </w:r>
      <w:r w:rsidRPr="004231C2">
        <w:rPr>
          <w:i/>
          <w:iCs/>
          <w:szCs w:val="22"/>
        </w:rPr>
        <w:t>(Currently available only in English.)</w:t>
      </w:r>
    </w:p>
    <w:p w14:paraId="48C8BE06" w14:textId="77777777" w:rsidR="004231C2" w:rsidRPr="004231C2" w:rsidRDefault="004231C2" w:rsidP="004231C2">
      <w:pPr>
        <w:tabs>
          <w:tab w:val="left" w:pos="2450"/>
        </w:tabs>
        <w:spacing w:afterLines="120" w:after="288"/>
        <w:rPr>
          <w:szCs w:val="22"/>
        </w:rPr>
      </w:pPr>
      <w:r w:rsidRPr="004231C2">
        <w:rPr>
          <w:szCs w:val="22"/>
        </w:rPr>
        <w:t xml:space="preserve">OCS, </w:t>
      </w:r>
      <w:proofErr w:type="gramStart"/>
      <w:r w:rsidRPr="004231C2">
        <w:rPr>
          <w:szCs w:val="22"/>
        </w:rPr>
        <w:t>Frequently</w:t>
      </w:r>
      <w:proofErr w:type="gramEnd"/>
      <w:r w:rsidRPr="004231C2">
        <w:rPr>
          <w:szCs w:val="22"/>
        </w:rPr>
        <w:t xml:space="preserve"> asked questions:  </w:t>
      </w:r>
      <w:hyperlink r:id="rId16" w:history="1">
        <w:r w:rsidRPr="004231C2">
          <w:rPr>
            <w:rStyle w:val="Hyperlink"/>
            <w:szCs w:val="22"/>
          </w:rPr>
          <w:t>https://www.ippc.int/en/publications/82623/</w:t>
        </w:r>
      </w:hyperlink>
      <w:r w:rsidRPr="004231C2">
        <w:rPr>
          <w:szCs w:val="22"/>
        </w:rPr>
        <w:t xml:space="preserve"> </w:t>
      </w:r>
      <w:r w:rsidRPr="004231C2">
        <w:rPr>
          <w:i/>
          <w:iCs/>
          <w:szCs w:val="22"/>
        </w:rPr>
        <w:t>(Currently available only in English.)</w:t>
      </w:r>
    </w:p>
    <w:p w14:paraId="582EB53C" w14:textId="77777777" w:rsidR="004231C2" w:rsidRPr="004231C2" w:rsidRDefault="004231C2" w:rsidP="004231C2">
      <w:pPr>
        <w:tabs>
          <w:tab w:val="left" w:pos="2450"/>
        </w:tabs>
        <w:spacing w:afterLines="120" w:after="288"/>
        <w:rPr>
          <w:szCs w:val="22"/>
        </w:rPr>
      </w:pPr>
      <w:r w:rsidRPr="004231C2">
        <w:rPr>
          <w:szCs w:val="22"/>
        </w:rPr>
        <w:t xml:space="preserve">OCS user manual: </w:t>
      </w:r>
      <w:hyperlink r:id="rId17" w:history="1">
        <w:r w:rsidRPr="004231C2">
          <w:rPr>
            <w:rStyle w:val="Hyperlink"/>
            <w:szCs w:val="22"/>
          </w:rPr>
          <w:t>https://www.ippc.int/en/publications/82350/</w:t>
        </w:r>
      </w:hyperlink>
      <w:r w:rsidRPr="004231C2">
        <w:rPr>
          <w:szCs w:val="22"/>
        </w:rPr>
        <w:t xml:space="preserve"> </w:t>
      </w:r>
      <w:r w:rsidRPr="004231C2">
        <w:rPr>
          <w:i/>
          <w:iCs/>
          <w:szCs w:val="22"/>
        </w:rPr>
        <w:t>(Currently available in English, French and Spanish.)</w:t>
      </w:r>
    </w:p>
    <w:p w14:paraId="73DE104A" w14:textId="5D3C7FFC" w:rsidR="004231C2" w:rsidRPr="004231C2" w:rsidRDefault="004231C2" w:rsidP="004231C2">
      <w:pPr>
        <w:tabs>
          <w:tab w:val="left" w:pos="2450"/>
        </w:tabs>
        <w:spacing w:afterLines="120" w:after="288"/>
        <w:rPr>
          <w:i/>
          <w:iCs/>
          <w:szCs w:val="22"/>
        </w:rPr>
      </w:pPr>
      <w:r w:rsidRPr="004231C2">
        <w:rPr>
          <w:szCs w:val="22"/>
        </w:rPr>
        <w:t xml:space="preserve">New OCS short guide: </w:t>
      </w:r>
      <w:hyperlink r:id="rId18" w:history="1">
        <w:r w:rsidRPr="004231C2">
          <w:rPr>
            <w:rStyle w:val="Hyperlink"/>
            <w:szCs w:val="22"/>
          </w:rPr>
          <w:t>https://www.ippc.int/en/publications/84379/</w:t>
        </w:r>
      </w:hyperlink>
      <w:r w:rsidRPr="004231C2">
        <w:rPr>
          <w:szCs w:val="22"/>
        </w:rPr>
        <w:t xml:space="preserve"> </w:t>
      </w:r>
      <w:r w:rsidRPr="004231C2">
        <w:rPr>
          <w:i/>
          <w:iCs/>
          <w:szCs w:val="22"/>
        </w:rPr>
        <w:t>(Currently available only in English.)</w:t>
      </w:r>
    </w:p>
    <w:p w14:paraId="2923D448" w14:textId="77777777" w:rsidR="004231C2" w:rsidRPr="004231C2" w:rsidRDefault="004231C2" w:rsidP="00D52A0A">
      <w:pPr>
        <w:pStyle w:val="IPPHeading2"/>
      </w:pPr>
      <w:r w:rsidRPr="004231C2">
        <w:t>NEWS ITEMS</w:t>
      </w:r>
    </w:p>
    <w:p w14:paraId="5E938920" w14:textId="77777777" w:rsidR="004231C2" w:rsidRPr="004231C2" w:rsidRDefault="004231C2" w:rsidP="00D52A0A">
      <w:pPr>
        <w:pStyle w:val="IPPParagraphnumbering"/>
        <w:rPr>
          <w:b/>
          <w:i/>
        </w:rPr>
      </w:pPr>
      <w:r w:rsidRPr="004231C2">
        <w:rPr>
          <w:color w:val="000000"/>
        </w:rPr>
        <w:t xml:space="preserve">How a “simple” IPPC search tool may help the phytosanitary treatments worldwide: </w:t>
      </w:r>
      <w:r w:rsidRPr="004231C2">
        <w:t xml:space="preserve"> </w:t>
      </w:r>
      <w:hyperlink r:id="rId19" w:history="1">
        <w:r w:rsidRPr="004231C2">
          <w:rPr>
            <w:rStyle w:val="Hyperlink"/>
            <w:szCs w:val="22"/>
          </w:rPr>
          <w:t>https://www.ippc.int/en/news/how-a-simple-ippc-search-tool-may-help-the-phytosanitary-treatments-worldwide/</w:t>
        </w:r>
      </w:hyperlink>
      <w:r w:rsidRPr="004231C2">
        <w:t xml:space="preserve"> </w:t>
      </w:r>
      <w:r w:rsidRPr="004231C2">
        <w:rPr>
          <w:color w:val="000000"/>
        </w:rPr>
        <w:t>(posted in English in October, 2017)</w:t>
      </w:r>
    </w:p>
    <w:p w14:paraId="5D006897" w14:textId="77777777" w:rsidR="004231C2" w:rsidRPr="004231C2" w:rsidRDefault="004231C2" w:rsidP="004231C2">
      <w:pPr>
        <w:pStyle w:val="Heading2"/>
        <w:spacing w:before="0" w:afterLines="120" w:after="288"/>
        <w:rPr>
          <w:rFonts w:ascii="Times New Roman" w:hAnsi="Times New Roman"/>
          <w:b w:val="0"/>
          <w:i w:val="0"/>
          <w:sz w:val="22"/>
          <w:szCs w:val="22"/>
        </w:rPr>
      </w:pPr>
      <w:r w:rsidRPr="004231C2">
        <w:rPr>
          <w:rFonts w:ascii="Times New Roman" w:hAnsi="Times New Roman"/>
          <w:b w:val="0"/>
          <w:i w:val="0"/>
          <w:color w:val="000000"/>
          <w:sz w:val="22"/>
          <w:szCs w:val="22"/>
        </w:rPr>
        <w:t xml:space="preserve">Trading healthy seeds to ensure a healthy future: </w:t>
      </w:r>
      <w:hyperlink r:id="rId20" w:history="1">
        <w:r w:rsidRPr="004231C2">
          <w:rPr>
            <w:rStyle w:val="Hyperlink"/>
            <w:rFonts w:ascii="Times New Roman" w:hAnsi="Times New Roman"/>
            <w:b w:val="0"/>
            <w:i w:val="0"/>
            <w:sz w:val="22"/>
            <w:szCs w:val="22"/>
          </w:rPr>
          <w:t>https://www.ippc.int/en/news/trading-healthy-seeds-to-ensure-a-healthy-future/</w:t>
        </w:r>
      </w:hyperlink>
      <w:r w:rsidRPr="004231C2">
        <w:rPr>
          <w:rFonts w:ascii="Times New Roman" w:hAnsi="Times New Roman"/>
          <w:b w:val="0"/>
          <w:i w:val="0"/>
          <w:sz w:val="22"/>
          <w:szCs w:val="22"/>
        </w:rPr>
        <w:t xml:space="preserve"> (posted in English in March, 2017)</w:t>
      </w:r>
    </w:p>
    <w:p w14:paraId="73B94C22" w14:textId="77777777" w:rsidR="004231C2" w:rsidRPr="004231C2" w:rsidRDefault="004231C2" w:rsidP="004231C2">
      <w:pPr>
        <w:pStyle w:val="Heading2"/>
        <w:spacing w:before="0" w:afterLines="120" w:after="288"/>
        <w:rPr>
          <w:rFonts w:ascii="Times New Roman" w:hAnsi="Times New Roman"/>
          <w:b w:val="0"/>
          <w:i w:val="0"/>
          <w:sz w:val="22"/>
          <w:szCs w:val="22"/>
        </w:rPr>
      </w:pPr>
      <w:r w:rsidRPr="004231C2">
        <w:rPr>
          <w:rFonts w:ascii="Times New Roman" w:hAnsi="Times New Roman"/>
          <w:b w:val="0"/>
          <w:i w:val="0"/>
          <w:color w:val="000000"/>
          <w:sz w:val="22"/>
          <w:szCs w:val="22"/>
        </w:rPr>
        <w:t xml:space="preserve">Focus on the oriental fruit fly’s impact on international trade: </w:t>
      </w:r>
      <w:hyperlink r:id="rId21" w:history="1">
        <w:r w:rsidRPr="004231C2">
          <w:rPr>
            <w:rStyle w:val="Hyperlink"/>
            <w:rFonts w:ascii="Times New Roman" w:hAnsi="Times New Roman"/>
            <w:b w:val="0"/>
            <w:i w:val="0"/>
            <w:sz w:val="22"/>
            <w:szCs w:val="22"/>
          </w:rPr>
          <w:t>https://www.ippc.int/en/news/focus-on-the-oriental-fruit-flys-impact-on-international-trade/</w:t>
        </w:r>
      </w:hyperlink>
      <w:r w:rsidRPr="004231C2">
        <w:rPr>
          <w:rFonts w:ascii="Times New Roman" w:hAnsi="Times New Roman"/>
          <w:b w:val="0"/>
          <w:i w:val="0"/>
          <w:sz w:val="22"/>
          <w:szCs w:val="22"/>
        </w:rPr>
        <w:t xml:space="preserve"> (posted in English in January, 2017)</w:t>
      </w:r>
    </w:p>
    <w:sectPr w:rsidR="004231C2" w:rsidRPr="004231C2" w:rsidSect="000A4518">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0C472" w14:textId="77777777" w:rsidR="00883267" w:rsidRDefault="00883267" w:rsidP="00DC381D">
      <w:r>
        <w:separator/>
      </w:r>
    </w:p>
  </w:endnote>
  <w:endnote w:type="continuationSeparator" w:id="0">
    <w:p w14:paraId="3C7F19AF" w14:textId="77777777" w:rsidR="00883267" w:rsidRDefault="00883267" w:rsidP="00DC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Italic">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C0F61" w14:textId="77193203" w:rsidR="007006CB" w:rsidRDefault="007006CB" w:rsidP="000A4518">
    <w:pPr>
      <w:pStyle w:val="IPPFooter"/>
      <w:tabs>
        <w:tab w:val="clear" w:pos="9072"/>
        <w:tab w:val="right" w:pos="9360"/>
      </w:tabs>
    </w:pPr>
    <w:r w:rsidRPr="00417FB4">
      <w:t xml:space="preserve">Page </w:t>
    </w:r>
    <w:r w:rsidRPr="00417FB4">
      <w:fldChar w:fldCharType="begin"/>
    </w:r>
    <w:r w:rsidRPr="00417FB4">
      <w:instrText xml:space="preserve"> PAGE </w:instrText>
    </w:r>
    <w:r w:rsidRPr="00417FB4">
      <w:fldChar w:fldCharType="separate"/>
    </w:r>
    <w:r w:rsidR="00DF64F7">
      <w:rPr>
        <w:noProof/>
      </w:rPr>
      <w:t>6</w:t>
    </w:r>
    <w:r w:rsidRPr="00417FB4">
      <w:fldChar w:fldCharType="end"/>
    </w:r>
    <w:r w:rsidRPr="00417FB4">
      <w:t xml:space="preserve"> of </w:t>
    </w:r>
    <w:r w:rsidR="00784BA3">
      <w:fldChar w:fldCharType="begin"/>
    </w:r>
    <w:r w:rsidR="00784BA3">
      <w:instrText xml:space="preserve"> NUMPAGES </w:instrText>
    </w:r>
    <w:r w:rsidR="00784BA3">
      <w:fldChar w:fldCharType="separate"/>
    </w:r>
    <w:r w:rsidR="00DF64F7">
      <w:rPr>
        <w:noProof/>
      </w:rPr>
      <w:t>6</w:t>
    </w:r>
    <w:r w:rsidR="00784BA3">
      <w:rPr>
        <w:noProof/>
      </w:rPr>
      <w:fldChar w:fldCharType="end"/>
    </w:r>
    <w:r>
      <w:tab/>
    </w:r>
    <w:r w:rsidRPr="00417FB4">
      <w:t>International Plant Protection Convention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24503" w14:textId="48BBE2C1" w:rsidR="00417FB4" w:rsidRPr="009271B3" w:rsidRDefault="00417FB4" w:rsidP="000A4518">
    <w:pPr>
      <w:pStyle w:val="IPPFooter"/>
      <w:tabs>
        <w:tab w:val="clear" w:pos="9072"/>
        <w:tab w:val="right" w:pos="9360"/>
      </w:tabs>
    </w:pPr>
    <w:r w:rsidRPr="00417FB4">
      <w:t>International Plant Protection Convention</w:t>
    </w:r>
    <w:r w:rsidRPr="00417FB4">
      <w:tab/>
      <w:t xml:space="preserve">Page </w:t>
    </w:r>
    <w:r w:rsidRPr="00417FB4">
      <w:fldChar w:fldCharType="begin"/>
    </w:r>
    <w:r w:rsidRPr="00417FB4">
      <w:instrText xml:space="preserve"> PAGE </w:instrText>
    </w:r>
    <w:r w:rsidRPr="00417FB4">
      <w:fldChar w:fldCharType="separate"/>
    </w:r>
    <w:r w:rsidR="00DF64F7">
      <w:rPr>
        <w:noProof/>
      </w:rPr>
      <w:t>5</w:t>
    </w:r>
    <w:r w:rsidRPr="00417FB4">
      <w:fldChar w:fldCharType="end"/>
    </w:r>
    <w:r w:rsidRPr="00417FB4">
      <w:t xml:space="preserve"> of </w:t>
    </w:r>
    <w:r w:rsidR="00784BA3">
      <w:fldChar w:fldCharType="begin"/>
    </w:r>
    <w:r w:rsidR="00784BA3">
      <w:instrText xml:space="preserve"> NUMPAGES </w:instrText>
    </w:r>
    <w:r w:rsidR="00784BA3">
      <w:fldChar w:fldCharType="separate"/>
    </w:r>
    <w:r w:rsidR="00DF64F7">
      <w:rPr>
        <w:noProof/>
      </w:rPr>
      <w:t>6</w:t>
    </w:r>
    <w:r w:rsidR="00784BA3">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8B9A9" w14:textId="4FB4C125" w:rsidR="007006CB" w:rsidRDefault="007006CB" w:rsidP="000A4518">
    <w:pPr>
      <w:pStyle w:val="IPPFooter"/>
      <w:tabs>
        <w:tab w:val="clear" w:pos="9072"/>
        <w:tab w:val="right" w:pos="9360"/>
      </w:tabs>
    </w:pPr>
    <w:r w:rsidRPr="00417FB4">
      <w:t>International Plant Protection Convention</w:t>
    </w:r>
    <w:r w:rsidRPr="00417FB4">
      <w:tab/>
      <w:t xml:space="preserve">Page </w:t>
    </w:r>
    <w:r w:rsidRPr="00417FB4">
      <w:fldChar w:fldCharType="begin"/>
    </w:r>
    <w:r w:rsidRPr="00417FB4">
      <w:instrText xml:space="preserve"> PAGE </w:instrText>
    </w:r>
    <w:r w:rsidRPr="00417FB4">
      <w:fldChar w:fldCharType="separate"/>
    </w:r>
    <w:r w:rsidR="0000048A">
      <w:rPr>
        <w:noProof/>
      </w:rPr>
      <w:t>1</w:t>
    </w:r>
    <w:r w:rsidRPr="00417FB4">
      <w:fldChar w:fldCharType="end"/>
    </w:r>
    <w:r w:rsidRPr="00417FB4">
      <w:t xml:space="preserve"> of </w:t>
    </w:r>
    <w:r w:rsidR="00784BA3">
      <w:fldChar w:fldCharType="begin"/>
    </w:r>
    <w:r w:rsidR="00784BA3">
      <w:instrText xml:space="preserve"> NUMPAGES </w:instrText>
    </w:r>
    <w:r w:rsidR="00784BA3">
      <w:fldChar w:fldCharType="separate"/>
    </w:r>
    <w:r w:rsidR="0000048A">
      <w:rPr>
        <w:noProof/>
      </w:rPr>
      <w:t>6</w:t>
    </w:r>
    <w:r w:rsidR="00784BA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230F3" w14:textId="77777777" w:rsidR="00883267" w:rsidRDefault="00883267" w:rsidP="00DC381D">
      <w:r>
        <w:separator/>
      </w:r>
    </w:p>
  </w:footnote>
  <w:footnote w:type="continuationSeparator" w:id="0">
    <w:p w14:paraId="25F311DB" w14:textId="77777777" w:rsidR="00883267" w:rsidRDefault="00883267" w:rsidP="00DC381D">
      <w:r>
        <w:continuationSeparator/>
      </w:r>
    </w:p>
  </w:footnote>
  <w:footnote w:id="1">
    <w:p w14:paraId="20E0F837" w14:textId="7594CFFA" w:rsidR="00003861" w:rsidRDefault="00003861">
      <w:pPr>
        <w:pStyle w:val="FootnoteText"/>
      </w:pPr>
      <w:r>
        <w:rPr>
          <w:rStyle w:val="FootnoteReference"/>
        </w:rPr>
        <w:footnoteRef/>
      </w:r>
      <w:r>
        <w:t xml:space="preserve"> CPM-12 Report</w:t>
      </w:r>
      <w:r w:rsidR="00707123">
        <w:t xml:space="preserve"> (Appendix 09):</w:t>
      </w:r>
      <w:r>
        <w:t xml:space="preserve"> </w:t>
      </w:r>
      <w:hyperlink r:id="rId1" w:history="1">
        <w:r w:rsidRPr="00003861">
          <w:rPr>
            <w:rStyle w:val="Hyperlink"/>
          </w:rPr>
          <w:t>https://www.ippc.int/en/publications/84387/</w:t>
        </w:r>
      </w:hyperlink>
    </w:p>
  </w:footnote>
  <w:footnote w:id="2">
    <w:p w14:paraId="4A0E3B3D" w14:textId="77777777" w:rsidR="00CE2255" w:rsidRPr="000A4518" w:rsidRDefault="00CE2255" w:rsidP="00CE2255">
      <w:pPr>
        <w:pStyle w:val="FootnoteText"/>
        <w:rPr>
          <w:lang w:val="en-US"/>
        </w:rPr>
      </w:pPr>
      <w:r>
        <w:rPr>
          <w:rStyle w:val="FootnoteReference"/>
        </w:rPr>
        <w:footnoteRef/>
      </w:r>
      <w:r>
        <w:t xml:space="preserve"> </w:t>
      </w:r>
      <w:r>
        <w:rPr>
          <w:lang w:val="en-US"/>
        </w:rPr>
        <w:t xml:space="preserve">Link to the 2016/2017 Procedure Manual for Standard Setting: </w:t>
      </w:r>
      <w:hyperlink r:id="rId2" w:history="1">
        <w:r w:rsidRPr="002F118A">
          <w:rPr>
            <w:rStyle w:val="Hyperlink"/>
            <w:lang w:val="en-US"/>
          </w:rPr>
          <w:t>https://www.ippc.int/en/publications/82931/</w:t>
        </w:r>
      </w:hyperlink>
      <w:r>
        <w:rPr>
          <w:lang w:val="en-US"/>
        </w:rPr>
        <w:t xml:space="preserve"> </w:t>
      </w:r>
    </w:p>
  </w:footnote>
  <w:footnote w:id="3">
    <w:p w14:paraId="387D4A2D" w14:textId="1A86A065" w:rsidR="00190CA5" w:rsidRPr="000A4518" w:rsidRDefault="00190CA5" w:rsidP="00707123">
      <w:pPr>
        <w:pStyle w:val="IPPFootnote"/>
        <w:tabs>
          <w:tab w:val="clear" w:pos="0"/>
          <w:tab w:val="clear" w:pos="28"/>
        </w:tabs>
        <w:ind w:left="144" w:hanging="144"/>
        <w:jc w:val="left"/>
        <w:rPr>
          <w:lang w:val="en-US"/>
        </w:rPr>
      </w:pPr>
      <w:r>
        <w:rPr>
          <w:rStyle w:val="FootnoteReference"/>
        </w:rPr>
        <w:footnoteRef/>
      </w:r>
      <w:r>
        <w:t xml:space="preserve"> </w:t>
      </w:r>
      <w:r>
        <w:rPr>
          <w:lang w:val="en-US"/>
        </w:rPr>
        <w:t xml:space="preserve">Link to the list of </w:t>
      </w:r>
      <w:r w:rsidR="00B64BCF">
        <w:rPr>
          <w:lang w:val="en-US"/>
        </w:rPr>
        <w:t xml:space="preserve">Chairpersons of </w:t>
      </w:r>
      <w:r>
        <w:rPr>
          <w:lang w:val="en-US"/>
        </w:rPr>
        <w:t>FAO regions</w:t>
      </w:r>
      <w:r w:rsidR="00182EC0">
        <w:rPr>
          <w:lang w:val="en-US"/>
        </w:rPr>
        <w:t xml:space="preserve"> (FAO intranet link)</w:t>
      </w:r>
      <w:r>
        <w:rPr>
          <w:lang w:val="en-US"/>
        </w:rPr>
        <w:t xml:space="preserve">: </w:t>
      </w:r>
      <w:hyperlink r:id="rId3" w:history="1">
        <w:r w:rsidR="00F94D34" w:rsidRPr="00F94D34">
          <w:rPr>
            <w:rStyle w:val="Hyperlink"/>
            <w:lang w:val="en-US"/>
          </w:rPr>
          <w:t>http://intranet.fao.org/fileadmin/user_upload/csc/CSCP/Chairs_and_ViceChairs_22_Sept_2017_.pdf</w:t>
        </w:r>
      </w:hyperlink>
    </w:p>
  </w:footnote>
  <w:footnote w:id="4">
    <w:p w14:paraId="6A6FCD59" w14:textId="77777777" w:rsidR="00613474" w:rsidRDefault="00613474" w:rsidP="00707123">
      <w:pPr>
        <w:pStyle w:val="IPPFootnote"/>
        <w:tabs>
          <w:tab w:val="clear" w:pos="0"/>
          <w:tab w:val="clear" w:pos="28"/>
        </w:tabs>
        <w:ind w:left="144" w:hanging="144"/>
        <w:jc w:val="left"/>
      </w:pPr>
      <w:r>
        <w:rPr>
          <w:rStyle w:val="FootnoteReference"/>
        </w:rPr>
        <w:footnoteRef/>
      </w:r>
      <w:r>
        <w:t xml:space="preserve"> Based on section 2. of the Procedure Manual: IPPC Standard Setting Procedure </w:t>
      </w:r>
    </w:p>
  </w:footnote>
  <w:footnote w:id="5">
    <w:p w14:paraId="49B7F5F4" w14:textId="565E7B06" w:rsidR="00C979C5" w:rsidRPr="000A4518" w:rsidRDefault="00C979C5" w:rsidP="00707123">
      <w:pPr>
        <w:pStyle w:val="IPPFootnote"/>
        <w:tabs>
          <w:tab w:val="clear" w:pos="0"/>
          <w:tab w:val="clear" w:pos="28"/>
        </w:tabs>
        <w:ind w:left="144" w:hanging="144"/>
        <w:jc w:val="left"/>
        <w:rPr>
          <w:lang w:val="en-US"/>
        </w:rPr>
      </w:pPr>
      <w:r>
        <w:rPr>
          <w:rStyle w:val="FootnoteReference"/>
        </w:rPr>
        <w:footnoteRef/>
      </w:r>
      <w:r>
        <w:t xml:space="preserve"> </w:t>
      </w:r>
      <w:r w:rsidR="00C628FE">
        <w:rPr>
          <w:lang w:val="en-US"/>
        </w:rPr>
        <w:t>The c</w:t>
      </w:r>
      <w:r>
        <w:rPr>
          <w:lang w:val="en-US"/>
        </w:rPr>
        <w:t xml:space="preserve">all for </w:t>
      </w:r>
      <w:r w:rsidR="00C628FE">
        <w:rPr>
          <w:lang w:val="en-US"/>
        </w:rPr>
        <w:t>p</w:t>
      </w:r>
      <w:r>
        <w:rPr>
          <w:lang w:val="en-US"/>
        </w:rPr>
        <w:t xml:space="preserve">hytosanitary </w:t>
      </w:r>
      <w:r w:rsidR="00C628FE">
        <w:rPr>
          <w:lang w:val="en-US"/>
        </w:rPr>
        <w:t>t</w:t>
      </w:r>
      <w:r>
        <w:rPr>
          <w:lang w:val="en-US"/>
        </w:rPr>
        <w:t>reatments</w:t>
      </w:r>
      <w:r w:rsidR="00C628FE">
        <w:rPr>
          <w:lang w:val="en-US"/>
        </w:rPr>
        <w:t xml:space="preserve"> is currently open</w:t>
      </w:r>
      <w:r>
        <w:rPr>
          <w:lang w:val="en-US"/>
        </w:rPr>
        <w:t xml:space="preserve">: </w:t>
      </w:r>
      <w:hyperlink r:id="rId4" w:history="1">
        <w:r w:rsidRPr="002F118A">
          <w:rPr>
            <w:rStyle w:val="Hyperlink"/>
            <w:lang w:val="en-US"/>
          </w:rPr>
          <w:t>https://www.ippc.int/en/core-activities/standards-setting/calls-treatments/</w:t>
        </w:r>
      </w:hyperlink>
      <w:r>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15642" w14:textId="73E63643" w:rsidR="0000048A" w:rsidRPr="0000048A" w:rsidRDefault="0000048A" w:rsidP="0000048A">
    <w:pPr>
      <w:pStyle w:val="IPPHeader"/>
    </w:pPr>
    <w:r w:rsidRPr="0000048A">
      <w:t>10_TC-RPPO_2017_Nov</w:t>
    </w:r>
    <w:r w:rsidRPr="0000048A">
      <w:t xml:space="preserve"> </w:t>
    </w:r>
    <w:r>
      <w:tab/>
      <w:t xml:space="preserve">                                                </w:t>
    </w:r>
    <w:r w:rsidRPr="0000048A">
      <w:t>Engagement of RPPOs in the IPPC standard setting process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4785A" w14:textId="7A0FF6CD" w:rsidR="0000048A" w:rsidRDefault="0000048A" w:rsidP="0000048A">
    <w:pPr>
      <w:pStyle w:val="IPPHeader"/>
    </w:pPr>
    <w:r w:rsidRPr="0000048A">
      <w:t>Engagement of RPPOs in the IPPC standard setting process</w:t>
    </w:r>
    <w:r>
      <w:t xml:space="preserve"> </w:t>
    </w:r>
    <w:r>
      <w:tab/>
      <w:t xml:space="preserve">                                                </w:t>
    </w:r>
    <w:r>
      <w:t>10_T</w:t>
    </w:r>
    <w:r w:rsidRPr="00606019">
      <w:t>C</w:t>
    </w:r>
    <w:r>
      <w:t>-RPPO</w:t>
    </w:r>
    <w:r w:rsidRPr="00606019">
      <w:t>_201</w:t>
    </w:r>
    <w:r>
      <w:t>7</w:t>
    </w:r>
    <w:r w:rsidRPr="00606019">
      <w:t>_</w:t>
    </w:r>
    <w:r>
      <w:t>Nov</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43976" w14:textId="7C17B94D" w:rsidR="007006CB" w:rsidRPr="007E205D" w:rsidRDefault="007006CB" w:rsidP="007006CB">
    <w:pPr>
      <w:pStyle w:val="IPPHeader"/>
      <w:spacing w:after="0"/>
    </w:pPr>
    <w:r w:rsidRPr="00094132">
      <w:rPr>
        <w:noProof/>
      </w:rPr>
      <w:drawing>
        <wp:anchor distT="0" distB="0" distL="114300" distR="114300" simplePos="0" relativeHeight="251660288" behindDoc="0" locked="0" layoutInCell="1" allowOverlap="1" wp14:anchorId="1461120A" wp14:editId="0D3DE494">
          <wp:simplePos x="0" y="0"/>
          <wp:positionH relativeFrom="column">
            <wp:posOffset>-895350</wp:posOffset>
          </wp:positionH>
          <wp:positionV relativeFrom="paragraph">
            <wp:posOffset>-523875</wp:posOffset>
          </wp:positionV>
          <wp:extent cx="7734300" cy="458724"/>
          <wp:effectExtent l="0" t="0" r="0" b="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15494" cy="4635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45520F3" wp14:editId="70DDC1F2">
          <wp:simplePos x="0" y="0"/>
          <wp:positionH relativeFrom="margin">
            <wp:posOffset>8890</wp:posOffset>
          </wp:positionH>
          <wp:positionV relativeFrom="margin">
            <wp:posOffset>-529590</wp:posOffset>
          </wp:positionV>
          <wp:extent cx="647065" cy="333375"/>
          <wp:effectExtent l="0" t="0" r="0" b="0"/>
          <wp:wrapSquare wrapText="bothSides"/>
          <wp:docPr id="6" name="Picture 6"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2"/>
                  <a:srcRect/>
                  <a:stretch>
                    <a:fillRect/>
                  </a:stretch>
                </pic:blipFill>
                <pic:spPr bwMode="auto">
                  <a:xfrm>
                    <a:off x="0" y="0"/>
                    <a:ext cx="647065" cy="333375"/>
                  </a:xfrm>
                  <a:prstGeom prst="rect">
                    <a:avLst/>
                  </a:prstGeom>
                  <a:noFill/>
                  <a:ln w="9525">
                    <a:noFill/>
                    <a:miter lim="800000"/>
                    <a:headEnd/>
                    <a:tailEnd/>
                  </a:ln>
                </pic:spPr>
              </pic:pic>
            </a:graphicData>
          </a:graphic>
        </wp:anchor>
      </w:drawing>
    </w:r>
    <w:r w:rsidRPr="00FE6905">
      <w:t xml:space="preserve">International </w:t>
    </w:r>
    <w:r>
      <w:t>P</w:t>
    </w:r>
    <w:r w:rsidRPr="00FE6905">
      <w:t xml:space="preserve">lant </w:t>
    </w:r>
    <w:r>
      <w:t>P</w:t>
    </w:r>
    <w:r w:rsidRPr="00FE6905">
      <w:t xml:space="preserve">rotection </w:t>
    </w:r>
    <w:r>
      <w:t>C</w:t>
    </w:r>
    <w:r w:rsidRPr="00FE6905">
      <w:t xml:space="preserve">onvention </w:t>
    </w:r>
    <w:r w:rsidR="00A321A9">
      <w:tab/>
      <w:t>10</w:t>
    </w:r>
    <w:r>
      <w:t>_T</w:t>
    </w:r>
    <w:r w:rsidRPr="00606019">
      <w:t>C</w:t>
    </w:r>
    <w:r>
      <w:t>-RPPO</w:t>
    </w:r>
    <w:r w:rsidRPr="00606019">
      <w:t>_201</w:t>
    </w:r>
    <w:r>
      <w:t>7</w:t>
    </w:r>
    <w:r w:rsidRPr="00606019">
      <w:t>_</w:t>
    </w:r>
    <w:r>
      <w:t>Nov</w:t>
    </w:r>
  </w:p>
  <w:p w14:paraId="3824BAB3" w14:textId="1224A249" w:rsidR="007006CB" w:rsidRPr="000A4518" w:rsidRDefault="007006CB" w:rsidP="000A4518">
    <w:pPr>
      <w:pStyle w:val="IPPHeader"/>
      <w:rPr>
        <w:i/>
      </w:rPr>
    </w:pPr>
    <w:r>
      <w:rPr>
        <w:i/>
      </w:rPr>
      <w:t>Engagement of RPPOs in the IPPC standard setting process</w:t>
    </w:r>
    <w:r w:rsidRPr="007E205D">
      <w:rPr>
        <w:i/>
      </w:rPr>
      <w:tab/>
      <w:t xml:space="preserve">Agenda item: </w:t>
    </w:r>
    <w:r w:rsidR="00A321A9">
      <w:rPr>
        <w:i/>
      </w:rPr>
      <w:t>7.2.1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2451F27"/>
    <w:multiLevelType w:val="hybridMultilevel"/>
    <w:tmpl w:val="C8142CC8"/>
    <w:lvl w:ilvl="0" w:tplc="B33EE81A">
      <w:start w:val="7"/>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224604F2"/>
    <w:multiLevelType w:val="hybridMultilevel"/>
    <w:tmpl w:val="C30A0D78"/>
    <w:lvl w:ilvl="0" w:tplc="0409000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7"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3A776E5"/>
    <w:multiLevelType w:val="hybridMultilevel"/>
    <w:tmpl w:val="06204EA6"/>
    <w:lvl w:ilvl="0" w:tplc="BA9A44B6">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B55D52"/>
    <w:multiLevelType w:val="hybridMultilevel"/>
    <w:tmpl w:val="C61A7248"/>
    <w:lvl w:ilvl="0" w:tplc="9D5425A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2"/>
  </w:num>
  <w:num w:numId="3">
    <w:abstractNumId w:val="1"/>
  </w:num>
  <w:num w:numId="4">
    <w:abstractNumId w:val="6"/>
  </w:num>
  <w:num w:numId="5">
    <w:abstractNumId w:val="13"/>
  </w:num>
  <w:num w:numId="6">
    <w:abstractNumId w:val="9"/>
  </w:num>
  <w:num w:numId="7">
    <w:abstractNumId w:val="7"/>
  </w:num>
  <w:num w:numId="8">
    <w:abstractNumId w:val="14"/>
  </w:num>
  <w:num w:numId="9">
    <w:abstractNumId w:val="4"/>
  </w:num>
  <w:num w:numId="1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0"/>
  </w:num>
  <w:num w:numId="17">
    <w:abstractNumId w:val="8"/>
  </w:num>
  <w:num w:numId="18">
    <w:abstractNumId w:val="11"/>
  </w:num>
  <w:num w:numId="19">
    <w:abstractNumId w:val="5"/>
  </w:num>
  <w:num w:numId="20">
    <w:abstractNumId w:val="13"/>
  </w:num>
  <w:num w:numId="21">
    <w:abstractNumId w:val="1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3"/>
  </w:num>
  <w:num w:numId="2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AB2"/>
    <w:rsid w:val="0000048A"/>
    <w:rsid w:val="00003861"/>
    <w:rsid w:val="00050FF8"/>
    <w:rsid w:val="00067E06"/>
    <w:rsid w:val="00074E0B"/>
    <w:rsid w:val="000A4518"/>
    <w:rsid w:val="000C12C4"/>
    <w:rsid w:val="000C149A"/>
    <w:rsid w:val="000C4C40"/>
    <w:rsid w:val="000E27AB"/>
    <w:rsid w:val="000E66A2"/>
    <w:rsid w:val="001121E9"/>
    <w:rsid w:val="00131B43"/>
    <w:rsid w:val="00160FE5"/>
    <w:rsid w:val="00165678"/>
    <w:rsid w:val="00182EC0"/>
    <w:rsid w:val="00190CA5"/>
    <w:rsid w:val="0019170A"/>
    <w:rsid w:val="002022BA"/>
    <w:rsid w:val="002241A7"/>
    <w:rsid w:val="00225877"/>
    <w:rsid w:val="0025257E"/>
    <w:rsid w:val="002625DD"/>
    <w:rsid w:val="00293D95"/>
    <w:rsid w:val="00296341"/>
    <w:rsid w:val="002C2088"/>
    <w:rsid w:val="002E4AEE"/>
    <w:rsid w:val="003115EB"/>
    <w:rsid w:val="00313F33"/>
    <w:rsid w:val="00332AF6"/>
    <w:rsid w:val="00336659"/>
    <w:rsid w:val="00340440"/>
    <w:rsid w:val="003418EA"/>
    <w:rsid w:val="003460A3"/>
    <w:rsid w:val="003576D3"/>
    <w:rsid w:val="00364B19"/>
    <w:rsid w:val="003714A8"/>
    <w:rsid w:val="003802FF"/>
    <w:rsid w:val="0038208D"/>
    <w:rsid w:val="00391D75"/>
    <w:rsid w:val="00417FB4"/>
    <w:rsid w:val="004231C2"/>
    <w:rsid w:val="00441231"/>
    <w:rsid w:val="00450683"/>
    <w:rsid w:val="00467017"/>
    <w:rsid w:val="0048078B"/>
    <w:rsid w:val="004855B0"/>
    <w:rsid w:val="004979ED"/>
    <w:rsid w:val="004B5466"/>
    <w:rsid w:val="004B6517"/>
    <w:rsid w:val="004C1919"/>
    <w:rsid w:val="004D5227"/>
    <w:rsid w:val="004E4C3C"/>
    <w:rsid w:val="00511217"/>
    <w:rsid w:val="00524DA1"/>
    <w:rsid w:val="005346DE"/>
    <w:rsid w:val="005564FD"/>
    <w:rsid w:val="00577C09"/>
    <w:rsid w:val="005D1585"/>
    <w:rsid w:val="00613474"/>
    <w:rsid w:val="00627EA2"/>
    <w:rsid w:val="0063261B"/>
    <w:rsid w:val="006413D8"/>
    <w:rsid w:val="006752D7"/>
    <w:rsid w:val="006A09AC"/>
    <w:rsid w:val="006A0A51"/>
    <w:rsid w:val="006D7A40"/>
    <w:rsid w:val="006E26CD"/>
    <w:rsid w:val="006F6739"/>
    <w:rsid w:val="007006CB"/>
    <w:rsid w:val="00707123"/>
    <w:rsid w:val="007235C1"/>
    <w:rsid w:val="0073243C"/>
    <w:rsid w:val="00741E11"/>
    <w:rsid w:val="00751090"/>
    <w:rsid w:val="00774AAC"/>
    <w:rsid w:val="00784477"/>
    <w:rsid w:val="00784BA3"/>
    <w:rsid w:val="00785AB2"/>
    <w:rsid w:val="007965EE"/>
    <w:rsid w:val="007A3BBE"/>
    <w:rsid w:val="00883267"/>
    <w:rsid w:val="008915B5"/>
    <w:rsid w:val="008A59BC"/>
    <w:rsid w:val="008B077D"/>
    <w:rsid w:val="008C5EDC"/>
    <w:rsid w:val="008E3442"/>
    <w:rsid w:val="00912835"/>
    <w:rsid w:val="009271B3"/>
    <w:rsid w:val="0093556C"/>
    <w:rsid w:val="0094107E"/>
    <w:rsid w:val="00946437"/>
    <w:rsid w:val="00961F59"/>
    <w:rsid w:val="009D5B9D"/>
    <w:rsid w:val="00A00668"/>
    <w:rsid w:val="00A07458"/>
    <w:rsid w:val="00A10E44"/>
    <w:rsid w:val="00A321A9"/>
    <w:rsid w:val="00A377C8"/>
    <w:rsid w:val="00A61C82"/>
    <w:rsid w:val="00A675C5"/>
    <w:rsid w:val="00A9110B"/>
    <w:rsid w:val="00AC78B1"/>
    <w:rsid w:val="00AE265D"/>
    <w:rsid w:val="00AE3466"/>
    <w:rsid w:val="00B007CB"/>
    <w:rsid w:val="00B02E0D"/>
    <w:rsid w:val="00B32A17"/>
    <w:rsid w:val="00B408EE"/>
    <w:rsid w:val="00B5079C"/>
    <w:rsid w:val="00B61C8E"/>
    <w:rsid w:val="00B64BCF"/>
    <w:rsid w:val="00B6690C"/>
    <w:rsid w:val="00B923F2"/>
    <w:rsid w:val="00B937BC"/>
    <w:rsid w:val="00BC1B28"/>
    <w:rsid w:val="00BE791E"/>
    <w:rsid w:val="00BF5B1E"/>
    <w:rsid w:val="00C465FB"/>
    <w:rsid w:val="00C5716A"/>
    <w:rsid w:val="00C628FE"/>
    <w:rsid w:val="00C979C5"/>
    <w:rsid w:val="00CC72FF"/>
    <w:rsid w:val="00CE2255"/>
    <w:rsid w:val="00D00FAB"/>
    <w:rsid w:val="00D01C92"/>
    <w:rsid w:val="00D11A40"/>
    <w:rsid w:val="00D216CF"/>
    <w:rsid w:val="00D23320"/>
    <w:rsid w:val="00D250CF"/>
    <w:rsid w:val="00D27D24"/>
    <w:rsid w:val="00D335BA"/>
    <w:rsid w:val="00D3379C"/>
    <w:rsid w:val="00D468E0"/>
    <w:rsid w:val="00D52A0A"/>
    <w:rsid w:val="00D57090"/>
    <w:rsid w:val="00D91157"/>
    <w:rsid w:val="00DC381D"/>
    <w:rsid w:val="00DF44A0"/>
    <w:rsid w:val="00DF64F7"/>
    <w:rsid w:val="00DF7706"/>
    <w:rsid w:val="00E0206F"/>
    <w:rsid w:val="00E250CF"/>
    <w:rsid w:val="00E31A0C"/>
    <w:rsid w:val="00E370F9"/>
    <w:rsid w:val="00E4124F"/>
    <w:rsid w:val="00E72005"/>
    <w:rsid w:val="00E8558F"/>
    <w:rsid w:val="00EA3C6B"/>
    <w:rsid w:val="00EA6252"/>
    <w:rsid w:val="00EC18C0"/>
    <w:rsid w:val="00F01CF6"/>
    <w:rsid w:val="00F152B5"/>
    <w:rsid w:val="00F265F4"/>
    <w:rsid w:val="00F370EF"/>
    <w:rsid w:val="00F51924"/>
    <w:rsid w:val="00F8149C"/>
    <w:rsid w:val="00F94D34"/>
    <w:rsid w:val="00FB68D6"/>
    <w:rsid w:val="00FD6ECE"/>
    <w:rsid w:val="00FE5B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A240D"/>
  <w15:chartTrackingRefBased/>
  <w15:docId w15:val="{981BAD98-6B23-4FED-BD6E-3BD029448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E0D"/>
    <w:pPr>
      <w:spacing w:after="0" w:line="240" w:lineRule="auto"/>
      <w:jc w:val="both"/>
    </w:pPr>
    <w:rPr>
      <w:rFonts w:ascii="Times New Roman" w:eastAsia="MS Mincho" w:hAnsi="Times New Roman" w:cs="Times New Roman"/>
      <w:szCs w:val="24"/>
      <w:lang w:val="en-GB"/>
    </w:rPr>
  </w:style>
  <w:style w:type="paragraph" w:styleId="Heading1">
    <w:name w:val="heading 1"/>
    <w:basedOn w:val="Normal"/>
    <w:next w:val="Normal"/>
    <w:link w:val="Heading1Char"/>
    <w:qFormat/>
    <w:rsid w:val="00B02E0D"/>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B02E0D"/>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B02E0D"/>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B02E0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02E0D"/>
  </w:style>
  <w:style w:type="character" w:customStyle="1" w:styleId="Heading1Char">
    <w:name w:val="Heading 1 Char"/>
    <w:basedOn w:val="DefaultParagraphFont"/>
    <w:link w:val="Heading1"/>
    <w:rsid w:val="00B02E0D"/>
    <w:rPr>
      <w:rFonts w:ascii="Times New Roman" w:eastAsia="MS Mincho" w:hAnsi="Times New Roman" w:cs="Times New Roman"/>
      <w:b/>
      <w:bCs/>
      <w:szCs w:val="24"/>
      <w:lang w:val="en-GB"/>
    </w:rPr>
  </w:style>
  <w:style w:type="character" w:customStyle="1" w:styleId="Heading2Char">
    <w:name w:val="Heading 2 Char"/>
    <w:basedOn w:val="DefaultParagraphFont"/>
    <w:link w:val="Heading2"/>
    <w:rsid w:val="00B02E0D"/>
    <w:rPr>
      <w:rFonts w:ascii="Calibri" w:eastAsia="MS Mincho" w:hAnsi="Calibri" w:cs="Times New Roman"/>
      <w:b/>
      <w:bCs/>
      <w:i/>
      <w:iCs/>
      <w:sz w:val="28"/>
      <w:szCs w:val="28"/>
      <w:lang w:val="en-GB"/>
    </w:rPr>
  </w:style>
  <w:style w:type="character" w:customStyle="1" w:styleId="Heading3Char">
    <w:name w:val="Heading 3 Char"/>
    <w:basedOn w:val="DefaultParagraphFont"/>
    <w:link w:val="Heading3"/>
    <w:rsid w:val="00B02E0D"/>
    <w:rPr>
      <w:rFonts w:ascii="Calibri" w:eastAsia="MS Mincho" w:hAnsi="Calibri" w:cs="Times New Roman"/>
      <w:b/>
      <w:bCs/>
      <w:sz w:val="26"/>
      <w:szCs w:val="26"/>
      <w:lang w:val="en-GB"/>
    </w:rPr>
  </w:style>
  <w:style w:type="paragraph" w:styleId="FootnoteText">
    <w:name w:val="footnote text"/>
    <w:basedOn w:val="Normal"/>
    <w:link w:val="FootnoteTextChar"/>
    <w:semiHidden/>
    <w:rsid w:val="00B02E0D"/>
    <w:pPr>
      <w:spacing w:before="60"/>
    </w:pPr>
    <w:rPr>
      <w:sz w:val="20"/>
    </w:rPr>
  </w:style>
  <w:style w:type="character" w:customStyle="1" w:styleId="FootnoteTextChar">
    <w:name w:val="Footnote Text Char"/>
    <w:basedOn w:val="DefaultParagraphFont"/>
    <w:link w:val="FootnoteText"/>
    <w:semiHidden/>
    <w:rsid w:val="00B02E0D"/>
    <w:rPr>
      <w:rFonts w:ascii="Times New Roman" w:eastAsia="MS Mincho" w:hAnsi="Times New Roman" w:cs="Times New Roman"/>
      <w:sz w:val="20"/>
      <w:szCs w:val="24"/>
      <w:lang w:val="en-GB"/>
    </w:rPr>
  </w:style>
  <w:style w:type="character" w:styleId="FootnoteReference">
    <w:name w:val="footnote reference"/>
    <w:basedOn w:val="DefaultParagraphFont"/>
    <w:semiHidden/>
    <w:rsid w:val="00B02E0D"/>
    <w:rPr>
      <w:vertAlign w:val="superscript"/>
    </w:rPr>
  </w:style>
  <w:style w:type="paragraph" w:customStyle="1" w:styleId="Style">
    <w:name w:val="Style"/>
    <w:basedOn w:val="Footer"/>
    <w:autoRedefine/>
    <w:qFormat/>
    <w:rsid w:val="00B02E0D"/>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styleId="Footer">
    <w:name w:val="footer"/>
    <w:basedOn w:val="Normal"/>
    <w:link w:val="FooterChar"/>
    <w:rsid w:val="00B02E0D"/>
    <w:pPr>
      <w:tabs>
        <w:tab w:val="center" w:pos="4680"/>
        <w:tab w:val="right" w:pos="9360"/>
      </w:tabs>
    </w:pPr>
  </w:style>
  <w:style w:type="character" w:customStyle="1" w:styleId="FooterChar">
    <w:name w:val="Footer Char"/>
    <w:basedOn w:val="DefaultParagraphFont"/>
    <w:link w:val="Footer"/>
    <w:rsid w:val="00B02E0D"/>
    <w:rPr>
      <w:rFonts w:ascii="Times New Roman" w:eastAsia="MS Mincho" w:hAnsi="Times New Roman" w:cs="Times New Roman"/>
      <w:szCs w:val="24"/>
      <w:lang w:val="en-GB"/>
    </w:rPr>
  </w:style>
  <w:style w:type="character" w:styleId="PageNumber">
    <w:name w:val="page number"/>
    <w:rsid w:val="00B02E0D"/>
    <w:rPr>
      <w:rFonts w:ascii="Arial" w:hAnsi="Arial"/>
      <w:b/>
      <w:sz w:val="18"/>
    </w:rPr>
  </w:style>
  <w:style w:type="paragraph" w:customStyle="1" w:styleId="IPPArialFootnote">
    <w:name w:val="IPP Arial Footnote"/>
    <w:basedOn w:val="IPPArialTable"/>
    <w:qFormat/>
    <w:rsid w:val="00B02E0D"/>
    <w:pPr>
      <w:tabs>
        <w:tab w:val="left" w:pos="28"/>
      </w:tabs>
      <w:ind w:left="284" w:hanging="284"/>
    </w:pPr>
    <w:rPr>
      <w:sz w:val="16"/>
    </w:rPr>
  </w:style>
  <w:style w:type="paragraph" w:customStyle="1" w:styleId="IPPContentsHead">
    <w:name w:val="IPP ContentsHead"/>
    <w:basedOn w:val="IPPSubhead"/>
    <w:next w:val="IPPNormal"/>
    <w:qFormat/>
    <w:rsid w:val="00B02E0D"/>
    <w:pPr>
      <w:spacing w:after="240"/>
    </w:pPr>
    <w:rPr>
      <w:sz w:val="24"/>
    </w:rPr>
  </w:style>
  <w:style w:type="table" w:styleId="TableGrid">
    <w:name w:val="Table Grid"/>
    <w:basedOn w:val="TableNormal"/>
    <w:rsid w:val="00B02E0D"/>
    <w:pPr>
      <w:spacing w:after="0" w:line="240" w:lineRule="auto"/>
    </w:pPr>
    <w:rPr>
      <w:rFonts w:ascii="Cambria" w:eastAsia="MS Mincho" w:hAnsi="Cambria"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02E0D"/>
    <w:rPr>
      <w:rFonts w:ascii="Tahoma" w:hAnsi="Tahoma" w:cs="Tahoma"/>
      <w:sz w:val="16"/>
      <w:szCs w:val="16"/>
    </w:rPr>
  </w:style>
  <w:style w:type="character" w:customStyle="1" w:styleId="BalloonTextChar">
    <w:name w:val="Balloon Text Char"/>
    <w:basedOn w:val="DefaultParagraphFont"/>
    <w:link w:val="BalloonText"/>
    <w:rsid w:val="00B02E0D"/>
    <w:rPr>
      <w:rFonts w:ascii="Tahoma" w:eastAsia="MS Mincho" w:hAnsi="Tahoma" w:cs="Tahoma"/>
      <w:sz w:val="16"/>
      <w:szCs w:val="16"/>
      <w:lang w:val="en-GB"/>
    </w:rPr>
  </w:style>
  <w:style w:type="paragraph" w:customStyle="1" w:styleId="IPPBullet2">
    <w:name w:val="IPP Bullet2"/>
    <w:basedOn w:val="IPPNormal"/>
    <w:next w:val="IPPBullet1"/>
    <w:qFormat/>
    <w:rsid w:val="00B02E0D"/>
    <w:pPr>
      <w:numPr>
        <w:numId w:val="5"/>
      </w:numPr>
      <w:tabs>
        <w:tab w:val="left" w:pos="1134"/>
      </w:tabs>
      <w:spacing w:after="60"/>
      <w:ind w:left="1134" w:hanging="567"/>
    </w:pPr>
  </w:style>
  <w:style w:type="paragraph" w:customStyle="1" w:styleId="IPPQuote">
    <w:name w:val="IPP Quote"/>
    <w:basedOn w:val="IPPNormal"/>
    <w:qFormat/>
    <w:rsid w:val="00B02E0D"/>
    <w:pPr>
      <w:ind w:left="851" w:right="851"/>
    </w:pPr>
    <w:rPr>
      <w:sz w:val="18"/>
    </w:rPr>
  </w:style>
  <w:style w:type="paragraph" w:customStyle="1" w:styleId="IPPNormal">
    <w:name w:val="IPP Normal"/>
    <w:basedOn w:val="Normal"/>
    <w:link w:val="IPPNormalChar"/>
    <w:qFormat/>
    <w:rsid w:val="00B02E0D"/>
    <w:pPr>
      <w:spacing w:after="180"/>
    </w:pPr>
    <w:rPr>
      <w:rFonts w:eastAsia="Times"/>
    </w:rPr>
  </w:style>
  <w:style w:type="paragraph" w:customStyle="1" w:styleId="IPPIndentClose">
    <w:name w:val="IPP Indent Close"/>
    <w:basedOn w:val="IPPNormal"/>
    <w:qFormat/>
    <w:rsid w:val="00B02E0D"/>
    <w:pPr>
      <w:tabs>
        <w:tab w:val="left" w:pos="2835"/>
      </w:tabs>
      <w:spacing w:after="60"/>
      <w:ind w:left="567"/>
    </w:pPr>
  </w:style>
  <w:style w:type="paragraph" w:customStyle="1" w:styleId="IPPIndent">
    <w:name w:val="IPP Indent"/>
    <w:basedOn w:val="IPPIndentClose"/>
    <w:qFormat/>
    <w:rsid w:val="00B02E0D"/>
    <w:pPr>
      <w:spacing w:after="180"/>
    </w:pPr>
  </w:style>
  <w:style w:type="paragraph" w:customStyle="1" w:styleId="IPPFootnote">
    <w:name w:val="IPP Footnote"/>
    <w:basedOn w:val="IPPArialFootnote"/>
    <w:qFormat/>
    <w:rsid w:val="00B02E0D"/>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B02E0D"/>
    <w:pPr>
      <w:keepNext/>
      <w:tabs>
        <w:tab w:val="left" w:pos="567"/>
      </w:tabs>
      <w:spacing w:before="120" w:after="120"/>
      <w:ind w:left="567" w:hanging="567"/>
    </w:pPr>
    <w:rPr>
      <w:b/>
      <w:i/>
    </w:rPr>
  </w:style>
  <w:style w:type="character" w:customStyle="1" w:styleId="IPPnormalitalics">
    <w:name w:val="IPP normal italics"/>
    <w:basedOn w:val="DefaultParagraphFont"/>
    <w:rsid w:val="00B02E0D"/>
    <w:rPr>
      <w:rFonts w:ascii="Times New Roman" w:hAnsi="Times New Roman"/>
      <w:i/>
      <w:sz w:val="22"/>
      <w:lang w:val="en-US"/>
    </w:rPr>
  </w:style>
  <w:style w:type="character" w:customStyle="1" w:styleId="IPPNormalbold">
    <w:name w:val="IPP Normal bold"/>
    <w:basedOn w:val="PlainTextChar"/>
    <w:rsid w:val="00B02E0D"/>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B02E0D"/>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B02E0D"/>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B02E0D"/>
    <w:pPr>
      <w:keepNext/>
      <w:ind w:left="567" w:hanging="567"/>
      <w:jc w:val="left"/>
    </w:pPr>
    <w:rPr>
      <w:b/>
      <w:bCs/>
      <w:iCs/>
      <w:szCs w:val="22"/>
    </w:rPr>
  </w:style>
  <w:style w:type="character" w:customStyle="1" w:styleId="IPPNormalunderlined">
    <w:name w:val="IPP Normal underlined"/>
    <w:basedOn w:val="DefaultParagraphFont"/>
    <w:rsid w:val="00B02E0D"/>
    <w:rPr>
      <w:rFonts w:ascii="Times New Roman" w:hAnsi="Times New Roman"/>
      <w:sz w:val="22"/>
      <w:u w:val="single"/>
      <w:lang w:val="en-US"/>
    </w:rPr>
  </w:style>
  <w:style w:type="paragraph" w:customStyle="1" w:styleId="IPPBullet1">
    <w:name w:val="IPP Bullet1"/>
    <w:basedOn w:val="IPPBullet1Last"/>
    <w:link w:val="IPPBullet1Char"/>
    <w:qFormat/>
    <w:rsid w:val="00B02E0D"/>
    <w:pPr>
      <w:numPr>
        <w:numId w:val="18"/>
      </w:numPr>
      <w:spacing w:after="60"/>
      <w:ind w:left="567" w:hanging="567"/>
    </w:pPr>
    <w:rPr>
      <w:lang w:val="en-US"/>
    </w:rPr>
  </w:style>
  <w:style w:type="paragraph" w:customStyle="1" w:styleId="IPPBullet1Last">
    <w:name w:val="IPP Bullet1Last"/>
    <w:basedOn w:val="IPPNormal"/>
    <w:next w:val="IPPNormal"/>
    <w:link w:val="IPPBullet1LastChar"/>
    <w:autoRedefine/>
    <w:qFormat/>
    <w:rsid w:val="00B02E0D"/>
    <w:pPr>
      <w:numPr>
        <w:numId w:val="6"/>
      </w:numPr>
      <w:spacing w:before="120" w:after="120"/>
    </w:pPr>
    <w:rPr>
      <w:szCs w:val="22"/>
    </w:rPr>
  </w:style>
  <w:style w:type="character" w:customStyle="1" w:styleId="IPPNormalstrikethrough">
    <w:name w:val="IPP Normal strikethrough"/>
    <w:rsid w:val="00B02E0D"/>
    <w:rPr>
      <w:rFonts w:ascii="Times New Roman" w:hAnsi="Times New Roman"/>
      <w:strike/>
      <w:dstrike w:val="0"/>
      <w:sz w:val="22"/>
    </w:rPr>
  </w:style>
  <w:style w:type="paragraph" w:customStyle="1" w:styleId="IPPTitle16pt">
    <w:name w:val="IPP Title16pt"/>
    <w:basedOn w:val="Normal"/>
    <w:qFormat/>
    <w:rsid w:val="00B02E0D"/>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B02E0D"/>
    <w:pPr>
      <w:spacing w:after="360"/>
      <w:jc w:val="center"/>
    </w:pPr>
    <w:rPr>
      <w:rFonts w:ascii="Arial" w:hAnsi="Arial" w:cs="Arial"/>
      <w:b/>
      <w:bCs/>
      <w:sz w:val="36"/>
      <w:szCs w:val="36"/>
    </w:rPr>
  </w:style>
  <w:style w:type="paragraph" w:customStyle="1" w:styleId="IPPHeader">
    <w:name w:val="IPP Header"/>
    <w:basedOn w:val="Normal"/>
    <w:qFormat/>
    <w:rsid w:val="00B02E0D"/>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B02E0D"/>
    <w:pPr>
      <w:keepNext/>
      <w:tabs>
        <w:tab w:val="left" w:pos="567"/>
      </w:tabs>
      <w:spacing w:before="120"/>
      <w:jc w:val="left"/>
      <w:outlineLvl w:val="1"/>
    </w:pPr>
    <w:rPr>
      <w:b/>
      <w:sz w:val="24"/>
    </w:rPr>
  </w:style>
  <w:style w:type="numbering" w:customStyle="1" w:styleId="IPPParagraphnumberedlist">
    <w:name w:val="IPP Paragraph numbered list"/>
    <w:rsid w:val="00B02E0D"/>
    <w:pPr>
      <w:numPr>
        <w:numId w:val="4"/>
      </w:numPr>
    </w:pPr>
  </w:style>
  <w:style w:type="paragraph" w:customStyle="1" w:styleId="IPPNormalCloseSpace">
    <w:name w:val="IPP NormalCloseSpace"/>
    <w:basedOn w:val="Normal"/>
    <w:qFormat/>
    <w:rsid w:val="00B02E0D"/>
    <w:pPr>
      <w:keepNext/>
      <w:spacing w:after="60"/>
    </w:pPr>
  </w:style>
  <w:style w:type="paragraph" w:customStyle="1" w:styleId="IPPHeading2">
    <w:name w:val="IPP Heading2"/>
    <w:basedOn w:val="IPPNormal"/>
    <w:next w:val="IPPNormal"/>
    <w:qFormat/>
    <w:rsid w:val="00B02E0D"/>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B02E0D"/>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B02E0D"/>
    <w:pPr>
      <w:tabs>
        <w:tab w:val="right" w:leader="dot" w:pos="9072"/>
      </w:tabs>
      <w:spacing w:before="240"/>
      <w:ind w:left="567" w:hanging="567"/>
    </w:pPr>
  </w:style>
  <w:style w:type="paragraph" w:styleId="TOC2">
    <w:name w:val="toc 2"/>
    <w:basedOn w:val="TOC1"/>
    <w:next w:val="Normal"/>
    <w:autoRedefine/>
    <w:uiPriority w:val="39"/>
    <w:rsid w:val="00B02E0D"/>
    <w:pPr>
      <w:keepNext w:val="0"/>
      <w:tabs>
        <w:tab w:val="left" w:pos="425"/>
      </w:tabs>
      <w:spacing w:before="120" w:after="0"/>
      <w:ind w:left="425" w:right="284" w:hanging="425"/>
    </w:pPr>
  </w:style>
  <w:style w:type="paragraph" w:styleId="TOC3">
    <w:name w:val="toc 3"/>
    <w:basedOn w:val="TOC2"/>
    <w:next w:val="Normal"/>
    <w:autoRedefine/>
    <w:uiPriority w:val="39"/>
    <w:rsid w:val="00B02E0D"/>
    <w:pPr>
      <w:tabs>
        <w:tab w:val="left" w:pos="1276"/>
      </w:tabs>
      <w:spacing w:before="60"/>
      <w:ind w:left="1276" w:hanging="851"/>
    </w:pPr>
    <w:rPr>
      <w:rFonts w:eastAsia="Times"/>
    </w:rPr>
  </w:style>
  <w:style w:type="paragraph" w:styleId="TOC4">
    <w:name w:val="toc 4"/>
    <w:basedOn w:val="Normal"/>
    <w:next w:val="Normal"/>
    <w:autoRedefine/>
    <w:uiPriority w:val="39"/>
    <w:rsid w:val="00B02E0D"/>
    <w:pPr>
      <w:spacing w:after="120"/>
      <w:ind w:left="660"/>
    </w:pPr>
    <w:rPr>
      <w:rFonts w:eastAsia="Times"/>
      <w:lang w:val="en-AU"/>
    </w:rPr>
  </w:style>
  <w:style w:type="paragraph" w:styleId="TOC5">
    <w:name w:val="toc 5"/>
    <w:basedOn w:val="Normal"/>
    <w:next w:val="Normal"/>
    <w:autoRedefine/>
    <w:uiPriority w:val="39"/>
    <w:rsid w:val="00B02E0D"/>
    <w:pPr>
      <w:spacing w:after="120"/>
      <w:ind w:left="880"/>
    </w:pPr>
    <w:rPr>
      <w:rFonts w:eastAsia="Times"/>
      <w:lang w:val="en-AU"/>
    </w:rPr>
  </w:style>
  <w:style w:type="paragraph" w:styleId="TOC6">
    <w:name w:val="toc 6"/>
    <w:basedOn w:val="Normal"/>
    <w:next w:val="Normal"/>
    <w:autoRedefine/>
    <w:uiPriority w:val="39"/>
    <w:rsid w:val="00B02E0D"/>
    <w:pPr>
      <w:spacing w:after="120"/>
      <w:ind w:left="1100"/>
    </w:pPr>
    <w:rPr>
      <w:rFonts w:eastAsia="Times"/>
      <w:lang w:val="en-AU"/>
    </w:rPr>
  </w:style>
  <w:style w:type="paragraph" w:styleId="TOC7">
    <w:name w:val="toc 7"/>
    <w:basedOn w:val="Normal"/>
    <w:next w:val="Normal"/>
    <w:autoRedefine/>
    <w:uiPriority w:val="39"/>
    <w:rsid w:val="00B02E0D"/>
    <w:pPr>
      <w:spacing w:after="120"/>
      <w:ind w:left="1320"/>
    </w:pPr>
    <w:rPr>
      <w:rFonts w:eastAsia="Times"/>
      <w:lang w:val="en-AU"/>
    </w:rPr>
  </w:style>
  <w:style w:type="paragraph" w:styleId="TOC8">
    <w:name w:val="toc 8"/>
    <w:basedOn w:val="Normal"/>
    <w:next w:val="Normal"/>
    <w:autoRedefine/>
    <w:uiPriority w:val="39"/>
    <w:rsid w:val="00B02E0D"/>
    <w:pPr>
      <w:spacing w:after="120"/>
      <w:ind w:left="1540"/>
    </w:pPr>
    <w:rPr>
      <w:rFonts w:eastAsia="Times"/>
      <w:lang w:val="en-AU"/>
    </w:rPr>
  </w:style>
  <w:style w:type="paragraph" w:styleId="TOC9">
    <w:name w:val="toc 9"/>
    <w:basedOn w:val="Normal"/>
    <w:next w:val="Normal"/>
    <w:autoRedefine/>
    <w:uiPriority w:val="39"/>
    <w:rsid w:val="00B02E0D"/>
    <w:pPr>
      <w:spacing w:after="120"/>
      <w:ind w:left="1760"/>
    </w:pPr>
    <w:rPr>
      <w:rFonts w:eastAsia="Times"/>
      <w:lang w:val="en-AU"/>
    </w:rPr>
  </w:style>
  <w:style w:type="paragraph" w:customStyle="1" w:styleId="IPPReferences">
    <w:name w:val="IPP References"/>
    <w:basedOn w:val="IPPNormal"/>
    <w:qFormat/>
    <w:rsid w:val="00B02E0D"/>
    <w:pPr>
      <w:spacing w:after="60"/>
      <w:ind w:left="567" w:hanging="567"/>
    </w:pPr>
  </w:style>
  <w:style w:type="paragraph" w:customStyle="1" w:styleId="IPPArial">
    <w:name w:val="IPP Arial"/>
    <w:basedOn w:val="IPPNormal"/>
    <w:qFormat/>
    <w:rsid w:val="00B02E0D"/>
    <w:pPr>
      <w:spacing w:after="0"/>
    </w:pPr>
    <w:rPr>
      <w:rFonts w:ascii="Arial" w:hAnsi="Arial"/>
      <w:sz w:val="18"/>
    </w:rPr>
  </w:style>
  <w:style w:type="paragraph" w:customStyle="1" w:styleId="IPPArialTable">
    <w:name w:val="IPP Arial Table"/>
    <w:basedOn w:val="IPPArial"/>
    <w:qFormat/>
    <w:rsid w:val="00B02E0D"/>
    <w:pPr>
      <w:spacing w:before="60" w:after="60"/>
      <w:jc w:val="left"/>
    </w:pPr>
  </w:style>
  <w:style w:type="paragraph" w:customStyle="1" w:styleId="IPPHeaderlandscape">
    <w:name w:val="IPP Header landscape"/>
    <w:basedOn w:val="IPPHeader"/>
    <w:qFormat/>
    <w:rsid w:val="00B02E0D"/>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B02E0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B02E0D"/>
    <w:rPr>
      <w:rFonts w:ascii="Courier" w:eastAsia="Times" w:hAnsi="Courier" w:cs="Times New Roman"/>
      <w:sz w:val="21"/>
      <w:szCs w:val="21"/>
      <w:lang w:val="en-AU"/>
    </w:rPr>
  </w:style>
  <w:style w:type="paragraph" w:customStyle="1" w:styleId="IPPLetterList">
    <w:name w:val="IPP LetterList"/>
    <w:basedOn w:val="IPPBullet2"/>
    <w:qFormat/>
    <w:rsid w:val="00B02E0D"/>
    <w:pPr>
      <w:numPr>
        <w:numId w:val="1"/>
      </w:numPr>
      <w:jc w:val="left"/>
    </w:pPr>
  </w:style>
  <w:style w:type="paragraph" w:customStyle="1" w:styleId="IPPLetterListIndent">
    <w:name w:val="IPP LetterList Indent"/>
    <w:basedOn w:val="IPPLetterList"/>
    <w:qFormat/>
    <w:rsid w:val="00B02E0D"/>
    <w:pPr>
      <w:numPr>
        <w:numId w:val="2"/>
      </w:numPr>
    </w:pPr>
  </w:style>
  <w:style w:type="paragraph" w:customStyle="1" w:styleId="IPPFooterLandscape">
    <w:name w:val="IPP Footer Landscape"/>
    <w:basedOn w:val="IPPHeaderlandscape"/>
    <w:qFormat/>
    <w:rsid w:val="00B02E0D"/>
    <w:pPr>
      <w:pBdr>
        <w:top w:val="single" w:sz="4" w:space="1" w:color="auto"/>
        <w:bottom w:val="none" w:sz="0" w:space="0" w:color="auto"/>
      </w:pBdr>
      <w:jc w:val="right"/>
    </w:pPr>
    <w:rPr>
      <w:b/>
    </w:rPr>
  </w:style>
  <w:style w:type="paragraph" w:customStyle="1" w:styleId="IPPSubheadSpace">
    <w:name w:val="IPP Subhead Space"/>
    <w:basedOn w:val="IPPSubhead"/>
    <w:qFormat/>
    <w:rsid w:val="00B02E0D"/>
    <w:pPr>
      <w:tabs>
        <w:tab w:val="left" w:pos="567"/>
      </w:tabs>
      <w:spacing w:before="60" w:after="60"/>
    </w:pPr>
  </w:style>
  <w:style w:type="paragraph" w:customStyle="1" w:styleId="IPPSubheadSpaceAfter">
    <w:name w:val="IPP Subhead SpaceAfter"/>
    <w:basedOn w:val="IPPSubhead"/>
    <w:qFormat/>
    <w:rsid w:val="00B02E0D"/>
    <w:pPr>
      <w:spacing w:after="60"/>
    </w:pPr>
  </w:style>
  <w:style w:type="paragraph" w:customStyle="1" w:styleId="IPPHdg1Num">
    <w:name w:val="IPP Hdg1Num"/>
    <w:basedOn w:val="IPPHeading1"/>
    <w:next w:val="IPPNormal"/>
    <w:qFormat/>
    <w:rsid w:val="00B02E0D"/>
    <w:pPr>
      <w:numPr>
        <w:numId w:val="7"/>
      </w:numPr>
    </w:pPr>
  </w:style>
  <w:style w:type="paragraph" w:customStyle="1" w:styleId="IPPHdg2Num">
    <w:name w:val="IPP Hdg2Num"/>
    <w:basedOn w:val="IPPHeading2"/>
    <w:next w:val="IPPNormal"/>
    <w:qFormat/>
    <w:rsid w:val="00B02E0D"/>
    <w:pPr>
      <w:numPr>
        <w:ilvl w:val="1"/>
        <w:numId w:val="8"/>
      </w:numPr>
    </w:pPr>
  </w:style>
  <w:style w:type="paragraph" w:customStyle="1" w:styleId="IPPNumberedList">
    <w:name w:val="IPP NumberedList"/>
    <w:basedOn w:val="IPPBullet1"/>
    <w:qFormat/>
    <w:rsid w:val="00B02E0D"/>
    <w:pPr>
      <w:numPr>
        <w:numId w:val="16"/>
      </w:numPr>
    </w:pPr>
  </w:style>
  <w:style w:type="paragraph" w:styleId="Header">
    <w:name w:val="header"/>
    <w:basedOn w:val="Normal"/>
    <w:link w:val="HeaderChar"/>
    <w:rsid w:val="00B02E0D"/>
    <w:pPr>
      <w:tabs>
        <w:tab w:val="center" w:pos="4680"/>
        <w:tab w:val="right" w:pos="9360"/>
      </w:tabs>
    </w:pPr>
  </w:style>
  <w:style w:type="character" w:customStyle="1" w:styleId="HeaderChar">
    <w:name w:val="Header Char"/>
    <w:basedOn w:val="DefaultParagraphFont"/>
    <w:link w:val="Header"/>
    <w:rsid w:val="00B02E0D"/>
    <w:rPr>
      <w:rFonts w:ascii="Times New Roman" w:eastAsia="MS Mincho" w:hAnsi="Times New Roman" w:cs="Times New Roman"/>
      <w:szCs w:val="24"/>
      <w:lang w:val="en-GB"/>
    </w:rPr>
  </w:style>
  <w:style w:type="character" w:styleId="Strong">
    <w:name w:val="Strong"/>
    <w:basedOn w:val="DefaultParagraphFont"/>
    <w:qFormat/>
    <w:rsid w:val="00B02E0D"/>
    <w:rPr>
      <w:b/>
      <w:bCs/>
    </w:rPr>
  </w:style>
  <w:style w:type="paragraph" w:styleId="ListParagraph">
    <w:name w:val="List Paragraph"/>
    <w:basedOn w:val="Normal"/>
    <w:uiPriority w:val="34"/>
    <w:qFormat/>
    <w:rsid w:val="00B02E0D"/>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rsid w:val="00B02E0D"/>
    <w:pPr>
      <w:numPr>
        <w:numId w:val="10"/>
      </w:numPr>
    </w:pPr>
    <w:rPr>
      <w:lang w:val="en-US"/>
    </w:rPr>
  </w:style>
  <w:style w:type="paragraph" w:customStyle="1" w:styleId="IPPParagraphnumberingclose">
    <w:name w:val="IPP Paragraph numbering close"/>
    <w:basedOn w:val="IPPParagraphnumbering"/>
    <w:qFormat/>
    <w:rsid w:val="00B02E0D"/>
    <w:pPr>
      <w:keepNext/>
      <w:spacing w:after="60"/>
    </w:pPr>
  </w:style>
  <w:style w:type="paragraph" w:customStyle="1" w:styleId="IPPNumberedListLast">
    <w:name w:val="IPP NumberedListLast"/>
    <w:basedOn w:val="IPPNumberedList"/>
    <w:qFormat/>
    <w:rsid w:val="00B02E0D"/>
    <w:pPr>
      <w:spacing w:after="180"/>
    </w:pPr>
  </w:style>
  <w:style w:type="character" w:styleId="Hyperlink">
    <w:name w:val="Hyperlink"/>
    <w:basedOn w:val="DefaultParagraphFont"/>
    <w:uiPriority w:val="99"/>
    <w:unhideWhenUsed/>
    <w:rsid w:val="006A09AC"/>
    <w:rPr>
      <w:color w:val="0563C1" w:themeColor="hyperlink"/>
      <w:u w:val="single"/>
    </w:rPr>
  </w:style>
  <w:style w:type="character" w:styleId="CommentReference">
    <w:name w:val="annotation reference"/>
    <w:basedOn w:val="DefaultParagraphFont"/>
    <w:uiPriority w:val="99"/>
    <w:semiHidden/>
    <w:unhideWhenUsed/>
    <w:rsid w:val="00160FE5"/>
    <w:rPr>
      <w:sz w:val="16"/>
      <w:szCs w:val="16"/>
    </w:rPr>
  </w:style>
  <w:style w:type="paragraph" w:styleId="CommentText">
    <w:name w:val="annotation text"/>
    <w:basedOn w:val="Normal"/>
    <w:link w:val="CommentTextChar"/>
    <w:uiPriority w:val="99"/>
    <w:semiHidden/>
    <w:unhideWhenUsed/>
    <w:rsid w:val="00160FE5"/>
    <w:rPr>
      <w:sz w:val="20"/>
      <w:szCs w:val="20"/>
    </w:rPr>
  </w:style>
  <w:style w:type="character" w:customStyle="1" w:styleId="CommentTextChar">
    <w:name w:val="Comment Text Char"/>
    <w:basedOn w:val="DefaultParagraphFont"/>
    <w:link w:val="CommentText"/>
    <w:uiPriority w:val="99"/>
    <w:semiHidden/>
    <w:rsid w:val="00160FE5"/>
    <w:rPr>
      <w:rFonts w:ascii="Times New Roman" w:eastAsia="MS Mincho"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60FE5"/>
    <w:rPr>
      <w:b/>
      <w:bCs/>
    </w:rPr>
  </w:style>
  <w:style w:type="character" w:customStyle="1" w:styleId="CommentSubjectChar">
    <w:name w:val="Comment Subject Char"/>
    <w:basedOn w:val="CommentTextChar"/>
    <w:link w:val="CommentSubject"/>
    <w:uiPriority w:val="99"/>
    <w:semiHidden/>
    <w:rsid w:val="00160FE5"/>
    <w:rPr>
      <w:rFonts w:ascii="Times New Roman" w:eastAsia="MS Mincho" w:hAnsi="Times New Roman" w:cs="Times New Roman"/>
      <w:b/>
      <w:bCs/>
      <w:sz w:val="20"/>
      <w:szCs w:val="20"/>
      <w:lang w:val="en-GB"/>
    </w:rPr>
  </w:style>
  <w:style w:type="character" w:styleId="FollowedHyperlink">
    <w:name w:val="FollowedHyperlink"/>
    <w:basedOn w:val="DefaultParagraphFont"/>
    <w:uiPriority w:val="99"/>
    <w:semiHidden/>
    <w:unhideWhenUsed/>
    <w:rsid w:val="00DF7706"/>
    <w:rPr>
      <w:color w:val="954F72" w:themeColor="followedHyperlink"/>
      <w:u w:val="single"/>
    </w:rPr>
  </w:style>
  <w:style w:type="character" w:customStyle="1" w:styleId="IPPNormalChar">
    <w:name w:val="IPP Normal Char"/>
    <w:link w:val="IPPNormal"/>
    <w:rsid w:val="003418EA"/>
    <w:rPr>
      <w:rFonts w:ascii="Times New Roman" w:eastAsia="Times" w:hAnsi="Times New Roman" w:cs="Times New Roman"/>
      <w:szCs w:val="24"/>
      <w:lang w:val="en-GB"/>
    </w:rPr>
  </w:style>
  <w:style w:type="character" w:customStyle="1" w:styleId="IPPBullet1LastChar">
    <w:name w:val="IPP Bullet1Last Char"/>
    <w:basedOn w:val="IPPNormalChar"/>
    <w:link w:val="IPPBullet1Last"/>
    <w:rsid w:val="00B02E0D"/>
    <w:rPr>
      <w:rFonts w:ascii="Times New Roman" w:eastAsia="Times" w:hAnsi="Times New Roman" w:cs="Times New Roman"/>
      <w:szCs w:val="24"/>
      <w:lang w:val="en-GB"/>
    </w:rPr>
  </w:style>
  <w:style w:type="character" w:customStyle="1" w:styleId="IPPBullet1Char">
    <w:name w:val="IPP Bullet1 Char"/>
    <w:link w:val="IPPBullet1"/>
    <w:rsid w:val="003418EA"/>
    <w:rPr>
      <w:rFonts w:ascii="Times New Roman" w:eastAsia="Times" w:hAnsi="Times New Roman" w:cs="Times New Roman"/>
      <w:szCs w:val="24"/>
    </w:rPr>
  </w:style>
  <w:style w:type="paragraph" w:customStyle="1" w:styleId="IPPNormalCloseSpaceBlue">
    <w:name w:val="IPP NormalCloseSpace Blue"/>
    <w:basedOn w:val="IPPNormalCloseSpace"/>
    <w:qFormat/>
    <w:rsid w:val="003418EA"/>
    <w:rPr>
      <w:color w:val="3366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494713">
      <w:bodyDiv w:val="1"/>
      <w:marLeft w:val="0"/>
      <w:marRight w:val="0"/>
      <w:marTop w:val="0"/>
      <w:marBottom w:val="0"/>
      <w:divBdr>
        <w:top w:val="none" w:sz="0" w:space="0" w:color="auto"/>
        <w:left w:val="none" w:sz="0" w:space="0" w:color="auto"/>
        <w:bottom w:val="none" w:sz="0" w:space="0" w:color="auto"/>
        <w:right w:val="none" w:sz="0" w:space="0" w:color="auto"/>
      </w:divBdr>
    </w:div>
    <w:div w:id="205156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static/media/files/publication/en/2017/10/Factsheet_2016-SSU_At_A_Glance_2017-03-14.pdf" TargetMode="External"/><Relationship Id="rId13" Type="http://schemas.openxmlformats.org/officeDocument/2006/relationships/hyperlink" Target="https://www.ippc.int/static/media/files/publication/2017/07/10/factsheet_IMG.pdf" TargetMode="External"/><Relationship Id="rId18" Type="http://schemas.openxmlformats.org/officeDocument/2006/relationships/hyperlink" Target="https://www.ippc.int/en/publications/84379/"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ippc.int/en/news/focus-on-the-oriental-fruit-flys-impact-on-international-trade/" TargetMode="External"/><Relationship Id="rId7" Type="http://schemas.openxmlformats.org/officeDocument/2006/relationships/endnotes" Target="endnotes.xml"/><Relationship Id="rId12" Type="http://schemas.openxmlformats.org/officeDocument/2006/relationships/hyperlink" Target="https://www.ippc.int/static/media/files/publication/2017/07/10/factsheet_ePhyto.pdf" TargetMode="External"/><Relationship Id="rId17" Type="http://schemas.openxmlformats.org/officeDocument/2006/relationships/hyperlink" Target="https://www.ippc.int/en/publications/82350/"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ippc.int/en/publications/82623/" TargetMode="External"/><Relationship Id="rId20" Type="http://schemas.openxmlformats.org/officeDocument/2006/relationships/hyperlink" Target="https://www.ippc.int/en/news/trading-healthy-seeds-to-ensure-a-healthy-futur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pc.int/static/media/uploads/web_ippc_ispm5_e_170216.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ppc.int/en/publications/82802/"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ippc.int/static/media/files/publication/en/2016/12/FactSheets_IntrotoIPPC-SSP_W.pdf" TargetMode="External"/><Relationship Id="rId19" Type="http://schemas.openxmlformats.org/officeDocument/2006/relationships/hyperlink" Target="https://www.ippc.int/en/news/how-a-simple-ippc-search-tool-may-help-the-phytosanitary-treatments-worldwide/" TargetMode="External"/><Relationship Id="rId4" Type="http://schemas.openxmlformats.org/officeDocument/2006/relationships/settings" Target="settings.xml"/><Relationship Id="rId9" Type="http://schemas.openxmlformats.org/officeDocument/2006/relationships/hyperlink" Target="https://www.ippc.int/static/media/files/publication/en/2017/07/brochure_introtoippc-ssp.pdf" TargetMode="External"/><Relationship Id="rId14" Type="http://schemas.openxmlformats.org/officeDocument/2006/relationships/hyperlink" Target="https://www.ippc.int/static/media/files/publication/2017/07/31/TORs_and_ROPs_Standards_Committee_2017-07-31.pdf" TargetMode="External"/><Relationship Id="rId22" Type="http://schemas.openxmlformats.org/officeDocument/2006/relationships/header" Target="header1.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intranet.fao.org/fileadmin/user_upload/csc/CSCP/Chairs_and_ViceChairs_22_Sept_2017_.pdf" TargetMode="External"/><Relationship Id="rId2" Type="http://schemas.openxmlformats.org/officeDocument/2006/relationships/hyperlink" Target="https://www.ippc.int/en/publications/82931/" TargetMode="External"/><Relationship Id="rId1" Type="http://schemas.openxmlformats.org/officeDocument/2006/relationships/hyperlink" Target="https://www.ippc.int/en/publications/84387/" TargetMode="External"/><Relationship Id="rId4" Type="http://schemas.openxmlformats.org/officeDocument/2006/relationships/hyperlink" Target="https://www.ippc.int/en/core-activities/standards-setting/calls-treatments/"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I:\1StdSet\Quality\Style%20Guide%20for%20Standard%20Setting\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E7223-A58D-4364-AF32-3F5D09246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6</TotalTime>
  <Pages>6</Pages>
  <Words>2353</Words>
  <Characters>12476</Characters>
  <Application>Microsoft Office Word</Application>
  <DocSecurity>0</DocSecurity>
  <Lines>415</Lines>
  <Paragraphs>239</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14590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Wlodarczyk, Piotr (AGDI)</dc:creator>
  <cp:keywords/>
  <dc:description/>
  <cp:lastModifiedBy>JimenezTabares, Alejandra (AGDI)</cp:lastModifiedBy>
  <cp:revision>5</cp:revision>
  <cp:lastPrinted>2017-10-03T12:18:00Z</cp:lastPrinted>
  <dcterms:created xsi:type="dcterms:W3CDTF">2017-10-10T15:05:00Z</dcterms:created>
  <dcterms:modified xsi:type="dcterms:W3CDTF">2017-10-10T15:11:00Z</dcterms:modified>
</cp:coreProperties>
</file>