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27" w:rsidRPr="008A426A" w:rsidRDefault="005D5FA8" w:rsidP="005D5FA8">
      <w:pPr>
        <w:pStyle w:val="IPPHeadSection"/>
        <w:tabs>
          <w:tab w:val="left" w:pos="1845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A27" w:rsidRPr="008A426A">
        <w:rPr>
          <w:sz w:val="28"/>
          <w:szCs w:val="28"/>
        </w:rPr>
        <w:t>TC-RPPO</w:t>
      </w:r>
    </w:p>
    <w:p w:rsidR="003A5A27" w:rsidRPr="007D640A" w:rsidRDefault="003A5A27" w:rsidP="003A5A2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30 October – 3 November, 2017</w:t>
      </w:r>
    </w:p>
    <w:p w:rsidR="003A5A27" w:rsidRPr="006954B8" w:rsidRDefault="003A5A27" w:rsidP="003A5A27">
      <w:pPr>
        <w:pStyle w:val="IPPHeadSection"/>
        <w:spacing w:before="0" w:after="0"/>
        <w:jc w:val="center"/>
        <w:rPr>
          <w:rFonts w:eastAsia="MS Mincho"/>
          <w:caps w:val="0"/>
          <w:sz w:val="22"/>
        </w:rPr>
      </w:pPr>
      <w:r w:rsidRPr="006954B8">
        <w:rPr>
          <w:rFonts w:eastAsia="MS Mincho"/>
          <w:caps w:val="0"/>
          <w:sz w:val="22"/>
        </w:rPr>
        <w:t>Paris, France</w:t>
      </w:r>
    </w:p>
    <w:p w:rsidR="0023114E" w:rsidRPr="00E71545" w:rsidRDefault="00504466" w:rsidP="003A5A27">
      <w:pPr>
        <w:pStyle w:val="IPPHeadSection"/>
      </w:pPr>
      <w:r w:rsidRPr="00E71545">
        <w:t xml:space="preserve">Seeking </w:t>
      </w:r>
      <w:bookmarkStart w:id="0" w:name="_GoBack"/>
      <w:bookmarkEnd w:id="0"/>
      <w:r w:rsidRPr="00E71545">
        <w:t>regional input on International Year of Plant Health</w:t>
      </w:r>
    </w:p>
    <w:p w:rsidR="006F363A" w:rsidRPr="006F363A" w:rsidRDefault="006F363A" w:rsidP="003A5A27">
      <w:pPr>
        <w:pStyle w:val="Heading1"/>
        <w:rPr>
          <w:shd w:val="clear" w:color="auto" w:fill="FFFFFF"/>
        </w:rPr>
      </w:pPr>
      <w:r w:rsidRPr="006F363A">
        <w:rPr>
          <w:shd w:val="clear" w:color="auto" w:fill="FFFFFF"/>
        </w:rPr>
        <w:t>IYPH latest developments</w:t>
      </w:r>
    </w:p>
    <w:p w:rsidR="00ED104F" w:rsidRDefault="00ED104F" w:rsidP="003A5A27">
      <w:pPr>
        <w:pStyle w:val="IPPParagraphnumbering"/>
      </w:pPr>
      <w:r>
        <w:t>The</w:t>
      </w:r>
      <w:r w:rsidRPr="00ED104F">
        <w:rPr>
          <w:lang w:val="en-GB"/>
        </w:rPr>
        <w:t xml:space="preserve"> </w:t>
      </w:r>
      <w:r>
        <w:rPr>
          <w:lang w:val="en-GB"/>
        </w:rPr>
        <w:t xml:space="preserve">International Year of Plant Health Steering Committee (IYPH </w:t>
      </w:r>
      <w:proofErr w:type="spellStart"/>
      <w:r>
        <w:rPr>
          <w:lang w:val="en-GB"/>
        </w:rPr>
        <w:t>StC</w:t>
      </w:r>
      <w:proofErr w:type="spellEnd"/>
      <w:r>
        <w:rPr>
          <w:lang w:val="en-GB"/>
        </w:rPr>
        <w:t>)</w:t>
      </w:r>
      <w:r w:rsidR="00FA0EBA">
        <w:rPr>
          <w:lang w:val="en-GB"/>
        </w:rPr>
        <w:t xml:space="preserve"> </w:t>
      </w:r>
      <w:r>
        <w:rPr>
          <w:lang w:val="en-GB"/>
        </w:rPr>
        <w:t xml:space="preserve">convened its second meeting in Incheon, Republic of Korea, on 12-13 April 2017, </w:t>
      </w:r>
      <w:r w:rsidR="00FA0EBA">
        <w:rPr>
          <w:lang w:val="en-GB"/>
        </w:rPr>
        <w:t xml:space="preserve">on </w:t>
      </w:r>
      <w:r>
        <w:rPr>
          <w:lang w:val="en-GB"/>
        </w:rPr>
        <w:t xml:space="preserve">the margins of the </w:t>
      </w:r>
      <w:r w:rsidRPr="00A43B1C">
        <w:t>twelfth Session of the Commission on P</w:t>
      </w:r>
      <w:r>
        <w:t xml:space="preserve">hytosanitary Measures (CPM-12), </w:t>
      </w:r>
      <w:r w:rsidR="00954A20">
        <w:t>which had just adopted</w:t>
      </w:r>
      <w:r>
        <w:t xml:space="preserve"> </w:t>
      </w:r>
      <w:r w:rsidR="00954A20">
        <w:t xml:space="preserve">the </w:t>
      </w:r>
      <w:r w:rsidRPr="00A43B1C">
        <w:t xml:space="preserve">IYPH </w:t>
      </w:r>
      <w:r w:rsidR="00954A20">
        <w:t>outputs and outcomes document</w:t>
      </w:r>
      <w:r w:rsidR="00954A20">
        <w:rPr>
          <w:rStyle w:val="FootnoteReference"/>
        </w:rPr>
        <w:footnoteReference w:id="1"/>
      </w:r>
      <w:r>
        <w:t>.</w:t>
      </w:r>
      <w:r w:rsidRPr="00A43B1C">
        <w:t xml:space="preserve"> </w:t>
      </w:r>
      <w:r w:rsidR="00FA0EBA">
        <w:t>During</w:t>
      </w:r>
      <w:r>
        <w:t xml:space="preserve"> the meeting, members reviewed the action plan arising from the first meeting, planned for the support to be given for the proclamation process at the following FAO Conference, and developed </w:t>
      </w:r>
      <w:r w:rsidR="00D315AE">
        <w:t>an</w:t>
      </w:r>
      <w:r>
        <w:t xml:space="preserve"> IYPH Communications Plan</w:t>
      </w:r>
      <w:r w:rsidR="00954A20">
        <w:rPr>
          <w:rStyle w:val="FootnoteReference"/>
        </w:rPr>
        <w:footnoteReference w:id="2"/>
      </w:r>
      <w:r w:rsidR="00954A20">
        <w:t>.</w:t>
      </w:r>
    </w:p>
    <w:p w:rsidR="00B60270" w:rsidRDefault="00B60270" w:rsidP="003A5A27">
      <w:pPr>
        <w:pStyle w:val="IPPParagraphnumbering"/>
        <w:rPr>
          <w:szCs w:val="22"/>
          <w:lang w:val="en-GB"/>
        </w:rPr>
      </w:pPr>
      <w:r>
        <w:rPr>
          <w:szCs w:val="22"/>
          <w:lang w:val="en-GB"/>
        </w:rPr>
        <w:t xml:space="preserve">The </w:t>
      </w:r>
      <w:r w:rsidRPr="00A43B1C">
        <w:t>40</w:t>
      </w:r>
      <w:r w:rsidRPr="00A43B1C">
        <w:rPr>
          <w:vertAlign w:val="superscript"/>
        </w:rPr>
        <w:t>th</w:t>
      </w:r>
      <w:r w:rsidRPr="00A43B1C">
        <w:t xml:space="preserve"> </w:t>
      </w:r>
      <w:r>
        <w:t xml:space="preserve">Session of the </w:t>
      </w:r>
      <w:r>
        <w:rPr>
          <w:szCs w:val="22"/>
          <w:lang w:val="en-GB"/>
        </w:rPr>
        <w:t>FAO Conference</w:t>
      </w:r>
      <w:r w:rsidR="00FA0EBA">
        <w:rPr>
          <w:szCs w:val="22"/>
          <w:lang w:val="en-GB"/>
        </w:rPr>
        <w:t xml:space="preserve">, </w:t>
      </w:r>
      <w:r w:rsidR="00FA0EBA" w:rsidRPr="0078005E">
        <w:rPr>
          <w:szCs w:val="22"/>
          <w:lang w:val="en-GB"/>
        </w:rPr>
        <w:t xml:space="preserve">held </w:t>
      </w:r>
      <w:r w:rsidR="0078005E">
        <w:rPr>
          <w:szCs w:val="22"/>
          <w:lang w:val="en-GB"/>
        </w:rPr>
        <w:t>3-8 July 2017</w:t>
      </w:r>
      <w:r w:rsidR="00FA0EBA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</w:t>
      </w:r>
      <w:r w:rsidR="00A43375">
        <w:t xml:space="preserve">adopted Resolution 5/2017 on the declaration of the year 2020 as </w:t>
      </w:r>
      <w:r w:rsidR="00FA0EBA">
        <w:t xml:space="preserve">the </w:t>
      </w:r>
      <w:r w:rsidR="00A43375">
        <w:t>International Year of Plant Health.</w:t>
      </w:r>
      <w:r w:rsidR="00A43375">
        <w:rPr>
          <w:rStyle w:val="FootnoteReference"/>
        </w:rPr>
        <w:footnoteReference w:id="3"/>
      </w:r>
      <w:r w:rsidR="00A43375">
        <w:t xml:space="preserve"> </w:t>
      </w:r>
    </w:p>
    <w:p w:rsidR="00ED104F" w:rsidRDefault="00ED104F" w:rsidP="003A5A27">
      <w:pPr>
        <w:pStyle w:val="IPPParagraphnumbering"/>
        <w:rPr>
          <w:lang w:val="en-GB"/>
        </w:rPr>
      </w:pPr>
      <w:r>
        <w:rPr>
          <w:lang w:val="en-GB"/>
        </w:rPr>
        <w:t xml:space="preserve">The third meeting of the IYPH </w:t>
      </w:r>
      <w:proofErr w:type="spellStart"/>
      <w:r>
        <w:rPr>
          <w:lang w:val="en-GB"/>
        </w:rPr>
        <w:t>StC</w:t>
      </w:r>
      <w:proofErr w:type="spellEnd"/>
      <w:r>
        <w:rPr>
          <w:lang w:val="en-GB"/>
        </w:rPr>
        <w:t xml:space="preserve"> will take place at FAO</w:t>
      </w:r>
      <w:r w:rsidR="00FA0EBA">
        <w:rPr>
          <w:lang w:val="en-GB"/>
        </w:rPr>
        <w:t>-</w:t>
      </w:r>
      <w:r>
        <w:rPr>
          <w:lang w:val="en-GB"/>
        </w:rPr>
        <w:t>HQ in Rome from 8 to 10 November 2017. For the first time, a</w:t>
      </w:r>
      <w:r w:rsidR="00FA0EBA">
        <w:rPr>
          <w:lang w:val="en-GB"/>
        </w:rPr>
        <w:t xml:space="preserve">n </w:t>
      </w:r>
      <w:r>
        <w:rPr>
          <w:lang w:val="en-GB"/>
        </w:rPr>
        <w:t>international organization, namely the International Seed Federation, will be invited to attend</w:t>
      </w:r>
      <w:r w:rsidR="00D0088B">
        <w:rPr>
          <w:lang w:val="en-GB"/>
        </w:rPr>
        <w:t xml:space="preserve"> as an observer</w:t>
      </w:r>
      <w:r>
        <w:rPr>
          <w:lang w:val="en-GB"/>
        </w:rPr>
        <w:t xml:space="preserve">. The agenda for the meeting will include follow-up and updates on the IYPH communications plan, discussion of partnership development, and initiation of the IYPH 2020 programme development. </w:t>
      </w:r>
    </w:p>
    <w:p w:rsidR="00B60270" w:rsidRDefault="00B60270" w:rsidP="003A5A27">
      <w:pPr>
        <w:pStyle w:val="IPPParagraphnumbering"/>
      </w:pPr>
      <w:r>
        <w:rPr>
          <w:lang w:val="en-GB"/>
        </w:rPr>
        <w:t>T</w:t>
      </w:r>
      <w:r w:rsidRPr="00A43B1C">
        <w:t xml:space="preserve">he final step towards the IYPH proclamation </w:t>
      </w:r>
      <w:r>
        <w:t>will</w:t>
      </w:r>
      <w:r w:rsidRPr="00A43B1C">
        <w:t xml:space="preserve"> be the </w:t>
      </w:r>
      <w:r>
        <w:t>tabling</w:t>
      </w:r>
      <w:r w:rsidRPr="00A43B1C">
        <w:t xml:space="preserve"> of the IYPH resolution </w:t>
      </w:r>
      <w:r>
        <w:t>to</w:t>
      </w:r>
      <w:r w:rsidRPr="00A43B1C">
        <w:t xml:space="preserve"> the </w:t>
      </w:r>
      <w:r>
        <w:t xml:space="preserve">Second Committee of the </w:t>
      </w:r>
      <w:r w:rsidRPr="00A43B1C">
        <w:t>United Nations General Assembly (UNGA) in September 2018.</w:t>
      </w:r>
      <w:r>
        <w:t xml:space="preserve"> In this context, co-sponsors</w:t>
      </w:r>
      <w:r w:rsidR="00FA0EBA">
        <w:t>,</w:t>
      </w:r>
      <w:r>
        <w:t xml:space="preserve"> </w:t>
      </w:r>
      <w:r w:rsidR="00FA0EBA">
        <w:t xml:space="preserve">particularly from developing countries, </w:t>
      </w:r>
      <w:r>
        <w:t>are needed to support the proposal to be made by Finland.</w:t>
      </w:r>
    </w:p>
    <w:p w:rsidR="001248DE" w:rsidRPr="001248DE" w:rsidRDefault="001248DE" w:rsidP="003A5A27">
      <w:pPr>
        <w:pStyle w:val="IPPHeading1"/>
      </w:pPr>
      <w:r>
        <w:t>Development of a l</w:t>
      </w:r>
      <w:r w:rsidRPr="001248DE">
        <w:t xml:space="preserve">ist of </w:t>
      </w:r>
      <w:r w:rsidR="00A32DC5">
        <w:t xml:space="preserve">IYPH </w:t>
      </w:r>
      <w:r w:rsidRPr="001248DE">
        <w:t>events</w:t>
      </w:r>
      <w:r w:rsidR="00A32DC5">
        <w:t xml:space="preserve"> and activities</w:t>
      </w:r>
    </w:p>
    <w:p w:rsidR="00A0542E" w:rsidRDefault="00C95D5A" w:rsidP="003A5A27">
      <w:pPr>
        <w:pStyle w:val="IPPParagraphnumbering"/>
      </w:pPr>
      <w:r>
        <w:t>A</w:t>
      </w:r>
      <w:r w:rsidR="00A0542E">
        <w:t xml:space="preserve"> series of events has been and will be planned to support the IYPH proclamation</w:t>
      </w:r>
      <w:r w:rsidR="00895857">
        <w:t xml:space="preserve"> process, and more generally to raise awareness on </w:t>
      </w:r>
      <w:r w:rsidR="00A0542E">
        <w:t>the importance of plant health and its links to the United Nations Sustainable Development Agenda for 2030.</w:t>
      </w:r>
    </w:p>
    <w:p w:rsidR="00A0542E" w:rsidRDefault="00FA0EBA" w:rsidP="003A5A27">
      <w:pPr>
        <w:pStyle w:val="IPPParagraphnumbering"/>
        <w:rPr>
          <w:lang w:val="en-GB"/>
        </w:rPr>
      </w:pPr>
      <w:r>
        <w:t>F</w:t>
      </w:r>
      <w:r w:rsidR="00A0542E">
        <w:rPr>
          <w:lang w:val="en-GB"/>
        </w:rPr>
        <w:t xml:space="preserve">or the first time, a side event on Plant Health and Climate Change will be organized at the Conference of the Parties </w:t>
      </w:r>
      <w:r>
        <w:rPr>
          <w:lang w:val="en-GB"/>
        </w:rPr>
        <w:t xml:space="preserve">at the </w:t>
      </w:r>
      <w:r w:rsidR="00A0542E" w:rsidRPr="00A0542E">
        <w:rPr>
          <w:lang w:val="en-GB"/>
        </w:rPr>
        <w:t>UNFCCC</w:t>
      </w:r>
      <w:r w:rsidR="00A0542E">
        <w:rPr>
          <w:lang w:val="en-GB"/>
        </w:rPr>
        <w:t xml:space="preserve"> (COP23)</w:t>
      </w:r>
      <w:r w:rsidR="00C95D5A">
        <w:rPr>
          <w:lang w:val="en-GB"/>
        </w:rPr>
        <w:t xml:space="preserve">. The side event will be held on </w:t>
      </w:r>
      <w:r w:rsidR="00A0542E">
        <w:rPr>
          <w:lang w:val="en-GB"/>
        </w:rPr>
        <w:t>12 November</w:t>
      </w:r>
      <w:r w:rsidR="00C95D5A">
        <w:rPr>
          <w:lang w:val="en-GB"/>
        </w:rPr>
        <w:t xml:space="preserve"> in Bonn with speakers</w:t>
      </w:r>
      <w:r w:rsidR="00A0542E">
        <w:rPr>
          <w:lang w:val="en-GB"/>
        </w:rPr>
        <w:t xml:space="preserve"> from FAO, the IPPC Secretariat, Tonga, Australia, the Secretariat of the Pacific Community, and Finland.</w:t>
      </w:r>
    </w:p>
    <w:p w:rsidR="00C95D5A" w:rsidRDefault="00C95D5A" w:rsidP="003A5A27">
      <w:pPr>
        <w:pStyle w:val="IPPParagraphnumbering"/>
        <w:rPr>
          <w:lang w:val="en-GB"/>
        </w:rPr>
      </w:pPr>
      <w:r>
        <w:rPr>
          <w:lang w:val="en-GB"/>
        </w:rPr>
        <w:t>Th</w:t>
      </w:r>
      <w:r w:rsidR="00895857">
        <w:rPr>
          <w:lang w:val="en-GB"/>
        </w:rPr>
        <w:t xml:space="preserve">e IYPH </w:t>
      </w:r>
      <w:proofErr w:type="spellStart"/>
      <w:r w:rsidR="00895857">
        <w:rPr>
          <w:lang w:val="en-GB"/>
        </w:rPr>
        <w:t>StC</w:t>
      </w:r>
      <w:proofErr w:type="spellEnd"/>
      <w:r w:rsidR="00895857">
        <w:rPr>
          <w:lang w:val="en-GB"/>
        </w:rPr>
        <w:t xml:space="preserve"> is de</w:t>
      </w:r>
      <w:r w:rsidR="00A32DC5">
        <w:rPr>
          <w:lang w:val="en-GB"/>
        </w:rPr>
        <w:t xml:space="preserve">veloping a list of IYPH </w:t>
      </w:r>
      <w:r w:rsidR="00895857">
        <w:rPr>
          <w:lang w:val="en-GB"/>
        </w:rPr>
        <w:t>events</w:t>
      </w:r>
      <w:r w:rsidR="00A32DC5">
        <w:rPr>
          <w:lang w:val="en-GB"/>
        </w:rPr>
        <w:t xml:space="preserve"> and activities</w:t>
      </w:r>
      <w:r>
        <w:rPr>
          <w:lang w:val="en-GB"/>
        </w:rPr>
        <w:t xml:space="preserve"> at the global, regional and national level</w:t>
      </w:r>
      <w:r w:rsidR="00895857">
        <w:rPr>
          <w:lang w:val="en-GB"/>
        </w:rPr>
        <w:t xml:space="preserve">. </w:t>
      </w:r>
      <w:r>
        <w:rPr>
          <w:lang w:val="en-GB"/>
        </w:rPr>
        <w:t xml:space="preserve">The list </w:t>
      </w:r>
      <w:r w:rsidR="00A0542E">
        <w:rPr>
          <w:lang w:val="en-GB"/>
        </w:rPr>
        <w:t xml:space="preserve">will be </w:t>
      </w:r>
      <w:r>
        <w:rPr>
          <w:lang w:val="en-GB"/>
        </w:rPr>
        <w:t xml:space="preserve">a living document, and it will be </w:t>
      </w:r>
      <w:r w:rsidR="00A0542E">
        <w:rPr>
          <w:lang w:val="en-GB"/>
        </w:rPr>
        <w:t>dis</w:t>
      </w:r>
      <w:r w:rsidR="00A0542E" w:rsidRPr="006F363A">
        <w:rPr>
          <w:lang w:val="en-GB"/>
        </w:rPr>
        <w:t>t</w:t>
      </w:r>
      <w:r w:rsidR="00A0542E">
        <w:rPr>
          <w:lang w:val="en-GB"/>
        </w:rPr>
        <w:t>r</w:t>
      </w:r>
      <w:r>
        <w:rPr>
          <w:lang w:val="en-GB"/>
        </w:rPr>
        <w:t>ibuted</w:t>
      </w:r>
      <w:r w:rsidR="00A0542E" w:rsidRPr="006F363A">
        <w:rPr>
          <w:lang w:val="en-GB"/>
        </w:rPr>
        <w:t xml:space="preserve"> to all contracting parties</w:t>
      </w:r>
      <w:r>
        <w:rPr>
          <w:lang w:val="en-GB"/>
        </w:rPr>
        <w:t>, along with a template on h</w:t>
      </w:r>
      <w:r w:rsidR="00A0542E" w:rsidRPr="006F363A">
        <w:rPr>
          <w:lang w:val="en-GB"/>
        </w:rPr>
        <w:t xml:space="preserve">ow to organize those events. </w:t>
      </w:r>
      <w:r>
        <w:rPr>
          <w:lang w:val="en-GB"/>
        </w:rPr>
        <w:t xml:space="preserve">In fact, such </w:t>
      </w:r>
      <w:r w:rsidR="00FA0EBA">
        <w:rPr>
          <w:lang w:val="en-GB"/>
        </w:rPr>
        <w:t xml:space="preserve">a </w:t>
      </w:r>
      <w:r>
        <w:rPr>
          <w:lang w:val="en-GB"/>
        </w:rPr>
        <w:t>list will be instrumental in assessing the IYPH</w:t>
      </w:r>
      <w:r w:rsidR="00F8334E">
        <w:rPr>
          <w:lang w:val="en-GB"/>
        </w:rPr>
        <w:t xml:space="preserve"> success</w:t>
      </w:r>
      <w:r>
        <w:rPr>
          <w:lang w:val="en-GB"/>
        </w:rPr>
        <w:t xml:space="preserve"> after 2020.</w:t>
      </w:r>
    </w:p>
    <w:p w:rsidR="001248DE" w:rsidRPr="001248DE" w:rsidRDefault="00100A53" w:rsidP="003A5A27">
      <w:pPr>
        <w:pStyle w:val="IPPHeading1"/>
      </w:pPr>
      <w:r>
        <w:lastRenderedPageBreak/>
        <w:t>2017 IPPC regional w</w:t>
      </w:r>
      <w:r w:rsidR="001248DE" w:rsidRPr="001248DE">
        <w:t>orkshops feedback</w:t>
      </w:r>
    </w:p>
    <w:p w:rsidR="005E524B" w:rsidRPr="006F363A" w:rsidRDefault="005E524B" w:rsidP="003A5A27">
      <w:pPr>
        <w:pStyle w:val="IPPParagraphnumbering"/>
        <w:rPr>
          <w:rFonts w:eastAsiaTheme="minorHAnsi"/>
          <w:b/>
          <w:bCs/>
          <w:shd w:val="clear" w:color="auto" w:fill="FFFFFF"/>
        </w:rPr>
      </w:pPr>
      <w:r w:rsidRPr="006F363A">
        <w:t>I</w:t>
      </w:r>
      <w:r w:rsidRPr="006F363A">
        <w:rPr>
          <w:lang w:val="en-CA"/>
        </w:rPr>
        <w:t xml:space="preserve">n 2017, seven IPPC regional workshops were organized in </w:t>
      </w:r>
      <w:r w:rsidRPr="006F363A">
        <w:t>Africa, Asia, Latin America, Near East and North Africa, Central and Eastern Europe and Central Asia, Southwest Pacific, and the Caribbean. A total number of 206 participants from 117 countries benefited from the workshops.</w:t>
      </w:r>
    </w:p>
    <w:p w:rsidR="005E524B" w:rsidRDefault="005E524B" w:rsidP="003A5A27">
      <w:pPr>
        <w:pStyle w:val="IPPParagraphnumbering"/>
      </w:pPr>
      <w:r w:rsidRPr="006F363A">
        <w:t>A session was dedicated to update the participants on the latest achievements regarding the IYPH and to gather their inputs and choices for topics of international, regional and national events. The p</w:t>
      </w:r>
      <w:r w:rsidR="001E33B8" w:rsidRPr="006F363A">
        <w:t xml:space="preserve">resentation </w:t>
      </w:r>
      <w:r w:rsidRPr="006F363A">
        <w:t>is available on the IPP</w:t>
      </w:r>
      <w:r w:rsidR="001E33B8" w:rsidRPr="006F363A">
        <w:rPr>
          <w:rStyle w:val="FootnoteReference"/>
          <w:szCs w:val="22"/>
        </w:rPr>
        <w:footnoteReference w:id="4"/>
      </w:r>
      <w:r w:rsidRPr="006F363A">
        <w:t>.</w:t>
      </w:r>
    </w:p>
    <w:p w:rsidR="00100A53" w:rsidRDefault="00100A53" w:rsidP="003A5A27">
      <w:pPr>
        <w:pStyle w:val="IPPParagraphnumbering"/>
      </w:pPr>
      <w:r>
        <w:t>During regional w</w:t>
      </w:r>
      <w:r w:rsidR="001248DE">
        <w:t xml:space="preserve">orkshops, ideas for an </w:t>
      </w:r>
      <w:r w:rsidR="001248DE">
        <w:rPr>
          <w:lang w:val="en-GB"/>
        </w:rPr>
        <w:t>International Plant Health Conference</w:t>
      </w:r>
      <w:r w:rsidR="001248DE">
        <w:t xml:space="preserve"> in 2020 (in addition to a Ministerial-level CPM meeting) were raised. Some of the most recurrent topics included: </w:t>
      </w:r>
    </w:p>
    <w:p w:rsidR="00100A53" w:rsidRDefault="001248DE" w:rsidP="003A5A27">
      <w:pPr>
        <w:pStyle w:val="IPPBullet1"/>
      </w:pPr>
      <w:r>
        <w:t>plant health and food safety;</w:t>
      </w:r>
    </w:p>
    <w:p w:rsidR="00100A53" w:rsidRDefault="001248DE" w:rsidP="003A5A27">
      <w:pPr>
        <w:pStyle w:val="IPPBullet1"/>
      </w:pPr>
      <w:r>
        <w:t xml:space="preserve">plant health and food security; </w:t>
      </w:r>
    </w:p>
    <w:p w:rsidR="00100A53" w:rsidRDefault="001248DE" w:rsidP="003A5A27">
      <w:pPr>
        <w:pStyle w:val="IPPBullet1"/>
      </w:pPr>
      <w:r>
        <w:t xml:space="preserve">plant health and economic development / new technologies; </w:t>
      </w:r>
    </w:p>
    <w:p w:rsidR="00D2260F" w:rsidRDefault="001248DE" w:rsidP="003A5A27">
      <w:pPr>
        <w:pStyle w:val="IPPBullet1"/>
      </w:pPr>
      <w:proofErr w:type="gramStart"/>
      <w:r>
        <w:t>tourism</w:t>
      </w:r>
      <w:proofErr w:type="gramEnd"/>
      <w:r>
        <w:t xml:space="preserve"> and the spread of pests.</w:t>
      </w:r>
    </w:p>
    <w:p w:rsidR="001248DE" w:rsidRDefault="001248DE" w:rsidP="003A5A27">
      <w:pPr>
        <w:pStyle w:val="IPPParagraphnumbering"/>
        <w:rPr>
          <w:lang w:val="en-GB"/>
        </w:rPr>
      </w:pPr>
      <w:r>
        <w:rPr>
          <w:lang w:val="en-GB"/>
        </w:rPr>
        <w:t>Based on the information provided in this paper, RPPOs are requested to:</w:t>
      </w:r>
    </w:p>
    <w:p w:rsidR="001248DE" w:rsidRPr="00A32DC5" w:rsidRDefault="001248DE" w:rsidP="003A5A27">
      <w:pPr>
        <w:pStyle w:val="IPPBullet1"/>
        <w:rPr>
          <w:i/>
        </w:rPr>
      </w:pPr>
      <w:r w:rsidRPr="00A32DC5">
        <w:rPr>
          <w:i/>
        </w:rPr>
        <w:t xml:space="preserve">Reflect </w:t>
      </w:r>
      <w:r w:rsidRPr="00A32DC5">
        <w:t>on the proposed topics for an International Plant Health Conference in 2020.</w:t>
      </w:r>
    </w:p>
    <w:p w:rsidR="001248DE" w:rsidRPr="00A32DC5" w:rsidRDefault="001248DE" w:rsidP="003A5A27">
      <w:pPr>
        <w:pStyle w:val="IPPBullet1"/>
      </w:pPr>
      <w:r w:rsidRPr="00A32DC5">
        <w:rPr>
          <w:i/>
        </w:rPr>
        <w:t xml:space="preserve">Gather additional information </w:t>
      </w:r>
      <w:r w:rsidRPr="00A32DC5">
        <w:t xml:space="preserve">by NPPOs </w:t>
      </w:r>
      <w:r w:rsidR="00A32DC5">
        <w:t xml:space="preserve">or </w:t>
      </w:r>
      <w:r w:rsidR="00A32DC5" w:rsidRPr="00A32DC5">
        <w:rPr>
          <w:i/>
        </w:rPr>
        <w:t>propose</w:t>
      </w:r>
      <w:r w:rsidR="00A32DC5">
        <w:t xml:space="preserve"> additional</w:t>
      </w:r>
      <w:r w:rsidRPr="00A32DC5">
        <w:t xml:space="preserve"> IYPH events and activities.</w:t>
      </w:r>
    </w:p>
    <w:p w:rsidR="001248DE" w:rsidRDefault="001248DE" w:rsidP="003A5A27">
      <w:pPr>
        <w:pStyle w:val="IPPBullet1"/>
      </w:pPr>
      <w:r w:rsidRPr="00A32DC5">
        <w:rPr>
          <w:i/>
        </w:rPr>
        <w:t xml:space="preserve">Share </w:t>
      </w:r>
      <w:r w:rsidRPr="00A32DC5">
        <w:t xml:space="preserve">this information with their regional </w:t>
      </w:r>
      <w:r w:rsidR="00A32DC5" w:rsidRPr="00A32DC5">
        <w:t xml:space="preserve">representatives in the IYPH </w:t>
      </w:r>
      <w:proofErr w:type="spellStart"/>
      <w:r w:rsidR="00A32DC5" w:rsidRPr="00A32DC5">
        <w:t>StC</w:t>
      </w:r>
      <w:proofErr w:type="spellEnd"/>
      <w:r w:rsidR="00A32DC5" w:rsidRPr="00A32DC5">
        <w:t>, to contribute to the list of IYPH events and activities.</w:t>
      </w:r>
    </w:p>
    <w:p w:rsidR="00A32DC5" w:rsidRDefault="00A32DC5" w:rsidP="003A5A27">
      <w:pPr>
        <w:pStyle w:val="IPPBullet1"/>
      </w:pPr>
      <w:r>
        <w:rPr>
          <w:i/>
        </w:rPr>
        <w:t xml:space="preserve">Provide </w:t>
      </w:r>
      <w:r>
        <w:t xml:space="preserve">any additional feedback on the IYPH </w:t>
      </w:r>
      <w:proofErr w:type="spellStart"/>
      <w:r>
        <w:t>programme</w:t>
      </w:r>
      <w:proofErr w:type="spellEnd"/>
      <w:r>
        <w:t xml:space="preserve"> development to the IYPH </w:t>
      </w:r>
      <w:proofErr w:type="spellStart"/>
      <w:r>
        <w:t>StC</w:t>
      </w:r>
      <w:proofErr w:type="spellEnd"/>
      <w:r>
        <w:t>.</w:t>
      </w:r>
    </w:p>
    <w:p w:rsidR="00FA0EBA" w:rsidRPr="00A32DC5" w:rsidRDefault="00FA0EBA" w:rsidP="003A5A27">
      <w:pPr>
        <w:pStyle w:val="IPPBullet1"/>
      </w:pPr>
      <w:r>
        <w:rPr>
          <w:i/>
        </w:rPr>
        <w:t xml:space="preserve">Identify and promote </w:t>
      </w:r>
      <w:r w:rsidRPr="0078005E">
        <w:t>Contracting Parties within regions to co-sponsor the “IYPH resolution to the Second Committee of the United Nations General Assembly (UNGA” in September 2018</w:t>
      </w:r>
    </w:p>
    <w:sectPr w:rsidR="00FA0EBA" w:rsidRPr="00A32DC5" w:rsidSect="003A5A27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7F" w:rsidRDefault="0071517F" w:rsidP="001E33B8">
      <w:r>
        <w:separator/>
      </w:r>
    </w:p>
  </w:endnote>
  <w:endnote w:type="continuationSeparator" w:id="0">
    <w:p w:rsidR="0071517F" w:rsidRDefault="0071517F" w:rsidP="001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658070"/>
      <w:docPartObj>
        <w:docPartGallery w:val="Page Numbers (Bottom of Page)"/>
        <w:docPartUnique/>
      </w:docPartObj>
    </w:sdtPr>
    <w:sdtContent>
      <w:sdt>
        <w:sdtPr>
          <w:id w:val="1642919614"/>
          <w:docPartObj>
            <w:docPartGallery w:val="Page Numbers (Top of Page)"/>
            <w:docPartUnique/>
          </w:docPartObj>
        </w:sdtPr>
        <w:sdtContent>
          <w:p w:rsidR="003A5A27" w:rsidRDefault="003A5A27" w:rsidP="003A5A27">
            <w:pPr>
              <w:pStyle w:val="IPP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5D5FA8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5D5FA8">
                <w:rPr>
                  <w:noProof/>
                </w:rPr>
                <w:t>2</w:t>
              </w:r>
            </w:fldSimple>
            <w:r>
              <w:tab/>
              <w:t xml:space="preserve">                                                                                                 International Plant Protection Convention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8816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A5A27" w:rsidRDefault="003A5A27" w:rsidP="003A5A27">
            <w:pPr>
              <w:pStyle w:val="IPPFooter"/>
            </w:pPr>
            <w:r>
              <w:t>International Plant Protection Convention</w:t>
            </w:r>
            <w:r>
              <w:tab/>
              <w:t xml:space="preserve">                                                                                                 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D5FA8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5D5FA8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7F" w:rsidRDefault="0071517F" w:rsidP="001E33B8">
      <w:r>
        <w:separator/>
      </w:r>
    </w:p>
  </w:footnote>
  <w:footnote w:type="continuationSeparator" w:id="0">
    <w:p w:rsidR="0071517F" w:rsidRDefault="0071517F" w:rsidP="001E33B8">
      <w:r>
        <w:continuationSeparator/>
      </w:r>
    </w:p>
  </w:footnote>
  <w:footnote w:id="1">
    <w:p w:rsidR="00954A20" w:rsidRPr="00954A20" w:rsidRDefault="00954A20" w:rsidP="003A5A27">
      <w:pPr>
        <w:pStyle w:val="IPPFootnote"/>
      </w:pPr>
      <w:r w:rsidRPr="00954A20">
        <w:rPr>
          <w:rStyle w:val="FootnoteReference"/>
        </w:rPr>
        <w:footnoteRef/>
      </w:r>
      <w:r w:rsidR="00D0088B">
        <w:t xml:space="preserve"> </w:t>
      </w:r>
      <w:r w:rsidR="00F8334E">
        <w:t>Adopted</w:t>
      </w:r>
      <w:r w:rsidR="00D0088B">
        <w:t xml:space="preserve"> </w:t>
      </w:r>
      <w:r w:rsidR="00D0088B" w:rsidRPr="00D0088B">
        <w:t>Out</w:t>
      </w:r>
      <w:r w:rsidR="00D0088B">
        <w:t xml:space="preserve">puts and Outcomes of the IYPH, </w:t>
      </w:r>
      <w:r w:rsidRPr="00954A20">
        <w:t>Appendix 13 of CPM-12 (2017) Report</w:t>
      </w:r>
      <w:r w:rsidR="00D0088B">
        <w:t xml:space="preserve"> (p. 89)</w:t>
      </w:r>
      <w:r w:rsidRPr="00954A20">
        <w:t xml:space="preserve">: </w:t>
      </w:r>
      <w:hyperlink r:id="rId1" w:history="1">
        <w:r w:rsidRPr="00954A20">
          <w:rPr>
            <w:rStyle w:val="Hyperlink"/>
          </w:rPr>
          <w:t>https://www.ippc.int/static/media/files/publication/en/2017/05/CPM-12_Report-2017-05-30_withISPMs.pdf</w:t>
        </w:r>
      </w:hyperlink>
      <w:r w:rsidRPr="00954A20">
        <w:t xml:space="preserve"> </w:t>
      </w:r>
    </w:p>
  </w:footnote>
  <w:footnote w:id="2">
    <w:p w:rsidR="00954A20" w:rsidRPr="00A43375" w:rsidRDefault="00954A20">
      <w:pPr>
        <w:pStyle w:val="FootnoteText"/>
      </w:pPr>
      <w:r w:rsidRPr="00954A20">
        <w:rPr>
          <w:rStyle w:val="FootnoteReference"/>
        </w:rPr>
        <w:footnoteRef/>
      </w:r>
      <w:r w:rsidRPr="00954A20">
        <w:t xml:space="preserve"> IYPH </w:t>
      </w:r>
      <w:r w:rsidRPr="00A43375">
        <w:t xml:space="preserve">Communications Plan, Annex 3 to IYPH </w:t>
      </w:r>
      <w:proofErr w:type="spellStart"/>
      <w:r w:rsidRPr="00A43375">
        <w:t>StC</w:t>
      </w:r>
      <w:proofErr w:type="spellEnd"/>
      <w:r w:rsidRPr="00A43375">
        <w:t xml:space="preserve"> Report</w:t>
      </w:r>
      <w:r w:rsidR="00D0088B" w:rsidRPr="00A43375">
        <w:t xml:space="preserve"> (pp. 17-25)</w:t>
      </w:r>
      <w:r w:rsidRPr="00A43375">
        <w:t xml:space="preserve">, to be considered as a living document: </w:t>
      </w:r>
      <w:hyperlink r:id="rId2" w:history="1">
        <w:r w:rsidR="00D0088B" w:rsidRPr="00A43375">
          <w:rPr>
            <w:rStyle w:val="Hyperlink"/>
          </w:rPr>
          <w:t>https://www.ippc.int/static/media/uploads/iyph/2017/06/30/Report_for_the_2nd_IYPH-StC_Meeting-2017-05-10.pdf</w:t>
        </w:r>
      </w:hyperlink>
      <w:r w:rsidR="00D0088B" w:rsidRPr="00A43375">
        <w:t xml:space="preserve"> </w:t>
      </w:r>
    </w:p>
  </w:footnote>
  <w:footnote w:id="3">
    <w:p w:rsidR="00A43375" w:rsidRPr="00A43375" w:rsidRDefault="00A43375">
      <w:pPr>
        <w:pStyle w:val="FootnoteText"/>
      </w:pPr>
      <w:r w:rsidRPr="00A43375">
        <w:rPr>
          <w:rStyle w:val="FootnoteReference"/>
        </w:rPr>
        <w:footnoteRef/>
      </w:r>
      <w:r>
        <w:t xml:space="preserve"> Report of the 40</w:t>
      </w:r>
      <w:r w:rsidRPr="00A43375">
        <w:rPr>
          <w:vertAlign w:val="superscript"/>
        </w:rPr>
        <w:t>th</w:t>
      </w:r>
      <w:r>
        <w:t xml:space="preserve"> Session of </w:t>
      </w:r>
      <w:r w:rsidR="00972EBA">
        <w:t>the FAO Conference (</w:t>
      </w:r>
      <w:r w:rsidR="00F8334E" w:rsidRPr="00A43375">
        <w:t>Appendix F</w:t>
      </w:r>
      <w:r w:rsidR="00F8334E">
        <w:t>, p. 51</w:t>
      </w:r>
      <w:r w:rsidR="00972EBA">
        <w:t>)</w:t>
      </w:r>
      <w:r>
        <w:t xml:space="preserve">: </w:t>
      </w:r>
      <w:hyperlink r:id="rId3" w:history="1">
        <w:r w:rsidRPr="00CC26AA">
          <w:rPr>
            <w:rStyle w:val="Hyperlink"/>
          </w:rPr>
          <w:t>http://www.fao.org/3/a-mu208e.pdf</w:t>
        </w:r>
      </w:hyperlink>
      <w:r>
        <w:t xml:space="preserve"> </w:t>
      </w:r>
    </w:p>
  </w:footnote>
  <w:footnote w:id="4">
    <w:p w:rsidR="001E33B8" w:rsidRPr="001E33B8" w:rsidRDefault="001E33B8" w:rsidP="003A5A27">
      <w:pPr>
        <w:pStyle w:val="IPPFootnote"/>
      </w:pPr>
      <w:r w:rsidRPr="001E33B8">
        <w:rPr>
          <w:rStyle w:val="FootnoteReference"/>
        </w:rPr>
        <w:footnoteRef/>
      </w:r>
      <w:r w:rsidRPr="001E33B8">
        <w:t xml:space="preserve"> 2017 IPPC regional workshop presentation “The Internatio</w:t>
      </w:r>
      <w:r w:rsidR="001248DE">
        <w:t>nal Year of Plant Health (IYPH)”</w:t>
      </w:r>
      <w:r w:rsidRPr="001E33B8">
        <w:t xml:space="preserve"> </w:t>
      </w:r>
      <w:hyperlink r:id="rId4" w:history="1">
        <w:r w:rsidRPr="001E33B8">
          <w:rPr>
            <w:rStyle w:val="Hyperlink"/>
          </w:rPr>
          <w:t>https://www.ippc.int/en/publications/84603/</w:t>
        </w:r>
      </w:hyperlink>
      <w:r w:rsidRPr="001E33B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27" w:rsidRDefault="003A5A27" w:rsidP="003A5A27">
    <w:pPr>
      <w:pStyle w:val="IPPHeader"/>
    </w:pPr>
    <w:r>
      <w:t>22_ TC-RPPO_2017_November</w:t>
    </w:r>
    <w:r>
      <w:tab/>
      <w:t xml:space="preserve">                                                                                   </w:t>
    </w:r>
    <w:r w:rsidRPr="003A5A27">
      <w:t xml:space="preserve">Seeking </w:t>
    </w:r>
    <w:r>
      <w:t>Regional I</w:t>
    </w:r>
    <w:r w:rsidRPr="003A5A27">
      <w:t>nput on IYPH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27" w:rsidRPr="007D640A" w:rsidRDefault="003A5A27" w:rsidP="003A5A27">
    <w:pPr>
      <w:pStyle w:val="IPPHeader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-563245</wp:posOffset>
          </wp:positionV>
          <wp:extent cx="7597140" cy="4267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7B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35000" cy="330200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40A">
      <w:t>International Plant Protection Convention</w:t>
    </w:r>
    <w:r w:rsidRPr="007D640A">
      <w:tab/>
    </w:r>
    <w:r>
      <w:t>22</w:t>
    </w:r>
    <w:r>
      <w:t xml:space="preserve">_ </w:t>
    </w:r>
    <w:r>
      <w:t>TC-RPPO</w:t>
    </w:r>
    <w:r>
      <w:t>_2017_November</w:t>
    </w:r>
    <w:r>
      <w:br/>
    </w:r>
    <w:r>
      <w:rPr>
        <w:i/>
        <w:iCs/>
        <w:szCs w:val="22"/>
      </w:rPr>
      <w:t xml:space="preserve">Seeking </w:t>
    </w:r>
    <w:r w:rsidR="005D5FA8">
      <w:rPr>
        <w:i/>
        <w:iCs/>
        <w:szCs w:val="22"/>
      </w:rPr>
      <w:t>Regional I</w:t>
    </w:r>
    <w:r>
      <w:rPr>
        <w:i/>
        <w:iCs/>
        <w:szCs w:val="22"/>
      </w:rPr>
      <w:t>nput on IYPH</w:t>
    </w:r>
    <w:r>
      <w:rPr>
        <w:i/>
        <w:iCs/>
      </w:rPr>
      <w:tab/>
      <w:t>Agenda item</w:t>
    </w:r>
    <w:r>
      <w:rPr>
        <w:i/>
        <w:iCs/>
      </w:rPr>
      <w:t>: 7.4.2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F62"/>
    <w:multiLevelType w:val="hybridMultilevel"/>
    <w:tmpl w:val="90489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6CDA"/>
    <w:multiLevelType w:val="hybridMultilevel"/>
    <w:tmpl w:val="78B8A3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26637C5"/>
    <w:multiLevelType w:val="hybridMultilevel"/>
    <w:tmpl w:val="C5E0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2F1F"/>
    <w:multiLevelType w:val="hybridMultilevel"/>
    <w:tmpl w:val="6510AB48"/>
    <w:lvl w:ilvl="0" w:tplc="DA385482">
      <w:start w:val="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87B81"/>
    <w:multiLevelType w:val="hybridMultilevel"/>
    <w:tmpl w:val="17902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47FF"/>
    <w:multiLevelType w:val="hybridMultilevel"/>
    <w:tmpl w:val="97BE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36BC"/>
    <w:multiLevelType w:val="hybridMultilevel"/>
    <w:tmpl w:val="179AB8B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2355449"/>
    <w:multiLevelType w:val="hybridMultilevel"/>
    <w:tmpl w:val="9A4E4D86"/>
    <w:lvl w:ilvl="0" w:tplc="9CFAB802">
      <w:start w:val="1"/>
      <w:numFmt w:val="bullet"/>
      <w:lvlText w:val="-"/>
      <w:lvlJc w:val="left"/>
      <w:pPr>
        <w:ind w:left="706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AA3EBE50">
      <w:start w:val="1"/>
      <w:numFmt w:val="bullet"/>
      <w:lvlText w:val="•"/>
      <w:lvlJc w:val="left"/>
      <w:pPr>
        <w:ind w:left="1599" w:hanging="567"/>
      </w:pPr>
      <w:rPr>
        <w:rFonts w:hint="default"/>
      </w:rPr>
    </w:lvl>
    <w:lvl w:ilvl="2" w:tplc="8CA077D0">
      <w:start w:val="1"/>
      <w:numFmt w:val="bullet"/>
      <w:lvlText w:val="•"/>
      <w:lvlJc w:val="left"/>
      <w:pPr>
        <w:ind w:left="2493" w:hanging="567"/>
      </w:pPr>
      <w:rPr>
        <w:rFonts w:hint="default"/>
      </w:rPr>
    </w:lvl>
    <w:lvl w:ilvl="3" w:tplc="F3B4DDEC">
      <w:start w:val="1"/>
      <w:numFmt w:val="bullet"/>
      <w:lvlText w:val="•"/>
      <w:lvlJc w:val="left"/>
      <w:pPr>
        <w:ind w:left="3386" w:hanging="567"/>
      </w:pPr>
      <w:rPr>
        <w:rFonts w:hint="default"/>
      </w:rPr>
    </w:lvl>
    <w:lvl w:ilvl="4" w:tplc="4DC860F6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5" w:tplc="226CD7CC">
      <w:start w:val="1"/>
      <w:numFmt w:val="bullet"/>
      <w:lvlText w:val="•"/>
      <w:lvlJc w:val="left"/>
      <w:pPr>
        <w:ind w:left="5173" w:hanging="567"/>
      </w:pPr>
      <w:rPr>
        <w:rFonts w:hint="default"/>
      </w:rPr>
    </w:lvl>
    <w:lvl w:ilvl="6" w:tplc="2C869CE0">
      <w:start w:val="1"/>
      <w:numFmt w:val="bullet"/>
      <w:lvlText w:val="•"/>
      <w:lvlJc w:val="left"/>
      <w:pPr>
        <w:ind w:left="6066" w:hanging="567"/>
      </w:pPr>
      <w:rPr>
        <w:rFonts w:hint="default"/>
      </w:rPr>
    </w:lvl>
    <w:lvl w:ilvl="7" w:tplc="B1B268E6">
      <w:start w:val="1"/>
      <w:numFmt w:val="bullet"/>
      <w:lvlText w:val="•"/>
      <w:lvlJc w:val="left"/>
      <w:pPr>
        <w:ind w:left="6959" w:hanging="567"/>
      </w:pPr>
      <w:rPr>
        <w:rFonts w:hint="default"/>
      </w:rPr>
    </w:lvl>
    <w:lvl w:ilvl="8" w:tplc="CC069594">
      <w:start w:val="1"/>
      <w:numFmt w:val="bullet"/>
      <w:lvlText w:val="•"/>
      <w:lvlJc w:val="left"/>
      <w:pPr>
        <w:ind w:left="7853" w:hanging="567"/>
      </w:pPr>
      <w:rPr>
        <w:rFonts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3688"/>
    <w:multiLevelType w:val="hybridMultilevel"/>
    <w:tmpl w:val="2B96939E"/>
    <w:lvl w:ilvl="0" w:tplc="E15AD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61988"/>
    <w:multiLevelType w:val="hybridMultilevel"/>
    <w:tmpl w:val="35F0B80C"/>
    <w:lvl w:ilvl="0" w:tplc="DD2EC4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7"/>
  </w:num>
  <w:num w:numId="4">
    <w:abstractNumId w:val="20"/>
  </w:num>
  <w:num w:numId="5">
    <w:abstractNumId w:val="4"/>
  </w:num>
  <w:num w:numId="6">
    <w:abstractNumId w:val="18"/>
  </w:num>
  <w:num w:numId="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1"/>
  </w:num>
  <w:num w:numId="12">
    <w:abstractNumId w:val="5"/>
  </w:num>
  <w:num w:numId="13">
    <w:abstractNumId w:val="14"/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19"/>
  </w:num>
  <w:num w:numId="22">
    <w:abstractNumId w:val="12"/>
  </w:num>
  <w:num w:numId="23">
    <w:abstractNumId w:val="8"/>
  </w:num>
  <w:num w:numId="24">
    <w:abstractNumId w:val="21"/>
  </w:num>
  <w:num w:numId="25">
    <w:abstractNumId w:val="3"/>
  </w:num>
  <w:num w:numId="26">
    <w:abstractNumId w:val="0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4B"/>
    <w:rsid w:val="00100A53"/>
    <w:rsid w:val="001248DE"/>
    <w:rsid w:val="001337C2"/>
    <w:rsid w:val="001E33B8"/>
    <w:rsid w:val="0023114E"/>
    <w:rsid w:val="00270CD8"/>
    <w:rsid w:val="00385B85"/>
    <w:rsid w:val="003A5A27"/>
    <w:rsid w:val="004B35CF"/>
    <w:rsid w:val="004B5B42"/>
    <w:rsid w:val="00504466"/>
    <w:rsid w:val="005453FC"/>
    <w:rsid w:val="00590AFD"/>
    <w:rsid w:val="005D5FA8"/>
    <w:rsid w:val="005E524B"/>
    <w:rsid w:val="006F363A"/>
    <w:rsid w:val="0071517F"/>
    <w:rsid w:val="0078005E"/>
    <w:rsid w:val="00810DFB"/>
    <w:rsid w:val="00891E93"/>
    <w:rsid w:val="00895857"/>
    <w:rsid w:val="00954A20"/>
    <w:rsid w:val="00972EBA"/>
    <w:rsid w:val="00A0542E"/>
    <w:rsid w:val="00A32DC5"/>
    <w:rsid w:val="00A43375"/>
    <w:rsid w:val="00B60270"/>
    <w:rsid w:val="00B67CE1"/>
    <w:rsid w:val="00B94F95"/>
    <w:rsid w:val="00C95D5A"/>
    <w:rsid w:val="00D0088B"/>
    <w:rsid w:val="00D2260F"/>
    <w:rsid w:val="00D315AE"/>
    <w:rsid w:val="00D66440"/>
    <w:rsid w:val="00E71545"/>
    <w:rsid w:val="00ED104F"/>
    <w:rsid w:val="00F2699E"/>
    <w:rsid w:val="00F8334E"/>
    <w:rsid w:val="00FA0EBA"/>
    <w:rsid w:val="00FC2CA9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4F9E9-AC45-4710-9548-4AFECE7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2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5A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5A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A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A5A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5A27"/>
  </w:style>
  <w:style w:type="numbering" w:customStyle="1" w:styleId="IPPParagraphnumberedlist">
    <w:name w:val="IPP Paragraph numbered list"/>
    <w:rsid w:val="003A5A27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3A5A27"/>
    <w:pPr>
      <w:tabs>
        <w:tab w:val="num" w:pos="0"/>
      </w:tabs>
      <w:ind w:hanging="482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3A5A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5A27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A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33B8"/>
    <w:rPr>
      <w:color w:val="0563C1" w:themeColor="hyperlink"/>
      <w:u w:val="single"/>
    </w:rPr>
  </w:style>
  <w:style w:type="table" w:styleId="TableGrid">
    <w:name w:val="Table Grid"/>
    <w:basedOn w:val="TableNormal"/>
    <w:rsid w:val="003A5A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A2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C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A9"/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A9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rsid w:val="003A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A27"/>
    <w:rPr>
      <w:rFonts w:ascii="Tahoma" w:eastAsia="MS Mincho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3114E"/>
    <w:pPr>
      <w:widowControl w:val="0"/>
      <w:spacing w:before="59"/>
      <w:ind w:left="70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3114E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11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A5A27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A5A27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A5A27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A5A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uiPriority w:val="99"/>
    <w:rsid w:val="003A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27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3A5A2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A5A2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A5A27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A5A27"/>
    <w:pPr>
      <w:numPr>
        <w:numId w:val="2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A5A27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3A5A2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A5A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A5A27"/>
    <w:pPr>
      <w:spacing w:after="180"/>
    </w:pPr>
  </w:style>
  <w:style w:type="paragraph" w:customStyle="1" w:styleId="IPPFootnote">
    <w:name w:val="IPP Footnote"/>
    <w:basedOn w:val="IPPArialFootnote"/>
    <w:qFormat/>
    <w:rsid w:val="003A5A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A5A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A5A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A5A27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A5A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A5A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A5A2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A5A2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A5A27"/>
    <w:pPr>
      <w:numPr>
        <w:numId w:val="2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A5A27"/>
    <w:pPr>
      <w:numPr>
        <w:numId w:val="22"/>
      </w:numPr>
    </w:pPr>
  </w:style>
  <w:style w:type="character" w:customStyle="1" w:styleId="IPPNormalstrikethrough">
    <w:name w:val="IPP Normal strikethrough"/>
    <w:rsid w:val="003A5A2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A5A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A5A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A5A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A5A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3A5A2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A5A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A5A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A5A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A5A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A5A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A5A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A5A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A5A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A5A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A5A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A5A2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A5A2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A5A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A5A2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A5A2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A5A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A5A27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A5A27"/>
    <w:pPr>
      <w:numPr>
        <w:numId w:val="18"/>
      </w:numPr>
      <w:jc w:val="left"/>
    </w:pPr>
  </w:style>
  <w:style w:type="paragraph" w:customStyle="1" w:styleId="IPPLetterListIndent">
    <w:name w:val="IPP LetterList Indent"/>
    <w:basedOn w:val="IPPLetterList"/>
    <w:qFormat/>
    <w:rsid w:val="003A5A27"/>
    <w:pPr>
      <w:numPr>
        <w:numId w:val="19"/>
      </w:numPr>
    </w:pPr>
  </w:style>
  <w:style w:type="paragraph" w:customStyle="1" w:styleId="IPPFooterLandscape">
    <w:name w:val="IPP Footer Landscape"/>
    <w:basedOn w:val="IPPHeaderlandscape"/>
    <w:qFormat/>
    <w:rsid w:val="003A5A2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A5A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A5A2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A5A27"/>
    <w:pPr>
      <w:numPr>
        <w:numId w:val="23"/>
      </w:numPr>
    </w:pPr>
  </w:style>
  <w:style w:type="paragraph" w:customStyle="1" w:styleId="IPPHdg2Num">
    <w:name w:val="IPP Hdg2Num"/>
    <w:basedOn w:val="IPPHeading2"/>
    <w:next w:val="IPPNormal"/>
    <w:qFormat/>
    <w:rsid w:val="003A5A27"/>
    <w:pPr>
      <w:numPr>
        <w:ilvl w:val="1"/>
        <w:numId w:val="24"/>
      </w:numPr>
    </w:pPr>
  </w:style>
  <w:style w:type="paragraph" w:customStyle="1" w:styleId="IPPNumberedList">
    <w:name w:val="IPP NumberedList"/>
    <w:basedOn w:val="IPPBullet1"/>
    <w:qFormat/>
    <w:rsid w:val="003A5A27"/>
    <w:pPr>
      <w:tabs>
        <w:tab w:val="num" w:pos="567"/>
      </w:tabs>
    </w:pPr>
  </w:style>
  <w:style w:type="paragraph" w:styleId="Header">
    <w:name w:val="header"/>
    <w:basedOn w:val="Normal"/>
    <w:link w:val="HeaderChar"/>
    <w:rsid w:val="003A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A27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3A5A27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3A5A27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A5A27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3/a-mu208e.pdf" TargetMode="External"/><Relationship Id="rId2" Type="http://schemas.openxmlformats.org/officeDocument/2006/relationships/hyperlink" Target="https://www.ippc.int/static/media/uploads/iyph/2017/06/30/Report_for_the_2nd_IYPH-StC_Meeting-2017-05-10.pdf" TargetMode="External"/><Relationship Id="rId1" Type="http://schemas.openxmlformats.org/officeDocument/2006/relationships/hyperlink" Target="https://www.ippc.int/static/media/files/publication/en/2017/05/CPM-12_Report-2017-05-30_withISPMs.pdf" TargetMode="External"/><Relationship Id="rId4" Type="http://schemas.openxmlformats.org/officeDocument/2006/relationships/hyperlink" Target="https://www.ippc.int/en/publications/84603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91F5-4762-4730-94B9-ADE8F4F3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JimenezTabares, Alejandra (AGDI)</cp:lastModifiedBy>
  <cp:revision>3</cp:revision>
  <dcterms:created xsi:type="dcterms:W3CDTF">2017-10-23T12:20:00Z</dcterms:created>
  <dcterms:modified xsi:type="dcterms:W3CDTF">2017-10-23T12:20:00Z</dcterms:modified>
</cp:coreProperties>
</file>