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C5234A5" w14:textId="650CD7EB"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18BA51A5" w14:textId="77777777" w:rsidR="000B32EC" w:rsidRPr="007075F6" w:rsidRDefault="000B32EC" w:rsidP="000B32EC">
      <w:pPr>
        <w:jc w:val="center"/>
      </w:pPr>
    </w:p>
    <w:p w14:paraId="3EDAE728" w14:textId="61DBC06E" w:rsidR="000B32EC" w:rsidRPr="007075F6" w:rsidRDefault="000B32EC" w:rsidP="00C779D6">
      <w:pPr>
        <w:jc w:val="center"/>
      </w:pPr>
      <w:r w:rsidRPr="007075F6">
        <w:t>Name of Country or Organization</w:t>
      </w:r>
      <w:r w:rsidR="00C779D6">
        <w:t>:</w:t>
      </w:r>
      <w:r w:rsidR="00C11B69" w:rsidRPr="00C11B69">
        <w:rPr>
          <w:color w:val="00B050"/>
          <w:szCs w:val="22"/>
        </w:rPr>
        <w:t xml:space="preserve"> </w:t>
      </w:r>
      <w:r w:rsidR="00C11B69">
        <w:rPr>
          <w:color w:val="00B050"/>
          <w:szCs w:val="22"/>
        </w:rPr>
        <w:t>United States of America (USA)</w:t>
      </w:r>
    </w:p>
    <w:p w14:paraId="6EE2B68E" w14:textId="77777777" w:rsidR="000B32EC" w:rsidRPr="007075F6" w:rsidRDefault="000B32EC" w:rsidP="000B32EC">
      <w:pPr>
        <w:rPr>
          <w:szCs w:val="22"/>
          <w:u w:val="single"/>
        </w:rPr>
      </w:pPr>
    </w:p>
    <w:p w14:paraId="0A825B4D" w14:textId="77777777" w:rsidR="004C6850" w:rsidRPr="00EE39DD" w:rsidRDefault="004C6850" w:rsidP="004C6850">
      <w:pPr>
        <w:ind w:right="-12"/>
        <w:rPr>
          <w:szCs w:val="22"/>
          <w:u w:val="single"/>
        </w:rPr>
      </w:pPr>
      <w:r w:rsidRPr="00EE39DD">
        <w:rPr>
          <w:szCs w:val="22"/>
          <w:u w:val="single"/>
        </w:rPr>
        <w:t>Introduction</w:t>
      </w:r>
    </w:p>
    <w:p w14:paraId="709391A7" w14:textId="18D09D4B"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688B025" w14:textId="6D3DFAAB" w:rsidR="004C6850" w:rsidRPr="007075F6" w:rsidRDefault="004C6850" w:rsidP="000B32EC">
      <w:pPr>
        <w:ind w:right="-12"/>
        <w:rPr>
          <w:szCs w:val="22"/>
          <w:u w:val="single"/>
        </w:rPr>
      </w:pPr>
    </w:p>
    <w:p w14:paraId="24DA5C1A" w14:textId="4E4FAE47" w:rsidR="0077292D" w:rsidRPr="007075F6" w:rsidRDefault="0077292D" w:rsidP="000B32EC">
      <w:pPr>
        <w:ind w:right="-12"/>
        <w:rPr>
          <w:szCs w:val="22"/>
          <w:u w:val="single"/>
        </w:rPr>
      </w:pPr>
      <w:r w:rsidRPr="00EE39DD">
        <w:rPr>
          <w:szCs w:val="22"/>
          <w:u w:val="single"/>
        </w:rPr>
        <w:t>Standards</w:t>
      </w:r>
    </w:p>
    <w:p w14:paraId="680C110F" w14:textId="2195F03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w:t>
      </w:r>
      <w:proofErr w:type="spellStart"/>
      <w:r w:rsidRPr="007075F6">
        <w:rPr>
          <w:sz w:val="20"/>
          <w:szCs w:val="20"/>
        </w:rPr>
        <w:t>phytosanitary</w:t>
      </w:r>
      <w:proofErr w:type="spellEnd"/>
      <w:r w:rsidRPr="007075F6">
        <w:rPr>
          <w:sz w:val="20"/>
          <w:szCs w:val="20"/>
        </w:rPr>
        <w:t xml:space="preserve">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789A874" w14:textId="07A8F0F9"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7710750E" w14:textId="77777777" w:rsidR="0077292D" w:rsidRPr="007075F6" w:rsidRDefault="0077292D" w:rsidP="000B32EC">
      <w:pPr>
        <w:ind w:right="-12"/>
        <w:rPr>
          <w:sz w:val="20"/>
          <w:szCs w:val="20"/>
        </w:rPr>
      </w:pPr>
    </w:p>
    <w:p w14:paraId="4D67914C" w14:textId="61DDCBE8" w:rsidR="0077292D" w:rsidRPr="007075F6" w:rsidRDefault="0077292D" w:rsidP="0077292D">
      <w:pPr>
        <w:ind w:right="-12"/>
        <w:rPr>
          <w:szCs w:val="22"/>
          <w:u w:val="single"/>
        </w:rPr>
      </w:pPr>
      <w:r w:rsidRPr="00EE39DD">
        <w:rPr>
          <w:szCs w:val="22"/>
          <w:u w:val="single"/>
        </w:rPr>
        <w:t>Implementation</w:t>
      </w:r>
    </w:p>
    <w:p w14:paraId="193DEA27" w14:textId="68EA5BAB"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74C8FF7" w14:textId="77777777" w:rsidR="0077292D" w:rsidRPr="007075F6" w:rsidRDefault="0077292D" w:rsidP="000B32EC">
      <w:pPr>
        <w:ind w:right="-12"/>
        <w:rPr>
          <w:sz w:val="20"/>
          <w:szCs w:val="20"/>
        </w:rPr>
      </w:pPr>
    </w:p>
    <w:p w14:paraId="4F3BE09B" w14:textId="77777777" w:rsidR="000B32EC" w:rsidRPr="007075F6" w:rsidRDefault="002613D4" w:rsidP="000B32EC">
      <w:pPr>
        <w:ind w:right="-12"/>
        <w:rPr>
          <w:szCs w:val="22"/>
          <w:u w:val="single"/>
        </w:rPr>
      </w:pPr>
      <w:r w:rsidRPr="00EE39DD">
        <w:rPr>
          <w:szCs w:val="22"/>
          <w:u w:val="single"/>
        </w:rPr>
        <w:t>Submission</w:t>
      </w:r>
    </w:p>
    <w:p w14:paraId="4724671C" w14:textId="5DF6194C"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3F9A7405" w14:textId="3962A4F2"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7DC65CF7" w14:textId="2D51ED4A"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w:t>
      </w:r>
      <w:proofErr w:type="spellStart"/>
      <w:r w:rsidRPr="002E408F">
        <w:rPr>
          <w:snapToGrid w:val="0"/>
          <w:color w:val="000000"/>
          <w:sz w:val="20"/>
          <w:szCs w:val="20"/>
          <w:lang w:val="en-US"/>
        </w:rPr>
        <w:t>doc</w:t>
      </w:r>
      <w:r w:rsidR="002F705C">
        <w:rPr>
          <w:snapToGrid w:val="0"/>
          <w:color w:val="000000"/>
          <w:sz w:val="20"/>
          <w:szCs w:val="20"/>
          <w:lang w:val="en-US"/>
        </w:rPr>
        <w:t>x</w:t>
      </w:r>
      <w:proofErr w:type="spellEnd"/>
      <w:r w:rsidRPr="002F1B4E">
        <w:rPr>
          <w:snapToGrid w:val="0"/>
          <w:color w:val="000000"/>
          <w:sz w:val="20"/>
          <w:szCs w:val="20"/>
          <w:lang w:val="en-US"/>
        </w:rPr>
        <w:t xml:space="preserve">. </w:t>
      </w:r>
    </w:p>
    <w:p w14:paraId="06400985"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326064" w14:paraId="346784F4" w14:textId="77777777" w:rsidTr="00551ED4">
        <w:trPr>
          <w:trHeight w:val="454"/>
          <w:jc w:val="center"/>
        </w:trPr>
        <w:tc>
          <w:tcPr>
            <w:tcW w:w="5000" w:type="pct"/>
            <w:shd w:val="clear" w:color="auto" w:fill="D9D9D9"/>
          </w:tcPr>
          <w:p w14:paraId="61B9EA89"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73F77E1" w14:textId="77777777" w:rsidTr="00551ED4">
        <w:trPr>
          <w:trHeight w:val="454"/>
          <w:jc w:val="center"/>
        </w:trPr>
        <w:tc>
          <w:tcPr>
            <w:tcW w:w="5000" w:type="pct"/>
          </w:tcPr>
          <w:p w14:paraId="02644FCC" w14:textId="3BC77765"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r w:rsidR="00C11B69" w:rsidRPr="00850F9B">
              <w:rPr>
                <w:color w:val="00B050"/>
                <w:sz w:val="20"/>
                <w:szCs w:val="20"/>
              </w:rPr>
              <w:t xml:space="preserve"> Mr. John Greifer (USA)</w:t>
            </w:r>
          </w:p>
          <w:p w14:paraId="5D55FFB4" w14:textId="77777777" w:rsidR="000B32EC" w:rsidRPr="00326064" w:rsidRDefault="000B32EC" w:rsidP="00551ED4"/>
        </w:tc>
      </w:tr>
      <w:tr w:rsidR="000B32EC" w:rsidRPr="00326064" w14:paraId="2AA4BDCA" w14:textId="77777777" w:rsidTr="00551ED4">
        <w:trPr>
          <w:trHeight w:val="390"/>
          <w:jc w:val="center"/>
        </w:trPr>
        <w:tc>
          <w:tcPr>
            <w:tcW w:w="5000" w:type="pct"/>
          </w:tcPr>
          <w:p w14:paraId="68E6DB4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1631DA66" w14:textId="119447C9" w:rsidR="00C11B69" w:rsidRPr="006B5BD5" w:rsidRDefault="000B32EC" w:rsidP="00C11B69">
            <w:pPr>
              <w:rPr>
                <w:color w:val="00B050"/>
                <w:sz w:val="20"/>
                <w:szCs w:val="20"/>
              </w:rPr>
            </w:pPr>
            <w:r w:rsidRPr="00326064">
              <w:rPr>
                <w:sz w:val="20"/>
                <w:szCs w:val="20"/>
              </w:rPr>
              <w:t>Name:</w:t>
            </w:r>
            <w:r w:rsidR="00C11B69" w:rsidRPr="006B5BD5">
              <w:rPr>
                <w:color w:val="00B050"/>
                <w:sz w:val="20"/>
                <w:szCs w:val="20"/>
              </w:rPr>
              <w:t xml:space="preserve"> Mr John Greifer (USA)</w:t>
            </w:r>
          </w:p>
          <w:p w14:paraId="0C6983A7" w14:textId="27C29295" w:rsidR="000B32EC" w:rsidRPr="00326064" w:rsidRDefault="000B32EC" w:rsidP="00551ED4">
            <w:pPr>
              <w:tabs>
                <w:tab w:val="right" w:leader="dot" w:pos="9480"/>
              </w:tabs>
              <w:spacing w:before="60" w:after="60"/>
              <w:rPr>
                <w:sz w:val="20"/>
                <w:szCs w:val="20"/>
              </w:rPr>
            </w:pPr>
            <w:r w:rsidRPr="00326064">
              <w:rPr>
                <w:sz w:val="20"/>
                <w:szCs w:val="20"/>
              </w:rPr>
              <w:t>Position and organization:</w:t>
            </w:r>
            <w:r w:rsidR="00C11B69">
              <w:rPr>
                <w:color w:val="00B050"/>
                <w:sz w:val="20"/>
                <w:szCs w:val="20"/>
              </w:rPr>
              <w:t xml:space="preserve"> Assistant Deputy Administrator for International </w:t>
            </w:r>
            <w:proofErr w:type="spellStart"/>
            <w:r w:rsidR="00C11B69">
              <w:rPr>
                <w:color w:val="00B050"/>
                <w:sz w:val="20"/>
                <w:szCs w:val="20"/>
              </w:rPr>
              <w:t>Phytosanitary</w:t>
            </w:r>
            <w:proofErr w:type="spellEnd"/>
            <w:r w:rsidR="00C11B69">
              <w:rPr>
                <w:color w:val="00B050"/>
                <w:sz w:val="20"/>
                <w:szCs w:val="20"/>
              </w:rPr>
              <w:t xml:space="preserve"> Standards</w:t>
            </w:r>
            <w:r w:rsidRPr="00326064">
              <w:rPr>
                <w:sz w:val="20"/>
                <w:szCs w:val="20"/>
              </w:rPr>
              <w:tab/>
            </w:r>
          </w:p>
          <w:p w14:paraId="46EC424F" w14:textId="3483DCFA" w:rsidR="000B32EC" w:rsidRPr="00326064" w:rsidRDefault="000B32EC" w:rsidP="00551ED4">
            <w:pPr>
              <w:tabs>
                <w:tab w:val="right" w:leader="dot" w:pos="9480"/>
              </w:tabs>
              <w:spacing w:before="60" w:after="60"/>
              <w:rPr>
                <w:sz w:val="20"/>
                <w:szCs w:val="20"/>
              </w:rPr>
            </w:pPr>
            <w:r w:rsidRPr="00326064">
              <w:rPr>
                <w:sz w:val="20"/>
                <w:szCs w:val="20"/>
              </w:rPr>
              <w:t>Mailing address:</w:t>
            </w:r>
            <w:r w:rsidR="00C11B69" w:rsidRPr="006B5BD5">
              <w:rPr>
                <w:color w:val="00B050"/>
                <w:sz w:val="20"/>
                <w:szCs w:val="20"/>
              </w:rPr>
              <w:t xml:space="preserve"> 1400 Independence Ave SW, Washington, DC 20250, USA</w:t>
            </w:r>
            <w:r w:rsidRPr="00326064">
              <w:rPr>
                <w:sz w:val="20"/>
                <w:szCs w:val="20"/>
              </w:rPr>
              <w:tab/>
            </w:r>
          </w:p>
          <w:p w14:paraId="766DAD92" w14:textId="0A08ED10"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C11B69" w:rsidRPr="006B5BD5">
              <w:rPr>
                <w:color w:val="00B050"/>
                <w:sz w:val="20"/>
                <w:szCs w:val="20"/>
              </w:rPr>
              <w:t xml:space="preserve"> +1 202 799 7159</w:t>
            </w:r>
            <w:r w:rsidRPr="00326064">
              <w:rPr>
                <w:sz w:val="20"/>
                <w:szCs w:val="20"/>
              </w:rPr>
              <w:tab/>
            </w:r>
            <w:r w:rsidRPr="00326064">
              <w:rPr>
                <w:sz w:val="20"/>
                <w:szCs w:val="20"/>
              </w:rPr>
              <w:tab/>
              <w:t>Fax:</w:t>
            </w:r>
            <w:r w:rsidR="00C11B69">
              <w:rPr>
                <w:sz w:val="20"/>
                <w:szCs w:val="20"/>
              </w:rPr>
              <w:t xml:space="preserve"> </w:t>
            </w:r>
            <w:r w:rsidR="00C11B69" w:rsidRPr="006B5BD5">
              <w:rPr>
                <w:color w:val="00B050"/>
                <w:sz w:val="20"/>
                <w:szCs w:val="20"/>
              </w:rPr>
              <w:t>+1 202 690 0472</w:t>
            </w:r>
            <w:r w:rsidRPr="00326064">
              <w:rPr>
                <w:sz w:val="20"/>
                <w:szCs w:val="20"/>
              </w:rPr>
              <w:tab/>
            </w:r>
          </w:p>
          <w:p w14:paraId="68A8B13F" w14:textId="0F3DF977" w:rsidR="000B32EC" w:rsidRPr="00326064" w:rsidRDefault="000B32EC" w:rsidP="00551ED4">
            <w:pPr>
              <w:tabs>
                <w:tab w:val="right" w:leader="dot" w:pos="9480"/>
              </w:tabs>
              <w:spacing w:before="60" w:after="60"/>
              <w:rPr>
                <w:sz w:val="20"/>
                <w:szCs w:val="20"/>
              </w:rPr>
            </w:pPr>
            <w:r w:rsidRPr="00326064">
              <w:rPr>
                <w:sz w:val="20"/>
                <w:szCs w:val="20"/>
              </w:rPr>
              <w:t>E-mail:</w:t>
            </w:r>
            <w:r w:rsidR="00C11B69" w:rsidRPr="006B5BD5">
              <w:rPr>
                <w:color w:val="00B050"/>
                <w:sz w:val="20"/>
                <w:szCs w:val="20"/>
              </w:rPr>
              <w:t xml:space="preserve"> John.K.Greifer@aphis.usda.gov</w:t>
            </w:r>
            <w:r w:rsidRPr="00326064">
              <w:rPr>
                <w:sz w:val="20"/>
                <w:szCs w:val="20"/>
              </w:rPr>
              <w:tab/>
            </w:r>
          </w:p>
        </w:tc>
      </w:tr>
      <w:tr w:rsidR="000B32EC" w:rsidRPr="007075F6" w14:paraId="3C81C8AC" w14:textId="77777777" w:rsidTr="00E72A55">
        <w:trPr>
          <w:trHeight w:val="615"/>
          <w:jc w:val="center"/>
        </w:trPr>
        <w:tc>
          <w:tcPr>
            <w:tcW w:w="5000" w:type="pct"/>
          </w:tcPr>
          <w:p w14:paraId="0D11CA8C" w14:textId="2361B916"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152B6301" w14:textId="4064B360" w:rsidR="00E96D9B" w:rsidRPr="00EE39DD" w:rsidRDefault="0067537B" w:rsidP="0067537B">
            <w:pPr>
              <w:rPr>
                <w:sz w:val="20"/>
                <w:szCs w:val="20"/>
              </w:rPr>
            </w:pPr>
            <w:r w:rsidRPr="00EE39DD">
              <w:rPr>
                <w:bCs/>
                <w:sz w:val="20"/>
                <w:szCs w:val="20"/>
              </w:rPr>
              <w:t>[__]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w:t>
            </w:r>
            <w:r w:rsidR="00DC3452">
              <w:rPr>
                <w:bCs/>
                <w:sz w:val="20"/>
                <w:szCs w:val="20"/>
              </w:rPr>
              <w:t>X</w:t>
            </w:r>
            <w:r w:rsidRPr="00EE39DD">
              <w:rPr>
                <w:bCs/>
                <w:sz w:val="20"/>
                <w:szCs w:val="20"/>
              </w:rPr>
              <w:t>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4770C1A"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67537B" w:rsidRPr="00326064"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14:paraId="3E5E2A9A" w14:textId="77777777"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14:paraId="083CC2E6" w14:textId="77777777" w:rsidTr="00551ED4">
        <w:trPr>
          <w:trHeight w:val="2039"/>
          <w:jc w:val="center"/>
        </w:trPr>
        <w:tc>
          <w:tcPr>
            <w:tcW w:w="1435" w:type="pct"/>
          </w:tcPr>
          <w:p w14:paraId="1D3A9C02" w14:textId="77777777" w:rsidR="000B32EC" w:rsidRPr="00326064" w:rsidRDefault="000B32EC" w:rsidP="00551ED4">
            <w:pPr>
              <w:spacing w:before="120"/>
            </w:pPr>
            <w:r w:rsidRPr="00326064">
              <w:lastRenderedPageBreak/>
              <w:t>A. New ISPM:</w:t>
            </w:r>
          </w:p>
          <w:p w14:paraId="6C7FB33E" w14:textId="77777777"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7A0C4C67"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4DC076D"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815AB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026AC5B6" w14:textId="77777777" w:rsidR="000B32EC" w:rsidRPr="00326064" w:rsidRDefault="000B32EC" w:rsidP="00551ED4">
            <w:pPr>
              <w:spacing w:before="120"/>
            </w:pPr>
            <w:r w:rsidRPr="00326064">
              <w:t>B. New component</w:t>
            </w:r>
            <w:r>
              <w:t xml:space="preserve"> </w:t>
            </w:r>
            <w:r w:rsidRPr="00326064">
              <w:t>to an existing ISPM:</w:t>
            </w:r>
          </w:p>
          <w:p w14:paraId="552F8C3E"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1C23F80D" w14:textId="77777777"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14:paraId="2AEFC6D1" w14:textId="77777777" w:rsidR="000B32EC" w:rsidRPr="00326064" w:rsidRDefault="000B32EC" w:rsidP="00551ED4">
            <w:pPr>
              <w:rPr>
                <w:sz w:val="20"/>
                <w:szCs w:val="20"/>
              </w:rPr>
            </w:pPr>
            <w:r w:rsidRPr="00326064">
              <w:rPr>
                <w:bCs/>
                <w:sz w:val="20"/>
                <w:szCs w:val="20"/>
              </w:rPr>
              <w:t>[__]</w:t>
            </w:r>
            <w:r w:rsidRPr="00326064">
              <w:rPr>
                <w:sz w:val="20"/>
                <w:szCs w:val="20"/>
              </w:rPr>
              <w:t xml:space="preserve"> Appendix</w:t>
            </w:r>
          </w:p>
          <w:p w14:paraId="4BAB0D5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7C2B1B5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CC4D1EB" w14:textId="77777777" w:rsidR="000B32EC" w:rsidRPr="00326064" w:rsidRDefault="000B32EC" w:rsidP="00551ED4">
            <w:pPr>
              <w:ind w:left="423" w:hanging="423"/>
              <w:rPr>
                <w:sz w:val="20"/>
                <w:szCs w:val="20"/>
              </w:rPr>
            </w:pPr>
          </w:p>
        </w:tc>
        <w:tc>
          <w:tcPr>
            <w:tcW w:w="1609" w:type="pct"/>
          </w:tcPr>
          <w:p w14:paraId="45B5DAD8" w14:textId="77777777" w:rsidR="000B32EC" w:rsidRPr="00326064" w:rsidRDefault="000B32EC" w:rsidP="00551ED4">
            <w:pPr>
              <w:spacing w:before="120"/>
            </w:pPr>
            <w:r w:rsidRPr="00326064">
              <w:t>C. Revision/Amendment of:</w:t>
            </w:r>
          </w:p>
          <w:p w14:paraId="6C996C54" w14:textId="77777777" w:rsidR="000B32EC" w:rsidRPr="00326064" w:rsidRDefault="000B32EC" w:rsidP="00551ED4">
            <w:pPr>
              <w:rPr>
                <w:bCs/>
                <w:sz w:val="20"/>
                <w:szCs w:val="20"/>
              </w:rPr>
            </w:pPr>
            <w:r w:rsidRPr="00326064">
              <w:rPr>
                <w:bCs/>
                <w:sz w:val="20"/>
                <w:szCs w:val="20"/>
              </w:rPr>
              <w:t>[__] ISPM</w:t>
            </w:r>
          </w:p>
          <w:p w14:paraId="54DDC6E1" w14:textId="77777777" w:rsidR="000B32EC" w:rsidRPr="00326064" w:rsidRDefault="000B32EC" w:rsidP="00551ED4">
            <w:pPr>
              <w:rPr>
                <w:bCs/>
                <w:sz w:val="20"/>
                <w:szCs w:val="20"/>
              </w:rPr>
            </w:pPr>
            <w:r w:rsidRPr="00326064">
              <w:rPr>
                <w:bCs/>
                <w:sz w:val="20"/>
                <w:szCs w:val="20"/>
              </w:rPr>
              <w:t>[__] Supplement</w:t>
            </w:r>
          </w:p>
          <w:p w14:paraId="5B238306" w14:textId="77777777" w:rsidR="000B32EC" w:rsidRPr="00326064" w:rsidRDefault="000B32EC" w:rsidP="00551ED4">
            <w:pPr>
              <w:rPr>
                <w:bCs/>
                <w:sz w:val="20"/>
                <w:szCs w:val="20"/>
              </w:rPr>
            </w:pPr>
            <w:r w:rsidRPr="00326064">
              <w:rPr>
                <w:bCs/>
                <w:sz w:val="20"/>
                <w:szCs w:val="20"/>
              </w:rPr>
              <w:t>[__] Annex</w:t>
            </w:r>
          </w:p>
          <w:p w14:paraId="7C665C7C" w14:textId="77777777" w:rsidR="000B32EC" w:rsidRPr="00326064" w:rsidRDefault="000B32EC" w:rsidP="00551ED4">
            <w:pPr>
              <w:rPr>
                <w:bCs/>
                <w:sz w:val="20"/>
                <w:szCs w:val="20"/>
              </w:rPr>
            </w:pPr>
            <w:r w:rsidRPr="00326064">
              <w:rPr>
                <w:bCs/>
                <w:sz w:val="20"/>
                <w:szCs w:val="20"/>
              </w:rPr>
              <w:t>[__] Appendix</w:t>
            </w:r>
          </w:p>
          <w:p w14:paraId="7DF7030B" w14:textId="77777777" w:rsidR="000B32EC" w:rsidRPr="00326064" w:rsidRDefault="000B32EC" w:rsidP="00551ED4"/>
        </w:tc>
      </w:tr>
      <w:tr w:rsidR="005E6F6B" w:rsidRPr="00326064" w14:paraId="09D8A541" w14:textId="77777777" w:rsidTr="00D46538">
        <w:trPr>
          <w:trHeight w:val="1499"/>
          <w:jc w:val="center"/>
        </w:trPr>
        <w:tc>
          <w:tcPr>
            <w:tcW w:w="5000" w:type="pct"/>
            <w:gridSpan w:val="3"/>
          </w:tcPr>
          <w:p w14:paraId="3C14C77B"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043586CA" w14:textId="0EE2DF7A"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 xml:space="preserve">Proposals for </w:t>
            </w:r>
            <w:proofErr w:type="spellStart"/>
            <w:r w:rsidR="00427923">
              <w:rPr>
                <w:sz w:val="18"/>
                <w:szCs w:val="18"/>
              </w:rPr>
              <w:t>phytosanitary</w:t>
            </w:r>
            <w:proofErr w:type="spellEnd"/>
            <w:r w:rsidR="00427923">
              <w:rPr>
                <w:sz w:val="18"/>
                <w:szCs w:val="18"/>
              </w:rPr>
              <w:t xml:space="preserve">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431BBC0A" w14:textId="6DA838E2"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061FB7BE" w14:textId="56B9C704"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2260321D" w14:textId="4CA532A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5205CE" w:rsidRPr="007075F6"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EE39DD" w:rsidRDefault="005205CE" w:rsidP="00E96D9B">
            <w:pPr>
              <w:pStyle w:val="ListParagraph"/>
              <w:numPr>
                <w:ilvl w:val="0"/>
                <w:numId w:val="16"/>
              </w:numPr>
              <w:rPr>
                <w:b/>
              </w:rPr>
            </w:pPr>
            <w:r w:rsidRPr="00EE39DD">
              <w:rPr>
                <w:b/>
                <w:u w:val="single"/>
              </w:rPr>
              <w:t>Implementation</w:t>
            </w:r>
          </w:p>
          <w:p w14:paraId="136474CA" w14:textId="576BC7A9" w:rsidR="0096151C" w:rsidRPr="00EE39DD" w:rsidRDefault="005205CE" w:rsidP="0096151C">
            <w:pPr>
              <w:pStyle w:val="ListParagraph"/>
              <w:numPr>
                <w:ilvl w:val="1"/>
                <w:numId w:val="16"/>
              </w:numPr>
            </w:pPr>
            <w:r w:rsidRPr="00EE39DD">
              <w:rPr>
                <w:b/>
              </w:rPr>
              <w:t>Type of topic: (Choose one box only)</w:t>
            </w:r>
          </w:p>
        </w:tc>
      </w:tr>
      <w:tr w:rsidR="00EB47FD" w:rsidRPr="007075F6" w14:paraId="50EBDCFC" w14:textId="77777777" w:rsidTr="00EB47FD">
        <w:trPr>
          <w:trHeight w:val="704"/>
          <w:jc w:val="center"/>
        </w:trPr>
        <w:tc>
          <w:tcPr>
            <w:tcW w:w="2466" w:type="pct"/>
          </w:tcPr>
          <w:p w14:paraId="1B5AEFA3" w14:textId="29C55F55"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0AA80394" w14:textId="005FA3B0"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w:t>
            </w:r>
            <w:r w:rsidR="00CF2046">
              <w:rPr>
                <w:bCs/>
                <w:sz w:val="20"/>
                <w:szCs w:val="20"/>
              </w:rPr>
              <w:t>X</w:t>
            </w:r>
            <w:r w:rsidRPr="00EE39DD">
              <w:rPr>
                <w:bCs/>
                <w:sz w:val="20"/>
                <w:szCs w:val="20"/>
              </w:rPr>
              <w:t>] Guide</w:t>
            </w:r>
            <w:r w:rsidR="00074A88">
              <w:rPr>
                <w:bCs/>
                <w:sz w:val="20"/>
                <w:szCs w:val="20"/>
              </w:rPr>
              <w:t xml:space="preserve"> (</w:t>
            </w:r>
            <w:r w:rsidR="004A373D">
              <w:rPr>
                <w:bCs/>
                <w:sz w:val="20"/>
                <w:szCs w:val="20"/>
              </w:rPr>
              <w:t xml:space="preserve">e.g. </w:t>
            </w:r>
            <w:r w:rsidR="00074A88">
              <w:rPr>
                <w:bCs/>
                <w:sz w:val="20"/>
                <w:szCs w:val="20"/>
              </w:rPr>
              <w:t>Manual)</w:t>
            </w:r>
          </w:p>
          <w:p w14:paraId="6A9E038E" w14:textId="14F02941"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4AFB40AB"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23ECB10C" w14:textId="3C35DAB8"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14:paraId="544C70E2" w14:textId="415D6228"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14BA4435" w14:textId="36B54962"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A2994AE" w14:textId="20CF5AE5"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48399B9F"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12F2552" w14:textId="2C153EDD"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0D13F006" w14:textId="5373BCEA"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7DFA89CA" w14:textId="77777777" w:rsidTr="00E21030">
        <w:trPr>
          <w:trHeight w:val="704"/>
          <w:jc w:val="center"/>
        </w:trPr>
        <w:tc>
          <w:tcPr>
            <w:tcW w:w="5000" w:type="pct"/>
            <w:gridSpan w:val="2"/>
          </w:tcPr>
          <w:p w14:paraId="052350AA" w14:textId="23A47B96"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134BD8FE" w14:textId="02B5D6EE"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14:paraId="5FD03860" w14:textId="41600889" w:rsidR="00EB47FD" w:rsidRPr="00EE39DD" w:rsidRDefault="00EB47FD" w:rsidP="00EB47FD">
            <w:pPr>
              <w:spacing w:before="120"/>
              <w:jc w:val="left"/>
              <w:rPr>
                <w:sz w:val="20"/>
                <w:szCs w:val="20"/>
              </w:rPr>
            </w:pPr>
            <w:r w:rsidRPr="00EE39DD">
              <w:rPr>
                <w:bCs/>
                <w:sz w:val="20"/>
                <w:szCs w:val="20"/>
              </w:rPr>
              <w:t>[_</w:t>
            </w:r>
            <w:r w:rsidR="00F438F9">
              <w:rPr>
                <w:bCs/>
                <w:sz w:val="20"/>
                <w:szCs w:val="20"/>
              </w:rPr>
              <w:t>X</w:t>
            </w:r>
            <w:r w:rsidRPr="00EE39DD">
              <w:rPr>
                <w:bCs/>
                <w:sz w:val="20"/>
                <w:szCs w:val="20"/>
              </w:rPr>
              <w:t xml:space="preserve">] for </w:t>
            </w:r>
            <w:r w:rsidRPr="00EE39DD">
              <w:rPr>
                <w:sz w:val="20"/>
                <w:szCs w:val="20"/>
              </w:rPr>
              <w:t>ISPM (</w:t>
            </w:r>
            <w:r w:rsidR="00F438F9">
              <w:rPr>
                <w:sz w:val="20"/>
                <w:szCs w:val="20"/>
              </w:rPr>
              <w:t>15</w:t>
            </w:r>
            <w:r w:rsidRPr="00EE39DD">
              <w:rPr>
                <w:sz w:val="20"/>
                <w:szCs w:val="20"/>
              </w:rPr>
              <w:t>)</w:t>
            </w:r>
          </w:p>
          <w:p w14:paraId="520FAC3E" w14:textId="1F77C096"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0BEF7F7D" w14:textId="60D276C5"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1DEC548C" w14:textId="77777777" w:rsidTr="00E21030">
        <w:trPr>
          <w:trHeight w:val="704"/>
          <w:jc w:val="center"/>
        </w:trPr>
        <w:tc>
          <w:tcPr>
            <w:tcW w:w="5000" w:type="pct"/>
            <w:gridSpan w:val="2"/>
          </w:tcPr>
          <w:p w14:paraId="331C90A3" w14:textId="024F36B1"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1F2EA5BB" w14:textId="30A416C6"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03CE5700" w14:textId="5B98B9EB"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062D488F"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5E6F6B" w:rsidRPr="007075F6" w14:paraId="0BA47B85" w14:textId="77777777" w:rsidTr="00563FA2">
        <w:trPr>
          <w:trHeight w:val="828"/>
          <w:jc w:val="center"/>
        </w:trPr>
        <w:tc>
          <w:tcPr>
            <w:tcW w:w="5000" w:type="pct"/>
          </w:tcPr>
          <w:p w14:paraId="306AC8C2" w14:textId="2365EC16" w:rsidR="005E6F6B" w:rsidRDefault="005E6F6B" w:rsidP="00780D6D">
            <w:pPr>
              <w:rPr>
                <w:b/>
                <w:sz w:val="20"/>
                <w:szCs w:val="20"/>
                <w:u w:val="single"/>
              </w:rPr>
            </w:pPr>
            <w:r>
              <w:rPr>
                <w:b/>
                <w:sz w:val="20"/>
                <w:szCs w:val="20"/>
                <w:u w:val="single"/>
              </w:rPr>
              <w:t>6</w:t>
            </w:r>
            <w:r w:rsidRPr="00EE39DD">
              <w:rPr>
                <w:b/>
                <w:sz w:val="20"/>
                <w:szCs w:val="20"/>
                <w:u w:val="single"/>
              </w:rPr>
              <w:t xml:space="preserve">. </w:t>
            </w:r>
            <w:r>
              <w:rPr>
                <w:b/>
                <w:sz w:val="20"/>
                <w:szCs w:val="20"/>
                <w:u w:val="single"/>
              </w:rPr>
              <w:t>Proposed title of  document</w:t>
            </w:r>
            <w:r w:rsidR="00CF2046" w:rsidRPr="00F438F9">
              <w:rPr>
                <w:sz w:val="20"/>
                <w:szCs w:val="20"/>
              </w:rPr>
              <w:t xml:space="preserve"> </w:t>
            </w:r>
            <w:r w:rsidR="00F438F9" w:rsidRPr="00F438F9">
              <w:rPr>
                <w:sz w:val="20"/>
                <w:szCs w:val="20"/>
              </w:rPr>
              <w:t xml:space="preserve"> </w:t>
            </w:r>
            <w:r w:rsidR="00CF2046" w:rsidRPr="00CF2046">
              <w:rPr>
                <w:i/>
                <w:sz w:val="20"/>
                <w:szCs w:val="20"/>
              </w:rPr>
              <w:t>ISPM 15 implementation guidelines</w:t>
            </w:r>
            <w:r w:rsidR="00780D6D">
              <w:rPr>
                <w:i/>
                <w:sz w:val="20"/>
                <w:szCs w:val="20"/>
              </w:rPr>
              <w:t xml:space="preserve"> for non-compliance</w:t>
            </w:r>
          </w:p>
        </w:tc>
      </w:tr>
      <w:tr w:rsidR="005E6F6B" w:rsidRPr="007075F6" w14:paraId="0F78D2C0" w14:textId="77777777" w:rsidTr="00563FA2">
        <w:trPr>
          <w:trHeight w:val="828"/>
          <w:jc w:val="center"/>
        </w:trPr>
        <w:tc>
          <w:tcPr>
            <w:tcW w:w="5000" w:type="pct"/>
          </w:tcPr>
          <w:p w14:paraId="7CBC445B" w14:textId="53CF3EE3" w:rsidR="005E6F6B" w:rsidRPr="005E6F6B" w:rsidRDefault="005E6F6B" w:rsidP="005E6F6B">
            <w:pPr>
              <w:rPr>
                <w:b/>
                <w:sz w:val="20"/>
                <w:szCs w:val="20"/>
                <w:u w:val="single"/>
              </w:rPr>
            </w:pPr>
            <w:r w:rsidRPr="005E6F6B">
              <w:rPr>
                <w:b/>
                <w:sz w:val="20"/>
                <w:szCs w:val="20"/>
                <w:u w:val="single"/>
              </w:rPr>
              <w:t xml:space="preserve">7. Proposed priority  </w:t>
            </w:r>
          </w:p>
          <w:p w14:paraId="5D9756BC" w14:textId="070ECAF8" w:rsidR="005E6F6B" w:rsidRPr="00EE39DD" w:rsidRDefault="005E6F6B" w:rsidP="005E6F6B">
            <w:pPr>
              <w:rPr>
                <w:sz w:val="20"/>
                <w:szCs w:val="20"/>
              </w:rPr>
            </w:pPr>
            <w:r w:rsidRPr="00EE39DD">
              <w:rPr>
                <w:sz w:val="20"/>
                <w:szCs w:val="20"/>
              </w:rPr>
              <w:t xml:space="preserve"> </w:t>
            </w:r>
            <w:r w:rsidRPr="00EE39DD">
              <w:rPr>
                <w:bCs/>
                <w:sz w:val="20"/>
                <w:szCs w:val="20"/>
              </w:rPr>
              <w:t>[</w:t>
            </w:r>
            <w:r w:rsidR="00F438F9">
              <w:rPr>
                <w:bCs/>
                <w:sz w:val="20"/>
                <w:szCs w:val="20"/>
              </w:rPr>
              <w:t>X</w:t>
            </w:r>
            <w:r w:rsidRPr="00EE39DD">
              <w:rPr>
                <w:bCs/>
                <w:sz w:val="20"/>
                <w:szCs w:val="20"/>
              </w:rPr>
              <w:t>]</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1E757EC" w14:textId="77777777" w:rsidR="005E6F6B" w:rsidRPr="007075F6" w:rsidRDefault="005E6F6B" w:rsidP="005E6F6B">
            <w:pPr>
              <w:rPr>
                <w:sz w:val="20"/>
                <w:szCs w:val="20"/>
              </w:rPr>
            </w:pPr>
            <w:r w:rsidRPr="00EE39DD">
              <w:rPr>
                <w:sz w:val="20"/>
                <w:szCs w:val="20"/>
              </w:rPr>
              <w:t xml:space="preserve"> Comments:</w:t>
            </w:r>
          </w:p>
          <w:p w14:paraId="6CEE5D29" w14:textId="08A56E5F" w:rsidR="005E6F6B" w:rsidRPr="001C12E2" w:rsidRDefault="001C12E2" w:rsidP="001C12E2">
            <w:pPr>
              <w:rPr>
                <w:sz w:val="20"/>
                <w:szCs w:val="20"/>
              </w:rPr>
            </w:pPr>
            <w:r w:rsidRPr="001C12E2">
              <w:rPr>
                <w:sz w:val="20"/>
                <w:szCs w:val="20"/>
              </w:rPr>
              <w:t>Harmonization is needed to provide consistency in the implementation of ISPM 15 and to provide data that can be used to accurately measure and track the effect of the standard.</w:t>
            </w:r>
          </w:p>
        </w:tc>
      </w:tr>
      <w:tr w:rsidR="005E6F6B" w:rsidRPr="007075F6" w14:paraId="1151977E" w14:textId="77777777" w:rsidTr="00563FA2">
        <w:trPr>
          <w:trHeight w:val="828"/>
          <w:jc w:val="center"/>
        </w:trPr>
        <w:tc>
          <w:tcPr>
            <w:tcW w:w="5000" w:type="pct"/>
          </w:tcPr>
          <w:p w14:paraId="080A61AB" w14:textId="51EC57A3" w:rsidR="005E6F6B" w:rsidRPr="005E6F6B" w:rsidRDefault="005E6F6B" w:rsidP="00160DC9">
            <w:pPr>
              <w:rPr>
                <w:b/>
                <w:sz w:val="20"/>
                <w:szCs w:val="20"/>
                <w:u w:val="single"/>
              </w:rPr>
            </w:pPr>
            <w:r w:rsidRPr="005E6F6B">
              <w:rPr>
                <w:b/>
                <w:sz w:val="20"/>
                <w:szCs w:val="20"/>
                <w:u w:val="single"/>
              </w:rPr>
              <w:t>8. Featur</w:t>
            </w:r>
            <w:r w:rsidR="00F21E55">
              <w:rPr>
                <w:b/>
                <w:sz w:val="20"/>
                <w:szCs w:val="20"/>
                <w:u w:val="single"/>
              </w:rPr>
              <w:t>ed outcome of standard/implementation resource</w:t>
            </w:r>
            <w:r w:rsidR="00780D6D">
              <w:rPr>
                <w:b/>
                <w:sz w:val="20"/>
                <w:szCs w:val="20"/>
                <w:u w:val="single"/>
              </w:rPr>
              <w:t>:</w:t>
            </w:r>
            <w:r w:rsidR="00780D6D" w:rsidRPr="00780D6D">
              <w:rPr>
                <w:sz w:val="20"/>
                <w:szCs w:val="20"/>
              </w:rPr>
              <w:t xml:space="preserve"> </w:t>
            </w:r>
            <w:r w:rsidR="00403315">
              <w:t xml:space="preserve">Harmonized guidance will be developed on </w:t>
            </w:r>
            <w:r w:rsidR="00780D6D">
              <w:t xml:space="preserve">what </w:t>
            </w:r>
            <w:r w:rsidR="00403315">
              <w:t xml:space="preserve">should be considered </w:t>
            </w:r>
            <w:r w:rsidR="00AD0A0C">
              <w:t xml:space="preserve">and reported as </w:t>
            </w:r>
            <w:r w:rsidR="00403315">
              <w:t>actual non-compliance</w:t>
            </w:r>
            <w:r w:rsidR="00AD0A0C">
              <w:t>s</w:t>
            </w:r>
            <w:r w:rsidR="00780D6D">
              <w:t xml:space="preserve"> </w:t>
            </w:r>
            <w:r w:rsidR="00403315">
              <w:t>for</w:t>
            </w:r>
            <w:r w:rsidR="00780D6D">
              <w:t xml:space="preserve"> ISPM 15</w:t>
            </w:r>
            <w:r w:rsidR="00AD0A0C">
              <w:t xml:space="preserve"> versus other bases for quarantine action and what actions (justified or not). The guidance will explain the decision-making process supported by examples.</w:t>
            </w:r>
            <w:r w:rsidR="005D0DD7">
              <w:t xml:space="preserve"> This</w:t>
            </w:r>
            <w:r w:rsidR="00780D6D">
              <w:t xml:space="preserve"> </w:t>
            </w:r>
            <w:r w:rsidR="005D0DD7">
              <w:t>will lead to</w:t>
            </w:r>
            <w:r w:rsidR="00780D6D">
              <w:t xml:space="preserve"> consistency </w:t>
            </w:r>
            <w:r w:rsidR="005D0DD7">
              <w:t>in proper interpretation and</w:t>
            </w:r>
            <w:r w:rsidR="00780D6D">
              <w:t xml:space="preserve"> implementation of ISPM 15 and </w:t>
            </w:r>
            <w:r w:rsidR="005D0DD7">
              <w:t>will</w:t>
            </w:r>
            <w:r w:rsidR="00780D6D">
              <w:t xml:space="preserve"> provide data that can be used to accurately measure and track the effect of </w:t>
            </w:r>
            <w:r w:rsidR="00160DC9">
              <w:t xml:space="preserve">implementation of </w:t>
            </w:r>
            <w:r w:rsidR="00780D6D">
              <w:t>th</w:t>
            </w:r>
            <w:r w:rsidR="005D0DD7">
              <w:t>is</w:t>
            </w:r>
            <w:r w:rsidR="00780D6D">
              <w:t xml:space="preserve"> </w:t>
            </w:r>
            <w:r w:rsidR="00DB0230">
              <w:t>standard</w:t>
            </w:r>
            <w:r w:rsidR="00780D6D">
              <w:t>.</w:t>
            </w:r>
          </w:p>
        </w:tc>
      </w:tr>
      <w:tr w:rsidR="00563FA2" w:rsidRPr="007075F6" w14:paraId="7EBE22B7" w14:textId="77777777" w:rsidTr="00563FA2">
        <w:trPr>
          <w:trHeight w:val="828"/>
          <w:jc w:val="center"/>
        </w:trPr>
        <w:tc>
          <w:tcPr>
            <w:tcW w:w="5000" w:type="pct"/>
          </w:tcPr>
          <w:p w14:paraId="08B41C9B" w14:textId="4B59FF6E" w:rsidR="00563FA2" w:rsidRPr="00EE39DD" w:rsidRDefault="005E6F6B" w:rsidP="00E96D9B">
            <w:pPr>
              <w:rPr>
                <w:sz w:val="20"/>
                <w:szCs w:val="20"/>
              </w:rPr>
            </w:pPr>
            <w:r>
              <w:rPr>
                <w:b/>
                <w:sz w:val="20"/>
                <w:szCs w:val="20"/>
                <w:u w:val="single"/>
              </w:rPr>
              <w:lastRenderedPageBreak/>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00BA1B83" w14:textId="7135FA03" w:rsidR="00563FA2" w:rsidRPr="00AD0A0C" w:rsidRDefault="00AD0A0C" w:rsidP="00BA66FB">
            <w:pPr>
              <w:rPr>
                <w:sz w:val="20"/>
                <w:szCs w:val="20"/>
              </w:rPr>
            </w:pPr>
            <w:r>
              <w:rPr>
                <w:sz w:val="20"/>
                <w:szCs w:val="20"/>
              </w:rPr>
              <w:t>The guidance will supplement implementation needs in lines 11 and 69 of the Framework</w:t>
            </w:r>
            <w:r w:rsidRPr="00AD0A0C">
              <w:rPr>
                <w:sz w:val="20"/>
                <w:szCs w:val="20"/>
              </w:rPr>
              <w:t xml:space="preserve"> </w:t>
            </w:r>
            <w:r w:rsidR="00BA66FB">
              <w:rPr>
                <w:sz w:val="20"/>
                <w:szCs w:val="20"/>
              </w:rPr>
              <w:t>covering harmonization needs in both non-compliance reporting and the Explanatory Document for ISPM 15.</w:t>
            </w:r>
          </w:p>
        </w:tc>
      </w:tr>
      <w:tr w:rsidR="00563FA2" w:rsidRPr="00326064" w14:paraId="367B04BB" w14:textId="77777777" w:rsidTr="00563FA2">
        <w:trPr>
          <w:trHeight w:val="828"/>
          <w:jc w:val="center"/>
        </w:trPr>
        <w:tc>
          <w:tcPr>
            <w:tcW w:w="5000" w:type="pct"/>
          </w:tcPr>
          <w:p w14:paraId="5F46B42D" w14:textId="2DB72FF0" w:rsidR="00563FA2" w:rsidRPr="00EE39DD" w:rsidRDefault="005E6F6B" w:rsidP="003E09CC">
            <w:pPr>
              <w:rPr>
                <w:b/>
                <w:sz w:val="20"/>
                <w:szCs w:val="20"/>
                <w:u w:val="single"/>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r w:rsidR="00E41C74">
              <w:rPr>
                <w:sz w:val="20"/>
                <w:szCs w:val="20"/>
              </w:rPr>
              <w:t xml:space="preserve"> </w:t>
            </w:r>
            <w:r w:rsidR="0028581E" w:rsidRPr="0028581E">
              <w:rPr>
                <w:sz w:val="20"/>
                <w:szCs w:val="20"/>
              </w:rPr>
              <w:t>There is currently no harmonized understanding of non-compliance for ISPM 15, especially when it relates to p</w:t>
            </w:r>
            <w:r w:rsidR="0028581E">
              <w:rPr>
                <w:sz w:val="20"/>
                <w:szCs w:val="20"/>
              </w:rPr>
              <w:t>e</w:t>
            </w:r>
            <w:r w:rsidR="0028581E" w:rsidRPr="0028581E">
              <w:rPr>
                <w:sz w:val="20"/>
                <w:szCs w:val="20"/>
              </w:rPr>
              <w:t>st presence</w:t>
            </w:r>
            <w:r w:rsidR="00E22D16">
              <w:rPr>
                <w:sz w:val="20"/>
                <w:szCs w:val="20"/>
              </w:rPr>
              <w:t>. While some of pests</w:t>
            </w:r>
            <w:r w:rsidR="00E22D16" w:rsidRPr="00E22D16">
              <w:rPr>
                <w:sz w:val="20"/>
                <w:szCs w:val="20"/>
              </w:rPr>
              <w:t xml:space="preserve"> may require action if detected, </w:t>
            </w:r>
            <w:r w:rsidR="003E09CC">
              <w:rPr>
                <w:sz w:val="20"/>
                <w:szCs w:val="20"/>
              </w:rPr>
              <w:t>pests interceptions</w:t>
            </w:r>
            <w:r w:rsidR="00E22D16" w:rsidRPr="00E22D16">
              <w:rPr>
                <w:sz w:val="20"/>
                <w:szCs w:val="20"/>
              </w:rPr>
              <w:t xml:space="preserve"> do not </w:t>
            </w:r>
            <w:r w:rsidR="00E22D16">
              <w:rPr>
                <w:sz w:val="20"/>
                <w:szCs w:val="20"/>
              </w:rPr>
              <w:t xml:space="preserve">always </w:t>
            </w:r>
            <w:r w:rsidR="00E22D16" w:rsidRPr="00E22D16">
              <w:rPr>
                <w:sz w:val="20"/>
                <w:szCs w:val="20"/>
              </w:rPr>
              <w:t>represent non-compliance with ISPM 15</w:t>
            </w:r>
            <w:r w:rsidR="00E22D16">
              <w:rPr>
                <w:sz w:val="20"/>
                <w:szCs w:val="20"/>
              </w:rPr>
              <w:t>.</w:t>
            </w:r>
            <w:r w:rsidR="0028581E" w:rsidRPr="0028581E">
              <w:rPr>
                <w:sz w:val="20"/>
                <w:szCs w:val="20"/>
              </w:rPr>
              <w:t xml:space="preserve"> </w:t>
            </w:r>
          </w:p>
        </w:tc>
      </w:tr>
    </w:tbl>
    <w:p w14:paraId="0CBE9852" w14:textId="77777777" w:rsidR="00FD01BE" w:rsidRDefault="00FD01BE"/>
    <w:p w14:paraId="749478C6" w14:textId="6EA3609F"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326064" w14:paraId="5E225025" w14:textId="77777777" w:rsidTr="00551ED4">
        <w:trPr>
          <w:trHeight w:val="248"/>
          <w:jc w:val="center"/>
        </w:trPr>
        <w:tc>
          <w:tcPr>
            <w:tcW w:w="5000" w:type="pct"/>
          </w:tcPr>
          <w:p w14:paraId="7EEA3A8A"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C3D1382"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2DACA646" w14:textId="77777777" w:rsidTr="00551ED4">
        <w:trPr>
          <w:trHeight w:val="344"/>
          <w:jc w:val="center"/>
        </w:trPr>
        <w:tc>
          <w:tcPr>
            <w:tcW w:w="5000" w:type="pct"/>
          </w:tcPr>
          <w:p w14:paraId="6569873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1C741DEC" w14:textId="5722234B" w:rsidR="000B32EC" w:rsidRPr="00E86637" w:rsidRDefault="00167857" w:rsidP="003E09CC">
            <w:pPr>
              <w:autoSpaceDE w:val="0"/>
              <w:autoSpaceDN w:val="0"/>
              <w:adjustRightInd w:val="0"/>
              <w:rPr>
                <w:rFonts w:cs="Times-Bold"/>
                <w:b/>
                <w:sz w:val="20"/>
                <w:szCs w:val="20"/>
              </w:rPr>
            </w:pPr>
            <w:r w:rsidRPr="00F56C25">
              <w:rPr>
                <w:rFonts w:cs="Times-Bold"/>
                <w:b/>
                <w:sz w:val="20"/>
                <w:szCs w:val="20"/>
              </w:rPr>
              <w:t>criteria)</w:t>
            </w:r>
            <w:r w:rsidR="002743A5">
              <w:rPr>
                <w:rFonts w:cs="Times-Bold"/>
                <w:b/>
                <w:sz w:val="20"/>
                <w:szCs w:val="20"/>
              </w:rPr>
              <w:t xml:space="preserve"> </w:t>
            </w:r>
          </w:p>
        </w:tc>
      </w:tr>
      <w:tr w:rsidR="000B32EC" w:rsidRPr="00E86637" w14:paraId="4886DF4D" w14:textId="77777777" w:rsidTr="00551ED4">
        <w:trPr>
          <w:trHeight w:val="266"/>
          <w:jc w:val="center"/>
        </w:trPr>
        <w:tc>
          <w:tcPr>
            <w:tcW w:w="5000" w:type="pct"/>
          </w:tcPr>
          <w:p w14:paraId="43BED28F" w14:textId="77777777" w:rsidR="003E09CC"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r w:rsidR="00C43F5B">
              <w:rPr>
                <w:rFonts w:cs="Times-Roman"/>
                <w:sz w:val="18"/>
                <w:szCs w:val="18"/>
              </w:rPr>
              <w:t xml:space="preserve"> </w:t>
            </w:r>
          </w:p>
          <w:p w14:paraId="5373A677" w14:textId="4A14A5F0" w:rsidR="000B32EC" w:rsidRPr="00E86637" w:rsidRDefault="003E09CC" w:rsidP="00551ED4">
            <w:pPr>
              <w:autoSpaceDE w:val="0"/>
              <w:autoSpaceDN w:val="0"/>
              <w:adjustRightInd w:val="0"/>
              <w:rPr>
                <w:rFonts w:cs="Times-Roman"/>
                <w:sz w:val="18"/>
                <w:szCs w:val="18"/>
              </w:rPr>
            </w:pPr>
            <w:r w:rsidRPr="00C43F5B">
              <w:rPr>
                <w:rFonts w:cs="Times-Roman"/>
                <w:i/>
                <w:sz w:val="20"/>
                <w:szCs w:val="20"/>
              </w:rPr>
              <w:t>The Guidelines will secure common and effective action to prevent introduction and spread of pests via movement of wood packaging material</w:t>
            </w:r>
            <w:r>
              <w:rPr>
                <w:rFonts w:cs="Times-Roman"/>
                <w:i/>
                <w:sz w:val="20"/>
                <w:szCs w:val="20"/>
              </w:rPr>
              <w:t>. This will be achieved</w:t>
            </w:r>
            <w:r w:rsidRPr="00C43F5B">
              <w:rPr>
                <w:rFonts w:cs="Times-Roman"/>
                <w:i/>
                <w:sz w:val="20"/>
                <w:szCs w:val="20"/>
              </w:rPr>
              <w:t xml:space="preserve"> by ensuring harmonized approach to correctly identifying and responding to non-compliance for ISPM 15. This will prevent disagreements between NPPOs over which non-compliance reporting is justified and secure the correct </w:t>
            </w:r>
            <w:proofErr w:type="spellStart"/>
            <w:r w:rsidRPr="00C43F5B">
              <w:rPr>
                <w:rFonts w:cs="Times-Roman"/>
                <w:i/>
                <w:sz w:val="20"/>
                <w:szCs w:val="20"/>
              </w:rPr>
              <w:t>phytosanitary</w:t>
            </w:r>
            <w:proofErr w:type="spellEnd"/>
            <w:r w:rsidRPr="00C43F5B">
              <w:rPr>
                <w:rFonts w:cs="Times-Roman"/>
                <w:i/>
                <w:sz w:val="20"/>
                <w:szCs w:val="20"/>
              </w:rPr>
              <w:t xml:space="preserve"> actions.</w:t>
            </w:r>
          </w:p>
          <w:p w14:paraId="16C617AC" w14:textId="77777777" w:rsidR="000B32EC" w:rsidRPr="00E86637" w:rsidRDefault="000B32EC" w:rsidP="00551ED4">
            <w:pPr>
              <w:autoSpaceDE w:val="0"/>
              <w:autoSpaceDN w:val="0"/>
              <w:adjustRightInd w:val="0"/>
              <w:rPr>
                <w:rFonts w:cs="Times-Roman"/>
                <w:sz w:val="18"/>
                <w:szCs w:val="18"/>
              </w:rPr>
            </w:pPr>
          </w:p>
        </w:tc>
      </w:tr>
      <w:tr w:rsidR="000B32EC" w:rsidRPr="00E86637" w14:paraId="6D14D076" w14:textId="77777777" w:rsidTr="00551ED4">
        <w:trPr>
          <w:trHeight w:val="266"/>
          <w:jc w:val="center"/>
        </w:trPr>
        <w:tc>
          <w:tcPr>
            <w:tcW w:w="5000" w:type="pct"/>
          </w:tcPr>
          <w:p w14:paraId="79316130" w14:textId="77777777" w:rsidR="000B32EC" w:rsidRPr="00E86637" w:rsidRDefault="00167857" w:rsidP="00551ED4">
            <w:pPr>
              <w:autoSpaceDE w:val="0"/>
              <w:autoSpaceDN w:val="0"/>
              <w:adjustRightInd w:val="0"/>
              <w:rPr>
                <w:szCs w:val="22"/>
              </w:rPr>
            </w:pPr>
            <w:r w:rsidRPr="00F56C25">
              <w:rPr>
                <w:rFonts w:cs="Times-Roman"/>
                <w:sz w:val="18"/>
                <w:szCs w:val="18"/>
              </w:rPr>
              <w:t>Linkage to IPPC Strategic Objectives (SOs) and Organizational results demonstrated.</w:t>
            </w:r>
          </w:p>
          <w:p w14:paraId="766A74EE" w14:textId="68065CC0" w:rsidR="000B32EC" w:rsidRPr="00B33DF3" w:rsidRDefault="00B33DF3" w:rsidP="00B33DF3">
            <w:pPr>
              <w:autoSpaceDE w:val="0"/>
              <w:autoSpaceDN w:val="0"/>
              <w:adjustRightInd w:val="0"/>
              <w:jc w:val="left"/>
              <w:rPr>
                <w:rFonts w:cs="Times-Roman"/>
                <w:sz w:val="20"/>
                <w:szCs w:val="20"/>
              </w:rPr>
            </w:pPr>
            <w:r w:rsidRPr="00B33DF3">
              <w:rPr>
                <w:i/>
                <w:sz w:val="20"/>
                <w:szCs w:val="20"/>
                <w:lang w:val="en-US"/>
              </w:rPr>
              <w:t xml:space="preserve">The Guidelines will help improving </w:t>
            </w:r>
            <w:proofErr w:type="spellStart"/>
            <w:r w:rsidRPr="00B33DF3">
              <w:rPr>
                <w:i/>
                <w:sz w:val="20"/>
                <w:szCs w:val="20"/>
                <w:lang w:val="en-US"/>
              </w:rPr>
              <w:t>phytosanitary</w:t>
            </w:r>
            <w:proofErr w:type="spellEnd"/>
            <w:r w:rsidRPr="00B33DF3">
              <w:rPr>
                <w:i/>
                <w:sz w:val="20"/>
                <w:szCs w:val="20"/>
                <w:lang w:val="en-US"/>
              </w:rPr>
              <w:t xml:space="preserve"> capacity of NPPOs in accomplishing main IPPC Strategic Objectives, i.e., protecting environment from introduction </w:t>
            </w:r>
            <w:r>
              <w:rPr>
                <w:i/>
                <w:sz w:val="20"/>
                <w:szCs w:val="20"/>
                <w:lang w:val="en-US"/>
              </w:rPr>
              <w:t xml:space="preserve">and spread </w:t>
            </w:r>
            <w:r w:rsidRPr="00B33DF3">
              <w:rPr>
                <w:i/>
                <w:sz w:val="20"/>
                <w:szCs w:val="20"/>
                <w:lang w:val="en-US"/>
              </w:rPr>
              <w:t xml:space="preserve">of </w:t>
            </w:r>
            <w:r>
              <w:rPr>
                <w:i/>
                <w:sz w:val="20"/>
                <w:szCs w:val="20"/>
                <w:lang w:val="en-US"/>
              </w:rPr>
              <w:t xml:space="preserve">tree </w:t>
            </w:r>
            <w:r w:rsidRPr="00B33DF3">
              <w:rPr>
                <w:i/>
                <w:sz w:val="20"/>
                <w:szCs w:val="20"/>
                <w:lang w:val="en-US"/>
              </w:rPr>
              <w:t xml:space="preserve">pests and by facilitating safe trade in </w:t>
            </w:r>
            <w:r>
              <w:rPr>
                <w:i/>
                <w:sz w:val="20"/>
                <w:szCs w:val="20"/>
                <w:lang w:val="en-US"/>
              </w:rPr>
              <w:t>wood commodities that are pest free.</w:t>
            </w:r>
            <w:r w:rsidRPr="00B33DF3">
              <w:rPr>
                <w:i/>
                <w:sz w:val="20"/>
                <w:szCs w:val="20"/>
                <w:lang w:val="en-US"/>
              </w:rPr>
              <w:t xml:space="preserve"> </w:t>
            </w:r>
          </w:p>
        </w:tc>
      </w:tr>
      <w:tr w:rsidR="000B32EC" w:rsidRPr="00E86637" w14:paraId="385E5870" w14:textId="77777777" w:rsidTr="00551ED4">
        <w:trPr>
          <w:trHeight w:val="283"/>
          <w:jc w:val="center"/>
        </w:trPr>
        <w:tc>
          <w:tcPr>
            <w:tcW w:w="5000" w:type="pct"/>
          </w:tcPr>
          <w:p w14:paraId="528E1E66" w14:textId="151C643C"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135A9540" w14:textId="73FE1D28" w:rsidR="00800909" w:rsidRPr="00B33DF3" w:rsidRDefault="00800909" w:rsidP="00800909">
            <w:pPr>
              <w:rPr>
                <w:i/>
                <w:sz w:val="20"/>
                <w:szCs w:val="20"/>
              </w:rPr>
            </w:pPr>
            <w:r w:rsidRPr="00B33DF3">
              <w:rPr>
                <w:i/>
                <w:sz w:val="20"/>
                <w:szCs w:val="20"/>
              </w:rPr>
              <w:t>The ISPM 15 is already globally implemented</w:t>
            </w:r>
            <w:r w:rsidR="00B33DF3">
              <w:rPr>
                <w:i/>
                <w:sz w:val="20"/>
                <w:szCs w:val="20"/>
              </w:rPr>
              <w:t>. T</w:t>
            </w:r>
            <w:r w:rsidRPr="00B33DF3">
              <w:rPr>
                <w:i/>
                <w:sz w:val="20"/>
                <w:szCs w:val="20"/>
              </w:rPr>
              <w:t xml:space="preserve">he new guidance will further improve </w:t>
            </w:r>
            <w:r w:rsidR="00B33DF3">
              <w:rPr>
                <w:i/>
                <w:sz w:val="20"/>
                <w:szCs w:val="20"/>
              </w:rPr>
              <w:t>its</w:t>
            </w:r>
            <w:r w:rsidRPr="00B33DF3">
              <w:rPr>
                <w:i/>
                <w:sz w:val="20"/>
                <w:szCs w:val="20"/>
              </w:rPr>
              <w:t xml:space="preserve"> implementation</w:t>
            </w:r>
            <w:r w:rsidR="00B33DF3">
              <w:rPr>
                <w:i/>
                <w:sz w:val="20"/>
                <w:szCs w:val="20"/>
              </w:rPr>
              <w:t xml:space="preserve"> by</w:t>
            </w:r>
            <w:r w:rsidRPr="00B33DF3">
              <w:rPr>
                <w:i/>
                <w:sz w:val="20"/>
                <w:szCs w:val="20"/>
              </w:rPr>
              <w:t xml:space="preserve"> harmoniz</w:t>
            </w:r>
            <w:r w:rsidR="00B33DF3">
              <w:rPr>
                <w:i/>
                <w:sz w:val="20"/>
                <w:szCs w:val="20"/>
              </w:rPr>
              <w:t>ing</w:t>
            </w:r>
            <w:r w:rsidRPr="00B33DF3">
              <w:rPr>
                <w:i/>
                <w:sz w:val="20"/>
                <w:szCs w:val="20"/>
              </w:rPr>
              <w:t xml:space="preserve"> the understanding </w:t>
            </w:r>
            <w:r w:rsidR="000B2B1B" w:rsidRPr="00B33DF3">
              <w:rPr>
                <w:i/>
                <w:sz w:val="20"/>
                <w:szCs w:val="20"/>
              </w:rPr>
              <w:t>of what actual</w:t>
            </w:r>
            <w:r w:rsidRPr="00B33DF3">
              <w:rPr>
                <w:i/>
                <w:sz w:val="20"/>
                <w:szCs w:val="20"/>
              </w:rPr>
              <w:t xml:space="preserve"> non-compliance for this standard </w:t>
            </w:r>
            <w:r w:rsidR="00B33DF3">
              <w:rPr>
                <w:i/>
                <w:sz w:val="20"/>
                <w:szCs w:val="20"/>
              </w:rPr>
              <w:t xml:space="preserve">is </w:t>
            </w:r>
            <w:r w:rsidR="000B2B1B" w:rsidRPr="00B33DF3">
              <w:rPr>
                <w:i/>
                <w:sz w:val="20"/>
                <w:szCs w:val="20"/>
              </w:rPr>
              <w:t xml:space="preserve">and </w:t>
            </w:r>
            <w:r w:rsidR="00B33DF3">
              <w:rPr>
                <w:i/>
                <w:sz w:val="20"/>
                <w:szCs w:val="20"/>
              </w:rPr>
              <w:t>by</w:t>
            </w:r>
            <w:r w:rsidR="000B2B1B" w:rsidRPr="00B33DF3">
              <w:rPr>
                <w:i/>
                <w:sz w:val="20"/>
                <w:szCs w:val="20"/>
              </w:rPr>
              <w:t xml:space="preserve"> provid</w:t>
            </w:r>
            <w:r w:rsidR="00B33DF3">
              <w:rPr>
                <w:i/>
                <w:sz w:val="20"/>
                <w:szCs w:val="20"/>
              </w:rPr>
              <w:t>ing</w:t>
            </w:r>
            <w:r w:rsidR="000B2B1B" w:rsidRPr="00B33DF3">
              <w:rPr>
                <w:i/>
                <w:sz w:val="20"/>
                <w:szCs w:val="20"/>
              </w:rPr>
              <w:t xml:space="preserve"> examples of decision making under </w:t>
            </w:r>
            <w:r w:rsidRPr="00B33DF3">
              <w:rPr>
                <w:i/>
                <w:sz w:val="20"/>
                <w:szCs w:val="20"/>
              </w:rPr>
              <w:t xml:space="preserve">different </w:t>
            </w:r>
            <w:r w:rsidR="00B33DF3">
              <w:rPr>
                <w:i/>
                <w:sz w:val="20"/>
                <w:szCs w:val="20"/>
              </w:rPr>
              <w:t>circumstances</w:t>
            </w:r>
            <w:r w:rsidRPr="00B33DF3">
              <w:rPr>
                <w:i/>
                <w:sz w:val="20"/>
                <w:szCs w:val="20"/>
              </w:rPr>
              <w:t xml:space="preserve">. </w:t>
            </w:r>
          </w:p>
          <w:p w14:paraId="4498E38C" w14:textId="680E9AEE" w:rsidR="00167857" w:rsidRPr="00E86637" w:rsidRDefault="00800909" w:rsidP="00800909">
            <w:pPr>
              <w:rPr>
                <w:rFonts w:cs="Times-Bold"/>
                <w:bCs/>
                <w:sz w:val="20"/>
                <w:szCs w:val="20"/>
                <w:u w:val="single"/>
              </w:rPr>
            </w:pPr>
            <w:r>
              <w:rPr>
                <w:sz w:val="18"/>
                <w:szCs w:val="18"/>
              </w:rPr>
              <w:t xml:space="preserve"> </w:t>
            </w:r>
          </w:p>
        </w:tc>
      </w:tr>
      <w:tr w:rsidR="000B32EC" w:rsidRPr="00E86637" w14:paraId="145ED092" w14:textId="77777777" w:rsidTr="00551ED4">
        <w:trPr>
          <w:trHeight w:val="125"/>
          <w:jc w:val="center"/>
        </w:trPr>
        <w:tc>
          <w:tcPr>
            <w:tcW w:w="5000" w:type="pct"/>
          </w:tcPr>
          <w:p w14:paraId="16738DB7" w14:textId="77777777" w:rsidR="000B32EC"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0C636EAC" w14:textId="32B44208" w:rsidR="006F5526" w:rsidRPr="006C01F3" w:rsidRDefault="006F5526" w:rsidP="006F5526">
            <w:pPr>
              <w:rPr>
                <w:i/>
                <w:sz w:val="20"/>
                <w:szCs w:val="20"/>
              </w:rPr>
            </w:pPr>
            <w:r w:rsidRPr="006C01F3">
              <w:rPr>
                <w:i/>
                <w:sz w:val="20"/>
                <w:szCs w:val="20"/>
              </w:rPr>
              <w:t xml:space="preserve">Substantial debate surrounds the impact and effectiveness of ISPM 15 implementation, including the findings of trading partners regarding compliance and information collected and </w:t>
            </w:r>
            <w:proofErr w:type="spellStart"/>
            <w:r w:rsidRPr="006C01F3">
              <w:rPr>
                <w:i/>
                <w:sz w:val="20"/>
                <w:szCs w:val="20"/>
              </w:rPr>
              <w:t>analyzed</w:t>
            </w:r>
            <w:proofErr w:type="spellEnd"/>
            <w:r w:rsidRPr="006C01F3">
              <w:rPr>
                <w:i/>
                <w:sz w:val="20"/>
                <w:szCs w:val="20"/>
              </w:rPr>
              <w:t xml:space="preserve"> by academics and others on the national or global significance of the standard.</w:t>
            </w:r>
            <w:r w:rsidR="00800909" w:rsidRPr="006C01F3">
              <w:rPr>
                <w:i/>
                <w:sz w:val="20"/>
                <w:szCs w:val="20"/>
              </w:rPr>
              <w:t xml:space="preserve"> </w:t>
            </w:r>
            <w:r w:rsidRPr="006C01F3">
              <w:rPr>
                <w:i/>
                <w:sz w:val="20"/>
                <w:szCs w:val="20"/>
              </w:rPr>
              <w:t xml:space="preserve">While the plant pest risk associated with wood packing has been certainly substantially </w:t>
            </w:r>
            <w:r w:rsidR="00800909" w:rsidRPr="006C01F3">
              <w:rPr>
                <w:i/>
                <w:sz w:val="20"/>
                <w:szCs w:val="20"/>
              </w:rPr>
              <w:t>reduce</w:t>
            </w:r>
            <w:r w:rsidRPr="006C01F3">
              <w:rPr>
                <w:i/>
                <w:sz w:val="20"/>
                <w:szCs w:val="20"/>
              </w:rPr>
              <w:t>d through the implementation of ISPM 15, the questions remain on how well it is working, whether it provides enough protection, and does it reduce trade friction. The data needed to answer these questions come largely from the operational results of implementation which involves national records on incidents of non-compliance.  Unfortunately, there is currently no harmonized understanding of non-compliance for ISPM 15 and therefore no reliable data from which to judge the effect of the standard.</w:t>
            </w:r>
          </w:p>
          <w:p w14:paraId="5D99720E" w14:textId="51A7030F" w:rsidR="006F5526" w:rsidRPr="006C01F3" w:rsidRDefault="006F5526" w:rsidP="006F5526">
            <w:pPr>
              <w:rPr>
                <w:i/>
                <w:sz w:val="20"/>
                <w:szCs w:val="20"/>
              </w:rPr>
            </w:pPr>
            <w:r w:rsidRPr="006C01F3">
              <w:rPr>
                <w:i/>
                <w:sz w:val="20"/>
                <w:szCs w:val="20"/>
              </w:rPr>
              <w:t xml:space="preserve">The pest risk management design of ISPM 15 is widely misunderstood to establish an international </w:t>
            </w:r>
            <w:r w:rsidR="001C12E2">
              <w:rPr>
                <w:i/>
                <w:sz w:val="20"/>
                <w:szCs w:val="20"/>
              </w:rPr>
              <w:t>appropriate level of protection (</w:t>
            </w:r>
            <w:r w:rsidRPr="006C01F3">
              <w:rPr>
                <w:i/>
                <w:sz w:val="20"/>
                <w:szCs w:val="20"/>
              </w:rPr>
              <w:t>ALOP</w:t>
            </w:r>
            <w:r w:rsidR="001C12E2">
              <w:rPr>
                <w:i/>
                <w:sz w:val="20"/>
                <w:szCs w:val="20"/>
              </w:rPr>
              <w:t>)</w:t>
            </w:r>
            <w:r w:rsidRPr="006C01F3">
              <w:rPr>
                <w:i/>
                <w:sz w:val="20"/>
                <w:szCs w:val="20"/>
              </w:rPr>
              <w:t>.  It does not.  ISPM 15 establishes a level of risk mitigation that all countries have agreed will be a baseline.  It will be stronger than needed for many and less than adequate for others.  The level of non-compliance in implementation is key to whether the standard achieves its intended effect (high compliance) or is substantially weakened for all countries (low compliance).  Clear agreement on the definition of compliance is therefore essential.</w:t>
            </w:r>
          </w:p>
          <w:p w14:paraId="62B97E6B" w14:textId="77777777" w:rsidR="006F5526" w:rsidRPr="006C01F3" w:rsidRDefault="006F5526" w:rsidP="006F5526">
            <w:pPr>
              <w:rPr>
                <w:i/>
                <w:sz w:val="20"/>
                <w:szCs w:val="20"/>
              </w:rPr>
            </w:pPr>
            <w:r w:rsidRPr="006C01F3">
              <w:rPr>
                <w:i/>
                <w:sz w:val="20"/>
                <w:szCs w:val="20"/>
              </w:rPr>
              <w:t>Each of the treatments in ISPM 15 have different levels of efficacy for different pests in different woods under different conditions.  This makes it impossible to have a one-size-fits-all definition.  There are however certain clear points of non-compliance that can be agreed.  First is that wood without the requisite stamp or with an unauthorized stamp is non</w:t>
            </w:r>
            <w:r w:rsidRPr="00782FDA">
              <w:rPr>
                <w:i/>
                <w:sz w:val="20"/>
                <w:szCs w:val="20"/>
              </w:rPr>
              <w:t>-compliant whether or not pests are found.  Likewise, with the presence of excess bark.  The difficulty comes with</w:t>
            </w:r>
            <w:r w:rsidRPr="006F5526">
              <w:rPr>
                <w:sz w:val="20"/>
                <w:szCs w:val="20"/>
              </w:rPr>
              <w:t xml:space="preserve"> </w:t>
            </w:r>
            <w:r w:rsidRPr="006C01F3">
              <w:rPr>
                <w:i/>
                <w:sz w:val="20"/>
                <w:szCs w:val="20"/>
              </w:rPr>
              <w:t>pest presence.</w:t>
            </w:r>
          </w:p>
          <w:p w14:paraId="0133A7F7" w14:textId="77777777" w:rsidR="006F5526" w:rsidRPr="006C01F3" w:rsidRDefault="006F5526" w:rsidP="006F5526">
            <w:pPr>
              <w:rPr>
                <w:i/>
                <w:sz w:val="20"/>
                <w:szCs w:val="20"/>
              </w:rPr>
            </w:pPr>
            <w:r w:rsidRPr="006C01F3">
              <w:rPr>
                <w:i/>
                <w:sz w:val="20"/>
                <w:szCs w:val="20"/>
              </w:rPr>
              <w:t xml:space="preserve">As stated above, ISPM 15 is not effective for all wood pests.  For instance, it was not intended to address secondary invaders like termites, carpenter bees, or snails.  Although these pests may require action if detected, they do not represent non-compliance with ISPM 15.  Other pests may be “green wood” pests but are outside the efficacy range for ISPM 15 treatments (e.g., some insects, deep-wood fungi).  These also may require action but should not count as ISPM 15 non-compliance.  Some countries take action on wood packing based only on signs of pests (e.g., holes, galleries, </w:t>
            </w:r>
            <w:proofErr w:type="spellStart"/>
            <w:r w:rsidRPr="006C01F3">
              <w:rPr>
                <w:i/>
                <w:sz w:val="20"/>
                <w:szCs w:val="20"/>
              </w:rPr>
              <w:t>frass</w:t>
            </w:r>
            <w:proofErr w:type="spellEnd"/>
            <w:r w:rsidRPr="006C01F3">
              <w:rPr>
                <w:i/>
                <w:sz w:val="20"/>
                <w:szCs w:val="20"/>
              </w:rPr>
              <w:t xml:space="preserve">, stain).  In the absence of a live pest, the justification for such actions is challengeable, as is the record of non-compliance with ISPM 15. </w:t>
            </w:r>
          </w:p>
          <w:p w14:paraId="6718D3E1" w14:textId="77777777" w:rsidR="008B75E0" w:rsidRPr="00F56C25" w:rsidRDefault="008B75E0" w:rsidP="00167857">
            <w:pPr>
              <w:autoSpaceDE w:val="0"/>
              <w:autoSpaceDN w:val="0"/>
              <w:adjustRightInd w:val="0"/>
              <w:rPr>
                <w:sz w:val="18"/>
                <w:szCs w:val="18"/>
              </w:rPr>
            </w:pPr>
          </w:p>
          <w:p w14:paraId="6A1074D4" w14:textId="77777777" w:rsidR="000B32EC" w:rsidRPr="00F56C25" w:rsidRDefault="000B32EC" w:rsidP="00551ED4">
            <w:pPr>
              <w:autoSpaceDE w:val="0"/>
              <w:autoSpaceDN w:val="0"/>
              <w:adjustRightInd w:val="0"/>
              <w:rPr>
                <w:rFonts w:cs="Times-Roman"/>
                <w:sz w:val="18"/>
                <w:szCs w:val="18"/>
              </w:rPr>
            </w:pPr>
          </w:p>
        </w:tc>
      </w:tr>
      <w:tr w:rsidR="000B32EC" w:rsidRPr="00E86637" w14:paraId="6FF17504" w14:textId="77777777" w:rsidTr="00551ED4">
        <w:trPr>
          <w:trHeight w:val="397"/>
          <w:jc w:val="center"/>
        </w:trPr>
        <w:tc>
          <w:tcPr>
            <w:tcW w:w="5000" w:type="pct"/>
          </w:tcPr>
          <w:p w14:paraId="46D1EBD0" w14:textId="61051886" w:rsidR="00167857" w:rsidRPr="00E86637" w:rsidRDefault="00167857" w:rsidP="00625093">
            <w:pPr>
              <w:autoSpaceDE w:val="0"/>
              <w:autoSpaceDN w:val="0"/>
              <w:rPr>
                <w:sz w:val="18"/>
                <w:szCs w:val="18"/>
              </w:rPr>
            </w:pPr>
            <w:r w:rsidRPr="00F56C25">
              <w:rPr>
                <w:sz w:val="18"/>
                <w:szCs w:val="18"/>
              </w:rPr>
              <w:lastRenderedPageBreak/>
              <w:t>Availability of, or possibility to collect, information in support of the proposed standard or implementation resource (e.g. scientific, historical, technical information, experience).</w:t>
            </w:r>
            <w:r w:rsidR="00BA5D6D">
              <w:rPr>
                <w:sz w:val="18"/>
                <w:szCs w:val="18"/>
              </w:rPr>
              <w:t xml:space="preserve"> </w:t>
            </w:r>
            <w:r w:rsidR="00BA5D6D" w:rsidRPr="00BA5D6D">
              <w:rPr>
                <w:i/>
                <w:sz w:val="20"/>
                <w:szCs w:val="20"/>
              </w:rPr>
              <w:t xml:space="preserve">Information </w:t>
            </w:r>
            <w:r w:rsidR="00625093">
              <w:rPr>
                <w:i/>
                <w:sz w:val="20"/>
                <w:szCs w:val="20"/>
              </w:rPr>
              <w:t xml:space="preserve">should be </w:t>
            </w:r>
            <w:r w:rsidR="00BA5D6D" w:rsidRPr="00BA5D6D">
              <w:rPr>
                <w:i/>
                <w:sz w:val="20"/>
                <w:szCs w:val="20"/>
              </w:rPr>
              <w:t xml:space="preserve">available globally </w:t>
            </w:r>
            <w:r w:rsidR="00625093">
              <w:rPr>
                <w:i/>
                <w:sz w:val="20"/>
                <w:szCs w:val="20"/>
              </w:rPr>
              <w:t>from</w:t>
            </w:r>
            <w:r w:rsidR="00BA5D6D" w:rsidRPr="00BA5D6D">
              <w:rPr>
                <w:i/>
                <w:sz w:val="20"/>
                <w:szCs w:val="20"/>
              </w:rPr>
              <w:t xml:space="preserve"> </w:t>
            </w:r>
            <w:r w:rsidR="00BA5D6D" w:rsidRPr="00BA5D6D">
              <w:rPr>
                <w:i/>
                <w:color w:val="000000"/>
                <w:sz w:val="20"/>
                <w:szCs w:val="20"/>
              </w:rPr>
              <w:t>NPPOs</w:t>
            </w:r>
            <w:r w:rsidR="00625093">
              <w:rPr>
                <w:i/>
                <w:color w:val="000000"/>
                <w:sz w:val="20"/>
                <w:szCs w:val="20"/>
              </w:rPr>
              <w:t xml:space="preserve"> who</w:t>
            </w:r>
            <w:r w:rsidR="00BA5D6D" w:rsidRPr="00BA5D6D">
              <w:rPr>
                <w:i/>
                <w:color w:val="000000"/>
                <w:sz w:val="20"/>
                <w:szCs w:val="20"/>
              </w:rPr>
              <w:t xml:space="preserve"> have polices for their actions and records of </w:t>
            </w:r>
            <w:r w:rsidR="00BA5D6D">
              <w:rPr>
                <w:i/>
                <w:color w:val="000000"/>
                <w:sz w:val="20"/>
                <w:szCs w:val="20"/>
              </w:rPr>
              <w:t xml:space="preserve">non-compliance </w:t>
            </w:r>
            <w:r w:rsidR="00BA5D6D" w:rsidRPr="00BA5D6D">
              <w:rPr>
                <w:i/>
                <w:color w:val="000000"/>
                <w:sz w:val="20"/>
                <w:szCs w:val="20"/>
              </w:rPr>
              <w:t>notifications</w:t>
            </w:r>
            <w:r w:rsidR="00BA5D6D">
              <w:rPr>
                <w:i/>
                <w:color w:val="000000"/>
                <w:sz w:val="20"/>
                <w:szCs w:val="20"/>
              </w:rPr>
              <w:t>.</w:t>
            </w:r>
          </w:p>
          <w:p w14:paraId="7E5076FB" w14:textId="77777777" w:rsidR="000B32EC" w:rsidRPr="00E86637" w:rsidRDefault="000B32EC" w:rsidP="00551ED4">
            <w:pPr>
              <w:autoSpaceDE w:val="0"/>
              <w:autoSpaceDN w:val="0"/>
              <w:adjustRightInd w:val="0"/>
              <w:rPr>
                <w:rFonts w:cs="Times-Roman"/>
                <w:sz w:val="18"/>
                <w:szCs w:val="18"/>
              </w:rPr>
            </w:pPr>
          </w:p>
        </w:tc>
      </w:tr>
    </w:tbl>
    <w:p w14:paraId="1D2301C8" w14:textId="7B8ACDA4"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491C0EF3" w14:textId="77777777" w:rsidTr="00FD01BE">
        <w:trPr>
          <w:trHeight w:val="388"/>
        </w:trPr>
        <w:tc>
          <w:tcPr>
            <w:tcW w:w="9786" w:type="dxa"/>
            <w:tcMar>
              <w:top w:w="28" w:type="dxa"/>
              <w:bottom w:w="57" w:type="dxa"/>
            </w:tcMar>
          </w:tcPr>
          <w:p w14:paraId="63081BB6"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6CAE3247" w14:textId="77777777" w:rsidTr="00FD01BE">
        <w:trPr>
          <w:trHeight w:val="668"/>
        </w:trPr>
        <w:tc>
          <w:tcPr>
            <w:tcW w:w="9786" w:type="dxa"/>
            <w:tcMar>
              <w:top w:w="28" w:type="dxa"/>
              <w:bottom w:w="57" w:type="dxa"/>
            </w:tcMar>
          </w:tcPr>
          <w:p w14:paraId="54766774"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5D6BAB8C"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356D1C96" w14:textId="77777777" w:rsidR="000B32EC"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p w14:paraId="06A114F8" w14:textId="0AA37BC7" w:rsidR="00625093" w:rsidRPr="00625093" w:rsidRDefault="00625093" w:rsidP="00625093">
            <w:pPr>
              <w:autoSpaceDE w:val="0"/>
              <w:autoSpaceDN w:val="0"/>
              <w:adjustRightInd w:val="0"/>
              <w:ind w:left="360"/>
              <w:rPr>
                <w:i/>
                <w:sz w:val="20"/>
                <w:szCs w:val="20"/>
              </w:rPr>
            </w:pPr>
            <w:r w:rsidRPr="00625093">
              <w:rPr>
                <w:i/>
                <w:sz w:val="20"/>
                <w:szCs w:val="20"/>
              </w:rPr>
              <w:t>Expertise is available internationally, including</w:t>
            </w:r>
            <w:r>
              <w:rPr>
                <w:i/>
                <w:sz w:val="20"/>
                <w:szCs w:val="20"/>
              </w:rPr>
              <w:t xml:space="preserve"> </w:t>
            </w:r>
            <w:r w:rsidR="00782FDA">
              <w:rPr>
                <w:i/>
                <w:sz w:val="20"/>
                <w:szCs w:val="20"/>
              </w:rPr>
              <w:t xml:space="preserve">from </w:t>
            </w:r>
            <w:r>
              <w:rPr>
                <w:i/>
                <w:sz w:val="20"/>
                <w:szCs w:val="20"/>
              </w:rPr>
              <w:t>NPPOs, TPFQ, and IF</w:t>
            </w:r>
            <w:r w:rsidR="001C12E2">
              <w:rPr>
                <w:i/>
                <w:sz w:val="20"/>
                <w:szCs w:val="20"/>
              </w:rPr>
              <w:t>Q</w:t>
            </w:r>
            <w:r>
              <w:rPr>
                <w:i/>
                <w:sz w:val="20"/>
                <w:szCs w:val="20"/>
              </w:rPr>
              <w:t>RG.</w:t>
            </w:r>
          </w:p>
        </w:tc>
      </w:tr>
      <w:tr w:rsidR="000B32EC" w:rsidRPr="00E86637" w14:paraId="49A459F1" w14:textId="77777777" w:rsidTr="00FD01BE">
        <w:trPr>
          <w:trHeight w:val="869"/>
        </w:trPr>
        <w:tc>
          <w:tcPr>
            <w:tcW w:w="9786" w:type="dxa"/>
            <w:tcMar>
              <w:top w:w="28" w:type="dxa"/>
              <w:bottom w:w="57" w:type="dxa"/>
            </w:tcMar>
          </w:tcPr>
          <w:p w14:paraId="71CBB2DE" w14:textId="55E9E462"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2E99F033" w14:textId="77777777" w:rsidR="00167857"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40108C79" w14:textId="77777777" w:rsidR="000B32EC"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r w:rsidR="00782FDA">
              <w:rPr>
                <w:sz w:val="18"/>
                <w:szCs w:val="18"/>
              </w:rPr>
              <w:t xml:space="preserve"> </w:t>
            </w:r>
          </w:p>
          <w:p w14:paraId="3A696DE2" w14:textId="63332F57" w:rsidR="00C34640" w:rsidRDefault="00DD4F8D" w:rsidP="007C5989">
            <w:pPr>
              <w:tabs>
                <w:tab w:val="left" w:pos="720"/>
              </w:tabs>
              <w:rPr>
                <w:i/>
                <w:sz w:val="20"/>
                <w:szCs w:val="20"/>
              </w:rPr>
            </w:pPr>
            <w:r>
              <w:rPr>
                <w:i/>
                <w:sz w:val="20"/>
                <w:szCs w:val="20"/>
              </w:rPr>
              <w:t>The total value</w:t>
            </w:r>
            <w:r w:rsidR="00C34640">
              <w:rPr>
                <w:i/>
                <w:sz w:val="20"/>
                <w:szCs w:val="20"/>
              </w:rPr>
              <w:t xml:space="preserve"> of </w:t>
            </w:r>
            <w:r w:rsidR="00E64BBB">
              <w:rPr>
                <w:i/>
                <w:sz w:val="20"/>
                <w:szCs w:val="20"/>
              </w:rPr>
              <w:t xml:space="preserve">minimally </w:t>
            </w:r>
            <w:r>
              <w:rPr>
                <w:i/>
                <w:sz w:val="20"/>
                <w:szCs w:val="20"/>
              </w:rPr>
              <w:t xml:space="preserve">processed </w:t>
            </w:r>
            <w:r w:rsidR="00C34640">
              <w:rPr>
                <w:i/>
                <w:sz w:val="20"/>
                <w:szCs w:val="20"/>
              </w:rPr>
              <w:t>wood products exported globally in 2017 was $</w:t>
            </w:r>
            <w:r>
              <w:rPr>
                <w:i/>
                <w:sz w:val="20"/>
                <w:szCs w:val="20"/>
              </w:rPr>
              <w:t>80,612,766,</w:t>
            </w:r>
            <w:r w:rsidR="00C34640" w:rsidRPr="00C34640">
              <w:rPr>
                <w:i/>
                <w:sz w:val="20"/>
                <w:szCs w:val="20"/>
              </w:rPr>
              <w:t>08</w:t>
            </w:r>
            <w:r>
              <w:rPr>
                <w:i/>
                <w:sz w:val="20"/>
                <w:szCs w:val="20"/>
              </w:rPr>
              <w:t xml:space="preserve">0 ($80.6 billion </w:t>
            </w:r>
            <w:r w:rsidR="00E64BBB">
              <w:rPr>
                <w:i/>
                <w:sz w:val="20"/>
                <w:szCs w:val="20"/>
              </w:rPr>
              <w:t>U</w:t>
            </w:r>
            <w:r>
              <w:rPr>
                <w:i/>
                <w:sz w:val="20"/>
                <w:szCs w:val="20"/>
              </w:rPr>
              <w:t xml:space="preserve">SD) (Source FAO Stat). </w:t>
            </w:r>
          </w:p>
          <w:p w14:paraId="62A0B09D" w14:textId="5CD3264B" w:rsidR="00782FDA" w:rsidRPr="00BA500B" w:rsidRDefault="00782FDA" w:rsidP="007C5989">
            <w:pPr>
              <w:tabs>
                <w:tab w:val="left" w:pos="720"/>
              </w:tabs>
              <w:rPr>
                <w:i/>
                <w:sz w:val="20"/>
                <w:szCs w:val="20"/>
              </w:rPr>
            </w:pPr>
            <w:r w:rsidRPr="00BA500B">
              <w:rPr>
                <w:i/>
                <w:sz w:val="20"/>
                <w:szCs w:val="20"/>
              </w:rPr>
              <w:t xml:space="preserve">The new implementation guidelines will </w:t>
            </w:r>
            <w:r w:rsidR="007C5989">
              <w:rPr>
                <w:i/>
                <w:sz w:val="20"/>
                <w:szCs w:val="20"/>
              </w:rPr>
              <w:t>decrease</w:t>
            </w:r>
            <w:r w:rsidRPr="00BA500B">
              <w:rPr>
                <w:i/>
                <w:sz w:val="20"/>
                <w:szCs w:val="20"/>
              </w:rPr>
              <w:t xml:space="preserve"> the trade friction by reducing the number of </w:t>
            </w:r>
            <w:r w:rsidR="007C5989">
              <w:rPr>
                <w:i/>
                <w:sz w:val="20"/>
                <w:szCs w:val="20"/>
              </w:rPr>
              <w:t xml:space="preserve">unjustified </w:t>
            </w:r>
            <w:r w:rsidRPr="00BA500B">
              <w:rPr>
                <w:i/>
                <w:sz w:val="20"/>
                <w:szCs w:val="20"/>
              </w:rPr>
              <w:t>non-compliance report</w:t>
            </w:r>
            <w:r w:rsidR="008675A0">
              <w:rPr>
                <w:i/>
                <w:sz w:val="20"/>
                <w:szCs w:val="20"/>
              </w:rPr>
              <w:t>s</w:t>
            </w:r>
            <w:r w:rsidR="00BA500B" w:rsidRPr="00BA500B">
              <w:rPr>
                <w:i/>
                <w:sz w:val="20"/>
                <w:szCs w:val="20"/>
              </w:rPr>
              <w:t>.</w:t>
            </w:r>
          </w:p>
        </w:tc>
      </w:tr>
      <w:tr w:rsidR="000B32EC" w:rsidRPr="00E86637" w14:paraId="4674F40F" w14:textId="77777777" w:rsidTr="00FD01BE">
        <w:trPr>
          <w:trHeight w:val="781"/>
        </w:trPr>
        <w:tc>
          <w:tcPr>
            <w:tcW w:w="9786" w:type="dxa"/>
            <w:tcMar>
              <w:top w:w="28" w:type="dxa"/>
              <w:bottom w:w="57" w:type="dxa"/>
            </w:tcMar>
          </w:tcPr>
          <w:p w14:paraId="411B4366"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4DF57985"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 xml:space="preserve">Utility to reduce the potential negative environmental consequences of certain </w:t>
            </w:r>
            <w:proofErr w:type="spellStart"/>
            <w:r w:rsidRPr="00F56C25">
              <w:rPr>
                <w:sz w:val="18"/>
                <w:szCs w:val="18"/>
              </w:rPr>
              <w:t>phytosanitary</w:t>
            </w:r>
            <w:proofErr w:type="spellEnd"/>
            <w:r w:rsidRPr="00F56C25">
              <w:rPr>
                <w:sz w:val="18"/>
                <w:szCs w:val="18"/>
              </w:rPr>
              <w:t xml:space="preserve"> measures, for example reduction in global emissions for the protection of the ozone layer.</w:t>
            </w:r>
          </w:p>
          <w:p w14:paraId="5D43B882"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77CD5D3F" w14:textId="77777777" w:rsidR="000B32EC"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p w14:paraId="0A0A413A" w14:textId="01594C09" w:rsidR="00DD4F8D" w:rsidRPr="00DD4F8D" w:rsidRDefault="000E6AB5" w:rsidP="00E64BBB">
            <w:pPr>
              <w:tabs>
                <w:tab w:val="left" w:pos="720"/>
              </w:tabs>
              <w:rPr>
                <w:i/>
                <w:sz w:val="18"/>
                <w:szCs w:val="18"/>
              </w:rPr>
            </w:pPr>
            <w:r>
              <w:rPr>
                <w:i/>
                <w:sz w:val="18"/>
                <w:szCs w:val="18"/>
              </w:rPr>
              <w:t>T</w:t>
            </w:r>
            <w:r w:rsidR="00DD4F8D">
              <w:rPr>
                <w:i/>
                <w:sz w:val="18"/>
                <w:szCs w:val="18"/>
              </w:rPr>
              <w:t xml:space="preserve">he devastating effects of the invasive pests of </w:t>
            </w:r>
            <w:proofErr w:type="spellStart"/>
            <w:r w:rsidR="00DD4F8D" w:rsidRPr="000E6AB5">
              <w:rPr>
                <w:sz w:val="18"/>
                <w:szCs w:val="18"/>
              </w:rPr>
              <w:t>Agrilus</w:t>
            </w:r>
            <w:proofErr w:type="spellEnd"/>
            <w:r w:rsidR="00DD4F8D" w:rsidRPr="000E6AB5">
              <w:rPr>
                <w:sz w:val="18"/>
                <w:szCs w:val="18"/>
              </w:rPr>
              <w:t xml:space="preserve"> </w:t>
            </w:r>
            <w:proofErr w:type="spellStart"/>
            <w:r w:rsidR="00DD4F8D" w:rsidRPr="000E6AB5">
              <w:rPr>
                <w:sz w:val="18"/>
                <w:szCs w:val="18"/>
              </w:rPr>
              <w:t>planipennis</w:t>
            </w:r>
            <w:proofErr w:type="spellEnd"/>
            <w:r w:rsidR="00DD4F8D">
              <w:rPr>
                <w:i/>
                <w:sz w:val="18"/>
                <w:szCs w:val="18"/>
              </w:rPr>
              <w:t xml:space="preserve"> </w:t>
            </w:r>
            <w:r>
              <w:rPr>
                <w:i/>
                <w:sz w:val="18"/>
                <w:szCs w:val="18"/>
              </w:rPr>
              <w:t xml:space="preserve">and </w:t>
            </w:r>
            <w:r>
              <w:t xml:space="preserve"> </w:t>
            </w:r>
            <w:proofErr w:type="spellStart"/>
            <w:r w:rsidRPr="000E6AB5">
              <w:rPr>
                <w:sz w:val="18"/>
                <w:szCs w:val="18"/>
              </w:rPr>
              <w:t>Anoplophora</w:t>
            </w:r>
            <w:proofErr w:type="spellEnd"/>
            <w:r w:rsidRPr="000E6AB5">
              <w:rPr>
                <w:sz w:val="18"/>
                <w:szCs w:val="18"/>
              </w:rPr>
              <w:t xml:space="preserve"> </w:t>
            </w:r>
            <w:proofErr w:type="spellStart"/>
            <w:r w:rsidRPr="000E6AB5">
              <w:rPr>
                <w:sz w:val="18"/>
                <w:szCs w:val="18"/>
              </w:rPr>
              <w:t>glabripennis</w:t>
            </w:r>
            <w:proofErr w:type="spellEnd"/>
            <w:r>
              <w:rPr>
                <w:i/>
                <w:sz w:val="18"/>
                <w:szCs w:val="18"/>
              </w:rPr>
              <w:t xml:space="preserve"> </w:t>
            </w:r>
            <w:r w:rsidR="00DD4F8D">
              <w:rPr>
                <w:i/>
                <w:sz w:val="18"/>
                <w:szCs w:val="18"/>
              </w:rPr>
              <w:t xml:space="preserve">in North America, and pine wilt disease caused by </w:t>
            </w:r>
            <w:proofErr w:type="spellStart"/>
            <w:r w:rsidR="00DD4F8D" w:rsidRPr="000E6AB5">
              <w:rPr>
                <w:sz w:val="18"/>
                <w:szCs w:val="18"/>
              </w:rPr>
              <w:t>Bursaphelenchus</w:t>
            </w:r>
            <w:proofErr w:type="spellEnd"/>
            <w:r w:rsidR="00DD4F8D" w:rsidRPr="000E6AB5">
              <w:rPr>
                <w:sz w:val="18"/>
                <w:szCs w:val="18"/>
              </w:rPr>
              <w:t xml:space="preserve"> </w:t>
            </w:r>
            <w:proofErr w:type="spellStart"/>
            <w:r w:rsidR="00DD4F8D" w:rsidRPr="000E6AB5">
              <w:rPr>
                <w:sz w:val="18"/>
                <w:szCs w:val="18"/>
              </w:rPr>
              <w:t>xylophilus</w:t>
            </w:r>
            <w:proofErr w:type="spellEnd"/>
            <w:r w:rsidR="00DD4F8D">
              <w:rPr>
                <w:i/>
                <w:sz w:val="18"/>
                <w:szCs w:val="18"/>
              </w:rPr>
              <w:t xml:space="preserve"> in the Republic of Korea, </w:t>
            </w:r>
            <w:r>
              <w:rPr>
                <w:i/>
                <w:sz w:val="18"/>
                <w:szCs w:val="18"/>
              </w:rPr>
              <w:t xml:space="preserve">the damage that these pests introduced by wood packaging material before the adoption of ISPM 15 </w:t>
            </w:r>
            <w:r w:rsidR="00E64BBB">
              <w:rPr>
                <w:i/>
                <w:sz w:val="18"/>
                <w:szCs w:val="18"/>
              </w:rPr>
              <w:t>or</w:t>
            </w:r>
            <w:r>
              <w:rPr>
                <w:i/>
                <w:sz w:val="18"/>
                <w:szCs w:val="18"/>
              </w:rPr>
              <w:t xml:space="preserve"> non-compliance of ISPM 15 has been clearly documented and demonstrated. Additionally, the </w:t>
            </w:r>
            <w:r w:rsidR="00E64BBB">
              <w:rPr>
                <w:i/>
                <w:sz w:val="18"/>
                <w:szCs w:val="18"/>
              </w:rPr>
              <w:t>benefits of compliance are significant (Haack et al., 2014).</w:t>
            </w:r>
          </w:p>
        </w:tc>
      </w:tr>
      <w:tr w:rsidR="000B32EC" w:rsidRPr="00E86637" w14:paraId="3DA37076" w14:textId="77777777" w:rsidTr="00FD01BE">
        <w:trPr>
          <w:trHeight w:val="1988"/>
        </w:trPr>
        <w:tc>
          <w:tcPr>
            <w:tcW w:w="9786" w:type="dxa"/>
            <w:tcMar>
              <w:top w:w="28" w:type="dxa"/>
              <w:bottom w:w="57" w:type="dxa"/>
            </w:tcMar>
          </w:tcPr>
          <w:p w14:paraId="0FC3C0D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14:paraId="63C8AB79"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24673ED7" w14:textId="77777777" w:rsidR="00167857"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5D964697" w14:textId="2E97EFB9" w:rsidR="00213E47" w:rsidRPr="00213E47" w:rsidRDefault="00213E47" w:rsidP="00213E47">
            <w:pPr>
              <w:tabs>
                <w:tab w:val="left" w:pos="720"/>
              </w:tabs>
              <w:rPr>
                <w:sz w:val="18"/>
                <w:szCs w:val="18"/>
              </w:rPr>
            </w:pPr>
            <w:r>
              <w:rPr>
                <w:sz w:val="18"/>
                <w:szCs w:val="18"/>
              </w:rPr>
              <w:t>Unjustified non-compliance reports</w:t>
            </w:r>
          </w:p>
          <w:p w14:paraId="27E27794"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36122875"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71A6D31D" w14:textId="77777777" w:rsidR="00167857" w:rsidRDefault="00167857" w:rsidP="00167857">
            <w:pPr>
              <w:pStyle w:val="ListParagraph"/>
              <w:numPr>
                <w:ilvl w:val="0"/>
                <w:numId w:val="12"/>
              </w:numPr>
              <w:tabs>
                <w:tab w:val="left" w:pos="720"/>
              </w:tabs>
              <w:rPr>
                <w:sz w:val="18"/>
                <w:szCs w:val="18"/>
              </w:rPr>
            </w:pPr>
            <w:r w:rsidRPr="0065291E">
              <w:rPr>
                <w:sz w:val="18"/>
                <w:szCs w:val="18"/>
              </w:rPr>
              <w:t>Complements other standards and/or implementation resources (e.g. potential for the standard to be used as part</w:t>
            </w:r>
            <w:r w:rsidRPr="00F56C25">
              <w:rPr>
                <w:sz w:val="18"/>
                <w:szCs w:val="18"/>
              </w:rPr>
              <w:t xml:space="preserve"> of a systems approach for one pest, complement treatments for other pests).</w:t>
            </w:r>
          </w:p>
          <w:p w14:paraId="390D71BC" w14:textId="14BCC85C" w:rsidR="00CA43E0" w:rsidRPr="00412711" w:rsidRDefault="00412711" w:rsidP="00CA43E0">
            <w:pPr>
              <w:tabs>
                <w:tab w:val="left" w:pos="720"/>
              </w:tabs>
              <w:rPr>
                <w:i/>
                <w:sz w:val="20"/>
                <w:szCs w:val="20"/>
              </w:rPr>
            </w:pPr>
            <w:r>
              <w:rPr>
                <w:i/>
                <w:sz w:val="20"/>
                <w:szCs w:val="20"/>
              </w:rPr>
              <w:t>The proposed Guidelines will complement a</w:t>
            </w:r>
            <w:r w:rsidR="00CA43E0" w:rsidRPr="00412711">
              <w:rPr>
                <w:i/>
                <w:sz w:val="20"/>
                <w:szCs w:val="20"/>
              </w:rPr>
              <w:t xml:space="preserve">n implementation tool for harmonization of non-compliance </w:t>
            </w:r>
            <w:r>
              <w:rPr>
                <w:i/>
                <w:sz w:val="20"/>
                <w:szCs w:val="20"/>
              </w:rPr>
              <w:t>intended</w:t>
            </w:r>
            <w:r w:rsidR="00CA43E0" w:rsidRPr="00412711">
              <w:rPr>
                <w:i/>
                <w:sz w:val="20"/>
                <w:szCs w:val="20"/>
              </w:rPr>
              <w:t xml:space="preserve"> in the Framework for Standards and Implementation</w:t>
            </w:r>
            <w:r>
              <w:rPr>
                <w:i/>
                <w:sz w:val="20"/>
                <w:szCs w:val="20"/>
              </w:rPr>
              <w:t xml:space="preserve"> for further development</w:t>
            </w:r>
            <w:r w:rsidR="00CA43E0" w:rsidRPr="00412711">
              <w:rPr>
                <w:i/>
                <w:sz w:val="20"/>
                <w:szCs w:val="20"/>
              </w:rPr>
              <w:t xml:space="preserve">. </w:t>
            </w:r>
          </w:p>
          <w:p w14:paraId="27FDEBBC" w14:textId="08270B02" w:rsidR="00167857"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r w:rsidR="00625093">
              <w:rPr>
                <w:sz w:val="18"/>
                <w:szCs w:val="18"/>
              </w:rPr>
              <w:t xml:space="preserve"> </w:t>
            </w:r>
          </w:p>
          <w:p w14:paraId="0D497029" w14:textId="645C3055" w:rsidR="00625093" w:rsidRPr="00625093" w:rsidRDefault="00625093" w:rsidP="00625093">
            <w:pPr>
              <w:tabs>
                <w:tab w:val="left" w:pos="720"/>
              </w:tabs>
              <w:rPr>
                <w:sz w:val="20"/>
                <w:szCs w:val="20"/>
              </w:rPr>
            </w:pPr>
            <w:r w:rsidRPr="00625093">
              <w:rPr>
                <w:i/>
                <w:sz w:val="20"/>
                <w:szCs w:val="20"/>
              </w:rPr>
              <w:t xml:space="preserve">The Guidelines </w:t>
            </w:r>
            <w:r w:rsidR="00CA43E0">
              <w:rPr>
                <w:i/>
                <w:sz w:val="20"/>
                <w:szCs w:val="20"/>
              </w:rPr>
              <w:t>w</w:t>
            </w:r>
            <w:r w:rsidRPr="00625093">
              <w:rPr>
                <w:i/>
                <w:sz w:val="20"/>
                <w:szCs w:val="20"/>
              </w:rPr>
              <w:t xml:space="preserve">ould have a global </w:t>
            </w:r>
            <w:r w:rsidR="00CA43E0">
              <w:rPr>
                <w:i/>
                <w:sz w:val="20"/>
                <w:szCs w:val="20"/>
              </w:rPr>
              <w:t>effect</w:t>
            </w:r>
            <w:r w:rsidR="007C5989">
              <w:rPr>
                <w:i/>
                <w:sz w:val="20"/>
                <w:szCs w:val="20"/>
              </w:rPr>
              <w:t xml:space="preserve"> </w:t>
            </w:r>
            <w:r w:rsidRPr="00625093">
              <w:rPr>
                <w:i/>
                <w:sz w:val="20"/>
                <w:szCs w:val="20"/>
              </w:rPr>
              <w:t xml:space="preserve">on </w:t>
            </w:r>
            <w:r>
              <w:rPr>
                <w:i/>
                <w:sz w:val="20"/>
                <w:szCs w:val="20"/>
              </w:rPr>
              <w:t>estimating</w:t>
            </w:r>
            <w:r w:rsidRPr="00625093">
              <w:rPr>
                <w:i/>
                <w:sz w:val="20"/>
                <w:szCs w:val="20"/>
              </w:rPr>
              <w:t xml:space="preserve"> the </w:t>
            </w:r>
            <w:r w:rsidR="007C5989">
              <w:rPr>
                <w:i/>
                <w:sz w:val="20"/>
                <w:szCs w:val="20"/>
              </w:rPr>
              <w:t xml:space="preserve">effectiveness </w:t>
            </w:r>
            <w:r w:rsidRPr="00625093">
              <w:rPr>
                <w:i/>
                <w:sz w:val="20"/>
                <w:szCs w:val="20"/>
              </w:rPr>
              <w:t xml:space="preserve">of </w:t>
            </w:r>
            <w:r w:rsidR="007C5989">
              <w:rPr>
                <w:i/>
                <w:sz w:val="20"/>
                <w:szCs w:val="20"/>
              </w:rPr>
              <w:t xml:space="preserve">ISPM 15 </w:t>
            </w:r>
            <w:r w:rsidRPr="00625093">
              <w:rPr>
                <w:i/>
                <w:sz w:val="20"/>
                <w:szCs w:val="20"/>
              </w:rPr>
              <w:t xml:space="preserve">implementation </w:t>
            </w:r>
            <w:r>
              <w:rPr>
                <w:i/>
                <w:sz w:val="20"/>
                <w:szCs w:val="20"/>
              </w:rPr>
              <w:t xml:space="preserve">and adjusting the </w:t>
            </w:r>
            <w:proofErr w:type="spellStart"/>
            <w:r>
              <w:rPr>
                <w:i/>
                <w:sz w:val="20"/>
                <w:szCs w:val="20"/>
              </w:rPr>
              <w:t>phytosanitary</w:t>
            </w:r>
            <w:proofErr w:type="spellEnd"/>
            <w:r>
              <w:rPr>
                <w:i/>
                <w:sz w:val="20"/>
                <w:szCs w:val="20"/>
              </w:rPr>
              <w:t xml:space="preserve"> measures where necessary</w:t>
            </w:r>
            <w:r w:rsidRPr="00625093">
              <w:rPr>
                <w:i/>
                <w:sz w:val="20"/>
                <w:szCs w:val="20"/>
              </w:rPr>
              <w:t>.</w:t>
            </w:r>
          </w:p>
          <w:p w14:paraId="50196554" w14:textId="77777777" w:rsidR="000B32EC"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p w14:paraId="534949DC" w14:textId="0B13508C" w:rsidR="007C5989" w:rsidRPr="007C5989" w:rsidRDefault="007C5989" w:rsidP="007C5989">
            <w:pPr>
              <w:tabs>
                <w:tab w:val="left" w:pos="720"/>
              </w:tabs>
              <w:rPr>
                <w:i/>
                <w:sz w:val="20"/>
                <w:szCs w:val="20"/>
              </w:rPr>
            </w:pPr>
            <w:r w:rsidRPr="007C5989">
              <w:rPr>
                <w:i/>
                <w:sz w:val="20"/>
                <w:szCs w:val="20"/>
              </w:rPr>
              <w:t>The guidelines are needed urgently because unjustified non-compliance reports deflect from the effectiveness of the ISPM 15 implementation, increase costs and slow the trade.</w:t>
            </w:r>
          </w:p>
        </w:tc>
      </w:tr>
      <w:tr w:rsidR="000B32EC" w:rsidRPr="00326064" w14:paraId="211E0E03" w14:textId="77777777" w:rsidTr="00FD01BE">
        <w:trPr>
          <w:trHeight w:val="529"/>
        </w:trPr>
        <w:tc>
          <w:tcPr>
            <w:tcW w:w="9786" w:type="dxa"/>
            <w:tcMar>
              <w:top w:w="28" w:type="dxa"/>
              <w:bottom w:w="57" w:type="dxa"/>
            </w:tcMar>
          </w:tcPr>
          <w:p w14:paraId="421E3C27"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14:paraId="1CF6837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381EBAF5"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0DF72877"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5DD8207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47616644"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7E9D2906"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6E3BC1B7"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0583711C" w14:textId="77777777" w:rsidR="000B32EC" w:rsidRPr="00F56C25" w:rsidRDefault="000B32EC" w:rsidP="000B32EC">
            <w:pPr>
              <w:numPr>
                <w:ilvl w:val="0"/>
                <w:numId w:val="4"/>
              </w:numPr>
              <w:tabs>
                <w:tab w:val="left" w:pos="720"/>
              </w:tabs>
              <w:rPr>
                <w:sz w:val="18"/>
                <w:szCs w:val="18"/>
              </w:rPr>
            </w:pPr>
            <w:r w:rsidRPr="00F56C25">
              <w:rPr>
                <w:sz w:val="18"/>
                <w:szCs w:val="18"/>
              </w:rPr>
              <w:lastRenderedPageBreak/>
              <w:t>Feasibility of production of a protocol, including availability of knowledge and expertise.</w:t>
            </w:r>
          </w:p>
          <w:p w14:paraId="1E96FABE" w14:textId="77777777" w:rsidR="000B32EC" w:rsidRPr="00F56C25" w:rsidRDefault="000B32EC" w:rsidP="00551ED4">
            <w:pPr>
              <w:tabs>
                <w:tab w:val="left" w:pos="720"/>
              </w:tabs>
              <w:ind w:left="360"/>
              <w:rPr>
                <w:sz w:val="18"/>
                <w:szCs w:val="18"/>
              </w:rPr>
            </w:pPr>
          </w:p>
        </w:tc>
      </w:tr>
      <w:tr w:rsidR="00FD01BE" w:rsidRPr="00326064" w14:paraId="04D042B9" w14:textId="77777777" w:rsidTr="00FD01BE">
        <w:trPr>
          <w:trHeight w:val="832"/>
        </w:trPr>
        <w:tc>
          <w:tcPr>
            <w:tcW w:w="9786" w:type="dxa"/>
            <w:tcMar>
              <w:top w:w="28" w:type="dxa"/>
              <w:bottom w:w="57" w:type="dxa"/>
            </w:tcMar>
          </w:tcPr>
          <w:p w14:paraId="12B6AB24" w14:textId="2C5BF86B" w:rsidR="00FD01BE" w:rsidRPr="00E86637" w:rsidRDefault="00FD01BE" w:rsidP="00CA5BBE">
            <w:pPr>
              <w:autoSpaceDE w:val="0"/>
              <w:autoSpaceDN w:val="0"/>
              <w:adjustRightInd w:val="0"/>
              <w:rPr>
                <w:rFonts w:cs="Times-Bold"/>
                <w:b/>
                <w:bCs/>
                <w:sz w:val="18"/>
                <w:szCs w:val="18"/>
                <w:u w:val="single"/>
              </w:rPr>
            </w:pPr>
            <w:r w:rsidRPr="009E1649">
              <w:rPr>
                <w:rFonts w:cs="Times-Bold"/>
                <w:b/>
                <w:bCs/>
                <w:sz w:val="18"/>
                <w:szCs w:val="18"/>
                <w:u w:val="single"/>
              </w:rPr>
              <w:lastRenderedPageBreak/>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14:paraId="7719EF9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909259C"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2EF49C87" w14:textId="55BB25E0"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proofErr w:type="spellStart"/>
      <w:r w:rsidRPr="003B40D4">
        <w:rPr>
          <w:sz w:val="20"/>
          <w:szCs w:val="20"/>
        </w:rPr>
        <w:t>Viale</w:t>
      </w:r>
      <w:proofErr w:type="spellEnd"/>
      <w:r w:rsidRPr="003B40D4">
        <w:rPr>
          <w:sz w:val="20"/>
          <w:szCs w:val="20"/>
        </w:rPr>
        <w:t xml:space="preserve"> </w:t>
      </w:r>
      <w:proofErr w:type="spellStart"/>
      <w:r w:rsidRPr="003B40D4">
        <w:rPr>
          <w:sz w:val="20"/>
          <w:szCs w:val="20"/>
        </w:rPr>
        <w:t>delle</w:t>
      </w:r>
      <w:proofErr w:type="spellEnd"/>
      <w:r w:rsidRPr="003B40D4">
        <w:rPr>
          <w:sz w:val="20"/>
          <w:szCs w:val="20"/>
        </w:rPr>
        <w:t xml:space="preserve"> </w:t>
      </w:r>
      <w:proofErr w:type="spellStart"/>
      <w:r w:rsidRPr="003B40D4">
        <w:rPr>
          <w:sz w:val="20"/>
          <w:szCs w:val="20"/>
        </w:rPr>
        <w:t>Terme</w:t>
      </w:r>
      <w:proofErr w:type="spellEnd"/>
      <w:r w:rsidRPr="003B40D4">
        <w:rPr>
          <w:sz w:val="20"/>
          <w:szCs w:val="20"/>
        </w:rPr>
        <w:t xml:space="preserve"> di Caracalla</w:t>
      </w:r>
    </w:p>
    <w:p w14:paraId="7925AC20" w14:textId="228E008C" w:rsidR="00842047" w:rsidRDefault="000B32EC" w:rsidP="000B32EC">
      <w:pPr>
        <w:tabs>
          <w:tab w:val="left" w:pos="2640"/>
          <w:tab w:val="left" w:pos="5103"/>
          <w:tab w:val="left" w:pos="5520"/>
        </w:tabs>
        <w:rPr>
          <w:sz w:val="20"/>
          <w:szCs w:val="20"/>
        </w:rPr>
      </w:pPr>
      <w:r w:rsidRPr="003B40D4">
        <w:rPr>
          <w:sz w:val="20"/>
          <w:szCs w:val="20"/>
        </w:rPr>
        <w:tab/>
      </w:r>
      <w:r w:rsidRPr="003B40D4">
        <w:rPr>
          <w:sz w:val="20"/>
          <w:szCs w:val="20"/>
        </w:rPr>
        <w:tab/>
      </w:r>
      <w:proofErr w:type="gramStart"/>
      <w:r w:rsidRPr="003B40D4">
        <w:rPr>
          <w:sz w:val="20"/>
          <w:szCs w:val="20"/>
        </w:rPr>
        <w:t>00153</w:t>
      </w:r>
      <w:proofErr w:type="gramEnd"/>
      <w:r w:rsidRPr="003B40D4">
        <w:rPr>
          <w:sz w:val="20"/>
          <w:szCs w:val="20"/>
        </w:rPr>
        <w:t xml:space="preserve"> Rome, Italy</w:t>
      </w:r>
    </w:p>
    <w:p w14:paraId="3CB7CF74" w14:textId="729E71C0" w:rsidR="005B1E61" w:rsidRDefault="005B1E61">
      <w:pPr>
        <w:spacing w:after="160" w:line="259" w:lineRule="auto"/>
        <w:jc w:val="left"/>
        <w:rPr>
          <w:sz w:val="20"/>
          <w:szCs w:val="20"/>
        </w:rPr>
      </w:pPr>
      <w:r>
        <w:rPr>
          <w:sz w:val="20"/>
          <w:szCs w:val="20"/>
        </w:rPr>
        <w:br w:type="page"/>
      </w:r>
    </w:p>
    <w:p w14:paraId="786AE874" w14:textId="77777777" w:rsidR="005B1E61" w:rsidRPr="005B1E61" w:rsidRDefault="005B1E61" w:rsidP="005B1E61">
      <w:pPr>
        <w:spacing w:before="120"/>
        <w:rPr>
          <w:b/>
          <w:bCs/>
        </w:rPr>
      </w:pPr>
      <w:r w:rsidRPr="005B1E61">
        <w:rPr>
          <w:b/>
          <w:bCs/>
        </w:rPr>
        <w:lastRenderedPageBreak/>
        <w:t>DRAFT OUTLINE FOR IMPLEMENTATION GUIDE: ISPM 15 implementation guidelines for non-compliance ([Topic no</w:t>
      </w:r>
      <w:bookmarkStart w:id="16" w:name="_GoBack"/>
      <w:bookmarkEnd w:id="16"/>
      <w:r w:rsidRPr="005B1E61">
        <w:rPr>
          <w:b/>
          <w:bCs/>
        </w:rPr>
        <w:t>.])</w:t>
      </w:r>
    </w:p>
    <w:p w14:paraId="3864A540" w14:textId="77777777" w:rsidR="005B1E61" w:rsidRPr="005B1E61" w:rsidRDefault="005B1E61" w:rsidP="005B1E61">
      <w:pPr>
        <w:keepNext/>
        <w:tabs>
          <w:tab w:val="left" w:pos="567"/>
        </w:tabs>
        <w:spacing w:before="60" w:after="60"/>
        <w:ind w:left="567" w:hanging="567"/>
        <w:jc w:val="left"/>
        <w:rPr>
          <w:b/>
          <w:bCs/>
          <w:iCs/>
          <w:color w:val="0070C0"/>
          <w:szCs w:val="22"/>
        </w:rPr>
      </w:pPr>
    </w:p>
    <w:p w14:paraId="08244C83" w14:textId="77777777" w:rsidR="005B1E61" w:rsidRPr="005B1E61" w:rsidRDefault="005B1E61" w:rsidP="005B1E61">
      <w:pPr>
        <w:keepNext/>
        <w:tabs>
          <w:tab w:val="left" w:pos="567"/>
        </w:tabs>
        <w:spacing w:before="60" w:after="60"/>
        <w:ind w:left="567" w:hanging="567"/>
        <w:jc w:val="left"/>
        <w:rPr>
          <w:b/>
          <w:bCs/>
          <w:iCs/>
          <w:szCs w:val="22"/>
        </w:rPr>
      </w:pPr>
      <w:r w:rsidRPr="005B1E61">
        <w:rPr>
          <w:b/>
          <w:bCs/>
          <w:iCs/>
          <w:szCs w:val="22"/>
        </w:rPr>
        <w:t>Status box</w:t>
      </w:r>
    </w:p>
    <w:p w14:paraId="73980345" w14:textId="77777777" w:rsidR="005B1E61" w:rsidRPr="005B1E61" w:rsidRDefault="005B1E61" w:rsidP="005B1E61">
      <w:pPr>
        <w:spacing w:after="180"/>
        <w:rPr>
          <w:rFonts w:eastAsia="Times"/>
          <w:color w:val="0070C0"/>
          <w:szCs w:val="18"/>
        </w:rPr>
      </w:pP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9"/>
        <w:gridCol w:w="6747"/>
      </w:tblGrid>
      <w:tr w:rsidR="005B1E61" w:rsidRPr="005B1E61" w14:paraId="229FE3BB" w14:textId="77777777" w:rsidTr="008859F5">
        <w:trPr>
          <w:trHeight w:val="286"/>
        </w:trPr>
        <w:tc>
          <w:tcPr>
            <w:tcW w:w="9039" w:type="dxa"/>
            <w:gridSpan w:val="2"/>
          </w:tcPr>
          <w:p w14:paraId="29C26B6C" w14:textId="77777777" w:rsidR="005B1E61" w:rsidRPr="005B1E61" w:rsidRDefault="005B1E61" w:rsidP="005B1E61">
            <w:pPr>
              <w:spacing w:before="60" w:after="60"/>
              <w:jc w:val="left"/>
              <w:rPr>
                <w:rFonts w:ascii="Arial" w:eastAsia="Times" w:hAnsi="Arial"/>
                <w:sz w:val="18"/>
                <w:szCs w:val="18"/>
              </w:rPr>
            </w:pPr>
            <w:r w:rsidRPr="005B1E61">
              <w:rPr>
                <w:rFonts w:ascii="Arial" w:eastAsia="Times" w:hAnsi="Arial"/>
                <w:sz w:val="18"/>
                <w:szCs w:val="18"/>
              </w:rPr>
              <w:t>This is not an official part of the guide and it will be modified by the IPPC Secretariat after approval</w:t>
            </w:r>
          </w:p>
        </w:tc>
      </w:tr>
      <w:tr w:rsidR="005B1E61" w:rsidRPr="005B1E61" w14:paraId="5CFA7049" w14:textId="77777777" w:rsidTr="008859F5">
        <w:trPr>
          <w:trHeight w:val="286"/>
        </w:trPr>
        <w:tc>
          <w:tcPr>
            <w:tcW w:w="2273" w:type="dxa"/>
          </w:tcPr>
          <w:p w14:paraId="6AF03A13" w14:textId="77777777" w:rsidR="005B1E61" w:rsidRPr="005B1E61" w:rsidRDefault="005B1E61" w:rsidP="005B1E61">
            <w:pPr>
              <w:spacing w:before="60" w:after="60"/>
              <w:jc w:val="left"/>
              <w:rPr>
                <w:rFonts w:ascii="Arial" w:eastAsia="Times" w:hAnsi="Arial"/>
                <w:b/>
                <w:bCs/>
                <w:sz w:val="18"/>
                <w:szCs w:val="18"/>
              </w:rPr>
            </w:pPr>
            <w:r w:rsidRPr="005B1E61">
              <w:rPr>
                <w:rFonts w:ascii="Arial" w:eastAsia="Times" w:hAnsi="Arial"/>
                <w:b/>
                <w:bCs/>
                <w:sz w:val="18"/>
                <w:szCs w:val="18"/>
              </w:rPr>
              <w:t>Date of this document</w:t>
            </w:r>
          </w:p>
        </w:tc>
        <w:tc>
          <w:tcPr>
            <w:tcW w:w="6766" w:type="dxa"/>
          </w:tcPr>
          <w:p w14:paraId="1CF0CD23" w14:textId="77777777" w:rsidR="005B1E61" w:rsidRPr="005B1E61" w:rsidRDefault="005B1E61" w:rsidP="005B1E61">
            <w:pPr>
              <w:spacing w:before="60" w:after="60"/>
              <w:jc w:val="left"/>
              <w:rPr>
                <w:rFonts w:ascii="Arial" w:eastAsia="Times" w:hAnsi="Arial"/>
                <w:sz w:val="18"/>
                <w:szCs w:val="18"/>
              </w:rPr>
            </w:pPr>
            <w:r w:rsidRPr="005B1E61">
              <w:rPr>
                <w:rFonts w:ascii="Arial" w:eastAsia="Times" w:hAnsi="Arial"/>
                <w:sz w:val="18"/>
                <w:szCs w:val="18"/>
              </w:rPr>
              <w:t>2018-08-23</w:t>
            </w:r>
          </w:p>
        </w:tc>
      </w:tr>
      <w:tr w:rsidR="005B1E61" w:rsidRPr="005B1E61" w14:paraId="5077E958" w14:textId="77777777" w:rsidTr="008859F5">
        <w:trPr>
          <w:trHeight w:val="286"/>
        </w:trPr>
        <w:tc>
          <w:tcPr>
            <w:tcW w:w="2273" w:type="dxa"/>
            <w:tcBorders>
              <w:bottom w:val="single" w:sz="4" w:space="0" w:color="auto"/>
            </w:tcBorders>
          </w:tcPr>
          <w:p w14:paraId="0EB27FAF" w14:textId="77777777" w:rsidR="005B1E61" w:rsidRPr="005B1E61" w:rsidRDefault="005B1E61" w:rsidP="005B1E61">
            <w:pPr>
              <w:spacing w:before="60" w:after="60"/>
              <w:jc w:val="left"/>
              <w:rPr>
                <w:rFonts w:ascii="Arial" w:eastAsia="Times" w:hAnsi="Arial"/>
                <w:b/>
                <w:bCs/>
                <w:sz w:val="18"/>
                <w:szCs w:val="18"/>
              </w:rPr>
            </w:pPr>
            <w:r w:rsidRPr="005B1E61">
              <w:rPr>
                <w:rFonts w:ascii="Arial" w:eastAsia="Times" w:hAnsi="Arial"/>
                <w:b/>
                <w:bCs/>
                <w:sz w:val="18"/>
                <w:szCs w:val="18"/>
              </w:rPr>
              <w:t>Document category</w:t>
            </w:r>
          </w:p>
        </w:tc>
        <w:tc>
          <w:tcPr>
            <w:tcW w:w="6766" w:type="dxa"/>
            <w:tcBorders>
              <w:bottom w:val="single" w:sz="4" w:space="0" w:color="auto"/>
            </w:tcBorders>
          </w:tcPr>
          <w:p w14:paraId="70D903E9" w14:textId="77777777" w:rsidR="005B1E61" w:rsidRPr="005B1E61" w:rsidRDefault="005B1E61" w:rsidP="005B1E61">
            <w:pPr>
              <w:spacing w:after="180"/>
              <w:rPr>
                <w:rFonts w:ascii="Arial" w:eastAsia="Times" w:hAnsi="Arial"/>
                <w:color w:val="0070C0"/>
                <w:sz w:val="18"/>
                <w:szCs w:val="18"/>
              </w:rPr>
            </w:pPr>
          </w:p>
        </w:tc>
      </w:tr>
      <w:tr w:rsidR="005B1E61" w:rsidRPr="005B1E61" w14:paraId="25575A89" w14:textId="77777777" w:rsidTr="008859F5">
        <w:trPr>
          <w:trHeight w:val="299"/>
        </w:trPr>
        <w:tc>
          <w:tcPr>
            <w:tcW w:w="2273" w:type="dxa"/>
            <w:tcBorders>
              <w:top w:val="single" w:sz="4" w:space="0" w:color="auto"/>
              <w:left w:val="single" w:sz="4" w:space="0" w:color="auto"/>
              <w:bottom w:val="single" w:sz="4" w:space="0" w:color="auto"/>
              <w:right w:val="single" w:sz="4" w:space="0" w:color="auto"/>
            </w:tcBorders>
          </w:tcPr>
          <w:p w14:paraId="233FBDCC" w14:textId="77777777" w:rsidR="005B1E61" w:rsidRPr="005B1E61" w:rsidRDefault="005B1E61" w:rsidP="005B1E61">
            <w:pPr>
              <w:spacing w:before="60" w:after="60"/>
              <w:jc w:val="left"/>
              <w:rPr>
                <w:rFonts w:ascii="Arial" w:eastAsia="Times" w:hAnsi="Arial"/>
                <w:b/>
                <w:bCs/>
                <w:sz w:val="18"/>
                <w:szCs w:val="18"/>
              </w:rPr>
            </w:pPr>
            <w:r w:rsidRPr="005B1E61">
              <w:rPr>
                <w:rFonts w:ascii="Arial" w:eastAsia="Times" w:hAnsi="Arial"/>
                <w:b/>
                <w:bCs/>
                <w:sz w:val="18"/>
                <w:szCs w:val="18"/>
              </w:rPr>
              <w:t>Current document stage</w:t>
            </w:r>
          </w:p>
        </w:tc>
        <w:tc>
          <w:tcPr>
            <w:tcW w:w="6766" w:type="dxa"/>
            <w:tcBorders>
              <w:top w:val="single" w:sz="4" w:space="0" w:color="auto"/>
              <w:left w:val="single" w:sz="4" w:space="0" w:color="auto"/>
              <w:bottom w:val="single" w:sz="4" w:space="0" w:color="auto"/>
              <w:right w:val="single" w:sz="4" w:space="0" w:color="auto"/>
            </w:tcBorders>
          </w:tcPr>
          <w:p w14:paraId="5F60F301" w14:textId="77777777" w:rsidR="005B1E61" w:rsidRPr="005B1E61" w:rsidRDefault="005B1E61" w:rsidP="005B1E61">
            <w:pPr>
              <w:spacing w:after="180"/>
              <w:rPr>
                <w:rFonts w:ascii="Arial" w:eastAsia="Times" w:hAnsi="Arial"/>
                <w:color w:val="0070C0"/>
                <w:sz w:val="18"/>
                <w:szCs w:val="18"/>
              </w:rPr>
            </w:pPr>
          </w:p>
        </w:tc>
      </w:tr>
      <w:tr w:rsidR="005B1E61" w:rsidRPr="005B1E61" w14:paraId="334713EE" w14:textId="77777777" w:rsidTr="008859F5">
        <w:trPr>
          <w:trHeight w:val="491"/>
        </w:trPr>
        <w:tc>
          <w:tcPr>
            <w:tcW w:w="2273" w:type="dxa"/>
            <w:tcBorders>
              <w:top w:val="single" w:sz="4" w:space="0" w:color="auto"/>
            </w:tcBorders>
          </w:tcPr>
          <w:p w14:paraId="23390633" w14:textId="77777777" w:rsidR="005B1E61" w:rsidRPr="005B1E61" w:rsidRDefault="005B1E61" w:rsidP="005B1E61">
            <w:pPr>
              <w:spacing w:before="60" w:after="60"/>
              <w:jc w:val="left"/>
              <w:rPr>
                <w:rFonts w:ascii="Arial" w:eastAsia="Times" w:hAnsi="Arial"/>
                <w:b/>
                <w:bCs/>
                <w:sz w:val="18"/>
                <w:szCs w:val="18"/>
              </w:rPr>
            </w:pPr>
            <w:r w:rsidRPr="005B1E61">
              <w:rPr>
                <w:rFonts w:ascii="Arial" w:eastAsia="Times" w:hAnsi="Arial"/>
                <w:b/>
                <w:bCs/>
                <w:sz w:val="18"/>
                <w:szCs w:val="18"/>
              </w:rPr>
              <w:t>Major stages</w:t>
            </w:r>
          </w:p>
        </w:tc>
        <w:tc>
          <w:tcPr>
            <w:tcW w:w="6766" w:type="dxa"/>
            <w:tcBorders>
              <w:top w:val="single" w:sz="4" w:space="0" w:color="auto"/>
            </w:tcBorders>
          </w:tcPr>
          <w:p w14:paraId="5DAF907E" w14:textId="77777777" w:rsidR="005B1E61" w:rsidRPr="005B1E61" w:rsidRDefault="005B1E61" w:rsidP="005B1E61">
            <w:pPr>
              <w:spacing w:after="180"/>
              <w:rPr>
                <w:rFonts w:ascii="Arial" w:eastAsia="Times" w:hAnsi="Arial"/>
                <w:color w:val="0070C0"/>
                <w:sz w:val="18"/>
              </w:rPr>
            </w:pPr>
          </w:p>
        </w:tc>
      </w:tr>
      <w:tr w:rsidR="005B1E61" w:rsidRPr="005B1E61" w14:paraId="3420E42D" w14:textId="77777777" w:rsidTr="008859F5">
        <w:trPr>
          <w:trHeight w:val="491"/>
        </w:trPr>
        <w:tc>
          <w:tcPr>
            <w:tcW w:w="2273" w:type="dxa"/>
          </w:tcPr>
          <w:p w14:paraId="48D4695A" w14:textId="77777777" w:rsidR="005B1E61" w:rsidRPr="005B1E61" w:rsidRDefault="005B1E61" w:rsidP="005B1E61">
            <w:pPr>
              <w:spacing w:before="60" w:after="60"/>
              <w:jc w:val="left"/>
              <w:rPr>
                <w:rFonts w:ascii="Arial" w:eastAsia="Times" w:hAnsi="Arial"/>
                <w:b/>
                <w:bCs/>
                <w:sz w:val="18"/>
                <w:szCs w:val="18"/>
              </w:rPr>
            </w:pPr>
            <w:r w:rsidRPr="005B1E61">
              <w:rPr>
                <w:rFonts w:ascii="Arial" w:eastAsia="Times" w:hAnsi="Arial"/>
                <w:b/>
                <w:bCs/>
                <w:sz w:val="18"/>
                <w:szCs w:val="18"/>
              </w:rPr>
              <w:t>Steward history</w:t>
            </w:r>
          </w:p>
        </w:tc>
        <w:tc>
          <w:tcPr>
            <w:tcW w:w="6766" w:type="dxa"/>
          </w:tcPr>
          <w:p w14:paraId="17DA7E02" w14:textId="77777777" w:rsidR="005B1E61" w:rsidRPr="005B1E61" w:rsidRDefault="005B1E61" w:rsidP="005B1E61">
            <w:pPr>
              <w:spacing w:before="60" w:after="60"/>
              <w:jc w:val="left"/>
              <w:rPr>
                <w:rFonts w:ascii="Arial" w:eastAsia="Times" w:hAnsi="Arial"/>
                <w:color w:val="0070C0"/>
                <w:sz w:val="18"/>
                <w:szCs w:val="18"/>
              </w:rPr>
            </w:pPr>
          </w:p>
        </w:tc>
      </w:tr>
      <w:tr w:rsidR="005B1E61" w:rsidRPr="005B1E61" w14:paraId="69C30BCC" w14:textId="77777777" w:rsidTr="008859F5">
        <w:trPr>
          <w:trHeight w:val="491"/>
        </w:trPr>
        <w:tc>
          <w:tcPr>
            <w:tcW w:w="2273" w:type="dxa"/>
          </w:tcPr>
          <w:p w14:paraId="6CDE56D4" w14:textId="77777777" w:rsidR="005B1E61" w:rsidRPr="005B1E61" w:rsidRDefault="005B1E61" w:rsidP="005B1E61">
            <w:pPr>
              <w:spacing w:before="60" w:after="60"/>
              <w:jc w:val="left"/>
              <w:rPr>
                <w:rFonts w:ascii="Arial" w:eastAsia="Times" w:hAnsi="Arial"/>
                <w:b/>
                <w:bCs/>
                <w:sz w:val="18"/>
                <w:szCs w:val="18"/>
              </w:rPr>
            </w:pPr>
            <w:r w:rsidRPr="005B1E61">
              <w:rPr>
                <w:rFonts w:ascii="Arial" w:eastAsia="Times" w:hAnsi="Arial"/>
                <w:b/>
                <w:bCs/>
                <w:sz w:val="18"/>
                <w:szCs w:val="18"/>
              </w:rPr>
              <w:t>Notes</w:t>
            </w:r>
          </w:p>
        </w:tc>
        <w:tc>
          <w:tcPr>
            <w:tcW w:w="6766" w:type="dxa"/>
          </w:tcPr>
          <w:p w14:paraId="28B603F8" w14:textId="77777777" w:rsidR="005B1E61" w:rsidRPr="005B1E61" w:rsidDel="00685537" w:rsidRDefault="005B1E61" w:rsidP="005B1E61">
            <w:pPr>
              <w:spacing w:after="180"/>
              <w:rPr>
                <w:rFonts w:ascii="Arial" w:eastAsia="Times" w:hAnsi="Arial"/>
                <w:color w:val="0070C0"/>
                <w:sz w:val="18"/>
                <w:szCs w:val="18"/>
              </w:rPr>
            </w:pPr>
          </w:p>
        </w:tc>
      </w:tr>
    </w:tbl>
    <w:p w14:paraId="7AA86E9E" w14:textId="77777777" w:rsidR="005B1E61" w:rsidRPr="005B1E61" w:rsidRDefault="005B1E61" w:rsidP="005B1E61">
      <w:pPr>
        <w:keepNext/>
        <w:tabs>
          <w:tab w:val="left" w:pos="567"/>
        </w:tabs>
        <w:spacing w:before="60" w:after="60"/>
        <w:jc w:val="left"/>
        <w:rPr>
          <w:b/>
          <w:bCs/>
          <w:iCs/>
          <w:szCs w:val="22"/>
        </w:rPr>
      </w:pPr>
    </w:p>
    <w:p w14:paraId="2AA8979D" w14:textId="77777777" w:rsidR="005B1E61" w:rsidRPr="005B1E61" w:rsidRDefault="005B1E61" w:rsidP="005B1E61">
      <w:pPr>
        <w:keepNext/>
        <w:tabs>
          <w:tab w:val="left" w:pos="567"/>
        </w:tabs>
        <w:spacing w:before="60" w:after="60"/>
        <w:jc w:val="left"/>
        <w:rPr>
          <w:b/>
          <w:bCs/>
          <w:iCs/>
          <w:szCs w:val="22"/>
        </w:rPr>
      </w:pPr>
      <w:r w:rsidRPr="005B1E61">
        <w:rPr>
          <w:b/>
          <w:bCs/>
          <w:iCs/>
          <w:szCs w:val="22"/>
        </w:rPr>
        <w:t>Title</w:t>
      </w:r>
    </w:p>
    <w:p w14:paraId="20CD3163" w14:textId="77777777" w:rsidR="005B1E61" w:rsidRPr="005B1E61" w:rsidRDefault="005B1E61" w:rsidP="005B1E61">
      <w:pPr>
        <w:numPr>
          <w:ilvl w:val="0"/>
          <w:numId w:val="22"/>
        </w:numPr>
        <w:spacing w:after="180"/>
        <w:ind w:left="90" w:hanging="450"/>
        <w:rPr>
          <w:rFonts w:eastAsia="Times"/>
        </w:rPr>
      </w:pPr>
      <w:r w:rsidRPr="005B1E61">
        <w:rPr>
          <w:rFonts w:eastAsia="Times"/>
          <w:lang w:val="en-AU"/>
        </w:rPr>
        <w:t>ISPM 15 implementation guidelines for non-compliance.</w:t>
      </w:r>
    </w:p>
    <w:p w14:paraId="7AEC6426" w14:textId="77777777" w:rsidR="005B1E61" w:rsidRPr="005B1E61" w:rsidRDefault="005B1E61" w:rsidP="005B1E61">
      <w:pPr>
        <w:keepNext/>
        <w:tabs>
          <w:tab w:val="left" w:pos="567"/>
        </w:tabs>
        <w:spacing w:before="60" w:after="60"/>
        <w:ind w:left="567" w:hanging="567"/>
        <w:jc w:val="left"/>
        <w:rPr>
          <w:b/>
          <w:bCs/>
          <w:iCs/>
          <w:szCs w:val="22"/>
        </w:rPr>
      </w:pPr>
      <w:r w:rsidRPr="005B1E61">
        <w:rPr>
          <w:b/>
          <w:bCs/>
          <w:iCs/>
          <w:szCs w:val="22"/>
        </w:rPr>
        <w:t xml:space="preserve">Reason for the implementation guide </w:t>
      </w:r>
    </w:p>
    <w:p w14:paraId="59CB070E" w14:textId="77777777" w:rsidR="005B1E61" w:rsidRPr="005B1E61" w:rsidRDefault="005B1E61" w:rsidP="005B1E61">
      <w:pPr>
        <w:numPr>
          <w:ilvl w:val="0"/>
          <w:numId w:val="22"/>
        </w:numPr>
        <w:spacing w:after="180"/>
        <w:ind w:left="0"/>
        <w:rPr>
          <w:rFonts w:eastAsia="Times"/>
          <w:lang w:val="en-AU"/>
        </w:rPr>
      </w:pPr>
      <w:r w:rsidRPr="005B1E61">
        <w:rPr>
          <w:rFonts w:eastAsia="Times"/>
          <w:lang w:val="en-AU"/>
        </w:rPr>
        <w:t xml:space="preserve">The Guidelines will secure common and effective action to prevent introduction and spread of pests via movement of wood packaging material. This </w:t>
      </w:r>
      <w:proofErr w:type="gramStart"/>
      <w:r w:rsidRPr="005B1E61">
        <w:rPr>
          <w:rFonts w:eastAsia="Times"/>
          <w:lang w:val="en-AU"/>
        </w:rPr>
        <w:t>will be achieved</w:t>
      </w:r>
      <w:proofErr w:type="gramEnd"/>
      <w:r w:rsidRPr="005B1E61">
        <w:rPr>
          <w:rFonts w:eastAsia="Times"/>
          <w:lang w:val="en-AU"/>
        </w:rPr>
        <w:t xml:space="preserve"> by ensuring harmonized approach to correctly identifying and responding to non-compliance for ISPM 15. This will prevent disagreements between NPPOs over which non-compliance reporting is justified and secure the correct </w:t>
      </w:r>
      <w:proofErr w:type="spellStart"/>
      <w:r w:rsidRPr="005B1E61">
        <w:rPr>
          <w:rFonts w:eastAsia="Times"/>
          <w:lang w:val="en-AU"/>
        </w:rPr>
        <w:t>phytosanitary</w:t>
      </w:r>
      <w:proofErr w:type="spellEnd"/>
      <w:r w:rsidRPr="005B1E61">
        <w:rPr>
          <w:rFonts w:eastAsia="Times"/>
          <w:lang w:val="en-AU"/>
        </w:rPr>
        <w:t xml:space="preserve"> actions.</w:t>
      </w:r>
    </w:p>
    <w:p w14:paraId="5CDA8AA9" w14:textId="77777777" w:rsidR="005B1E61" w:rsidRPr="005B1E61" w:rsidRDefault="005B1E61" w:rsidP="005B1E61">
      <w:pPr>
        <w:keepNext/>
        <w:tabs>
          <w:tab w:val="left" w:pos="567"/>
        </w:tabs>
        <w:spacing w:before="60" w:after="60"/>
        <w:ind w:left="567" w:hanging="567"/>
        <w:jc w:val="left"/>
        <w:rPr>
          <w:b/>
          <w:bCs/>
          <w:iCs/>
          <w:szCs w:val="22"/>
        </w:rPr>
      </w:pPr>
      <w:r w:rsidRPr="005B1E61">
        <w:rPr>
          <w:b/>
          <w:bCs/>
          <w:iCs/>
          <w:szCs w:val="22"/>
        </w:rPr>
        <w:t xml:space="preserve">Scope </w:t>
      </w:r>
    </w:p>
    <w:p w14:paraId="470668C9" w14:textId="77777777" w:rsidR="005B1E61" w:rsidRPr="005B1E61" w:rsidRDefault="005B1E61" w:rsidP="005B1E61">
      <w:pPr>
        <w:numPr>
          <w:ilvl w:val="0"/>
          <w:numId w:val="22"/>
        </w:numPr>
        <w:spacing w:after="180"/>
        <w:ind w:left="0"/>
        <w:rPr>
          <w:rFonts w:eastAsia="Times"/>
          <w:lang w:val="en-AU"/>
        </w:rPr>
      </w:pPr>
      <w:r w:rsidRPr="005B1E61">
        <w:rPr>
          <w:rFonts w:eastAsia="Times"/>
          <w:lang w:val="en-AU"/>
        </w:rPr>
        <w:t xml:space="preserve">Harmonized guidance </w:t>
      </w:r>
      <w:proofErr w:type="gramStart"/>
      <w:r w:rsidRPr="005B1E61">
        <w:rPr>
          <w:rFonts w:eastAsia="Times"/>
          <w:lang w:val="en-AU"/>
        </w:rPr>
        <w:t>will be developed</w:t>
      </w:r>
      <w:proofErr w:type="gramEnd"/>
      <w:r w:rsidRPr="005B1E61">
        <w:rPr>
          <w:rFonts w:eastAsia="Times"/>
          <w:lang w:val="en-AU"/>
        </w:rPr>
        <w:t xml:space="preserve"> on what should be considered and reported as actual non-compliances for ISPM 15 versus other bases for quarantine action and what actions. The guidance will explain the decision-making process supported by examples. This will lead to consistency in proper interpretation and implementation of ISPM 15 and will provide data that can be used to accurately measure and track the effect of implementation of this standard.</w:t>
      </w:r>
    </w:p>
    <w:p w14:paraId="5BEEB65E" w14:textId="77777777" w:rsidR="005B1E61" w:rsidRPr="005B1E61" w:rsidRDefault="005B1E61" w:rsidP="005B1E61">
      <w:pPr>
        <w:keepNext/>
        <w:tabs>
          <w:tab w:val="left" w:pos="567"/>
        </w:tabs>
        <w:spacing w:before="60" w:after="60"/>
        <w:ind w:left="567" w:hanging="567"/>
        <w:jc w:val="left"/>
        <w:rPr>
          <w:b/>
          <w:bCs/>
          <w:iCs/>
          <w:szCs w:val="22"/>
        </w:rPr>
      </w:pPr>
      <w:r w:rsidRPr="005B1E61">
        <w:rPr>
          <w:b/>
          <w:bCs/>
          <w:iCs/>
          <w:szCs w:val="22"/>
        </w:rPr>
        <w:t>Purpose</w:t>
      </w:r>
    </w:p>
    <w:p w14:paraId="6FD71BB2" w14:textId="77777777" w:rsidR="005B1E61" w:rsidRPr="005B1E61" w:rsidRDefault="005B1E61" w:rsidP="005B1E61">
      <w:pPr>
        <w:numPr>
          <w:ilvl w:val="0"/>
          <w:numId w:val="22"/>
        </w:numPr>
        <w:spacing w:after="180"/>
        <w:ind w:left="0"/>
        <w:rPr>
          <w:rFonts w:eastAsia="Times"/>
          <w:lang w:val="en-AU"/>
        </w:rPr>
      </w:pPr>
      <w:r w:rsidRPr="005B1E61">
        <w:rPr>
          <w:rFonts w:eastAsia="Times"/>
          <w:lang w:val="en-AU"/>
        </w:rPr>
        <w:t xml:space="preserve">ISPM 15 </w:t>
      </w:r>
      <w:proofErr w:type="gramStart"/>
      <w:r w:rsidRPr="005B1E61">
        <w:rPr>
          <w:rFonts w:eastAsia="Times"/>
          <w:lang w:val="en-AU"/>
        </w:rPr>
        <w:t>is already globally implemented</w:t>
      </w:r>
      <w:proofErr w:type="gramEnd"/>
      <w:r w:rsidRPr="005B1E61">
        <w:rPr>
          <w:rFonts w:eastAsia="Times"/>
          <w:lang w:val="en-AU"/>
        </w:rPr>
        <w:t>. The new guidance will further improve its implementation by harmonizing the understanding of what actual non-compliance for this standard is and by providing examples of decision making under different circumstances.</w:t>
      </w:r>
    </w:p>
    <w:p w14:paraId="2A4E7CEB" w14:textId="77777777" w:rsidR="005B1E61" w:rsidRPr="005B1E61" w:rsidRDefault="005B1E61" w:rsidP="005B1E61">
      <w:pPr>
        <w:keepNext/>
        <w:tabs>
          <w:tab w:val="left" w:pos="567"/>
        </w:tabs>
        <w:spacing w:before="60" w:after="60"/>
        <w:ind w:left="567" w:hanging="567"/>
        <w:jc w:val="left"/>
        <w:rPr>
          <w:b/>
          <w:bCs/>
          <w:iCs/>
          <w:szCs w:val="22"/>
        </w:rPr>
      </w:pPr>
      <w:r w:rsidRPr="005B1E61">
        <w:rPr>
          <w:b/>
          <w:bCs/>
          <w:iCs/>
          <w:szCs w:val="22"/>
        </w:rPr>
        <w:t xml:space="preserve">Provision of resources </w:t>
      </w:r>
    </w:p>
    <w:p w14:paraId="201B0396" w14:textId="77777777" w:rsidR="005B1E61" w:rsidRPr="005B1E61" w:rsidRDefault="005B1E61" w:rsidP="005B1E61">
      <w:pPr>
        <w:numPr>
          <w:ilvl w:val="0"/>
          <w:numId w:val="22"/>
        </w:numPr>
        <w:spacing w:after="180"/>
        <w:ind w:left="0" w:hanging="567"/>
        <w:rPr>
          <w:rFonts w:eastAsia="Times"/>
        </w:rPr>
      </w:pPr>
      <w:r w:rsidRPr="005B1E61">
        <w:rPr>
          <w:rFonts w:eastAsia="Times"/>
        </w:rPr>
        <w:t xml:space="preserve">Funding for the meeting </w:t>
      </w:r>
      <w:proofErr w:type="gramStart"/>
      <w:r w:rsidRPr="005B1E61">
        <w:rPr>
          <w:rFonts w:eastAsia="Times"/>
        </w:rPr>
        <w:t>may be provided</w:t>
      </w:r>
      <w:proofErr w:type="gramEnd"/>
      <w:r w:rsidRPr="005B1E61">
        <w:rPr>
          <w:rFonts w:eastAsia="Times"/>
        </w:rPr>
        <w:t xml:space="preserve">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w:t>
      </w:r>
      <w:proofErr w:type="gramStart"/>
      <w:r w:rsidRPr="005B1E61">
        <w:rPr>
          <w:rFonts w:eastAsia="Times"/>
        </w:rPr>
        <w:t>is given</w:t>
      </w:r>
      <w:proofErr w:type="gramEnd"/>
      <w:r w:rsidRPr="005B1E61">
        <w:rPr>
          <w:rFonts w:eastAsia="Times"/>
        </w:rPr>
        <w:t xml:space="preserve"> to developing country participants. Please refer to the </w:t>
      </w:r>
      <w:r w:rsidRPr="005B1E61">
        <w:rPr>
          <w:rFonts w:eastAsia="Times"/>
          <w:i/>
          <w:iCs/>
          <w:szCs w:val="22"/>
        </w:rPr>
        <w:t>Criteria used for prioritizing participants to receive travel assistance to attend meetings organized by the IPPC Secretariat</w:t>
      </w:r>
      <w:r w:rsidRPr="005B1E61">
        <w:rPr>
          <w:rFonts w:eastAsia="Times"/>
        </w:rPr>
        <w:t xml:space="preserve"> posted on the International </w:t>
      </w:r>
      <w:proofErr w:type="spellStart"/>
      <w:r w:rsidRPr="005B1E61">
        <w:rPr>
          <w:rFonts w:eastAsia="Times"/>
        </w:rPr>
        <w:t>Phytosanitary</w:t>
      </w:r>
      <w:proofErr w:type="spellEnd"/>
      <w:r w:rsidRPr="005B1E61">
        <w:rPr>
          <w:rFonts w:eastAsia="Times"/>
        </w:rPr>
        <w:t xml:space="preserve"> Portal (IPP) (see </w:t>
      </w:r>
      <w:hyperlink r:id="rId16" w:history="1">
        <w:r w:rsidRPr="005B1E61">
          <w:rPr>
            <w:rFonts w:eastAsia="Times"/>
            <w:color w:val="0000FF"/>
            <w:u w:val="single"/>
          </w:rPr>
          <w:t>https://www.ippc.int/en/core-activities/</w:t>
        </w:r>
      </w:hyperlink>
      <w:r w:rsidRPr="005B1E61">
        <w:rPr>
          <w:rFonts w:eastAsia="Times"/>
        </w:rPr>
        <w:t>).</w:t>
      </w:r>
    </w:p>
    <w:p w14:paraId="47655E85" w14:textId="77777777" w:rsidR="005B1E61" w:rsidRPr="005B1E61" w:rsidRDefault="005B1E61" w:rsidP="005B1E61">
      <w:pPr>
        <w:keepNext/>
        <w:tabs>
          <w:tab w:val="left" w:pos="567"/>
        </w:tabs>
        <w:spacing w:before="60" w:after="60"/>
        <w:ind w:left="567" w:hanging="567"/>
        <w:jc w:val="left"/>
        <w:rPr>
          <w:b/>
          <w:bCs/>
          <w:iCs/>
          <w:szCs w:val="22"/>
        </w:rPr>
      </w:pPr>
      <w:r w:rsidRPr="005B1E61">
        <w:rPr>
          <w:b/>
          <w:bCs/>
          <w:iCs/>
          <w:szCs w:val="22"/>
        </w:rPr>
        <w:t>Collaborator</w:t>
      </w:r>
    </w:p>
    <w:p w14:paraId="16E7E3AB" w14:textId="77777777" w:rsidR="005B1E61" w:rsidRPr="005B1E61" w:rsidRDefault="005B1E61" w:rsidP="005B1E61">
      <w:pPr>
        <w:numPr>
          <w:ilvl w:val="0"/>
          <w:numId w:val="22"/>
        </w:numPr>
        <w:spacing w:after="180"/>
        <w:ind w:left="0" w:hanging="567"/>
        <w:rPr>
          <w:rFonts w:eastAsia="Times"/>
        </w:rPr>
      </w:pPr>
      <w:r w:rsidRPr="005B1E61">
        <w:rPr>
          <w:rFonts w:eastAsia="Times"/>
        </w:rPr>
        <w:t>To be determined.</w:t>
      </w:r>
    </w:p>
    <w:p w14:paraId="5915D84F" w14:textId="77777777" w:rsidR="005B1E61" w:rsidRPr="005B1E61" w:rsidRDefault="005B1E61" w:rsidP="005B1E61">
      <w:pPr>
        <w:keepNext/>
        <w:tabs>
          <w:tab w:val="left" w:pos="567"/>
        </w:tabs>
        <w:spacing w:before="60" w:after="60"/>
        <w:ind w:left="567" w:hanging="567"/>
        <w:jc w:val="left"/>
        <w:rPr>
          <w:b/>
          <w:bCs/>
          <w:iCs/>
          <w:szCs w:val="22"/>
        </w:rPr>
      </w:pPr>
      <w:r w:rsidRPr="005B1E61">
        <w:rPr>
          <w:b/>
          <w:bCs/>
          <w:iCs/>
          <w:szCs w:val="22"/>
        </w:rPr>
        <w:lastRenderedPageBreak/>
        <w:t xml:space="preserve">Expertise </w:t>
      </w:r>
    </w:p>
    <w:p w14:paraId="36182997" w14:textId="77777777" w:rsidR="005B1E61" w:rsidRPr="005B1E61" w:rsidRDefault="005B1E61" w:rsidP="005B1E61">
      <w:pPr>
        <w:numPr>
          <w:ilvl w:val="0"/>
          <w:numId w:val="22"/>
        </w:numPr>
        <w:spacing w:after="180"/>
        <w:ind w:left="0" w:hanging="567"/>
        <w:rPr>
          <w:rFonts w:eastAsia="Times"/>
        </w:rPr>
      </w:pPr>
      <w:r w:rsidRPr="005B1E61">
        <w:rPr>
          <w:rFonts w:eastAsia="Times"/>
        </w:rPr>
        <w:t>Five to seven experts with a wide knowledge and experience in the implementation of ISPM 15</w:t>
      </w:r>
      <w:r w:rsidRPr="005B1E61">
        <w:rPr>
          <w:rFonts w:eastAsia="Times"/>
          <w:lang w:val="en-AU"/>
        </w:rPr>
        <w:t>.</w:t>
      </w:r>
    </w:p>
    <w:p w14:paraId="580045FE" w14:textId="77777777" w:rsidR="005B1E61" w:rsidRPr="005B1E61" w:rsidRDefault="005B1E61" w:rsidP="005B1E61">
      <w:pPr>
        <w:keepNext/>
        <w:tabs>
          <w:tab w:val="left" w:pos="567"/>
        </w:tabs>
        <w:spacing w:before="60" w:after="60"/>
        <w:ind w:left="567" w:hanging="567"/>
        <w:jc w:val="left"/>
        <w:rPr>
          <w:b/>
          <w:bCs/>
          <w:iCs/>
          <w:szCs w:val="22"/>
        </w:rPr>
      </w:pPr>
      <w:r w:rsidRPr="005B1E61">
        <w:rPr>
          <w:b/>
          <w:bCs/>
          <w:iCs/>
          <w:szCs w:val="22"/>
        </w:rPr>
        <w:t>Participants</w:t>
      </w:r>
    </w:p>
    <w:p w14:paraId="1D8A0DB2" w14:textId="77777777" w:rsidR="005B1E61" w:rsidRPr="005B1E61" w:rsidRDefault="005B1E61" w:rsidP="005B1E61">
      <w:pPr>
        <w:numPr>
          <w:ilvl w:val="0"/>
          <w:numId w:val="22"/>
        </w:numPr>
        <w:spacing w:after="180"/>
        <w:ind w:left="0" w:hanging="567"/>
        <w:rPr>
          <w:rFonts w:eastAsia="Times"/>
        </w:rPr>
      </w:pPr>
      <w:r w:rsidRPr="005B1E61">
        <w:rPr>
          <w:rFonts w:eastAsia="Times"/>
          <w:lang w:val="en-AU"/>
        </w:rPr>
        <w:t>[</w:t>
      </w:r>
      <w:r w:rsidRPr="005B1E61">
        <w:rPr>
          <w:rFonts w:eastAsia="Times"/>
        </w:rPr>
        <w:t>To be determined.</w:t>
      </w:r>
      <w:r w:rsidRPr="005B1E61">
        <w:rPr>
          <w:rFonts w:eastAsia="Times"/>
          <w:lang w:val="en-AU"/>
        </w:rPr>
        <w:t>]</w:t>
      </w:r>
    </w:p>
    <w:p w14:paraId="543C3922" w14:textId="77777777" w:rsidR="005B1E61" w:rsidRPr="005B1E61" w:rsidRDefault="005B1E61" w:rsidP="005B1E61">
      <w:pPr>
        <w:keepNext/>
        <w:tabs>
          <w:tab w:val="left" w:pos="567"/>
        </w:tabs>
        <w:spacing w:before="60" w:after="60"/>
        <w:ind w:left="567" w:hanging="567"/>
        <w:jc w:val="left"/>
        <w:rPr>
          <w:b/>
          <w:bCs/>
          <w:iCs/>
          <w:color w:val="0070C0"/>
          <w:szCs w:val="22"/>
        </w:rPr>
      </w:pPr>
      <w:r w:rsidRPr="005B1E61">
        <w:rPr>
          <w:b/>
          <w:bCs/>
          <w:iCs/>
          <w:szCs w:val="22"/>
        </w:rPr>
        <w:t>References</w:t>
      </w:r>
    </w:p>
    <w:p w14:paraId="2568B488" w14:textId="77777777" w:rsidR="005B1E61" w:rsidRPr="005B1E61" w:rsidRDefault="005B1E61" w:rsidP="005B1E61">
      <w:pPr>
        <w:numPr>
          <w:ilvl w:val="0"/>
          <w:numId w:val="22"/>
        </w:numPr>
        <w:spacing w:after="180"/>
        <w:ind w:left="0" w:hanging="567"/>
        <w:rPr>
          <w:rFonts w:eastAsia="Times"/>
        </w:rPr>
      </w:pPr>
      <w:r w:rsidRPr="005B1E61">
        <w:rPr>
          <w:rFonts w:eastAsia="Times"/>
        </w:rPr>
        <w:t>The IPPC, relevant ISPMs and other national, regional and international implementation guides, standards and agreements as may be applicable to the tasks, and discussion papers submitted in relation to this work.</w:t>
      </w:r>
    </w:p>
    <w:p w14:paraId="3CE27D74" w14:textId="77777777" w:rsidR="005B1E61" w:rsidRPr="005B1E61" w:rsidRDefault="005B1E61" w:rsidP="005B1E61">
      <w:pPr>
        <w:keepNext/>
        <w:tabs>
          <w:tab w:val="left" w:pos="567"/>
        </w:tabs>
        <w:spacing w:before="60" w:after="60"/>
        <w:ind w:left="567" w:hanging="567"/>
        <w:jc w:val="left"/>
        <w:rPr>
          <w:b/>
          <w:bCs/>
          <w:iCs/>
          <w:szCs w:val="22"/>
        </w:rPr>
      </w:pPr>
      <w:r w:rsidRPr="005B1E61">
        <w:rPr>
          <w:b/>
          <w:bCs/>
          <w:iCs/>
          <w:szCs w:val="22"/>
        </w:rPr>
        <w:t>Discussion papers</w:t>
      </w:r>
    </w:p>
    <w:p w14:paraId="57F39FE2" w14:textId="77777777" w:rsidR="005B1E61" w:rsidRPr="005B1E61" w:rsidRDefault="005B1E61" w:rsidP="005B1E61">
      <w:pPr>
        <w:numPr>
          <w:ilvl w:val="0"/>
          <w:numId w:val="22"/>
        </w:numPr>
        <w:spacing w:after="180"/>
        <w:ind w:left="0" w:hanging="567"/>
        <w:rPr>
          <w:rFonts w:eastAsia="Times"/>
        </w:rPr>
      </w:pPr>
      <w:r w:rsidRPr="005B1E61">
        <w:rPr>
          <w:rFonts w:eastAsia="Times"/>
          <w:lang w:eastAsia="ja-JP"/>
        </w:rPr>
        <w:t xml:space="preserve">Participants and interested parties are encouraged to submit </w:t>
      </w:r>
      <w:r w:rsidRPr="005B1E61">
        <w:rPr>
          <w:rFonts w:eastAsia="Times"/>
        </w:rPr>
        <w:t>discussion</w:t>
      </w:r>
      <w:r w:rsidRPr="005B1E61">
        <w:rPr>
          <w:rFonts w:eastAsia="Times"/>
          <w:lang w:eastAsia="ja-JP"/>
        </w:rPr>
        <w:t xml:space="preserve"> papers to the IPPC Secretariat (</w:t>
      </w:r>
      <w:hyperlink r:id="rId17" w:history="1">
        <w:r w:rsidRPr="005B1E61">
          <w:rPr>
            <w:rFonts w:eastAsia="Times"/>
            <w:color w:val="0000FF"/>
            <w:u w:val="single"/>
            <w:lang w:eastAsia="ja-JP"/>
          </w:rPr>
          <w:t>ippc@fao.org</w:t>
        </w:r>
      </w:hyperlink>
      <w:r w:rsidRPr="005B1E61">
        <w:rPr>
          <w:rFonts w:eastAsia="Times"/>
          <w:lang w:eastAsia="ja-JP"/>
        </w:rPr>
        <w:t xml:space="preserve">) for consideration by the </w:t>
      </w:r>
      <w:r w:rsidRPr="005B1E61">
        <w:rPr>
          <w:rFonts w:eastAsia="Times"/>
          <w:lang w:val="en-AU" w:eastAsia="ja-JP"/>
        </w:rPr>
        <w:t>EDG</w:t>
      </w:r>
      <w:r w:rsidRPr="005B1E61">
        <w:rPr>
          <w:rFonts w:eastAsia="Times"/>
        </w:rPr>
        <w:t>.</w:t>
      </w:r>
    </w:p>
    <w:p w14:paraId="38498BA6" w14:textId="77777777" w:rsidR="005B1E61" w:rsidRPr="005B1E61" w:rsidRDefault="005B1E61" w:rsidP="005B1E61">
      <w:pPr>
        <w:spacing w:after="180"/>
        <w:rPr>
          <w:rFonts w:eastAsia="Times"/>
        </w:rPr>
      </w:pPr>
    </w:p>
    <w:p w14:paraId="437EC012" w14:textId="77777777" w:rsidR="005B1E61" w:rsidRDefault="005B1E61" w:rsidP="000B32EC">
      <w:pPr>
        <w:tabs>
          <w:tab w:val="left" w:pos="2640"/>
          <w:tab w:val="left" w:pos="5103"/>
          <w:tab w:val="left" w:pos="5520"/>
        </w:tabs>
      </w:pPr>
    </w:p>
    <w:sectPr w:rsidR="005B1E61" w:rsidSect="005B1E61">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1C09" w14:textId="77777777" w:rsidR="002E71B7" w:rsidRDefault="002E71B7" w:rsidP="000B32EC">
      <w:r>
        <w:separator/>
      </w:r>
    </w:p>
  </w:endnote>
  <w:endnote w:type="continuationSeparator" w:id="0">
    <w:p w14:paraId="4D70D7A8" w14:textId="77777777" w:rsidR="002E71B7" w:rsidRDefault="002E71B7"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18C181CC"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5B1E61">
      <w:rPr>
        <w:noProof/>
      </w:rPr>
      <w:t>6</w:t>
    </w:r>
    <w:r>
      <w:fldChar w:fldCharType="end"/>
    </w:r>
    <w:r w:rsidRPr="00C6380D">
      <w:t xml:space="preserve"> of </w:t>
    </w:r>
    <w:r w:rsidR="00E64BBB">
      <w:rPr>
        <w:noProof/>
      </w:rPr>
      <w:fldChar w:fldCharType="begin"/>
    </w:r>
    <w:r w:rsidR="00E64BBB">
      <w:rPr>
        <w:noProof/>
      </w:rPr>
      <w:instrText xml:space="preserve"> NUMPAGES  </w:instrText>
    </w:r>
    <w:r w:rsidR="00E64BBB">
      <w:rPr>
        <w:noProof/>
      </w:rPr>
      <w:fldChar w:fldCharType="separate"/>
    </w:r>
    <w:r w:rsidR="005B1E61">
      <w:rPr>
        <w:noProof/>
      </w:rPr>
      <w:t>7</w:t>
    </w:r>
    <w:r w:rsidR="00E64BBB">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C57F" w14:textId="3DAEFF7B" w:rsidR="005B1E61" w:rsidRPr="005B1E61" w:rsidRDefault="005B1E61" w:rsidP="005B1E61">
    <w:pPr>
      <w:pBdr>
        <w:top w:val="single" w:sz="4" w:space="4" w:color="auto"/>
      </w:pBdr>
      <w:tabs>
        <w:tab w:val="right" w:pos="9072"/>
      </w:tabs>
      <w:spacing w:after="120"/>
      <w:jc w:val="right"/>
      <w:rPr>
        <w:rFonts w:ascii="Arial" w:hAnsi="Arial"/>
        <w:b/>
        <w:sz w:val="18"/>
        <w:lang w:val="en-US"/>
      </w:rPr>
    </w:pPr>
    <w:r w:rsidRPr="005B1E61">
      <w:rPr>
        <w:rFonts w:ascii="Arial" w:hAnsi="Arial"/>
        <w:b/>
        <w:sz w:val="18"/>
        <w:lang w:val="en-US"/>
      </w:rPr>
      <w:t>International Plant Protection Convention</w:t>
    </w:r>
    <w:r w:rsidRPr="005B1E61">
      <w:rPr>
        <w:rFonts w:ascii="Arial" w:hAnsi="Arial"/>
        <w:b/>
        <w:sz w:val="18"/>
        <w:lang w:val="en-US"/>
      </w:rPr>
      <w:tab/>
      <w:t xml:space="preserve">Page </w:t>
    </w:r>
    <w:r w:rsidRPr="005B1E61">
      <w:rPr>
        <w:rFonts w:ascii="Arial" w:hAnsi="Arial"/>
        <w:b/>
        <w:sz w:val="18"/>
        <w:lang w:val="en-US"/>
      </w:rPr>
      <w:fldChar w:fldCharType="begin"/>
    </w:r>
    <w:r w:rsidRPr="005B1E61">
      <w:rPr>
        <w:rFonts w:ascii="Arial" w:hAnsi="Arial"/>
        <w:b/>
        <w:sz w:val="18"/>
        <w:lang w:val="en-US"/>
      </w:rPr>
      <w:instrText xml:space="preserve"> PAGE </w:instrText>
    </w:r>
    <w:r w:rsidRPr="005B1E61">
      <w:rPr>
        <w:rFonts w:ascii="Arial" w:hAnsi="Arial"/>
        <w:b/>
        <w:sz w:val="18"/>
        <w:lang w:val="en-US"/>
      </w:rPr>
      <w:fldChar w:fldCharType="separate"/>
    </w:r>
    <w:r>
      <w:rPr>
        <w:rFonts w:ascii="Arial" w:hAnsi="Arial"/>
        <w:b/>
        <w:noProof/>
        <w:sz w:val="18"/>
        <w:lang w:val="en-US"/>
      </w:rPr>
      <w:t>7</w:t>
    </w:r>
    <w:r w:rsidRPr="005B1E61">
      <w:rPr>
        <w:rFonts w:ascii="Arial" w:hAnsi="Arial"/>
        <w:b/>
        <w:sz w:val="18"/>
        <w:lang w:val="en-US"/>
      </w:rPr>
      <w:fldChar w:fldCharType="end"/>
    </w:r>
    <w:r w:rsidRPr="005B1E61">
      <w:rPr>
        <w:rFonts w:ascii="Arial" w:hAnsi="Arial"/>
        <w:b/>
        <w:sz w:val="18"/>
        <w:lang w:val="en-US"/>
      </w:rPr>
      <w:t xml:space="preserve"> of </w:t>
    </w:r>
    <w:r w:rsidRPr="005B1E61">
      <w:rPr>
        <w:rFonts w:ascii="Arial" w:hAnsi="Arial"/>
        <w:b/>
        <w:sz w:val="18"/>
        <w:lang w:val="en-US"/>
      </w:rPr>
      <w:fldChar w:fldCharType="begin"/>
    </w:r>
    <w:r w:rsidRPr="005B1E61">
      <w:rPr>
        <w:rFonts w:ascii="Arial" w:hAnsi="Arial"/>
        <w:b/>
        <w:sz w:val="18"/>
        <w:lang w:val="en-US"/>
      </w:rPr>
      <w:instrText xml:space="preserve"> NUMPAGES  </w:instrText>
    </w:r>
    <w:r w:rsidRPr="005B1E61">
      <w:rPr>
        <w:rFonts w:ascii="Arial" w:hAnsi="Arial"/>
        <w:b/>
        <w:sz w:val="18"/>
        <w:lang w:val="en-US"/>
      </w:rPr>
      <w:fldChar w:fldCharType="separate"/>
    </w:r>
    <w:r>
      <w:rPr>
        <w:rFonts w:ascii="Arial" w:hAnsi="Arial"/>
        <w:b/>
        <w:noProof/>
        <w:sz w:val="18"/>
        <w:lang w:val="en-US"/>
      </w:rPr>
      <w:t>7</w:t>
    </w:r>
    <w:r w:rsidRPr="005B1E61">
      <w:rPr>
        <w:rFonts w:ascii="Arial" w:hAnsi="Arial"/>
        <w:b/>
        <w:noProof/>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3E96" w14:textId="5B2B74D4" w:rsidR="005B1E61" w:rsidRPr="005B1E61" w:rsidRDefault="005B1E61" w:rsidP="005B1E61">
    <w:pPr>
      <w:pBdr>
        <w:top w:val="single" w:sz="4" w:space="4" w:color="auto"/>
      </w:pBdr>
      <w:tabs>
        <w:tab w:val="right" w:pos="9072"/>
      </w:tabs>
      <w:spacing w:after="120"/>
      <w:jc w:val="right"/>
      <w:rPr>
        <w:rFonts w:ascii="Arial" w:hAnsi="Arial"/>
        <w:b/>
        <w:sz w:val="18"/>
        <w:lang w:val="en-US"/>
      </w:rPr>
    </w:pPr>
    <w:r w:rsidRPr="005B1E61">
      <w:rPr>
        <w:rFonts w:ascii="Arial" w:hAnsi="Arial"/>
        <w:b/>
        <w:sz w:val="18"/>
        <w:lang w:val="en-US"/>
      </w:rPr>
      <w:t>International Plant Protection Convention</w:t>
    </w:r>
    <w:r w:rsidRPr="005B1E61">
      <w:rPr>
        <w:rFonts w:ascii="Arial" w:hAnsi="Arial"/>
        <w:b/>
        <w:sz w:val="18"/>
        <w:lang w:val="en-US"/>
      </w:rPr>
      <w:tab/>
      <w:t xml:space="preserve">Page </w:t>
    </w:r>
    <w:r w:rsidRPr="005B1E61">
      <w:rPr>
        <w:rFonts w:ascii="Arial" w:hAnsi="Arial"/>
        <w:b/>
        <w:sz w:val="18"/>
        <w:lang w:val="en-US"/>
      </w:rPr>
      <w:fldChar w:fldCharType="begin"/>
    </w:r>
    <w:r w:rsidRPr="005B1E61">
      <w:rPr>
        <w:rFonts w:ascii="Arial" w:hAnsi="Arial"/>
        <w:b/>
        <w:sz w:val="18"/>
        <w:lang w:val="en-US"/>
      </w:rPr>
      <w:instrText xml:space="preserve"> PAGE </w:instrText>
    </w:r>
    <w:r w:rsidRPr="005B1E61">
      <w:rPr>
        <w:rFonts w:ascii="Arial" w:hAnsi="Arial"/>
        <w:b/>
        <w:sz w:val="18"/>
        <w:lang w:val="en-US"/>
      </w:rPr>
      <w:fldChar w:fldCharType="separate"/>
    </w:r>
    <w:r>
      <w:rPr>
        <w:rFonts w:ascii="Arial" w:hAnsi="Arial"/>
        <w:b/>
        <w:noProof/>
        <w:sz w:val="18"/>
        <w:lang w:val="en-US"/>
      </w:rPr>
      <w:t>1</w:t>
    </w:r>
    <w:r w:rsidRPr="005B1E61">
      <w:rPr>
        <w:rFonts w:ascii="Arial" w:hAnsi="Arial"/>
        <w:b/>
        <w:sz w:val="18"/>
        <w:lang w:val="en-US"/>
      </w:rPr>
      <w:fldChar w:fldCharType="end"/>
    </w:r>
    <w:r w:rsidRPr="005B1E61">
      <w:rPr>
        <w:rFonts w:ascii="Arial" w:hAnsi="Arial"/>
        <w:b/>
        <w:sz w:val="18"/>
        <w:lang w:val="en-US"/>
      </w:rPr>
      <w:t xml:space="preserve"> of </w:t>
    </w:r>
    <w:r w:rsidRPr="005B1E61">
      <w:rPr>
        <w:rFonts w:ascii="Arial" w:hAnsi="Arial"/>
        <w:b/>
        <w:sz w:val="18"/>
        <w:lang w:val="en-US"/>
      </w:rPr>
      <w:fldChar w:fldCharType="begin"/>
    </w:r>
    <w:r w:rsidRPr="005B1E61">
      <w:rPr>
        <w:rFonts w:ascii="Arial" w:hAnsi="Arial"/>
        <w:b/>
        <w:sz w:val="18"/>
        <w:lang w:val="en-US"/>
      </w:rPr>
      <w:instrText xml:space="preserve"> NUMPAGES  </w:instrText>
    </w:r>
    <w:r w:rsidRPr="005B1E61">
      <w:rPr>
        <w:rFonts w:ascii="Arial" w:hAnsi="Arial"/>
        <w:b/>
        <w:sz w:val="18"/>
        <w:lang w:val="en-US"/>
      </w:rPr>
      <w:fldChar w:fldCharType="separate"/>
    </w:r>
    <w:r>
      <w:rPr>
        <w:rFonts w:ascii="Arial" w:hAnsi="Arial"/>
        <w:b/>
        <w:noProof/>
        <w:sz w:val="18"/>
        <w:lang w:val="en-US"/>
      </w:rPr>
      <w:t>7</w:t>
    </w:r>
    <w:r w:rsidRPr="005B1E61">
      <w:rPr>
        <w:rFonts w:ascii="Arial" w:hAnsi="Arial"/>
        <w:b/>
        <w:noProof/>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6D86" w14:textId="77777777" w:rsidR="002E71B7" w:rsidRDefault="002E71B7" w:rsidP="000B32EC">
      <w:r>
        <w:separator/>
      </w:r>
    </w:p>
  </w:footnote>
  <w:footnote w:type="continuationSeparator" w:id="0">
    <w:p w14:paraId="32CCCAE0" w14:textId="77777777" w:rsidR="002E71B7" w:rsidRDefault="002E71B7"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D4D1" w14:textId="0CB81D0C" w:rsidR="005B1E61" w:rsidRPr="005B1E61" w:rsidRDefault="005B1E61" w:rsidP="005B1E61">
    <w:pPr>
      <w:pBdr>
        <w:bottom w:val="single" w:sz="4" w:space="6" w:color="auto"/>
      </w:pBdr>
      <w:tabs>
        <w:tab w:val="left" w:pos="1134"/>
        <w:tab w:val="right" w:pos="9072"/>
      </w:tabs>
      <w:spacing w:after="120"/>
      <w:jc w:val="left"/>
      <w:rPr>
        <w:rFonts w:ascii="Arial" w:hAnsi="Arial"/>
        <w:sz w:val="18"/>
        <w:lang w:val="en-US"/>
      </w:rPr>
    </w:pPr>
    <w:r>
      <w:rPr>
        <w:rFonts w:ascii="Arial" w:hAnsi="Arial"/>
        <w:noProof/>
        <w:sz w:val="18"/>
        <w:lang w:val="en-US"/>
      </w:rPr>
      <w:t>2018-012</w:t>
    </w:r>
    <w:r w:rsidRPr="005B1E61">
      <w:rPr>
        <w:rFonts w:ascii="Arial" w:hAnsi="Arial"/>
        <w:noProof/>
        <w:sz w:val="18"/>
        <w:lang w:val="en-US"/>
      </w:rPr>
      <w:tab/>
    </w:r>
    <w:r w:rsidRPr="005B1E61">
      <w:rPr>
        <w:rFonts w:ascii="Arial" w:hAnsi="Arial"/>
        <w:noProof/>
        <w:sz w:val="18"/>
        <w:lang w:val="en-US"/>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3EBC" w14:textId="1CADB463" w:rsidR="005B1E61" w:rsidRPr="005B1E61" w:rsidRDefault="005B1E61" w:rsidP="005B1E61">
    <w:pPr>
      <w:pBdr>
        <w:bottom w:val="single" w:sz="4" w:space="4" w:color="auto"/>
      </w:pBdr>
      <w:tabs>
        <w:tab w:val="left" w:pos="1134"/>
        <w:tab w:val="right" w:pos="9072"/>
      </w:tabs>
      <w:spacing w:after="120"/>
      <w:jc w:val="left"/>
      <w:rPr>
        <w:rFonts w:ascii="Arial" w:hAnsi="Arial"/>
        <w:sz w:val="18"/>
        <w:lang w:val="en-US"/>
      </w:rPr>
    </w:pPr>
    <w:r w:rsidRPr="005B1E61">
      <w:rPr>
        <w:rFonts w:ascii="Arial" w:hAnsi="Arial"/>
        <w:noProof/>
        <w:sz w:val="18"/>
        <w:lang w:val="en-US"/>
      </w:rPr>
      <w:t>2018 Call for Topics: Standards and Implementation</w:t>
    </w:r>
    <w:r w:rsidRPr="005B1E61">
      <w:rPr>
        <w:rFonts w:ascii="Arial" w:hAnsi="Arial"/>
        <w:noProof/>
        <w:sz w:val="18"/>
        <w:lang w:val="en-US"/>
      </w:rPr>
      <w:tab/>
      <w:t>2018-0</w:t>
    </w:r>
    <w:r>
      <w:rPr>
        <w:rFonts w:ascii="Arial" w:hAnsi="Arial"/>
        <w:noProof/>
        <w:sz w:val="18"/>
        <w:lang w:val="en-US"/>
      </w:rPr>
      <w:t>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42D8" w14:textId="56566DFC" w:rsidR="005B1E61" w:rsidRPr="005B1E61" w:rsidRDefault="005B1E61" w:rsidP="005B1E61">
    <w:pPr>
      <w:pBdr>
        <w:bottom w:val="single" w:sz="4" w:space="4" w:color="auto"/>
      </w:pBdr>
      <w:tabs>
        <w:tab w:val="left" w:pos="1134"/>
        <w:tab w:val="right" w:pos="9072"/>
      </w:tabs>
      <w:spacing w:after="120"/>
      <w:ind w:left="1134"/>
      <w:jc w:val="left"/>
      <w:rPr>
        <w:rFonts w:ascii="Arial" w:hAnsi="Arial"/>
        <w:sz w:val="18"/>
        <w:lang w:val="en-US"/>
      </w:rPr>
    </w:pPr>
    <w:r w:rsidRPr="005B1E61">
      <w:rPr>
        <w:rFonts w:ascii="Arial" w:hAnsi="Arial"/>
        <w:noProof/>
        <w:sz w:val="18"/>
        <w:lang w:val="en-US"/>
      </w:rPr>
      <w:drawing>
        <wp:anchor distT="0" distB="0" distL="114300" distR="114300" simplePos="0" relativeHeight="251660288" behindDoc="0" locked="0" layoutInCell="1" allowOverlap="0" wp14:anchorId="66CAB37F" wp14:editId="61D9E28B">
          <wp:simplePos x="0" y="0"/>
          <wp:positionH relativeFrom="page">
            <wp:posOffset>-28575</wp:posOffset>
          </wp:positionH>
          <wp:positionV relativeFrom="paragraph">
            <wp:posOffset>-530225</wp:posOffset>
          </wp:positionV>
          <wp:extent cx="7629525" cy="463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1E61">
      <w:rPr>
        <w:rFonts w:ascii="Arial" w:hAnsi="Arial"/>
        <w:noProof/>
        <w:sz w:val="18"/>
        <w:lang w:val="en-US"/>
      </w:rPr>
      <w:drawing>
        <wp:anchor distT="0" distB="0" distL="114300" distR="114300" simplePos="0" relativeHeight="251659264" behindDoc="0" locked="0" layoutInCell="1" allowOverlap="1" wp14:anchorId="0955036E" wp14:editId="04FD7E6D">
          <wp:simplePos x="0" y="0"/>
          <wp:positionH relativeFrom="column">
            <wp:posOffset>-12700</wp:posOffset>
          </wp:positionH>
          <wp:positionV relativeFrom="paragraph">
            <wp:posOffset>3810</wp:posOffset>
          </wp:positionV>
          <wp:extent cx="632460" cy="321310"/>
          <wp:effectExtent l="0" t="0" r="0" b="2540"/>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E61">
      <w:rPr>
        <w:rFonts w:ascii="Arial" w:hAnsi="Arial"/>
        <w:sz w:val="18"/>
        <w:lang w:val="en-US"/>
      </w:rPr>
      <w:t>International Pla</w:t>
    </w:r>
    <w:r>
      <w:rPr>
        <w:rFonts w:ascii="Arial" w:hAnsi="Arial"/>
        <w:sz w:val="18"/>
        <w:lang w:val="en-US"/>
      </w:rPr>
      <w:t>nt Protection Convention</w:t>
    </w:r>
    <w:r>
      <w:rPr>
        <w:rFonts w:ascii="Arial" w:hAnsi="Arial"/>
        <w:sz w:val="18"/>
        <w:lang w:val="en-US"/>
      </w:rPr>
      <w:tab/>
      <w:t>2018-012</w:t>
    </w:r>
    <w:r w:rsidRPr="005B1E61">
      <w:rPr>
        <w:rFonts w:ascii="Arial" w:hAnsi="Arial"/>
        <w:sz w:val="18"/>
        <w:lang w:val="en-US"/>
      </w:rPr>
      <w:br/>
      <w:t>2018 Call for Topics Standards and Implementation</w:t>
    </w:r>
    <w:r w:rsidRPr="005B1E61">
      <w:rPr>
        <w:rFonts w:ascii="Arial" w:hAnsi="Arial"/>
        <w:i/>
        <w:sz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7"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9"/>
  </w:num>
  <w:num w:numId="4">
    <w:abstractNumId w:val="11"/>
  </w:num>
  <w:num w:numId="5">
    <w:abstractNumId w:val="17"/>
  </w:num>
  <w:num w:numId="6">
    <w:abstractNumId w:val="18"/>
  </w:num>
  <w:num w:numId="7">
    <w:abstractNumId w:val="10"/>
  </w:num>
  <w:num w:numId="8">
    <w:abstractNumId w:val="13"/>
  </w:num>
  <w:num w:numId="9">
    <w:abstractNumId w:val="20"/>
  </w:num>
  <w:num w:numId="10">
    <w:abstractNumId w:val="3"/>
  </w:num>
  <w:num w:numId="11">
    <w:abstractNumId w:val="12"/>
  </w:num>
  <w:num w:numId="12">
    <w:abstractNumId w:val="15"/>
  </w:num>
  <w:num w:numId="13">
    <w:abstractNumId w:val="6"/>
  </w:num>
  <w:num w:numId="14">
    <w:abstractNumId w:val="9"/>
  </w:num>
  <w:num w:numId="15">
    <w:abstractNumId w:val="5"/>
  </w:num>
  <w:num w:numId="16">
    <w:abstractNumId w:val="0"/>
  </w:num>
  <w:num w:numId="17">
    <w:abstractNumId w:val="8"/>
  </w:num>
  <w:num w:numId="18">
    <w:abstractNumId w:val="16"/>
  </w:num>
  <w:num w:numId="19">
    <w:abstractNumId w:val="21"/>
  </w:num>
  <w:num w:numId="20">
    <w:abstractNumId w:val="2"/>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NotTrackFormatting/>
  <w:defaultTabStop w:val="720"/>
  <w:evenAndOddHeaders/>
  <w:characterSpacingControl w:val="doNotCompress"/>
  <w:hdrShapeDefaults>
    <o:shapedefaults v:ext="edit" spidmax="675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74A88"/>
    <w:rsid w:val="000B0C3F"/>
    <w:rsid w:val="000B2B1B"/>
    <w:rsid w:val="000B31FB"/>
    <w:rsid w:val="000B32EC"/>
    <w:rsid w:val="000E6AB5"/>
    <w:rsid w:val="00160B95"/>
    <w:rsid w:val="00160DC9"/>
    <w:rsid w:val="00167857"/>
    <w:rsid w:val="00183D3D"/>
    <w:rsid w:val="001C12E2"/>
    <w:rsid w:val="001E7364"/>
    <w:rsid w:val="001F7F84"/>
    <w:rsid w:val="00213E47"/>
    <w:rsid w:val="00257DCF"/>
    <w:rsid w:val="002613D4"/>
    <w:rsid w:val="002743A5"/>
    <w:rsid w:val="0028581E"/>
    <w:rsid w:val="002C4D4D"/>
    <w:rsid w:val="002E71B7"/>
    <w:rsid w:val="002F27D7"/>
    <w:rsid w:val="002F705C"/>
    <w:rsid w:val="00312C2A"/>
    <w:rsid w:val="00315FB8"/>
    <w:rsid w:val="00377343"/>
    <w:rsid w:val="003D6110"/>
    <w:rsid w:val="003E09CC"/>
    <w:rsid w:val="00403315"/>
    <w:rsid w:val="00412711"/>
    <w:rsid w:val="00427923"/>
    <w:rsid w:val="004377E7"/>
    <w:rsid w:val="0046084A"/>
    <w:rsid w:val="004613BB"/>
    <w:rsid w:val="004666F4"/>
    <w:rsid w:val="00470E1E"/>
    <w:rsid w:val="004A373D"/>
    <w:rsid w:val="004C6850"/>
    <w:rsid w:val="005205CE"/>
    <w:rsid w:val="005438FB"/>
    <w:rsid w:val="00563FA2"/>
    <w:rsid w:val="005B1E61"/>
    <w:rsid w:val="005C1BD0"/>
    <w:rsid w:val="005D0DD7"/>
    <w:rsid w:val="005D6636"/>
    <w:rsid w:val="005E6F6B"/>
    <w:rsid w:val="005F17DA"/>
    <w:rsid w:val="00625093"/>
    <w:rsid w:val="0065291E"/>
    <w:rsid w:val="0067537B"/>
    <w:rsid w:val="006B50AE"/>
    <w:rsid w:val="006C01F3"/>
    <w:rsid w:val="006F5526"/>
    <w:rsid w:val="007075F6"/>
    <w:rsid w:val="0071310C"/>
    <w:rsid w:val="0077292D"/>
    <w:rsid w:val="00780D6D"/>
    <w:rsid w:val="00782FDA"/>
    <w:rsid w:val="007C5989"/>
    <w:rsid w:val="007E5FE0"/>
    <w:rsid w:val="00800909"/>
    <w:rsid w:val="00811B8D"/>
    <w:rsid w:val="00842047"/>
    <w:rsid w:val="00854B01"/>
    <w:rsid w:val="008675A0"/>
    <w:rsid w:val="00875202"/>
    <w:rsid w:val="008B75E0"/>
    <w:rsid w:val="008C3E20"/>
    <w:rsid w:val="008E1E55"/>
    <w:rsid w:val="0096151C"/>
    <w:rsid w:val="009A3A5A"/>
    <w:rsid w:val="009B3464"/>
    <w:rsid w:val="009E1649"/>
    <w:rsid w:val="009F1B23"/>
    <w:rsid w:val="00A0350E"/>
    <w:rsid w:val="00A22F56"/>
    <w:rsid w:val="00A63775"/>
    <w:rsid w:val="00AD0A0C"/>
    <w:rsid w:val="00B33DF3"/>
    <w:rsid w:val="00B57EA1"/>
    <w:rsid w:val="00B733D5"/>
    <w:rsid w:val="00BA500B"/>
    <w:rsid w:val="00BA5D6D"/>
    <w:rsid w:val="00BA66FB"/>
    <w:rsid w:val="00BD2002"/>
    <w:rsid w:val="00BE6D70"/>
    <w:rsid w:val="00C11B69"/>
    <w:rsid w:val="00C256EC"/>
    <w:rsid w:val="00C30FAE"/>
    <w:rsid w:val="00C34640"/>
    <w:rsid w:val="00C43F5B"/>
    <w:rsid w:val="00C779D6"/>
    <w:rsid w:val="00C82B35"/>
    <w:rsid w:val="00CA43E0"/>
    <w:rsid w:val="00CA5866"/>
    <w:rsid w:val="00CA63CA"/>
    <w:rsid w:val="00CB0629"/>
    <w:rsid w:val="00CC70C3"/>
    <w:rsid w:val="00CF1AEF"/>
    <w:rsid w:val="00CF2046"/>
    <w:rsid w:val="00D41B7E"/>
    <w:rsid w:val="00D46538"/>
    <w:rsid w:val="00D676E6"/>
    <w:rsid w:val="00D768AF"/>
    <w:rsid w:val="00DA3D93"/>
    <w:rsid w:val="00DB0230"/>
    <w:rsid w:val="00DB23B5"/>
    <w:rsid w:val="00DC3452"/>
    <w:rsid w:val="00DC62EE"/>
    <w:rsid w:val="00DD4F8D"/>
    <w:rsid w:val="00E06A49"/>
    <w:rsid w:val="00E22D16"/>
    <w:rsid w:val="00E322D6"/>
    <w:rsid w:val="00E407A1"/>
    <w:rsid w:val="00E41772"/>
    <w:rsid w:val="00E41C74"/>
    <w:rsid w:val="00E470F7"/>
    <w:rsid w:val="00E547A2"/>
    <w:rsid w:val="00E57BC8"/>
    <w:rsid w:val="00E64BBB"/>
    <w:rsid w:val="00E72A55"/>
    <w:rsid w:val="00E86637"/>
    <w:rsid w:val="00E95202"/>
    <w:rsid w:val="00E96D9B"/>
    <w:rsid w:val="00EB47FD"/>
    <w:rsid w:val="00EC1D32"/>
    <w:rsid w:val="00EC1DE3"/>
    <w:rsid w:val="00ED78B4"/>
    <w:rsid w:val="00EE39DD"/>
    <w:rsid w:val="00EE5152"/>
    <w:rsid w:val="00F1458C"/>
    <w:rsid w:val="00F21E55"/>
    <w:rsid w:val="00F37128"/>
    <w:rsid w:val="00F438F9"/>
    <w:rsid w:val="00F46A9A"/>
    <w:rsid w:val="00F50D5F"/>
    <w:rsid w:val="00F56C25"/>
    <w:rsid w:val="00F6085C"/>
    <w:rsid w:val="00FC017E"/>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9"/>
    <o:shapelayout v:ext="edit">
      <o:idmap v:ext="edit" data="1"/>
    </o:shapelayout>
  </w:shapeDefaults>
  <w:decimalSymbol w:val="."/>
  <w:listSeparator w:val=","/>
  <w14:docId w14:val="7CF40E49"/>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yperlink" Target="mailto:ippc@fa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ppc.int/en/core-activ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footer" Target="footer3.xml"/><Relationship Id="rId10" Type="http://schemas.openxmlformats.org/officeDocument/2006/relationships/hyperlink" Target="https://www.ippc.int/core-activities/standards-setting/list-topics-ippc-standard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2A18-D5F3-41DD-97F1-D7D84B58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2018-04-26T12:52:00Z</cp:lastPrinted>
  <dcterms:created xsi:type="dcterms:W3CDTF">2018-08-30T09:31:00Z</dcterms:created>
  <dcterms:modified xsi:type="dcterms:W3CDTF">2018-08-30T09:31:00Z</dcterms:modified>
</cp:coreProperties>
</file>