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6F8" w:rsidRDefault="006A46F8" w:rsidP="006A0059">
      <w:pPr>
        <w:jc w:val="center"/>
        <w:rPr>
          <w:b/>
        </w:rPr>
      </w:pPr>
      <w:r>
        <w:rPr>
          <w:b/>
        </w:rPr>
        <w:t>DRAFT</w:t>
      </w:r>
    </w:p>
    <w:p w:rsidR="006A46F8" w:rsidRDefault="006A46F8" w:rsidP="006A0059">
      <w:pPr>
        <w:jc w:val="center"/>
        <w:rPr>
          <w:b/>
        </w:rPr>
      </w:pPr>
      <w:r>
        <w:rPr>
          <w:b/>
        </w:rPr>
        <w:t>DRAFT</w:t>
      </w:r>
    </w:p>
    <w:p w:rsidR="006A46F8" w:rsidRDefault="006A46F8" w:rsidP="006A0059">
      <w:pPr>
        <w:jc w:val="center"/>
        <w:rPr>
          <w:b/>
        </w:rPr>
      </w:pPr>
    </w:p>
    <w:p w:rsidR="006A46F8" w:rsidRDefault="006A46F8" w:rsidP="006A0059">
      <w:pPr>
        <w:jc w:val="center"/>
        <w:rPr>
          <w:b/>
        </w:rPr>
      </w:pPr>
    </w:p>
    <w:p w:rsidR="006A46F8" w:rsidRDefault="006A46F8" w:rsidP="006A0059">
      <w:pPr>
        <w:jc w:val="center"/>
        <w:rPr>
          <w:b/>
        </w:rPr>
      </w:pPr>
    </w:p>
    <w:p w:rsidR="006A0059" w:rsidRPr="000B0E03" w:rsidRDefault="000A0489" w:rsidP="006A0059">
      <w:pPr>
        <w:jc w:val="center"/>
        <w:rPr>
          <w:b/>
          <w:sz w:val="72"/>
          <w:szCs w:val="72"/>
        </w:rPr>
      </w:pPr>
      <w:r w:rsidRPr="000B0E03">
        <w:rPr>
          <w:b/>
          <w:sz w:val="72"/>
          <w:szCs w:val="72"/>
        </w:rPr>
        <w:t>Investment Plan</w:t>
      </w:r>
    </w:p>
    <w:p w:rsidR="006A0059" w:rsidRDefault="006A0059" w:rsidP="006A0059">
      <w:pPr>
        <w:jc w:val="center"/>
        <w:rPr>
          <w:b/>
        </w:rPr>
      </w:pPr>
      <w:proofErr w:type="gramStart"/>
      <w:r>
        <w:rPr>
          <w:b/>
        </w:rPr>
        <w:t>for</w:t>
      </w:r>
      <w:proofErr w:type="gramEnd"/>
      <w:r>
        <w:rPr>
          <w:b/>
        </w:rPr>
        <w:t xml:space="preserve"> the</w:t>
      </w:r>
    </w:p>
    <w:p w:rsidR="006A0059" w:rsidRDefault="006A0059" w:rsidP="006A0059">
      <w:pPr>
        <w:jc w:val="center"/>
        <w:rPr>
          <w:b/>
        </w:rPr>
      </w:pPr>
      <w:r>
        <w:rPr>
          <w:b/>
        </w:rPr>
        <w:t>International Plant Protection Convention (IPPC)</w:t>
      </w:r>
    </w:p>
    <w:p w:rsidR="006A0059" w:rsidRDefault="000A0489" w:rsidP="006A0059">
      <w:pPr>
        <w:jc w:val="center"/>
        <w:rPr>
          <w:b/>
        </w:rPr>
      </w:pPr>
      <w:r>
        <w:rPr>
          <w:b/>
        </w:rPr>
        <w:t>2020 – 2024</w:t>
      </w:r>
    </w:p>
    <w:p w:rsidR="006A0059" w:rsidRDefault="006A0059" w:rsidP="006A0059">
      <w:pPr>
        <w:jc w:val="center"/>
        <w:rPr>
          <w:b/>
        </w:rPr>
      </w:pPr>
    </w:p>
    <w:p w:rsidR="006A0059" w:rsidRDefault="006A0059" w:rsidP="006A0059">
      <w:pPr>
        <w:jc w:val="center"/>
        <w:rPr>
          <w:b/>
        </w:rPr>
      </w:pPr>
    </w:p>
    <w:p w:rsidR="006A0059" w:rsidRDefault="006A0059" w:rsidP="002626ED">
      <w:pPr>
        <w:rPr>
          <w:b/>
        </w:rPr>
      </w:pPr>
    </w:p>
    <w:p w:rsidR="006A0059" w:rsidRDefault="006A0059" w:rsidP="006A0059">
      <w:pPr>
        <w:jc w:val="center"/>
        <w:rPr>
          <w:b/>
        </w:rPr>
      </w:pPr>
      <w:r>
        <w:rPr>
          <w:b/>
        </w:rPr>
        <w:t>Protecting the World’s Plant Resources from Pests</w:t>
      </w:r>
    </w:p>
    <w:p w:rsidR="006A0059" w:rsidRDefault="006A0059" w:rsidP="002626ED">
      <w:pPr>
        <w:rPr>
          <w:b/>
        </w:rPr>
      </w:pPr>
    </w:p>
    <w:p w:rsidR="006A0059" w:rsidRDefault="006A0059" w:rsidP="002626ED">
      <w:pPr>
        <w:rPr>
          <w:b/>
        </w:rPr>
      </w:pPr>
    </w:p>
    <w:p w:rsidR="006A0059" w:rsidRDefault="006A0059" w:rsidP="002626ED">
      <w:pPr>
        <w:rPr>
          <w:b/>
        </w:rPr>
      </w:pPr>
    </w:p>
    <w:p w:rsidR="006A0059" w:rsidRDefault="006A0059" w:rsidP="002626ED">
      <w:pPr>
        <w:rPr>
          <w:b/>
        </w:rPr>
      </w:pPr>
    </w:p>
    <w:p w:rsidR="006A0059" w:rsidRDefault="006A0059" w:rsidP="002626ED">
      <w:pPr>
        <w:rPr>
          <w:b/>
        </w:rPr>
      </w:pPr>
    </w:p>
    <w:p w:rsidR="006A0059" w:rsidRDefault="006A0059" w:rsidP="002626ED">
      <w:pPr>
        <w:rPr>
          <w:b/>
        </w:rPr>
      </w:pPr>
    </w:p>
    <w:p w:rsidR="006A0059" w:rsidRDefault="006A0059" w:rsidP="002626ED">
      <w:pPr>
        <w:rPr>
          <w:b/>
        </w:rPr>
      </w:pPr>
    </w:p>
    <w:p w:rsidR="006A0059" w:rsidRDefault="006A0059" w:rsidP="006A0059">
      <w:pPr>
        <w:jc w:val="center"/>
        <w:rPr>
          <w:b/>
        </w:rPr>
      </w:pPr>
      <w:r>
        <w:rPr>
          <w:b/>
        </w:rPr>
        <w:t>Developed by the Commission on Phytosanitary Measures</w:t>
      </w:r>
    </w:p>
    <w:p w:rsidR="006A0059" w:rsidRDefault="006A0059" w:rsidP="006A46F8">
      <w:pPr>
        <w:jc w:val="center"/>
        <w:rPr>
          <w:b/>
        </w:rPr>
      </w:pPr>
    </w:p>
    <w:p w:rsidR="006A46F8" w:rsidRDefault="006A46F8" w:rsidP="006A46F8">
      <w:pPr>
        <w:jc w:val="center"/>
        <w:rPr>
          <w:b/>
        </w:rPr>
      </w:pPr>
    </w:p>
    <w:p w:rsidR="006A46F8" w:rsidRDefault="006A46F8" w:rsidP="006A46F8">
      <w:pPr>
        <w:jc w:val="center"/>
        <w:rPr>
          <w:b/>
        </w:rPr>
      </w:pPr>
      <w:r>
        <w:rPr>
          <w:b/>
        </w:rPr>
        <w:t>DRAFT</w:t>
      </w:r>
    </w:p>
    <w:p w:rsidR="006A46F8" w:rsidRDefault="006A46F8" w:rsidP="006A46F8">
      <w:pPr>
        <w:jc w:val="center"/>
        <w:rPr>
          <w:b/>
        </w:rPr>
      </w:pPr>
      <w:r>
        <w:rPr>
          <w:b/>
        </w:rPr>
        <w:t>DRAFT</w:t>
      </w:r>
    </w:p>
    <w:p w:rsidR="006A46F8" w:rsidRDefault="006A46F8" w:rsidP="006A46F8">
      <w:pPr>
        <w:jc w:val="center"/>
        <w:rPr>
          <w:b/>
        </w:rPr>
      </w:pPr>
      <w:r>
        <w:rPr>
          <w:b/>
        </w:rPr>
        <w:t>DRAFT</w:t>
      </w:r>
    </w:p>
    <w:p w:rsidR="00A64D32" w:rsidRDefault="00A64D32" w:rsidP="006A46F8">
      <w:pPr>
        <w:rPr>
          <w:rFonts w:eastAsiaTheme="majorEastAsia" w:cstheme="majorBidi"/>
          <w:b/>
          <w:color w:val="2E74B5" w:themeColor="accent1" w:themeShade="BF"/>
          <w:sz w:val="40"/>
          <w:szCs w:val="40"/>
        </w:rPr>
      </w:pPr>
      <w:r>
        <w:br w:type="page"/>
      </w:r>
    </w:p>
    <w:p w:rsidR="001368FA" w:rsidRDefault="00965C19" w:rsidP="002626ED">
      <w:pPr>
        <w:rPr>
          <w:b/>
        </w:rPr>
      </w:pPr>
      <w:r>
        <w:rPr>
          <w:b/>
        </w:rPr>
        <w:lastRenderedPageBreak/>
        <w:t>Title page and Table of Contents</w:t>
      </w:r>
      <w:r w:rsidR="00D916BE">
        <w:rPr>
          <w:b/>
        </w:rPr>
        <w:t xml:space="preserve"> </w:t>
      </w:r>
      <w:r w:rsidR="00D916BE" w:rsidRPr="00D916BE">
        <w:rPr>
          <w:b/>
          <w:color w:val="FF0000"/>
        </w:rPr>
        <w:t>[Amend]</w:t>
      </w:r>
    </w:p>
    <w:sdt>
      <w:sdtPr>
        <w:rPr>
          <w:rFonts w:asciiTheme="minorHAnsi" w:eastAsiaTheme="minorHAnsi" w:hAnsiTheme="minorHAnsi"/>
          <w:sz w:val="22"/>
          <w:szCs w:val="22"/>
          <w:lang w:val="en-GB"/>
        </w:rPr>
        <w:id w:val="336889688"/>
        <w:docPartObj>
          <w:docPartGallery w:val="Table of Contents"/>
          <w:docPartUnique/>
        </w:docPartObj>
      </w:sdtPr>
      <w:sdtEndPr>
        <w:rPr>
          <w:rFonts w:ascii="Times New Roman" w:eastAsia="MS Mincho" w:hAnsi="Times New Roman"/>
          <w:b/>
          <w:noProof/>
          <w:szCs w:val="24"/>
        </w:rPr>
      </w:sdtEndPr>
      <w:sdtContent>
        <w:p w:rsidR="001368FA" w:rsidRPr="00AB6D02" w:rsidRDefault="001368FA">
          <w:pPr>
            <w:pStyle w:val="TOCHeading"/>
          </w:pPr>
          <w:r w:rsidRPr="00AB6D02">
            <w:t>Contents</w:t>
          </w:r>
        </w:p>
        <w:p w:rsidR="00362CE1" w:rsidRDefault="001E7083">
          <w:pPr>
            <w:pStyle w:val="TOC1"/>
            <w:tabs>
              <w:tab w:val="right" w:leader="dot" w:pos="9016"/>
            </w:tabs>
            <w:rPr>
              <w:rFonts w:eastAsiaTheme="minorEastAsia"/>
              <w:noProof/>
              <w:lang w:val="en-AU" w:eastAsia="en-AU"/>
            </w:rPr>
          </w:pPr>
          <w:r>
            <w:fldChar w:fldCharType="begin"/>
          </w:r>
          <w:r>
            <w:instrText xml:space="preserve"> TOC \o "1-2" \h \z \u </w:instrText>
          </w:r>
          <w:r>
            <w:fldChar w:fldCharType="separate"/>
          </w:r>
          <w:hyperlink w:anchor="_Toc519604975" w:history="1">
            <w:r w:rsidR="00362CE1" w:rsidRPr="00403E6A">
              <w:rPr>
                <w:rStyle w:val="Hyperlink"/>
                <w:noProof/>
              </w:rPr>
              <w:t>Purpose of This Document</w:t>
            </w:r>
            <w:r w:rsidR="00362CE1">
              <w:rPr>
                <w:noProof/>
                <w:webHidden/>
              </w:rPr>
              <w:tab/>
            </w:r>
            <w:r w:rsidR="00362CE1">
              <w:rPr>
                <w:noProof/>
                <w:webHidden/>
              </w:rPr>
              <w:fldChar w:fldCharType="begin"/>
            </w:r>
            <w:r w:rsidR="00362CE1">
              <w:rPr>
                <w:noProof/>
                <w:webHidden/>
              </w:rPr>
              <w:instrText xml:space="preserve"> PAGEREF _Toc519604975 \h </w:instrText>
            </w:r>
            <w:r w:rsidR="00362CE1">
              <w:rPr>
                <w:noProof/>
                <w:webHidden/>
              </w:rPr>
            </w:r>
            <w:r w:rsidR="00362CE1">
              <w:rPr>
                <w:noProof/>
                <w:webHidden/>
              </w:rPr>
              <w:fldChar w:fldCharType="separate"/>
            </w:r>
            <w:r w:rsidR="00362CE1">
              <w:rPr>
                <w:noProof/>
                <w:webHidden/>
              </w:rPr>
              <w:t>2</w:t>
            </w:r>
            <w:r w:rsidR="00362CE1">
              <w:rPr>
                <w:noProof/>
                <w:webHidden/>
              </w:rPr>
              <w:fldChar w:fldCharType="end"/>
            </w:r>
          </w:hyperlink>
        </w:p>
        <w:p w:rsidR="00362CE1" w:rsidRDefault="00D65B9C">
          <w:pPr>
            <w:pStyle w:val="TOC1"/>
            <w:tabs>
              <w:tab w:val="right" w:leader="dot" w:pos="9016"/>
            </w:tabs>
            <w:rPr>
              <w:rFonts w:eastAsiaTheme="minorEastAsia"/>
              <w:noProof/>
              <w:lang w:val="en-AU" w:eastAsia="en-AU"/>
            </w:rPr>
          </w:pPr>
          <w:hyperlink w:anchor="_Toc519604976" w:history="1">
            <w:r w:rsidR="00362CE1" w:rsidRPr="00403E6A">
              <w:rPr>
                <w:rStyle w:val="Hyperlink"/>
                <w:noProof/>
              </w:rPr>
              <w:t>Who Should Read This Document and Why</w:t>
            </w:r>
            <w:r w:rsidR="00362CE1">
              <w:rPr>
                <w:noProof/>
                <w:webHidden/>
              </w:rPr>
              <w:tab/>
            </w:r>
            <w:r w:rsidR="00362CE1">
              <w:rPr>
                <w:noProof/>
                <w:webHidden/>
              </w:rPr>
              <w:fldChar w:fldCharType="begin"/>
            </w:r>
            <w:r w:rsidR="00362CE1">
              <w:rPr>
                <w:noProof/>
                <w:webHidden/>
              </w:rPr>
              <w:instrText xml:space="preserve"> PAGEREF _Toc519604976 \h </w:instrText>
            </w:r>
            <w:r w:rsidR="00362CE1">
              <w:rPr>
                <w:noProof/>
                <w:webHidden/>
              </w:rPr>
            </w:r>
            <w:r w:rsidR="00362CE1">
              <w:rPr>
                <w:noProof/>
                <w:webHidden/>
              </w:rPr>
              <w:fldChar w:fldCharType="separate"/>
            </w:r>
            <w:r w:rsidR="00362CE1">
              <w:rPr>
                <w:noProof/>
                <w:webHidden/>
              </w:rPr>
              <w:t>2</w:t>
            </w:r>
            <w:r w:rsidR="00362CE1">
              <w:rPr>
                <w:noProof/>
                <w:webHidden/>
              </w:rPr>
              <w:fldChar w:fldCharType="end"/>
            </w:r>
          </w:hyperlink>
        </w:p>
        <w:p w:rsidR="00362CE1" w:rsidRDefault="00D65B9C">
          <w:pPr>
            <w:pStyle w:val="TOC1"/>
            <w:tabs>
              <w:tab w:val="right" w:leader="dot" w:pos="9016"/>
            </w:tabs>
            <w:rPr>
              <w:rFonts w:eastAsiaTheme="minorEastAsia"/>
              <w:noProof/>
              <w:lang w:val="en-AU" w:eastAsia="en-AU"/>
            </w:rPr>
          </w:pPr>
          <w:hyperlink w:anchor="_Toc519604977" w:history="1">
            <w:r w:rsidR="00362CE1" w:rsidRPr="00403E6A">
              <w:rPr>
                <w:rStyle w:val="Hyperlink"/>
                <w:noProof/>
              </w:rPr>
              <w:t>Glossary of Abbreviations</w:t>
            </w:r>
            <w:r w:rsidR="00362CE1">
              <w:rPr>
                <w:noProof/>
                <w:webHidden/>
              </w:rPr>
              <w:tab/>
            </w:r>
            <w:r w:rsidR="00362CE1">
              <w:rPr>
                <w:noProof/>
                <w:webHidden/>
              </w:rPr>
              <w:fldChar w:fldCharType="begin"/>
            </w:r>
            <w:r w:rsidR="00362CE1">
              <w:rPr>
                <w:noProof/>
                <w:webHidden/>
              </w:rPr>
              <w:instrText xml:space="preserve"> PAGEREF _Toc519604977 \h </w:instrText>
            </w:r>
            <w:r w:rsidR="00362CE1">
              <w:rPr>
                <w:noProof/>
                <w:webHidden/>
              </w:rPr>
            </w:r>
            <w:r w:rsidR="00362CE1">
              <w:rPr>
                <w:noProof/>
                <w:webHidden/>
              </w:rPr>
              <w:fldChar w:fldCharType="separate"/>
            </w:r>
            <w:r w:rsidR="00362CE1">
              <w:rPr>
                <w:noProof/>
                <w:webHidden/>
              </w:rPr>
              <w:t>3</w:t>
            </w:r>
            <w:r w:rsidR="00362CE1">
              <w:rPr>
                <w:noProof/>
                <w:webHidden/>
              </w:rPr>
              <w:fldChar w:fldCharType="end"/>
            </w:r>
          </w:hyperlink>
        </w:p>
        <w:p w:rsidR="00362CE1" w:rsidRDefault="00D65B9C">
          <w:pPr>
            <w:pStyle w:val="TOC1"/>
            <w:tabs>
              <w:tab w:val="right" w:leader="dot" w:pos="9016"/>
            </w:tabs>
            <w:rPr>
              <w:rFonts w:eastAsiaTheme="minorEastAsia"/>
              <w:noProof/>
              <w:lang w:val="en-AU" w:eastAsia="en-AU"/>
            </w:rPr>
          </w:pPr>
          <w:hyperlink w:anchor="_Toc519604978" w:history="1">
            <w:r w:rsidR="00362CE1" w:rsidRPr="00403E6A">
              <w:rPr>
                <w:rStyle w:val="Hyperlink"/>
                <w:noProof/>
              </w:rPr>
              <w:t>Executive Summary</w:t>
            </w:r>
            <w:r w:rsidR="00362CE1">
              <w:rPr>
                <w:noProof/>
                <w:webHidden/>
              </w:rPr>
              <w:tab/>
            </w:r>
            <w:r w:rsidR="00362CE1">
              <w:rPr>
                <w:noProof/>
                <w:webHidden/>
              </w:rPr>
              <w:fldChar w:fldCharType="begin"/>
            </w:r>
            <w:r w:rsidR="00362CE1">
              <w:rPr>
                <w:noProof/>
                <w:webHidden/>
              </w:rPr>
              <w:instrText xml:space="preserve"> PAGEREF _Toc519604978 \h </w:instrText>
            </w:r>
            <w:r w:rsidR="00362CE1">
              <w:rPr>
                <w:noProof/>
                <w:webHidden/>
              </w:rPr>
            </w:r>
            <w:r w:rsidR="00362CE1">
              <w:rPr>
                <w:noProof/>
                <w:webHidden/>
              </w:rPr>
              <w:fldChar w:fldCharType="separate"/>
            </w:r>
            <w:r w:rsidR="00362CE1">
              <w:rPr>
                <w:noProof/>
                <w:webHidden/>
              </w:rPr>
              <w:t>5</w:t>
            </w:r>
            <w:r w:rsidR="00362CE1">
              <w:rPr>
                <w:noProof/>
                <w:webHidden/>
              </w:rPr>
              <w:fldChar w:fldCharType="end"/>
            </w:r>
          </w:hyperlink>
        </w:p>
        <w:p w:rsidR="00362CE1" w:rsidRDefault="00D65B9C">
          <w:pPr>
            <w:pStyle w:val="TOC1"/>
            <w:tabs>
              <w:tab w:val="right" w:leader="dot" w:pos="9016"/>
            </w:tabs>
            <w:rPr>
              <w:rFonts w:eastAsiaTheme="minorEastAsia"/>
              <w:noProof/>
              <w:lang w:val="en-AU" w:eastAsia="en-AU"/>
            </w:rPr>
          </w:pPr>
          <w:hyperlink w:anchor="_Toc519604979" w:history="1">
            <w:r w:rsidR="00362CE1" w:rsidRPr="00403E6A">
              <w:rPr>
                <w:rStyle w:val="Hyperlink"/>
                <w:noProof/>
              </w:rPr>
              <w:t>IPPC 2020-2030 Strategic Framework on a Page [amend]</w:t>
            </w:r>
            <w:r w:rsidR="00362CE1">
              <w:rPr>
                <w:noProof/>
                <w:webHidden/>
              </w:rPr>
              <w:tab/>
            </w:r>
            <w:r w:rsidR="00362CE1">
              <w:rPr>
                <w:noProof/>
                <w:webHidden/>
              </w:rPr>
              <w:fldChar w:fldCharType="begin"/>
            </w:r>
            <w:r w:rsidR="00362CE1">
              <w:rPr>
                <w:noProof/>
                <w:webHidden/>
              </w:rPr>
              <w:instrText xml:space="preserve"> PAGEREF _Toc519604979 \h </w:instrText>
            </w:r>
            <w:r w:rsidR="00362CE1">
              <w:rPr>
                <w:noProof/>
                <w:webHidden/>
              </w:rPr>
            </w:r>
            <w:r w:rsidR="00362CE1">
              <w:rPr>
                <w:noProof/>
                <w:webHidden/>
              </w:rPr>
              <w:fldChar w:fldCharType="separate"/>
            </w:r>
            <w:r w:rsidR="00362CE1">
              <w:rPr>
                <w:noProof/>
                <w:webHidden/>
              </w:rPr>
              <w:t>6</w:t>
            </w:r>
            <w:r w:rsidR="00362CE1">
              <w:rPr>
                <w:noProof/>
                <w:webHidden/>
              </w:rPr>
              <w:fldChar w:fldCharType="end"/>
            </w:r>
          </w:hyperlink>
        </w:p>
        <w:p w:rsidR="00362CE1" w:rsidRDefault="00D65B9C">
          <w:pPr>
            <w:pStyle w:val="TOC1"/>
            <w:tabs>
              <w:tab w:val="right" w:leader="dot" w:pos="9016"/>
            </w:tabs>
            <w:rPr>
              <w:rFonts w:eastAsiaTheme="minorEastAsia"/>
              <w:noProof/>
              <w:lang w:val="en-AU" w:eastAsia="en-AU"/>
            </w:rPr>
          </w:pPr>
          <w:hyperlink w:anchor="_Toc519604980" w:history="1">
            <w:r w:rsidR="00362CE1" w:rsidRPr="00403E6A">
              <w:rPr>
                <w:rStyle w:val="Hyperlink"/>
                <w:noProof/>
              </w:rPr>
              <w:t>Introduction</w:t>
            </w:r>
            <w:r w:rsidR="00362CE1">
              <w:rPr>
                <w:noProof/>
                <w:webHidden/>
              </w:rPr>
              <w:tab/>
            </w:r>
            <w:r w:rsidR="00362CE1">
              <w:rPr>
                <w:noProof/>
                <w:webHidden/>
              </w:rPr>
              <w:fldChar w:fldCharType="begin"/>
            </w:r>
            <w:r w:rsidR="00362CE1">
              <w:rPr>
                <w:noProof/>
                <w:webHidden/>
              </w:rPr>
              <w:instrText xml:space="preserve"> PAGEREF _Toc519604980 \h </w:instrText>
            </w:r>
            <w:r w:rsidR="00362CE1">
              <w:rPr>
                <w:noProof/>
                <w:webHidden/>
              </w:rPr>
            </w:r>
            <w:r w:rsidR="00362CE1">
              <w:rPr>
                <w:noProof/>
                <w:webHidden/>
              </w:rPr>
              <w:fldChar w:fldCharType="separate"/>
            </w:r>
            <w:r w:rsidR="00362CE1">
              <w:rPr>
                <w:noProof/>
                <w:webHidden/>
              </w:rPr>
              <w:t>6</w:t>
            </w:r>
            <w:r w:rsidR="00362CE1">
              <w:rPr>
                <w:noProof/>
                <w:webHidden/>
              </w:rPr>
              <w:fldChar w:fldCharType="end"/>
            </w:r>
          </w:hyperlink>
        </w:p>
        <w:p w:rsidR="00362CE1" w:rsidRDefault="00D65B9C">
          <w:pPr>
            <w:pStyle w:val="TOC1"/>
            <w:tabs>
              <w:tab w:val="right" w:leader="dot" w:pos="9016"/>
            </w:tabs>
            <w:rPr>
              <w:rFonts w:eastAsiaTheme="minorEastAsia"/>
              <w:noProof/>
              <w:lang w:val="en-AU" w:eastAsia="en-AU"/>
            </w:rPr>
          </w:pPr>
          <w:hyperlink w:anchor="_Toc519604981" w:history="1">
            <w:r w:rsidR="00362CE1" w:rsidRPr="00403E6A">
              <w:rPr>
                <w:rStyle w:val="Hyperlink"/>
                <w:noProof/>
              </w:rPr>
              <w:t>Strategic Objectives</w:t>
            </w:r>
            <w:r w:rsidR="00362CE1">
              <w:rPr>
                <w:noProof/>
                <w:webHidden/>
              </w:rPr>
              <w:tab/>
            </w:r>
            <w:r w:rsidR="00362CE1">
              <w:rPr>
                <w:noProof/>
                <w:webHidden/>
              </w:rPr>
              <w:fldChar w:fldCharType="begin"/>
            </w:r>
            <w:r w:rsidR="00362CE1">
              <w:rPr>
                <w:noProof/>
                <w:webHidden/>
              </w:rPr>
              <w:instrText xml:space="preserve"> PAGEREF _Toc519604981 \h </w:instrText>
            </w:r>
            <w:r w:rsidR="00362CE1">
              <w:rPr>
                <w:noProof/>
                <w:webHidden/>
              </w:rPr>
            </w:r>
            <w:r w:rsidR="00362CE1">
              <w:rPr>
                <w:noProof/>
                <w:webHidden/>
              </w:rPr>
              <w:fldChar w:fldCharType="separate"/>
            </w:r>
            <w:r w:rsidR="00362CE1">
              <w:rPr>
                <w:noProof/>
                <w:webHidden/>
              </w:rPr>
              <w:t>7</w:t>
            </w:r>
            <w:r w:rsidR="00362CE1">
              <w:rPr>
                <w:noProof/>
                <w:webHidden/>
              </w:rPr>
              <w:fldChar w:fldCharType="end"/>
            </w:r>
          </w:hyperlink>
        </w:p>
        <w:p w:rsidR="00362CE1" w:rsidRDefault="00D65B9C">
          <w:pPr>
            <w:pStyle w:val="TOC2"/>
            <w:tabs>
              <w:tab w:val="left" w:pos="660"/>
              <w:tab w:val="right" w:leader="dot" w:pos="9016"/>
            </w:tabs>
            <w:rPr>
              <w:rFonts w:eastAsiaTheme="minorEastAsia"/>
              <w:noProof/>
              <w:lang w:val="en-AU" w:eastAsia="en-AU"/>
            </w:rPr>
          </w:pPr>
          <w:hyperlink w:anchor="_Toc519604982" w:history="1">
            <w:r w:rsidR="00362CE1" w:rsidRPr="00403E6A">
              <w:rPr>
                <w:rStyle w:val="Hyperlink"/>
                <w:noProof/>
              </w:rPr>
              <w:t>A.</w:t>
            </w:r>
            <w:r w:rsidR="00362CE1">
              <w:rPr>
                <w:rFonts w:eastAsiaTheme="minorEastAsia"/>
                <w:noProof/>
                <w:lang w:val="en-AU" w:eastAsia="en-AU"/>
              </w:rPr>
              <w:tab/>
            </w:r>
            <w:r w:rsidR="00362CE1" w:rsidRPr="00403E6A">
              <w:rPr>
                <w:rStyle w:val="Hyperlink"/>
                <w:noProof/>
              </w:rPr>
              <w:t>Enhance Global Food Security and Increase Sustainable Agricultural Productivity</w:t>
            </w:r>
            <w:r w:rsidR="00362CE1">
              <w:rPr>
                <w:noProof/>
                <w:webHidden/>
              </w:rPr>
              <w:tab/>
            </w:r>
            <w:r w:rsidR="00362CE1">
              <w:rPr>
                <w:noProof/>
                <w:webHidden/>
              </w:rPr>
              <w:fldChar w:fldCharType="begin"/>
            </w:r>
            <w:r w:rsidR="00362CE1">
              <w:rPr>
                <w:noProof/>
                <w:webHidden/>
              </w:rPr>
              <w:instrText xml:space="preserve"> PAGEREF _Toc519604982 \h </w:instrText>
            </w:r>
            <w:r w:rsidR="00362CE1">
              <w:rPr>
                <w:noProof/>
                <w:webHidden/>
              </w:rPr>
            </w:r>
            <w:r w:rsidR="00362CE1">
              <w:rPr>
                <w:noProof/>
                <w:webHidden/>
              </w:rPr>
              <w:fldChar w:fldCharType="separate"/>
            </w:r>
            <w:r w:rsidR="00362CE1">
              <w:rPr>
                <w:noProof/>
                <w:webHidden/>
              </w:rPr>
              <w:t>7</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83" w:history="1">
            <w:r w:rsidR="00362CE1" w:rsidRPr="00403E6A">
              <w:rPr>
                <w:rStyle w:val="Hyperlink"/>
                <w:noProof/>
              </w:rPr>
              <w:t>B. Protect Forests and the Environment from the Impacts of Plant Pests</w:t>
            </w:r>
            <w:r w:rsidR="00362CE1">
              <w:rPr>
                <w:noProof/>
                <w:webHidden/>
              </w:rPr>
              <w:tab/>
            </w:r>
            <w:r w:rsidR="00362CE1">
              <w:rPr>
                <w:noProof/>
                <w:webHidden/>
              </w:rPr>
              <w:fldChar w:fldCharType="begin"/>
            </w:r>
            <w:r w:rsidR="00362CE1">
              <w:rPr>
                <w:noProof/>
                <w:webHidden/>
              </w:rPr>
              <w:instrText xml:space="preserve"> PAGEREF _Toc519604983 \h </w:instrText>
            </w:r>
            <w:r w:rsidR="00362CE1">
              <w:rPr>
                <w:noProof/>
                <w:webHidden/>
              </w:rPr>
            </w:r>
            <w:r w:rsidR="00362CE1">
              <w:rPr>
                <w:noProof/>
                <w:webHidden/>
              </w:rPr>
              <w:fldChar w:fldCharType="separate"/>
            </w:r>
            <w:r w:rsidR="00362CE1">
              <w:rPr>
                <w:noProof/>
                <w:webHidden/>
              </w:rPr>
              <w:t>8</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84" w:history="1">
            <w:r w:rsidR="00362CE1" w:rsidRPr="00403E6A">
              <w:rPr>
                <w:rStyle w:val="Hyperlink"/>
                <w:noProof/>
              </w:rPr>
              <w:t>C. Facilitate Safe Trade Development and Economic Growth</w:t>
            </w:r>
            <w:r w:rsidR="00362CE1">
              <w:rPr>
                <w:noProof/>
                <w:webHidden/>
              </w:rPr>
              <w:tab/>
            </w:r>
            <w:r w:rsidR="00362CE1">
              <w:rPr>
                <w:noProof/>
                <w:webHidden/>
              </w:rPr>
              <w:fldChar w:fldCharType="begin"/>
            </w:r>
            <w:r w:rsidR="00362CE1">
              <w:rPr>
                <w:noProof/>
                <w:webHidden/>
              </w:rPr>
              <w:instrText xml:space="preserve"> PAGEREF _Toc519604984 \h </w:instrText>
            </w:r>
            <w:r w:rsidR="00362CE1">
              <w:rPr>
                <w:noProof/>
                <w:webHidden/>
              </w:rPr>
            </w:r>
            <w:r w:rsidR="00362CE1">
              <w:rPr>
                <w:noProof/>
                <w:webHidden/>
              </w:rPr>
              <w:fldChar w:fldCharType="separate"/>
            </w:r>
            <w:r w:rsidR="00362CE1">
              <w:rPr>
                <w:noProof/>
                <w:webHidden/>
              </w:rPr>
              <w:t>9</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85" w:history="1">
            <w:r w:rsidR="00362CE1" w:rsidRPr="00403E6A">
              <w:rPr>
                <w:rStyle w:val="Hyperlink"/>
                <w:noProof/>
              </w:rPr>
              <w:t>1. Harmonisation of Electronic Data Exchange</w:t>
            </w:r>
            <w:r w:rsidR="00362CE1">
              <w:rPr>
                <w:noProof/>
                <w:webHidden/>
              </w:rPr>
              <w:tab/>
            </w:r>
            <w:r w:rsidR="00362CE1">
              <w:rPr>
                <w:noProof/>
                <w:webHidden/>
              </w:rPr>
              <w:fldChar w:fldCharType="begin"/>
            </w:r>
            <w:r w:rsidR="00362CE1">
              <w:rPr>
                <w:noProof/>
                <w:webHidden/>
              </w:rPr>
              <w:instrText xml:space="preserve"> PAGEREF _Toc519604985 \h </w:instrText>
            </w:r>
            <w:r w:rsidR="00362CE1">
              <w:rPr>
                <w:noProof/>
                <w:webHidden/>
              </w:rPr>
            </w:r>
            <w:r w:rsidR="00362CE1">
              <w:rPr>
                <w:noProof/>
                <w:webHidden/>
              </w:rPr>
              <w:fldChar w:fldCharType="separate"/>
            </w:r>
            <w:r w:rsidR="00362CE1">
              <w:rPr>
                <w:noProof/>
                <w:webHidden/>
              </w:rPr>
              <w:t>15</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86" w:history="1">
            <w:r w:rsidR="00362CE1" w:rsidRPr="00403E6A">
              <w:rPr>
                <w:rStyle w:val="Hyperlink"/>
                <w:noProof/>
              </w:rPr>
              <w:t>2. Commodity &amp; Pathway Specific ISPMs</w:t>
            </w:r>
            <w:r w:rsidR="00362CE1">
              <w:rPr>
                <w:noProof/>
                <w:webHidden/>
              </w:rPr>
              <w:tab/>
            </w:r>
            <w:r w:rsidR="00362CE1">
              <w:rPr>
                <w:noProof/>
                <w:webHidden/>
              </w:rPr>
              <w:fldChar w:fldCharType="begin"/>
            </w:r>
            <w:r w:rsidR="00362CE1">
              <w:rPr>
                <w:noProof/>
                <w:webHidden/>
              </w:rPr>
              <w:instrText xml:space="preserve"> PAGEREF _Toc519604986 \h </w:instrText>
            </w:r>
            <w:r w:rsidR="00362CE1">
              <w:rPr>
                <w:noProof/>
                <w:webHidden/>
              </w:rPr>
            </w:r>
            <w:r w:rsidR="00362CE1">
              <w:rPr>
                <w:noProof/>
                <w:webHidden/>
              </w:rPr>
              <w:fldChar w:fldCharType="separate"/>
            </w:r>
            <w:r w:rsidR="00362CE1">
              <w:rPr>
                <w:noProof/>
                <w:webHidden/>
              </w:rPr>
              <w:t>15</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87" w:history="1">
            <w:r w:rsidR="00362CE1" w:rsidRPr="00403E6A">
              <w:rPr>
                <w:rStyle w:val="Hyperlink"/>
                <w:noProof/>
              </w:rPr>
              <w:t>3. Management of E-commerce and Courier Mail Pathways</w:t>
            </w:r>
            <w:r w:rsidR="00362CE1">
              <w:rPr>
                <w:noProof/>
                <w:webHidden/>
              </w:rPr>
              <w:tab/>
            </w:r>
            <w:r w:rsidR="00362CE1">
              <w:rPr>
                <w:noProof/>
                <w:webHidden/>
              </w:rPr>
              <w:fldChar w:fldCharType="begin"/>
            </w:r>
            <w:r w:rsidR="00362CE1">
              <w:rPr>
                <w:noProof/>
                <w:webHidden/>
              </w:rPr>
              <w:instrText xml:space="preserve"> PAGEREF _Toc519604987 \h </w:instrText>
            </w:r>
            <w:r w:rsidR="00362CE1">
              <w:rPr>
                <w:noProof/>
                <w:webHidden/>
              </w:rPr>
            </w:r>
            <w:r w:rsidR="00362CE1">
              <w:rPr>
                <w:noProof/>
                <w:webHidden/>
              </w:rPr>
              <w:fldChar w:fldCharType="separate"/>
            </w:r>
            <w:r w:rsidR="00362CE1">
              <w:rPr>
                <w:noProof/>
                <w:webHidden/>
              </w:rPr>
              <w:t>17</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88" w:history="1">
            <w:r w:rsidR="00362CE1" w:rsidRPr="00403E6A">
              <w:rPr>
                <w:rStyle w:val="Hyperlink"/>
                <w:noProof/>
              </w:rPr>
              <w:t>4. Enabling the Use of Third Party Entities</w:t>
            </w:r>
            <w:r w:rsidR="00362CE1">
              <w:rPr>
                <w:noProof/>
                <w:webHidden/>
              </w:rPr>
              <w:tab/>
            </w:r>
            <w:r w:rsidR="00362CE1">
              <w:rPr>
                <w:noProof/>
                <w:webHidden/>
              </w:rPr>
              <w:fldChar w:fldCharType="begin"/>
            </w:r>
            <w:r w:rsidR="00362CE1">
              <w:rPr>
                <w:noProof/>
                <w:webHidden/>
              </w:rPr>
              <w:instrText xml:space="preserve"> PAGEREF _Toc519604988 \h </w:instrText>
            </w:r>
            <w:r w:rsidR="00362CE1">
              <w:rPr>
                <w:noProof/>
                <w:webHidden/>
              </w:rPr>
            </w:r>
            <w:r w:rsidR="00362CE1">
              <w:rPr>
                <w:noProof/>
                <w:webHidden/>
              </w:rPr>
              <w:fldChar w:fldCharType="separate"/>
            </w:r>
            <w:r w:rsidR="00362CE1">
              <w:rPr>
                <w:noProof/>
                <w:webHidden/>
              </w:rPr>
              <w:t>17</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89" w:history="1">
            <w:r w:rsidR="00362CE1" w:rsidRPr="00403E6A">
              <w:rPr>
                <w:rStyle w:val="Hyperlink"/>
                <w:noProof/>
              </w:rPr>
              <w:t>5. Strengthening Pest Outbreak Alert and Response Systems</w:t>
            </w:r>
            <w:r w:rsidR="00362CE1">
              <w:rPr>
                <w:noProof/>
                <w:webHidden/>
              </w:rPr>
              <w:tab/>
            </w:r>
            <w:r w:rsidR="00362CE1">
              <w:rPr>
                <w:noProof/>
                <w:webHidden/>
              </w:rPr>
              <w:fldChar w:fldCharType="begin"/>
            </w:r>
            <w:r w:rsidR="00362CE1">
              <w:rPr>
                <w:noProof/>
                <w:webHidden/>
              </w:rPr>
              <w:instrText xml:space="preserve"> PAGEREF _Toc519604989 \h </w:instrText>
            </w:r>
            <w:r w:rsidR="00362CE1">
              <w:rPr>
                <w:noProof/>
                <w:webHidden/>
              </w:rPr>
            </w:r>
            <w:r w:rsidR="00362CE1">
              <w:rPr>
                <w:noProof/>
                <w:webHidden/>
              </w:rPr>
              <w:fldChar w:fldCharType="separate"/>
            </w:r>
            <w:r w:rsidR="00362CE1">
              <w:rPr>
                <w:noProof/>
                <w:webHidden/>
              </w:rPr>
              <w:t>18</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90" w:history="1">
            <w:r w:rsidR="00362CE1" w:rsidRPr="00403E6A">
              <w:rPr>
                <w:rStyle w:val="Hyperlink"/>
                <w:noProof/>
              </w:rPr>
              <w:t xml:space="preserve">6. </w:t>
            </w:r>
            <w:r w:rsidR="00362CE1" w:rsidRPr="00403E6A">
              <w:rPr>
                <w:rStyle w:val="Hyperlink"/>
                <w:noProof/>
                <w:lang w:eastAsia="en-NZ"/>
              </w:rPr>
              <w:t>Assessment and Management of Climate Change Impacts on Plant Health</w:t>
            </w:r>
            <w:r w:rsidR="00362CE1">
              <w:rPr>
                <w:noProof/>
                <w:webHidden/>
              </w:rPr>
              <w:tab/>
            </w:r>
            <w:r w:rsidR="00362CE1">
              <w:rPr>
                <w:noProof/>
                <w:webHidden/>
              </w:rPr>
              <w:fldChar w:fldCharType="begin"/>
            </w:r>
            <w:r w:rsidR="00362CE1">
              <w:rPr>
                <w:noProof/>
                <w:webHidden/>
              </w:rPr>
              <w:instrText xml:space="preserve"> PAGEREF _Toc519604990 \h </w:instrText>
            </w:r>
            <w:r w:rsidR="00362CE1">
              <w:rPr>
                <w:noProof/>
                <w:webHidden/>
              </w:rPr>
            </w:r>
            <w:r w:rsidR="00362CE1">
              <w:rPr>
                <w:noProof/>
                <w:webHidden/>
              </w:rPr>
              <w:fldChar w:fldCharType="separate"/>
            </w:r>
            <w:r w:rsidR="00362CE1">
              <w:rPr>
                <w:noProof/>
                <w:webHidden/>
              </w:rPr>
              <w:t>19</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91" w:history="1">
            <w:r w:rsidR="00362CE1" w:rsidRPr="00403E6A">
              <w:rPr>
                <w:rStyle w:val="Hyperlink"/>
                <w:noProof/>
              </w:rPr>
              <w:t>7. Global Phytosanitary Research Coordination</w:t>
            </w:r>
            <w:r w:rsidR="00362CE1">
              <w:rPr>
                <w:noProof/>
                <w:webHidden/>
              </w:rPr>
              <w:tab/>
            </w:r>
            <w:r w:rsidR="00362CE1">
              <w:rPr>
                <w:noProof/>
                <w:webHidden/>
              </w:rPr>
              <w:fldChar w:fldCharType="begin"/>
            </w:r>
            <w:r w:rsidR="00362CE1">
              <w:rPr>
                <w:noProof/>
                <w:webHidden/>
              </w:rPr>
              <w:instrText xml:space="preserve"> PAGEREF _Toc519604991 \h </w:instrText>
            </w:r>
            <w:r w:rsidR="00362CE1">
              <w:rPr>
                <w:noProof/>
                <w:webHidden/>
              </w:rPr>
            </w:r>
            <w:r w:rsidR="00362CE1">
              <w:rPr>
                <w:noProof/>
                <w:webHidden/>
              </w:rPr>
              <w:fldChar w:fldCharType="separate"/>
            </w:r>
            <w:r w:rsidR="00362CE1">
              <w:rPr>
                <w:noProof/>
                <w:webHidden/>
              </w:rPr>
              <w:t>20</w:t>
            </w:r>
            <w:r w:rsidR="00362CE1">
              <w:rPr>
                <w:noProof/>
                <w:webHidden/>
              </w:rPr>
              <w:fldChar w:fldCharType="end"/>
            </w:r>
          </w:hyperlink>
        </w:p>
        <w:p w:rsidR="00362CE1" w:rsidRDefault="00D65B9C">
          <w:pPr>
            <w:pStyle w:val="TOC2"/>
            <w:tabs>
              <w:tab w:val="right" w:leader="dot" w:pos="9016"/>
            </w:tabs>
            <w:rPr>
              <w:rFonts w:eastAsiaTheme="minorEastAsia"/>
              <w:noProof/>
              <w:lang w:val="en-AU" w:eastAsia="en-AU"/>
            </w:rPr>
          </w:pPr>
          <w:hyperlink w:anchor="_Toc519604992" w:history="1">
            <w:r w:rsidR="00362CE1" w:rsidRPr="00403E6A">
              <w:rPr>
                <w:rStyle w:val="Hyperlink"/>
                <w:noProof/>
              </w:rPr>
              <w:t>8. Diagnostic Laboratory Network</w:t>
            </w:r>
            <w:r w:rsidR="00362CE1">
              <w:rPr>
                <w:noProof/>
                <w:webHidden/>
              </w:rPr>
              <w:tab/>
            </w:r>
            <w:r w:rsidR="00362CE1">
              <w:rPr>
                <w:noProof/>
                <w:webHidden/>
              </w:rPr>
              <w:fldChar w:fldCharType="begin"/>
            </w:r>
            <w:r w:rsidR="00362CE1">
              <w:rPr>
                <w:noProof/>
                <w:webHidden/>
              </w:rPr>
              <w:instrText xml:space="preserve"> PAGEREF _Toc519604992 \h </w:instrText>
            </w:r>
            <w:r w:rsidR="00362CE1">
              <w:rPr>
                <w:noProof/>
                <w:webHidden/>
              </w:rPr>
            </w:r>
            <w:r w:rsidR="00362CE1">
              <w:rPr>
                <w:noProof/>
                <w:webHidden/>
              </w:rPr>
              <w:fldChar w:fldCharType="separate"/>
            </w:r>
            <w:r w:rsidR="00362CE1">
              <w:rPr>
                <w:noProof/>
                <w:webHidden/>
              </w:rPr>
              <w:t>20</w:t>
            </w:r>
            <w:r w:rsidR="00362CE1">
              <w:rPr>
                <w:noProof/>
                <w:webHidden/>
              </w:rPr>
              <w:fldChar w:fldCharType="end"/>
            </w:r>
          </w:hyperlink>
        </w:p>
        <w:p w:rsidR="001368FA" w:rsidRDefault="001E7083">
          <w:r>
            <w:fldChar w:fldCharType="end"/>
          </w:r>
        </w:p>
      </w:sdtContent>
    </w:sdt>
    <w:p w:rsidR="00965C19" w:rsidRDefault="00965C19" w:rsidP="002626ED">
      <w:pPr>
        <w:rPr>
          <w:b/>
        </w:rPr>
      </w:pPr>
      <w:r>
        <w:rPr>
          <w:b/>
        </w:rPr>
        <w:br w:type="page"/>
      </w:r>
    </w:p>
    <w:p w:rsidR="00D916BE" w:rsidRPr="00AB6D02" w:rsidRDefault="00D916BE" w:rsidP="00D916BE">
      <w:pPr>
        <w:pStyle w:val="Heading1"/>
      </w:pPr>
      <w:bookmarkStart w:id="0" w:name="_Toc519604977"/>
      <w:bookmarkStart w:id="1" w:name="_Toc519604978"/>
      <w:r w:rsidRPr="00AB6D02">
        <w:lastRenderedPageBreak/>
        <w:t>Glossary of Abbreviations</w:t>
      </w:r>
      <w:bookmarkEnd w:id="0"/>
    </w:p>
    <w:p w:rsidR="00D916BE" w:rsidRDefault="00D916BE" w:rsidP="00D916BE"/>
    <w:p w:rsidR="00D916BE" w:rsidRDefault="00D916BE" w:rsidP="00D916BE">
      <w:r>
        <w:t>Terms used in this document, in addition to those defined In the IPPC Strategic Framework 2020 – 2030</w:t>
      </w:r>
    </w:p>
    <w:p w:rsidR="00D916BE" w:rsidRDefault="00D916BE" w:rsidP="00D916BE"/>
    <w:p w:rsidR="00D916BE" w:rsidRPr="0063704B" w:rsidRDefault="00D916BE" w:rsidP="00D916BE">
      <w:pPr>
        <w:ind w:left="1701" w:hanging="1701"/>
        <w:rPr>
          <w:color w:val="FF0000"/>
        </w:rPr>
      </w:pPr>
      <w:r w:rsidRPr="0063704B">
        <w:rPr>
          <w:color w:val="FF0000"/>
        </w:rPr>
        <w:t xml:space="preserve">RP </w:t>
      </w:r>
      <w:r w:rsidRPr="0063704B">
        <w:rPr>
          <w:color w:val="FF0000"/>
        </w:rPr>
        <w:tab/>
        <w:t>Regular Program funding</w:t>
      </w:r>
      <w:r>
        <w:rPr>
          <w:color w:val="FF0000"/>
        </w:rPr>
        <w:t xml:space="preserve"> provided by the FAO Regular Program budget to support core activities of the IPPC Secretariat</w:t>
      </w:r>
    </w:p>
    <w:p w:rsidR="00D916BE" w:rsidRPr="0063704B" w:rsidRDefault="00D916BE" w:rsidP="00D916BE">
      <w:pPr>
        <w:ind w:left="1701" w:hanging="1701"/>
        <w:rPr>
          <w:color w:val="FF0000"/>
        </w:rPr>
      </w:pPr>
      <w:r w:rsidRPr="0063704B">
        <w:rPr>
          <w:color w:val="FF0000"/>
        </w:rPr>
        <w:t xml:space="preserve">MDTF </w:t>
      </w:r>
      <w:r w:rsidRPr="0063704B">
        <w:rPr>
          <w:color w:val="FF0000"/>
        </w:rPr>
        <w:tab/>
        <w:t>Multi Donor Trust Fund</w:t>
      </w:r>
      <w:r>
        <w:rPr>
          <w:color w:val="FF0000"/>
        </w:rPr>
        <w:t>.  A fund established by the FAO for the collection and administration of donations from contracting parties</w:t>
      </w:r>
    </w:p>
    <w:p w:rsidR="00D916BE" w:rsidRPr="0063704B" w:rsidRDefault="00D916BE" w:rsidP="00D916BE">
      <w:pPr>
        <w:ind w:left="1701" w:hanging="1701"/>
        <w:rPr>
          <w:color w:val="FF0000"/>
        </w:rPr>
      </w:pPr>
      <w:proofErr w:type="spellStart"/>
      <w:r w:rsidRPr="0063704B">
        <w:rPr>
          <w:color w:val="FF0000"/>
        </w:rPr>
        <w:t>IntP</w:t>
      </w:r>
      <w:proofErr w:type="spellEnd"/>
      <w:r w:rsidRPr="0063704B">
        <w:rPr>
          <w:color w:val="FF0000"/>
        </w:rPr>
        <w:t xml:space="preserve"> </w:t>
      </w:r>
      <w:r w:rsidRPr="0063704B">
        <w:rPr>
          <w:color w:val="FF0000"/>
        </w:rPr>
        <w:tab/>
        <w:t>Internal Project</w:t>
      </w:r>
      <w:r>
        <w:rPr>
          <w:color w:val="FF0000"/>
        </w:rPr>
        <w:t>.  These are generally projects supported by a project plan that are supported by contributions in cash or kind from contracting parties. They are generally activities with little attraction to donors external to the IPPC community</w:t>
      </w:r>
    </w:p>
    <w:p w:rsidR="00D916BE" w:rsidRPr="0063704B" w:rsidRDefault="00D916BE" w:rsidP="00D916BE">
      <w:pPr>
        <w:ind w:left="1701" w:hanging="1701"/>
        <w:rPr>
          <w:color w:val="FF0000"/>
        </w:rPr>
      </w:pPr>
      <w:proofErr w:type="spellStart"/>
      <w:r w:rsidRPr="0063704B">
        <w:rPr>
          <w:color w:val="FF0000"/>
        </w:rPr>
        <w:t>ExtP</w:t>
      </w:r>
      <w:proofErr w:type="spellEnd"/>
      <w:r w:rsidRPr="0063704B">
        <w:rPr>
          <w:color w:val="FF0000"/>
        </w:rPr>
        <w:t xml:space="preserve"> </w:t>
      </w:r>
      <w:r w:rsidRPr="0063704B">
        <w:rPr>
          <w:color w:val="FF0000"/>
        </w:rPr>
        <w:tab/>
        <w:t>External Project</w:t>
      </w:r>
      <w:r>
        <w:rPr>
          <w:color w:val="FF0000"/>
        </w:rPr>
        <w:t>.  Projects supported by a project proposal and implementation plan approved by an external donor, and subject to governance and other conditions applied by the donor.  Examples include the Standards and Trade Development Facility and the World Bank.</w:t>
      </w:r>
    </w:p>
    <w:p w:rsidR="00D916BE" w:rsidRDefault="00D916BE" w:rsidP="00D916BE">
      <w:pPr>
        <w:rPr>
          <w:b/>
        </w:rPr>
      </w:pPr>
      <w:r>
        <w:rPr>
          <w:b/>
        </w:rPr>
        <w:br w:type="page"/>
      </w:r>
    </w:p>
    <w:p w:rsidR="00BF3B4A" w:rsidRPr="00AB6D02" w:rsidRDefault="00A3227D" w:rsidP="00A86A36">
      <w:pPr>
        <w:pStyle w:val="Heading1"/>
      </w:pPr>
      <w:r w:rsidRPr="00AB6D02">
        <w:lastRenderedPageBreak/>
        <w:t>Executive Summary</w:t>
      </w:r>
      <w:bookmarkEnd w:id="1"/>
      <w:r w:rsidR="00124E9D" w:rsidRPr="00AB6D02">
        <w:t xml:space="preserve"> </w:t>
      </w:r>
    </w:p>
    <w:p w:rsidR="00A3227D" w:rsidRDefault="00124E9D" w:rsidP="002626ED">
      <w:pPr>
        <w:rPr>
          <w:color w:val="FF0000"/>
        </w:rPr>
      </w:pPr>
      <w:r w:rsidRPr="00BF3B4A">
        <w:rPr>
          <w:color w:val="FF0000"/>
        </w:rPr>
        <w:t xml:space="preserve">[To </w:t>
      </w:r>
      <w:r w:rsidR="00BF3B4A">
        <w:rPr>
          <w:color w:val="FF0000"/>
        </w:rPr>
        <w:t>b</w:t>
      </w:r>
      <w:r w:rsidRPr="00BF3B4A">
        <w:rPr>
          <w:color w:val="FF0000"/>
        </w:rPr>
        <w:t xml:space="preserve">e </w:t>
      </w:r>
      <w:r w:rsidR="00BF3B4A">
        <w:rPr>
          <w:color w:val="FF0000"/>
        </w:rPr>
        <w:t>written</w:t>
      </w:r>
      <w:r w:rsidRPr="00BF3B4A">
        <w:rPr>
          <w:color w:val="FF0000"/>
        </w:rPr>
        <w:t xml:space="preserve"> when the document is completed</w:t>
      </w:r>
      <w:r w:rsidR="00073A62">
        <w:rPr>
          <w:color w:val="FF0000"/>
        </w:rPr>
        <w:t>].</w:t>
      </w:r>
    </w:p>
    <w:p w:rsidR="00D916BE" w:rsidRDefault="00D916BE" w:rsidP="00D916BE">
      <w:r>
        <w:t>This plan outlines at a summary level, an estimate of the resources required to implement the first five years of the IPPC Strategic Framework 2020-2030, and their likely source under current financial governance provisions agreed by the Commission.</w:t>
      </w:r>
    </w:p>
    <w:p w:rsidR="00D916BE" w:rsidRDefault="00D916BE" w:rsidP="00D916BE">
      <w:r>
        <w:t>The plan should be read in conjunction with the IPPC Strategic Framework 2020-2030, which describes the key priorities of the Commission on Phytosanitary Measures (Commission) during this period.</w:t>
      </w:r>
    </w:p>
    <w:p w:rsidR="00D916BE" w:rsidRDefault="00D916BE" w:rsidP="00D916BE">
      <w:r>
        <w:rPr>
          <w:rFonts w:eastAsia="Calibri" w:cs="Times New Roman"/>
          <w:lang w:eastAsia="en-GB"/>
        </w:rPr>
        <w:t>Implementing</w:t>
      </w:r>
      <w:r w:rsidRPr="00C87549">
        <w:t xml:space="preserve"> th</w:t>
      </w:r>
      <w:r>
        <w:t>e</w:t>
      </w:r>
      <w:r w:rsidRPr="00C87549">
        <w:t xml:space="preserve"> </w:t>
      </w:r>
      <w:r>
        <w:t>Development Agenda</w:t>
      </w:r>
      <w:r w:rsidRPr="00C87549">
        <w:t xml:space="preserve"> will depend on </w:t>
      </w:r>
      <w:r>
        <w:t xml:space="preserve">sufficient </w:t>
      </w:r>
      <w:r w:rsidRPr="00C87549">
        <w:t xml:space="preserve">resources </w:t>
      </w:r>
      <w:r>
        <w:t>being</w:t>
      </w:r>
      <w:r w:rsidRPr="00C87549">
        <w:t xml:space="preserve"> secured i</w:t>
      </w:r>
      <w:r>
        <w:t>n addition to the FAO</w:t>
      </w:r>
      <w:r w:rsidRPr="00C87549">
        <w:t xml:space="preserve"> </w:t>
      </w:r>
      <w:r>
        <w:t>regular programme</w:t>
      </w:r>
      <w:r w:rsidRPr="00C87549">
        <w:t xml:space="preserve"> funding </w:t>
      </w:r>
      <w:r>
        <w:t>of</w:t>
      </w:r>
      <w:r w:rsidRPr="00C87549">
        <w:t xml:space="preserve"> core activities.</w:t>
      </w:r>
    </w:p>
    <w:p w:rsidR="00073A62" w:rsidRDefault="00073A62" w:rsidP="002626ED">
      <w:pPr>
        <w:rPr>
          <w:color w:val="FF0000"/>
        </w:rPr>
      </w:pPr>
    </w:p>
    <w:p w:rsidR="00A64D32" w:rsidRDefault="00A64D32">
      <w:pPr>
        <w:rPr>
          <w:rFonts w:eastAsiaTheme="majorEastAsia" w:cstheme="majorBidi"/>
          <w:b/>
          <w:color w:val="2E74B5" w:themeColor="accent1" w:themeShade="BF"/>
          <w:sz w:val="40"/>
          <w:szCs w:val="40"/>
        </w:rPr>
      </w:pPr>
      <w:r>
        <w:br w:type="page"/>
      </w:r>
    </w:p>
    <w:p w:rsidR="00073A62" w:rsidRDefault="00BA2096" w:rsidP="00073A62">
      <w:pPr>
        <w:pStyle w:val="Heading1"/>
      </w:pPr>
      <w:bookmarkStart w:id="2" w:name="_Toc519604979"/>
      <w:r w:rsidRPr="00AB6D02">
        <w:lastRenderedPageBreak/>
        <w:t xml:space="preserve">IPPC 2020-2030 </w:t>
      </w:r>
      <w:r w:rsidR="00073A62" w:rsidRPr="00AB6D02">
        <w:t>Strategic Framework on a Page</w:t>
      </w:r>
      <w:r w:rsidR="00206A1B" w:rsidRPr="00AB6D02">
        <w:t xml:space="preserve"> </w:t>
      </w:r>
      <w:bookmarkEnd w:id="2"/>
    </w:p>
    <w:p w:rsidR="0063704B" w:rsidRPr="0063704B" w:rsidRDefault="0063704B" w:rsidP="0063704B"/>
    <w:p w:rsidR="0063704B" w:rsidRPr="0063704B" w:rsidRDefault="0063704B" w:rsidP="0063704B">
      <w:pPr>
        <w:spacing w:before="75" w:after="225" w:line="330" w:lineRule="atLeast"/>
        <w:jc w:val="center"/>
        <w:rPr>
          <w:rFonts w:ascii="Verdana" w:eastAsia="Times New Roman" w:hAnsi="Verdana" w:cs="Helvetica"/>
          <w:color w:val="000000"/>
          <w:sz w:val="21"/>
          <w:szCs w:val="21"/>
          <w:lang w:val="en" w:eastAsia="en-AU"/>
        </w:rPr>
      </w:pPr>
      <w:r w:rsidRPr="0063704B">
        <w:rPr>
          <w:rFonts w:ascii="Verdana" w:eastAsia="Times New Roman" w:hAnsi="Verdana" w:cs="Helvetica"/>
          <w:noProof/>
          <w:color w:val="000000"/>
          <w:sz w:val="21"/>
          <w:szCs w:val="21"/>
          <w:lang w:val="en-US"/>
        </w:rPr>
        <w:drawing>
          <wp:inline distT="0" distB="0" distL="0" distR="0" wp14:anchorId="629037A2" wp14:editId="19EBBBAF">
            <wp:extent cx="5238750" cy="7407593"/>
            <wp:effectExtent l="0" t="0" r="0" b="3175"/>
            <wp:docPr id="1" name="Picture 1" descr="https://www.ippc.int/static/media/uploads/news/.thumbnails/international_plant_protection_convention_v7-5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ppc.int/static/media/uploads/news/.thumbnails/international_plant_protection_convention_v7-500x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1942" cy="7412107"/>
                    </a:xfrm>
                    <a:prstGeom prst="rect">
                      <a:avLst/>
                    </a:prstGeom>
                    <a:noFill/>
                    <a:ln>
                      <a:noFill/>
                    </a:ln>
                  </pic:spPr>
                </pic:pic>
              </a:graphicData>
            </a:graphic>
          </wp:inline>
        </w:drawing>
      </w:r>
    </w:p>
    <w:p w:rsidR="00BC588B" w:rsidRPr="00BC588B" w:rsidRDefault="00BC588B"/>
    <w:p w:rsidR="004612B1" w:rsidRPr="00AB6D02" w:rsidRDefault="004612B1" w:rsidP="00A86A36">
      <w:pPr>
        <w:pStyle w:val="Heading1"/>
      </w:pPr>
      <w:bookmarkStart w:id="3" w:name="_Toc519604980"/>
      <w:r w:rsidRPr="00AB6D02">
        <w:t>Introduction</w:t>
      </w:r>
      <w:bookmarkEnd w:id="3"/>
      <w:r w:rsidR="00124E9D" w:rsidRPr="00AB6D02">
        <w:t xml:space="preserve"> </w:t>
      </w:r>
    </w:p>
    <w:p w:rsidR="00D1755E" w:rsidRPr="00D1755E" w:rsidRDefault="00D1755E" w:rsidP="00D1755E">
      <w:pPr>
        <w:spacing w:before="120"/>
        <w:rPr>
          <w:rFonts w:eastAsia="Times New Roman" w:cs="Times New Roman"/>
        </w:rPr>
      </w:pPr>
      <w:r w:rsidRPr="00D1755E">
        <w:rPr>
          <w:rFonts w:eastAsia="Times New Roman" w:cs="Times New Roman"/>
        </w:rPr>
        <w:t>Plants are essential for life. Healthy plants feed people and animals, contributing to food security for nations and communities; and any surplus can be traded to generate income.</w:t>
      </w:r>
    </w:p>
    <w:p w:rsidR="00D1755E" w:rsidRPr="00D1755E" w:rsidRDefault="00D1755E" w:rsidP="00D1755E">
      <w:pPr>
        <w:spacing w:before="120"/>
        <w:rPr>
          <w:rFonts w:eastAsia="Times New Roman" w:cs="Times New Roman"/>
        </w:rPr>
      </w:pPr>
      <w:r w:rsidRPr="00D1755E">
        <w:rPr>
          <w:rFonts w:eastAsia="Times New Roman" w:cs="Times New Roman"/>
        </w:rPr>
        <w:lastRenderedPageBreak/>
        <w:t xml:space="preserve">Healthy plants are critical to achieving the core FAO objectives of food security, zero hunger and poverty alleviation.  </w:t>
      </w:r>
    </w:p>
    <w:p w:rsidR="00124C9C" w:rsidRPr="00D1755E" w:rsidRDefault="00D1755E" w:rsidP="000B0E03">
      <w:pPr>
        <w:spacing w:before="120"/>
        <w:rPr>
          <w:rFonts w:eastAsia="Times New Roman" w:cs="Times New Roman"/>
        </w:rPr>
      </w:pPr>
      <w:r w:rsidRPr="00D1755E">
        <w:t>The International Plant Protection Convention (IPPC) is the global international treaty for protecting plant resources</w:t>
      </w:r>
      <w:r>
        <w:t xml:space="preserve">.  </w:t>
      </w:r>
      <w:r w:rsidRPr="00D1755E">
        <w:t xml:space="preserve"> </w:t>
      </w:r>
      <w:r w:rsidR="007E41BB" w:rsidRPr="00D1755E">
        <w:rPr>
          <w:rFonts w:eastAsia="Times New Roman" w:cs="Times New Roman"/>
        </w:rPr>
        <w:t xml:space="preserve">The IPPC </w:t>
      </w:r>
      <w:r w:rsidR="00124C9C" w:rsidRPr="00D1755E">
        <w:rPr>
          <w:rFonts w:eastAsia="Times New Roman" w:cs="Times New Roman"/>
        </w:rPr>
        <w:t>provides a framework to protect the world’s plant resources from the harm caused by pests and diseases. As such, the IPPC is the leader in the global effort to promote and maintain plant health.  Through the development of international standards and programs that enable their implementation, the IPPC creates a fairer trading system for all countries, whether they trade a little or a lot, and helps countries less able to protect themselves from the impacts of plant pests to produce food, protect valuable natural ecosystems and increase their ability to trade.</w:t>
      </w:r>
    </w:p>
    <w:p w:rsidR="003B4A03" w:rsidRPr="00D1755E" w:rsidRDefault="003B4A03" w:rsidP="003B4A03">
      <w:r w:rsidRPr="00D1755E">
        <w:t xml:space="preserve">The </w:t>
      </w:r>
      <w:r w:rsidR="00667B25" w:rsidRPr="00D1755E">
        <w:t xml:space="preserve">IPPC </w:t>
      </w:r>
      <w:r w:rsidRPr="00D1755E">
        <w:t xml:space="preserve">extends beyond the protection of </w:t>
      </w:r>
      <w:r w:rsidR="009F7A3E" w:rsidRPr="00D1755E">
        <w:t xml:space="preserve">all </w:t>
      </w:r>
      <w:r w:rsidRPr="00D1755E">
        <w:t xml:space="preserve">cultivated plants to the protection of natural flora and plant products. It </w:t>
      </w:r>
      <w:r w:rsidR="00EC089B" w:rsidRPr="00D1755E">
        <w:t>includes</w:t>
      </w:r>
      <w:r w:rsidRPr="00D1755E">
        <w:t xml:space="preserve"> both direct and indirect damage by pests </w:t>
      </w:r>
      <w:r w:rsidR="00EC089B" w:rsidRPr="00D1755E">
        <w:t>and</w:t>
      </w:r>
      <w:r w:rsidR="00A72FBC" w:rsidRPr="00D1755E">
        <w:t xml:space="preserve"> </w:t>
      </w:r>
      <w:r w:rsidR="0042125A" w:rsidRPr="00D1755E">
        <w:t>pest plants</w:t>
      </w:r>
      <w:r w:rsidR="00C927D1" w:rsidRPr="00D1755E">
        <w:t>, as well as the</w:t>
      </w:r>
      <w:r w:rsidRPr="00D1755E">
        <w:t xml:space="preserve"> vehicles, aircraft and vessels, containers, storage places, soil and other objects or material that can harbour or spread pests.</w:t>
      </w:r>
    </w:p>
    <w:p w:rsidR="009F7A3E" w:rsidRPr="009127AC" w:rsidRDefault="00393032" w:rsidP="009F7A3E">
      <w:r w:rsidRPr="00D1755E">
        <w:t>I</w:t>
      </w:r>
      <w:r w:rsidR="003B4A03" w:rsidRPr="00D1755E">
        <w:t xml:space="preserve">mplementation </w:t>
      </w:r>
      <w:r w:rsidRPr="00D1755E">
        <w:t xml:space="preserve">of the </w:t>
      </w:r>
      <w:r w:rsidR="00667B25" w:rsidRPr="00D1755E">
        <w:t xml:space="preserve">IPPC </w:t>
      </w:r>
      <w:r w:rsidR="003B4A03" w:rsidRPr="00D1755E">
        <w:t>involves collaboration by National Plant Protection Organizations (NPPOs)</w:t>
      </w:r>
      <w:r w:rsidR="00667B25" w:rsidRPr="00D1755E">
        <w:t>,</w:t>
      </w:r>
      <w:r w:rsidR="003B4A03" w:rsidRPr="00D1755E">
        <w:t xml:space="preserve"> the official services established by </w:t>
      </w:r>
      <w:r w:rsidR="0042125A" w:rsidRPr="00D1755E">
        <w:t xml:space="preserve">contracting parties </w:t>
      </w:r>
      <w:r w:rsidR="003B4A03" w:rsidRPr="00D1755E">
        <w:t xml:space="preserve">to </w:t>
      </w:r>
      <w:r w:rsidR="0042125A" w:rsidRPr="00D1755E">
        <w:t xml:space="preserve">carry out </w:t>
      </w:r>
      <w:r w:rsidR="003B4A03" w:rsidRPr="00D1755E">
        <w:t>the functions</w:t>
      </w:r>
      <w:r w:rsidR="003B4A03" w:rsidRPr="009127AC">
        <w:t xml:space="preserve"> specified by the IPPC</w:t>
      </w:r>
      <w:r w:rsidR="009F7A3E" w:rsidRPr="009127AC">
        <w:t xml:space="preserve">; </w:t>
      </w:r>
      <w:r w:rsidR="003B4A03" w:rsidRPr="009127AC">
        <w:t>and Regional Plant Protection Organizations (RPPOs), which act as coordinating bodies at a regional level to achieve the objectives of the IPPC.</w:t>
      </w:r>
      <w:r w:rsidR="009F7A3E" w:rsidRPr="009127AC">
        <w:t xml:space="preserve"> </w:t>
      </w:r>
    </w:p>
    <w:p w:rsidR="009F7A3E" w:rsidRPr="009127AC" w:rsidRDefault="009F7A3E" w:rsidP="00364876">
      <w:r w:rsidRPr="009127AC">
        <w:t>The IPPC is governed by the Commission on Phytosanitary Measures (</w:t>
      </w:r>
      <w:r w:rsidR="00A57E62">
        <w:t>Commission</w:t>
      </w:r>
      <w:r w:rsidRPr="009127AC">
        <w:t xml:space="preserve">).  The </w:t>
      </w:r>
      <w:r w:rsidR="00A57E62">
        <w:t>Commission</w:t>
      </w:r>
      <w:r w:rsidRPr="009127AC">
        <w:t xml:space="preserve"> comprises delegates from each of the contracting parties</w:t>
      </w:r>
      <w:r w:rsidR="00393032" w:rsidRPr="009127AC">
        <w:t>,</w:t>
      </w:r>
      <w:r w:rsidRPr="009127AC">
        <w:t xml:space="preserve"> </w:t>
      </w:r>
      <w:r w:rsidR="00393032" w:rsidRPr="00E72CAC">
        <w:rPr>
          <w:highlight w:val="yellow"/>
        </w:rPr>
        <w:t>18</w:t>
      </w:r>
      <w:r w:rsidR="00EC089B" w:rsidRPr="00E72CAC">
        <w:rPr>
          <w:highlight w:val="yellow"/>
        </w:rPr>
        <w:t>3</w:t>
      </w:r>
      <w:r w:rsidR="00393032" w:rsidRPr="00E72CAC">
        <w:rPr>
          <w:highlight w:val="yellow"/>
        </w:rPr>
        <w:t xml:space="preserve"> as at </w:t>
      </w:r>
      <w:r w:rsidR="00CE2088" w:rsidRPr="00642339">
        <w:rPr>
          <w:highlight w:val="yellow"/>
        </w:rPr>
        <w:t>January 2018</w:t>
      </w:r>
      <w:r w:rsidR="00393032" w:rsidRPr="009127AC">
        <w:t>.</w:t>
      </w:r>
      <w:r w:rsidRPr="009127AC">
        <w:t xml:space="preserve"> </w:t>
      </w:r>
      <w:r w:rsidR="00B07DBF">
        <w:t xml:space="preserve">The Commission </w:t>
      </w:r>
      <w:r w:rsidRPr="009127AC">
        <w:t>reviews the state of plant protection around the world</w:t>
      </w:r>
      <w:r w:rsidR="00D1755E">
        <w:t xml:space="preserve"> and </w:t>
      </w:r>
    </w:p>
    <w:p w:rsidR="00393032" w:rsidRPr="00D667D5" w:rsidRDefault="009F7A3E" w:rsidP="001E6578">
      <w:pPr>
        <w:pStyle w:val="ListParagraph"/>
        <w:numPr>
          <w:ilvl w:val="0"/>
          <w:numId w:val="2"/>
        </w:numPr>
        <w:ind w:left="1240"/>
        <w:rPr>
          <w:rFonts w:ascii="Times New Roman" w:hAnsi="Times New Roman" w:cs="Times New Roman"/>
          <w:sz w:val="22"/>
          <w:szCs w:val="22"/>
        </w:rPr>
      </w:pPr>
      <w:r w:rsidRPr="00D667D5">
        <w:rPr>
          <w:rFonts w:ascii="Times New Roman" w:hAnsi="Times New Roman" w:cs="Times New Roman"/>
          <w:sz w:val="22"/>
          <w:szCs w:val="22"/>
        </w:rPr>
        <w:t>identifies action to control the spread of pests into new areas</w:t>
      </w:r>
    </w:p>
    <w:p w:rsidR="00393032" w:rsidRPr="00D667D5" w:rsidRDefault="00393032" w:rsidP="001E6578">
      <w:pPr>
        <w:pStyle w:val="ListParagraph"/>
        <w:numPr>
          <w:ilvl w:val="0"/>
          <w:numId w:val="2"/>
        </w:numPr>
        <w:ind w:left="1240"/>
        <w:rPr>
          <w:rFonts w:ascii="Times New Roman" w:hAnsi="Times New Roman" w:cs="Times New Roman"/>
          <w:sz w:val="22"/>
          <w:szCs w:val="22"/>
        </w:rPr>
      </w:pPr>
      <w:r w:rsidRPr="00D667D5">
        <w:rPr>
          <w:rFonts w:ascii="Times New Roman" w:hAnsi="Times New Roman" w:cs="Times New Roman"/>
          <w:sz w:val="22"/>
          <w:szCs w:val="22"/>
        </w:rPr>
        <w:t>develops and adopts international standards and guidelines</w:t>
      </w:r>
    </w:p>
    <w:p w:rsidR="009F7A3E" w:rsidRPr="00D667D5" w:rsidRDefault="00393032" w:rsidP="001E6578">
      <w:pPr>
        <w:pStyle w:val="ListParagraph"/>
        <w:numPr>
          <w:ilvl w:val="0"/>
          <w:numId w:val="2"/>
        </w:numPr>
        <w:ind w:left="1240"/>
        <w:rPr>
          <w:rFonts w:ascii="Times New Roman" w:hAnsi="Times New Roman" w:cs="Times New Roman"/>
          <w:sz w:val="22"/>
          <w:szCs w:val="22"/>
        </w:rPr>
      </w:pPr>
      <w:r w:rsidRPr="00D667D5">
        <w:rPr>
          <w:rFonts w:ascii="Times New Roman" w:hAnsi="Times New Roman" w:cs="Times New Roman"/>
          <w:sz w:val="22"/>
          <w:szCs w:val="22"/>
        </w:rPr>
        <w:t xml:space="preserve">approves programmes to support implementation of the Convention and adopted standards; </w:t>
      </w:r>
      <w:r w:rsidR="009F7A3E" w:rsidRPr="00D667D5">
        <w:rPr>
          <w:rFonts w:ascii="Times New Roman" w:hAnsi="Times New Roman" w:cs="Times New Roman"/>
          <w:sz w:val="22"/>
          <w:szCs w:val="22"/>
        </w:rPr>
        <w:t>and</w:t>
      </w:r>
    </w:p>
    <w:p w:rsidR="009F7A3E" w:rsidRPr="00D667D5" w:rsidRDefault="009F7A3E" w:rsidP="001E6578">
      <w:pPr>
        <w:pStyle w:val="ListParagraph"/>
        <w:numPr>
          <w:ilvl w:val="0"/>
          <w:numId w:val="2"/>
        </w:numPr>
        <w:ind w:left="1240"/>
        <w:rPr>
          <w:rFonts w:ascii="Times New Roman" w:hAnsi="Times New Roman" w:cs="Times New Roman"/>
          <w:sz w:val="22"/>
          <w:szCs w:val="22"/>
        </w:rPr>
      </w:pPr>
      <w:r w:rsidRPr="00D667D5">
        <w:rPr>
          <w:rFonts w:ascii="Times New Roman" w:hAnsi="Times New Roman" w:cs="Times New Roman"/>
          <w:sz w:val="22"/>
          <w:szCs w:val="22"/>
        </w:rPr>
        <w:t>cooperates with international organizations on ma</w:t>
      </w:r>
      <w:r w:rsidR="00D1755E" w:rsidRPr="00D667D5">
        <w:rPr>
          <w:rFonts w:ascii="Times New Roman" w:hAnsi="Times New Roman" w:cs="Times New Roman"/>
          <w:sz w:val="22"/>
          <w:szCs w:val="22"/>
        </w:rPr>
        <w:t>tters covered by the Convention.</w:t>
      </w:r>
    </w:p>
    <w:p w:rsidR="004612B1" w:rsidRPr="009F0E91" w:rsidRDefault="004612B1" w:rsidP="004612B1">
      <w:pPr>
        <w:rPr>
          <w:color w:val="A6A6A6" w:themeColor="background1" w:themeShade="A6"/>
        </w:rPr>
      </w:pPr>
    </w:p>
    <w:p w:rsidR="00C87549" w:rsidRPr="00DD6097" w:rsidRDefault="008F7FC6">
      <w:pPr>
        <w:rPr>
          <w:rFonts w:eastAsiaTheme="majorEastAsia" w:cstheme="majorBidi"/>
          <w:b/>
          <w:color w:val="2E74B5" w:themeColor="accent1" w:themeShade="BF"/>
          <w:sz w:val="40"/>
          <w:szCs w:val="40"/>
        </w:rPr>
      </w:pPr>
      <w:r>
        <w:rPr>
          <w:rStyle w:val="Heading1Char"/>
        </w:rPr>
        <w:br w:type="page"/>
      </w:r>
    </w:p>
    <w:p w:rsidR="00CA6291" w:rsidRPr="00AB6D02" w:rsidRDefault="00935939" w:rsidP="00A86A36">
      <w:pPr>
        <w:pStyle w:val="Heading1"/>
      </w:pPr>
      <w:bookmarkStart w:id="4" w:name="_Toc519604981"/>
      <w:r w:rsidRPr="00AB6D02">
        <w:lastRenderedPageBreak/>
        <w:t>Strategic Objectives</w:t>
      </w:r>
      <w:bookmarkEnd w:id="4"/>
    </w:p>
    <w:p w:rsidR="00CE78E5" w:rsidRPr="00755CA3" w:rsidRDefault="00755CA3" w:rsidP="009115B1">
      <w:r>
        <w:t>The c</w:t>
      </w:r>
      <w:r w:rsidR="00CE78E5" w:rsidRPr="00755CA3">
        <w:t xml:space="preserve">ore purpose </w:t>
      </w:r>
      <w:r>
        <w:t xml:space="preserve">of the IPPC </w:t>
      </w:r>
      <w:r w:rsidR="00A57E62">
        <w:t xml:space="preserve">is </w:t>
      </w:r>
      <w:r w:rsidR="006A4582">
        <w:t>to prevent</w:t>
      </w:r>
      <w:r>
        <w:t xml:space="preserve"> </w:t>
      </w:r>
      <w:r w:rsidR="00A57E62">
        <w:t xml:space="preserve">the </w:t>
      </w:r>
      <w:r w:rsidR="00341617">
        <w:t xml:space="preserve">international </w:t>
      </w:r>
      <w:r>
        <w:t xml:space="preserve">spread </w:t>
      </w:r>
      <w:r w:rsidR="00A57E62">
        <w:t xml:space="preserve">of </w:t>
      </w:r>
      <w:r w:rsidR="00341617">
        <w:t xml:space="preserve">plant pests </w:t>
      </w:r>
      <w:r>
        <w:t xml:space="preserve">and </w:t>
      </w:r>
      <w:r w:rsidR="00341617">
        <w:t>reduce their impact</w:t>
      </w:r>
      <w:r w:rsidR="00A0401A">
        <w:t>.</w:t>
      </w:r>
    </w:p>
    <w:p w:rsidR="009365C9" w:rsidRDefault="00755CA3" w:rsidP="008E66CD">
      <w:r>
        <w:t xml:space="preserve">The </w:t>
      </w:r>
      <w:r w:rsidR="00A57E62">
        <w:t>Commission</w:t>
      </w:r>
      <w:r>
        <w:t xml:space="preserve"> has identified t</w:t>
      </w:r>
      <w:r w:rsidR="00CE78E5" w:rsidRPr="00755CA3">
        <w:t xml:space="preserve">hree </w:t>
      </w:r>
      <w:r w:rsidR="008E66CD">
        <w:t>S</w:t>
      </w:r>
      <w:r w:rsidR="00935939">
        <w:t xml:space="preserve">trategic </w:t>
      </w:r>
      <w:r w:rsidR="008E66CD">
        <w:t>O</w:t>
      </w:r>
      <w:r w:rsidR="00935939">
        <w:t>bjectives</w:t>
      </w:r>
      <w:r w:rsidR="00CE78E5" w:rsidRPr="00755CA3">
        <w:t xml:space="preserve"> </w:t>
      </w:r>
      <w:r w:rsidR="00A57E62">
        <w:t xml:space="preserve">that capture the major contributions </w:t>
      </w:r>
      <w:r w:rsidR="005A0715">
        <w:t xml:space="preserve">it </w:t>
      </w:r>
      <w:r w:rsidR="00A57E62">
        <w:t>make</w:t>
      </w:r>
      <w:r w:rsidR="005A0715">
        <w:t>s</w:t>
      </w:r>
      <w:r w:rsidR="00A57E62">
        <w:t xml:space="preserve"> in a global context.</w:t>
      </w:r>
      <w:r w:rsidR="008E66CD" w:rsidRPr="008E66CD">
        <w:t xml:space="preserve"> </w:t>
      </w:r>
      <w:r w:rsidR="00050B30">
        <w:t xml:space="preserve">They </w:t>
      </w:r>
      <w:r w:rsidR="00F66546">
        <w:t>are equally important and the C</w:t>
      </w:r>
      <w:r w:rsidR="00050B30">
        <w:t xml:space="preserve">ommission work programme is </w:t>
      </w:r>
      <w:r w:rsidR="00F66546">
        <w:t xml:space="preserve">balanced to ensure the collective work programme contributes to all three objectives. </w:t>
      </w:r>
    </w:p>
    <w:p w:rsidR="00CA6291" w:rsidRPr="00755CA3" w:rsidRDefault="00CA6291" w:rsidP="009115B1">
      <w:r w:rsidRPr="00755CA3">
        <w:t xml:space="preserve">The </w:t>
      </w:r>
      <w:r w:rsidR="00A57E62">
        <w:t>Commission</w:t>
      </w:r>
      <w:r w:rsidRPr="00755CA3">
        <w:t xml:space="preserve">’s </w:t>
      </w:r>
      <w:r w:rsidR="00755CA3">
        <w:t xml:space="preserve">three </w:t>
      </w:r>
      <w:r w:rsidR="00935939">
        <w:t>Strategic Objectives</w:t>
      </w:r>
      <w:r w:rsidRPr="00755CA3">
        <w:t xml:space="preserve"> are to: </w:t>
      </w:r>
    </w:p>
    <w:p w:rsidR="004A4866" w:rsidRPr="00C43CFF" w:rsidRDefault="00806694" w:rsidP="001E6578">
      <w:pPr>
        <w:numPr>
          <w:ilvl w:val="1"/>
          <w:numId w:val="1"/>
        </w:numPr>
        <w:spacing w:before="120" w:line="276" w:lineRule="auto"/>
        <w:contextualSpacing/>
        <w:rPr>
          <w:rFonts w:eastAsia="Calibri" w:cs="Times New Roman"/>
          <w:lang w:val="en-US" w:eastAsia="en-GB"/>
        </w:rPr>
      </w:pPr>
      <w:r w:rsidRPr="00C43CFF">
        <w:rPr>
          <w:rFonts w:eastAsia="Calibri" w:cs="Times New Roman"/>
          <w:lang w:eastAsia="en-GB"/>
        </w:rPr>
        <w:t>Enhance global food security and</w:t>
      </w:r>
      <w:r w:rsidRPr="00C43CFF">
        <w:rPr>
          <w:rFonts w:eastAsia="Calibri" w:cs="Akhbar MT"/>
        </w:rPr>
        <w:t xml:space="preserve"> </w:t>
      </w:r>
      <w:r w:rsidRPr="00C43CFF">
        <w:rPr>
          <w:rFonts w:eastAsia="Calibri" w:cs="Times New Roman"/>
          <w:lang w:eastAsia="en-GB"/>
        </w:rPr>
        <w:t>increase</w:t>
      </w:r>
      <w:r w:rsidR="00E51EC8" w:rsidRPr="00C43CFF">
        <w:rPr>
          <w:rFonts w:eastAsia="Calibri" w:cs="Times New Roman"/>
          <w:lang w:eastAsia="en-GB"/>
        </w:rPr>
        <w:t xml:space="preserve"> sustainable</w:t>
      </w:r>
      <w:r w:rsidRPr="00C43CFF">
        <w:rPr>
          <w:rFonts w:eastAsia="Calibri" w:cs="Times New Roman"/>
          <w:lang w:eastAsia="en-GB"/>
        </w:rPr>
        <w:t xml:space="preserve"> agricultural productivity</w:t>
      </w:r>
    </w:p>
    <w:p w:rsidR="00BB16CD" w:rsidRPr="00C43CFF" w:rsidRDefault="00BB16CD" w:rsidP="00BB16CD">
      <w:pPr>
        <w:spacing w:before="120" w:line="276" w:lineRule="auto"/>
        <w:ind w:left="1077"/>
        <w:contextualSpacing/>
        <w:rPr>
          <w:rFonts w:eastAsia="Calibri" w:cs="Times New Roman"/>
          <w:lang w:val="en-US" w:eastAsia="en-GB"/>
        </w:rPr>
      </w:pPr>
    </w:p>
    <w:p w:rsidR="004A4866" w:rsidRPr="00C43CFF" w:rsidRDefault="00806694" w:rsidP="001E6578">
      <w:pPr>
        <w:numPr>
          <w:ilvl w:val="1"/>
          <w:numId w:val="1"/>
        </w:numPr>
        <w:spacing w:before="120" w:line="276" w:lineRule="auto"/>
        <w:contextualSpacing/>
        <w:rPr>
          <w:rFonts w:eastAsia="Calibri" w:cs="Times New Roman"/>
          <w:lang w:eastAsia="en-GB"/>
        </w:rPr>
      </w:pPr>
      <w:r w:rsidRPr="00C43CFF">
        <w:rPr>
          <w:rFonts w:eastAsia="Calibri" w:cs="Times New Roman"/>
          <w:lang w:eastAsia="en-GB"/>
        </w:rPr>
        <w:t>Protect forests and the environment from the impacts of plant pests</w:t>
      </w:r>
    </w:p>
    <w:p w:rsidR="00BB16CD" w:rsidRPr="00C43CFF" w:rsidRDefault="00BB16CD" w:rsidP="00BB16CD">
      <w:pPr>
        <w:spacing w:before="120" w:line="276" w:lineRule="auto"/>
        <w:contextualSpacing/>
        <w:rPr>
          <w:rFonts w:eastAsia="Calibri" w:cs="Times New Roman"/>
          <w:lang w:eastAsia="en-GB"/>
        </w:rPr>
      </w:pPr>
    </w:p>
    <w:p w:rsidR="004A4866" w:rsidRPr="00C43CFF" w:rsidRDefault="00806694" w:rsidP="001E6578">
      <w:pPr>
        <w:numPr>
          <w:ilvl w:val="1"/>
          <w:numId w:val="1"/>
        </w:numPr>
        <w:spacing w:before="120" w:line="276" w:lineRule="auto"/>
        <w:contextualSpacing/>
        <w:rPr>
          <w:rFonts w:eastAsia="Calibri" w:cs="Times New Roman"/>
          <w:lang w:eastAsia="en-GB"/>
        </w:rPr>
      </w:pPr>
      <w:r w:rsidRPr="00C43CFF">
        <w:rPr>
          <w:rFonts w:eastAsia="Calibri" w:cs="Times New Roman"/>
          <w:lang w:val="en-US" w:eastAsia="en-GB"/>
        </w:rPr>
        <w:t>Facilitate safe trade development and economic growth</w:t>
      </w:r>
    </w:p>
    <w:p w:rsidR="002A7E04" w:rsidRDefault="002A7E04" w:rsidP="009115B1">
      <w:pPr>
        <w:rPr>
          <w:rFonts w:eastAsia="Calibri" w:cs="Times New Roman"/>
          <w:b/>
          <w:lang w:eastAsia="en-GB"/>
        </w:rPr>
      </w:pPr>
    </w:p>
    <w:p w:rsidR="00626062" w:rsidRPr="00AB6D02" w:rsidRDefault="00626062" w:rsidP="00626062">
      <w:pPr>
        <w:pStyle w:val="Heading1"/>
      </w:pPr>
      <w:r>
        <w:t>1. Achieving and Measuring Key Results</w:t>
      </w:r>
    </w:p>
    <w:p w:rsidR="00626062" w:rsidRDefault="00626062" w:rsidP="009115B1">
      <w:pPr>
        <w:rPr>
          <w:rFonts w:eastAsia="Calibri" w:cs="Times New Roman"/>
          <w:b/>
          <w:lang w:eastAsia="en-GB"/>
        </w:rPr>
      </w:pPr>
    </w:p>
    <w:p w:rsidR="000E71D0" w:rsidRPr="00755CA3" w:rsidRDefault="000E71D0" w:rsidP="000B0E03">
      <w:r>
        <w:t>Key Result Areas are described for each Strategic Objective</w:t>
      </w:r>
      <w:r w:rsidR="00D1755E">
        <w:t xml:space="preserve"> and</w:t>
      </w:r>
      <w:r>
        <w:t xml:space="preserve"> outline the impact </w:t>
      </w:r>
      <w:r w:rsidR="00D50ABE">
        <w:t xml:space="preserve">the Commission </w:t>
      </w:r>
      <w:r>
        <w:t>expect</w:t>
      </w:r>
      <w:r w:rsidR="00D50ABE">
        <w:t xml:space="preserve">s to </w:t>
      </w:r>
      <w:r>
        <w:t xml:space="preserve">see under each. Results are delivered through both the core work of the IPPC and the IPPC Development Agenda Initiatives. </w:t>
      </w:r>
    </w:p>
    <w:p w:rsidR="00E51EC8" w:rsidRPr="00C43CFF" w:rsidRDefault="00E51EC8" w:rsidP="001E6578">
      <w:pPr>
        <w:pStyle w:val="Heading2"/>
        <w:numPr>
          <w:ilvl w:val="0"/>
          <w:numId w:val="12"/>
        </w:numPr>
      </w:pPr>
      <w:bookmarkStart w:id="5" w:name="_Toc519604982"/>
      <w:r w:rsidRPr="00C43CFF">
        <w:t xml:space="preserve">Enhance Global Food Security and </w:t>
      </w:r>
      <w:r w:rsidR="00816BD4" w:rsidRPr="00C43CFF">
        <w:t xml:space="preserve">Increase Sustainable </w:t>
      </w:r>
      <w:r w:rsidRPr="00C43CFF">
        <w:t>Agricultural Productivity</w:t>
      </w:r>
      <w:bookmarkEnd w:id="5"/>
    </w:p>
    <w:p w:rsidR="00A178F4" w:rsidRDefault="00471E85" w:rsidP="00E51EC8">
      <w:r>
        <w:t xml:space="preserve">Food security is achieved with </w:t>
      </w:r>
      <w:r w:rsidR="00914AA6">
        <w:t xml:space="preserve">community access to sufficient </w:t>
      </w:r>
      <w:r w:rsidR="003065EB">
        <w:t xml:space="preserve">safe and </w:t>
      </w:r>
      <w:proofErr w:type="spellStart"/>
      <w:r w:rsidR="003065EB">
        <w:t>nutritous</w:t>
      </w:r>
      <w:proofErr w:type="spellEnd"/>
      <w:r w:rsidR="003065EB">
        <w:t xml:space="preserve"> food. This also requires food to move without impediment from </w:t>
      </w:r>
      <w:r w:rsidR="003F7FA2">
        <w:t>where it is produced to where it is consumed.</w:t>
      </w:r>
    </w:p>
    <w:p w:rsidR="00E51EC8" w:rsidRDefault="00E51EC8" w:rsidP="00E51EC8">
      <w:r w:rsidRPr="000E625A">
        <w:t xml:space="preserve">Crop production intensification </w:t>
      </w:r>
      <w:r>
        <w:t xml:space="preserve">and pest management </w:t>
      </w:r>
      <w:r w:rsidRPr="000E625A">
        <w:t xml:space="preserve">strategies </w:t>
      </w:r>
      <w:r>
        <w:t>need to</w:t>
      </w:r>
      <w:r w:rsidRPr="000E625A">
        <w:t xml:space="preserve"> be more sustainable than current or historica</w:t>
      </w:r>
      <w:r w:rsidR="005B3A88">
        <w:t xml:space="preserve">l ones. </w:t>
      </w:r>
      <w:r w:rsidRPr="000E625A">
        <w:t xml:space="preserve">They must also build on elements that include integrated pest management, conservation agriculture, access to and sustainable use of plant genetic resources, while also reducing soil, air and water pollution. </w:t>
      </w:r>
    </w:p>
    <w:p w:rsidR="00E51EC8" w:rsidRDefault="00E51EC8" w:rsidP="00E51EC8">
      <w:r>
        <w:t xml:space="preserve">Contracting parties should be ensuring their phytosanitary regulatory frameworks are appropriately structured and resourced to avoid plant pests putting their food security at risk.  </w:t>
      </w:r>
    </w:p>
    <w:p w:rsidR="00E51EC8" w:rsidRPr="00D667D5" w:rsidRDefault="00E51EC8" w:rsidP="00E51EC8">
      <w:pPr>
        <w:pStyle w:val="Heading3"/>
        <w:rPr>
          <w:rFonts w:ascii="Times New Roman" w:hAnsi="Times New Roman" w:cs="Times New Roman"/>
          <w:b w:val="0"/>
        </w:rPr>
      </w:pPr>
      <w:r w:rsidRPr="00D667D5">
        <w:rPr>
          <w:rFonts w:ascii="Times New Roman" w:hAnsi="Times New Roman" w:cs="Times New Roman"/>
        </w:rPr>
        <w:t>2030</w:t>
      </w:r>
      <w:r w:rsidRPr="00D667D5" w:rsidDel="00050073">
        <w:rPr>
          <w:rFonts w:ascii="Times New Roman" w:hAnsi="Times New Roman" w:cs="Times New Roman"/>
        </w:rPr>
        <w:t xml:space="preserve"> </w:t>
      </w:r>
      <w:r w:rsidRPr="00D667D5">
        <w:rPr>
          <w:rFonts w:ascii="Times New Roman" w:hAnsi="Times New Roman" w:cs="Times New Roman"/>
        </w:rPr>
        <w:t>Key Result Areas</w:t>
      </w:r>
    </w:p>
    <w:p w:rsidR="00E51EC8" w:rsidRPr="00D667D5" w:rsidRDefault="00E51EC8" w:rsidP="00D1755E">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A1:</w:t>
      </w:r>
      <w:r w:rsidR="00D1755E" w:rsidRPr="00D667D5">
        <w:rPr>
          <w:rFonts w:ascii="Times New Roman" w:hAnsi="Times New Roman" w:cs="Times New Roman"/>
          <w:sz w:val="22"/>
          <w:szCs w:val="22"/>
        </w:rPr>
        <w:tab/>
      </w:r>
      <w:r w:rsidRPr="00D667D5">
        <w:rPr>
          <w:rFonts w:ascii="Times New Roman" w:hAnsi="Times New Roman" w:cs="Times New Roman"/>
          <w:sz w:val="22"/>
          <w:szCs w:val="22"/>
        </w:rPr>
        <w:t>All NPPOs have effective pest surveillance systems in place for timely detection of new pest arrivals.</w:t>
      </w:r>
    </w:p>
    <w:p w:rsidR="00E51EC8" w:rsidRPr="00D667D5" w:rsidRDefault="00E51EC8" w:rsidP="00D1755E">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A2:</w:t>
      </w:r>
      <w:r w:rsidR="00D1755E" w:rsidRPr="00D667D5">
        <w:rPr>
          <w:rFonts w:ascii="Times New Roman" w:hAnsi="Times New Roman" w:cs="Times New Roman"/>
          <w:sz w:val="22"/>
          <w:szCs w:val="22"/>
        </w:rPr>
        <w:tab/>
      </w:r>
      <w:r w:rsidRPr="00D667D5">
        <w:rPr>
          <w:rFonts w:ascii="Times New Roman" w:hAnsi="Times New Roman" w:cs="Times New Roman"/>
          <w:sz w:val="22"/>
          <w:szCs w:val="22"/>
        </w:rPr>
        <w:t>All NPPOs have strong capacities to monitor, detect, report, and prepare rapid responses to pest outbreaks, so these pests do not have major impacts on food supplies and they do not spread to threaten other regions and trading partners.</w:t>
      </w:r>
    </w:p>
    <w:p w:rsidR="00E51EC8" w:rsidRPr="00D667D5" w:rsidRDefault="00D1755E" w:rsidP="00D1755E">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A3:</w:t>
      </w:r>
      <w:r w:rsidRPr="00D667D5">
        <w:rPr>
          <w:rFonts w:ascii="Times New Roman" w:hAnsi="Times New Roman" w:cs="Times New Roman"/>
          <w:sz w:val="22"/>
          <w:szCs w:val="22"/>
        </w:rPr>
        <w:tab/>
      </w:r>
      <w:r w:rsidR="00E51EC8" w:rsidRPr="00D667D5">
        <w:rPr>
          <w:rFonts w:ascii="Times New Roman" w:hAnsi="Times New Roman" w:cs="Times New Roman"/>
          <w:sz w:val="22"/>
          <w:szCs w:val="22"/>
        </w:rPr>
        <w:t>A phytosanitary emergency response system facilitates timely action against new pest incursions and supports countries with emergency response systems tools and knowledge.</w:t>
      </w:r>
    </w:p>
    <w:p w:rsidR="00E51EC8" w:rsidRPr="00D667D5" w:rsidRDefault="00E51EC8" w:rsidP="00D1755E">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A4:</w:t>
      </w:r>
      <w:r w:rsidR="00D1755E" w:rsidRPr="00D667D5">
        <w:rPr>
          <w:rFonts w:ascii="Times New Roman" w:hAnsi="Times New Roman" w:cs="Times New Roman"/>
          <w:sz w:val="22"/>
          <w:szCs w:val="22"/>
        </w:rPr>
        <w:tab/>
      </w:r>
      <w:r w:rsidRPr="00D667D5">
        <w:rPr>
          <w:rFonts w:ascii="Times New Roman" w:hAnsi="Times New Roman" w:cs="Times New Roman"/>
          <w:sz w:val="22"/>
          <w:szCs w:val="22"/>
        </w:rPr>
        <w:t xml:space="preserve">Sustainable pest management </w:t>
      </w:r>
      <w:r w:rsidR="003D6464" w:rsidRPr="00D667D5">
        <w:rPr>
          <w:rFonts w:ascii="Times New Roman" w:hAnsi="Times New Roman" w:cs="Times New Roman"/>
          <w:sz w:val="22"/>
          <w:szCs w:val="22"/>
        </w:rPr>
        <w:t>practises</w:t>
      </w:r>
      <w:r w:rsidR="00FA01B5" w:rsidRPr="00D667D5">
        <w:rPr>
          <w:rFonts w:ascii="Times New Roman" w:hAnsi="Times New Roman" w:cs="Times New Roman"/>
          <w:sz w:val="22"/>
          <w:szCs w:val="22"/>
        </w:rPr>
        <w:t xml:space="preserve">, such as </w:t>
      </w:r>
      <w:r w:rsidRPr="00D667D5">
        <w:rPr>
          <w:rFonts w:ascii="Times New Roman" w:hAnsi="Times New Roman" w:cs="Times New Roman"/>
          <w:sz w:val="22"/>
          <w:szCs w:val="22"/>
        </w:rPr>
        <w:t>‘systems approaches’</w:t>
      </w:r>
      <w:r w:rsidR="00FA01B5" w:rsidRPr="00D667D5">
        <w:rPr>
          <w:rFonts w:ascii="Times New Roman" w:hAnsi="Times New Roman" w:cs="Times New Roman"/>
          <w:sz w:val="22"/>
          <w:szCs w:val="22"/>
        </w:rPr>
        <w:t>,</w:t>
      </w:r>
      <w:r w:rsidRPr="00D667D5">
        <w:rPr>
          <w:rFonts w:ascii="Times New Roman" w:hAnsi="Times New Roman" w:cs="Times New Roman"/>
          <w:sz w:val="22"/>
          <w:szCs w:val="22"/>
        </w:rPr>
        <w:t xml:space="preserve"> are implemented widely to minimise pest impacts right through the production process and harvesting, and minimise the need for endpoint treatments.</w:t>
      </w:r>
    </w:p>
    <w:p w:rsidR="00EB4743" w:rsidRPr="00D667D5" w:rsidRDefault="00EB4743" w:rsidP="00E51EC8">
      <w:pPr>
        <w:pStyle w:val="ListParagraph"/>
        <w:ind w:left="880"/>
        <w:rPr>
          <w:rFonts w:ascii="Times New Roman" w:hAnsi="Times New Roman" w:cs="Times New Roman"/>
          <w:sz w:val="22"/>
          <w:szCs w:val="22"/>
        </w:rPr>
      </w:pPr>
    </w:p>
    <w:p w:rsidR="00EB4743" w:rsidRDefault="00EB4743" w:rsidP="00E51EC8">
      <w:pPr>
        <w:pStyle w:val="ListParagraph"/>
        <w:ind w:left="880"/>
      </w:pPr>
    </w:p>
    <w:tbl>
      <w:tblPr>
        <w:tblStyle w:val="TableGrid"/>
        <w:tblW w:w="0" w:type="auto"/>
        <w:tblLook w:val="04A0" w:firstRow="1" w:lastRow="0" w:firstColumn="1" w:lastColumn="0" w:noHBand="0" w:noVBand="1"/>
      </w:tblPr>
      <w:tblGrid>
        <w:gridCol w:w="3005"/>
        <w:gridCol w:w="3005"/>
        <w:gridCol w:w="3006"/>
      </w:tblGrid>
      <w:tr w:rsidR="00513CB7" w:rsidRPr="00D667D5" w:rsidTr="003B580E">
        <w:trPr>
          <w:tblHeader/>
        </w:trPr>
        <w:tc>
          <w:tcPr>
            <w:tcW w:w="3005" w:type="dxa"/>
            <w:shd w:val="clear" w:color="auto" w:fill="D9D9D9" w:themeFill="background1" w:themeFillShade="D9"/>
          </w:tcPr>
          <w:p w:rsidR="00513CB7" w:rsidRPr="00D667D5" w:rsidRDefault="00513CB7" w:rsidP="000B0E03">
            <w:pPr>
              <w:rPr>
                <w:rFonts w:ascii="Arial" w:hAnsi="Arial" w:cs="Arial"/>
                <w:b/>
                <w:sz w:val="18"/>
                <w:szCs w:val="18"/>
              </w:rPr>
            </w:pPr>
            <w:r w:rsidRPr="00D667D5">
              <w:rPr>
                <w:rFonts w:ascii="Arial" w:hAnsi="Arial" w:cs="Arial"/>
                <w:b/>
                <w:sz w:val="18"/>
                <w:szCs w:val="18"/>
              </w:rPr>
              <w:t>Key result area</w:t>
            </w:r>
          </w:p>
          <w:p w:rsidR="00513CB7" w:rsidRPr="00D667D5" w:rsidRDefault="00513CB7" w:rsidP="000B0E03">
            <w:pPr>
              <w:rPr>
                <w:rFonts w:ascii="Arial" w:hAnsi="Arial" w:cs="Arial"/>
                <w:b/>
                <w:sz w:val="18"/>
                <w:szCs w:val="18"/>
              </w:rPr>
            </w:pPr>
          </w:p>
        </w:tc>
        <w:tc>
          <w:tcPr>
            <w:tcW w:w="3005" w:type="dxa"/>
            <w:shd w:val="clear" w:color="auto" w:fill="D9D9D9" w:themeFill="background1" w:themeFillShade="D9"/>
          </w:tcPr>
          <w:p w:rsidR="00513CB7" w:rsidRPr="00D667D5" w:rsidRDefault="00513CB7" w:rsidP="000B0E03">
            <w:pPr>
              <w:rPr>
                <w:rFonts w:ascii="Arial" w:hAnsi="Arial" w:cs="Arial"/>
                <w:b/>
                <w:sz w:val="18"/>
                <w:szCs w:val="18"/>
              </w:rPr>
            </w:pPr>
            <w:r w:rsidRPr="00D667D5">
              <w:rPr>
                <w:rFonts w:ascii="Arial" w:hAnsi="Arial" w:cs="Arial"/>
                <w:b/>
                <w:sz w:val="18"/>
                <w:szCs w:val="18"/>
              </w:rPr>
              <w:t>Performance indicator</w:t>
            </w:r>
          </w:p>
        </w:tc>
        <w:tc>
          <w:tcPr>
            <w:tcW w:w="3006" w:type="dxa"/>
            <w:shd w:val="clear" w:color="auto" w:fill="D9D9D9" w:themeFill="background1" w:themeFillShade="D9"/>
          </w:tcPr>
          <w:p w:rsidR="00513CB7" w:rsidRPr="00D667D5" w:rsidRDefault="00513CB7" w:rsidP="000B0E03">
            <w:pPr>
              <w:rPr>
                <w:rFonts w:ascii="Arial" w:hAnsi="Arial" w:cs="Arial"/>
                <w:b/>
                <w:sz w:val="18"/>
                <w:szCs w:val="18"/>
              </w:rPr>
            </w:pPr>
            <w:r w:rsidRPr="00D667D5">
              <w:rPr>
                <w:rFonts w:ascii="Arial" w:hAnsi="Arial" w:cs="Arial"/>
                <w:b/>
                <w:sz w:val="18"/>
                <w:szCs w:val="18"/>
              </w:rPr>
              <w:t>Measure</w:t>
            </w:r>
            <w:r w:rsidR="00D1755E" w:rsidRPr="00D667D5">
              <w:rPr>
                <w:rFonts w:ascii="Arial" w:hAnsi="Arial" w:cs="Arial"/>
                <w:b/>
                <w:sz w:val="18"/>
                <w:szCs w:val="18"/>
              </w:rPr>
              <w:t>ment</w:t>
            </w:r>
          </w:p>
        </w:tc>
      </w:tr>
      <w:tr w:rsidR="00EB4743" w:rsidRPr="00D667D5" w:rsidTr="000B0E03">
        <w:tc>
          <w:tcPr>
            <w:tcW w:w="3005" w:type="dxa"/>
          </w:tcPr>
          <w:p w:rsidR="00EB4743" w:rsidRPr="00D667D5" w:rsidRDefault="00DD0710" w:rsidP="000B0E03">
            <w:pPr>
              <w:rPr>
                <w:rFonts w:ascii="Arial" w:hAnsi="Arial" w:cs="Arial"/>
                <w:sz w:val="18"/>
                <w:szCs w:val="18"/>
              </w:rPr>
            </w:pPr>
            <w:r w:rsidRPr="00D667D5">
              <w:rPr>
                <w:rFonts w:ascii="Arial" w:hAnsi="Arial" w:cs="Arial"/>
                <w:sz w:val="18"/>
                <w:szCs w:val="18"/>
              </w:rPr>
              <w:t>Early detection surveillance systems implemented</w:t>
            </w:r>
          </w:p>
        </w:tc>
        <w:tc>
          <w:tcPr>
            <w:tcW w:w="3005" w:type="dxa"/>
          </w:tcPr>
          <w:p w:rsidR="00EB4743" w:rsidRPr="00D667D5" w:rsidRDefault="0062154E" w:rsidP="000B0E03">
            <w:pPr>
              <w:rPr>
                <w:rFonts w:ascii="Arial" w:hAnsi="Arial" w:cs="Arial"/>
                <w:sz w:val="18"/>
                <w:szCs w:val="18"/>
              </w:rPr>
            </w:pPr>
            <w:r w:rsidRPr="00D667D5">
              <w:rPr>
                <w:rFonts w:ascii="Arial" w:hAnsi="Arial" w:cs="Arial"/>
                <w:sz w:val="18"/>
                <w:szCs w:val="18"/>
              </w:rPr>
              <w:t>Systems are available</w:t>
            </w:r>
          </w:p>
          <w:p w:rsidR="0062154E" w:rsidRPr="00D667D5" w:rsidRDefault="0062154E" w:rsidP="000B0E03">
            <w:pPr>
              <w:rPr>
                <w:rFonts w:ascii="Arial" w:hAnsi="Arial" w:cs="Arial"/>
                <w:sz w:val="18"/>
                <w:szCs w:val="18"/>
              </w:rPr>
            </w:pPr>
            <w:r w:rsidRPr="00D667D5">
              <w:rPr>
                <w:rFonts w:ascii="Arial" w:hAnsi="Arial" w:cs="Arial"/>
                <w:sz w:val="18"/>
                <w:szCs w:val="18"/>
              </w:rPr>
              <w:t>CPs are implementing the system(s)</w:t>
            </w:r>
          </w:p>
          <w:p w:rsidR="0062154E" w:rsidRPr="00D667D5" w:rsidRDefault="0062154E" w:rsidP="000B0E03">
            <w:pPr>
              <w:rPr>
                <w:rFonts w:ascii="Arial" w:hAnsi="Arial" w:cs="Arial"/>
                <w:sz w:val="18"/>
                <w:szCs w:val="18"/>
              </w:rPr>
            </w:pPr>
            <w:r w:rsidRPr="00D667D5">
              <w:rPr>
                <w:rFonts w:ascii="Arial" w:hAnsi="Arial" w:cs="Arial"/>
                <w:sz w:val="18"/>
                <w:szCs w:val="18"/>
              </w:rPr>
              <w:t>The system(s) works</w:t>
            </w:r>
          </w:p>
          <w:p w:rsidR="0062154E" w:rsidRPr="00D667D5" w:rsidRDefault="0062154E" w:rsidP="000B0E03">
            <w:pPr>
              <w:rPr>
                <w:rFonts w:ascii="Arial" w:hAnsi="Arial" w:cs="Arial"/>
                <w:sz w:val="18"/>
                <w:szCs w:val="18"/>
              </w:rPr>
            </w:pPr>
          </w:p>
        </w:tc>
        <w:tc>
          <w:tcPr>
            <w:tcW w:w="3006" w:type="dxa"/>
          </w:tcPr>
          <w:p w:rsidR="00EB4743" w:rsidRPr="00D667D5" w:rsidRDefault="007021AD" w:rsidP="000B0E03">
            <w:pPr>
              <w:rPr>
                <w:rFonts w:ascii="Arial" w:hAnsi="Arial" w:cs="Arial"/>
                <w:sz w:val="18"/>
                <w:szCs w:val="18"/>
              </w:rPr>
            </w:pPr>
            <w:r w:rsidRPr="00D667D5">
              <w:rPr>
                <w:rFonts w:ascii="Arial" w:hAnsi="Arial" w:cs="Arial"/>
                <w:sz w:val="18"/>
                <w:szCs w:val="18"/>
              </w:rPr>
              <w:t xml:space="preserve">PCE assessments of early detection </w:t>
            </w:r>
            <w:r w:rsidR="00E17316" w:rsidRPr="00D667D5">
              <w:rPr>
                <w:rFonts w:ascii="Arial" w:hAnsi="Arial" w:cs="Arial"/>
                <w:sz w:val="18"/>
                <w:szCs w:val="18"/>
              </w:rPr>
              <w:t>capacity</w:t>
            </w:r>
          </w:p>
          <w:p w:rsidR="0062154E" w:rsidRPr="00D667D5" w:rsidRDefault="0062154E" w:rsidP="000B0E03">
            <w:pPr>
              <w:rPr>
                <w:rFonts w:ascii="Arial" w:hAnsi="Arial" w:cs="Arial"/>
                <w:sz w:val="18"/>
                <w:szCs w:val="18"/>
              </w:rPr>
            </w:pPr>
            <w:r w:rsidRPr="00D667D5">
              <w:rPr>
                <w:rFonts w:ascii="Arial" w:hAnsi="Arial" w:cs="Arial"/>
                <w:sz w:val="18"/>
                <w:szCs w:val="18"/>
              </w:rPr>
              <w:t>Increased detection and reporting of new pests</w:t>
            </w:r>
          </w:p>
          <w:p w:rsidR="0062154E" w:rsidRPr="00D667D5" w:rsidRDefault="0062154E" w:rsidP="000B0E03">
            <w:pPr>
              <w:rPr>
                <w:rFonts w:ascii="Arial" w:hAnsi="Arial" w:cs="Arial"/>
                <w:sz w:val="18"/>
                <w:szCs w:val="18"/>
              </w:rPr>
            </w:pPr>
            <w:r w:rsidRPr="00D667D5">
              <w:rPr>
                <w:rFonts w:ascii="Arial" w:hAnsi="Arial" w:cs="Arial"/>
                <w:sz w:val="18"/>
                <w:szCs w:val="18"/>
              </w:rPr>
              <w:t>Pests detected earlier than before</w:t>
            </w:r>
          </w:p>
        </w:tc>
      </w:tr>
      <w:tr w:rsidR="00EB4743" w:rsidRPr="00D667D5" w:rsidTr="000B0E03">
        <w:tc>
          <w:tcPr>
            <w:tcW w:w="3005" w:type="dxa"/>
          </w:tcPr>
          <w:p w:rsidR="00EB4743" w:rsidRPr="00D667D5" w:rsidRDefault="00E17316" w:rsidP="000B0E03">
            <w:pPr>
              <w:rPr>
                <w:rFonts w:ascii="Arial" w:hAnsi="Arial" w:cs="Arial"/>
                <w:sz w:val="18"/>
                <w:szCs w:val="18"/>
              </w:rPr>
            </w:pPr>
            <w:r w:rsidRPr="00D667D5">
              <w:rPr>
                <w:rFonts w:ascii="Arial" w:hAnsi="Arial" w:cs="Arial"/>
                <w:sz w:val="18"/>
                <w:szCs w:val="18"/>
              </w:rPr>
              <w:lastRenderedPageBreak/>
              <w:t xml:space="preserve">Reporting and response </w:t>
            </w:r>
            <w:r w:rsidR="002676F1" w:rsidRPr="00D667D5">
              <w:rPr>
                <w:rFonts w:ascii="Arial" w:hAnsi="Arial" w:cs="Arial"/>
                <w:sz w:val="18"/>
                <w:szCs w:val="18"/>
              </w:rPr>
              <w:t>capability established and maintained</w:t>
            </w:r>
          </w:p>
        </w:tc>
        <w:tc>
          <w:tcPr>
            <w:tcW w:w="3005" w:type="dxa"/>
          </w:tcPr>
          <w:p w:rsidR="0062154E" w:rsidRPr="00D667D5" w:rsidRDefault="0062154E" w:rsidP="000B0E03">
            <w:pPr>
              <w:rPr>
                <w:rFonts w:ascii="Arial" w:hAnsi="Arial" w:cs="Arial"/>
                <w:sz w:val="18"/>
                <w:szCs w:val="18"/>
              </w:rPr>
            </w:pPr>
            <w:r w:rsidRPr="00D667D5">
              <w:rPr>
                <w:rFonts w:ascii="Arial" w:hAnsi="Arial" w:cs="Arial"/>
                <w:sz w:val="18"/>
                <w:szCs w:val="18"/>
              </w:rPr>
              <w:t>Enabling guidance developed and proven through testing</w:t>
            </w:r>
          </w:p>
          <w:p w:rsidR="00EB4743" w:rsidRPr="00D667D5" w:rsidRDefault="0062154E" w:rsidP="000B0E03">
            <w:pPr>
              <w:rPr>
                <w:rFonts w:ascii="Arial" w:hAnsi="Arial" w:cs="Arial"/>
                <w:sz w:val="18"/>
                <w:szCs w:val="18"/>
              </w:rPr>
            </w:pPr>
            <w:r w:rsidRPr="00D667D5">
              <w:rPr>
                <w:rFonts w:ascii="Arial" w:hAnsi="Arial" w:cs="Arial"/>
                <w:sz w:val="18"/>
                <w:szCs w:val="18"/>
              </w:rPr>
              <w:t>CPs report ability to report and respond</w:t>
            </w:r>
          </w:p>
          <w:p w:rsidR="0062154E" w:rsidRPr="00D667D5" w:rsidRDefault="0062154E" w:rsidP="000B0E03">
            <w:pPr>
              <w:rPr>
                <w:rFonts w:ascii="Arial" w:hAnsi="Arial" w:cs="Arial"/>
                <w:sz w:val="18"/>
                <w:szCs w:val="18"/>
              </w:rPr>
            </w:pPr>
            <w:r w:rsidRPr="00D667D5">
              <w:rPr>
                <w:rFonts w:ascii="Arial" w:hAnsi="Arial" w:cs="Arial"/>
                <w:sz w:val="18"/>
                <w:szCs w:val="18"/>
              </w:rPr>
              <w:t>Earlier and shorter responses occur</w:t>
            </w:r>
          </w:p>
        </w:tc>
        <w:tc>
          <w:tcPr>
            <w:tcW w:w="3006" w:type="dxa"/>
          </w:tcPr>
          <w:p w:rsidR="0062154E" w:rsidRPr="00D667D5" w:rsidRDefault="0062154E" w:rsidP="0062154E">
            <w:pPr>
              <w:rPr>
                <w:rFonts w:ascii="Arial" w:hAnsi="Arial" w:cs="Arial"/>
                <w:sz w:val="18"/>
                <w:szCs w:val="18"/>
              </w:rPr>
            </w:pPr>
            <w:r w:rsidRPr="00D667D5">
              <w:rPr>
                <w:rFonts w:ascii="Arial" w:hAnsi="Arial" w:cs="Arial"/>
                <w:sz w:val="18"/>
                <w:szCs w:val="18"/>
              </w:rPr>
              <w:t>PCE assessments of reporting and response capacity</w:t>
            </w:r>
          </w:p>
          <w:p w:rsidR="00EB4743" w:rsidRPr="00D667D5" w:rsidRDefault="0062154E" w:rsidP="000B0E03">
            <w:pPr>
              <w:rPr>
                <w:rFonts w:ascii="Arial" w:hAnsi="Arial" w:cs="Arial"/>
                <w:sz w:val="18"/>
                <w:szCs w:val="18"/>
              </w:rPr>
            </w:pPr>
            <w:r w:rsidRPr="00D667D5">
              <w:rPr>
                <w:rFonts w:ascii="Arial" w:hAnsi="Arial" w:cs="Arial"/>
                <w:sz w:val="18"/>
                <w:szCs w:val="18"/>
              </w:rPr>
              <w:t>Number of new pests reported</w:t>
            </w:r>
          </w:p>
          <w:p w:rsidR="0062154E" w:rsidRPr="00D667D5" w:rsidRDefault="0062154E" w:rsidP="000B0E03">
            <w:pPr>
              <w:rPr>
                <w:rFonts w:ascii="Arial" w:hAnsi="Arial" w:cs="Arial"/>
                <w:sz w:val="18"/>
                <w:szCs w:val="18"/>
              </w:rPr>
            </w:pPr>
            <w:r w:rsidRPr="00D667D5">
              <w:rPr>
                <w:rFonts w:ascii="Arial" w:hAnsi="Arial" w:cs="Arial"/>
                <w:sz w:val="18"/>
                <w:szCs w:val="18"/>
              </w:rPr>
              <w:t>Average time to initiating a response</w:t>
            </w:r>
          </w:p>
          <w:p w:rsidR="0062154E" w:rsidRPr="00D667D5" w:rsidRDefault="0062154E" w:rsidP="000B0E03">
            <w:pPr>
              <w:rPr>
                <w:rFonts w:ascii="Arial" w:hAnsi="Arial" w:cs="Arial"/>
                <w:sz w:val="18"/>
                <w:szCs w:val="18"/>
              </w:rPr>
            </w:pPr>
            <w:r w:rsidRPr="00D667D5">
              <w:rPr>
                <w:rFonts w:ascii="Arial" w:hAnsi="Arial" w:cs="Arial"/>
                <w:sz w:val="18"/>
                <w:szCs w:val="18"/>
              </w:rPr>
              <w:t>Length and cost of responses – average over time</w:t>
            </w:r>
          </w:p>
          <w:p w:rsidR="0062154E" w:rsidRPr="00D667D5" w:rsidRDefault="0062154E" w:rsidP="000B0E03">
            <w:pPr>
              <w:rPr>
                <w:rFonts w:ascii="Arial" w:hAnsi="Arial" w:cs="Arial"/>
                <w:sz w:val="18"/>
                <w:szCs w:val="18"/>
              </w:rPr>
            </w:pPr>
            <w:r w:rsidRPr="00D667D5">
              <w:rPr>
                <w:rFonts w:ascii="Arial" w:hAnsi="Arial" w:cs="Arial"/>
                <w:sz w:val="18"/>
                <w:szCs w:val="18"/>
              </w:rPr>
              <w:t>Cost impact of new pests reduced</w:t>
            </w:r>
          </w:p>
          <w:p w:rsidR="0062154E" w:rsidRPr="00D667D5" w:rsidRDefault="0062154E" w:rsidP="000B0E03">
            <w:pPr>
              <w:rPr>
                <w:rFonts w:ascii="Arial" w:hAnsi="Arial" w:cs="Arial"/>
                <w:sz w:val="18"/>
                <w:szCs w:val="18"/>
              </w:rPr>
            </w:pPr>
            <w:r w:rsidRPr="00D667D5">
              <w:rPr>
                <w:rFonts w:ascii="Arial" w:hAnsi="Arial" w:cs="Arial"/>
                <w:sz w:val="18"/>
                <w:szCs w:val="18"/>
              </w:rPr>
              <w:t>Successful eradications increase over time</w:t>
            </w:r>
          </w:p>
        </w:tc>
      </w:tr>
      <w:tr w:rsidR="00EB4743" w:rsidRPr="00D667D5" w:rsidTr="000B0E03">
        <w:tc>
          <w:tcPr>
            <w:tcW w:w="3005" w:type="dxa"/>
          </w:tcPr>
          <w:p w:rsidR="00EB4743" w:rsidRPr="00D667D5" w:rsidRDefault="0024443D" w:rsidP="000B0E03">
            <w:pPr>
              <w:rPr>
                <w:rFonts w:ascii="Arial" w:hAnsi="Arial" w:cs="Arial"/>
                <w:sz w:val="18"/>
                <w:szCs w:val="18"/>
              </w:rPr>
            </w:pPr>
            <w:r w:rsidRPr="00D667D5">
              <w:rPr>
                <w:rFonts w:ascii="Arial" w:hAnsi="Arial" w:cs="Arial"/>
                <w:sz w:val="18"/>
                <w:szCs w:val="18"/>
              </w:rPr>
              <w:t>IPPC phytosanitary</w:t>
            </w:r>
            <w:r w:rsidR="008560B2" w:rsidRPr="00D667D5">
              <w:rPr>
                <w:rFonts w:ascii="Arial" w:hAnsi="Arial" w:cs="Arial"/>
                <w:sz w:val="18"/>
                <w:szCs w:val="18"/>
              </w:rPr>
              <w:t xml:space="preserve"> emergen</w:t>
            </w:r>
            <w:r w:rsidR="006530E0" w:rsidRPr="00D667D5">
              <w:rPr>
                <w:rFonts w:ascii="Arial" w:hAnsi="Arial" w:cs="Arial"/>
                <w:sz w:val="18"/>
                <w:szCs w:val="18"/>
              </w:rPr>
              <w:t>cy response system established and used</w:t>
            </w:r>
          </w:p>
        </w:tc>
        <w:tc>
          <w:tcPr>
            <w:tcW w:w="3005" w:type="dxa"/>
          </w:tcPr>
          <w:p w:rsidR="00EB4743" w:rsidRPr="00D667D5" w:rsidRDefault="0062154E" w:rsidP="000B0E03">
            <w:pPr>
              <w:rPr>
                <w:rFonts w:ascii="Arial" w:hAnsi="Arial" w:cs="Arial"/>
                <w:sz w:val="18"/>
                <w:szCs w:val="18"/>
              </w:rPr>
            </w:pPr>
            <w:r w:rsidRPr="00D667D5">
              <w:rPr>
                <w:rFonts w:ascii="Arial" w:hAnsi="Arial" w:cs="Arial"/>
                <w:sz w:val="18"/>
                <w:szCs w:val="18"/>
              </w:rPr>
              <w:t>System in place</w:t>
            </w:r>
          </w:p>
          <w:p w:rsidR="0062154E" w:rsidRPr="00D667D5" w:rsidRDefault="0062154E" w:rsidP="000B0E03">
            <w:pPr>
              <w:rPr>
                <w:rFonts w:ascii="Arial" w:hAnsi="Arial" w:cs="Arial"/>
                <w:sz w:val="18"/>
                <w:szCs w:val="18"/>
              </w:rPr>
            </w:pPr>
            <w:r w:rsidRPr="00D667D5">
              <w:rPr>
                <w:rFonts w:ascii="Arial" w:hAnsi="Arial" w:cs="Arial"/>
                <w:sz w:val="18"/>
                <w:szCs w:val="18"/>
              </w:rPr>
              <w:t>Fit for purpose and working effectively</w:t>
            </w:r>
          </w:p>
        </w:tc>
        <w:tc>
          <w:tcPr>
            <w:tcW w:w="3006" w:type="dxa"/>
          </w:tcPr>
          <w:p w:rsidR="00EB4743" w:rsidRPr="00D667D5" w:rsidRDefault="0062154E" w:rsidP="000B0E03">
            <w:pPr>
              <w:rPr>
                <w:rFonts w:ascii="Arial" w:hAnsi="Arial" w:cs="Arial"/>
                <w:sz w:val="18"/>
                <w:szCs w:val="18"/>
              </w:rPr>
            </w:pPr>
            <w:r w:rsidRPr="00D667D5">
              <w:rPr>
                <w:rFonts w:ascii="Arial" w:hAnsi="Arial" w:cs="Arial"/>
                <w:sz w:val="18"/>
                <w:szCs w:val="18"/>
              </w:rPr>
              <w:t>CPs aware of the system</w:t>
            </w:r>
          </w:p>
          <w:p w:rsidR="0062154E" w:rsidRPr="00D667D5" w:rsidRDefault="0062154E" w:rsidP="000B0E03">
            <w:pPr>
              <w:rPr>
                <w:rFonts w:ascii="Arial" w:hAnsi="Arial" w:cs="Arial"/>
                <w:sz w:val="18"/>
                <w:szCs w:val="18"/>
              </w:rPr>
            </w:pPr>
            <w:r w:rsidRPr="00D667D5">
              <w:rPr>
                <w:rFonts w:ascii="Arial" w:hAnsi="Arial" w:cs="Arial"/>
                <w:sz w:val="18"/>
                <w:szCs w:val="18"/>
              </w:rPr>
              <w:t>Alerts integrated into intelligence systems</w:t>
            </w:r>
          </w:p>
          <w:p w:rsidR="0062154E" w:rsidRPr="00D667D5" w:rsidRDefault="0062154E" w:rsidP="0062154E">
            <w:pPr>
              <w:rPr>
                <w:rFonts w:ascii="Arial" w:hAnsi="Arial" w:cs="Arial"/>
                <w:sz w:val="18"/>
                <w:szCs w:val="18"/>
              </w:rPr>
            </w:pPr>
            <w:r w:rsidRPr="00D667D5">
              <w:rPr>
                <w:rFonts w:ascii="Arial" w:hAnsi="Arial" w:cs="Arial"/>
                <w:sz w:val="18"/>
                <w:szCs w:val="18"/>
              </w:rPr>
              <w:t>Resources generated through the system are received and used</w:t>
            </w:r>
          </w:p>
          <w:p w:rsidR="0062154E" w:rsidRPr="00D667D5" w:rsidRDefault="0062154E" w:rsidP="0062154E">
            <w:pPr>
              <w:rPr>
                <w:rFonts w:ascii="Arial" w:hAnsi="Arial" w:cs="Arial"/>
                <w:sz w:val="18"/>
                <w:szCs w:val="18"/>
              </w:rPr>
            </w:pPr>
            <w:r w:rsidRPr="00D667D5">
              <w:rPr>
                <w:rFonts w:ascii="Arial" w:hAnsi="Arial" w:cs="Arial"/>
                <w:sz w:val="18"/>
                <w:szCs w:val="18"/>
              </w:rPr>
              <w:t>CPs contribute resources and material through the system</w:t>
            </w:r>
          </w:p>
        </w:tc>
      </w:tr>
      <w:tr w:rsidR="00EB4743" w:rsidRPr="00D667D5" w:rsidTr="000B0E03">
        <w:tc>
          <w:tcPr>
            <w:tcW w:w="3005" w:type="dxa"/>
          </w:tcPr>
          <w:p w:rsidR="00EB4743" w:rsidRPr="00D667D5" w:rsidRDefault="006835BB" w:rsidP="000B0E03">
            <w:pPr>
              <w:rPr>
                <w:rFonts w:ascii="Arial" w:hAnsi="Arial" w:cs="Arial"/>
                <w:sz w:val="18"/>
                <w:szCs w:val="18"/>
              </w:rPr>
            </w:pPr>
            <w:r w:rsidRPr="00D667D5">
              <w:rPr>
                <w:rFonts w:ascii="Arial" w:hAnsi="Arial" w:cs="Arial"/>
                <w:sz w:val="18"/>
                <w:szCs w:val="18"/>
              </w:rPr>
              <w:t>Systems approaches are implemented for sustainable production systems</w:t>
            </w:r>
          </w:p>
        </w:tc>
        <w:tc>
          <w:tcPr>
            <w:tcW w:w="3005" w:type="dxa"/>
          </w:tcPr>
          <w:p w:rsidR="00EB4743" w:rsidRPr="00D667D5" w:rsidRDefault="0062154E" w:rsidP="000B0E03">
            <w:pPr>
              <w:rPr>
                <w:rFonts w:ascii="Arial" w:hAnsi="Arial" w:cs="Arial"/>
                <w:sz w:val="18"/>
                <w:szCs w:val="18"/>
              </w:rPr>
            </w:pPr>
            <w:r w:rsidRPr="00D667D5">
              <w:rPr>
                <w:rFonts w:ascii="Arial" w:hAnsi="Arial" w:cs="Arial"/>
                <w:sz w:val="18"/>
                <w:szCs w:val="18"/>
              </w:rPr>
              <w:t>Import and export pathways are documented as systems</w:t>
            </w:r>
          </w:p>
          <w:p w:rsidR="0062154E" w:rsidRPr="00D667D5" w:rsidRDefault="0062154E" w:rsidP="000B0E03">
            <w:pPr>
              <w:rPr>
                <w:rFonts w:ascii="Arial" w:hAnsi="Arial" w:cs="Arial"/>
                <w:sz w:val="18"/>
                <w:szCs w:val="18"/>
              </w:rPr>
            </w:pPr>
            <w:r w:rsidRPr="00D667D5">
              <w:rPr>
                <w:rFonts w:ascii="Arial" w:hAnsi="Arial" w:cs="Arial"/>
                <w:sz w:val="18"/>
                <w:szCs w:val="18"/>
              </w:rPr>
              <w:t>Critical control points are applied</w:t>
            </w:r>
          </w:p>
          <w:p w:rsidR="0062154E" w:rsidRPr="00D667D5" w:rsidRDefault="00C43D8D" w:rsidP="000B0E03">
            <w:pPr>
              <w:rPr>
                <w:rFonts w:ascii="Arial" w:hAnsi="Arial" w:cs="Arial"/>
                <w:sz w:val="18"/>
                <w:szCs w:val="18"/>
              </w:rPr>
            </w:pPr>
            <w:r w:rsidRPr="00D667D5">
              <w:rPr>
                <w:rFonts w:ascii="Arial" w:hAnsi="Arial" w:cs="Arial"/>
                <w:sz w:val="18"/>
                <w:szCs w:val="18"/>
              </w:rPr>
              <w:t>Validation and verification processes confirm the efficacy of systems approaches</w:t>
            </w:r>
          </w:p>
          <w:p w:rsidR="00C43D8D" w:rsidRPr="00D667D5" w:rsidRDefault="00C43D8D" w:rsidP="000B0E03">
            <w:pPr>
              <w:rPr>
                <w:rFonts w:ascii="Arial" w:hAnsi="Arial" w:cs="Arial"/>
                <w:sz w:val="18"/>
                <w:szCs w:val="18"/>
              </w:rPr>
            </w:pPr>
            <w:r w:rsidRPr="00D667D5">
              <w:rPr>
                <w:rFonts w:ascii="Arial" w:hAnsi="Arial" w:cs="Arial"/>
                <w:sz w:val="18"/>
                <w:szCs w:val="18"/>
              </w:rPr>
              <w:t>Information is shared to assist other CPs implement and approve systems approaches</w:t>
            </w:r>
          </w:p>
        </w:tc>
        <w:tc>
          <w:tcPr>
            <w:tcW w:w="3006" w:type="dxa"/>
          </w:tcPr>
          <w:p w:rsidR="00EB4743" w:rsidRPr="00D667D5" w:rsidRDefault="00C43D8D" w:rsidP="000B0E03">
            <w:pPr>
              <w:rPr>
                <w:rFonts w:ascii="Arial" w:hAnsi="Arial" w:cs="Arial"/>
                <w:sz w:val="18"/>
                <w:szCs w:val="18"/>
              </w:rPr>
            </w:pPr>
            <w:r w:rsidRPr="00D667D5">
              <w:rPr>
                <w:rFonts w:ascii="Arial" w:hAnsi="Arial" w:cs="Arial"/>
                <w:sz w:val="18"/>
                <w:szCs w:val="18"/>
              </w:rPr>
              <w:t>Number of systems approaches approved and operating in trade</w:t>
            </w:r>
          </w:p>
          <w:p w:rsidR="00C43D8D" w:rsidRPr="00D667D5" w:rsidRDefault="00C43D8D" w:rsidP="000B0E03">
            <w:pPr>
              <w:rPr>
                <w:rFonts w:ascii="Arial" w:hAnsi="Arial" w:cs="Arial"/>
                <w:sz w:val="18"/>
                <w:szCs w:val="18"/>
              </w:rPr>
            </w:pPr>
            <w:r w:rsidRPr="00D667D5">
              <w:rPr>
                <w:rFonts w:ascii="Arial" w:hAnsi="Arial" w:cs="Arial"/>
                <w:sz w:val="18"/>
                <w:szCs w:val="18"/>
              </w:rPr>
              <w:t>Efficacy and impact assessments collated and analysed</w:t>
            </w:r>
          </w:p>
          <w:p w:rsidR="00C43D8D" w:rsidRPr="00D667D5" w:rsidRDefault="00C43D8D" w:rsidP="000B0E03">
            <w:pPr>
              <w:rPr>
                <w:rFonts w:ascii="Arial" w:hAnsi="Arial" w:cs="Arial"/>
                <w:sz w:val="18"/>
                <w:szCs w:val="18"/>
              </w:rPr>
            </w:pPr>
            <w:r w:rsidRPr="00D667D5">
              <w:rPr>
                <w:rFonts w:ascii="Arial" w:hAnsi="Arial" w:cs="Arial"/>
                <w:sz w:val="18"/>
                <w:szCs w:val="18"/>
              </w:rPr>
              <w:t>SWOT analysis completed</w:t>
            </w:r>
          </w:p>
          <w:p w:rsidR="00C43D8D" w:rsidRPr="00D667D5" w:rsidRDefault="004F4738" w:rsidP="000B0E03">
            <w:pPr>
              <w:rPr>
                <w:rFonts w:ascii="Arial" w:hAnsi="Arial" w:cs="Arial"/>
                <w:sz w:val="18"/>
                <w:szCs w:val="18"/>
              </w:rPr>
            </w:pPr>
            <w:r w:rsidRPr="00D667D5">
              <w:rPr>
                <w:rFonts w:ascii="Arial" w:hAnsi="Arial" w:cs="Arial"/>
                <w:sz w:val="18"/>
                <w:szCs w:val="18"/>
              </w:rPr>
              <w:t>Website analytics</w:t>
            </w:r>
          </w:p>
        </w:tc>
      </w:tr>
    </w:tbl>
    <w:p w:rsidR="00E51EC8" w:rsidRDefault="00E51EC8" w:rsidP="00E51EC8">
      <w:pPr>
        <w:rPr>
          <w:color w:val="AEAAAA" w:themeColor="background2" w:themeShade="BF"/>
        </w:rPr>
      </w:pPr>
    </w:p>
    <w:p w:rsidR="00E51EC8" w:rsidRPr="00C43CFF" w:rsidRDefault="008878D6" w:rsidP="00E51EC8">
      <w:pPr>
        <w:pStyle w:val="Heading2"/>
      </w:pPr>
      <w:bookmarkStart w:id="6" w:name="_Toc519604983"/>
      <w:r w:rsidRPr="00C43CFF">
        <w:t>B</w:t>
      </w:r>
      <w:r w:rsidR="00E51EC8" w:rsidRPr="00C43CFF">
        <w:t xml:space="preserve">. Protect </w:t>
      </w:r>
      <w:r w:rsidRPr="00C43CFF">
        <w:t xml:space="preserve">Forests and </w:t>
      </w:r>
      <w:r w:rsidR="00E51EC8" w:rsidRPr="00C43CFF">
        <w:t>the Environment from the Impacts of Plant Pests</w:t>
      </w:r>
      <w:bookmarkEnd w:id="6"/>
      <w:r w:rsidR="00E51EC8" w:rsidRPr="00C43CFF">
        <w:t xml:space="preserve"> </w:t>
      </w:r>
    </w:p>
    <w:p w:rsidR="00E51EC8" w:rsidRDefault="00D22B11" w:rsidP="00E51EC8">
      <w:r>
        <w:t>In</w:t>
      </w:r>
      <w:r w:rsidR="00E51EC8" w:rsidRPr="00CE78E5">
        <w:t xml:space="preserve">vasive </w:t>
      </w:r>
      <w:r>
        <w:t xml:space="preserve">alien species can </w:t>
      </w:r>
      <w:r w:rsidR="006F6B00">
        <w:t xml:space="preserve">have a significant and permanent impact on </w:t>
      </w:r>
      <w:r w:rsidR="00E51EC8">
        <w:t>terrestrial,</w:t>
      </w:r>
      <w:r w:rsidR="00E51EC8" w:rsidRPr="00CE78E5">
        <w:t xml:space="preserve"> marine and freshwater environments, agriculture and forests. </w:t>
      </w:r>
      <w:r w:rsidR="00E51EC8">
        <w:t xml:space="preserve"> C</w:t>
      </w:r>
      <w:r w:rsidR="00E51EC8" w:rsidRPr="009558FB">
        <w:t xml:space="preserve">ontinuing concern with climate change and protecting </w:t>
      </w:r>
      <w:r w:rsidR="00C247C8">
        <w:t xml:space="preserve">forests and </w:t>
      </w:r>
      <w:r w:rsidR="00E51EC8" w:rsidRPr="009558FB">
        <w:t xml:space="preserve">the environment compels the </w:t>
      </w:r>
      <w:r w:rsidR="00E51EC8">
        <w:t>Commission</w:t>
      </w:r>
      <w:r w:rsidR="00C247C8">
        <w:t>, RPPOs</w:t>
      </w:r>
      <w:r w:rsidR="00E51EC8" w:rsidRPr="009558FB">
        <w:t xml:space="preserve"> and </w:t>
      </w:r>
      <w:r w:rsidR="00C247C8">
        <w:t>contracting partie</w:t>
      </w:r>
      <w:r w:rsidR="00E51EC8">
        <w:t>s to be</w:t>
      </w:r>
      <w:r w:rsidR="00E51EC8" w:rsidRPr="009558FB">
        <w:t xml:space="preserve"> aware of the potential </w:t>
      </w:r>
      <w:r w:rsidR="00E51EC8">
        <w:t xml:space="preserve">for pest distribution and impacts to </w:t>
      </w:r>
      <w:r w:rsidR="00E51EC8" w:rsidRPr="009558FB">
        <w:t>chang</w:t>
      </w:r>
      <w:r w:rsidR="00E51EC8">
        <w:t>e</w:t>
      </w:r>
      <w:r w:rsidR="00E51EC8" w:rsidRPr="009558FB">
        <w:t xml:space="preserve"> with the changing climate. </w:t>
      </w:r>
    </w:p>
    <w:p w:rsidR="00E51EC8" w:rsidRDefault="00E51EC8" w:rsidP="00E51EC8">
      <w:r w:rsidRPr="00BB16CD">
        <w:t xml:space="preserve">The IPPC standards and the IPPC framework are applied to address environmental concerns as they relate to plant biodiversity and emerging problems associated with invasive alien species that are plant pests. </w:t>
      </w:r>
      <w:r>
        <w:t>As climates modify, environmental ranges will change and pest impacts have the potential to increase significantly.</w:t>
      </w:r>
    </w:p>
    <w:p w:rsidR="00E51EC8" w:rsidRPr="00786B7A" w:rsidRDefault="00E51EC8" w:rsidP="00E51EC8">
      <w:r>
        <w:t xml:space="preserve">Importantly the IPPC has recognised the need to protect environments from plant pests in ways that don’t themselves have negative environmental impacts.  Acceptance of </w:t>
      </w:r>
      <w:r w:rsidR="003D6464">
        <w:t xml:space="preserve">sustainable </w:t>
      </w:r>
      <w:r>
        <w:t xml:space="preserve">pest management </w:t>
      </w:r>
      <w:r w:rsidR="003D6464">
        <w:t xml:space="preserve">practises, </w:t>
      </w:r>
      <w:r>
        <w:t xml:space="preserve">such as </w:t>
      </w:r>
      <w:r w:rsidR="003D6464">
        <w:t xml:space="preserve">systems approaches and </w:t>
      </w:r>
      <w:r>
        <w:t>integrated pest management is reducing reliance on end-point chemical treatments.  The prevention of pest spread also significantly reduces the need to use harmful chemicals in the environment.</w:t>
      </w:r>
    </w:p>
    <w:p w:rsidR="00E51EC8" w:rsidRPr="00BB16CD" w:rsidRDefault="00E51EC8" w:rsidP="00E51EC8">
      <w:r>
        <w:t xml:space="preserve">The IPPC engages with biodiversity and environment related conventions, international collaborations, and capacity development arrangements such as </w:t>
      </w:r>
      <w:r w:rsidRPr="00CB4814">
        <w:t>the Convention on Biodiversity</w:t>
      </w:r>
      <w:r w:rsidR="00D1755E">
        <w:t xml:space="preserve"> (CBD)</w:t>
      </w:r>
      <w:r>
        <w:t>,</w:t>
      </w:r>
      <w:r w:rsidRPr="00CB4814">
        <w:t xml:space="preserve"> </w:t>
      </w:r>
      <w:r>
        <w:t xml:space="preserve">the Global Environmental Facility and the Green Climate Fund. </w:t>
      </w:r>
      <w:r w:rsidRPr="00CE78E5">
        <w:t xml:space="preserve">Whereas the </w:t>
      </w:r>
      <w:r w:rsidR="00D1755E">
        <w:t xml:space="preserve">CBD </w:t>
      </w:r>
      <w:r w:rsidRPr="00CE78E5">
        <w:t>addresses biodiversity and the environment in general, the IPPC deal specifically with those invasive alien species that are pests of plants</w:t>
      </w:r>
      <w:r>
        <w:t>,</w:t>
      </w:r>
      <w:r w:rsidRPr="00CE78E5">
        <w:t xml:space="preserve"> and establishes standards and provides guidance for protection against them. </w:t>
      </w:r>
      <w:r w:rsidRPr="00BB16CD">
        <w:t xml:space="preserve">Many </w:t>
      </w:r>
      <w:r w:rsidR="000708DB">
        <w:t>International Standards for Phytosanitary Measures (</w:t>
      </w:r>
      <w:r w:rsidRPr="00BB16CD">
        <w:t>ISPMs</w:t>
      </w:r>
      <w:r w:rsidR="000708DB">
        <w:t>) developed by the IPPC</w:t>
      </w:r>
      <w:r w:rsidRPr="00BB16CD">
        <w:t xml:space="preserve"> have elements directed to </w:t>
      </w:r>
      <w:r w:rsidRPr="00BB16CD">
        <w:lastRenderedPageBreak/>
        <w:t>protection of biodiversity</w:t>
      </w:r>
      <w:r>
        <w:t>.</w:t>
      </w:r>
      <w:r w:rsidRPr="00BB16CD">
        <w:t xml:space="preserve"> The </w:t>
      </w:r>
      <w:r w:rsidR="000708DB">
        <w:t>ISPMs</w:t>
      </w:r>
      <w:r w:rsidRPr="00BB16CD">
        <w:t xml:space="preserve"> on pest risk analysis, for example, can be essential and important tools for the assessment of environmental pest risks.</w:t>
      </w:r>
      <w:r>
        <w:t xml:space="preserve"> </w:t>
      </w:r>
      <w:r w:rsidRPr="00BB16CD">
        <w:t xml:space="preserve"> </w:t>
      </w:r>
      <w:r>
        <w:t>T</w:t>
      </w:r>
      <w:r w:rsidRPr="00BB16CD">
        <w:t xml:space="preserve">he standard concerning the treatment of wood packaging material is aimed at risk </w:t>
      </w:r>
      <w:r>
        <w:t>management</w:t>
      </w:r>
      <w:r w:rsidRPr="00BB16CD">
        <w:t xml:space="preserve"> of tree </w:t>
      </w:r>
      <w:r>
        <w:t xml:space="preserve">and wood </w:t>
      </w:r>
      <w:r w:rsidRPr="00BB16CD">
        <w:t xml:space="preserve">pests that can affect biodiversity or commercial forests. </w:t>
      </w:r>
    </w:p>
    <w:p w:rsidR="00E51EC8" w:rsidRDefault="00E51EC8" w:rsidP="00E51EC8">
      <w:r w:rsidRPr="00BB16CD">
        <w:t xml:space="preserve">The IPPC </w:t>
      </w:r>
      <w:r>
        <w:t>has and continues to progress</w:t>
      </w:r>
      <w:r w:rsidRPr="00BB16CD">
        <w:t xml:space="preserve"> the development</w:t>
      </w:r>
      <w:r>
        <w:t xml:space="preserve"> of a number of other standards, guidance and recommendations </w:t>
      </w:r>
      <w:r w:rsidRPr="00BB16CD">
        <w:t xml:space="preserve">dealing with the potential movement of invasive alien species important to the protection of biodiversity. </w:t>
      </w:r>
      <w:r w:rsidRPr="00642339">
        <w:t>These deal with invasive aquatic plants, minimizing pest movement by sea containers and air containers, and reducing the pest risk from waste material from ships.</w:t>
      </w:r>
      <w:r w:rsidRPr="00BB16CD">
        <w:t xml:space="preserve"> </w:t>
      </w:r>
    </w:p>
    <w:p w:rsidR="00E51EC8" w:rsidRDefault="00E51EC8" w:rsidP="00E51EC8">
      <w:r>
        <w:t>The IPPC also makes accessible a wide range of resources for environmental agencies to take action against plant pests with environmental and biodiversity impacts.</w:t>
      </w:r>
    </w:p>
    <w:p w:rsidR="00E51EC8" w:rsidRPr="00626062" w:rsidRDefault="00E51EC8" w:rsidP="00E51EC8">
      <w:pPr>
        <w:pStyle w:val="Heading3"/>
        <w:rPr>
          <w:b w:val="0"/>
        </w:rPr>
      </w:pPr>
      <w:r w:rsidRPr="00626062">
        <w:t>2030 Key Result Areas</w:t>
      </w:r>
    </w:p>
    <w:p w:rsidR="00E51EC8" w:rsidRPr="00D667D5" w:rsidRDefault="00EC2BB2" w:rsidP="000708DB">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B1:</w:t>
      </w:r>
      <w:r w:rsidR="000708DB" w:rsidRPr="00D667D5">
        <w:rPr>
          <w:rFonts w:ascii="Times New Roman" w:hAnsi="Times New Roman" w:cs="Times New Roman"/>
          <w:sz w:val="22"/>
          <w:szCs w:val="22"/>
        </w:rPr>
        <w:tab/>
      </w:r>
      <w:r w:rsidRPr="00D667D5">
        <w:rPr>
          <w:rFonts w:ascii="Times New Roman" w:hAnsi="Times New Roman" w:cs="Times New Roman"/>
          <w:sz w:val="22"/>
          <w:szCs w:val="22"/>
        </w:rPr>
        <w:t xml:space="preserve">Contracting parties </w:t>
      </w:r>
      <w:r w:rsidR="00E51EC8" w:rsidRPr="00D667D5">
        <w:rPr>
          <w:rFonts w:ascii="Times New Roman" w:hAnsi="Times New Roman" w:cs="Times New Roman"/>
          <w:sz w:val="22"/>
          <w:szCs w:val="22"/>
        </w:rPr>
        <w:t>recognise management of environmental plant pests as part of their responsibilities and work with national environmental sector agencies to support pest management programmes aimed at environmental protection.</w:t>
      </w:r>
    </w:p>
    <w:p w:rsidR="00E51EC8" w:rsidRPr="00D667D5" w:rsidRDefault="00C247C8" w:rsidP="000708DB">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B</w:t>
      </w:r>
      <w:r w:rsidR="00E51EC8" w:rsidRPr="00D667D5">
        <w:rPr>
          <w:rFonts w:ascii="Times New Roman" w:hAnsi="Times New Roman" w:cs="Times New Roman"/>
          <w:sz w:val="22"/>
          <w:szCs w:val="22"/>
        </w:rPr>
        <w:t>2:</w:t>
      </w:r>
      <w:r w:rsidR="000708DB" w:rsidRPr="00D667D5">
        <w:rPr>
          <w:rFonts w:ascii="Times New Roman" w:hAnsi="Times New Roman" w:cs="Times New Roman"/>
          <w:sz w:val="22"/>
          <w:szCs w:val="22"/>
        </w:rPr>
        <w:tab/>
      </w:r>
      <w:r w:rsidRPr="00D667D5">
        <w:rPr>
          <w:rFonts w:ascii="Times New Roman" w:hAnsi="Times New Roman" w:cs="Times New Roman"/>
          <w:sz w:val="22"/>
          <w:szCs w:val="22"/>
        </w:rPr>
        <w:t>Contracting parties</w:t>
      </w:r>
      <w:r w:rsidR="00E51EC8" w:rsidRPr="00D667D5">
        <w:rPr>
          <w:rFonts w:ascii="Times New Roman" w:hAnsi="Times New Roman" w:cs="Times New Roman"/>
          <w:sz w:val="22"/>
          <w:szCs w:val="22"/>
        </w:rPr>
        <w:t xml:space="preserve"> have mechanisms in place to control the spread of environmental contaminant pests on non-plant trade pathways, e.g. invasive ants on vehicles and machinery, or gypsy moth egg masses on sea containers and vessels.</w:t>
      </w:r>
    </w:p>
    <w:p w:rsidR="00E51EC8" w:rsidRPr="00D667D5" w:rsidRDefault="00C247C8" w:rsidP="000708DB">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B</w:t>
      </w:r>
      <w:r w:rsidR="00E51EC8" w:rsidRPr="00D667D5">
        <w:rPr>
          <w:rFonts w:ascii="Times New Roman" w:hAnsi="Times New Roman" w:cs="Times New Roman"/>
          <w:sz w:val="22"/>
          <w:szCs w:val="22"/>
        </w:rPr>
        <w:t>3:</w:t>
      </w:r>
      <w:r w:rsidR="000708DB" w:rsidRPr="00D667D5">
        <w:rPr>
          <w:rFonts w:ascii="Times New Roman" w:hAnsi="Times New Roman" w:cs="Times New Roman"/>
          <w:sz w:val="22"/>
          <w:szCs w:val="22"/>
        </w:rPr>
        <w:tab/>
      </w:r>
      <w:r w:rsidR="00E51EC8" w:rsidRPr="00D667D5">
        <w:rPr>
          <w:rFonts w:ascii="Times New Roman" w:hAnsi="Times New Roman" w:cs="Times New Roman"/>
          <w:sz w:val="22"/>
          <w:szCs w:val="22"/>
        </w:rPr>
        <w:t>Mechanisms are in place to share adaptation strategies for responding to the impacts of climate change.</w:t>
      </w:r>
    </w:p>
    <w:p w:rsidR="00E51EC8" w:rsidRPr="00D667D5" w:rsidRDefault="00C247C8" w:rsidP="000708DB">
      <w:pPr>
        <w:pStyle w:val="ListParagraph"/>
        <w:ind w:left="1447" w:hanging="567"/>
        <w:rPr>
          <w:rFonts w:ascii="Times New Roman" w:hAnsi="Times New Roman" w:cs="Times New Roman"/>
          <w:sz w:val="22"/>
          <w:szCs w:val="22"/>
        </w:rPr>
      </w:pPr>
      <w:r w:rsidRPr="00D667D5">
        <w:rPr>
          <w:rFonts w:ascii="Times New Roman" w:hAnsi="Times New Roman" w:cs="Times New Roman"/>
          <w:sz w:val="22"/>
          <w:szCs w:val="22"/>
        </w:rPr>
        <w:t>B</w:t>
      </w:r>
      <w:r w:rsidR="00E51EC8" w:rsidRPr="00D667D5">
        <w:rPr>
          <w:rFonts w:ascii="Times New Roman" w:hAnsi="Times New Roman" w:cs="Times New Roman"/>
          <w:sz w:val="22"/>
          <w:szCs w:val="22"/>
        </w:rPr>
        <w:t>4:</w:t>
      </w:r>
      <w:r w:rsidR="000708DB" w:rsidRPr="00D667D5">
        <w:rPr>
          <w:rFonts w:ascii="Times New Roman" w:hAnsi="Times New Roman" w:cs="Times New Roman"/>
          <w:sz w:val="22"/>
          <w:szCs w:val="22"/>
        </w:rPr>
        <w:tab/>
      </w:r>
      <w:r w:rsidR="00E51EC8" w:rsidRPr="00D667D5">
        <w:rPr>
          <w:rFonts w:ascii="Times New Roman" w:hAnsi="Times New Roman" w:cs="Times New Roman"/>
          <w:sz w:val="22"/>
          <w:szCs w:val="22"/>
        </w:rPr>
        <w:t>Agencies with environmental and natural forest stewardship responsibilities regularly access information and other resources managed by the IPPC Secretariat.</w:t>
      </w:r>
    </w:p>
    <w:p w:rsidR="00513CB7" w:rsidRPr="0058686D" w:rsidRDefault="00513CB7" w:rsidP="00E51EC8">
      <w:pPr>
        <w:pStyle w:val="ListParagraph"/>
        <w:ind w:left="880"/>
        <w:rPr>
          <w:color w:val="AEAAAA" w:themeColor="background2" w:themeShade="BF"/>
        </w:rPr>
      </w:pPr>
    </w:p>
    <w:tbl>
      <w:tblPr>
        <w:tblStyle w:val="TableGrid"/>
        <w:tblW w:w="0" w:type="auto"/>
        <w:tblLook w:val="04A0" w:firstRow="1" w:lastRow="0" w:firstColumn="1" w:lastColumn="0" w:noHBand="0" w:noVBand="1"/>
      </w:tblPr>
      <w:tblGrid>
        <w:gridCol w:w="3005"/>
        <w:gridCol w:w="3005"/>
        <w:gridCol w:w="3006"/>
      </w:tblGrid>
      <w:tr w:rsidR="004E3A5F" w:rsidRPr="00D667D5" w:rsidTr="003B580E">
        <w:trPr>
          <w:tblHeader/>
        </w:trPr>
        <w:tc>
          <w:tcPr>
            <w:tcW w:w="3005" w:type="dxa"/>
            <w:shd w:val="clear" w:color="auto" w:fill="D9D9D9" w:themeFill="background1" w:themeFillShade="D9"/>
          </w:tcPr>
          <w:p w:rsidR="004E3A5F" w:rsidRPr="00D667D5" w:rsidRDefault="004E3A5F" w:rsidP="000B0E03">
            <w:pPr>
              <w:rPr>
                <w:rFonts w:ascii="Arial" w:hAnsi="Arial" w:cs="Arial"/>
                <w:b/>
                <w:sz w:val="18"/>
                <w:szCs w:val="18"/>
              </w:rPr>
            </w:pPr>
            <w:r w:rsidRPr="00D667D5">
              <w:rPr>
                <w:rFonts w:ascii="Arial" w:hAnsi="Arial" w:cs="Arial"/>
                <w:b/>
                <w:sz w:val="18"/>
                <w:szCs w:val="18"/>
              </w:rPr>
              <w:t>Key result area</w:t>
            </w:r>
          </w:p>
          <w:p w:rsidR="004E3A5F" w:rsidRPr="00D667D5" w:rsidRDefault="004E3A5F" w:rsidP="000B0E03">
            <w:pPr>
              <w:rPr>
                <w:rFonts w:ascii="Arial" w:hAnsi="Arial" w:cs="Arial"/>
                <w:b/>
                <w:sz w:val="18"/>
                <w:szCs w:val="18"/>
              </w:rPr>
            </w:pPr>
          </w:p>
        </w:tc>
        <w:tc>
          <w:tcPr>
            <w:tcW w:w="3005" w:type="dxa"/>
            <w:shd w:val="clear" w:color="auto" w:fill="D9D9D9" w:themeFill="background1" w:themeFillShade="D9"/>
          </w:tcPr>
          <w:p w:rsidR="004E3A5F" w:rsidRPr="00D667D5" w:rsidRDefault="004E3A5F" w:rsidP="000B0E03">
            <w:pPr>
              <w:rPr>
                <w:rFonts w:ascii="Arial" w:hAnsi="Arial" w:cs="Arial"/>
                <w:b/>
                <w:sz w:val="18"/>
                <w:szCs w:val="18"/>
              </w:rPr>
            </w:pPr>
            <w:r w:rsidRPr="00D667D5">
              <w:rPr>
                <w:rFonts w:ascii="Arial" w:hAnsi="Arial" w:cs="Arial"/>
                <w:b/>
                <w:sz w:val="18"/>
                <w:szCs w:val="18"/>
              </w:rPr>
              <w:t>Performance indicator</w:t>
            </w:r>
          </w:p>
        </w:tc>
        <w:tc>
          <w:tcPr>
            <w:tcW w:w="3006" w:type="dxa"/>
            <w:shd w:val="clear" w:color="auto" w:fill="D9D9D9" w:themeFill="background1" w:themeFillShade="D9"/>
          </w:tcPr>
          <w:p w:rsidR="004E3A5F" w:rsidRPr="00D667D5" w:rsidRDefault="004E3A5F" w:rsidP="000B0E03">
            <w:pPr>
              <w:rPr>
                <w:rFonts w:ascii="Arial" w:hAnsi="Arial" w:cs="Arial"/>
                <w:b/>
                <w:sz w:val="18"/>
                <w:szCs w:val="18"/>
              </w:rPr>
            </w:pPr>
            <w:r w:rsidRPr="00D667D5">
              <w:rPr>
                <w:rFonts w:ascii="Arial" w:hAnsi="Arial" w:cs="Arial"/>
                <w:b/>
                <w:sz w:val="18"/>
                <w:szCs w:val="18"/>
              </w:rPr>
              <w:t>Measure</w:t>
            </w:r>
            <w:r w:rsidR="00D1755E" w:rsidRPr="00D667D5">
              <w:rPr>
                <w:rFonts w:ascii="Arial" w:hAnsi="Arial" w:cs="Arial"/>
                <w:b/>
                <w:sz w:val="18"/>
                <w:szCs w:val="18"/>
              </w:rPr>
              <w:t>ment</w:t>
            </w:r>
          </w:p>
        </w:tc>
      </w:tr>
      <w:tr w:rsidR="00700253" w:rsidRPr="00D667D5" w:rsidTr="000B0E03">
        <w:tc>
          <w:tcPr>
            <w:tcW w:w="3005" w:type="dxa"/>
          </w:tcPr>
          <w:p w:rsidR="00700253" w:rsidRPr="00D667D5" w:rsidRDefault="009F2C31" w:rsidP="000B0E03">
            <w:pPr>
              <w:rPr>
                <w:rFonts w:ascii="Arial" w:hAnsi="Arial" w:cs="Arial"/>
                <w:sz w:val="18"/>
                <w:szCs w:val="18"/>
              </w:rPr>
            </w:pPr>
            <w:r w:rsidRPr="00D667D5">
              <w:rPr>
                <w:rFonts w:ascii="Arial" w:hAnsi="Arial" w:cs="Arial"/>
                <w:sz w:val="18"/>
                <w:szCs w:val="18"/>
              </w:rPr>
              <w:t xml:space="preserve">National </w:t>
            </w:r>
            <w:r w:rsidR="00FA47CF" w:rsidRPr="00D667D5">
              <w:rPr>
                <w:rFonts w:ascii="Arial" w:hAnsi="Arial" w:cs="Arial"/>
                <w:sz w:val="18"/>
                <w:szCs w:val="18"/>
              </w:rPr>
              <w:t>a</w:t>
            </w:r>
            <w:r w:rsidR="00061BEE" w:rsidRPr="00D667D5">
              <w:rPr>
                <w:rFonts w:ascii="Arial" w:hAnsi="Arial" w:cs="Arial"/>
                <w:sz w:val="18"/>
                <w:szCs w:val="18"/>
              </w:rPr>
              <w:t xml:space="preserve">rrangements </w:t>
            </w:r>
            <w:r w:rsidR="00940BC5" w:rsidRPr="00D667D5">
              <w:rPr>
                <w:rFonts w:ascii="Arial" w:hAnsi="Arial" w:cs="Arial"/>
                <w:sz w:val="18"/>
                <w:szCs w:val="18"/>
              </w:rPr>
              <w:t>support pest management for environmental protection</w:t>
            </w:r>
          </w:p>
        </w:tc>
        <w:tc>
          <w:tcPr>
            <w:tcW w:w="3005" w:type="dxa"/>
          </w:tcPr>
          <w:p w:rsidR="00700253" w:rsidRPr="00D667D5" w:rsidRDefault="00C43D8D" w:rsidP="00CC5344">
            <w:pPr>
              <w:rPr>
                <w:rFonts w:ascii="Arial" w:hAnsi="Arial" w:cs="Arial"/>
                <w:sz w:val="18"/>
                <w:szCs w:val="18"/>
              </w:rPr>
            </w:pPr>
            <w:r w:rsidRPr="00D667D5">
              <w:rPr>
                <w:rFonts w:ascii="Arial" w:hAnsi="Arial" w:cs="Arial"/>
                <w:sz w:val="18"/>
                <w:szCs w:val="18"/>
              </w:rPr>
              <w:t>National arrangements shared as examples for other CPs</w:t>
            </w:r>
          </w:p>
          <w:p w:rsidR="00CC5344" w:rsidRPr="00D667D5" w:rsidRDefault="00CC5344" w:rsidP="00CC5344">
            <w:pPr>
              <w:rPr>
                <w:rFonts w:ascii="Arial" w:hAnsi="Arial" w:cs="Arial"/>
                <w:sz w:val="18"/>
                <w:szCs w:val="18"/>
              </w:rPr>
            </w:pPr>
            <w:r w:rsidRPr="00D667D5">
              <w:rPr>
                <w:rFonts w:ascii="Arial" w:hAnsi="Arial" w:cs="Arial"/>
                <w:sz w:val="18"/>
                <w:szCs w:val="18"/>
              </w:rPr>
              <w:t>A model framework for national arrangements available on the IPP</w:t>
            </w:r>
          </w:p>
        </w:tc>
        <w:tc>
          <w:tcPr>
            <w:tcW w:w="3006" w:type="dxa"/>
          </w:tcPr>
          <w:p w:rsidR="00C43D8D" w:rsidRPr="00D667D5" w:rsidRDefault="00C43D8D" w:rsidP="00C43D8D">
            <w:pPr>
              <w:rPr>
                <w:rFonts w:ascii="Arial" w:hAnsi="Arial" w:cs="Arial"/>
                <w:sz w:val="18"/>
                <w:szCs w:val="18"/>
              </w:rPr>
            </w:pPr>
            <w:r w:rsidRPr="00D667D5">
              <w:rPr>
                <w:rFonts w:ascii="Arial" w:hAnsi="Arial" w:cs="Arial"/>
                <w:sz w:val="18"/>
                <w:szCs w:val="18"/>
              </w:rPr>
              <w:t>PCE assessments of national arrangements</w:t>
            </w:r>
            <w:r w:rsidR="00CC5344" w:rsidRPr="00D667D5">
              <w:rPr>
                <w:rFonts w:ascii="Arial" w:hAnsi="Arial" w:cs="Arial"/>
                <w:sz w:val="18"/>
                <w:szCs w:val="18"/>
              </w:rPr>
              <w:t xml:space="preserve"> supporting environmental protection</w:t>
            </w:r>
          </w:p>
          <w:p w:rsidR="00CC5344" w:rsidRPr="00D667D5" w:rsidRDefault="00CC5344" w:rsidP="00C43D8D">
            <w:pPr>
              <w:rPr>
                <w:rFonts w:ascii="Arial" w:hAnsi="Arial" w:cs="Arial"/>
                <w:sz w:val="18"/>
                <w:szCs w:val="18"/>
              </w:rPr>
            </w:pPr>
            <w:r w:rsidRPr="00D667D5">
              <w:rPr>
                <w:rFonts w:ascii="Arial" w:hAnsi="Arial" w:cs="Arial"/>
                <w:sz w:val="18"/>
                <w:szCs w:val="18"/>
              </w:rPr>
              <w:t>Number of CPs with arrangements in place</w:t>
            </w:r>
          </w:p>
          <w:p w:rsidR="00CC5344" w:rsidRPr="00D667D5" w:rsidRDefault="00CC5344" w:rsidP="00C43D8D">
            <w:pPr>
              <w:rPr>
                <w:rFonts w:ascii="Arial" w:hAnsi="Arial" w:cs="Arial"/>
                <w:sz w:val="18"/>
                <w:szCs w:val="18"/>
              </w:rPr>
            </w:pPr>
            <w:r w:rsidRPr="00D667D5">
              <w:rPr>
                <w:rFonts w:ascii="Arial" w:hAnsi="Arial" w:cs="Arial"/>
                <w:sz w:val="18"/>
                <w:szCs w:val="18"/>
              </w:rPr>
              <w:t>Number of CPs developing arrangements</w:t>
            </w:r>
          </w:p>
          <w:p w:rsidR="00700253" w:rsidRPr="00D667D5" w:rsidRDefault="00CC5344" w:rsidP="00CC5344">
            <w:pPr>
              <w:rPr>
                <w:rFonts w:ascii="Arial" w:hAnsi="Arial" w:cs="Arial"/>
                <w:sz w:val="18"/>
                <w:szCs w:val="18"/>
              </w:rPr>
            </w:pPr>
            <w:r w:rsidRPr="00D667D5">
              <w:rPr>
                <w:rFonts w:ascii="Arial" w:hAnsi="Arial" w:cs="Arial"/>
                <w:sz w:val="18"/>
                <w:szCs w:val="18"/>
              </w:rPr>
              <w:t>Analysis of impediments to implementing national arrangements</w:t>
            </w:r>
          </w:p>
          <w:p w:rsidR="004F4738" w:rsidRPr="00D667D5" w:rsidRDefault="004F4738" w:rsidP="00CC5344">
            <w:pPr>
              <w:rPr>
                <w:rFonts w:ascii="Arial" w:hAnsi="Arial" w:cs="Arial"/>
                <w:sz w:val="18"/>
                <w:szCs w:val="18"/>
              </w:rPr>
            </w:pPr>
            <w:r w:rsidRPr="00D667D5">
              <w:rPr>
                <w:rFonts w:ascii="Arial" w:hAnsi="Arial" w:cs="Arial"/>
                <w:sz w:val="18"/>
                <w:szCs w:val="18"/>
              </w:rPr>
              <w:t>Website analytics</w:t>
            </w:r>
          </w:p>
        </w:tc>
      </w:tr>
      <w:tr w:rsidR="00700253" w:rsidRPr="00D667D5" w:rsidTr="000B0E03">
        <w:tc>
          <w:tcPr>
            <w:tcW w:w="3005" w:type="dxa"/>
          </w:tcPr>
          <w:p w:rsidR="00700253" w:rsidRPr="00D667D5" w:rsidRDefault="00221EDA" w:rsidP="000B0E03">
            <w:pPr>
              <w:rPr>
                <w:rFonts w:ascii="Arial" w:hAnsi="Arial" w:cs="Arial"/>
                <w:sz w:val="18"/>
                <w:szCs w:val="18"/>
              </w:rPr>
            </w:pPr>
            <w:r w:rsidRPr="00D667D5">
              <w:rPr>
                <w:rFonts w:ascii="Arial" w:hAnsi="Arial" w:cs="Arial"/>
                <w:sz w:val="18"/>
                <w:szCs w:val="18"/>
              </w:rPr>
              <w:t>Strategies</w:t>
            </w:r>
            <w:r w:rsidR="00FA47CF" w:rsidRPr="00D667D5">
              <w:rPr>
                <w:rFonts w:ascii="Arial" w:hAnsi="Arial" w:cs="Arial"/>
                <w:sz w:val="18"/>
                <w:szCs w:val="18"/>
              </w:rPr>
              <w:t xml:space="preserve"> to manage the risks associated with the introduction of </w:t>
            </w:r>
            <w:r w:rsidRPr="00D667D5">
              <w:rPr>
                <w:rFonts w:ascii="Arial" w:hAnsi="Arial" w:cs="Arial"/>
                <w:sz w:val="18"/>
                <w:szCs w:val="18"/>
              </w:rPr>
              <w:t>pests on non-plant pathways are developed and implement</w:t>
            </w:r>
            <w:r w:rsidR="00C24206" w:rsidRPr="00D667D5">
              <w:rPr>
                <w:rFonts w:ascii="Arial" w:hAnsi="Arial" w:cs="Arial"/>
                <w:sz w:val="18"/>
                <w:szCs w:val="18"/>
              </w:rPr>
              <w:t>ed</w:t>
            </w:r>
          </w:p>
        </w:tc>
        <w:tc>
          <w:tcPr>
            <w:tcW w:w="3005" w:type="dxa"/>
          </w:tcPr>
          <w:p w:rsidR="00CC5344" w:rsidRPr="00D667D5" w:rsidRDefault="00CC5344" w:rsidP="00CC5344">
            <w:pPr>
              <w:rPr>
                <w:rFonts w:ascii="Arial" w:hAnsi="Arial" w:cs="Arial"/>
                <w:sz w:val="18"/>
                <w:szCs w:val="18"/>
              </w:rPr>
            </w:pPr>
            <w:r w:rsidRPr="00D667D5">
              <w:rPr>
                <w:rFonts w:ascii="Arial" w:hAnsi="Arial" w:cs="Arial"/>
                <w:sz w:val="18"/>
                <w:szCs w:val="18"/>
              </w:rPr>
              <w:t xml:space="preserve">Risk pathways are identified and impacts assessed to raise awareness </w:t>
            </w:r>
          </w:p>
          <w:p w:rsidR="004F4738" w:rsidRPr="00D667D5" w:rsidRDefault="00CC5344" w:rsidP="00CC5344">
            <w:pPr>
              <w:rPr>
                <w:rFonts w:ascii="Arial" w:hAnsi="Arial" w:cs="Arial"/>
                <w:sz w:val="18"/>
                <w:szCs w:val="18"/>
              </w:rPr>
            </w:pPr>
            <w:r w:rsidRPr="00D667D5">
              <w:rPr>
                <w:rFonts w:ascii="Arial" w:hAnsi="Arial" w:cs="Arial"/>
                <w:sz w:val="18"/>
                <w:szCs w:val="18"/>
              </w:rPr>
              <w:t xml:space="preserve">Associated pest risks and their impacts identified and quantified </w:t>
            </w:r>
          </w:p>
          <w:p w:rsidR="00CC5344" w:rsidRPr="00D667D5" w:rsidRDefault="00CC5344" w:rsidP="00CC5344">
            <w:pPr>
              <w:rPr>
                <w:rFonts w:ascii="Arial" w:hAnsi="Arial" w:cs="Arial"/>
                <w:sz w:val="18"/>
                <w:szCs w:val="18"/>
              </w:rPr>
            </w:pPr>
            <w:r w:rsidRPr="00D667D5">
              <w:rPr>
                <w:rFonts w:ascii="Arial" w:hAnsi="Arial" w:cs="Arial"/>
                <w:sz w:val="18"/>
                <w:szCs w:val="18"/>
              </w:rPr>
              <w:t>Pathways strategies shared as examples for other CPs</w:t>
            </w:r>
          </w:p>
          <w:p w:rsidR="00700253" w:rsidRPr="00D667D5" w:rsidRDefault="00CC5344" w:rsidP="00CC5344">
            <w:pPr>
              <w:rPr>
                <w:rFonts w:ascii="Arial" w:hAnsi="Arial" w:cs="Arial"/>
                <w:sz w:val="18"/>
                <w:szCs w:val="18"/>
              </w:rPr>
            </w:pPr>
            <w:r w:rsidRPr="00D667D5">
              <w:rPr>
                <w:rFonts w:ascii="Arial" w:hAnsi="Arial" w:cs="Arial"/>
                <w:sz w:val="18"/>
                <w:szCs w:val="18"/>
              </w:rPr>
              <w:t>Model systems available on the IPP for a number of pathways</w:t>
            </w:r>
          </w:p>
          <w:p w:rsidR="00CC5344" w:rsidRPr="00D667D5" w:rsidRDefault="00CC5344" w:rsidP="00CC5344">
            <w:pPr>
              <w:rPr>
                <w:rFonts w:ascii="Arial" w:hAnsi="Arial" w:cs="Arial"/>
                <w:sz w:val="18"/>
                <w:szCs w:val="18"/>
              </w:rPr>
            </w:pPr>
          </w:p>
        </w:tc>
        <w:tc>
          <w:tcPr>
            <w:tcW w:w="3006" w:type="dxa"/>
          </w:tcPr>
          <w:p w:rsidR="00700253" w:rsidRPr="00D667D5" w:rsidRDefault="00CC5344" w:rsidP="000B0E03">
            <w:pPr>
              <w:rPr>
                <w:rFonts w:ascii="Arial" w:hAnsi="Arial" w:cs="Arial"/>
                <w:sz w:val="18"/>
                <w:szCs w:val="18"/>
              </w:rPr>
            </w:pPr>
            <w:r w:rsidRPr="00D667D5">
              <w:rPr>
                <w:rFonts w:ascii="Arial" w:hAnsi="Arial" w:cs="Arial"/>
                <w:sz w:val="18"/>
                <w:szCs w:val="18"/>
              </w:rPr>
              <w:t>Outcomes and impacts from SCTF are assessed and reported</w:t>
            </w:r>
          </w:p>
          <w:p w:rsidR="00CC5344" w:rsidRPr="00D667D5" w:rsidRDefault="00CC5344" w:rsidP="000B0E03">
            <w:pPr>
              <w:rPr>
                <w:rFonts w:ascii="Arial" w:hAnsi="Arial" w:cs="Arial"/>
                <w:sz w:val="18"/>
                <w:szCs w:val="18"/>
              </w:rPr>
            </w:pPr>
            <w:r w:rsidRPr="00D667D5">
              <w:rPr>
                <w:rFonts w:ascii="Arial" w:hAnsi="Arial" w:cs="Arial"/>
                <w:sz w:val="18"/>
                <w:szCs w:val="18"/>
              </w:rPr>
              <w:t>Data on pest risks across a number of pathways consolidated and shared</w:t>
            </w:r>
          </w:p>
          <w:p w:rsidR="00CC5344" w:rsidRPr="00D667D5" w:rsidRDefault="00CC5344" w:rsidP="000B0E03">
            <w:pPr>
              <w:rPr>
                <w:rFonts w:ascii="Arial" w:hAnsi="Arial" w:cs="Arial"/>
                <w:sz w:val="18"/>
                <w:szCs w:val="18"/>
              </w:rPr>
            </w:pPr>
            <w:r w:rsidRPr="00D667D5">
              <w:rPr>
                <w:rFonts w:ascii="Arial" w:hAnsi="Arial" w:cs="Arial"/>
                <w:sz w:val="18"/>
                <w:szCs w:val="18"/>
              </w:rPr>
              <w:t>[Replicate all or some of the SCTF program to define and address risks - as relevant]</w:t>
            </w:r>
          </w:p>
          <w:p w:rsidR="004F4738" w:rsidRPr="00D667D5" w:rsidRDefault="004F4738" w:rsidP="000B0E03">
            <w:pPr>
              <w:rPr>
                <w:rFonts w:ascii="Arial" w:hAnsi="Arial" w:cs="Arial"/>
                <w:sz w:val="18"/>
                <w:szCs w:val="18"/>
              </w:rPr>
            </w:pPr>
            <w:r w:rsidRPr="00D667D5">
              <w:rPr>
                <w:rFonts w:ascii="Arial" w:hAnsi="Arial" w:cs="Arial"/>
                <w:sz w:val="18"/>
                <w:szCs w:val="18"/>
              </w:rPr>
              <w:t>Website analytics</w:t>
            </w:r>
          </w:p>
        </w:tc>
      </w:tr>
      <w:tr w:rsidR="00700253" w:rsidRPr="00D667D5" w:rsidTr="000B0E03">
        <w:tc>
          <w:tcPr>
            <w:tcW w:w="3005" w:type="dxa"/>
          </w:tcPr>
          <w:p w:rsidR="00700253" w:rsidRPr="00D667D5" w:rsidRDefault="00C24206" w:rsidP="000B0E03">
            <w:pPr>
              <w:rPr>
                <w:rFonts w:ascii="Arial" w:hAnsi="Arial" w:cs="Arial"/>
                <w:sz w:val="18"/>
                <w:szCs w:val="18"/>
              </w:rPr>
            </w:pPr>
            <w:r w:rsidRPr="00D667D5">
              <w:rPr>
                <w:rFonts w:ascii="Arial" w:hAnsi="Arial" w:cs="Arial"/>
                <w:sz w:val="18"/>
                <w:szCs w:val="18"/>
              </w:rPr>
              <w:t xml:space="preserve">Climate change adaptation strategies </w:t>
            </w:r>
            <w:r w:rsidR="00CD7486" w:rsidRPr="00D667D5">
              <w:rPr>
                <w:rFonts w:ascii="Arial" w:hAnsi="Arial" w:cs="Arial"/>
                <w:sz w:val="18"/>
                <w:szCs w:val="18"/>
              </w:rPr>
              <w:t>are shared</w:t>
            </w:r>
          </w:p>
        </w:tc>
        <w:tc>
          <w:tcPr>
            <w:tcW w:w="3005" w:type="dxa"/>
          </w:tcPr>
          <w:p w:rsidR="00700253" w:rsidRPr="00D667D5" w:rsidRDefault="004F4738" w:rsidP="000B0E03">
            <w:pPr>
              <w:rPr>
                <w:rFonts w:ascii="Arial" w:hAnsi="Arial" w:cs="Arial"/>
                <w:sz w:val="18"/>
                <w:szCs w:val="18"/>
              </w:rPr>
            </w:pPr>
            <w:r w:rsidRPr="00D667D5">
              <w:rPr>
                <w:rFonts w:ascii="Arial" w:hAnsi="Arial" w:cs="Arial"/>
                <w:sz w:val="18"/>
                <w:szCs w:val="18"/>
              </w:rPr>
              <w:t>Climate change impacts on IPPC objectives identified and published</w:t>
            </w:r>
          </w:p>
          <w:p w:rsidR="004F4738" w:rsidRPr="00D667D5" w:rsidRDefault="004F4738" w:rsidP="000B0E03">
            <w:pPr>
              <w:rPr>
                <w:rFonts w:ascii="Arial" w:hAnsi="Arial" w:cs="Arial"/>
                <w:sz w:val="18"/>
                <w:szCs w:val="18"/>
              </w:rPr>
            </w:pPr>
            <w:r w:rsidRPr="00D667D5">
              <w:rPr>
                <w:rFonts w:ascii="Arial" w:hAnsi="Arial" w:cs="Arial"/>
                <w:sz w:val="18"/>
                <w:szCs w:val="18"/>
              </w:rPr>
              <w:t>Adaptation strategies shared as examples for other CPs</w:t>
            </w:r>
          </w:p>
          <w:p w:rsidR="004F4738" w:rsidRPr="00D667D5" w:rsidRDefault="004F4738" w:rsidP="000B0E03">
            <w:pPr>
              <w:rPr>
                <w:rFonts w:ascii="Arial" w:hAnsi="Arial" w:cs="Arial"/>
                <w:sz w:val="18"/>
                <w:szCs w:val="18"/>
              </w:rPr>
            </w:pPr>
            <w:r w:rsidRPr="00D667D5">
              <w:rPr>
                <w:rFonts w:ascii="Arial" w:hAnsi="Arial" w:cs="Arial"/>
                <w:sz w:val="18"/>
                <w:szCs w:val="18"/>
              </w:rPr>
              <w:lastRenderedPageBreak/>
              <w:t xml:space="preserve">Research results published </w:t>
            </w:r>
          </w:p>
          <w:p w:rsidR="004F4738" w:rsidRPr="00D667D5" w:rsidRDefault="004F4738" w:rsidP="000B0E03">
            <w:pPr>
              <w:rPr>
                <w:rFonts w:ascii="Arial" w:hAnsi="Arial" w:cs="Arial"/>
                <w:sz w:val="18"/>
                <w:szCs w:val="18"/>
              </w:rPr>
            </w:pPr>
            <w:r w:rsidRPr="00D667D5">
              <w:rPr>
                <w:rFonts w:ascii="Arial" w:hAnsi="Arial" w:cs="Arial"/>
                <w:sz w:val="18"/>
                <w:szCs w:val="18"/>
              </w:rPr>
              <w:t>Adaptation implementation information shared</w:t>
            </w:r>
          </w:p>
        </w:tc>
        <w:tc>
          <w:tcPr>
            <w:tcW w:w="3006" w:type="dxa"/>
          </w:tcPr>
          <w:p w:rsidR="00700253" w:rsidRPr="00D667D5" w:rsidRDefault="004F4738" w:rsidP="000B0E03">
            <w:pPr>
              <w:rPr>
                <w:rFonts w:ascii="Arial" w:hAnsi="Arial" w:cs="Arial"/>
                <w:sz w:val="18"/>
                <w:szCs w:val="18"/>
              </w:rPr>
            </w:pPr>
            <w:r w:rsidRPr="00D667D5">
              <w:rPr>
                <w:rFonts w:ascii="Arial" w:hAnsi="Arial" w:cs="Arial"/>
                <w:sz w:val="18"/>
                <w:szCs w:val="18"/>
              </w:rPr>
              <w:lastRenderedPageBreak/>
              <w:t>A list of climate change adaptation projects – location, outcomes, resources, outputs, costs</w:t>
            </w:r>
          </w:p>
          <w:p w:rsidR="004F4738" w:rsidRPr="00D667D5" w:rsidRDefault="004F4738" w:rsidP="000B0E03">
            <w:pPr>
              <w:rPr>
                <w:rFonts w:ascii="Arial" w:hAnsi="Arial" w:cs="Arial"/>
                <w:sz w:val="18"/>
                <w:szCs w:val="18"/>
              </w:rPr>
            </w:pPr>
            <w:r w:rsidRPr="00D667D5">
              <w:rPr>
                <w:rFonts w:ascii="Arial" w:hAnsi="Arial" w:cs="Arial"/>
                <w:sz w:val="18"/>
                <w:szCs w:val="18"/>
              </w:rPr>
              <w:t>Strategies published</w:t>
            </w:r>
          </w:p>
          <w:p w:rsidR="004F4738" w:rsidRPr="00D667D5" w:rsidRDefault="004F4738" w:rsidP="000B0E03">
            <w:pPr>
              <w:rPr>
                <w:rFonts w:ascii="Arial" w:hAnsi="Arial" w:cs="Arial"/>
                <w:sz w:val="18"/>
                <w:szCs w:val="18"/>
              </w:rPr>
            </w:pPr>
            <w:r w:rsidRPr="00D667D5">
              <w:rPr>
                <w:rFonts w:ascii="Arial" w:hAnsi="Arial" w:cs="Arial"/>
                <w:sz w:val="18"/>
                <w:szCs w:val="18"/>
              </w:rPr>
              <w:lastRenderedPageBreak/>
              <w:t>Strategies implemented</w:t>
            </w:r>
          </w:p>
          <w:p w:rsidR="004F4738" w:rsidRPr="00D667D5" w:rsidRDefault="004F4738" w:rsidP="000B0E03">
            <w:pPr>
              <w:rPr>
                <w:rFonts w:ascii="Arial" w:hAnsi="Arial" w:cs="Arial"/>
                <w:sz w:val="18"/>
                <w:szCs w:val="18"/>
              </w:rPr>
            </w:pPr>
            <w:r w:rsidRPr="00D667D5">
              <w:rPr>
                <w:rFonts w:ascii="Arial" w:hAnsi="Arial" w:cs="Arial"/>
                <w:sz w:val="18"/>
                <w:szCs w:val="18"/>
              </w:rPr>
              <w:t xml:space="preserve">Changes in the impact of climate change parameters on impacts of plant pests on trade, food and the environment </w:t>
            </w:r>
          </w:p>
          <w:p w:rsidR="004F4738" w:rsidRPr="00D667D5" w:rsidRDefault="004F4738" w:rsidP="000B0E03">
            <w:pPr>
              <w:rPr>
                <w:rFonts w:ascii="Arial" w:hAnsi="Arial" w:cs="Arial"/>
                <w:sz w:val="18"/>
                <w:szCs w:val="18"/>
              </w:rPr>
            </w:pPr>
            <w:r w:rsidRPr="00D667D5">
              <w:rPr>
                <w:rFonts w:ascii="Arial" w:hAnsi="Arial" w:cs="Arial"/>
                <w:sz w:val="18"/>
                <w:szCs w:val="18"/>
              </w:rPr>
              <w:t>Adaptation options increasingly applied</w:t>
            </w:r>
          </w:p>
          <w:p w:rsidR="004F4738" w:rsidRPr="00D667D5" w:rsidRDefault="004F4738" w:rsidP="000B0E03">
            <w:pPr>
              <w:rPr>
                <w:rFonts w:ascii="Arial" w:hAnsi="Arial" w:cs="Arial"/>
                <w:sz w:val="18"/>
                <w:szCs w:val="18"/>
              </w:rPr>
            </w:pPr>
            <w:r w:rsidRPr="00D667D5">
              <w:rPr>
                <w:rFonts w:ascii="Arial" w:hAnsi="Arial" w:cs="Arial"/>
                <w:sz w:val="18"/>
                <w:szCs w:val="18"/>
              </w:rPr>
              <w:t>Website analytics</w:t>
            </w:r>
          </w:p>
        </w:tc>
      </w:tr>
      <w:tr w:rsidR="00700253" w:rsidRPr="00D667D5" w:rsidTr="000B0E03">
        <w:tc>
          <w:tcPr>
            <w:tcW w:w="3005" w:type="dxa"/>
          </w:tcPr>
          <w:p w:rsidR="00700253" w:rsidRPr="00D667D5" w:rsidRDefault="00CD7486" w:rsidP="000B0E03">
            <w:pPr>
              <w:rPr>
                <w:rFonts w:ascii="Arial" w:hAnsi="Arial" w:cs="Arial"/>
                <w:sz w:val="18"/>
                <w:szCs w:val="18"/>
              </w:rPr>
            </w:pPr>
            <w:r w:rsidRPr="00D667D5">
              <w:rPr>
                <w:rFonts w:ascii="Arial" w:hAnsi="Arial" w:cs="Arial"/>
                <w:sz w:val="18"/>
                <w:szCs w:val="18"/>
              </w:rPr>
              <w:lastRenderedPageBreak/>
              <w:t>Information and other resources</w:t>
            </w:r>
            <w:r w:rsidR="001077AE" w:rsidRPr="00D667D5">
              <w:rPr>
                <w:rFonts w:ascii="Arial" w:hAnsi="Arial" w:cs="Arial"/>
                <w:sz w:val="18"/>
                <w:szCs w:val="18"/>
              </w:rPr>
              <w:t xml:space="preserve"> that assist environmental and forest stewardship </w:t>
            </w:r>
            <w:r w:rsidR="003B2417" w:rsidRPr="00D667D5">
              <w:rPr>
                <w:rFonts w:ascii="Arial" w:hAnsi="Arial" w:cs="Arial"/>
                <w:sz w:val="18"/>
                <w:szCs w:val="18"/>
              </w:rPr>
              <w:t>are accessed</w:t>
            </w:r>
          </w:p>
        </w:tc>
        <w:tc>
          <w:tcPr>
            <w:tcW w:w="3005" w:type="dxa"/>
          </w:tcPr>
          <w:p w:rsidR="00700253" w:rsidRPr="00D667D5" w:rsidRDefault="004F4738" w:rsidP="000B0E03">
            <w:pPr>
              <w:rPr>
                <w:rFonts w:ascii="Arial" w:hAnsi="Arial" w:cs="Arial"/>
                <w:sz w:val="18"/>
                <w:szCs w:val="18"/>
              </w:rPr>
            </w:pPr>
            <w:r w:rsidRPr="00D667D5">
              <w:rPr>
                <w:rFonts w:ascii="Arial" w:hAnsi="Arial" w:cs="Arial"/>
                <w:sz w:val="18"/>
                <w:szCs w:val="18"/>
              </w:rPr>
              <w:t>Information to assist CPs is made available</w:t>
            </w:r>
          </w:p>
        </w:tc>
        <w:tc>
          <w:tcPr>
            <w:tcW w:w="3006" w:type="dxa"/>
          </w:tcPr>
          <w:p w:rsidR="004F4738" w:rsidRPr="00D667D5" w:rsidRDefault="004F4738" w:rsidP="000B0E03">
            <w:pPr>
              <w:rPr>
                <w:rFonts w:ascii="Arial" w:hAnsi="Arial" w:cs="Arial"/>
                <w:sz w:val="18"/>
                <w:szCs w:val="18"/>
              </w:rPr>
            </w:pPr>
            <w:r w:rsidRPr="00D667D5">
              <w:rPr>
                <w:rFonts w:ascii="Arial" w:hAnsi="Arial" w:cs="Arial"/>
                <w:sz w:val="18"/>
                <w:szCs w:val="18"/>
              </w:rPr>
              <w:t xml:space="preserve">Information </w:t>
            </w:r>
            <w:r w:rsidR="00D026E9" w:rsidRPr="00D667D5">
              <w:rPr>
                <w:rFonts w:ascii="Arial" w:hAnsi="Arial" w:cs="Arial"/>
                <w:sz w:val="18"/>
                <w:szCs w:val="18"/>
              </w:rPr>
              <w:t>on stewardship programs sourced</w:t>
            </w:r>
          </w:p>
          <w:p w:rsidR="00D026E9" w:rsidRPr="00D667D5" w:rsidRDefault="00D026E9" w:rsidP="000B0E03">
            <w:pPr>
              <w:rPr>
                <w:rFonts w:ascii="Arial" w:hAnsi="Arial" w:cs="Arial"/>
                <w:sz w:val="18"/>
                <w:szCs w:val="18"/>
              </w:rPr>
            </w:pPr>
            <w:r w:rsidRPr="00D667D5">
              <w:rPr>
                <w:rFonts w:ascii="Arial" w:hAnsi="Arial" w:cs="Arial"/>
                <w:sz w:val="18"/>
                <w:szCs w:val="18"/>
              </w:rPr>
              <w:t>Information posted</w:t>
            </w:r>
          </w:p>
          <w:p w:rsidR="00700253" w:rsidRPr="00D667D5" w:rsidRDefault="00BE62BA" w:rsidP="000B0E03">
            <w:pPr>
              <w:rPr>
                <w:rFonts w:ascii="Arial" w:hAnsi="Arial" w:cs="Arial"/>
                <w:sz w:val="18"/>
                <w:szCs w:val="18"/>
              </w:rPr>
            </w:pPr>
            <w:r w:rsidRPr="00D667D5">
              <w:rPr>
                <w:rFonts w:ascii="Arial" w:hAnsi="Arial" w:cs="Arial"/>
                <w:sz w:val="18"/>
                <w:szCs w:val="18"/>
              </w:rPr>
              <w:t xml:space="preserve">Website analytics </w:t>
            </w:r>
            <w:r w:rsidR="00D026E9" w:rsidRPr="00D667D5">
              <w:rPr>
                <w:rFonts w:ascii="Arial" w:hAnsi="Arial" w:cs="Arial"/>
                <w:sz w:val="18"/>
                <w:szCs w:val="18"/>
              </w:rPr>
              <w:t>– access stats</w:t>
            </w:r>
          </w:p>
        </w:tc>
      </w:tr>
    </w:tbl>
    <w:p w:rsidR="00E51EC8" w:rsidRPr="002A7E04" w:rsidRDefault="00E51EC8" w:rsidP="00E51EC8">
      <w:pPr>
        <w:rPr>
          <w:color w:val="AEAAAA" w:themeColor="background2" w:themeShade="BF"/>
        </w:rPr>
      </w:pPr>
    </w:p>
    <w:p w:rsidR="00F01E6F" w:rsidRPr="00C43CFF" w:rsidRDefault="00E30435" w:rsidP="00A86A36">
      <w:pPr>
        <w:pStyle w:val="Heading2"/>
      </w:pPr>
      <w:bookmarkStart w:id="7" w:name="_Toc519604984"/>
      <w:r w:rsidRPr="00C43CFF">
        <w:t>C</w:t>
      </w:r>
      <w:r w:rsidR="000213C4" w:rsidRPr="00C43CFF">
        <w:t>.</w:t>
      </w:r>
      <w:r w:rsidR="00281639" w:rsidRPr="00C43CFF">
        <w:t xml:space="preserve"> Facilitate </w:t>
      </w:r>
      <w:r w:rsidR="009365C9" w:rsidRPr="00C43CFF">
        <w:t xml:space="preserve">Safe </w:t>
      </w:r>
      <w:r w:rsidR="00281639" w:rsidRPr="00C43CFF">
        <w:t>Trade D</w:t>
      </w:r>
      <w:r w:rsidR="00F01E6F" w:rsidRPr="00C43CFF">
        <w:t xml:space="preserve">evelopment </w:t>
      </w:r>
      <w:r w:rsidR="00C91112" w:rsidRPr="00C43CFF">
        <w:t xml:space="preserve">and </w:t>
      </w:r>
      <w:r w:rsidR="00281639" w:rsidRPr="00C43CFF">
        <w:t>E</w:t>
      </w:r>
      <w:r w:rsidR="00C91112" w:rsidRPr="00C43CFF">
        <w:t xml:space="preserve">conomic </w:t>
      </w:r>
      <w:r w:rsidR="007768C4" w:rsidRPr="00C43CFF">
        <w:t>Growth</w:t>
      </w:r>
      <w:bookmarkEnd w:id="7"/>
    </w:p>
    <w:p w:rsidR="00E3367A" w:rsidRDefault="00F01E6F" w:rsidP="00F01E6F">
      <w:r w:rsidRPr="008D259E">
        <w:t xml:space="preserve">Trade </w:t>
      </w:r>
      <w:r w:rsidR="00964DB2">
        <w:t>builds wealth</w:t>
      </w:r>
      <w:r w:rsidR="0038440D">
        <w:t xml:space="preserve"> and supports economic and social stability. </w:t>
      </w:r>
      <w:r w:rsidR="00B71166">
        <w:t xml:space="preserve">Trade </w:t>
      </w:r>
      <w:r w:rsidR="00622476">
        <w:t>in plants and plant products</w:t>
      </w:r>
      <w:r w:rsidR="007D1204">
        <w:t>,</w:t>
      </w:r>
      <w:r w:rsidR="00C504F8">
        <w:t xml:space="preserve"> </w:t>
      </w:r>
      <w:r w:rsidR="00CD12ED" w:rsidRPr="008D259E">
        <w:t>stimulate</w:t>
      </w:r>
      <w:r w:rsidR="007D1204">
        <w:t>s</w:t>
      </w:r>
      <w:r w:rsidR="00CD12ED" w:rsidRPr="008D259E">
        <w:t xml:space="preserve"> economic growth </w:t>
      </w:r>
      <w:r w:rsidR="00B71166">
        <w:t xml:space="preserve">and </w:t>
      </w:r>
      <w:r w:rsidR="00C504F8">
        <w:t>bring</w:t>
      </w:r>
      <w:r w:rsidR="00E7474F">
        <w:t>s</w:t>
      </w:r>
      <w:r w:rsidR="00C504F8">
        <w:t xml:space="preserve"> </w:t>
      </w:r>
      <w:r w:rsidR="007D1204">
        <w:t xml:space="preserve">well-being and prosperity to </w:t>
      </w:r>
      <w:r w:rsidR="00CD12ED" w:rsidRPr="008D259E">
        <w:t xml:space="preserve">rural </w:t>
      </w:r>
      <w:r w:rsidR="00C504F8">
        <w:t xml:space="preserve">communities </w:t>
      </w:r>
      <w:r w:rsidR="00CD12ED" w:rsidRPr="008D259E">
        <w:t>and agricultural sectors</w:t>
      </w:r>
      <w:r w:rsidR="00A51145" w:rsidRPr="008D259E">
        <w:t xml:space="preserve">.  </w:t>
      </w:r>
      <w:r w:rsidR="0032016A" w:rsidRPr="008D259E">
        <w:t xml:space="preserve">The main pathway for the spread and introduction of </w:t>
      </w:r>
      <w:r w:rsidR="007D1204">
        <w:t xml:space="preserve">harmful </w:t>
      </w:r>
      <w:r w:rsidR="0032016A" w:rsidRPr="008D259E">
        <w:t xml:space="preserve">pests is through international trade.  </w:t>
      </w:r>
    </w:p>
    <w:p w:rsidR="00265637" w:rsidRDefault="00B71166" w:rsidP="00F01E6F">
      <w:r>
        <w:t xml:space="preserve">Minimising production losses from pests and </w:t>
      </w:r>
      <w:r w:rsidR="007D1204">
        <w:t>reducing</w:t>
      </w:r>
      <w:r>
        <w:t xml:space="preserve"> pest control costs is important to maximising returns for </w:t>
      </w:r>
      <w:r w:rsidR="007D1204">
        <w:t xml:space="preserve">domestic </w:t>
      </w:r>
      <w:r>
        <w:t xml:space="preserve">growers.  Eradicating newly established pest populations, or creating recognised pest free areas </w:t>
      </w:r>
      <w:r w:rsidR="007768C4">
        <w:t>s</w:t>
      </w:r>
      <w:r>
        <w:t>implif</w:t>
      </w:r>
      <w:r w:rsidR="007768C4">
        <w:t>ies</w:t>
      </w:r>
      <w:r w:rsidR="00265637" w:rsidRPr="00265637">
        <w:t xml:space="preserve"> </w:t>
      </w:r>
      <w:r>
        <w:t>access to export markets</w:t>
      </w:r>
      <w:r w:rsidR="00265637" w:rsidRPr="00265637">
        <w:t xml:space="preserve">. </w:t>
      </w:r>
      <w:r w:rsidR="007768C4">
        <w:t>Exporting countries need strong phytosanitary systems to assure their trading partners that the</w:t>
      </w:r>
      <w:r w:rsidR="007D1204">
        <w:t xml:space="preserve"> imports they receive will not come with </w:t>
      </w:r>
      <w:r w:rsidR="007768C4">
        <w:t xml:space="preserve">pests </w:t>
      </w:r>
      <w:r w:rsidR="007D1204">
        <w:t>that would harm the importing country economy or environment</w:t>
      </w:r>
      <w:r w:rsidR="007768C4">
        <w:t xml:space="preserve">.  When </w:t>
      </w:r>
      <w:r w:rsidR="007D1204">
        <w:t xml:space="preserve">the </w:t>
      </w:r>
      <w:r w:rsidR="007768C4">
        <w:t xml:space="preserve">phytosanitary assurances and certification </w:t>
      </w:r>
      <w:r w:rsidR="007D1204">
        <w:t xml:space="preserve">of exporting countries </w:t>
      </w:r>
      <w:r w:rsidR="007768C4">
        <w:t>have integrity</w:t>
      </w:r>
      <w:r w:rsidR="007D1204">
        <w:t>,</w:t>
      </w:r>
      <w:r w:rsidR="007768C4">
        <w:t xml:space="preserve"> trade pathways are smoothed</w:t>
      </w:r>
      <w:r w:rsidR="00E3367A">
        <w:t xml:space="preserve"> an</w:t>
      </w:r>
      <w:r w:rsidR="00A03CC8">
        <w:t>d barriers to trade are minimised.</w:t>
      </w:r>
    </w:p>
    <w:p w:rsidR="00F17EC6" w:rsidRDefault="00341617" w:rsidP="00D808ED">
      <w:r w:rsidRPr="00341617">
        <w:t>The World Trade Organization’s (WTO) Trade Facilitation Agreement (T</w:t>
      </w:r>
      <w:r>
        <w:t>F</w:t>
      </w:r>
      <w:r w:rsidRPr="00341617">
        <w:t xml:space="preserve">A) </w:t>
      </w:r>
      <w:r w:rsidR="001B1316" w:rsidRPr="001B1316">
        <w:t>entered into force on 22</w:t>
      </w:r>
      <w:r w:rsidR="000708DB">
        <w:t> </w:t>
      </w:r>
      <w:r w:rsidR="00F24C57">
        <w:t>February 2017. T</w:t>
      </w:r>
      <w:r w:rsidR="001B1316">
        <w:t>his agreement</w:t>
      </w:r>
      <w:r w:rsidRPr="00341617">
        <w:t xml:space="preserve"> will </w:t>
      </w:r>
      <w:r w:rsidR="00BF0861">
        <w:t>support</w:t>
      </w:r>
      <w:r w:rsidRPr="00341617">
        <w:t xml:space="preserve"> NPPOs in their </w:t>
      </w:r>
      <w:r w:rsidR="001B1316">
        <w:t xml:space="preserve">responsibilities </w:t>
      </w:r>
      <w:r w:rsidRPr="00341617">
        <w:t>as border agencies</w:t>
      </w:r>
      <w:r w:rsidR="00F24C57">
        <w:t xml:space="preserve"> and offer </w:t>
      </w:r>
      <w:r w:rsidR="00F121AB">
        <w:t xml:space="preserve">greater </w:t>
      </w:r>
      <w:proofErr w:type="spellStart"/>
      <w:r w:rsidR="00F121AB">
        <w:t>opportunites</w:t>
      </w:r>
      <w:proofErr w:type="spellEnd"/>
      <w:r w:rsidR="00F121AB">
        <w:t xml:space="preserve"> to </w:t>
      </w:r>
      <w:proofErr w:type="spellStart"/>
      <w:r w:rsidR="00F121AB">
        <w:t>faciitate</w:t>
      </w:r>
      <w:proofErr w:type="spellEnd"/>
      <w:r w:rsidR="00F121AB">
        <w:t xml:space="preserve"> safe trade through g</w:t>
      </w:r>
      <w:r w:rsidR="00E17683">
        <w:t xml:space="preserve">reater collaboration with other </w:t>
      </w:r>
      <w:r w:rsidRPr="00341617">
        <w:t xml:space="preserve">border </w:t>
      </w:r>
      <w:r w:rsidR="00BF0861">
        <w:t>agencies</w:t>
      </w:r>
      <w:r w:rsidRPr="00341617">
        <w:t xml:space="preserve">, including Customs.  </w:t>
      </w:r>
    </w:p>
    <w:p w:rsidR="00AD3FB5" w:rsidRPr="00626062" w:rsidRDefault="00AD3FB5" w:rsidP="000B0E03">
      <w:pPr>
        <w:pStyle w:val="Heading3"/>
        <w:rPr>
          <w:b w:val="0"/>
        </w:rPr>
      </w:pPr>
      <w:r w:rsidRPr="00626062">
        <w:t>2030 Key Result Areas</w:t>
      </w:r>
    </w:p>
    <w:p w:rsidR="00AD3FB5" w:rsidRDefault="00AD3FB5" w:rsidP="000708DB">
      <w:pPr>
        <w:ind w:left="1134" w:hanging="567"/>
      </w:pPr>
      <w:r>
        <w:t>C1:</w:t>
      </w:r>
      <w:r w:rsidR="000708DB">
        <w:tab/>
      </w:r>
      <w:r>
        <w:t xml:space="preserve">Pest specific and commodity specific standards with harmonised phytosanitary measures have sped up trade negotiations and simplified trade in significant plant products. </w:t>
      </w:r>
    </w:p>
    <w:p w:rsidR="00AD3FB5" w:rsidRDefault="00AD3FB5" w:rsidP="000708DB">
      <w:pPr>
        <w:ind w:left="1134" w:hanging="567"/>
      </w:pPr>
      <w:r>
        <w:t>C2:</w:t>
      </w:r>
      <w:r w:rsidR="000708DB">
        <w:tab/>
      </w:r>
      <w:r>
        <w:t>Detections of pests on trade pathways are declining as exporting countries take more responsibility for managing the pest risk on exports, and importing countries report detections more quickly and more consistently.</w:t>
      </w:r>
    </w:p>
    <w:p w:rsidR="00AD3FB5" w:rsidRDefault="00AD3FB5" w:rsidP="000708DB">
      <w:pPr>
        <w:ind w:left="1134" w:hanging="567"/>
      </w:pPr>
      <w:r>
        <w:t>C3:</w:t>
      </w:r>
      <w:r w:rsidR="000708DB">
        <w:tab/>
      </w:r>
      <w:r>
        <w:t>NPPOs have been supported to establish export assurance and certification systems that have strong integrity and are trusted by trading partners.</w:t>
      </w:r>
    </w:p>
    <w:p w:rsidR="00AD3FB5" w:rsidRDefault="00AD3FB5" w:rsidP="000708DB">
      <w:pPr>
        <w:ind w:left="1134" w:hanging="567"/>
      </w:pPr>
      <w:r>
        <w:t>C4:</w:t>
      </w:r>
      <w:r w:rsidR="000708DB">
        <w:tab/>
      </w:r>
      <w:r>
        <w:t xml:space="preserve">The cost of administering export certification systems has reduced and the circulation of fraudulent certificates has been eliminated through the electronic phytosanitary certification systems including the Generic National System and the Global </w:t>
      </w:r>
      <w:proofErr w:type="spellStart"/>
      <w:r>
        <w:t>ePhyto</w:t>
      </w:r>
      <w:proofErr w:type="spellEnd"/>
      <w:r>
        <w:t xml:space="preserve"> Hub.</w:t>
      </w:r>
    </w:p>
    <w:p w:rsidR="00AD3FB5" w:rsidRDefault="00AD3FB5" w:rsidP="000708DB">
      <w:pPr>
        <w:ind w:left="1134" w:hanging="567"/>
      </w:pPr>
      <w:r>
        <w:t>C5:</w:t>
      </w:r>
      <w:r w:rsidR="000708DB">
        <w:tab/>
      </w:r>
      <w:r>
        <w:t>NPPOs have ready access to expert advice on phytosanitary issues in trade.</w:t>
      </w:r>
    </w:p>
    <w:p w:rsidR="008A01A5" w:rsidRPr="00E3367A" w:rsidRDefault="008A01A5" w:rsidP="000B0E03">
      <w:pPr>
        <w:ind w:left="720"/>
      </w:pPr>
    </w:p>
    <w:tbl>
      <w:tblPr>
        <w:tblStyle w:val="TableGrid"/>
        <w:tblW w:w="0" w:type="auto"/>
        <w:tblLook w:val="04A0" w:firstRow="1" w:lastRow="0" w:firstColumn="1" w:lastColumn="0" w:noHBand="0" w:noVBand="1"/>
      </w:tblPr>
      <w:tblGrid>
        <w:gridCol w:w="3005"/>
        <w:gridCol w:w="3005"/>
        <w:gridCol w:w="3006"/>
      </w:tblGrid>
      <w:tr w:rsidR="00FA4168" w:rsidRPr="00D667D5" w:rsidTr="003B580E">
        <w:trPr>
          <w:tblHeader/>
        </w:trPr>
        <w:tc>
          <w:tcPr>
            <w:tcW w:w="3005" w:type="dxa"/>
            <w:shd w:val="clear" w:color="auto" w:fill="D9D9D9" w:themeFill="background1" w:themeFillShade="D9"/>
          </w:tcPr>
          <w:p w:rsidR="00FA4168" w:rsidRPr="00D667D5" w:rsidRDefault="00FA4168" w:rsidP="00D808ED">
            <w:pPr>
              <w:rPr>
                <w:rFonts w:ascii="Arial" w:hAnsi="Arial" w:cs="Arial"/>
                <w:b/>
                <w:sz w:val="18"/>
                <w:szCs w:val="18"/>
              </w:rPr>
            </w:pPr>
            <w:r w:rsidRPr="00D667D5">
              <w:rPr>
                <w:rFonts w:ascii="Arial" w:hAnsi="Arial" w:cs="Arial"/>
                <w:b/>
                <w:sz w:val="18"/>
                <w:szCs w:val="18"/>
              </w:rPr>
              <w:t>Key result area</w:t>
            </w:r>
          </w:p>
          <w:p w:rsidR="00FA4168" w:rsidRPr="00D667D5" w:rsidRDefault="00FA4168" w:rsidP="00D808ED">
            <w:pPr>
              <w:rPr>
                <w:rFonts w:ascii="Arial" w:hAnsi="Arial" w:cs="Arial"/>
                <w:b/>
                <w:sz w:val="18"/>
                <w:szCs w:val="18"/>
              </w:rPr>
            </w:pPr>
          </w:p>
        </w:tc>
        <w:tc>
          <w:tcPr>
            <w:tcW w:w="3005" w:type="dxa"/>
            <w:shd w:val="clear" w:color="auto" w:fill="D9D9D9" w:themeFill="background1" w:themeFillShade="D9"/>
          </w:tcPr>
          <w:p w:rsidR="00FA4168" w:rsidRPr="00D667D5" w:rsidRDefault="00B41AB8" w:rsidP="00D808ED">
            <w:pPr>
              <w:rPr>
                <w:rFonts w:ascii="Arial" w:hAnsi="Arial" w:cs="Arial"/>
                <w:b/>
                <w:sz w:val="18"/>
                <w:szCs w:val="18"/>
              </w:rPr>
            </w:pPr>
            <w:r w:rsidRPr="00D667D5">
              <w:rPr>
                <w:rFonts w:ascii="Arial" w:hAnsi="Arial" w:cs="Arial"/>
                <w:b/>
                <w:sz w:val="18"/>
                <w:szCs w:val="18"/>
              </w:rPr>
              <w:t>Performance indicator</w:t>
            </w:r>
          </w:p>
        </w:tc>
        <w:tc>
          <w:tcPr>
            <w:tcW w:w="3006" w:type="dxa"/>
            <w:shd w:val="clear" w:color="auto" w:fill="D9D9D9" w:themeFill="background1" w:themeFillShade="D9"/>
          </w:tcPr>
          <w:p w:rsidR="00FA4168" w:rsidRPr="00D667D5" w:rsidRDefault="00B41AB8" w:rsidP="00D808ED">
            <w:pPr>
              <w:rPr>
                <w:rFonts w:ascii="Arial" w:hAnsi="Arial" w:cs="Arial"/>
                <w:b/>
                <w:sz w:val="18"/>
                <w:szCs w:val="18"/>
              </w:rPr>
            </w:pPr>
            <w:r w:rsidRPr="00D667D5">
              <w:rPr>
                <w:rFonts w:ascii="Arial" w:hAnsi="Arial" w:cs="Arial"/>
                <w:b/>
                <w:sz w:val="18"/>
                <w:szCs w:val="18"/>
              </w:rPr>
              <w:t>Measure</w:t>
            </w:r>
            <w:r w:rsidR="00D1755E" w:rsidRPr="00D667D5">
              <w:rPr>
                <w:rFonts w:ascii="Arial" w:hAnsi="Arial" w:cs="Arial"/>
                <w:b/>
                <w:sz w:val="18"/>
                <w:szCs w:val="18"/>
              </w:rPr>
              <w:t>ment</w:t>
            </w:r>
          </w:p>
        </w:tc>
      </w:tr>
      <w:tr w:rsidR="00FA4168" w:rsidRPr="00D667D5" w:rsidTr="00FA4168">
        <w:tc>
          <w:tcPr>
            <w:tcW w:w="3005" w:type="dxa"/>
          </w:tcPr>
          <w:p w:rsidR="00FA4168" w:rsidRPr="00D667D5" w:rsidRDefault="00D026E9" w:rsidP="00D026E9">
            <w:pPr>
              <w:rPr>
                <w:rFonts w:ascii="Arial" w:hAnsi="Arial" w:cs="Arial"/>
                <w:sz w:val="18"/>
                <w:szCs w:val="18"/>
              </w:rPr>
            </w:pPr>
            <w:r w:rsidRPr="00D667D5">
              <w:rPr>
                <w:rFonts w:ascii="Arial" w:hAnsi="Arial" w:cs="Arial"/>
                <w:sz w:val="18"/>
                <w:szCs w:val="18"/>
              </w:rPr>
              <w:t>Pest and c</w:t>
            </w:r>
            <w:r w:rsidR="009B2DE4" w:rsidRPr="00D667D5">
              <w:rPr>
                <w:rFonts w:ascii="Arial" w:hAnsi="Arial" w:cs="Arial"/>
                <w:sz w:val="18"/>
                <w:szCs w:val="18"/>
              </w:rPr>
              <w:t>ommodity standard</w:t>
            </w:r>
            <w:r w:rsidRPr="00D667D5">
              <w:rPr>
                <w:rFonts w:ascii="Arial" w:hAnsi="Arial" w:cs="Arial"/>
                <w:sz w:val="18"/>
                <w:szCs w:val="18"/>
              </w:rPr>
              <w:t>s apply harmonised treatments and measures</w:t>
            </w:r>
          </w:p>
        </w:tc>
        <w:tc>
          <w:tcPr>
            <w:tcW w:w="3005" w:type="dxa"/>
          </w:tcPr>
          <w:p w:rsidR="00FA4168" w:rsidRPr="00D667D5" w:rsidRDefault="00D026E9" w:rsidP="00D026E9">
            <w:pPr>
              <w:rPr>
                <w:rFonts w:ascii="Arial" w:hAnsi="Arial" w:cs="Arial"/>
                <w:sz w:val="18"/>
                <w:szCs w:val="18"/>
              </w:rPr>
            </w:pPr>
            <w:r w:rsidRPr="00D667D5">
              <w:rPr>
                <w:rFonts w:ascii="Arial" w:hAnsi="Arial" w:cs="Arial"/>
                <w:sz w:val="18"/>
                <w:szCs w:val="18"/>
              </w:rPr>
              <w:t>Systems and processes for developing and implementing pest and commodity specific standards are available</w:t>
            </w:r>
          </w:p>
          <w:p w:rsidR="00D026E9" w:rsidRPr="00D667D5" w:rsidRDefault="00D026E9" w:rsidP="00D026E9">
            <w:pPr>
              <w:rPr>
                <w:rFonts w:ascii="Arial" w:hAnsi="Arial" w:cs="Arial"/>
                <w:sz w:val="18"/>
                <w:szCs w:val="18"/>
              </w:rPr>
            </w:pPr>
            <w:r w:rsidRPr="00D667D5">
              <w:rPr>
                <w:rFonts w:ascii="Arial" w:hAnsi="Arial" w:cs="Arial"/>
                <w:sz w:val="18"/>
                <w:szCs w:val="18"/>
              </w:rPr>
              <w:lastRenderedPageBreak/>
              <w:t>Countries have the required capacity and apply methods competently</w:t>
            </w:r>
          </w:p>
          <w:p w:rsidR="00D026E9" w:rsidRPr="00D667D5" w:rsidRDefault="00D026E9" w:rsidP="00D026E9">
            <w:pPr>
              <w:rPr>
                <w:rFonts w:ascii="Arial" w:hAnsi="Arial" w:cs="Arial"/>
                <w:sz w:val="18"/>
                <w:szCs w:val="18"/>
              </w:rPr>
            </w:pPr>
            <w:r w:rsidRPr="00D667D5">
              <w:rPr>
                <w:rFonts w:ascii="Arial" w:hAnsi="Arial" w:cs="Arial"/>
                <w:sz w:val="18"/>
                <w:szCs w:val="18"/>
              </w:rPr>
              <w:t>Multiple countries apply the same measures on pathways</w:t>
            </w:r>
          </w:p>
        </w:tc>
        <w:tc>
          <w:tcPr>
            <w:tcW w:w="3006" w:type="dxa"/>
          </w:tcPr>
          <w:p w:rsidR="00FA4168" w:rsidRPr="00D667D5" w:rsidRDefault="0098498B" w:rsidP="00D808ED">
            <w:pPr>
              <w:rPr>
                <w:rFonts w:ascii="Arial" w:hAnsi="Arial" w:cs="Arial"/>
                <w:sz w:val="18"/>
                <w:szCs w:val="18"/>
              </w:rPr>
            </w:pPr>
            <w:r w:rsidRPr="00D667D5">
              <w:rPr>
                <w:rFonts w:ascii="Arial" w:hAnsi="Arial" w:cs="Arial"/>
                <w:sz w:val="18"/>
                <w:szCs w:val="18"/>
              </w:rPr>
              <w:lastRenderedPageBreak/>
              <w:t>Number of standards</w:t>
            </w:r>
          </w:p>
          <w:p w:rsidR="0098498B" w:rsidRPr="00D667D5" w:rsidRDefault="0098498B" w:rsidP="00D808ED">
            <w:pPr>
              <w:rPr>
                <w:rFonts w:ascii="Arial" w:hAnsi="Arial" w:cs="Arial"/>
                <w:sz w:val="18"/>
                <w:szCs w:val="18"/>
              </w:rPr>
            </w:pPr>
            <w:r w:rsidRPr="00D667D5">
              <w:rPr>
                <w:rFonts w:ascii="Arial" w:hAnsi="Arial" w:cs="Arial"/>
                <w:sz w:val="18"/>
                <w:szCs w:val="18"/>
              </w:rPr>
              <w:t>V</w:t>
            </w:r>
            <w:r w:rsidR="00A4251D" w:rsidRPr="00D667D5">
              <w:rPr>
                <w:rFonts w:ascii="Arial" w:hAnsi="Arial" w:cs="Arial"/>
                <w:sz w:val="18"/>
                <w:szCs w:val="18"/>
              </w:rPr>
              <w:t>olume of trade in these commodities</w:t>
            </w:r>
          </w:p>
          <w:p w:rsidR="00D026E9" w:rsidRPr="00D667D5" w:rsidRDefault="00D026E9" w:rsidP="00D808ED">
            <w:pPr>
              <w:rPr>
                <w:rFonts w:ascii="Arial" w:hAnsi="Arial" w:cs="Arial"/>
                <w:sz w:val="18"/>
                <w:szCs w:val="18"/>
              </w:rPr>
            </w:pPr>
            <w:r w:rsidRPr="00D667D5">
              <w:rPr>
                <w:rFonts w:ascii="Arial" w:hAnsi="Arial" w:cs="Arial"/>
                <w:sz w:val="18"/>
                <w:szCs w:val="18"/>
              </w:rPr>
              <w:t>Clearance times measured over time</w:t>
            </w:r>
          </w:p>
          <w:p w:rsidR="00D026E9" w:rsidRPr="00D667D5" w:rsidRDefault="00D026E9" w:rsidP="00D808ED">
            <w:pPr>
              <w:rPr>
                <w:rFonts w:ascii="Arial" w:hAnsi="Arial" w:cs="Arial"/>
                <w:sz w:val="18"/>
                <w:szCs w:val="18"/>
              </w:rPr>
            </w:pPr>
            <w:r w:rsidRPr="00D667D5">
              <w:rPr>
                <w:rFonts w:ascii="Arial" w:hAnsi="Arial" w:cs="Arial"/>
                <w:sz w:val="18"/>
                <w:szCs w:val="18"/>
              </w:rPr>
              <w:lastRenderedPageBreak/>
              <w:t>Compliance and non-compliance data compiled and analysed for changes</w:t>
            </w:r>
          </w:p>
          <w:p w:rsidR="00D026E9" w:rsidRPr="00D667D5" w:rsidRDefault="00D026E9" w:rsidP="00D808ED">
            <w:pPr>
              <w:rPr>
                <w:rFonts w:ascii="Arial" w:hAnsi="Arial" w:cs="Arial"/>
                <w:sz w:val="18"/>
                <w:szCs w:val="18"/>
              </w:rPr>
            </w:pPr>
          </w:p>
        </w:tc>
      </w:tr>
      <w:tr w:rsidR="009B2DE4" w:rsidRPr="00D667D5" w:rsidTr="00FA4168">
        <w:tc>
          <w:tcPr>
            <w:tcW w:w="3005" w:type="dxa"/>
          </w:tcPr>
          <w:p w:rsidR="009B2DE4" w:rsidRPr="00D667D5" w:rsidRDefault="00D026E9" w:rsidP="00D026E9">
            <w:pPr>
              <w:rPr>
                <w:rFonts w:ascii="Arial" w:hAnsi="Arial" w:cs="Arial"/>
                <w:sz w:val="18"/>
                <w:szCs w:val="18"/>
              </w:rPr>
            </w:pPr>
            <w:r w:rsidRPr="00D667D5">
              <w:rPr>
                <w:rFonts w:ascii="Arial" w:hAnsi="Arial" w:cs="Arial"/>
                <w:sz w:val="18"/>
                <w:szCs w:val="18"/>
              </w:rPr>
              <w:lastRenderedPageBreak/>
              <w:t>Pest interceptions are reducing due as the efficacy of pest management on traded goods improves</w:t>
            </w:r>
          </w:p>
        </w:tc>
        <w:tc>
          <w:tcPr>
            <w:tcW w:w="3005" w:type="dxa"/>
          </w:tcPr>
          <w:p w:rsidR="009B2DE4" w:rsidRPr="00D667D5" w:rsidRDefault="00D026E9" w:rsidP="00D808ED">
            <w:pPr>
              <w:rPr>
                <w:rFonts w:ascii="Arial" w:hAnsi="Arial" w:cs="Arial"/>
                <w:sz w:val="18"/>
                <w:szCs w:val="18"/>
              </w:rPr>
            </w:pPr>
            <w:r w:rsidRPr="00D667D5">
              <w:rPr>
                <w:rFonts w:ascii="Arial" w:hAnsi="Arial" w:cs="Arial"/>
                <w:sz w:val="18"/>
                <w:szCs w:val="18"/>
              </w:rPr>
              <w:t>Fewer pests intercepted on imported goods</w:t>
            </w:r>
          </w:p>
          <w:p w:rsidR="00D026E9" w:rsidRPr="00D667D5" w:rsidRDefault="00D026E9" w:rsidP="00D808ED">
            <w:pPr>
              <w:rPr>
                <w:rFonts w:ascii="Arial" w:hAnsi="Arial" w:cs="Arial"/>
                <w:sz w:val="18"/>
                <w:szCs w:val="18"/>
              </w:rPr>
            </w:pPr>
            <w:r w:rsidRPr="00D667D5">
              <w:rPr>
                <w:rFonts w:ascii="Arial" w:hAnsi="Arial" w:cs="Arial"/>
                <w:sz w:val="18"/>
                <w:szCs w:val="18"/>
              </w:rPr>
              <w:t>Increased pest reporting</w:t>
            </w:r>
          </w:p>
          <w:p w:rsidR="00D026E9" w:rsidRPr="00D667D5" w:rsidRDefault="00D026E9" w:rsidP="00D026E9">
            <w:pPr>
              <w:rPr>
                <w:rFonts w:ascii="Arial" w:hAnsi="Arial" w:cs="Arial"/>
                <w:sz w:val="18"/>
                <w:szCs w:val="18"/>
              </w:rPr>
            </w:pPr>
            <w:r w:rsidRPr="00D667D5">
              <w:rPr>
                <w:rFonts w:ascii="Arial" w:hAnsi="Arial" w:cs="Arial"/>
                <w:sz w:val="18"/>
                <w:szCs w:val="18"/>
              </w:rPr>
              <w:t>Non-compliance reporting systems used consistent with ISPM 13</w:t>
            </w:r>
          </w:p>
        </w:tc>
        <w:tc>
          <w:tcPr>
            <w:tcW w:w="3006" w:type="dxa"/>
          </w:tcPr>
          <w:p w:rsidR="009B2DE4" w:rsidRPr="00D667D5" w:rsidRDefault="00E60DD5" w:rsidP="00D808ED">
            <w:pPr>
              <w:rPr>
                <w:rFonts w:ascii="Arial" w:hAnsi="Arial" w:cs="Arial"/>
                <w:sz w:val="18"/>
                <w:szCs w:val="18"/>
              </w:rPr>
            </w:pPr>
            <w:r w:rsidRPr="00D667D5">
              <w:rPr>
                <w:rFonts w:ascii="Arial" w:hAnsi="Arial" w:cs="Arial"/>
                <w:sz w:val="18"/>
                <w:szCs w:val="18"/>
              </w:rPr>
              <w:t>Interception data</w:t>
            </w:r>
          </w:p>
          <w:p w:rsidR="00E60DD5" w:rsidRPr="00D667D5" w:rsidRDefault="00E60DD5" w:rsidP="00D808ED">
            <w:pPr>
              <w:rPr>
                <w:rFonts w:ascii="Arial" w:hAnsi="Arial" w:cs="Arial"/>
                <w:sz w:val="18"/>
                <w:szCs w:val="18"/>
              </w:rPr>
            </w:pPr>
            <w:r w:rsidRPr="00D667D5">
              <w:rPr>
                <w:rFonts w:ascii="Arial" w:hAnsi="Arial" w:cs="Arial"/>
                <w:sz w:val="18"/>
                <w:szCs w:val="18"/>
              </w:rPr>
              <w:t>Non-compliance reporting</w:t>
            </w:r>
          </w:p>
          <w:p w:rsidR="00E60DD5" w:rsidRPr="00D667D5" w:rsidRDefault="00E60DD5" w:rsidP="00D808ED">
            <w:pPr>
              <w:rPr>
                <w:rFonts w:ascii="Arial" w:hAnsi="Arial" w:cs="Arial"/>
                <w:sz w:val="18"/>
                <w:szCs w:val="18"/>
              </w:rPr>
            </w:pPr>
            <w:r w:rsidRPr="00D667D5">
              <w:rPr>
                <w:rFonts w:ascii="Arial" w:hAnsi="Arial" w:cs="Arial"/>
                <w:sz w:val="18"/>
                <w:szCs w:val="18"/>
              </w:rPr>
              <w:t>Pest reports</w:t>
            </w:r>
            <w:r w:rsidR="00CD708B" w:rsidRPr="00D667D5">
              <w:rPr>
                <w:rFonts w:ascii="Arial" w:hAnsi="Arial" w:cs="Arial"/>
                <w:sz w:val="18"/>
                <w:szCs w:val="18"/>
              </w:rPr>
              <w:t xml:space="preserve"> by country</w:t>
            </w:r>
          </w:p>
          <w:p w:rsidR="00D026E9" w:rsidRPr="00D667D5" w:rsidRDefault="00D026E9" w:rsidP="00D808ED">
            <w:pPr>
              <w:rPr>
                <w:rFonts w:ascii="Arial" w:hAnsi="Arial" w:cs="Arial"/>
                <w:sz w:val="18"/>
                <w:szCs w:val="18"/>
              </w:rPr>
            </w:pPr>
            <w:r w:rsidRPr="00D667D5">
              <w:rPr>
                <w:rFonts w:ascii="Arial" w:hAnsi="Arial" w:cs="Arial"/>
                <w:sz w:val="18"/>
                <w:szCs w:val="18"/>
              </w:rPr>
              <w:t>Remedial actions identified and implemented</w:t>
            </w:r>
          </w:p>
        </w:tc>
      </w:tr>
      <w:tr w:rsidR="007D48B8" w:rsidRPr="00D667D5" w:rsidTr="00FA4168">
        <w:tc>
          <w:tcPr>
            <w:tcW w:w="3005" w:type="dxa"/>
          </w:tcPr>
          <w:p w:rsidR="007D48B8" w:rsidRPr="00D667D5" w:rsidRDefault="00CD708B" w:rsidP="00D808ED">
            <w:pPr>
              <w:rPr>
                <w:rFonts w:ascii="Arial" w:hAnsi="Arial" w:cs="Arial"/>
                <w:sz w:val="18"/>
                <w:szCs w:val="18"/>
              </w:rPr>
            </w:pPr>
            <w:r w:rsidRPr="00D667D5">
              <w:rPr>
                <w:rFonts w:ascii="Arial" w:hAnsi="Arial" w:cs="Arial"/>
                <w:sz w:val="18"/>
                <w:szCs w:val="18"/>
              </w:rPr>
              <w:t>Integrity of export and import assurance</w:t>
            </w:r>
          </w:p>
        </w:tc>
        <w:tc>
          <w:tcPr>
            <w:tcW w:w="3005" w:type="dxa"/>
          </w:tcPr>
          <w:p w:rsidR="007D48B8" w:rsidRPr="00D667D5" w:rsidRDefault="00D026E9" w:rsidP="00D808ED">
            <w:pPr>
              <w:rPr>
                <w:rFonts w:ascii="Arial" w:hAnsi="Arial" w:cs="Arial"/>
                <w:sz w:val="18"/>
                <w:szCs w:val="18"/>
              </w:rPr>
            </w:pPr>
            <w:r w:rsidRPr="00D667D5">
              <w:rPr>
                <w:rFonts w:ascii="Arial" w:hAnsi="Arial" w:cs="Arial"/>
                <w:sz w:val="18"/>
                <w:szCs w:val="18"/>
              </w:rPr>
              <w:t>Implementation guidance available</w:t>
            </w:r>
          </w:p>
          <w:p w:rsidR="00D026E9" w:rsidRPr="00D667D5" w:rsidRDefault="00D026E9" w:rsidP="00D808ED">
            <w:pPr>
              <w:rPr>
                <w:rFonts w:ascii="Arial" w:hAnsi="Arial" w:cs="Arial"/>
                <w:sz w:val="18"/>
                <w:szCs w:val="18"/>
              </w:rPr>
            </w:pPr>
            <w:r w:rsidRPr="00D667D5">
              <w:rPr>
                <w:rFonts w:ascii="Arial" w:hAnsi="Arial" w:cs="Arial"/>
                <w:sz w:val="18"/>
                <w:szCs w:val="18"/>
              </w:rPr>
              <w:t>Training available and accessed by CPs</w:t>
            </w:r>
          </w:p>
          <w:p w:rsidR="00D026E9" w:rsidRPr="00D667D5" w:rsidRDefault="00D026E9" w:rsidP="00D808ED">
            <w:pPr>
              <w:rPr>
                <w:rFonts w:ascii="Arial" w:hAnsi="Arial" w:cs="Arial"/>
                <w:sz w:val="18"/>
                <w:szCs w:val="18"/>
              </w:rPr>
            </w:pPr>
          </w:p>
        </w:tc>
        <w:tc>
          <w:tcPr>
            <w:tcW w:w="3006" w:type="dxa"/>
          </w:tcPr>
          <w:p w:rsidR="007D48B8" w:rsidRPr="00D667D5" w:rsidRDefault="00995C2A" w:rsidP="00D808ED">
            <w:pPr>
              <w:rPr>
                <w:rFonts w:ascii="Arial" w:hAnsi="Arial" w:cs="Arial"/>
                <w:sz w:val="18"/>
                <w:szCs w:val="18"/>
              </w:rPr>
            </w:pPr>
            <w:r w:rsidRPr="00D667D5">
              <w:rPr>
                <w:rFonts w:ascii="Arial" w:hAnsi="Arial" w:cs="Arial"/>
                <w:sz w:val="18"/>
                <w:szCs w:val="18"/>
              </w:rPr>
              <w:t>Training programs available</w:t>
            </w:r>
          </w:p>
          <w:p w:rsidR="00995C2A" w:rsidRPr="00D667D5" w:rsidRDefault="00995C2A" w:rsidP="00995C2A">
            <w:pPr>
              <w:rPr>
                <w:rFonts w:ascii="Arial" w:hAnsi="Arial" w:cs="Arial"/>
                <w:sz w:val="18"/>
                <w:szCs w:val="18"/>
              </w:rPr>
            </w:pPr>
            <w:r w:rsidRPr="00D667D5">
              <w:rPr>
                <w:rFonts w:ascii="Arial" w:hAnsi="Arial" w:cs="Arial"/>
                <w:sz w:val="18"/>
                <w:szCs w:val="18"/>
              </w:rPr>
              <w:t>PCE assessments of capacity and capability</w:t>
            </w:r>
          </w:p>
          <w:p w:rsidR="00995C2A" w:rsidRPr="00D667D5" w:rsidRDefault="00995C2A" w:rsidP="00995C2A">
            <w:pPr>
              <w:rPr>
                <w:rFonts w:ascii="Arial" w:hAnsi="Arial" w:cs="Arial"/>
                <w:sz w:val="18"/>
                <w:szCs w:val="18"/>
              </w:rPr>
            </w:pPr>
            <w:r w:rsidRPr="00D667D5">
              <w:rPr>
                <w:rFonts w:ascii="Arial" w:hAnsi="Arial" w:cs="Arial"/>
                <w:sz w:val="18"/>
                <w:szCs w:val="18"/>
              </w:rPr>
              <w:t>Number of assurance systems in place</w:t>
            </w:r>
          </w:p>
          <w:p w:rsidR="00995C2A" w:rsidRPr="00D667D5" w:rsidRDefault="00995C2A" w:rsidP="00995C2A">
            <w:pPr>
              <w:rPr>
                <w:rFonts w:ascii="Arial" w:hAnsi="Arial" w:cs="Arial"/>
                <w:sz w:val="18"/>
                <w:szCs w:val="18"/>
              </w:rPr>
            </w:pPr>
            <w:r w:rsidRPr="00D667D5">
              <w:rPr>
                <w:rFonts w:ascii="Arial" w:hAnsi="Arial" w:cs="Arial"/>
                <w:sz w:val="18"/>
                <w:szCs w:val="18"/>
              </w:rPr>
              <w:t>Volume of trade that systems support</w:t>
            </w:r>
          </w:p>
          <w:p w:rsidR="00995C2A" w:rsidRPr="00D667D5" w:rsidRDefault="00995C2A" w:rsidP="00995C2A">
            <w:pPr>
              <w:rPr>
                <w:rFonts w:ascii="Arial" w:hAnsi="Arial" w:cs="Arial"/>
                <w:sz w:val="18"/>
                <w:szCs w:val="18"/>
              </w:rPr>
            </w:pPr>
            <w:r w:rsidRPr="00D667D5">
              <w:rPr>
                <w:rFonts w:ascii="Arial" w:hAnsi="Arial" w:cs="Arial"/>
                <w:sz w:val="18"/>
                <w:szCs w:val="18"/>
              </w:rPr>
              <w:t>Published lists of competent third-party entities</w:t>
            </w:r>
          </w:p>
        </w:tc>
      </w:tr>
      <w:tr w:rsidR="009B2DE4" w:rsidRPr="00D667D5" w:rsidTr="00FA4168">
        <w:tc>
          <w:tcPr>
            <w:tcW w:w="3005" w:type="dxa"/>
          </w:tcPr>
          <w:p w:rsidR="009B2DE4" w:rsidRPr="00D667D5" w:rsidRDefault="00A12F71" w:rsidP="00D808ED">
            <w:pPr>
              <w:rPr>
                <w:rFonts w:ascii="Arial" w:hAnsi="Arial" w:cs="Arial"/>
                <w:sz w:val="18"/>
                <w:szCs w:val="18"/>
              </w:rPr>
            </w:pPr>
            <w:r w:rsidRPr="00D667D5">
              <w:rPr>
                <w:rFonts w:ascii="Arial" w:hAnsi="Arial" w:cs="Arial"/>
                <w:sz w:val="18"/>
                <w:szCs w:val="18"/>
              </w:rPr>
              <w:t>Efficiency of export certification systems</w:t>
            </w:r>
          </w:p>
        </w:tc>
        <w:tc>
          <w:tcPr>
            <w:tcW w:w="3005" w:type="dxa"/>
          </w:tcPr>
          <w:p w:rsidR="009B2DE4" w:rsidRPr="00D667D5" w:rsidRDefault="00995C2A" w:rsidP="00D808ED">
            <w:pPr>
              <w:rPr>
                <w:rFonts w:ascii="Arial" w:hAnsi="Arial" w:cs="Arial"/>
                <w:sz w:val="18"/>
                <w:szCs w:val="18"/>
              </w:rPr>
            </w:pPr>
            <w:proofErr w:type="spellStart"/>
            <w:r w:rsidRPr="00D667D5">
              <w:rPr>
                <w:rFonts w:ascii="Arial" w:hAnsi="Arial" w:cs="Arial"/>
                <w:sz w:val="18"/>
                <w:szCs w:val="18"/>
              </w:rPr>
              <w:t>EPhyto</w:t>
            </w:r>
            <w:proofErr w:type="spellEnd"/>
            <w:r w:rsidRPr="00D667D5">
              <w:rPr>
                <w:rFonts w:ascii="Arial" w:hAnsi="Arial" w:cs="Arial"/>
                <w:sz w:val="18"/>
                <w:szCs w:val="18"/>
              </w:rPr>
              <w:t xml:space="preserve"> systems implemented and available to all CPs</w:t>
            </w:r>
          </w:p>
          <w:p w:rsidR="00995C2A" w:rsidRPr="00D667D5" w:rsidRDefault="00995C2A" w:rsidP="00995C2A">
            <w:pPr>
              <w:rPr>
                <w:rFonts w:ascii="Arial" w:hAnsi="Arial" w:cs="Arial"/>
                <w:sz w:val="18"/>
                <w:szCs w:val="18"/>
              </w:rPr>
            </w:pPr>
            <w:r w:rsidRPr="00D667D5">
              <w:rPr>
                <w:rFonts w:ascii="Arial" w:hAnsi="Arial" w:cs="Arial"/>
                <w:sz w:val="18"/>
                <w:szCs w:val="18"/>
              </w:rPr>
              <w:t xml:space="preserve">Milestones in the 5-year </w:t>
            </w:r>
            <w:proofErr w:type="spellStart"/>
            <w:r w:rsidRPr="00D667D5">
              <w:rPr>
                <w:rFonts w:ascii="Arial" w:hAnsi="Arial" w:cs="Arial"/>
                <w:sz w:val="18"/>
                <w:szCs w:val="18"/>
              </w:rPr>
              <w:t>ephyto</w:t>
            </w:r>
            <w:proofErr w:type="spellEnd"/>
            <w:r w:rsidRPr="00D667D5">
              <w:rPr>
                <w:rFonts w:ascii="Arial" w:hAnsi="Arial" w:cs="Arial"/>
                <w:sz w:val="18"/>
                <w:szCs w:val="18"/>
              </w:rPr>
              <w:t xml:space="preserve"> implementation plan in achieved</w:t>
            </w:r>
          </w:p>
        </w:tc>
        <w:tc>
          <w:tcPr>
            <w:tcW w:w="3006" w:type="dxa"/>
          </w:tcPr>
          <w:p w:rsidR="009B2DE4" w:rsidRPr="00D667D5" w:rsidRDefault="00995C2A" w:rsidP="00D808ED">
            <w:pPr>
              <w:rPr>
                <w:rFonts w:ascii="Arial" w:hAnsi="Arial" w:cs="Arial"/>
                <w:sz w:val="18"/>
                <w:szCs w:val="18"/>
              </w:rPr>
            </w:pPr>
            <w:proofErr w:type="spellStart"/>
            <w:r w:rsidRPr="00D667D5">
              <w:rPr>
                <w:rFonts w:ascii="Arial" w:hAnsi="Arial" w:cs="Arial"/>
                <w:sz w:val="18"/>
                <w:szCs w:val="18"/>
              </w:rPr>
              <w:t>Ephyto</w:t>
            </w:r>
            <w:proofErr w:type="spellEnd"/>
            <w:r w:rsidRPr="00D667D5">
              <w:rPr>
                <w:rFonts w:ascii="Arial" w:hAnsi="Arial" w:cs="Arial"/>
                <w:sz w:val="18"/>
                <w:szCs w:val="18"/>
              </w:rPr>
              <w:t xml:space="preserve"> implementation and impact measured and reported</w:t>
            </w:r>
          </w:p>
          <w:p w:rsidR="00995C2A" w:rsidRPr="00D667D5" w:rsidRDefault="00995C2A" w:rsidP="00D808ED">
            <w:pPr>
              <w:rPr>
                <w:rFonts w:ascii="Arial" w:hAnsi="Arial" w:cs="Arial"/>
                <w:sz w:val="18"/>
                <w:szCs w:val="18"/>
              </w:rPr>
            </w:pPr>
            <w:r w:rsidRPr="00D667D5">
              <w:rPr>
                <w:rFonts w:ascii="Arial" w:hAnsi="Arial" w:cs="Arial"/>
                <w:sz w:val="18"/>
                <w:szCs w:val="18"/>
              </w:rPr>
              <w:t>Number of fraudulent certificates over time</w:t>
            </w:r>
          </w:p>
        </w:tc>
      </w:tr>
      <w:tr w:rsidR="00FA4168" w:rsidRPr="00D667D5" w:rsidTr="00FA4168">
        <w:tc>
          <w:tcPr>
            <w:tcW w:w="3005" w:type="dxa"/>
          </w:tcPr>
          <w:p w:rsidR="00FA4168" w:rsidRPr="00D667D5" w:rsidRDefault="00995C2A" w:rsidP="00D808ED">
            <w:pPr>
              <w:rPr>
                <w:rFonts w:ascii="Arial" w:hAnsi="Arial" w:cs="Arial"/>
                <w:sz w:val="18"/>
                <w:szCs w:val="18"/>
              </w:rPr>
            </w:pPr>
            <w:r w:rsidRPr="00D667D5">
              <w:rPr>
                <w:rFonts w:ascii="Arial" w:hAnsi="Arial" w:cs="Arial"/>
                <w:sz w:val="18"/>
                <w:szCs w:val="18"/>
              </w:rPr>
              <w:t>Expert p</w:t>
            </w:r>
            <w:r w:rsidR="0072580A" w:rsidRPr="00D667D5">
              <w:rPr>
                <w:rFonts w:ascii="Arial" w:hAnsi="Arial" w:cs="Arial"/>
                <w:sz w:val="18"/>
                <w:szCs w:val="18"/>
              </w:rPr>
              <w:t>hytosanitary advice</w:t>
            </w:r>
            <w:r w:rsidRPr="00D667D5">
              <w:rPr>
                <w:rFonts w:ascii="Arial" w:hAnsi="Arial" w:cs="Arial"/>
                <w:sz w:val="18"/>
                <w:szCs w:val="18"/>
              </w:rPr>
              <w:t xml:space="preserve"> available</w:t>
            </w:r>
          </w:p>
          <w:p w:rsidR="007D48B8" w:rsidRPr="00D667D5" w:rsidRDefault="007D48B8" w:rsidP="00D808ED">
            <w:pPr>
              <w:rPr>
                <w:rFonts w:ascii="Arial" w:hAnsi="Arial" w:cs="Arial"/>
                <w:sz w:val="18"/>
                <w:szCs w:val="18"/>
              </w:rPr>
            </w:pPr>
          </w:p>
        </w:tc>
        <w:tc>
          <w:tcPr>
            <w:tcW w:w="3005" w:type="dxa"/>
          </w:tcPr>
          <w:p w:rsidR="00FA4168" w:rsidRPr="00D667D5" w:rsidRDefault="00995C2A" w:rsidP="00D808ED">
            <w:pPr>
              <w:rPr>
                <w:rFonts w:ascii="Arial" w:hAnsi="Arial" w:cs="Arial"/>
                <w:sz w:val="18"/>
                <w:szCs w:val="18"/>
              </w:rPr>
            </w:pPr>
            <w:r w:rsidRPr="00D667D5">
              <w:rPr>
                <w:rFonts w:ascii="Arial" w:hAnsi="Arial" w:cs="Arial"/>
                <w:sz w:val="18"/>
                <w:szCs w:val="18"/>
              </w:rPr>
              <w:t>Mechanism for seeking, providing and receiving expert advice implemented</w:t>
            </w:r>
          </w:p>
        </w:tc>
        <w:tc>
          <w:tcPr>
            <w:tcW w:w="3006" w:type="dxa"/>
          </w:tcPr>
          <w:p w:rsidR="00FA4168" w:rsidRPr="00D667D5" w:rsidRDefault="00995C2A" w:rsidP="00D808ED">
            <w:pPr>
              <w:rPr>
                <w:rFonts w:ascii="Arial" w:hAnsi="Arial" w:cs="Arial"/>
                <w:sz w:val="18"/>
                <w:szCs w:val="18"/>
              </w:rPr>
            </w:pPr>
            <w:r w:rsidRPr="00D667D5">
              <w:rPr>
                <w:rFonts w:ascii="Arial" w:hAnsi="Arial" w:cs="Arial"/>
                <w:sz w:val="18"/>
                <w:szCs w:val="18"/>
              </w:rPr>
              <w:t>Requests received</w:t>
            </w:r>
          </w:p>
          <w:p w:rsidR="00995C2A" w:rsidRPr="00D667D5" w:rsidRDefault="00995C2A" w:rsidP="00D808ED">
            <w:pPr>
              <w:rPr>
                <w:rFonts w:ascii="Arial" w:hAnsi="Arial" w:cs="Arial"/>
                <w:sz w:val="18"/>
                <w:szCs w:val="18"/>
              </w:rPr>
            </w:pPr>
            <w:r w:rsidRPr="00D667D5">
              <w:rPr>
                <w:rFonts w:ascii="Arial" w:hAnsi="Arial" w:cs="Arial"/>
                <w:sz w:val="18"/>
                <w:szCs w:val="18"/>
              </w:rPr>
              <w:t>Advice provided</w:t>
            </w:r>
          </w:p>
          <w:p w:rsidR="00995C2A" w:rsidRPr="00D667D5" w:rsidRDefault="00995C2A" w:rsidP="00D808ED">
            <w:pPr>
              <w:rPr>
                <w:rFonts w:ascii="Arial" w:hAnsi="Arial" w:cs="Arial"/>
                <w:sz w:val="18"/>
                <w:szCs w:val="18"/>
              </w:rPr>
            </w:pPr>
            <w:r w:rsidRPr="00D667D5">
              <w:rPr>
                <w:rFonts w:ascii="Arial" w:hAnsi="Arial" w:cs="Arial"/>
                <w:sz w:val="18"/>
                <w:szCs w:val="18"/>
              </w:rPr>
              <w:t>Analytics on nature, source etc. of requests, issues</w:t>
            </w:r>
          </w:p>
        </w:tc>
      </w:tr>
    </w:tbl>
    <w:p w:rsidR="00F17EC6" w:rsidRDefault="00F17EC6" w:rsidP="00D808ED"/>
    <w:p w:rsidR="00C43CFF" w:rsidRPr="00D667D5" w:rsidRDefault="00626062" w:rsidP="00C43CFF">
      <w:pPr>
        <w:rPr>
          <w:rFonts w:eastAsiaTheme="majorEastAsia" w:cstheme="majorBidi"/>
          <w:b/>
          <w:sz w:val="32"/>
          <w:szCs w:val="32"/>
        </w:rPr>
      </w:pPr>
      <w:r>
        <w:rPr>
          <w:rFonts w:eastAsiaTheme="majorEastAsia" w:cstheme="majorBidi"/>
          <w:b/>
          <w:sz w:val="40"/>
          <w:szCs w:val="40"/>
        </w:rPr>
        <w:br w:type="column"/>
      </w:r>
      <w:r w:rsidRPr="00D667D5">
        <w:rPr>
          <w:rFonts w:eastAsiaTheme="majorEastAsia" w:cstheme="majorBidi"/>
          <w:b/>
          <w:sz w:val="32"/>
          <w:szCs w:val="32"/>
        </w:rPr>
        <w:lastRenderedPageBreak/>
        <w:t xml:space="preserve">2. </w:t>
      </w:r>
      <w:r w:rsidR="00C43CFF" w:rsidRPr="00D667D5">
        <w:rPr>
          <w:rFonts w:eastAsiaTheme="majorEastAsia" w:cstheme="majorBidi"/>
          <w:b/>
          <w:sz w:val="32"/>
          <w:szCs w:val="32"/>
        </w:rPr>
        <w:t>Core Activities</w:t>
      </w:r>
    </w:p>
    <w:p w:rsidR="00C43CFF" w:rsidRPr="00C43CFF" w:rsidRDefault="00C43CFF" w:rsidP="00C43CFF">
      <w:pPr>
        <w:pStyle w:val="Heading3"/>
        <w:rPr>
          <w:b w:val="0"/>
        </w:rPr>
      </w:pPr>
      <w:r w:rsidRPr="00C43CFF">
        <w:t>Standard Setting</w:t>
      </w:r>
    </w:p>
    <w:p w:rsidR="00C43CFF" w:rsidRPr="00EE619D" w:rsidRDefault="00C43CFF" w:rsidP="00C43CFF">
      <w:r>
        <w:t xml:space="preserve">Standards developed under the auspices of the </w:t>
      </w:r>
      <w:r w:rsidRPr="00EE619D">
        <w:t xml:space="preserve">IPPC </w:t>
      </w:r>
      <w:r>
        <w:t>Secretariat are</w:t>
      </w:r>
      <w:r w:rsidRPr="00EE619D">
        <w:t xml:space="preserve"> recognized by the World Trade Organization (WTO) Agreement on the Application of Sanitary and Phytosanitary Measures (the SPS Agreement) as the only international standard setting body for plant h</w:t>
      </w:r>
      <w:r w:rsidR="000708DB">
        <w:t>ealth.  ISPMs</w:t>
      </w:r>
      <w:r w:rsidRPr="00EE619D">
        <w:t xml:space="preserve"> are adopted by the Commission </w:t>
      </w:r>
      <w:r>
        <w:t xml:space="preserve">and </w:t>
      </w:r>
      <w:r w:rsidRPr="00EE619D">
        <w:t xml:space="preserve">come into force once countries establish aligned requirements within their national legislation.  The standards </w:t>
      </w:r>
      <w:r>
        <w:t>of</w:t>
      </w:r>
      <w:r w:rsidRPr="00EE619D">
        <w:t xml:space="preserve"> the </w:t>
      </w:r>
      <w:r>
        <w:t>IPPC</w:t>
      </w:r>
      <w:r w:rsidRPr="00EE619D">
        <w:t xml:space="preserve"> are recognized as the basis for phytosanitary measures applied in trade by the Members of the World Trade Organization.  </w:t>
      </w:r>
    </w:p>
    <w:p w:rsidR="00C43CFF" w:rsidRPr="00EE619D" w:rsidRDefault="00C43CFF" w:rsidP="00C43CFF">
      <w:r w:rsidRPr="00EE619D">
        <w:t xml:space="preserve">The standard setting work of the IPPC is led by the Commission’s Standards Committee.  The Standards Committee is supported by various technical panels, </w:t>
      </w:r>
      <w:r>
        <w:t xml:space="preserve">expert </w:t>
      </w:r>
      <w:r w:rsidRPr="00EE619D">
        <w:t>working groups, and the IPPC Secretariat.</w:t>
      </w:r>
    </w:p>
    <w:p w:rsidR="00C43CFF" w:rsidRPr="00EE619D" w:rsidRDefault="00C43CFF" w:rsidP="00C43CFF">
      <w:r w:rsidRPr="00EE619D">
        <w:t>Three main types of standards have been developed to provide a</w:t>
      </w:r>
      <w:r>
        <w:t>n</w:t>
      </w:r>
      <w:r w:rsidRPr="00EE619D">
        <w:t xml:space="preserve"> internationally agreed approach for </w:t>
      </w:r>
      <w:r>
        <w:t xml:space="preserve">the harmonisation of </w:t>
      </w:r>
      <w:r w:rsidRPr="00EE619D">
        <w:t>phytosanitary regulation</w:t>
      </w:r>
      <w:r>
        <w:t>s</w:t>
      </w:r>
      <w:r w:rsidRPr="00EE619D">
        <w:t xml:space="preserve"> and to guide and assist NPPO’s in performing their various functions.</w:t>
      </w:r>
    </w:p>
    <w:p w:rsidR="00C43CFF" w:rsidRPr="00EE619D" w:rsidRDefault="00C43CFF" w:rsidP="001E6578">
      <w:pPr>
        <w:numPr>
          <w:ilvl w:val="0"/>
          <w:numId w:val="3"/>
        </w:numPr>
        <w:contextualSpacing/>
      </w:pPr>
      <w:r>
        <w:t xml:space="preserve">Foundational </w:t>
      </w:r>
      <w:r w:rsidRPr="00EE619D">
        <w:t>Standards – these establish internationally accepted principles and approaches for NPPO’s to undertake such activities as pest risk analysis, establishing pest free areas, surveillance, establishing a phytosanitary certification system, pest reporting, etc.</w:t>
      </w:r>
    </w:p>
    <w:p w:rsidR="00C43CFF" w:rsidRPr="00EE619D" w:rsidRDefault="00C43CFF" w:rsidP="001E6578">
      <w:pPr>
        <w:numPr>
          <w:ilvl w:val="0"/>
          <w:numId w:val="3"/>
        </w:numPr>
        <w:contextualSpacing/>
      </w:pPr>
      <w:r w:rsidRPr="00EE619D">
        <w:t xml:space="preserve">Phytosanitary treatments – these establish internationally accepted treatments for pests on commodities such as irradiation, fumigation, temperature treatment, etc. </w:t>
      </w:r>
    </w:p>
    <w:p w:rsidR="00C43CFF" w:rsidRPr="00EE619D" w:rsidRDefault="00C43CFF" w:rsidP="001E6578">
      <w:pPr>
        <w:numPr>
          <w:ilvl w:val="0"/>
          <w:numId w:val="3"/>
        </w:numPr>
        <w:contextualSpacing/>
      </w:pPr>
      <w:r w:rsidRPr="00EE619D">
        <w:t>Diagnostic Protocols – these are targeted at specific pests and establish the internationally accepted method for accurate diagnostic pest identification.</w:t>
      </w:r>
    </w:p>
    <w:p w:rsidR="000708DB" w:rsidRDefault="000708DB" w:rsidP="00C43CFF"/>
    <w:p w:rsidR="00C43CFF" w:rsidRPr="00EE619D" w:rsidRDefault="00C43CFF" w:rsidP="00C43CFF">
      <w:r w:rsidRPr="003945D6">
        <w:t xml:space="preserve">In addition, CPM recommendations are also adopted on a range of topics that </w:t>
      </w:r>
      <w:r>
        <w:t xml:space="preserve">are </w:t>
      </w:r>
      <w:r w:rsidRPr="003945D6">
        <w:t xml:space="preserve">highly relevant to contracting parties but not deemed suitable for the development of an ISPM.  </w:t>
      </w:r>
      <w:r w:rsidRPr="00EE619D">
        <w:t xml:space="preserve">The Commission is now </w:t>
      </w:r>
      <w:r>
        <w:t xml:space="preserve">starting to </w:t>
      </w:r>
      <w:r w:rsidRPr="00EE619D">
        <w:t xml:space="preserve">develop </w:t>
      </w:r>
      <w:r>
        <w:t>more ISPMs</w:t>
      </w:r>
      <w:r w:rsidRPr="00EE619D">
        <w:t xml:space="preserve"> for specific commodities and pathways. </w:t>
      </w:r>
      <w:r>
        <w:t>Examples include ISPM</w:t>
      </w:r>
      <w:r w:rsidR="000708DB">
        <w:t> </w:t>
      </w:r>
      <w:r>
        <w:t>15 for international movement of wood packaging and ISPM</w:t>
      </w:r>
      <w:r w:rsidR="000708DB">
        <w:t> </w:t>
      </w:r>
      <w:r>
        <w:t>41 for international movement of used vehicles, machinery and equipment</w:t>
      </w:r>
      <w:r w:rsidRPr="00EE619D">
        <w:t xml:space="preserve">.  Developing </w:t>
      </w:r>
      <w:r>
        <w:t>ISPMs</w:t>
      </w:r>
      <w:r w:rsidRPr="00EE619D">
        <w:t xml:space="preserve"> for major traded commodities </w:t>
      </w:r>
      <w:r>
        <w:t xml:space="preserve">including fresh produce and grain </w:t>
      </w:r>
      <w:r w:rsidRPr="00EE619D">
        <w:t>would fill a significant need when used as the starting point for market access agreements</w:t>
      </w:r>
      <w:r>
        <w:t xml:space="preserve">.  They </w:t>
      </w:r>
      <w:r w:rsidRPr="00EE619D">
        <w:t xml:space="preserve">have the potential to significantly simplify bilateral trade negotiations.  Similarly </w:t>
      </w:r>
      <w:r>
        <w:t>ISPMs</w:t>
      </w:r>
      <w:r w:rsidRPr="00EE619D">
        <w:t xml:space="preserve"> for pathways (such as used vehicles and machinery) </w:t>
      </w:r>
      <w:r>
        <w:t>will</w:t>
      </w:r>
      <w:r w:rsidRPr="00EE619D">
        <w:t xml:space="preserve"> do much to limit the spread of invasive alien species that commonly spread as contaminating pests on inanimate objects.</w:t>
      </w:r>
    </w:p>
    <w:p w:rsidR="00C43CFF" w:rsidRPr="00EE619D" w:rsidRDefault="00C43CFF" w:rsidP="00C43CFF">
      <w:r>
        <w:t xml:space="preserve">The Standards Committee works hard to ensure ISPMs are not only technically robust, but that they are also practical and can be implemented in real situations.  </w:t>
      </w:r>
      <w:r w:rsidRPr="00EE619D">
        <w:t>Increasingly the IPPC is in</w:t>
      </w:r>
      <w:r>
        <w:t xml:space="preserve">viting </w:t>
      </w:r>
      <w:r w:rsidRPr="00EE619D">
        <w:t xml:space="preserve">industry bodies </w:t>
      </w:r>
      <w:r>
        <w:t xml:space="preserve">to participate </w:t>
      </w:r>
      <w:r w:rsidRPr="00EE619D">
        <w:t xml:space="preserve">in </w:t>
      </w:r>
      <w:r>
        <w:t xml:space="preserve">expert </w:t>
      </w:r>
      <w:r w:rsidRPr="00EE619D">
        <w:t xml:space="preserve">working groups to provide advice on development of </w:t>
      </w:r>
      <w:r>
        <w:t>ISPMs</w:t>
      </w:r>
      <w:r w:rsidRPr="00EE619D">
        <w:t xml:space="preserve">.  </w:t>
      </w:r>
      <w:r>
        <w:t>Industry perspectives will further enhance the value of ISPMs</w:t>
      </w:r>
      <w:r w:rsidRPr="00EE619D">
        <w:t xml:space="preserve"> but </w:t>
      </w:r>
      <w:r>
        <w:t xml:space="preserve">some </w:t>
      </w:r>
      <w:r w:rsidRPr="00EE619D">
        <w:t xml:space="preserve">conflicts of interest </w:t>
      </w:r>
      <w:r>
        <w:t xml:space="preserve">may </w:t>
      </w:r>
      <w:r w:rsidRPr="00EE619D">
        <w:t xml:space="preserve">also </w:t>
      </w:r>
      <w:r>
        <w:t xml:space="preserve">arise </w:t>
      </w:r>
      <w:r w:rsidRPr="00EE619D">
        <w:t>and</w:t>
      </w:r>
      <w:r>
        <w:t xml:space="preserve"> these </w:t>
      </w:r>
      <w:r w:rsidRPr="00EE619D">
        <w:t xml:space="preserve">need to be </w:t>
      </w:r>
      <w:r>
        <w:t xml:space="preserve">recognised and </w:t>
      </w:r>
      <w:r w:rsidRPr="00EE619D">
        <w:t xml:space="preserve">managed. </w:t>
      </w:r>
    </w:p>
    <w:p w:rsidR="00C43CFF" w:rsidRPr="00D667D5" w:rsidRDefault="00C43CFF" w:rsidP="00C43CFF">
      <w:pPr>
        <w:rPr>
          <w:rFonts w:eastAsiaTheme="majorEastAsia" w:cs="Times New Roman"/>
          <w:sz w:val="24"/>
        </w:rPr>
      </w:pPr>
      <w:r w:rsidRPr="00D667D5">
        <w:rPr>
          <w:rFonts w:eastAsiaTheme="majorEastAsia" w:cs="Times New Roman"/>
          <w:sz w:val="24"/>
        </w:rPr>
        <w:t>2030 Key Result Areas</w:t>
      </w:r>
      <w:r w:rsidR="004D5BAD" w:rsidRPr="00D667D5">
        <w:rPr>
          <w:rFonts w:eastAsiaTheme="majorEastAsia" w:cs="Times New Roman"/>
          <w:sz w:val="24"/>
        </w:rPr>
        <w:t xml:space="preserve"> – Standards Setting</w:t>
      </w:r>
    </w:p>
    <w:p w:rsidR="00C43CFF" w:rsidRPr="00EE619D" w:rsidRDefault="00C43CFF" w:rsidP="000708DB">
      <w:pPr>
        <w:ind w:left="1134" w:hanging="567"/>
        <w:contextualSpacing/>
      </w:pPr>
      <w:r>
        <w:t>SS1:</w:t>
      </w:r>
      <w:r w:rsidR="000708DB">
        <w:tab/>
      </w:r>
      <w:r>
        <w:t>M</w:t>
      </w:r>
      <w:r w:rsidRPr="00EE619D">
        <w:t xml:space="preserve">ajor traded commodities </w:t>
      </w:r>
      <w:r>
        <w:t>and</w:t>
      </w:r>
      <w:r w:rsidRPr="00EE619D">
        <w:t xml:space="preserve"> trade pathways are covered by </w:t>
      </w:r>
      <w:r>
        <w:t>commodity or pathway specific</w:t>
      </w:r>
      <w:r w:rsidRPr="00EE619D">
        <w:t xml:space="preserve"> ISPM</w:t>
      </w:r>
      <w:r>
        <w:t>s</w:t>
      </w:r>
      <w:r w:rsidRPr="00EE619D">
        <w:t xml:space="preserve"> adopted or being developed by the commission.</w:t>
      </w:r>
    </w:p>
    <w:p w:rsidR="00C43CFF" w:rsidRPr="00EE619D" w:rsidRDefault="00C43CFF" w:rsidP="000708DB">
      <w:pPr>
        <w:ind w:left="1134" w:hanging="567"/>
        <w:contextualSpacing/>
      </w:pPr>
      <w:r>
        <w:t>SS2:</w:t>
      </w:r>
      <w:r w:rsidR="000708DB">
        <w:tab/>
      </w:r>
      <w:r w:rsidRPr="00EE619D">
        <w:t>NPPOs can be seen to be basing their phytosanitary systems and import requirements on adopted ISPMs.</w:t>
      </w:r>
    </w:p>
    <w:p w:rsidR="00C43CFF" w:rsidRPr="00EE619D" w:rsidRDefault="00C43CFF" w:rsidP="000708DB">
      <w:pPr>
        <w:ind w:left="1134" w:hanging="567"/>
        <w:contextualSpacing/>
      </w:pPr>
      <w:r>
        <w:t>SS3:</w:t>
      </w:r>
      <w:r w:rsidR="000708DB">
        <w:tab/>
      </w:r>
      <w:r w:rsidRPr="00EE619D">
        <w:t>Efficient mechanisms are in place to globally coordinate plant health research, with evidence that duplication of effort is reducing.</w:t>
      </w:r>
    </w:p>
    <w:p w:rsidR="00C43CFF" w:rsidRDefault="00C43CFF" w:rsidP="00C43CFF">
      <w:pPr>
        <w:rPr>
          <w:b/>
          <w:color w:val="A6A6A6" w:themeColor="background1" w:themeShade="A6"/>
        </w:rPr>
      </w:pPr>
    </w:p>
    <w:tbl>
      <w:tblPr>
        <w:tblStyle w:val="TableGrid"/>
        <w:tblW w:w="0" w:type="auto"/>
        <w:tblLook w:val="04A0" w:firstRow="1" w:lastRow="0" w:firstColumn="1" w:lastColumn="0" w:noHBand="0" w:noVBand="1"/>
      </w:tblPr>
      <w:tblGrid>
        <w:gridCol w:w="3005"/>
        <w:gridCol w:w="3005"/>
        <w:gridCol w:w="3006"/>
      </w:tblGrid>
      <w:tr w:rsidR="00C43CFF" w:rsidRPr="00D667D5" w:rsidTr="003B580E">
        <w:trPr>
          <w:tblHeader/>
        </w:trPr>
        <w:tc>
          <w:tcPr>
            <w:tcW w:w="3005"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Key result area</w:t>
            </w:r>
          </w:p>
          <w:p w:rsidR="00C43CFF" w:rsidRPr="00D667D5" w:rsidRDefault="00C43CFF" w:rsidP="00A77EDE">
            <w:pPr>
              <w:rPr>
                <w:rFonts w:ascii="Arial" w:hAnsi="Arial" w:cs="Arial"/>
                <w:b/>
                <w:sz w:val="18"/>
                <w:szCs w:val="18"/>
              </w:rPr>
            </w:pPr>
          </w:p>
        </w:tc>
        <w:tc>
          <w:tcPr>
            <w:tcW w:w="3005"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Performance indicator</w:t>
            </w:r>
          </w:p>
        </w:tc>
        <w:tc>
          <w:tcPr>
            <w:tcW w:w="3006"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Measure</w:t>
            </w:r>
            <w:r w:rsidR="00D1755E" w:rsidRPr="00D667D5">
              <w:rPr>
                <w:rFonts w:ascii="Arial" w:hAnsi="Arial" w:cs="Arial"/>
                <w:b/>
                <w:sz w:val="18"/>
                <w:szCs w:val="18"/>
              </w:rPr>
              <w:t>ment</w:t>
            </w:r>
          </w:p>
        </w:tc>
      </w:tr>
      <w:tr w:rsidR="00A77EDE" w:rsidRPr="00D667D5" w:rsidTr="00A77EDE">
        <w:tc>
          <w:tcPr>
            <w:tcW w:w="9016" w:type="dxa"/>
            <w:gridSpan w:val="3"/>
          </w:tcPr>
          <w:p w:rsidR="00A77EDE" w:rsidRPr="00D667D5" w:rsidRDefault="00A77EDE" w:rsidP="00A77EDE">
            <w:pPr>
              <w:rPr>
                <w:rFonts w:ascii="Arial" w:hAnsi="Arial" w:cs="Arial"/>
                <w:i/>
                <w:sz w:val="18"/>
                <w:szCs w:val="18"/>
              </w:rPr>
            </w:pPr>
            <w:r w:rsidRPr="00D667D5">
              <w:rPr>
                <w:rFonts w:ascii="Arial" w:hAnsi="Arial" w:cs="Arial"/>
                <w:i/>
                <w:sz w:val="18"/>
                <w:szCs w:val="18"/>
              </w:rPr>
              <w:t>Refer commodity and pathway standards – Development Agenda 2.</w:t>
            </w:r>
          </w:p>
        </w:tc>
      </w:tr>
      <w:tr w:rsidR="00324ACE" w:rsidRPr="00D667D5" w:rsidTr="00A77EDE">
        <w:tc>
          <w:tcPr>
            <w:tcW w:w="3005" w:type="dxa"/>
          </w:tcPr>
          <w:p w:rsidR="00324ACE" w:rsidRPr="00D667D5" w:rsidRDefault="00A77EDE" w:rsidP="00A77EDE">
            <w:pPr>
              <w:rPr>
                <w:rFonts w:ascii="Arial" w:hAnsi="Arial" w:cs="Arial"/>
                <w:sz w:val="18"/>
                <w:szCs w:val="18"/>
              </w:rPr>
            </w:pPr>
            <w:r w:rsidRPr="00D667D5">
              <w:rPr>
                <w:rFonts w:ascii="Arial" w:hAnsi="Arial" w:cs="Arial"/>
                <w:sz w:val="18"/>
                <w:szCs w:val="18"/>
              </w:rPr>
              <w:t>Phytosanitary systems and import requirements are based on adopted ISPMs</w:t>
            </w:r>
          </w:p>
        </w:tc>
        <w:tc>
          <w:tcPr>
            <w:tcW w:w="3005" w:type="dxa"/>
          </w:tcPr>
          <w:p w:rsidR="00324ACE" w:rsidRPr="00D667D5" w:rsidRDefault="00A77EDE" w:rsidP="00A77EDE">
            <w:pPr>
              <w:rPr>
                <w:rFonts w:ascii="Arial" w:hAnsi="Arial" w:cs="Arial"/>
                <w:sz w:val="18"/>
                <w:szCs w:val="18"/>
              </w:rPr>
            </w:pPr>
            <w:r w:rsidRPr="00D667D5">
              <w:rPr>
                <w:rFonts w:ascii="Arial" w:hAnsi="Arial" w:cs="Arial"/>
                <w:sz w:val="18"/>
                <w:szCs w:val="18"/>
              </w:rPr>
              <w:t>ISPMs are referenced in policies and operational procedures by NPPOs</w:t>
            </w:r>
          </w:p>
        </w:tc>
        <w:tc>
          <w:tcPr>
            <w:tcW w:w="3006" w:type="dxa"/>
          </w:tcPr>
          <w:p w:rsidR="00324ACE" w:rsidRPr="00D667D5" w:rsidRDefault="00A77EDE" w:rsidP="00A77EDE">
            <w:pPr>
              <w:rPr>
                <w:rFonts w:ascii="Arial" w:hAnsi="Arial" w:cs="Arial"/>
                <w:sz w:val="18"/>
                <w:szCs w:val="18"/>
              </w:rPr>
            </w:pPr>
            <w:r w:rsidRPr="00D667D5">
              <w:rPr>
                <w:rFonts w:ascii="Arial" w:hAnsi="Arial" w:cs="Arial"/>
                <w:sz w:val="18"/>
                <w:szCs w:val="18"/>
              </w:rPr>
              <w:t>IRSS analysis of published import requirements and risk analyses to measure increases in references over time</w:t>
            </w:r>
          </w:p>
        </w:tc>
      </w:tr>
      <w:tr w:rsidR="00324ACE" w:rsidRPr="00D667D5" w:rsidTr="00A77EDE">
        <w:tc>
          <w:tcPr>
            <w:tcW w:w="3005" w:type="dxa"/>
          </w:tcPr>
          <w:p w:rsidR="00324ACE" w:rsidRPr="00D667D5" w:rsidRDefault="00A77EDE" w:rsidP="00A77EDE">
            <w:pPr>
              <w:rPr>
                <w:rFonts w:ascii="Arial" w:hAnsi="Arial" w:cs="Arial"/>
                <w:sz w:val="18"/>
                <w:szCs w:val="18"/>
              </w:rPr>
            </w:pPr>
            <w:r w:rsidRPr="00D667D5">
              <w:rPr>
                <w:rFonts w:ascii="Arial" w:hAnsi="Arial" w:cs="Arial"/>
                <w:sz w:val="18"/>
                <w:szCs w:val="18"/>
              </w:rPr>
              <w:lastRenderedPageBreak/>
              <w:t>Mechanisms for global coordination of plant health research are established</w:t>
            </w:r>
          </w:p>
        </w:tc>
        <w:tc>
          <w:tcPr>
            <w:tcW w:w="3005" w:type="dxa"/>
          </w:tcPr>
          <w:p w:rsidR="00324ACE" w:rsidRPr="00D667D5" w:rsidRDefault="00A77EDE" w:rsidP="00A77EDE">
            <w:pPr>
              <w:rPr>
                <w:rFonts w:ascii="Arial" w:hAnsi="Arial" w:cs="Arial"/>
                <w:sz w:val="18"/>
                <w:szCs w:val="18"/>
              </w:rPr>
            </w:pPr>
            <w:r w:rsidRPr="00D667D5">
              <w:rPr>
                <w:rFonts w:ascii="Arial" w:hAnsi="Arial" w:cs="Arial"/>
                <w:sz w:val="18"/>
                <w:szCs w:val="18"/>
              </w:rPr>
              <w:t>Increased research collaboration – cross regional</w:t>
            </w:r>
          </w:p>
          <w:p w:rsidR="00A77EDE" w:rsidRPr="00D667D5" w:rsidRDefault="00A77EDE" w:rsidP="00A77EDE">
            <w:pPr>
              <w:rPr>
                <w:rFonts w:ascii="Arial" w:hAnsi="Arial" w:cs="Arial"/>
                <w:sz w:val="18"/>
                <w:szCs w:val="18"/>
              </w:rPr>
            </w:pPr>
            <w:r w:rsidRPr="00D667D5">
              <w:rPr>
                <w:rFonts w:ascii="Arial" w:hAnsi="Arial" w:cs="Arial"/>
                <w:sz w:val="18"/>
                <w:szCs w:val="18"/>
              </w:rPr>
              <w:t>Reduced duplication</w:t>
            </w:r>
          </w:p>
        </w:tc>
        <w:tc>
          <w:tcPr>
            <w:tcW w:w="3006" w:type="dxa"/>
          </w:tcPr>
          <w:p w:rsidR="00324ACE" w:rsidRPr="00D667D5" w:rsidRDefault="00A77EDE" w:rsidP="00A77EDE">
            <w:pPr>
              <w:rPr>
                <w:rFonts w:ascii="Arial" w:hAnsi="Arial" w:cs="Arial"/>
                <w:sz w:val="18"/>
                <w:szCs w:val="18"/>
              </w:rPr>
            </w:pPr>
            <w:r w:rsidRPr="00D667D5">
              <w:rPr>
                <w:rFonts w:ascii="Arial" w:hAnsi="Arial" w:cs="Arial"/>
                <w:sz w:val="18"/>
                <w:szCs w:val="18"/>
              </w:rPr>
              <w:t>IRSS monitoring and reporting based on literature analytics</w:t>
            </w:r>
          </w:p>
        </w:tc>
      </w:tr>
    </w:tbl>
    <w:p w:rsidR="00C43CFF" w:rsidRDefault="00C43CFF" w:rsidP="00C43CFF">
      <w:pPr>
        <w:rPr>
          <w:b/>
          <w:color w:val="A6A6A6" w:themeColor="background1" w:themeShade="A6"/>
        </w:rPr>
      </w:pPr>
    </w:p>
    <w:p w:rsidR="00C43CFF" w:rsidRPr="00C43CFF" w:rsidRDefault="00C43CFF" w:rsidP="00C43CFF">
      <w:pPr>
        <w:pStyle w:val="Heading3"/>
        <w:rPr>
          <w:b w:val="0"/>
        </w:rPr>
      </w:pPr>
      <w:r w:rsidRPr="00C43CFF">
        <w:t xml:space="preserve">Implementation and Capacity Development </w:t>
      </w:r>
    </w:p>
    <w:p w:rsidR="00C43CFF" w:rsidRPr="00EE619D" w:rsidRDefault="00C43CFF" w:rsidP="00C43CFF">
      <w:r w:rsidRPr="00EE619D">
        <w:t>The IPPC is typically referred to as a standard setting body, which it is.  However, the IPPC has long recognised the futility of setting standards without also supporting capacity development to enable the Convention and its standards to be effectively implemented by member countries.</w:t>
      </w:r>
      <w:r w:rsidR="004D5BAD">
        <w:t xml:space="preserve">  The IPPC Secretariat has established an Implementation Facilitation Unit to facilitate and coordination implementation.</w:t>
      </w:r>
    </w:p>
    <w:p w:rsidR="00C43CFF" w:rsidRPr="00EE619D" w:rsidRDefault="00C43CFF" w:rsidP="00C43CFF">
      <w:r w:rsidRPr="00EE619D">
        <w:t xml:space="preserve">Within each member country, fully functioning NPPOs are charged with operating an effective national system to prevent the introduction and spread of pests. Delivery of the system often requires the joint effort of multiple government agencies and the private sector.  The Phytosanitary Capacity Evaluation tool was developed by the Commission many years ago to help countries evaluate their capacity to implement the convention.  This forms the basis for many capacity development plans, and also provides an insight into global capacity needs and programs.  </w:t>
      </w:r>
    </w:p>
    <w:p w:rsidR="00C43CFF" w:rsidRPr="00EE619D" w:rsidRDefault="00C43CFF" w:rsidP="00C43CFF">
      <w:r w:rsidRPr="00EE619D">
        <w:t>Through the suite of ISPMs and capacity development programmes, the Commission provides the framework for the NPPOs and the support to help NPPOs build capacity to carry out their functions. Examples of national capacity include the ability to establish and operate an import regulatory system, the ability to conduct pest risk analysis, pest surveillance, pest eradication operations, and operation of an export system capable of providing official assurances through phytosanitary certification.</w:t>
      </w:r>
    </w:p>
    <w:p w:rsidR="00C43CFF" w:rsidRPr="00EE619D" w:rsidRDefault="00C43CFF" w:rsidP="00C43CFF">
      <w:r w:rsidRPr="00EE619D">
        <w:t>The Commission collaborat</w:t>
      </w:r>
      <w:r>
        <w:t>es</w:t>
      </w:r>
      <w:r w:rsidRPr="00EE619D">
        <w:t xml:space="preserve"> with donor partners </w:t>
      </w:r>
      <w:r>
        <w:t xml:space="preserve">and contracting parties </w:t>
      </w:r>
      <w:r w:rsidRPr="00EE619D">
        <w:t>to assist NPPO’s to develop the required capacity.  This collaborative work is essential for countries to capitalise on the economic growth opportunities available through trade development, and protect their natural resources.</w:t>
      </w:r>
    </w:p>
    <w:p w:rsidR="00C43CFF" w:rsidRPr="00EE619D" w:rsidRDefault="00C43CFF" w:rsidP="00C43CFF">
      <w:r w:rsidRPr="00EE619D">
        <w:t xml:space="preserve">In 2014 the Commission agreed to significantly strengthen its focus on implementation of the Convention and </w:t>
      </w:r>
      <w:r>
        <w:t>ISPMs</w:t>
      </w:r>
      <w:r w:rsidRPr="00EE619D">
        <w:t>.  Since then:</w:t>
      </w:r>
    </w:p>
    <w:p w:rsidR="00C43CFF" w:rsidRPr="00EE619D" w:rsidRDefault="004D5BAD" w:rsidP="001E6578">
      <w:pPr>
        <w:numPr>
          <w:ilvl w:val="0"/>
          <w:numId w:val="6"/>
        </w:numPr>
        <w:contextualSpacing/>
      </w:pPr>
      <w:r>
        <w:t>T</w:t>
      </w:r>
      <w:r w:rsidR="00C43CFF" w:rsidRPr="00EE619D">
        <w:t xml:space="preserve">he first major implementation pilot programme has been established focused on pest surveillance, </w:t>
      </w:r>
    </w:p>
    <w:p w:rsidR="00C43CFF" w:rsidRPr="00EE619D" w:rsidRDefault="004D5BAD" w:rsidP="001E6578">
      <w:pPr>
        <w:numPr>
          <w:ilvl w:val="0"/>
          <w:numId w:val="6"/>
        </w:numPr>
        <w:contextualSpacing/>
      </w:pPr>
      <w:r>
        <w:t>T</w:t>
      </w:r>
      <w:r w:rsidR="00C43CFF" w:rsidRPr="00EE619D">
        <w:t xml:space="preserve">he IPPC Secretariat has been reorganised to more strongly focus on implementation and capacity development, and </w:t>
      </w:r>
    </w:p>
    <w:p w:rsidR="00C43CFF" w:rsidRPr="00EE619D" w:rsidRDefault="004D5BAD" w:rsidP="001E6578">
      <w:pPr>
        <w:numPr>
          <w:ilvl w:val="0"/>
          <w:numId w:val="6"/>
        </w:numPr>
        <w:contextualSpacing/>
      </w:pPr>
      <w:r>
        <w:t>A</w:t>
      </w:r>
      <w:r w:rsidR="00C43CFF" w:rsidRPr="00EE619D">
        <w:t xml:space="preserve"> new subsidiary body has been created, the Implementation and Capacity Development Committee </w:t>
      </w:r>
      <w:r>
        <w:t xml:space="preserve">(IC) </w:t>
      </w:r>
      <w:r w:rsidR="00C43CFF" w:rsidRPr="00EE619D">
        <w:t>charged with oversight of the IPPC’s long-term Capacity Development Strategy.</w:t>
      </w:r>
    </w:p>
    <w:p w:rsidR="00C43CFF" w:rsidRDefault="00C43CFF" w:rsidP="00C43CFF"/>
    <w:p w:rsidR="00C43CFF" w:rsidRPr="00563EBF" w:rsidRDefault="00C43CFF" w:rsidP="00C43CFF">
      <w:r>
        <w:t>S</w:t>
      </w:r>
      <w:r w:rsidRPr="00EE619D">
        <w:t xml:space="preserve">ubstantial efforts are being focused on implementation and capacity development, </w:t>
      </w:r>
      <w:r>
        <w:t>however, it is limited by the ex</w:t>
      </w:r>
      <w:r w:rsidRPr="00EE619D">
        <w:t xml:space="preserve">tra-budgetary resources </w:t>
      </w:r>
      <w:r>
        <w:t>that can be secured</w:t>
      </w:r>
      <w:r w:rsidRPr="00EE619D">
        <w:t xml:space="preserve"> (additional to the FAO regular programme funds).  Fortunately, development agencies </w:t>
      </w:r>
      <w:r>
        <w:t xml:space="preserve">are </w:t>
      </w:r>
      <w:r w:rsidRPr="00EE619D">
        <w:t xml:space="preserve">willing to assist with programs to </w:t>
      </w:r>
      <w:r>
        <w:t xml:space="preserve">lift the </w:t>
      </w:r>
      <w:r w:rsidRPr="00EE619D">
        <w:t>capacity of countries to improve their economy through trade</w:t>
      </w:r>
      <w:r>
        <w:t>,</w:t>
      </w:r>
      <w:r w:rsidRPr="00EE619D">
        <w:t xml:space="preserve"> and support communities </w:t>
      </w:r>
      <w:r>
        <w:t>to manage pest problems</w:t>
      </w:r>
      <w:r w:rsidRPr="00EE619D">
        <w:t xml:space="preserve">.  Capacity development projects can have a major positive impact on the ability of NPPOs to discharge their responsibilities.  The project to develop and implement a Global </w:t>
      </w:r>
      <w:proofErr w:type="spellStart"/>
      <w:r w:rsidRPr="00EE619D">
        <w:t>ephyto</w:t>
      </w:r>
      <w:proofErr w:type="spellEnd"/>
      <w:r w:rsidRPr="00EE619D">
        <w:t xml:space="preserve"> Hub and Generic National System funded by the STDF and member country contributions is</w:t>
      </w:r>
      <w:r w:rsidR="00873D4F">
        <w:t xml:space="preserve"> an outstanding example of this.</w:t>
      </w:r>
    </w:p>
    <w:p w:rsidR="00C43CFF" w:rsidRPr="00C43CFF" w:rsidRDefault="00C43CFF" w:rsidP="00C43CFF">
      <w:pPr>
        <w:keepNext/>
        <w:keepLines/>
        <w:spacing w:before="40"/>
        <w:outlineLvl w:val="2"/>
        <w:rPr>
          <w:rFonts w:asciiTheme="majorHAnsi" w:eastAsiaTheme="majorEastAsia" w:hAnsiTheme="majorHAnsi" w:cstheme="majorBidi"/>
          <w:sz w:val="24"/>
        </w:rPr>
      </w:pPr>
      <w:r w:rsidRPr="00C43CFF">
        <w:rPr>
          <w:rFonts w:asciiTheme="majorHAnsi" w:eastAsiaTheme="majorEastAsia" w:hAnsiTheme="majorHAnsi" w:cstheme="majorBidi"/>
          <w:sz w:val="24"/>
        </w:rPr>
        <w:t>2030 Key Result Areas</w:t>
      </w:r>
      <w:r w:rsidR="004D5BAD">
        <w:rPr>
          <w:rFonts w:asciiTheme="majorHAnsi" w:eastAsiaTheme="majorEastAsia" w:hAnsiTheme="majorHAnsi" w:cstheme="majorBidi"/>
          <w:sz w:val="24"/>
        </w:rPr>
        <w:t xml:space="preserve"> – Implementation Facilitation</w:t>
      </w:r>
    </w:p>
    <w:p w:rsidR="00C43CFF" w:rsidRPr="00EE619D" w:rsidRDefault="004D5BAD" w:rsidP="004D5BAD">
      <w:pPr>
        <w:ind w:left="1134" w:hanging="567"/>
        <w:contextualSpacing/>
      </w:pPr>
      <w:r>
        <w:t>IF</w:t>
      </w:r>
      <w:r w:rsidR="00C43CFF">
        <w:t xml:space="preserve"> 1:</w:t>
      </w:r>
      <w:r>
        <w:tab/>
      </w:r>
      <w:r w:rsidR="00C43CFF" w:rsidRPr="00EE619D">
        <w:t>The state of plant health in the world is understood, needs are known and mechanisms to facilitate action are functioning.</w:t>
      </w:r>
    </w:p>
    <w:p w:rsidR="00C43CFF" w:rsidRPr="00EE619D" w:rsidRDefault="004D5BAD" w:rsidP="004D5BAD">
      <w:pPr>
        <w:ind w:left="1134" w:hanging="567"/>
        <w:contextualSpacing/>
      </w:pPr>
      <w:r>
        <w:t>IF</w:t>
      </w:r>
      <w:r w:rsidR="00C43CFF">
        <w:t xml:space="preserve"> 2:</w:t>
      </w:r>
      <w:r>
        <w:tab/>
      </w:r>
      <w:r w:rsidR="00C43CFF" w:rsidRPr="00EE619D">
        <w:t>All co</w:t>
      </w:r>
      <w:r w:rsidR="00C43CFF">
        <w:t>ntracting parties</w:t>
      </w:r>
      <w:r w:rsidR="00C43CFF" w:rsidRPr="00EE619D">
        <w:t xml:space="preserve"> have used the Phytosanitary Capacity Evaluation tool to understand strengths and weaknesses and develop plans to address issues.</w:t>
      </w:r>
    </w:p>
    <w:p w:rsidR="00C43CFF" w:rsidRPr="00EE619D" w:rsidRDefault="004D5BAD" w:rsidP="004D5BAD">
      <w:pPr>
        <w:ind w:left="1134" w:hanging="567"/>
        <w:contextualSpacing/>
      </w:pPr>
      <w:r>
        <w:t>IF</w:t>
      </w:r>
      <w:r w:rsidR="00C43CFF">
        <w:t xml:space="preserve"> 3:</w:t>
      </w:r>
      <w:r>
        <w:tab/>
      </w:r>
      <w:r w:rsidR="00C43CFF" w:rsidRPr="00EE619D">
        <w:t>The IPPC Secretariat is resourced to help countries access assistance to address phytosanitary capacity needs.</w:t>
      </w:r>
    </w:p>
    <w:p w:rsidR="00C43CFF" w:rsidRDefault="00C43CFF" w:rsidP="00C43CFF"/>
    <w:tbl>
      <w:tblPr>
        <w:tblStyle w:val="TableGrid"/>
        <w:tblW w:w="0" w:type="auto"/>
        <w:tblLook w:val="04A0" w:firstRow="1" w:lastRow="0" w:firstColumn="1" w:lastColumn="0" w:noHBand="0" w:noVBand="1"/>
      </w:tblPr>
      <w:tblGrid>
        <w:gridCol w:w="3005"/>
        <w:gridCol w:w="3005"/>
        <w:gridCol w:w="3006"/>
      </w:tblGrid>
      <w:tr w:rsidR="00C43CFF" w:rsidRPr="00D667D5" w:rsidTr="003B580E">
        <w:trPr>
          <w:tblHeader/>
        </w:trPr>
        <w:tc>
          <w:tcPr>
            <w:tcW w:w="3005"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lastRenderedPageBreak/>
              <w:t>Key result area</w:t>
            </w:r>
          </w:p>
          <w:p w:rsidR="00C43CFF" w:rsidRPr="00D667D5" w:rsidRDefault="00C43CFF" w:rsidP="00A77EDE">
            <w:pPr>
              <w:rPr>
                <w:rFonts w:ascii="Arial" w:hAnsi="Arial" w:cs="Arial"/>
                <w:b/>
                <w:sz w:val="18"/>
                <w:szCs w:val="18"/>
              </w:rPr>
            </w:pPr>
          </w:p>
        </w:tc>
        <w:tc>
          <w:tcPr>
            <w:tcW w:w="3005"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Performance indicator</w:t>
            </w:r>
          </w:p>
        </w:tc>
        <w:tc>
          <w:tcPr>
            <w:tcW w:w="3006"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Measure</w:t>
            </w:r>
            <w:r w:rsidR="00D1755E" w:rsidRPr="00D667D5">
              <w:rPr>
                <w:rFonts w:ascii="Arial" w:hAnsi="Arial" w:cs="Arial"/>
                <w:b/>
                <w:sz w:val="18"/>
                <w:szCs w:val="18"/>
              </w:rPr>
              <w:t>ment</w:t>
            </w:r>
          </w:p>
        </w:tc>
      </w:tr>
      <w:tr w:rsidR="00324ACE" w:rsidRPr="00D667D5" w:rsidTr="00A77EDE">
        <w:tc>
          <w:tcPr>
            <w:tcW w:w="3005" w:type="dxa"/>
          </w:tcPr>
          <w:p w:rsidR="00324ACE" w:rsidRPr="00D667D5" w:rsidRDefault="00D7508E" w:rsidP="007B4B1A">
            <w:pPr>
              <w:rPr>
                <w:rFonts w:ascii="Arial" w:hAnsi="Arial" w:cs="Arial"/>
                <w:sz w:val="18"/>
                <w:szCs w:val="18"/>
              </w:rPr>
            </w:pPr>
            <w:r w:rsidRPr="00D667D5">
              <w:rPr>
                <w:rFonts w:ascii="Arial" w:hAnsi="Arial" w:cs="Arial"/>
                <w:sz w:val="18"/>
                <w:szCs w:val="18"/>
              </w:rPr>
              <w:t>The state of plant health in the world is defined</w:t>
            </w:r>
            <w:r w:rsidR="007B4B1A" w:rsidRPr="00D667D5">
              <w:rPr>
                <w:rFonts w:ascii="Arial" w:hAnsi="Arial" w:cs="Arial"/>
                <w:sz w:val="18"/>
                <w:szCs w:val="18"/>
              </w:rPr>
              <w:t xml:space="preserve"> and a desired future state agreed by CPM</w:t>
            </w:r>
          </w:p>
          <w:p w:rsidR="007B4B1A" w:rsidRPr="00D667D5" w:rsidRDefault="007B4B1A" w:rsidP="007B4B1A">
            <w:pPr>
              <w:rPr>
                <w:rFonts w:ascii="Arial" w:hAnsi="Arial" w:cs="Arial"/>
                <w:sz w:val="18"/>
                <w:szCs w:val="18"/>
              </w:rPr>
            </w:pPr>
            <w:r w:rsidRPr="00D667D5">
              <w:rPr>
                <w:rFonts w:ascii="Arial" w:hAnsi="Arial" w:cs="Arial"/>
                <w:sz w:val="18"/>
                <w:szCs w:val="18"/>
              </w:rPr>
              <w:t>A roadmap to achieving the future state is developed and being implemented through an action plan</w:t>
            </w:r>
          </w:p>
        </w:tc>
        <w:tc>
          <w:tcPr>
            <w:tcW w:w="3005" w:type="dxa"/>
          </w:tcPr>
          <w:p w:rsidR="00324ACE" w:rsidRPr="00D667D5" w:rsidRDefault="007B4B1A" w:rsidP="00A77EDE">
            <w:pPr>
              <w:rPr>
                <w:rFonts w:ascii="Arial" w:hAnsi="Arial" w:cs="Arial"/>
                <w:sz w:val="18"/>
                <w:szCs w:val="18"/>
              </w:rPr>
            </w:pPr>
            <w:r w:rsidRPr="00D667D5">
              <w:rPr>
                <w:rFonts w:ascii="Arial" w:hAnsi="Arial" w:cs="Arial"/>
                <w:sz w:val="18"/>
                <w:szCs w:val="18"/>
              </w:rPr>
              <w:t>State is defined</w:t>
            </w:r>
          </w:p>
          <w:p w:rsidR="007B4B1A" w:rsidRPr="00D667D5" w:rsidRDefault="007B4B1A" w:rsidP="00A77EDE">
            <w:pPr>
              <w:rPr>
                <w:rFonts w:ascii="Arial" w:hAnsi="Arial" w:cs="Arial"/>
                <w:sz w:val="18"/>
                <w:szCs w:val="18"/>
              </w:rPr>
            </w:pPr>
            <w:r w:rsidRPr="00D667D5">
              <w:rPr>
                <w:rFonts w:ascii="Arial" w:hAnsi="Arial" w:cs="Arial"/>
                <w:sz w:val="18"/>
                <w:szCs w:val="18"/>
              </w:rPr>
              <w:t>Future state agreed by CPM</w:t>
            </w:r>
          </w:p>
          <w:p w:rsidR="007B4B1A" w:rsidRPr="00D667D5" w:rsidRDefault="007B4B1A" w:rsidP="00A77EDE">
            <w:pPr>
              <w:rPr>
                <w:rFonts w:ascii="Arial" w:hAnsi="Arial" w:cs="Arial"/>
                <w:sz w:val="18"/>
                <w:szCs w:val="18"/>
              </w:rPr>
            </w:pPr>
            <w:r w:rsidRPr="00D667D5">
              <w:rPr>
                <w:rFonts w:ascii="Arial" w:hAnsi="Arial" w:cs="Arial"/>
                <w:sz w:val="18"/>
                <w:szCs w:val="18"/>
              </w:rPr>
              <w:t>Road map endorsed by CPM</w:t>
            </w:r>
          </w:p>
          <w:p w:rsidR="007B4B1A" w:rsidRPr="00D667D5" w:rsidRDefault="007B4B1A" w:rsidP="00A77EDE">
            <w:pPr>
              <w:rPr>
                <w:rFonts w:ascii="Arial" w:hAnsi="Arial" w:cs="Arial"/>
                <w:sz w:val="18"/>
                <w:szCs w:val="18"/>
              </w:rPr>
            </w:pPr>
            <w:r w:rsidRPr="00D667D5">
              <w:rPr>
                <w:rFonts w:ascii="Arial" w:hAnsi="Arial" w:cs="Arial"/>
                <w:sz w:val="18"/>
                <w:szCs w:val="18"/>
              </w:rPr>
              <w:t>Action plan adopted and resourced</w:t>
            </w:r>
          </w:p>
        </w:tc>
        <w:tc>
          <w:tcPr>
            <w:tcW w:w="3006" w:type="dxa"/>
          </w:tcPr>
          <w:p w:rsidR="00324ACE" w:rsidRPr="00D667D5" w:rsidRDefault="007B4B1A" w:rsidP="00A77EDE">
            <w:pPr>
              <w:rPr>
                <w:rFonts w:ascii="Arial" w:hAnsi="Arial" w:cs="Arial"/>
                <w:sz w:val="18"/>
                <w:szCs w:val="18"/>
              </w:rPr>
            </w:pPr>
            <w:r w:rsidRPr="00D667D5">
              <w:rPr>
                <w:rFonts w:ascii="Arial" w:hAnsi="Arial" w:cs="Arial"/>
                <w:sz w:val="18"/>
                <w:szCs w:val="18"/>
              </w:rPr>
              <w:t>Actions agreed by CPM are completed on time and on-budget</w:t>
            </w:r>
          </w:p>
        </w:tc>
      </w:tr>
      <w:tr w:rsidR="00324ACE" w:rsidRPr="00D667D5" w:rsidTr="00A77EDE">
        <w:tc>
          <w:tcPr>
            <w:tcW w:w="3005" w:type="dxa"/>
          </w:tcPr>
          <w:p w:rsidR="00324ACE" w:rsidRPr="00D667D5" w:rsidRDefault="00D7508E" w:rsidP="00D7508E">
            <w:pPr>
              <w:rPr>
                <w:rFonts w:ascii="Arial" w:hAnsi="Arial" w:cs="Arial"/>
                <w:sz w:val="18"/>
                <w:szCs w:val="18"/>
              </w:rPr>
            </w:pPr>
            <w:r w:rsidRPr="00D667D5">
              <w:rPr>
                <w:rFonts w:ascii="Arial" w:hAnsi="Arial" w:cs="Arial"/>
                <w:sz w:val="18"/>
                <w:szCs w:val="18"/>
              </w:rPr>
              <w:t>Contracting parties are actively addressing capacity and capability needs</w:t>
            </w:r>
          </w:p>
        </w:tc>
        <w:tc>
          <w:tcPr>
            <w:tcW w:w="3005" w:type="dxa"/>
          </w:tcPr>
          <w:p w:rsidR="00324ACE" w:rsidRPr="00D667D5" w:rsidRDefault="00D7508E" w:rsidP="00A77EDE">
            <w:pPr>
              <w:rPr>
                <w:rFonts w:ascii="Arial" w:hAnsi="Arial" w:cs="Arial"/>
                <w:sz w:val="18"/>
                <w:szCs w:val="18"/>
              </w:rPr>
            </w:pPr>
            <w:r w:rsidRPr="00D667D5">
              <w:rPr>
                <w:rFonts w:ascii="Arial" w:hAnsi="Arial" w:cs="Arial"/>
                <w:sz w:val="18"/>
                <w:szCs w:val="18"/>
              </w:rPr>
              <w:t>PCE-based implementation plans are in place and actions are progressing</w:t>
            </w:r>
          </w:p>
        </w:tc>
        <w:tc>
          <w:tcPr>
            <w:tcW w:w="3006" w:type="dxa"/>
          </w:tcPr>
          <w:p w:rsidR="00324ACE" w:rsidRPr="00D667D5" w:rsidRDefault="00D7508E" w:rsidP="00A77EDE">
            <w:pPr>
              <w:rPr>
                <w:rFonts w:ascii="Arial" w:hAnsi="Arial" w:cs="Arial"/>
                <w:sz w:val="18"/>
                <w:szCs w:val="18"/>
              </w:rPr>
            </w:pPr>
            <w:r w:rsidRPr="00D667D5">
              <w:rPr>
                <w:rFonts w:ascii="Arial" w:hAnsi="Arial" w:cs="Arial"/>
                <w:sz w:val="18"/>
                <w:szCs w:val="18"/>
              </w:rPr>
              <w:t>Number of PCEs completed</w:t>
            </w:r>
          </w:p>
          <w:p w:rsidR="00D7508E" w:rsidRPr="00D667D5" w:rsidRDefault="00D7508E" w:rsidP="00A77EDE">
            <w:pPr>
              <w:rPr>
                <w:rFonts w:ascii="Arial" w:hAnsi="Arial" w:cs="Arial"/>
                <w:sz w:val="18"/>
                <w:szCs w:val="18"/>
              </w:rPr>
            </w:pPr>
            <w:r w:rsidRPr="00D667D5">
              <w:rPr>
                <w:rFonts w:ascii="Arial" w:hAnsi="Arial" w:cs="Arial"/>
                <w:sz w:val="18"/>
                <w:szCs w:val="18"/>
              </w:rPr>
              <w:t>Number of development plans linked with PCEs</w:t>
            </w:r>
          </w:p>
          <w:p w:rsidR="00D7508E" w:rsidRPr="00D667D5" w:rsidRDefault="00D7508E" w:rsidP="00D7508E">
            <w:pPr>
              <w:rPr>
                <w:rFonts w:ascii="Arial" w:hAnsi="Arial" w:cs="Arial"/>
                <w:sz w:val="18"/>
                <w:szCs w:val="18"/>
              </w:rPr>
            </w:pPr>
            <w:r w:rsidRPr="00D667D5">
              <w:rPr>
                <w:rFonts w:ascii="Arial" w:hAnsi="Arial" w:cs="Arial"/>
                <w:sz w:val="18"/>
                <w:szCs w:val="18"/>
              </w:rPr>
              <w:t>Outcomes identified in implementation plans achieved</w:t>
            </w:r>
          </w:p>
        </w:tc>
      </w:tr>
      <w:tr w:rsidR="00324ACE" w:rsidRPr="00D667D5" w:rsidTr="00A77EDE">
        <w:tc>
          <w:tcPr>
            <w:tcW w:w="3005" w:type="dxa"/>
          </w:tcPr>
          <w:p w:rsidR="00324ACE" w:rsidRPr="00D667D5" w:rsidRDefault="007B4B1A" w:rsidP="007B4B1A">
            <w:pPr>
              <w:rPr>
                <w:rFonts w:ascii="Arial" w:hAnsi="Arial" w:cs="Arial"/>
                <w:sz w:val="18"/>
                <w:szCs w:val="18"/>
              </w:rPr>
            </w:pPr>
            <w:r w:rsidRPr="00D667D5">
              <w:rPr>
                <w:rFonts w:ascii="Arial" w:hAnsi="Arial" w:cs="Arial"/>
                <w:sz w:val="18"/>
                <w:szCs w:val="18"/>
              </w:rPr>
              <w:t>IPPC Secretariat is sufficiently resourced to meet implementation expectations of contracting parties</w:t>
            </w:r>
          </w:p>
        </w:tc>
        <w:tc>
          <w:tcPr>
            <w:tcW w:w="3005" w:type="dxa"/>
          </w:tcPr>
          <w:p w:rsidR="00324ACE" w:rsidRPr="00D667D5" w:rsidRDefault="007B4B1A" w:rsidP="00A77EDE">
            <w:pPr>
              <w:rPr>
                <w:rFonts w:ascii="Arial" w:hAnsi="Arial" w:cs="Arial"/>
                <w:sz w:val="18"/>
                <w:szCs w:val="18"/>
              </w:rPr>
            </w:pPr>
            <w:r w:rsidRPr="00D667D5">
              <w:rPr>
                <w:rFonts w:ascii="Arial" w:hAnsi="Arial" w:cs="Arial"/>
                <w:sz w:val="18"/>
                <w:szCs w:val="18"/>
              </w:rPr>
              <w:t>Funding mechanisms are in place and supported</w:t>
            </w:r>
          </w:p>
          <w:p w:rsidR="0040184C" w:rsidRPr="00D667D5" w:rsidRDefault="0040184C" w:rsidP="00A77EDE">
            <w:pPr>
              <w:rPr>
                <w:rFonts w:ascii="Arial" w:hAnsi="Arial" w:cs="Arial"/>
                <w:sz w:val="18"/>
                <w:szCs w:val="18"/>
              </w:rPr>
            </w:pPr>
            <w:r w:rsidRPr="00D667D5">
              <w:rPr>
                <w:rFonts w:ascii="Arial" w:hAnsi="Arial" w:cs="Arial"/>
                <w:sz w:val="18"/>
                <w:szCs w:val="18"/>
              </w:rPr>
              <w:t>A mechanism to link donors and capacity needs is in place and operational</w:t>
            </w:r>
          </w:p>
        </w:tc>
        <w:tc>
          <w:tcPr>
            <w:tcW w:w="3006" w:type="dxa"/>
          </w:tcPr>
          <w:p w:rsidR="00324ACE" w:rsidRPr="00D667D5" w:rsidRDefault="007B4B1A" w:rsidP="00A77EDE">
            <w:pPr>
              <w:rPr>
                <w:rFonts w:ascii="Arial" w:hAnsi="Arial" w:cs="Arial"/>
                <w:sz w:val="18"/>
                <w:szCs w:val="18"/>
              </w:rPr>
            </w:pPr>
            <w:r w:rsidRPr="00D667D5">
              <w:rPr>
                <w:rFonts w:ascii="Arial" w:hAnsi="Arial" w:cs="Arial"/>
                <w:sz w:val="18"/>
                <w:szCs w:val="18"/>
              </w:rPr>
              <w:t>Additional ongoing RP funding is achieved</w:t>
            </w:r>
            <w:r w:rsidR="00456954" w:rsidRPr="00D667D5">
              <w:rPr>
                <w:rFonts w:ascii="Arial" w:hAnsi="Arial" w:cs="Arial"/>
                <w:sz w:val="18"/>
                <w:szCs w:val="18"/>
              </w:rPr>
              <w:t xml:space="preserve"> in FAO budget</w:t>
            </w:r>
          </w:p>
          <w:p w:rsidR="007B4B1A" w:rsidRPr="00D667D5" w:rsidRDefault="007B4B1A" w:rsidP="00A77EDE">
            <w:pPr>
              <w:rPr>
                <w:rFonts w:ascii="Arial" w:hAnsi="Arial" w:cs="Arial"/>
                <w:sz w:val="18"/>
                <w:szCs w:val="18"/>
              </w:rPr>
            </w:pPr>
            <w:r w:rsidRPr="00D667D5">
              <w:rPr>
                <w:rFonts w:ascii="Arial" w:hAnsi="Arial" w:cs="Arial"/>
                <w:sz w:val="18"/>
                <w:szCs w:val="18"/>
              </w:rPr>
              <w:t xml:space="preserve">A mechanisms for partnership agreements </w:t>
            </w:r>
            <w:r w:rsidR="00456954" w:rsidRPr="00D667D5">
              <w:rPr>
                <w:rFonts w:ascii="Arial" w:hAnsi="Arial" w:cs="Arial"/>
                <w:sz w:val="18"/>
                <w:szCs w:val="18"/>
              </w:rPr>
              <w:t xml:space="preserve">is developed, approved </w:t>
            </w:r>
            <w:r w:rsidRPr="00D667D5">
              <w:rPr>
                <w:rFonts w:ascii="Arial" w:hAnsi="Arial" w:cs="Arial"/>
                <w:sz w:val="18"/>
                <w:szCs w:val="18"/>
              </w:rPr>
              <w:t>and implemented</w:t>
            </w:r>
          </w:p>
          <w:p w:rsidR="007B4B1A" w:rsidRPr="00D667D5" w:rsidRDefault="0040184C" w:rsidP="0040184C">
            <w:pPr>
              <w:rPr>
                <w:rFonts w:ascii="Arial" w:hAnsi="Arial" w:cs="Arial"/>
                <w:sz w:val="18"/>
                <w:szCs w:val="18"/>
              </w:rPr>
            </w:pPr>
            <w:r w:rsidRPr="00D667D5">
              <w:rPr>
                <w:rFonts w:ascii="Arial" w:hAnsi="Arial" w:cs="Arial"/>
                <w:sz w:val="18"/>
                <w:szCs w:val="18"/>
              </w:rPr>
              <w:t xml:space="preserve">The extent to which </w:t>
            </w:r>
            <w:r w:rsidR="00456954" w:rsidRPr="00D667D5">
              <w:rPr>
                <w:rFonts w:ascii="Arial" w:hAnsi="Arial" w:cs="Arial"/>
                <w:sz w:val="18"/>
                <w:szCs w:val="18"/>
              </w:rPr>
              <w:t xml:space="preserve">CP requests </w:t>
            </w:r>
            <w:r w:rsidRPr="00D667D5">
              <w:rPr>
                <w:rFonts w:ascii="Arial" w:hAnsi="Arial" w:cs="Arial"/>
                <w:sz w:val="18"/>
                <w:szCs w:val="18"/>
              </w:rPr>
              <w:t xml:space="preserve">of the Secretariat </w:t>
            </w:r>
            <w:r w:rsidR="00456954" w:rsidRPr="00D667D5">
              <w:rPr>
                <w:rFonts w:ascii="Arial" w:hAnsi="Arial" w:cs="Arial"/>
                <w:sz w:val="18"/>
                <w:szCs w:val="18"/>
              </w:rPr>
              <w:t xml:space="preserve">for ongoing </w:t>
            </w:r>
            <w:r w:rsidRPr="00D667D5">
              <w:rPr>
                <w:rFonts w:ascii="Arial" w:hAnsi="Arial" w:cs="Arial"/>
                <w:sz w:val="18"/>
                <w:szCs w:val="18"/>
              </w:rPr>
              <w:t>assistance</w:t>
            </w:r>
            <w:r w:rsidR="00456954" w:rsidRPr="00D667D5">
              <w:rPr>
                <w:rFonts w:ascii="Arial" w:hAnsi="Arial" w:cs="Arial"/>
                <w:sz w:val="18"/>
                <w:szCs w:val="18"/>
              </w:rPr>
              <w:t xml:space="preserve"> are met</w:t>
            </w:r>
          </w:p>
        </w:tc>
      </w:tr>
    </w:tbl>
    <w:p w:rsidR="00C43CFF" w:rsidRDefault="00C43CFF" w:rsidP="00C43CFF"/>
    <w:p w:rsidR="00C43CFF" w:rsidRPr="00C43CFF" w:rsidRDefault="00C43CFF" w:rsidP="00C43CFF">
      <w:pPr>
        <w:pStyle w:val="Heading3"/>
        <w:rPr>
          <w:b w:val="0"/>
        </w:rPr>
      </w:pPr>
      <w:r w:rsidRPr="00C43CFF">
        <w:t xml:space="preserve">Communication </w:t>
      </w:r>
      <w:r w:rsidR="004D5BAD">
        <w:t>and</w:t>
      </w:r>
      <w:r w:rsidRPr="00C43CFF">
        <w:t xml:space="preserve"> International Cooperation</w:t>
      </w:r>
    </w:p>
    <w:p w:rsidR="00C43CFF" w:rsidRDefault="00C43CFF" w:rsidP="00C43CFF">
      <w:pPr>
        <w:rPr>
          <w:rFonts w:eastAsia="Times New Roman" w:cstheme="minorHAnsi"/>
          <w:color w:val="000000"/>
          <w:lang w:val="en" w:eastAsia="en-NZ"/>
        </w:rPr>
      </w:pPr>
      <w:r w:rsidRPr="00EE619D">
        <w:rPr>
          <w:rFonts w:eastAsia="Times New Roman" w:cstheme="minorHAnsi"/>
          <w:color w:val="000000"/>
          <w:lang w:val="en" w:eastAsia="en-NZ"/>
        </w:rPr>
        <w:t xml:space="preserve">The communications efforts of the Commission are aimed at ensuring understanding of the potential for serious negative impacts from introduced pests worldwide.  This must be understood not just by the plant health community but also by key audiences such as </w:t>
      </w:r>
      <w:r>
        <w:rPr>
          <w:rFonts w:eastAsia="Times New Roman" w:cstheme="minorHAnsi"/>
          <w:color w:val="000000"/>
          <w:lang w:val="en" w:eastAsia="en-NZ"/>
        </w:rPr>
        <w:t xml:space="preserve">the general public, </w:t>
      </w:r>
      <w:r w:rsidRPr="00EE619D">
        <w:rPr>
          <w:rFonts w:eastAsia="Times New Roman" w:cstheme="minorHAnsi"/>
          <w:color w:val="000000"/>
          <w:lang w:val="en" w:eastAsia="en-NZ"/>
        </w:rPr>
        <w:t>national governments</w:t>
      </w:r>
      <w:r>
        <w:rPr>
          <w:rFonts w:eastAsia="Times New Roman" w:cstheme="minorHAnsi"/>
          <w:color w:val="000000"/>
          <w:lang w:val="en" w:eastAsia="en-NZ"/>
        </w:rPr>
        <w:t>,</w:t>
      </w:r>
      <w:r w:rsidRPr="00EE619D">
        <w:rPr>
          <w:rFonts w:eastAsia="Times New Roman" w:cstheme="minorHAnsi"/>
          <w:color w:val="000000"/>
          <w:lang w:val="en" w:eastAsia="en-NZ"/>
        </w:rPr>
        <w:t xml:space="preserve"> and decision makers (policy and financial), to demonstrate the importance of plant health being a national and global priority that justifies and receives appropriate and sustainable support.  </w:t>
      </w:r>
    </w:p>
    <w:p w:rsidR="007C53C7" w:rsidRPr="00180C2D" w:rsidRDefault="007C53C7" w:rsidP="007C53C7">
      <w:pPr>
        <w:rPr>
          <w:rFonts w:eastAsia="Times New Roman" w:cstheme="minorHAnsi"/>
          <w:color w:val="000000"/>
          <w:lang w:val="en" w:eastAsia="en-NZ"/>
        </w:rPr>
      </w:pPr>
      <w:r w:rsidRPr="00180C2D">
        <w:rPr>
          <w:rFonts w:eastAsia="Times New Roman" w:cstheme="minorHAnsi"/>
          <w:color w:val="000000"/>
          <w:lang w:val="en" w:eastAsia="en-NZ"/>
        </w:rPr>
        <w:t xml:space="preserve">The IPPC recognizes the importance of maintaining strong links with organizations that share common interests. These relationships can range from informal flexible arrangements to highly defined relationships. </w:t>
      </w:r>
      <w:r>
        <w:rPr>
          <w:rFonts w:eastAsia="Times New Roman" w:cstheme="minorHAnsi"/>
          <w:color w:val="000000"/>
          <w:lang w:val="en" w:eastAsia="en-NZ"/>
        </w:rPr>
        <w:t xml:space="preserve"> </w:t>
      </w:r>
      <w:r w:rsidRPr="00180C2D">
        <w:rPr>
          <w:rFonts w:eastAsia="Times New Roman" w:cstheme="minorHAnsi"/>
          <w:color w:val="000000"/>
          <w:lang w:val="en" w:eastAsia="en-NZ"/>
        </w:rPr>
        <w:t xml:space="preserve">The IPPC </w:t>
      </w:r>
      <w:r w:rsidRPr="00AB6D02">
        <w:rPr>
          <w:rFonts w:eastAsia="Times New Roman" w:cstheme="minorHAnsi"/>
          <w:lang w:val="en" w:eastAsia="en-NZ"/>
        </w:rPr>
        <w:t xml:space="preserve">Secretariat has strong relationships with all </w:t>
      </w:r>
      <w:hyperlink r:id="rId12" w:history="1">
        <w:r w:rsidRPr="00AB6D02">
          <w:rPr>
            <w:rFonts w:eastAsia="Times New Roman" w:cstheme="minorHAnsi"/>
            <w:lang w:val="en" w:eastAsia="en-NZ"/>
          </w:rPr>
          <w:t>Regional Plant Protection Organizations (RPPOs)</w:t>
        </w:r>
      </w:hyperlink>
      <w:r w:rsidRPr="00AB6D02">
        <w:rPr>
          <w:rFonts w:eastAsia="Times New Roman" w:cstheme="minorHAnsi"/>
          <w:lang w:val="en" w:eastAsia="en-NZ"/>
        </w:rPr>
        <w:t xml:space="preserve"> in facilitating </w:t>
      </w:r>
      <w:r w:rsidRPr="00180C2D">
        <w:rPr>
          <w:rFonts w:eastAsia="Times New Roman" w:cstheme="minorHAnsi"/>
          <w:color w:val="000000"/>
          <w:lang w:val="en" w:eastAsia="en-NZ"/>
        </w:rPr>
        <w:t xml:space="preserve">contracting parties to implement the IPPC. </w:t>
      </w:r>
    </w:p>
    <w:p w:rsidR="007C53C7" w:rsidRDefault="007C53C7" w:rsidP="007C53C7">
      <w:pPr>
        <w:rPr>
          <w:rFonts w:eastAsia="Times New Roman" w:cstheme="minorHAnsi"/>
          <w:color w:val="000000"/>
          <w:lang w:val="en" w:eastAsia="en-NZ"/>
        </w:rPr>
      </w:pPr>
      <w:r w:rsidRPr="00180C2D">
        <w:rPr>
          <w:rFonts w:eastAsia="Times New Roman" w:cstheme="minorHAnsi"/>
          <w:color w:val="000000"/>
          <w:lang w:val="en" w:eastAsia="en-NZ"/>
        </w:rPr>
        <w:t>The IPPC Secretariat also cooperates with many other organizations</w:t>
      </w:r>
      <w:r>
        <w:rPr>
          <w:rFonts w:eastAsia="Times New Roman" w:cstheme="minorHAnsi"/>
          <w:color w:val="000000"/>
          <w:lang w:val="en" w:eastAsia="en-NZ"/>
        </w:rPr>
        <w:t>.</w:t>
      </w:r>
      <w:r w:rsidRPr="00180C2D">
        <w:rPr>
          <w:rFonts w:eastAsia="Times New Roman" w:cstheme="minorHAnsi"/>
          <w:color w:val="000000"/>
          <w:lang w:val="en" w:eastAsia="en-NZ"/>
        </w:rPr>
        <w:t xml:space="preserve"> </w:t>
      </w:r>
      <w:r>
        <w:rPr>
          <w:rFonts w:eastAsia="Times New Roman" w:cstheme="minorHAnsi"/>
          <w:color w:val="000000"/>
          <w:lang w:val="en" w:eastAsia="en-NZ"/>
        </w:rPr>
        <w:t>This cooperation is essential to mainstream plant health considerations and policies into the general debate on environmental and development issues. Especially with regard to climate change and capacity building a more intensified cooperation with relevant international organizations is necessary to ensure that the evaluations of climate change impacts incorporate pest related impacts and that attention is drawn to potential donor organizations about the phytosanitary capacity building needs of developing country NPPOs.</w:t>
      </w:r>
    </w:p>
    <w:p w:rsidR="0040184C" w:rsidRPr="00EE619D" w:rsidRDefault="0040184C" w:rsidP="0040184C">
      <w:pPr>
        <w:rPr>
          <w:rFonts w:eastAsia="Times New Roman" w:cstheme="minorHAnsi"/>
          <w:color w:val="000000"/>
          <w:lang w:val="en" w:eastAsia="en-NZ"/>
        </w:rPr>
      </w:pPr>
      <w:r w:rsidRPr="00EE619D">
        <w:rPr>
          <w:rFonts w:eastAsia="Times New Roman" w:cstheme="minorHAnsi"/>
          <w:color w:val="000000"/>
          <w:lang w:val="en" w:eastAsia="en-NZ"/>
        </w:rPr>
        <w:t xml:space="preserve">The IPPC make use of many different opportunities to </w:t>
      </w:r>
      <w:r>
        <w:rPr>
          <w:rFonts w:eastAsia="Times New Roman" w:cstheme="minorHAnsi"/>
          <w:color w:val="000000"/>
          <w:lang w:val="en" w:eastAsia="en-NZ"/>
        </w:rPr>
        <w:t>reach out internationally so its mission is understood, well connected and actively participating where doing so will advance achieving its mission</w:t>
      </w:r>
      <w:r w:rsidRPr="00EE619D">
        <w:rPr>
          <w:rFonts w:eastAsia="Times New Roman" w:cstheme="minorHAnsi"/>
          <w:color w:val="000000"/>
          <w:lang w:val="en" w:eastAsia="en-NZ"/>
        </w:rPr>
        <w:t xml:space="preserve">. Annual themes </w:t>
      </w:r>
      <w:r>
        <w:rPr>
          <w:rFonts w:eastAsia="Times New Roman" w:cstheme="minorHAnsi"/>
          <w:color w:val="000000"/>
          <w:lang w:val="en" w:eastAsia="en-NZ"/>
        </w:rPr>
        <w:t>were</w:t>
      </w:r>
      <w:r w:rsidRPr="00EE619D">
        <w:rPr>
          <w:rFonts w:eastAsia="Times New Roman" w:cstheme="minorHAnsi"/>
          <w:color w:val="000000"/>
          <w:lang w:val="en" w:eastAsia="en-NZ"/>
        </w:rPr>
        <w:t xml:space="preserve"> introduced to promote specific aspects of the IPPC mandate on an annual basis. For the period 2016-2019 the IPPC focused on the following themes:</w:t>
      </w:r>
    </w:p>
    <w:p w:rsidR="0040184C" w:rsidRPr="004D5BAD" w:rsidRDefault="00D65B9C" w:rsidP="001E6578">
      <w:pPr>
        <w:numPr>
          <w:ilvl w:val="0"/>
          <w:numId w:val="7"/>
        </w:numPr>
        <w:ind w:left="374" w:hanging="357"/>
        <w:contextualSpacing/>
        <w:rPr>
          <w:rFonts w:eastAsia="Times New Roman" w:cstheme="minorHAnsi"/>
          <w:lang w:val="en" w:eastAsia="en-NZ"/>
        </w:rPr>
      </w:pPr>
      <w:hyperlink r:id="rId13" w:history="1">
        <w:r w:rsidR="0040184C" w:rsidRPr="004D5BAD">
          <w:rPr>
            <w:rFonts w:eastAsia="Times New Roman" w:cstheme="minorHAnsi"/>
            <w:bCs/>
            <w:lang w:val="en" w:eastAsia="en-NZ"/>
          </w:rPr>
          <w:t>2016 Plant Health and Food Security</w:t>
        </w:r>
      </w:hyperlink>
    </w:p>
    <w:p w:rsidR="0040184C" w:rsidRPr="004D5BAD" w:rsidRDefault="00D65B9C" w:rsidP="001E6578">
      <w:pPr>
        <w:numPr>
          <w:ilvl w:val="0"/>
          <w:numId w:val="7"/>
        </w:numPr>
        <w:ind w:left="374" w:hanging="357"/>
        <w:contextualSpacing/>
        <w:rPr>
          <w:rFonts w:eastAsia="Times New Roman" w:cstheme="minorHAnsi"/>
          <w:lang w:val="en" w:eastAsia="en-NZ"/>
        </w:rPr>
      </w:pPr>
      <w:hyperlink r:id="rId14" w:history="1">
        <w:r w:rsidR="0040184C" w:rsidRPr="004D5BAD">
          <w:rPr>
            <w:rFonts w:eastAsia="Times New Roman" w:cstheme="minorHAnsi"/>
            <w:bCs/>
            <w:lang w:val="en" w:eastAsia="en-NZ"/>
          </w:rPr>
          <w:t>2017 Plant Health and Trade Facilitation</w:t>
        </w:r>
      </w:hyperlink>
    </w:p>
    <w:p w:rsidR="0040184C" w:rsidRPr="004D5BAD" w:rsidRDefault="00D65B9C" w:rsidP="001E6578">
      <w:pPr>
        <w:numPr>
          <w:ilvl w:val="0"/>
          <w:numId w:val="7"/>
        </w:numPr>
        <w:ind w:left="374" w:hanging="357"/>
        <w:contextualSpacing/>
        <w:rPr>
          <w:rFonts w:eastAsia="Times New Roman" w:cstheme="minorHAnsi"/>
          <w:lang w:val="en" w:eastAsia="en-NZ"/>
        </w:rPr>
      </w:pPr>
      <w:hyperlink r:id="rId15" w:history="1">
        <w:r w:rsidR="0040184C" w:rsidRPr="004D5BAD">
          <w:rPr>
            <w:rFonts w:eastAsia="Times New Roman" w:cstheme="minorHAnsi"/>
            <w:bCs/>
            <w:lang w:val="en" w:eastAsia="en-NZ"/>
          </w:rPr>
          <w:t>2018 Plant Health and Environmental Protection</w:t>
        </w:r>
      </w:hyperlink>
    </w:p>
    <w:p w:rsidR="0040184C" w:rsidRPr="004D5BAD" w:rsidRDefault="00D65B9C" w:rsidP="001E6578">
      <w:pPr>
        <w:numPr>
          <w:ilvl w:val="0"/>
          <w:numId w:val="7"/>
        </w:numPr>
        <w:ind w:left="374" w:hanging="357"/>
        <w:contextualSpacing/>
        <w:rPr>
          <w:rFonts w:eastAsia="Times New Roman" w:cstheme="minorHAnsi"/>
          <w:lang w:val="en" w:eastAsia="en-NZ"/>
        </w:rPr>
      </w:pPr>
      <w:hyperlink r:id="rId16" w:history="1">
        <w:r w:rsidR="0040184C" w:rsidRPr="004D5BAD">
          <w:rPr>
            <w:rFonts w:eastAsia="Times New Roman" w:cstheme="minorHAnsi"/>
            <w:bCs/>
            <w:lang w:val="en" w:eastAsia="en-NZ"/>
          </w:rPr>
          <w:t>2019 Plant Health and Capacity Development</w:t>
        </w:r>
      </w:hyperlink>
    </w:p>
    <w:p w:rsidR="0040184C" w:rsidRDefault="0040184C" w:rsidP="0040184C">
      <w:pPr>
        <w:rPr>
          <w:rFonts w:eastAsia="Times New Roman" w:cstheme="minorHAnsi"/>
          <w:color w:val="000000"/>
          <w:lang w:val="en" w:eastAsia="en-NZ"/>
        </w:rPr>
      </w:pPr>
    </w:p>
    <w:p w:rsidR="0040184C" w:rsidRPr="00AB6D02" w:rsidRDefault="0040184C" w:rsidP="0040184C">
      <w:pPr>
        <w:rPr>
          <w:rFonts w:eastAsia="Times New Roman" w:cstheme="minorHAnsi"/>
          <w:lang w:val="en" w:eastAsia="en-NZ"/>
        </w:rPr>
      </w:pPr>
      <w:r w:rsidRPr="00EE619D">
        <w:rPr>
          <w:rFonts w:eastAsia="Times New Roman" w:cstheme="minorHAnsi"/>
          <w:color w:val="000000"/>
          <w:lang w:val="en" w:eastAsia="en-NZ"/>
        </w:rPr>
        <w:t xml:space="preserve">In </w:t>
      </w:r>
      <w:r w:rsidRPr="004D5BAD">
        <w:rPr>
          <w:rFonts w:eastAsia="Times New Roman" w:cstheme="minorHAnsi"/>
          <w:color w:val="000000"/>
          <w:lang w:val="en" w:eastAsia="en-NZ"/>
        </w:rPr>
        <w:t xml:space="preserve">addition, through the efforts of contracting parties to the IPPC, the United Nations proclaimed </w:t>
      </w:r>
      <w:hyperlink r:id="rId17" w:history="1">
        <w:r w:rsidRPr="004D5BAD">
          <w:rPr>
            <w:rFonts w:eastAsia="Times New Roman" w:cstheme="minorHAnsi"/>
            <w:bCs/>
            <w:lang w:val="en" w:eastAsia="en-NZ"/>
          </w:rPr>
          <w:t>2020 the International Year of Plant Health (IYPH)</w:t>
        </w:r>
      </w:hyperlink>
      <w:r w:rsidRPr="004D5BAD">
        <w:rPr>
          <w:rFonts w:eastAsia="Times New Roman" w:cstheme="minorHAnsi"/>
          <w:lang w:val="en" w:eastAsia="en-NZ"/>
        </w:rPr>
        <w:t>.</w:t>
      </w:r>
      <w:r w:rsidRPr="00AB6D02">
        <w:rPr>
          <w:rFonts w:eastAsia="Times New Roman" w:cstheme="minorHAnsi"/>
          <w:lang w:val="en" w:eastAsia="en-NZ"/>
        </w:rPr>
        <w:t xml:space="preserve"> </w:t>
      </w:r>
    </w:p>
    <w:p w:rsidR="00C43CFF" w:rsidRPr="00EE619D" w:rsidRDefault="00C43CFF" w:rsidP="00C43CFF">
      <w:pPr>
        <w:rPr>
          <w:rFonts w:eastAsia="Times New Roman" w:cstheme="minorHAnsi"/>
          <w:color w:val="000000"/>
          <w:lang w:val="en" w:eastAsia="en-NZ"/>
        </w:rPr>
      </w:pPr>
      <w:r w:rsidRPr="00EE619D">
        <w:rPr>
          <w:rFonts w:eastAsia="Times New Roman" w:cstheme="minorHAnsi"/>
          <w:color w:val="000000"/>
          <w:lang w:val="en" w:eastAsia="en-NZ"/>
        </w:rPr>
        <w:t xml:space="preserve">These communication efforts are guided by the </w:t>
      </w:r>
      <w:hyperlink r:id="rId18" w:history="1">
        <w:r w:rsidRPr="00EE619D">
          <w:rPr>
            <w:rFonts w:eastAsia="Times New Roman" w:cstheme="minorHAnsi"/>
            <w:b/>
            <w:bCs/>
            <w:color w:val="0563C1" w:themeColor="hyperlink"/>
            <w:u w:val="single"/>
            <w:lang w:val="en" w:eastAsia="en-NZ"/>
          </w:rPr>
          <w:t>IPPC Communications Strategy</w:t>
        </w:r>
      </w:hyperlink>
      <w:r w:rsidRPr="00EE619D">
        <w:rPr>
          <w:rFonts w:eastAsia="Times New Roman" w:cstheme="minorHAnsi"/>
          <w:b/>
          <w:bCs/>
          <w:color w:val="000000"/>
          <w:lang w:val="en" w:eastAsia="en-NZ"/>
        </w:rPr>
        <w:t xml:space="preserve">.  </w:t>
      </w:r>
      <w:r w:rsidRPr="00EE619D">
        <w:rPr>
          <w:rFonts w:eastAsia="Times New Roman" w:cstheme="minorHAnsi"/>
          <w:color w:val="000000"/>
          <w:lang w:val="en" w:eastAsia="en-NZ"/>
        </w:rPr>
        <w:t>The four objectives of the IPPC Communications Strategy are to:</w:t>
      </w:r>
    </w:p>
    <w:p w:rsidR="00C43CFF" w:rsidRPr="00EE619D" w:rsidRDefault="004D5BAD" w:rsidP="001E6578">
      <w:pPr>
        <w:numPr>
          <w:ilvl w:val="0"/>
          <w:numId w:val="8"/>
        </w:numPr>
        <w:contextualSpacing/>
        <w:rPr>
          <w:rFonts w:eastAsia="Times New Roman" w:cstheme="minorHAnsi"/>
          <w:color w:val="000000"/>
          <w:lang w:val="en" w:eastAsia="en-NZ"/>
        </w:rPr>
      </w:pPr>
      <w:r>
        <w:rPr>
          <w:rFonts w:eastAsia="Times New Roman" w:cstheme="minorHAnsi"/>
          <w:color w:val="000000"/>
          <w:lang w:val="en" w:eastAsia="en-NZ"/>
        </w:rPr>
        <w:lastRenderedPageBreak/>
        <w:t>I</w:t>
      </w:r>
      <w:r w:rsidR="00C43CFF" w:rsidRPr="00EE619D">
        <w:rPr>
          <w:rFonts w:eastAsia="Times New Roman" w:cstheme="minorHAnsi"/>
          <w:color w:val="000000"/>
          <w:lang w:val="en" w:eastAsia="en-NZ"/>
        </w:rPr>
        <w:t>ncrease global awareness of the importance of the Convention and of the vital importance to the world of protecting plants from pests;</w:t>
      </w:r>
    </w:p>
    <w:p w:rsidR="00C43CFF" w:rsidRPr="00EE619D" w:rsidRDefault="004D5BAD" w:rsidP="001E6578">
      <w:pPr>
        <w:numPr>
          <w:ilvl w:val="0"/>
          <w:numId w:val="8"/>
        </w:numPr>
        <w:contextualSpacing/>
        <w:rPr>
          <w:rFonts w:eastAsia="Times New Roman" w:cstheme="minorHAnsi"/>
          <w:color w:val="000000"/>
          <w:lang w:val="en" w:eastAsia="en-NZ"/>
        </w:rPr>
      </w:pPr>
      <w:r>
        <w:rPr>
          <w:rFonts w:eastAsia="Times New Roman" w:cstheme="minorHAnsi"/>
          <w:color w:val="000000"/>
          <w:lang w:val="en" w:eastAsia="en-NZ"/>
        </w:rPr>
        <w:t>H</w:t>
      </w:r>
      <w:r w:rsidR="00C43CFF" w:rsidRPr="00EE619D">
        <w:rPr>
          <w:rFonts w:eastAsia="Times New Roman" w:cstheme="minorHAnsi"/>
          <w:color w:val="000000"/>
          <w:lang w:val="en" w:eastAsia="en-NZ"/>
        </w:rPr>
        <w:t>ighlight the IPPC’s role as the sole international plant health standard setting organization with the objective of helping to ensure the safe trade of plants and plant products</w:t>
      </w:r>
      <w:r w:rsidR="0040184C">
        <w:rPr>
          <w:rFonts w:eastAsia="Times New Roman" w:cstheme="minorHAnsi"/>
          <w:color w:val="000000"/>
          <w:lang w:val="en" w:eastAsia="en-NZ"/>
        </w:rPr>
        <w:t>;</w:t>
      </w:r>
    </w:p>
    <w:p w:rsidR="00C43CFF" w:rsidRPr="00EE619D" w:rsidRDefault="004D5BAD" w:rsidP="001E6578">
      <w:pPr>
        <w:numPr>
          <w:ilvl w:val="0"/>
          <w:numId w:val="8"/>
        </w:numPr>
        <w:contextualSpacing/>
        <w:rPr>
          <w:rFonts w:eastAsia="Times New Roman" w:cstheme="minorHAnsi"/>
          <w:color w:val="000000"/>
          <w:lang w:val="en" w:eastAsia="en-NZ"/>
        </w:rPr>
      </w:pPr>
      <w:r>
        <w:rPr>
          <w:rFonts w:eastAsia="Times New Roman" w:cstheme="minorHAnsi"/>
          <w:color w:val="000000"/>
          <w:lang w:val="en" w:eastAsia="en-NZ"/>
        </w:rPr>
        <w:t>I</w:t>
      </w:r>
      <w:r w:rsidR="00C43CFF" w:rsidRPr="00EE619D">
        <w:rPr>
          <w:rFonts w:eastAsia="Times New Roman" w:cstheme="minorHAnsi"/>
          <w:color w:val="000000"/>
          <w:lang w:val="en" w:eastAsia="en-NZ"/>
        </w:rPr>
        <w:t>mprove the implementation of the International Standards for Phytosanitary Measures (ISPMs); and</w:t>
      </w:r>
    </w:p>
    <w:p w:rsidR="00C43CFF" w:rsidRPr="00EE619D" w:rsidRDefault="004C04FD" w:rsidP="001E6578">
      <w:pPr>
        <w:numPr>
          <w:ilvl w:val="0"/>
          <w:numId w:val="8"/>
        </w:numPr>
        <w:contextualSpacing/>
        <w:rPr>
          <w:rFonts w:eastAsia="Times New Roman" w:cstheme="minorHAnsi"/>
          <w:color w:val="000000"/>
          <w:lang w:val="en" w:eastAsia="en-NZ"/>
        </w:rPr>
      </w:pPr>
      <w:r>
        <w:rPr>
          <w:rFonts w:eastAsia="Times New Roman" w:cstheme="minorHAnsi"/>
          <w:color w:val="000000"/>
          <w:lang w:val="en" w:eastAsia="en-NZ"/>
        </w:rPr>
        <w:t>S</w:t>
      </w:r>
      <w:r w:rsidR="00C43CFF" w:rsidRPr="00EE619D">
        <w:rPr>
          <w:rFonts w:eastAsia="Times New Roman" w:cstheme="minorHAnsi"/>
          <w:color w:val="000000"/>
          <w:lang w:val="en" w:eastAsia="en-NZ"/>
        </w:rPr>
        <w:t xml:space="preserve">upport the activities of the IPPC Secretariats Resource Mobilization </w:t>
      </w:r>
      <w:proofErr w:type="spellStart"/>
      <w:r w:rsidR="00C43CFF" w:rsidRPr="00EE619D">
        <w:rPr>
          <w:rFonts w:eastAsia="Times New Roman" w:cstheme="minorHAnsi"/>
          <w:color w:val="000000"/>
          <w:lang w:val="en" w:eastAsia="en-NZ"/>
        </w:rPr>
        <w:t>programme</w:t>
      </w:r>
      <w:proofErr w:type="spellEnd"/>
      <w:r w:rsidR="00C43CFF" w:rsidRPr="00EE619D">
        <w:rPr>
          <w:rFonts w:eastAsia="Times New Roman" w:cstheme="minorHAnsi"/>
          <w:color w:val="000000"/>
          <w:lang w:val="en" w:eastAsia="en-NZ"/>
        </w:rPr>
        <w:t>.</w:t>
      </w:r>
    </w:p>
    <w:p w:rsidR="00C43CFF" w:rsidRDefault="00C43CFF" w:rsidP="00C43CFF">
      <w:pPr>
        <w:rPr>
          <w:rFonts w:eastAsia="Times New Roman" w:cstheme="minorHAnsi"/>
          <w:color w:val="000000"/>
          <w:lang w:val="en" w:eastAsia="en-NZ"/>
        </w:rPr>
      </w:pPr>
    </w:p>
    <w:tbl>
      <w:tblPr>
        <w:tblStyle w:val="TableGrid"/>
        <w:tblW w:w="0" w:type="auto"/>
        <w:tblLook w:val="04A0" w:firstRow="1" w:lastRow="0" w:firstColumn="1" w:lastColumn="0" w:noHBand="0" w:noVBand="1"/>
      </w:tblPr>
      <w:tblGrid>
        <w:gridCol w:w="3005"/>
        <w:gridCol w:w="3005"/>
        <w:gridCol w:w="3006"/>
      </w:tblGrid>
      <w:tr w:rsidR="00C43CFF" w:rsidRPr="00D667D5" w:rsidTr="003B580E">
        <w:trPr>
          <w:tblHeader/>
        </w:trPr>
        <w:tc>
          <w:tcPr>
            <w:tcW w:w="3005"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Key result area</w:t>
            </w:r>
          </w:p>
          <w:p w:rsidR="00C43CFF" w:rsidRPr="00D667D5" w:rsidRDefault="00C43CFF" w:rsidP="00A77EDE">
            <w:pPr>
              <w:rPr>
                <w:rFonts w:ascii="Arial" w:hAnsi="Arial" w:cs="Arial"/>
                <w:b/>
                <w:sz w:val="18"/>
                <w:szCs w:val="18"/>
              </w:rPr>
            </w:pPr>
          </w:p>
        </w:tc>
        <w:tc>
          <w:tcPr>
            <w:tcW w:w="3005"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Performance indicator</w:t>
            </w:r>
          </w:p>
        </w:tc>
        <w:tc>
          <w:tcPr>
            <w:tcW w:w="3006" w:type="dxa"/>
            <w:shd w:val="clear" w:color="auto" w:fill="D9D9D9" w:themeFill="background1" w:themeFillShade="D9"/>
          </w:tcPr>
          <w:p w:rsidR="00C43CFF" w:rsidRPr="00D667D5" w:rsidRDefault="00C43CFF" w:rsidP="00A77EDE">
            <w:pPr>
              <w:rPr>
                <w:rFonts w:ascii="Arial" w:hAnsi="Arial" w:cs="Arial"/>
                <w:b/>
                <w:sz w:val="18"/>
                <w:szCs w:val="18"/>
              </w:rPr>
            </w:pPr>
            <w:r w:rsidRPr="00D667D5">
              <w:rPr>
                <w:rFonts w:ascii="Arial" w:hAnsi="Arial" w:cs="Arial"/>
                <w:b/>
                <w:sz w:val="18"/>
                <w:szCs w:val="18"/>
              </w:rPr>
              <w:t>Measure</w:t>
            </w:r>
            <w:r w:rsidR="00D1755E" w:rsidRPr="00D667D5">
              <w:rPr>
                <w:rFonts w:ascii="Arial" w:hAnsi="Arial" w:cs="Arial"/>
                <w:b/>
                <w:sz w:val="18"/>
                <w:szCs w:val="18"/>
              </w:rPr>
              <w:t>ment</w:t>
            </w:r>
          </w:p>
        </w:tc>
      </w:tr>
      <w:tr w:rsidR="00324ACE" w:rsidRPr="00D667D5" w:rsidTr="00A77EDE">
        <w:tc>
          <w:tcPr>
            <w:tcW w:w="3005" w:type="dxa"/>
          </w:tcPr>
          <w:p w:rsidR="00324ACE" w:rsidRPr="00D667D5" w:rsidRDefault="0040184C" w:rsidP="00A77EDE">
            <w:pPr>
              <w:rPr>
                <w:rFonts w:ascii="Arial" w:hAnsi="Arial" w:cs="Arial"/>
                <w:sz w:val="18"/>
                <w:szCs w:val="18"/>
              </w:rPr>
            </w:pPr>
            <w:r w:rsidRPr="00D667D5">
              <w:rPr>
                <w:rFonts w:ascii="Arial" w:hAnsi="Arial" w:cs="Arial"/>
                <w:sz w:val="18"/>
                <w:szCs w:val="18"/>
              </w:rPr>
              <w:t>Global awareness of the IPPC and the importance of plant health</w:t>
            </w:r>
          </w:p>
        </w:tc>
        <w:tc>
          <w:tcPr>
            <w:tcW w:w="3005" w:type="dxa"/>
          </w:tcPr>
          <w:p w:rsidR="00324ACE" w:rsidRPr="00D667D5" w:rsidRDefault="0040184C" w:rsidP="00A77EDE">
            <w:pPr>
              <w:rPr>
                <w:rFonts w:ascii="Arial" w:hAnsi="Arial" w:cs="Arial"/>
                <w:sz w:val="18"/>
                <w:szCs w:val="18"/>
              </w:rPr>
            </w:pPr>
            <w:r w:rsidRPr="00D667D5">
              <w:rPr>
                <w:rFonts w:ascii="Arial" w:hAnsi="Arial" w:cs="Arial"/>
                <w:sz w:val="18"/>
                <w:szCs w:val="18"/>
              </w:rPr>
              <w:t>The International Year of Plant Health is widely supported</w:t>
            </w:r>
          </w:p>
          <w:p w:rsidR="0040184C" w:rsidRPr="00D667D5" w:rsidRDefault="0040184C" w:rsidP="00A77EDE">
            <w:pPr>
              <w:rPr>
                <w:rFonts w:ascii="Arial" w:hAnsi="Arial" w:cs="Arial"/>
                <w:sz w:val="18"/>
                <w:szCs w:val="18"/>
              </w:rPr>
            </w:pPr>
          </w:p>
        </w:tc>
        <w:tc>
          <w:tcPr>
            <w:tcW w:w="3006" w:type="dxa"/>
          </w:tcPr>
          <w:p w:rsidR="00324ACE" w:rsidRPr="00D667D5" w:rsidRDefault="000B172D" w:rsidP="00A77EDE">
            <w:pPr>
              <w:rPr>
                <w:rFonts w:ascii="Arial" w:hAnsi="Arial" w:cs="Arial"/>
                <w:sz w:val="18"/>
                <w:szCs w:val="18"/>
              </w:rPr>
            </w:pPr>
            <w:r w:rsidRPr="00D667D5">
              <w:rPr>
                <w:rFonts w:ascii="Arial" w:hAnsi="Arial" w:cs="Arial"/>
                <w:sz w:val="18"/>
                <w:szCs w:val="18"/>
              </w:rPr>
              <w:t>All CPs participate in IYPH activities</w:t>
            </w:r>
          </w:p>
          <w:p w:rsidR="000B172D" w:rsidRPr="00D667D5" w:rsidRDefault="000B172D" w:rsidP="00A77EDE">
            <w:pPr>
              <w:rPr>
                <w:rFonts w:ascii="Arial" w:hAnsi="Arial" w:cs="Arial"/>
                <w:sz w:val="18"/>
                <w:szCs w:val="18"/>
              </w:rPr>
            </w:pPr>
            <w:r w:rsidRPr="00D667D5">
              <w:rPr>
                <w:rFonts w:ascii="Arial" w:hAnsi="Arial" w:cs="Arial"/>
                <w:sz w:val="18"/>
                <w:szCs w:val="18"/>
              </w:rPr>
              <w:t>Communications material is widely used</w:t>
            </w:r>
          </w:p>
          <w:p w:rsidR="000B172D" w:rsidRPr="00D667D5" w:rsidRDefault="000B172D" w:rsidP="00A77EDE">
            <w:pPr>
              <w:rPr>
                <w:rFonts w:ascii="Arial" w:hAnsi="Arial" w:cs="Arial"/>
                <w:sz w:val="18"/>
                <w:szCs w:val="18"/>
              </w:rPr>
            </w:pPr>
            <w:r w:rsidRPr="00D667D5">
              <w:rPr>
                <w:rFonts w:ascii="Arial" w:hAnsi="Arial" w:cs="Arial"/>
                <w:sz w:val="18"/>
                <w:szCs w:val="18"/>
              </w:rPr>
              <w:t xml:space="preserve">Impact is measured, analysed and reported </w:t>
            </w:r>
          </w:p>
        </w:tc>
      </w:tr>
      <w:tr w:rsidR="00324ACE" w:rsidRPr="00D667D5" w:rsidTr="00A77EDE">
        <w:tc>
          <w:tcPr>
            <w:tcW w:w="3005" w:type="dxa"/>
          </w:tcPr>
          <w:p w:rsidR="00324ACE" w:rsidRPr="00D667D5" w:rsidRDefault="0040184C" w:rsidP="00A77EDE">
            <w:pPr>
              <w:rPr>
                <w:rFonts w:ascii="Arial" w:hAnsi="Arial" w:cs="Arial"/>
                <w:sz w:val="18"/>
                <w:szCs w:val="18"/>
              </w:rPr>
            </w:pPr>
            <w:r w:rsidRPr="00D667D5">
              <w:rPr>
                <w:rFonts w:ascii="Arial" w:hAnsi="Arial" w:cs="Arial"/>
                <w:sz w:val="18"/>
                <w:szCs w:val="18"/>
              </w:rPr>
              <w:t>International standards underpin the majority of global trade of plants and plant products</w:t>
            </w:r>
          </w:p>
        </w:tc>
        <w:tc>
          <w:tcPr>
            <w:tcW w:w="3005" w:type="dxa"/>
          </w:tcPr>
          <w:p w:rsidR="00324ACE" w:rsidRPr="00D667D5" w:rsidRDefault="000B172D" w:rsidP="000B172D">
            <w:pPr>
              <w:rPr>
                <w:rFonts w:ascii="Arial" w:hAnsi="Arial" w:cs="Arial"/>
                <w:sz w:val="18"/>
                <w:szCs w:val="18"/>
              </w:rPr>
            </w:pPr>
            <w:r w:rsidRPr="00D667D5">
              <w:rPr>
                <w:rFonts w:ascii="Arial" w:hAnsi="Arial" w:cs="Arial"/>
                <w:sz w:val="18"/>
                <w:szCs w:val="18"/>
              </w:rPr>
              <w:t>CPs demonstrate use and benefits of ISPMs to facilitate and achieve safe trade</w:t>
            </w:r>
          </w:p>
        </w:tc>
        <w:tc>
          <w:tcPr>
            <w:tcW w:w="3006" w:type="dxa"/>
          </w:tcPr>
          <w:p w:rsidR="00324ACE" w:rsidRPr="00D667D5" w:rsidRDefault="000B172D" w:rsidP="00A77EDE">
            <w:pPr>
              <w:rPr>
                <w:rFonts w:ascii="Arial" w:hAnsi="Arial" w:cs="Arial"/>
                <w:sz w:val="18"/>
                <w:szCs w:val="18"/>
              </w:rPr>
            </w:pPr>
            <w:r w:rsidRPr="00D667D5">
              <w:rPr>
                <w:rFonts w:ascii="Arial" w:hAnsi="Arial" w:cs="Arial"/>
                <w:sz w:val="18"/>
                <w:szCs w:val="18"/>
              </w:rPr>
              <w:t>Impact assessments – pre- and post- market access</w:t>
            </w:r>
          </w:p>
          <w:p w:rsidR="000B172D" w:rsidRPr="00D667D5" w:rsidRDefault="000B172D" w:rsidP="00A77EDE">
            <w:pPr>
              <w:rPr>
                <w:rFonts w:ascii="Arial" w:hAnsi="Arial" w:cs="Arial"/>
                <w:sz w:val="18"/>
                <w:szCs w:val="18"/>
              </w:rPr>
            </w:pPr>
            <w:r w:rsidRPr="00D667D5">
              <w:rPr>
                <w:rFonts w:ascii="Arial" w:hAnsi="Arial" w:cs="Arial"/>
                <w:sz w:val="18"/>
                <w:szCs w:val="18"/>
              </w:rPr>
              <w:t>Analysis of global dispute resolution cases</w:t>
            </w:r>
          </w:p>
        </w:tc>
      </w:tr>
      <w:tr w:rsidR="00324ACE" w:rsidRPr="00D667D5" w:rsidTr="00A77EDE">
        <w:tc>
          <w:tcPr>
            <w:tcW w:w="3005" w:type="dxa"/>
          </w:tcPr>
          <w:p w:rsidR="00324ACE" w:rsidRPr="00D667D5" w:rsidRDefault="0040184C" w:rsidP="00A77EDE">
            <w:pPr>
              <w:rPr>
                <w:rFonts w:ascii="Arial" w:hAnsi="Arial" w:cs="Arial"/>
                <w:sz w:val="18"/>
                <w:szCs w:val="18"/>
              </w:rPr>
            </w:pPr>
            <w:r w:rsidRPr="00D667D5">
              <w:rPr>
                <w:rFonts w:ascii="Arial" w:hAnsi="Arial" w:cs="Arial"/>
                <w:sz w:val="18"/>
                <w:szCs w:val="18"/>
              </w:rPr>
              <w:t>ISPMs are implemented by all CPs</w:t>
            </w:r>
          </w:p>
        </w:tc>
        <w:tc>
          <w:tcPr>
            <w:tcW w:w="3005" w:type="dxa"/>
          </w:tcPr>
          <w:p w:rsidR="00324ACE" w:rsidRPr="00D667D5" w:rsidRDefault="000B172D" w:rsidP="00A77EDE">
            <w:pPr>
              <w:rPr>
                <w:rFonts w:ascii="Arial" w:hAnsi="Arial" w:cs="Arial"/>
                <w:sz w:val="18"/>
                <w:szCs w:val="18"/>
              </w:rPr>
            </w:pPr>
            <w:r w:rsidRPr="00D667D5">
              <w:rPr>
                <w:rFonts w:ascii="Arial" w:hAnsi="Arial" w:cs="Arial"/>
                <w:sz w:val="18"/>
                <w:szCs w:val="18"/>
              </w:rPr>
              <w:t>Import requirements reference relevant international standards</w:t>
            </w:r>
          </w:p>
        </w:tc>
        <w:tc>
          <w:tcPr>
            <w:tcW w:w="3006" w:type="dxa"/>
          </w:tcPr>
          <w:p w:rsidR="00324ACE" w:rsidRPr="00D667D5" w:rsidRDefault="000B172D" w:rsidP="000B172D">
            <w:pPr>
              <w:rPr>
                <w:rFonts w:ascii="Arial" w:hAnsi="Arial" w:cs="Arial"/>
                <w:sz w:val="18"/>
                <w:szCs w:val="18"/>
              </w:rPr>
            </w:pPr>
            <w:r w:rsidRPr="00D667D5">
              <w:rPr>
                <w:rFonts w:ascii="Arial" w:hAnsi="Arial" w:cs="Arial"/>
                <w:sz w:val="18"/>
                <w:szCs w:val="18"/>
              </w:rPr>
              <w:t>Analysis of SPS notifications for references to the use of ISPMs</w:t>
            </w:r>
          </w:p>
          <w:p w:rsidR="000B172D" w:rsidRPr="00D667D5" w:rsidRDefault="000B172D" w:rsidP="000B172D">
            <w:pPr>
              <w:rPr>
                <w:rFonts w:ascii="Arial" w:hAnsi="Arial" w:cs="Arial"/>
                <w:sz w:val="18"/>
                <w:szCs w:val="18"/>
              </w:rPr>
            </w:pPr>
            <w:r w:rsidRPr="00D667D5">
              <w:rPr>
                <w:rFonts w:ascii="Arial" w:hAnsi="Arial" w:cs="Arial"/>
                <w:sz w:val="18"/>
                <w:szCs w:val="18"/>
              </w:rPr>
              <w:t>Analysis of issues raised at SPS committee</w:t>
            </w:r>
          </w:p>
        </w:tc>
      </w:tr>
      <w:tr w:rsidR="00324ACE" w:rsidRPr="00D667D5" w:rsidTr="00A77EDE">
        <w:tc>
          <w:tcPr>
            <w:tcW w:w="3005" w:type="dxa"/>
          </w:tcPr>
          <w:p w:rsidR="00324ACE" w:rsidRPr="00D667D5" w:rsidRDefault="0040184C" w:rsidP="00A77EDE">
            <w:pPr>
              <w:rPr>
                <w:rFonts w:ascii="Arial" w:hAnsi="Arial" w:cs="Arial"/>
                <w:sz w:val="18"/>
                <w:szCs w:val="18"/>
              </w:rPr>
            </w:pPr>
            <w:r w:rsidRPr="00D667D5">
              <w:rPr>
                <w:rFonts w:ascii="Arial" w:hAnsi="Arial" w:cs="Arial"/>
                <w:sz w:val="18"/>
                <w:szCs w:val="18"/>
              </w:rPr>
              <w:t>Sufficient resources are mobilised to fund the full implementation of this strategy</w:t>
            </w:r>
          </w:p>
        </w:tc>
        <w:tc>
          <w:tcPr>
            <w:tcW w:w="3005" w:type="dxa"/>
          </w:tcPr>
          <w:p w:rsidR="00324ACE" w:rsidRPr="00D667D5" w:rsidRDefault="000B172D" w:rsidP="00A77EDE">
            <w:pPr>
              <w:rPr>
                <w:rFonts w:ascii="Arial" w:hAnsi="Arial" w:cs="Arial"/>
                <w:sz w:val="18"/>
                <w:szCs w:val="18"/>
              </w:rPr>
            </w:pPr>
            <w:r w:rsidRPr="00D667D5">
              <w:rPr>
                <w:rFonts w:ascii="Arial" w:hAnsi="Arial" w:cs="Arial"/>
                <w:sz w:val="18"/>
                <w:szCs w:val="18"/>
              </w:rPr>
              <w:t>All identified activities in relevant implementation and action plans are completed</w:t>
            </w:r>
          </w:p>
        </w:tc>
        <w:tc>
          <w:tcPr>
            <w:tcW w:w="3006" w:type="dxa"/>
          </w:tcPr>
          <w:p w:rsidR="00324ACE" w:rsidRPr="00D667D5" w:rsidRDefault="000B172D" w:rsidP="00A77EDE">
            <w:pPr>
              <w:rPr>
                <w:rFonts w:ascii="Arial" w:hAnsi="Arial" w:cs="Arial"/>
                <w:sz w:val="18"/>
                <w:szCs w:val="18"/>
              </w:rPr>
            </w:pPr>
            <w:r w:rsidRPr="00D667D5">
              <w:rPr>
                <w:rFonts w:ascii="Arial" w:hAnsi="Arial" w:cs="Arial"/>
                <w:sz w:val="18"/>
                <w:szCs w:val="18"/>
              </w:rPr>
              <w:t>Milestones are identified in action plans and met</w:t>
            </w:r>
          </w:p>
          <w:p w:rsidR="000B172D" w:rsidRPr="00D667D5" w:rsidRDefault="000B172D" w:rsidP="00A77EDE">
            <w:pPr>
              <w:rPr>
                <w:rFonts w:ascii="Arial" w:hAnsi="Arial" w:cs="Arial"/>
                <w:sz w:val="18"/>
                <w:szCs w:val="18"/>
              </w:rPr>
            </w:pPr>
            <w:r w:rsidRPr="00D667D5">
              <w:rPr>
                <w:rFonts w:ascii="Arial" w:hAnsi="Arial" w:cs="Arial"/>
                <w:sz w:val="18"/>
                <w:szCs w:val="18"/>
              </w:rPr>
              <w:t>Budgets are set and funds secured</w:t>
            </w:r>
          </w:p>
        </w:tc>
      </w:tr>
      <w:tr w:rsidR="007C53C7" w:rsidRPr="00D667D5" w:rsidTr="0040184C">
        <w:tc>
          <w:tcPr>
            <w:tcW w:w="3005" w:type="dxa"/>
          </w:tcPr>
          <w:p w:rsidR="007C53C7" w:rsidRPr="00D667D5" w:rsidRDefault="007C53C7" w:rsidP="00E417EF">
            <w:pPr>
              <w:rPr>
                <w:rFonts w:ascii="Arial" w:hAnsi="Arial" w:cs="Arial"/>
                <w:sz w:val="18"/>
                <w:szCs w:val="18"/>
              </w:rPr>
            </w:pPr>
            <w:r w:rsidRPr="00D667D5">
              <w:rPr>
                <w:rFonts w:ascii="Arial" w:hAnsi="Arial" w:cs="Arial"/>
                <w:sz w:val="18"/>
                <w:szCs w:val="18"/>
              </w:rPr>
              <w:t>Strong links are maintained with organisations that share common interests with the IPPC</w:t>
            </w:r>
          </w:p>
        </w:tc>
        <w:tc>
          <w:tcPr>
            <w:tcW w:w="3005" w:type="dxa"/>
          </w:tcPr>
          <w:p w:rsidR="007C53C7" w:rsidRPr="00D667D5" w:rsidRDefault="007C53C7" w:rsidP="00E417EF">
            <w:pPr>
              <w:rPr>
                <w:rFonts w:ascii="Arial" w:hAnsi="Arial" w:cs="Arial"/>
                <w:sz w:val="18"/>
                <w:szCs w:val="18"/>
              </w:rPr>
            </w:pPr>
            <w:r w:rsidRPr="00D667D5">
              <w:rPr>
                <w:rFonts w:ascii="Arial" w:hAnsi="Arial" w:cs="Arial"/>
                <w:sz w:val="18"/>
                <w:szCs w:val="18"/>
              </w:rPr>
              <w:t>Plant health considerations are progressed through cooperation with relevant international organisations</w:t>
            </w:r>
          </w:p>
        </w:tc>
        <w:tc>
          <w:tcPr>
            <w:tcW w:w="3006" w:type="dxa"/>
          </w:tcPr>
          <w:p w:rsidR="007C53C7" w:rsidRPr="00D667D5" w:rsidRDefault="007C53C7" w:rsidP="007C53C7">
            <w:pPr>
              <w:rPr>
                <w:rFonts w:ascii="Arial" w:hAnsi="Arial" w:cs="Arial"/>
                <w:sz w:val="18"/>
                <w:szCs w:val="18"/>
              </w:rPr>
            </w:pPr>
            <w:r w:rsidRPr="00D667D5">
              <w:rPr>
                <w:rFonts w:ascii="Arial" w:hAnsi="Arial" w:cs="Arial"/>
                <w:sz w:val="18"/>
                <w:szCs w:val="18"/>
              </w:rPr>
              <w:t>CPM priorities are reflected in cooperation agreements</w:t>
            </w:r>
          </w:p>
          <w:p w:rsidR="007C53C7" w:rsidRPr="00D667D5" w:rsidRDefault="007C53C7" w:rsidP="007C53C7">
            <w:pPr>
              <w:rPr>
                <w:rFonts w:ascii="Arial" w:hAnsi="Arial" w:cs="Arial"/>
                <w:sz w:val="18"/>
                <w:szCs w:val="18"/>
              </w:rPr>
            </w:pPr>
            <w:r w:rsidRPr="00D667D5">
              <w:rPr>
                <w:rFonts w:ascii="Arial" w:hAnsi="Arial" w:cs="Arial"/>
                <w:sz w:val="18"/>
                <w:szCs w:val="18"/>
              </w:rPr>
              <w:t>Progress is monitored and reported against milestones</w:t>
            </w:r>
          </w:p>
          <w:p w:rsidR="007C53C7" w:rsidRPr="00D667D5" w:rsidRDefault="007C53C7" w:rsidP="007C53C7">
            <w:pPr>
              <w:rPr>
                <w:rFonts w:ascii="Arial" w:hAnsi="Arial" w:cs="Arial"/>
                <w:sz w:val="18"/>
                <w:szCs w:val="18"/>
              </w:rPr>
            </w:pPr>
            <w:r w:rsidRPr="00D667D5">
              <w:rPr>
                <w:rFonts w:ascii="Arial" w:hAnsi="Arial" w:cs="Arial"/>
                <w:sz w:val="18"/>
                <w:szCs w:val="18"/>
              </w:rPr>
              <w:t>Cooperation agreements are reviewed every 3 years</w:t>
            </w:r>
          </w:p>
          <w:p w:rsidR="007C53C7" w:rsidRPr="00D667D5" w:rsidRDefault="007C53C7" w:rsidP="007C53C7">
            <w:pPr>
              <w:rPr>
                <w:rFonts w:ascii="Arial" w:hAnsi="Arial" w:cs="Arial"/>
                <w:sz w:val="18"/>
                <w:szCs w:val="18"/>
              </w:rPr>
            </w:pPr>
            <w:r w:rsidRPr="00D667D5">
              <w:rPr>
                <w:rFonts w:ascii="Arial" w:hAnsi="Arial" w:cs="Arial"/>
                <w:sz w:val="18"/>
                <w:szCs w:val="18"/>
              </w:rPr>
              <w:t>All agreements are assessed against CPM priorities every 5 years</w:t>
            </w:r>
          </w:p>
        </w:tc>
      </w:tr>
      <w:tr w:rsidR="0040184C" w:rsidRPr="00D667D5" w:rsidTr="0040184C">
        <w:tc>
          <w:tcPr>
            <w:tcW w:w="3005" w:type="dxa"/>
          </w:tcPr>
          <w:p w:rsidR="0040184C" w:rsidRPr="00D667D5" w:rsidRDefault="0040184C" w:rsidP="00E417EF">
            <w:pPr>
              <w:rPr>
                <w:rFonts w:ascii="Arial" w:hAnsi="Arial" w:cs="Arial"/>
                <w:sz w:val="18"/>
                <w:szCs w:val="18"/>
              </w:rPr>
            </w:pPr>
            <w:r w:rsidRPr="00D667D5">
              <w:rPr>
                <w:rFonts w:ascii="Arial" w:hAnsi="Arial" w:cs="Arial"/>
                <w:sz w:val="18"/>
                <w:szCs w:val="18"/>
              </w:rPr>
              <w:t>Identify, plan and implement ongoing program of theme years</w:t>
            </w:r>
          </w:p>
        </w:tc>
        <w:tc>
          <w:tcPr>
            <w:tcW w:w="3005" w:type="dxa"/>
          </w:tcPr>
          <w:p w:rsidR="0040184C" w:rsidRPr="00D667D5" w:rsidRDefault="007C53C7" w:rsidP="00E417EF">
            <w:pPr>
              <w:rPr>
                <w:rFonts w:ascii="Arial" w:hAnsi="Arial" w:cs="Arial"/>
                <w:sz w:val="18"/>
                <w:szCs w:val="18"/>
              </w:rPr>
            </w:pPr>
            <w:r w:rsidRPr="00D667D5">
              <w:rPr>
                <w:rFonts w:ascii="Arial" w:hAnsi="Arial" w:cs="Arial"/>
                <w:sz w:val="18"/>
                <w:szCs w:val="18"/>
              </w:rPr>
              <w:t>Strategic theme years focus global audiences on the role, function and achievements of the IPPC</w:t>
            </w:r>
          </w:p>
        </w:tc>
        <w:tc>
          <w:tcPr>
            <w:tcW w:w="3006" w:type="dxa"/>
          </w:tcPr>
          <w:p w:rsidR="0040184C" w:rsidRPr="00D667D5" w:rsidRDefault="0040184C" w:rsidP="00E417EF">
            <w:pPr>
              <w:rPr>
                <w:rFonts w:ascii="Arial" w:hAnsi="Arial" w:cs="Arial"/>
                <w:sz w:val="18"/>
                <w:szCs w:val="18"/>
              </w:rPr>
            </w:pPr>
            <w:r w:rsidRPr="00D667D5">
              <w:rPr>
                <w:rFonts w:ascii="Arial" w:hAnsi="Arial" w:cs="Arial"/>
                <w:sz w:val="18"/>
                <w:szCs w:val="18"/>
              </w:rPr>
              <w:t>Theme years endo</w:t>
            </w:r>
            <w:r w:rsidR="007C53C7" w:rsidRPr="00D667D5">
              <w:rPr>
                <w:rFonts w:ascii="Arial" w:hAnsi="Arial" w:cs="Arial"/>
                <w:sz w:val="18"/>
                <w:szCs w:val="18"/>
              </w:rPr>
              <w:t>r</w:t>
            </w:r>
            <w:r w:rsidRPr="00D667D5">
              <w:rPr>
                <w:rFonts w:ascii="Arial" w:hAnsi="Arial" w:cs="Arial"/>
                <w:sz w:val="18"/>
                <w:szCs w:val="18"/>
              </w:rPr>
              <w:t>sed by CPM</w:t>
            </w:r>
          </w:p>
          <w:p w:rsidR="0040184C" w:rsidRPr="00D667D5" w:rsidRDefault="0040184C" w:rsidP="00E417EF">
            <w:pPr>
              <w:rPr>
                <w:rFonts w:ascii="Arial" w:hAnsi="Arial" w:cs="Arial"/>
                <w:sz w:val="18"/>
                <w:szCs w:val="18"/>
              </w:rPr>
            </w:pPr>
            <w:r w:rsidRPr="00D667D5">
              <w:rPr>
                <w:rFonts w:ascii="Arial" w:hAnsi="Arial" w:cs="Arial"/>
                <w:sz w:val="18"/>
                <w:szCs w:val="18"/>
              </w:rPr>
              <w:t>Annual theme activities completed</w:t>
            </w:r>
          </w:p>
          <w:p w:rsidR="0040184C" w:rsidRPr="00D667D5" w:rsidRDefault="0040184C" w:rsidP="00E417EF">
            <w:pPr>
              <w:rPr>
                <w:rFonts w:ascii="Arial" w:hAnsi="Arial" w:cs="Arial"/>
                <w:sz w:val="18"/>
                <w:szCs w:val="18"/>
              </w:rPr>
            </w:pPr>
            <w:r w:rsidRPr="00D667D5">
              <w:rPr>
                <w:rFonts w:ascii="Arial" w:hAnsi="Arial" w:cs="Arial"/>
                <w:sz w:val="18"/>
                <w:szCs w:val="18"/>
              </w:rPr>
              <w:t>Impact assessment completed</w:t>
            </w:r>
          </w:p>
        </w:tc>
      </w:tr>
    </w:tbl>
    <w:p w:rsidR="00C43CFF" w:rsidRDefault="00C43CFF" w:rsidP="00C43CFF">
      <w:pPr>
        <w:rPr>
          <w:rFonts w:eastAsia="Times New Roman" w:cstheme="minorHAnsi"/>
          <w:color w:val="000000"/>
          <w:lang w:val="en" w:eastAsia="en-NZ"/>
        </w:rPr>
      </w:pPr>
    </w:p>
    <w:p w:rsidR="00324ACE" w:rsidRPr="00F74040" w:rsidRDefault="00324ACE" w:rsidP="00C43CFF">
      <w:pPr>
        <w:spacing w:before="75" w:after="225" w:line="330" w:lineRule="atLeast"/>
        <w:rPr>
          <w:rFonts w:eastAsia="Times New Roman" w:cstheme="minorHAnsi"/>
          <w:color w:val="000000"/>
          <w:lang w:val="en" w:eastAsia="en-NZ"/>
        </w:rPr>
      </w:pPr>
    </w:p>
    <w:p w:rsidR="007E00FE" w:rsidRPr="00D667D5" w:rsidRDefault="00626062" w:rsidP="009851EB">
      <w:pPr>
        <w:rPr>
          <w:rFonts w:eastAsiaTheme="majorEastAsia" w:cstheme="majorBidi"/>
          <w:b/>
          <w:sz w:val="32"/>
          <w:szCs w:val="32"/>
        </w:rPr>
      </w:pPr>
      <w:r>
        <w:rPr>
          <w:rFonts w:ascii="Calibri" w:eastAsia="Times New Roman" w:hAnsi="Calibri" w:cs="Times New Roman"/>
          <w:b/>
          <w:sz w:val="40"/>
          <w:szCs w:val="40"/>
        </w:rPr>
        <w:br w:type="column"/>
      </w:r>
      <w:r w:rsidRPr="00D667D5">
        <w:rPr>
          <w:rFonts w:ascii="Calibri" w:eastAsia="Times New Roman" w:hAnsi="Calibri" w:cs="Times New Roman"/>
          <w:b/>
          <w:sz w:val="32"/>
          <w:szCs w:val="32"/>
        </w:rPr>
        <w:lastRenderedPageBreak/>
        <w:t xml:space="preserve">3. </w:t>
      </w:r>
      <w:r w:rsidR="007E00FE" w:rsidRPr="00D667D5">
        <w:rPr>
          <w:rFonts w:ascii="Calibri" w:eastAsia="Times New Roman" w:hAnsi="Calibri" w:cs="Times New Roman"/>
          <w:b/>
          <w:sz w:val="32"/>
          <w:szCs w:val="32"/>
        </w:rPr>
        <w:t>IPPC Development Agenda 2020 - 2030</w:t>
      </w:r>
    </w:p>
    <w:p w:rsidR="007E00FE" w:rsidRPr="004D5BAD" w:rsidRDefault="007E00FE" w:rsidP="004D5BAD">
      <w:pPr>
        <w:rPr>
          <w:rFonts w:eastAsia="Calibri" w:cs="Times New Roman"/>
        </w:rPr>
      </w:pPr>
      <w:r w:rsidRPr="004D5BAD">
        <w:rPr>
          <w:rFonts w:eastAsia="Calibri" w:cs="Times New Roman"/>
        </w:rPr>
        <w:t xml:space="preserve">The IPPC Development Agenda </w:t>
      </w:r>
      <w:r w:rsidR="00CE2088" w:rsidRPr="004D5BAD">
        <w:rPr>
          <w:rFonts w:eastAsia="Calibri" w:cs="Times New Roman"/>
        </w:rPr>
        <w:t xml:space="preserve">2020-2030 </w:t>
      </w:r>
      <w:r w:rsidR="00F75F53" w:rsidRPr="004D5BAD">
        <w:rPr>
          <w:rFonts w:eastAsia="Calibri" w:cs="Times New Roman"/>
        </w:rPr>
        <w:t xml:space="preserve">aims identifies </w:t>
      </w:r>
      <w:r w:rsidRPr="004D5BAD">
        <w:rPr>
          <w:rFonts w:eastAsia="Calibri" w:cs="Times New Roman"/>
        </w:rPr>
        <w:t>priority programmes of new work aligned to the Commissions’ Vision, Mission, and Strategic Objectives</w:t>
      </w:r>
      <w:r w:rsidR="002D483D" w:rsidRPr="004D5BAD">
        <w:rPr>
          <w:rFonts w:eastAsia="Calibri" w:cs="Times New Roman"/>
        </w:rPr>
        <w:t>, taking into account</w:t>
      </w:r>
      <w:r w:rsidRPr="004D5BAD">
        <w:rPr>
          <w:rFonts w:eastAsia="Calibri" w:cs="Times New Roman"/>
        </w:rPr>
        <w:t xml:space="preserve"> prospective changes to the operational environment of national, regional, and global plant protection organizations. </w:t>
      </w:r>
    </w:p>
    <w:p w:rsidR="007E00FE" w:rsidRPr="004D5BAD" w:rsidRDefault="007E00FE" w:rsidP="004D5BAD">
      <w:pPr>
        <w:rPr>
          <w:rFonts w:eastAsia="Calibri" w:cs="Times New Roman"/>
        </w:rPr>
      </w:pPr>
      <w:r w:rsidRPr="004D5BAD">
        <w:rPr>
          <w:rFonts w:eastAsia="Calibri" w:cs="Times New Roman"/>
        </w:rPr>
        <w:t xml:space="preserve">The success of the Commission to deliver on the purpose of the Convention will ultimately be measured against its ability to support the needs of member countries to stop the spread and reduce the impact of pests, but it will also be measured on its contribution to achieving the UN Sustainable Development Goals. </w:t>
      </w:r>
    </w:p>
    <w:p w:rsidR="007E00FE" w:rsidRPr="004D5BAD" w:rsidRDefault="007E00FE" w:rsidP="004D5BAD">
      <w:pPr>
        <w:rPr>
          <w:rFonts w:eastAsia="Calibri" w:cs="Times New Roman"/>
        </w:rPr>
      </w:pPr>
      <w:r w:rsidRPr="004D5BAD">
        <w:rPr>
          <w:rFonts w:eastAsia="Calibri" w:cs="Times New Roman"/>
        </w:rPr>
        <w:t xml:space="preserve">The </w:t>
      </w:r>
      <w:r w:rsidR="00CE2088" w:rsidRPr="004D5BAD">
        <w:rPr>
          <w:rFonts w:eastAsia="Calibri" w:cs="Times New Roman"/>
        </w:rPr>
        <w:t xml:space="preserve">IPPC </w:t>
      </w:r>
      <w:r w:rsidRPr="004D5BAD">
        <w:rPr>
          <w:rFonts w:eastAsia="Calibri" w:cs="Times New Roman"/>
        </w:rPr>
        <w:t>Development Agenda 2020 – 2030 will contribute significantly to achieving the Strategic Objectives of the Commission and also the UN 2030 Sustainable Development Goals.  The development programmes are firmly grounded within the strategic objectives. They ensure that the Commission is well positioned to continue development and coordination of international plant health activities to well beyond 2030. However, each of the new programmes is subject to securing required resources to sustain them.</w:t>
      </w:r>
    </w:p>
    <w:p w:rsidR="008F0F90" w:rsidRPr="004D5BAD" w:rsidRDefault="00A04A07" w:rsidP="004D5BAD">
      <w:r w:rsidRPr="004D5BAD">
        <w:rPr>
          <w:rFonts w:eastAsia="Calibri" w:cs="Times New Roman"/>
        </w:rPr>
        <w:t xml:space="preserve">Eight </w:t>
      </w:r>
      <w:r w:rsidR="004F0852" w:rsidRPr="004D5BAD">
        <w:rPr>
          <w:rFonts w:eastAsia="Calibri" w:cs="Times New Roman"/>
        </w:rPr>
        <w:t>key</w:t>
      </w:r>
      <w:r w:rsidR="007E00FE" w:rsidRPr="004D5BAD">
        <w:rPr>
          <w:rFonts w:eastAsia="Calibri" w:cs="Times New Roman"/>
        </w:rPr>
        <w:t xml:space="preserve"> development programmes have been identified.  </w:t>
      </w:r>
      <w:r w:rsidR="008F0F90" w:rsidRPr="004D5BAD">
        <w:t>Each of these are described in terms of the outcome envisaged for 2030</w:t>
      </w:r>
      <w:r w:rsidR="004F0852" w:rsidRPr="004D5BAD">
        <w:t xml:space="preserve"> and a more detailed description </w:t>
      </w:r>
      <w:r w:rsidR="008F0F90" w:rsidRPr="004D5BAD">
        <w:t>of each development programme.</w:t>
      </w:r>
    </w:p>
    <w:p w:rsidR="007E00FE" w:rsidRPr="004D5BAD" w:rsidRDefault="007E00FE" w:rsidP="004D5BAD">
      <w:pPr>
        <w:rPr>
          <w:rFonts w:eastAsia="Calibri" w:cs="Times New Roman"/>
        </w:rPr>
      </w:pPr>
    </w:p>
    <w:p w:rsidR="004D5BAD" w:rsidRDefault="007E00FE" w:rsidP="008D0344">
      <w:pPr>
        <w:keepNext/>
        <w:keepLines/>
        <w:spacing w:before="120" w:after="120"/>
        <w:outlineLvl w:val="2"/>
        <w:rPr>
          <w:rFonts w:eastAsia="Times New Roman" w:cs="Times New Roman"/>
        </w:rPr>
      </w:pPr>
      <w:bookmarkStart w:id="8" w:name="_Toc492896847"/>
      <w:bookmarkStart w:id="9" w:name="_Toc519604985"/>
      <w:bookmarkStart w:id="10" w:name="_Toc492896846"/>
      <w:r w:rsidRPr="004D5BAD">
        <w:rPr>
          <w:rStyle w:val="Heading2Char"/>
          <w:rFonts w:asciiTheme="minorHAnsi" w:hAnsiTheme="minorHAnsi"/>
          <w:sz w:val="22"/>
          <w:szCs w:val="22"/>
        </w:rPr>
        <w:t xml:space="preserve">1. </w:t>
      </w:r>
      <w:bookmarkEnd w:id="8"/>
      <w:r w:rsidRPr="004D5BAD">
        <w:rPr>
          <w:rStyle w:val="Heading2Char"/>
          <w:rFonts w:asciiTheme="minorHAnsi" w:hAnsiTheme="minorHAnsi"/>
          <w:sz w:val="22"/>
          <w:szCs w:val="22"/>
        </w:rPr>
        <w:t>Harmonisation of Electronic Data Exchange</w:t>
      </w:r>
      <w:bookmarkEnd w:id="9"/>
    </w:p>
    <w:p w:rsidR="004D5BAD" w:rsidRPr="008D0344" w:rsidRDefault="007E00FE" w:rsidP="008D0344">
      <w:pPr>
        <w:keepNext/>
        <w:keepLines/>
        <w:outlineLvl w:val="2"/>
        <w:rPr>
          <w:rFonts w:eastAsia="Times New Roman" w:cs="Times New Roman"/>
        </w:rPr>
      </w:pPr>
      <w:r w:rsidRPr="004D5BAD">
        <w:rPr>
          <w:rFonts w:eastAsia="+mn-ea" w:cs="+mn-cs"/>
          <w:kern w:val="24"/>
          <w:lang w:eastAsia="en-NZ"/>
        </w:rPr>
        <w:t>Implementing a global system for production and exchange of electronic certification information</w:t>
      </w:r>
      <w:r w:rsidR="004D5BAD" w:rsidRPr="004D5BAD">
        <w:rPr>
          <w:rFonts w:eastAsia="Times New Roman" w:cs="Times New Roman"/>
        </w:rPr>
        <w:t>.</w:t>
      </w:r>
    </w:p>
    <w:p w:rsidR="002452A6" w:rsidRPr="004D5BAD" w:rsidRDefault="007348C1" w:rsidP="007E00FE">
      <w:r w:rsidRPr="004D5BAD">
        <w:rPr>
          <w:rFonts w:eastAsia="Calibri" w:cs="Times New Roman"/>
          <w:b/>
        </w:rPr>
        <w:t xml:space="preserve">Desired </w:t>
      </w:r>
      <w:r w:rsidR="00AB0D5D" w:rsidRPr="004D5BAD">
        <w:rPr>
          <w:rFonts w:eastAsia="Calibri" w:cs="Times New Roman"/>
          <w:b/>
        </w:rPr>
        <w:t xml:space="preserve">2030 </w:t>
      </w:r>
      <w:r w:rsidR="008D0344">
        <w:rPr>
          <w:rFonts w:eastAsia="Calibri" w:cs="Times New Roman"/>
          <w:b/>
        </w:rPr>
        <w:t>Outcome</w:t>
      </w:r>
    </w:p>
    <w:p w:rsidR="007348C1" w:rsidRPr="004D5BAD" w:rsidRDefault="007348C1" w:rsidP="004D5BAD">
      <w:pPr>
        <w:rPr>
          <w:rFonts w:eastAsia="Calibri" w:cs="Times New Roman"/>
        </w:rPr>
      </w:pPr>
      <w:r w:rsidRPr="004D5BAD">
        <w:rPr>
          <w:rFonts w:eastAsia="Calibri" w:cs="Times New Roman"/>
        </w:rPr>
        <w:t>A global system for production and exchange of electronic certification information is fully o</w:t>
      </w:r>
      <w:r w:rsidR="00CB5D16" w:rsidRPr="004D5BAD">
        <w:rPr>
          <w:rFonts w:eastAsia="Calibri" w:cs="Times New Roman"/>
        </w:rPr>
        <w:t>perational and integrated at a</w:t>
      </w:r>
      <w:r w:rsidRPr="004D5BAD">
        <w:rPr>
          <w:rFonts w:eastAsia="Calibri" w:cs="Times New Roman"/>
        </w:rPr>
        <w:t xml:space="preserve"> country level into trade single windows.  The system is supported by a sustainable business model and is self-funded.  A significant global effort to implement it in all countries has been completed.  The system has strengthened and simplified trade in plants and plant products, reducing transaction costs, expediting the clearance of compliant products and eliminating fraud.</w:t>
      </w:r>
    </w:p>
    <w:p w:rsidR="007E00FE" w:rsidRPr="004D5BAD" w:rsidRDefault="007E00FE" w:rsidP="004D5BAD">
      <w:pPr>
        <w:rPr>
          <w:rFonts w:eastAsia="Calibri" w:cs="Times New Roman"/>
        </w:rPr>
      </w:pPr>
      <w:r w:rsidRPr="004D5BAD">
        <w:rPr>
          <w:rFonts w:eastAsia="Calibri" w:cs="Times New Roman"/>
        </w:rPr>
        <w:t xml:space="preserve">Activities to be carried out </w:t>
      </w:r>
      <w:r w:rsidR="006C2DD2" w:rsidRPr="004D5BAD">
        <w:rPr>
          <w:rFonts w:eastAsia="Calibri" w:cs="Times New Roman"/>
        </w:rPr>
        <w:t>during 2020 - 2030 i</w:t>
      </w:r>
      <w:r w:rsidR="00444EBC" w:rsidRPr="004D5BAD">
        <w:rPr>
          <w:rFonts w:eastAsia="Calibri" w:cs="Times New Roman"/>
        </w:rPr>
        <w:t>nclude:</w:t>
      </w:r>
    </w:p>
    <w:p w:rsidR="007E00FE" w:rsidRPr="004D5BAD" w:rsidRDefault="007E00FE" w:rsidP="001E6578">
      <w:pPr>
        <w:numPr>
          <w:ilvl w:val="0"/>
          <w:numId w:val="4"/>
        </w:numPr>
        <w:contextualSpacing/>
        <w:rPr>
          <w:rFonts w:eastAsia="Calibri" w:cs="Times New Roman"/>
        </w:rPr>
      </w:pPr>
      <w:r w:rsidRPr="004D5BAD">
        <w:rPr>
          <w:rFonts w:eastAsia="Calibri" w:cs="Times New Roman"/>
        </w:rPr>
        <w:t xml:space="preserve">Successful establishment of the IPPC </w:t>
      </w:r>
      <w:proofErr w:type="spellStart"/>
      <w:r w:rsidRPr="004D5BAD">
        <w:rPr>
          <w:rFonts w:eastAsia="Calibri" w:cs="Times New Roman"/>
        </w:rPr>
        <w:t>ePhyto</w:t>
      </w:r>
      <w:proofErr w:type="spellEnd"/>
      <w:r w:rsidRPr="004D5BAD">
        <w:rPr>
          <w:rFonts w:eastAsia="Calibri" w:cs="Times New Roman"/>
        </w:rPr>
        <w:t xml:space="preserve"> hub as the international system for exchange of electronic phytosanitary certificate information.</w:t>
      </w:r>
    </w:p>
    <w:p w:rsidR="007E00FE" w:rsidRPr="004D5BAD" w:rsidRDefault="007E00FE" w:rsidP="001E6578">
      <w:pPr>
        <w:numPr>
          <w:ilvl w:val="0"/>
          <w:numId w:val="4"/>
        </w:numPr>
        <w:contextualSpacing/>
        <w:rPr>
          <w:rFonts w:eastAsia="Calibri" w:cs="Times New Roman"/>
        </w:rPr>
      </w:pPr>
      <w:r w:rsidRPr="004D5BAD">
        <w:rPr>
          <w:rFonts w:eastAsia="Calibri" w:cs="Times New Roman"/>
        </w:rPr>
        <w:t xml:space="preserve">Successful establishment of the IPPC Generic </w:t>
      </w:r>
      <w:proofErr w:type="spellStart"/>
      <w:r w:rsidR="007348C1" w:rsidRPr="004D5BAD">
        <w:rPr>
          <w:rFonts w:eastAsia="Calibri" w:cs="Times New Roman"/>
        </w:rPr>
        <w:t>ePhyto</w:t>
      </w:r>
      <w:proofErr w:type="spellEnd"/>
      <w:r w:rsidR="007348C1" w:rsidRPr="004D5BAD">
        <w:rPr>
          <w:rFonts w:eastAsia="Calibri" w:cs="Times New Roman"/>
        </w:rPr>
        <w:t xml:space="preserve"> </w:t>
      </w:r>
      <w:r w:rsidRPr="004D5BAD">
        <w:rPr>
          <w:rFonts w:eastAsia="Calibri" w:cs="Times New Roman"/>
        </w:rPr>
        <w:t>National System for production</w:t>
      </w:r>
      <w:r w:rsidR="007348C1" w:rsidRPr="004D5BAD">
        <w:rPr>
          <w:rFonts w:eastAsia="Calibri" w:cs="Times New Roman"/>
        </w:rPr>
        <w:t xml:space="preserve">, sending, and receiving </w:t>
      </w:r>
      <w:r w:rsidRPr="004D5BAD">
        <w:rPr>
          <w:rFonts w:eastAsia="Calibri" w:cs="Times New Roman"/>
        </w:rPr>
        <w:t>of electronic phytosanitary certificate information.</w:t>
      </w:r>
    </w:p>
    <w:p w:rsidR="007E00FE" w:rsidRPr="004D5BAD" w:rsidRDefault="007E00FE" w:rsidP="001E6578">
      <w:pPr>
        <w:numPr>
          <w:ilvl w:val="0"/>
          <w:numId w:val="4"/>
        </w:numPr>
        <w:contextualSpacing/>
        <w:rPr>
          <w:rFonts w:eastAsia="Calibri" w:cs="Times New Roman"/>
        </w:rPr>
      </w:pPr>
      <w:r w:rsidRPr="004D5BAD">
        <w:rPr>
          <w:rFonts w:eastAsia="Calibri" w:cs="Times New Roman"/>
        </w:rPr>
        <w:t xml:space="preserve">The successful implementation of both the </w:t>
      </w:r>
      <w:proofErr w:type="spellStart"/>
      <w:r w:rsidRPr="004D5BAD">
        <w:rPr>
          <w:rFonts w:eastAsia="Calibri" w:cs="Times New Roman"/>
        </w:rPr>
        <w:t>ePhyto</w:t>
      </w:r>
      <w:proofErr w:type="spellEnd"/>
      <w:r w:rsidRPr="004D5BAD">
        <w:rPr>
          <w:rFonts w:eastAsia="Calibri" w:cs="Times New Roman"/>
        </w:rPr>
        <w:t xml:space="preserve"> hub and the Generic National System, where needed, in all member countries.</w:t>
      </w:r>
    </w:p>
    <w:p w:rsidR="007E00FE" w:rsidRPr="004D5BAD" w:rsidRDefault="007E00FE" w:rsidP="001E6578">
      <w:pPr>
        <w:numPr>
          <w:ilvl w:val="0"/>
          <w:numId w:val="4"/>
        </w:numPr>
        <w:contextualSpacing/>
        <w:rPr>
          <w:rFonts w:eastAsia="Calibri" w:cs="Times New Roman"/>
        </w:rPr>
      </w:pPr>
      <w:r w:rsidRPr="004D5BAD">
        <w:rPr>
          <w:rFonts w:eastAsia="Calibri" w:cs="Times New Roman"/>
        </w:rPr>
        <w:t xml:space="preserve">Investigation of including other databases into the </w:t>
      </w:r>
      <w:proofErr w:type="spellStart"/>
      <w:r w:rsidRPr="004D5BAD">
        <w:rPr>
          <w:rFonts w:eastAsia="Calibri" w:cs="Times New Roman"/>
        </w:rPr>
        <w:t>ePhyto</w:t>
      </w:r>
      <w:proofErr w:type="spellEnd"/>
      <w:r w:rsidRPr="004D5BAD">
        <w:rPr>
          <w:rFonts w:eastAsia="Calibri" w:cs="Times New Roman"/>
        </w:rPr>
        <w:t xml:space="preserve"> hub or associating them with the electronic certification requirements.</w:t>
      </w:r>
    </w:p>
    <w:p w:rsidR="007E00FE" w:rsidRPr="004D5BAD" w:rsidRDefault="007E00FE" w:rsidP="001E6578">
      <w:pPr>
        <w:numPr>
          <w:ilvl w:val="0"/>
          <w:numId w:val="4"/>
        </w:numPr>
        <w:contextualSpacing/>
        <w:rPr>
          <w:rFonts w:eastAsia="Calibri" w:cs="Times New Roman"/>
        </w:rPr>
      </w:pPr>
      <w:r w:rsidRPr="004D5BAD">
        <w:rPr>
          <w:rFonts w:eastAsia="Calibri" w:cs="Times New Roman"/>
        </w:rPr>
        <w:t>Establishment of pilot projects for new or improved electronic systems</w:t>
      </w:r>
      <w:r w:rsidRPr="004D5BAD">
        <w:rPr>
          <w:rFonts w:eastAsia="Calibri" w:cs="Times New Roman"/>
          <w:lang w:val="en-US"/>
        </w:rPr>
        <w:t>.</w:t>
      </w:r>
    </w:p>
    <w:p w:rsidR="007E00FE" w:rsidRPr="004D5BAD" w:rsidRDefault="007E00FE" w:rsidP="004D5BAD">
      <w:pPr>
        <w:ind w:left="720"/>
        <w:contextualSpacing/>
        <w:rPr>
          <w:rFonts w:eastAsia="Calibri" w:cs="Times New Roman"/>
        </w:rPr>
      </w:pPr>
    </w:p>
    <w:p w:rsidR="0068403C" w:rsidRPr="004D5BAD" w:rsidRDefault="0068403C" w:rsidP="0068403C">
      <w:pPr>
        <w:ind w:left="720"/>
        <w:contextualSpacing/>
        <w:rPr>
          <w:rFonts w:eastAsia="Calibri" w:cs="Times New Roman"/>
        </w:rPr>
      </w:pPr>
    </w:p>
    <w:tbl>
      <w:tblPr>
        <w:tblStyle w:val="TableGrid"/>
        <w:tblW w:w="0" w:type="auto"/>
        <w:tblLook w:val="04A0" w:firstRow="1" w:lastRow="0" w:firstColumn="1" w:lastColumn="0" w:noHBand="0" w:noVBand="1"/>
      </w:tblPr>
      <w:tblGrid>
        <w:gridCol w:w="2972"/>
        <w:gridCol w:w="1134"/>
        <w:gridCol w:w="992"/>
        <w:gridCol w:w="993"/>
        <w:gridCol w:w="992"/>
        <w:gridCol w:w="992"/>
        <w:gridCol w:w="941"/>
      </w:tblGrid>
      <w:tr w:rsidR="0068403C" w:rsidRPr="00D667D5" w:rsidTr="003B580E">
        <w:trPr>
          <w:tblHeader/>
        </w:trPr>
        <w:tc>
          <w:tcPr>
            <w:tcW w:w="2972" w:type="dxa"/>
            <w:vMerge w:val="restart"/>
            <w:shd w:val="clear" w:color="auto" w:fill="D9D9D9" w:themeFill="background1" w:themeFillShade="D9"/>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Action</w:t>
            </w:r>
          </w:p>
        </w:tc>
        <w:tc>
          <w:tcPr>
            <w:tcW w:w="1134" w:type="dxa"/>
            <w:vMerge w:val="restart"/>
            <w:shd w:val="clear" w:color="auto" w:fill="D9D9D9" w:themeFill="background1" w:themeFillShade="D9"/>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Funding</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Source</w:t>
            </w:r>
          </w:p>
        </w:tc>
        <w:tc>
          <w:tcPr>
            <w:tcW w:w="4910" w:type="dxa"/>
            <w:gridSpan w:val="5"/>
            <w:shd w:val="clear" w:color="auto" w:fill="D9D9D9" w:themeFill="background1" w:themeFillShade="D9"/>
          </w:tcPr>
          <w:p w:rsidR="0068403C" w:rsidRPr="00D667D5" w:rsidRDefault="0068403C"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68403C" w:rsidRPr="00D667D5" w:rsidTr="00A77EDE">
        <w:trPr>
          <w:tblHeader/>
        </w:trPr>
        <w:tc>
          <w:tcPr>
            <w:tcW w:w="2972" w:type="dxa"/>
            <w:vMerge/>
          </w:tcPr>
          <w:p w:rsidR="0068403C" w:rsidRPr="00D667D5" w:rsidRDefault="0068403C" w:rsidP="00A77EDE">
            <w:pPr>
              <w:rPr>
                <w:rFonts w:ascii="Arial" w:eastAsia="Calibri" w:hAnsi="Arial" w:cs="Arial"/>
                <w:sz w:val="18"/>
                <w:szCs w:val="18"/>
              </w:rPr>
            </w:pPr>
          </w:p>
        </w:tc>
        <w:tc>
          <w:tcPr>
            <w:tcW w:w="1134" w:type="dxa"/>
            <w:vMerge/>
          </w:tcPr>
          <w:p w:rsidR="0068403C" w:rsidRPr="00D667D5" w:rsidRDefault="0068403C" w:rsidP="00A77EDE">
            <w:pPr>
              <w:rPr>
                <w:rFonts w:ascii="Arial" w:eastAsia="Calibri" w:hAnsi="Arial" w:cs="Arial"/>
                <w:sz w:val="18"/>
                <w:szCs w:val="18"/>
              </w:rPr>
            </w:pP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2023</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2024</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 xml:space="preserve">Implement the </w:t>
            </w:r>
            <w:proofErr w:type="spellStart"/>
            <w:r w:rsidRPr="00D667D5">
              <w:rPr>
                <w:rFonts w:ascii="Arial" w:eastAsia="Calibri" w:hAnsi="Arial" w:cs="Arial"/>
                <w:sz w:val="18"/>
                <w:szCs w:val="18"/>
              </w:rPr>
              <w:t>ePhyto</w:t>
            </w:r>
            <w:proofErr w:type="spellEnd"/>
            <w:r w:rsidRPr="00D667D5">
              <w:rPr>
                <w:rFonts w:ascii="Arial" w:eastAsia="Calibri" w:hAnsi="Arial" w:cs="Arial"/>
                <w:sz w:val="18"/>
                <w:szCs w:val="18"/>
              </w:rPr>
              <w:t xml:space="preserve"> solution 5 year plan</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MDTF</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 M</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 M</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1.2 M</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1.2 M</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1.4 M</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Develop and adopt the business and funding model</w:t>
            </w:r>
          </w:p>
          <w:p w:rsidR="0068403C" w:rsidRPr="00D667D5" w:rsidRDefault="0068403C" w:rsidP="001E6578">
            <w:pPr>
              <w:pStyle w:val="ListParagraph"/>
              <w:numPr>
                <w:ilvl w:val="0"/>
                <w:numId w:val="13"/>
              </w:numPr>
              <w:ind w:left="1240"/>
              <w:rPr>
                <w:rFonts w:ascii="Arial" w:eastAsia="Calibri" w:hAnsi="Arial" w:cs="Arial"/>
                <w:sz w:val="18"/>
                <w:szCs w:val="18"/>
              </w:rPr>
            </w:pPr>
            <w:r w:rsidRPr="00D667D5">
              <w:rPr>
                <w:rFonts w:ascii="Arial" w:eastAsia="Calibri" w:hAnsi="Arial" w:cs="Arial"/>
                <w:sz w:val="18"/>
                <w:szCs w:val="18"/>
              </w:rPr>
              <w:t>Consultant</w:t>
            </w:r>
          </w:p>
          <w:p w:rsidR="0068403C" w:rsidRPr="00D667D5" w:rsidRDefault="0068403C" w:rsidP="001E6578">
            <w:pPr>
              <w:pStyle w:val="ListParagraph"/>
              <w:numPr>
                <w:ilvl w:val="0"/>
                <w:numId w:val="13"/>
              </w:numPr>
              <w:ind w:left="1240"/>
              <w:rPr>
                <w:rFonts w:ascii="Arial" w:eastAsia="Calibri" w:hAnsi="Arial" w:cs="Arial"/>
                <w:sz w:val="18"/>
                <w:szCs w:val="18"/>
              </w:rPr>
            </w:pPr>
            <w:r w:rsidRPr="00D667D5">
              <w:rPr>
                <w:rFonts w:ascii="Arial" w:eastAsia="Calibri" w:hAnsi="Arial" w:cs="Arial"/>
                <w:sz w:val="18"/>
                <w:szCs w:val="18"/>
              </w:rPr>
              <w:t>Business and IT system development</w:t>
            </w:r>
          </w:p>
          <w:p w:rsidR="0068403C" w:rsidRPr="00D667D5" w:rsidRDefault="0068403C" w:rsidP="001E6578">
            <w:pPr>
              <w:pStyle w:val="ListParagraph"/>
              <w:numPr>
                <w:ilvl w:val="0"/>
                <w:numId w:val="13"/>
              </w:numPr>
              <w:ind w:left="1240"/>
              <w:rPr>
                <w:rFonts w:ascii="Arial" w:eastAsia="Calibri" w:hAnsi="Arial" w:cs="Arial"/>
                <w:sz w:val="18"/>
                <w:szCs w:val="18"/>
              </w:rPr>
            </w:pPr>
            <w:r w:rsidRPr="00D667D5">
              <w:rPr>
                <w:rFonts w:ascii="Arial" w:eastAsia="Calibri" w:hAnsi="Arial" w:cs="Arial"/>
                <w:sz w:val="18"/>
                <w:szCs w:val="18"/>
              </w:rPr>
              <w:t>Governance framework</w:t>
            </w:r>
          </w:p>
          <w:p w:rsidR="0068403C" w:rsidRPr="00D667D5" w:rsidRDefault="0068403C" w:rsidP="001E6578">
            <w:pPr>
              <w:pStyle w:val="ListParagraph"/>
              <w:numPr>
                <w:ilvl w:val="0"/>
                <w:numId w:val="13"/>
              </w:numPr>
              <w:ind w:left="1240"/>
              <w:rPr>
                <w:rFonts w:ascii="Arial" w:eastAsia="Calibri" w:hAnsi="Arial" w:cs="Arial"/>
                <w:sz w:val="18"/>
                <w:szCs w:val="18"/>
              </w:rPr>
            </w:pPr>
            <w:r w:rsidRPr="00D667D5">
              <w:rPr>
                <w:rFonts w:ascii="Arial" w:eastAsia="Calibri" w:hAnsi="Arial" w:cs="Arial"/>
                <w:sz w:val="18"/>
                <w:szCs w:val="18"/>
              </w:rPr>
              <w:t xml:space="preserve">Transition to permanent </w:t>
            </w:r>
            <w:r w:rsidRPr="00D667D5">
              <w:rPr>
                <w:rFonts w:ascii="Arial" w:eastAsia="Calibri" w:hAnsi="Arial" w:cs="Arial"/>
                <w:sz w:val="18"/>
                <w:szCs w:val="18"/>
              </w:rPr>
              <w:lastRenderedPageBreak/>
              <w:t>funding and business model</w:t>
            </w:r>
          </w:p>
        </w:tc>
        <w:tc>
          <w:tcPr>
            <w:tcW w:w="1134" w:type="dxa"/>
          </w:tcPr>
          <w:p w:rsidR="0068403C" w:rsidRPr="00D667D5" w:rsidRDefault="0068403C" w:rsidP="00A77EDE">
            <w:pPr>
              <w:rPr>
                <w:rFonts w:ascii="Arial" w:eastAsia="Calibri" w:hAnsi="Arial" w:cs="Arial"/>
                <w:sz w:val="18"/>
                <w:szCs w:val="18"/>
              </w:rPr>
            </w:pPr>
            <w:proofErr w:type="spellStart"/>
            <w:r w:rsidRPr="00D667D5">
              <w:rPr>
                <w:rFonts w:ascii="Arial" w:eastAsia="Calibri" w:hAnsi="Arial" w:cs="Arial"/>
                <w:sz w:val="18"/>
                <w:szCs w:val="18"/>
              </w:rPr>
              <w:lastRenderedPageBreak/>
              <w:t>ExtP</w:t>
            </w:r>
            <w:proofErr w:type="spellEnd"/>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40 K</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150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300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150 K</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160 K</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 xml:space="preserve">Identify and evaluate expansion of </w:t>
            </w:r>
            <w:proofErr w:type="spellStart"/>
            <w:r w:rsidRPr="00D667D5">
              <w:rPr>
                <w:rFonts w:ascii="Arial" w:eastAsia="Calibri" w:hAnsi="Arial" w:cs="Arial"/>
                <w:sz w:val="18"/>
                <w:szCs w:val="18"/>
              </w:rPr>
              <w:t>ePhyto</w:t>
            </w:r>
            <w:proofErr w:type="spellEnd"/>
            <w:r w:rsidRPr="00D667D5">
              <w:rPr>
                <w:rFonts w:ascii="Arial" w:eastAsia="Calibri" w:hAnsi="Arial" w:cs="Arial"/>
                <w:sz w:val="18"/>
                <w:szCs w:val="18"/>
              </w:rPr>
              <w:t xml:space="preserve"> utility</w:t>
            </w:r>
          </w:p>
        </w:tc>
        <w:tc>
          <w:tcPr>
            <w:tcW w:w="1134" w:type="dxa"/>
          </w:tcPr>
          <w:p w:rsidR="0068403C" w:rsidRPr="00D667D5" w:rsidRDefault="0068403C" w:rsidP="00A77EDE">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40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40 K</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Develop and implement pilot projects for expanded utility</w:t>
            </w:r>
          </w:p>
        </w:tc>
        <w:tc>
          <w:tcPr>
            <w:tcW w:w="1134" w:type="dxa"/>
          </w:tcPr>
          <w:p w:rsidR="0068403C" w:rsidRPr="00D667D5" w:rsidRDefault="0068403C" w:rsidP="00A77EDE">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150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150 K</w:t>
            </w:r>
          </w:p>
        </w:tc>
      </w:tr>
      <w:tr w:rsidR="0068403C" w:rsidRPr="00D667D5" w:rsidTr="00A77EDE">
        <w:tc>
          <w:tcPr>
            <w:tcW w:w="2972" w:type="dxa"/>
          </w:tcPr>
          <w:p w:rsidR="0068403C" w:rsidRPr="00D667D5" w:rsidRDefault="0068403C" w:rsidP="00A77EDE">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68403C" w:rsidRPr="00D667D5" w:rsidRDefault="0068403C" w:rsidP="00A77EDE">
            <w:pPr>
              <w:rPr>
                <w:rFonts w:ascii="Arial" w:eastAsia="Calibri" w:hAnsi="Arial" w:cs="Arial"/>
                <w:b/>
                <w:sz w:val="18"/>
                <w:szCs w:val="18"/>
              </w:rPr>
            </w:pPr>
            <w:proofErr w:type="spellStart"/>
            <w:r w:rsidRPr="00D667D5">
              <w:rPr>
                <w:rFonts w:ascii="Arial" w:eastAsia="Calibri" w:hAnsi="Arial" w:cs="Arial"/>
                <w:b/>
                <w:sz w:val="18"/>
                <w:szCs w:val="18"/>
              </w:rPr>
              <w:t>ExtP</w:t>
            </w:r>
            <w:proofErr w:type="spellEnd"/>
          </w:p>
        </w:tc>
        <w:tc>
          <w:tcPr>
            <w:tcW w:w="992" w:type="dxa"/>
          </w:tcPr>
          <w:p w:rsidR="0068403C" w:rsidRPr="00D667D5" w:rsidRDefault="0068403C" w:rsidP="00A77EDE">
            <w:pPr>
              <w:rPr>
                <w:rFonts w:ascii="Arial" w:eastAsia="Calibri" w:hAnsi="Arial" w:cs="Arial"/>
                <w:b/>
                <w:sz w:val="18"/>
                <w:szCs w:val="18"/>
              </w:rPr>
            </w:pPr>
            <w:r w:rsidRPr="00D667D5">
              <w:rPr>
                <w:rFonts w:ascii="Arial" w:eastAsia="Calibri" w:hAnsi="Arial" w:cs="Arial"/>
                <w:b/>
                <w:sz w:val="18"/>
                <w:szCs w:val="18"/>
              </w:rPr>
              <w:t>1.04 M</w:t>
            </w:r>
          </w:p>
        </w:tc>
        <w:tc>
          <w:tcPr>
            <w:tcW w:w="993" w:type="dxa"/>
          </w:tcPr>
          <w:p w:rsidR="0068403C" w:rsidRPr="00D667D5" w:rsidRDefault="0068403C" w:rsidP="00A77EDE">
            <w:pPr>
              <w:rPr>
                <w:rFonts w:ascii="Arial" w:eastAsia="Calibri" w:hAnsi="Arial" w:cs="Arial"/>
                <w:b/>
                <w:sz w:val="18"/>
                <w:szCs w:val="18"/>
              </w:rPr>
            </w:pPr>
            <w:r w:rsidRPr="00D667D5">
              <w:rPr>
                <w:rFonts w:ascii="Arial" w:eastAsia="Calibri" w:hAnsi="Arial" w:cs="Arial"/>
                <w:b/>
                <w:sz w:val="18"/>
                <w:szCs w:val="18"/>
              </w:rPr>
              <w:t>1.190 M</w:t>
            </w:r>
          </w:p>
        </w:tc>
        <w:tc>
          <w:tcPr>
            <w:tcW w:w="992" w:type="dxa"/>
          </w:tcPr>
          <w:p w:rsidR="0068403C" w:rsidRPr="00D667D5" w:rsidRDefault="0068403C" w:rsidP="00A77EDE">
            <w:pPr>
              <w:rPr>
                <w:rFonts w:ascii="Arial" w:eastAsia="Calibri" w:hAnsi="Arial" w:cs="Arial"/>
                <w:b/>
                <w:sz w:val="18"/>
                <w:szCs w:val="18"/>
              </w:rPr>
            </w:pPr>
            <w:r w:rsidRPr="00D667D5">
              <w:rPr>
                <w:rFonts w:ascii="Arial" w:eastAsia="Calibri" w:hAnsi="Arial" w:cs="Arial"/>
                <w:b/>
                <w:sz w:val="18"/>
                <w:szCs w:val="18"/>
              </w:rPr>
              <w:t>1.65 M</w:t>
            </w:r>
          </w:p>
        </w:tc>
        <w:tc>
          <w:tcPr>
            <w:tcW w:w="992" w:type="dxa"/>
          </w:tcPr>
          <w:p w:rsidR="0068403C" w:rsidRPr="00D667D5" w:rsidRDefault="0068403C" w:rsidP="00A77EDE">
            <w:pPr>
              <w:rPr>
                <w:rFonts w:ascii="Arial" w:eastAsia="Calibri" w:hAnsi="Arial" w:cs="Arial"/>
                <w:b/>
                <w:sz w:val="18"/>
                <w:szCs w:val="18"/>
              </w:rPr>
            </w:pPr>
            <w:r w:rsidRPr="00D667D5">
              <w:rPr>
                <w:rFonts w:ascii="Arial" w:eastAsia="Calibri" w:hAnsi="Arial" w:cs="Arial"/>
                <w:b/>
                <w:sz w:val="18"/>
                <w:szCs w:val="18"/>
              </w:rPr>
              <w:t>1.39 M</w:t>
            </w:r>
          </w:p>
        </w:tc>
        <w:tc>
          <w:tcPr>
            <w:tcW w:w="941" w:type="dxa"/>
          </w:tcPr>
          <w:p w:rsidR="0068403C" w:rsidRPr="00D667D5" w:rsidRDefault="0068403C" w:rsidP="00A77EDE">
            <w:pPr>
              <w:rPr>
                <w:rFonts w:ascii="Arial" w:eastAsia="Calibri" w:hAnsi="Arial" w:cs="Arial"/>
                <w:b/>
                <w:sz w:val="18"/>
                <w:szCs w:val="18"/>
              </w:rPr>
            </w:pPr>
            <w:r w:rsidRPr="00D667D5">
              <w:rPr>
                <w:rFonts w:ascii="Arial" w:eastAsia="Calibri" w:hAnsi="Arial" w:cs="Arial"/>
                <w:b/>
                <w:sz w:val="18"/>
                <w:szCs w:val="18"/>
              </w:rPr>
              <w:t>1.71 M</w:t>
            </w:r>
          </w:p>
        </w:tc>
      </w:tr>
      <w:tr w:rsidR="003D75CE" w:rsidRPr="00D667D5" w:rsidTr="000503F7">
        <w:tc>
          <w:tcPr>
            <w:tcW w:w="297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FTE (estimate)</w:t>
            </w:r>
          </w:p>
        </w:tc>
        <w:tc>
          <w:tcPr>
            <w:tcW w:w="1134" w:type="dxa"/>
          </w:tcPr>
          <w:p w:rsidR="003D75CE" w:rsidRPr="00D667D5" w:rsidRDefault="003D75CE" w:rsidP="000503F7">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D75CE" w:rsidRPr="00D667D5" w:rsidRDefault="00503B18" w:rsidP="000503F7">
            <w:pPr>
              <w:rPr>
                <w:rFonts w:ascii="Arial" w:eastAsia="Calibri" w:hAnsi="Arial" w:cs="Arial"/>
                <w:sz w:val="18"/>
                <w:szCs w:val="18"/>
              </w:rPr>
            </w:pPr>
            <w:r w:rsidRPr="00D667D5">
              <w:rPr>
                <w:rFonts w:ascii="Arial" w:eastAsia="Calibri" w:hAnsi="Arial" w:cs="Arial"/>
                <w:sz w:val="18"/>
                <w:szCs w:val="18"/>
              </w:rPr>
              <w:t>4.0</w:t>
            </w:r>
          </w:p>
        </w:tc>
        <w:tc>
          <w:tcPr>
            <w:tcW w:w="993" w:type="dxa"/>
          </w:tcPr>
          <w:p w:rsidR="003D75CE" w:rsidRPr="00D667D5" w:rsidRDefault="00503B18" w:rsidP="000503F7">
            <w:pPr>
              <w:rPr>
                <w:rFonts w:ascii="Arial" w:eastAsia="Calibri" w:hAnsi="Arial" w:cs="Arial"/>
                <w:sz w:val="18"/>
                <w:szCs w:val="18"/>
              </w:rPr>
            </w:pPr>
            <w:r w:rsidRPr="00D667D5">
              <w:rPr>
                <w:rFonts w:ascii="Arial" w:eastAsia="Calibri" w:hAnsi="Arial" w:cs="Arial"/>
                <w:sz w:val="18"/>
                <w:szCs w:val="18"/>
              </w:rPr>
              <w:t>4.0</w:t>
            </w:r>
          </w:p>
        </w:tc>
        <w:tc>
          <w:tcPr>
            <w:tcW w:w="992" w:type="dxa"/>
          </w:tcPr>
          <w:p w:rsidR="003D75CE" w:rsidRPr="00D667D5" w:rsidRDefault="00503B18" w:rsidP="000503F7">
            <w:pPr>
              <w:rPr>
                <w:rFonts w:ascii="Arial" w:eastAsia="Calibri" w:hAnsi="Arial" w:cs="Arial"/>
                <w:sz w:val="18"/>
                <w:szCs w:val="18"/>
              </w:rPr>
            </w:pPr>
            <w:r w:rsidRPr="00D667D5">
              <w:rPr>
                <w:rFonts w:ascii="Arial" w:eastAsia="Calibri" w:hAnsi="Arial" w:cs="Arial"/>
                <w:sz w:val="18"/>
                <w:szCs w:val="18"/>
              </w:rPr>
              <w:t>4.0</w:t>
            </w:r>
          </w:p>
        </w:tc>
        <w:tc>
          <w:tcPr>
            <w:tcW w:w="992" w:type="dxa"/>
          </w:tcPr>
          <w:p w:rsidR="003D75CE" w:rsidRPr="00D667D5" w:rsidRDefault="00503B18" w:rsidP="000503F7">
            <w:pPr>
              <w:rPr>
                <w:rFonts w:ascii="Arial" w:eastAsia="Calibri" w:hAnsi="Arial" w:cs="Arial"/>
                <w:sz w:val="18"/>
                <w:szCs w:val="18"/>
              </w:rPr>
            </w:pPr>
            <w:r w:rsidRPr="00D667D5">
              <w:rPr>
                <w:rFonts w:ascii="Arial" w:eastAsia="Calibri" w:hAnsi="Arial" w:cs="Arial"/>
                <w:sz w:val="18"/>
                <w:szCs w:val="18"/>
              </w:rPr>
              <w:t>4.0</w:t>
            </w:r>
          </w:p>
        </w:tc>
        <w:tc>
          <w:tcPr>
            <w:tcW w:w="941" w:type="dxa"/>
          </w:tcPr>
          <w:p w:rsidR="003D75CE" w:rsidRPr="00D667D5" w:rsidRDefault="00503B18" w:rsidP="000503F7">
            <w:pPr>
              <w:rPr>
                <w:rFonts w:ascii="Arial" w:eastAsia="Calibri" w:hAnsi="Arial" w:cs="Arial"/>
                <w:sz w:val="18"/>
                <w:szCs w:val="18"/>
              </w:rPr>
            </w:pPr>
            <w:r w:rsidRPr="00D667D5">
              <w:rPr>
                <w:rFonts w:ascii="Arial" w:eastAsia="Calibri" w:hAnsi="Arial" w:cs="Arial"/>
                <w:sz w:val="18"/>
                <w:szCs w:val="18"/>
              </w:rPr>
              <w:t>4.0</w:t>
            </w:r>
          </w:p>
        </w:tc>
      </w:tr>
    </w:tbl>
    <w:p w:rsidR="00CB1B37" w:rsidRDefault="00CB1B37" w:rsidP="007E00FE">
      <w:pPr>
        <w:ind w:left="720"/>
        <w:contextualSpacing/>
        <w:rPr>
          <w:rFonts w:ascii="Calibri" w:eastAsia="Calibri" w:hAnsi="Calibri" w:cs="Times New Roman"/>
        </w:rPr>
      </w:pPr>
    </w:p>
    <w:p w:rsidR="004D5BAD" w:rsidRPr="004D5BAD" w:rsidRDefault="004D5BAD" w:rsidP="004D5BAD">
      <w:pPr>
        <w:ind w:left="720"/>
        <w:contextualSpacing/>
        <w:rPr>
          <w:rFonts w:eastAsia="Calibri" w:cs="Times New Roman"/>
        </w:rPr>
      </w:pPr>
    </w:p>
    <w:p w:rsidR="004D5BAD" w:rsidRDefault="007E00FE" w:rsidP="008D0344">
      <w:pPr>
        <w:keepNext/>
        <w:keepLines/>
        <w:spacing w:before="120" w:after="120"/>
        <w:outlineLvl w:val="2"/>
        <w:rPr>
          <w:rFonts w:eastAsia="Times New Roman" w:cs="Times New Roman"/>
        </w:rPr>
      </w:pPr>
      <w:bookmarkStart w:id="11" w:name="_Toc519604986"/>
      <w:r w:rsidRPr="004D5BAD">
        <w:rPr>
          <w:rStyle w:val="Heading2Char"/>
          <w:rFonts w:asciiTheme="minorHAnsi" w:hAnsiTheme="minorHAnsi"/>
          <w:sz w:val="22"/>
          <w:szCs w:val="22"/>
        </w:rPr>
        <w:t xml:space="preserve">2. Commodity </w:t>
      </w:r>
      <w:r w:rsidR="00C66826" w:rsidRPr="004D5BAD">
        <w:rPr>
          <w:rStyle w:val="Heading2Char"/>
          <w:rFonts w:asciiTheme="minorHAnsi" w:hAnsiTheme="minorHAnsi"/>
          <w:sz w:val="22"/>
          <w:szCs w:val="22"/>
        </w:rPr>
        <w:t>and</w:t>
      </w:r>
      <w:r w:rsidRPr="004D5BAD">
        <w:rPr>
          <w:rStyle w:val="Heading2Char"/>
          <w:rFonts w:asciiTheme="minorHAnsi" w:hAnsiTheme="minorHAnsi"/>
          <w:sz w:val="22"/>
          <w:szCs w:val="22"/>
        </w:rPr>
        <w:t xml:space="preserve"> Pathway Specific </w:t>
      </w:r>
      <w:bookmarkEnd w:id="10"/>
      <w:r w:rsidR="004F0852" w:rsidRPr="004D5BAD">
        <w:rPr>
          <w:rStyle w:val="Heading2Char"/>
          <w:rFonts w:asciiTheme="minorHAnsi" w:hAnsiTheme="minorHAnsi"/>
          <w:sz w:val="22"/>
          <w:szCs w:val="22"/>
        </w:rPr>
        <w:t>ISPMs</w:t>
      </w:r>
      <w:bookmarkEnd w:id="11"/>
    </w:p>
    <w:p w:rsidR="007E00FE" w:rsidRPr="004D5BAD" w:rsidRDefault="004F0852" w:rsidP="004D5BAD">
      <w:pPr>
        <w:keepNext/>
        <w:keepLines/>
        <w:spacing w:before="40"/>
        <w:outlineLvl w:val="2"/>
        <w:rPr>
          <w:rFonts w:eastAsia="Times New Roman" w:cs="Times New Roman"/>
        </w:rPr>
      </w:pPr>
      <w:r w:rsidRPr="004D5BAD">
        <w:rPr>
          <w:rFonts w:eastAsia="Times New Roman" w:cs="Times New Roman"/>
        </w:rPr>
        <w:t>ISPMs</w:t>
      </w:r>
      <w:r w:rsidR="007E00FE" w:rsidRPr="004D5BAD">
        <w:rPr>
          <w:rFonts w:eastAsia="Times New Roman" w:cs="Times New Roman"/>
        </w:rPr>
        <w:t xml:space="preserve"> developed for specific commodities and pathways, with accompanying diagnostic protocols</w:t>
      </w:r>
      <w:r w:rsidR="00A708E2" w:rsidRPr="004D5BAD">
        <w:rPr>
          <w:rFonts w:eastAsia="Times New Roman" w:cs="Times New Roman"/>
        </w:rPr>
        <w:t>,</w:t>
      </w:r>
      <w:r w:rsidR="007E00FE" w:rsidRPr="004D5BAD">
        <w:rPr>
          <w:rFonts w:eastAsia="Times New Roman" w:cs="Times New Roman"/>
        </w:rPr>
        <w:t xml:space="preserve"> phytosanitary treatments</w:t>
      </w:r>
      <w:r w:rsidR="00A708E2" w:rsidRPr="004D5BAD">
        <w:rPr>
          <w:rFonts w:eastAsia="Times New Roman" w:cs="Times New Roman"/>
        </w:rPr>
        <w:t xml:space="preserve"> and guidance</w:t>
      </w:r>
      <w:r w:rsidR="007E00FE" w:rsidRPr="004D5BAD">
        <w:rPr>
          <w:rFonts w:eastAsia="Times New Roman" w:cs="Times New Roman"/>
        </w:rPr>
        <w:t>.</w:t>
      </w:r>
    </w:p>
    <w:p w:rsidR="00770665" w:rsidRPr="004D5BAD" w:rsidRDefault="00770665" w:rsidP="004D5BAD">
      <w:pPr>
        <w:rPr>
          <w:rFonts w:eastAsia="Calibri" w:cs="Times New Roman"/>
          <w:b/>
        </w:rPr>
      </w:pPr>
    </w:p>
    <w:p w:rsidR="002452A6" w:rsidRPr="004D5BAD" w:rsidRDefault="00E17F88" w:rsidP="004D5BAD">
      <w:pPr>
        <w:rPr>
          <w:rFonts w:eastAsia="Calibri" w:cs="Times New Roman"/>
        </w:rPr>
      </w:pPr>
      <w:r w:rsidRPr="004D5BAD">
        <w:rPr>
          <w:rFonts w:eastAsia="Calibri" w:cs="Times New Roman"/>
          <w:b/>
        </w:rPr>
        <w:t xml:space="preserve">Desired </w:t>
      </w:r>
      <w:r w:rsidR="00AB0D5D" w:rsidRPr="004D5BAD">
        <w:rPr>
          <w:rFonts w:eastAsia="Calibri" w:cs="Times New Roman"/>
          <w:b/>
        </w:rPr>
        <w:t xml:space="preserve">2030 </w:t>
      </w:r>
      <w:r w:rsidR="008D0344">
        <w:rPr>
          <w:rFonts w:eastAsia="Calibri" w:cs="Times New Roman"/>
          <w:b/>
        </w:rPr>
        <w:t>Outcome</w:t>
      </w:r>
    </w:p>
    <w:p w:rsidR="00E17F88" w:rsidRPr="00D667D5" w:rsidRDefault="0045659B" w:rsidP="004D5BAD">
      <w:pPr>
        <w:rPr>
          <w:rFonts w:eastAsia="Calibri" w:cs="Times New Roman"/>
        </w:rPr>
      </w:pPr>
      <w:r w:rsidRPr="00D667D5">
        <w:rPr>
          <w:rFonts w:eastAsia="Calibri" w:cs="Times New Roman"/>
        </w:rPr>
        <w:t>Many</w:t>
      </w:r>
      <w:r w:rsidR="00E17F88" w:rsidRPr="00D667D5">
        <w:rPr>
          <w:rFonts w:eastAsia="Calibri" w:cs="Times New Roman"/>
        </w:rPr>
        <w:t xml:space="preserve"> new </w:t>
      </w:r>
      <w:r w:rsidR="004F0852" w:rsidRPr="00D667D5">
        <w:rPr>
          <w:rFonts w:eastAsia="Calibri" w:cs="Times New Roman"/>
        </w:rPr>
        <w:t>ISPMs</w:t>
      </w:r>
      <w:r w:rsidR="00E17F88" w:rsidRPr="00D667D5">
        <w:rPr>
          <w:rFonts w:eastAsia="Calibri" w:cs="Times New Roman"/>
        </w:rPr>
        <w:t xml:space="preserve"> have been adopted and implemented for specific commodities and pathways, with accompanying diagnostic protocols and phytosanitary treatments to support implementation.  They provide NPPOs with </w:t>
      </w:r>
      <w:r w:rsidR="00E96FB8" w:rsidRPr="00D667D5">
        <w:rPr>
          <w:rFonts w:eastAsia="Calibri" w:cs="Times New Roman"/>
        </w:rPr>
        <w:t>harmonized</w:t>
      </w:r>
      <w:r w:rsidR="00E17F88" w:rsidRPr="00D667D5">
        <w:rPr>
          <w:rFonts w:eastAsia="Calibri" w:cs="Times New Roman"/>
        </w:rPr>
        <w:t xml:space="preserve"> phytosanitary measures, </w:t>
      </w:r>
      <w:r w:rsidRPr="00D667D5">
        <w:rPr>
          <w:rFonts w:eastAsia="Calibri" w:cs="Times New Roman"/>
        </w:rPr>
        <w:t xml:space="preserve">which they may use </w:t>
      </w:r>
      <w:r w:rsidR="00E96FB8" w:rsidRPr="00D667D5">
        <w:rPr>
          <w:rFonts w:eastAsia="Calibri" w:cs="Times New Roman"/>
        </w:rPr>
        <w:t>to support</w:t>
      </w:r>
      <w:r w:rsidR="00E17F88" w:rsidRPr="00D667D5">
        <w:rPr>
          <w:rFonts w:eastAsia="Calibri" w:cs="Times New Roman"/>
        </w:rPr>
        <w:t xml:space="preserve"> their pest risk analysis </w:t>
      </w:r>
      <w:r w:rsidR="00E96FB8" w:rsidRPr="00D667D5">
        <w:rPr>
          <w:rFonts w:eastAsia="Calibri" w:cs="Times New Roman"/>
        </w:rPr>
        <w:t xml:space="preserve">activities </w:t>
      </w:r>
      <w:r w:rsidR="00E17F88" w:rsidRPr="00D667D5">
        <w:rPr>
          <w:rFonts w:eastAsia="Calibri" w:cs="Times New Roman"/>
        </w:rPr>
        <w:t xml:space="preserve">or </w:t>
      </w:r>
      <w:r w:rsidR="00E96FB8" w:rsidRPr="00D667D5">
        <w:rPr>
          <w:rFonts w:eastAsia="Calibri" w:cs="Times New Roman"/>
        </w:rPr>
        <w:t>to establish export oriented production systems</w:t>
      </w:r>
      <w:r w:rsidR="00E17F88" w:rsidRPr="00D667D5">
        <w:rPr>
          <w:rFonts w:eastAsia="Calibri" w:cs="Times New Roman"/>
        </w:rPr>
        <w:t>. This has simplified trade and expedited market access negotiations.</w:t>
      </w:r>
    </w:p>
    <w:p w:rsidR="00DF549F" w:rsidRPr="00D667D5" w:rsidRDefault="00DF549F" w:rsidP="004D5BAD">
      <w:pPr>
        <w:rPr>
          <w:rFonts w:eastAsia="Calibri" w:cs="Times New Roman"/>
        </w:rPr>
      </w:pPr>
      <w:r w:rsidRPr="00D667D5">
        <w:rPr>
          <w:rFonts w:eastAsia="Calibri" w:cs="Times New Roman"/>
        </w:rPr>
        <w:t xml:space="preserve">New, sustainable phytosanitary treatments and alternative pest management approaches are continually being developed through a global </w:t>
      </w:r>
      <w:proofErr w:type="spellStart"/>
      <w:r w:rsidRPr="00D667D5">
        <w:rPr>
          <w:rFonts w:eastAsia="Calibri" w:cs="Times New Roman"/>
        </w:rPr>
        <w:t>coodination</w:t>
      </w:r>
      <w:proofErr w:type="spellEnd"/>
      <w:r w:rsidRPr="00D667D5">
        <w:rPr>
          <w:rFonts w:eastAsia="Calibri" w:cs="Times New Roman"/>
        </w:rPr>
        <w:t xml:space="preserve"> and funding program, ensuring a strong technical basis for harmonisation and effective tools for NPPOs to mitigate pest risks and impacts.</w:t>
      </w:r>
    </w:p>
    <w:p w:rsidR="007E00FE" w:rsidRPr="00D667D5" w:rsidRDefault="007E00FE" w:rsidP="004D5BAD">
      <w:pPr>
        <w:rPr>
          <w:rFonts w:eastAsia="Calibri" w:cs="Times New Roman"/>
        </w:rPr>
      </w:pPr>
      <w:r w:rsidRPr="00D667D5">
        <w:rPr>
          <w:rFonts w:eastAsia="Calibri" w:cs="Times New Roman"/>
        </w:rPr>
        <w:t>Activities to be carr</w:t>
      </w:r>
      <w:r w:rsidR="00AB6D02" w:rsidRPr="00D667D5">
        <w:rPr>
          <w:rFonts w:eastAsia="Calibri" w:cs="Times New Roman"/>
        </w:rPr>
        <w:t>ied out during 2020 - 2030</w:t>
      </w:r>
      <w:r w:rsidRPr="00D667D5">
        <w:rPr>
          <w:rFonts w:eastAsia="Calibri" w:cs="Times New Roman"/>
        </w:rPr>
        <w:t xml:space="preserve"> include:</w:t>
      </w:r>
    </w:p>
    <w:p w:rsidR="007E00FE" w:rsidRPr="00D667D5" w:rsidRDefault="007E00FE" w:rsidP="001E6578">
      <w:pPr>
        <w:numPr>
          <w:ilvl w:val="0"/>
          <w:numId w:val="4"/>
        </w:numPr>
        <w:contextualSpacing/>
        <w:rPr>
          <w:rFonts w:eastAsia="Calibri" w:cs="Times New Roman"/>
        </w:rPr>
      </w:pPr>
      <w:r w:rsidRPr="00D667D5">
        <w:rPr>
          <w:rFonts w:eastAsia="Calibri" w:cs="Times New Roman"/>
        </w:rPr>
        <w:t xml:space="preserve">Develop </w:t>
      </w:r>
      <w:r w:rsidR="005E157B" w:rsidRPr="00D667D5">
        <w:rPr>
          <w:rFonts w:eastAsia="Calibri" w:cs="Times New Roman"/>
        </w:rPr>
        <w:t xml:space="preserve">and agree on the </w:t>
      </w:r>
      <w:r w:rsidR="005E157B" w:rsidRPr="00D667D5">
        <w:rPr>
          <w:rFonts w:eastAsia="Calibri" w:cs="Times New Roman"/>
          <w:lang w:val="en-US"/>
        </w:rPr>
        <w:t xml:space="preserve">structure, format and content of commodity and pathway specific ISPMs and apply these concepts on </w:t>
      </w:r>
      <w:r w:rsidR="00D43BA3" w:rsidRPr="00D667D5">
        <w:rPr>
          <w:rFonts w:eastAsia="Calibri" w:cs="Times New Roman"/>
        </w:rPr>
        <w:t xml:space="preserve">two </w:t>
      </w:r>
      <w:r w:rsidR="005E157B" w:rsidRPr="00D667D5">
        <w:rPr>
          <w:rFonts w:eastAsia="Calibri" w:cs="Times New Roman"/>
        </w:rPr>
        <w:t xml:space="preserve">agreed </w:t>
      </w:r>
      <w:r w:rsidRPr="00D667D5">
        <w:rPr>
          <w:rFonts w:eastAsia="Calibri" w:cs="Times New Roman"/>
        </w:rPr>
        <w:t xml:space="preserve">commodity </w:t>
      </w:r>
      <w:r w:rsidR="00D43BA3" w:rsidRPr="00D667D5">
        <w:rPr>
          <w:rFonts w:eastAsia="Calibri" w:cs="Times New Roman"/>
        </w:rPr>
        <w:t xml:space="preserve">or </w:t>
      </w:r>
      <w:r w:rsidRPr="00D667D5">
        <w:rPr>
          <w:rFonts w:eastAsia="Calibri" w:cs="Times New Roman"/>
        </w:rPr>
        <w:t xml:space="preserve">pathway specific </w:t>
      </w:r>
      <w:r w:rsidR="004F0852" w:rsidRPr="00D667D5">
        <w:rPr>
          <w:rFonts w:eastAsia="Calibri" w:cs="Times New Roman"/>
        </w:rPr>
        <w:t>ISPMs</w:t>
      </w:r>
      <w:r w:rsidR="00E92EEC" w:rsidRPr="00D667D5">
        <w:rPr>
          <w:rFonts w:eastAsia="Calibri" w:cs="Times New Roman"/>
        </w:rPr>
        <w:t xml:space="preserve"> functioning as pilots projects</w:t>
      </w:r>
    </w:p>
    <w:p w:rsidR="00D43BA3" w:rsidRPr="00D667D5" w:rsidRDefault="00D43BA3" w:rsidP="001E6578">
      <w:pPr>
        <w:numPr>
          <w:ilvl w:val="0"/>
          <w:numId w:val="4"/>
        </w:numPr>
        <w:contextualSpacing/>
        <w:rPr>
          <w:rFonts w:eastAsia="Calibri" w:cs="Times New Roman"/>
        </w:rPr>
      </w:pPr>
      <w:r w:rsidRPr="00D667D5">
        <w:rPr>
          <w:rFonts w:eastAsia="Calibri" w:cs="Times New Roman"/>
        </w:rPr>
        <w:t>Conduct an assessment of the critical factors necessary for an NPPO to effectively implement a new commodity standard, and the barriers that have to be overcome.</w:t>
      </w:r>
    </w:p>
    <w:p w:rsidR="007E00FE" w:rsidRPr="00D667D5" w:rsidRDefault="007E00FE" w:rsidP="001E6578">
      <w:pPr>
        <w:numPr>
          <w:ilvl w:val="0"/>
          <w:numId w:val="4"/>
        </w:numPr>
        <w:contextualSpacing/>
        <w:rPr>
          <w:rFonts w:eastAsia="Calibri" w:cs="Times New Roman"/>
        </w:rPr>
      </w:pPr>
      <w:r w:rsidRPr="00D667D5">
        <w:rPr>
          <w:rFonts w:eastAsia="Calibri" w:cs="Times New Roman"/>
        </w:rPr>
        <w:t xml:space="preserve">Agree on </w:t>
      </w:r>
      <w:r w:rsidR="00E92EEC" w:rsidRPr="00D667D5">
        <w:rPr>
          <w:rFonts w:eastAsia="Calibri" w:cs="Times New Roman"/>
        </w:rPr>
        <w:t xml:space="preserve">the criteria to </w:t>
      </w:r>
      <w:r w:rsidRPr="00D667D5">
        <w:rPr>
          <w:rFonts w:eastAsia="Calibri" w:cs="Times New Roman"/>
        </w:rPr>
        <w:t>priorit</w:t>
      </w:r>
      <w:r w:rsidR="00E92EEC" w:rsidRPr="00D667D5">
        <w:rPr>
          <w:rFonts w:eastAsia="Calibri" w:cs="Times New Roman"/>
        </w:rPr>
        <w:t>ize a</w:t>
      </w:r>
      <w:r w:rsidRPr="00D667D5">
        <w:rPr>
          <w:rFonts w:eastAsia="Calibri" w:cs="Times New Roman"/>
        </w:rPr>
        <w:t xml:space="preserve"> list of commodity and pathway specific </w:t>
      </w:r>
      <w:r w:rsidR="004F0852" w:rsidRPr="00D667D5">
        <w:rPr>
          <w:rFonts w:eastAsia="Calibri" w:cs="Times New Roman"/>
        </w:rPr>
        <w:t>ISPMs</w:t>
      </w:r>
      <w:r w:rsidRPr="00D667D5">
        <w:rPr>
          <w:rFonts w:eastAsia="Calibri" w:cs="Times New Roman"/>
        </w:rPr>
        <w:t xml:space="preserve"> and</w:t>
      </w:r>
      <w:r w:rsidR="00E92EEC" w:rsidRPr="00D667D5">
        <w:rPr>
          <w:rFonts w:eastAsia="Calibri" w:cs="Times New Roman"/>
        </w:rPr>
        <w:t>,</w:t>
      </w:r>
      <w:r w:rsidRPr="00D667D5">
        <w:rPr>
          <w:rFonts w:eastAsia="Calibri" w:cs="Times New Roman"/>
        </w:rPr>
        <w:t xml:space="preserve"> </w:t>
      </w:r>
      <w:r w:rsidR="002B30F7" w:rsidRPr="00D667D5">
        <w:rPr>
          <w:rFonts w:eastAsia="Calibri" w:cs="Times New Roman"/>
        </w:rPr>
        <w:t>if</w:t>
      </w:r>
      <w:r w:rsidR="00E92EEC" w:rsidRPr="00D667D5">
        <w:rPr>
          <w:rFonts w:eastAsia="Calibri" w:cs="Times New Roman"/>
        </w:rPr>
        <w:t xml:space="preserve"> appropriate, establish a work programme for the development of commodity and pathway specific ISPMs</w:t>
      </w:r>
      <w:r w:rsidRPr="00D667D5">
        <w:rPr>
          <w:rFonts w:eastAsia="Calibri" w:cs="Times New Roman"/>
        </w:rPr>
        <w:t>.</w:t>
      </w:r>
    </w:p>
    <w:p w:rsidR="007E00FE" w:rsidRPr="00D667D5" w:rsidRDefault="00D43BA3" w:rsidP="001E6578">
      <w:pPr>
        <w:numPr>
          <w:ilvl w:val="0"/>
          <w:numId w:val="4"/>
        </w:numPr>
        <w:contextualSpacing/>
        <w:rPr>
          <w:rFonts w:eastAsia="Calibri" w:cs="Times New Roman"/>
        </w:rPr>
      </w:pPr>
      <w:r w:rsidRPr="00D667D5">
        <w:rPr>
          <w:rFonts w:eastAsia="Calibri" w:cs="Times New Roman"/>
        </w:rPr>
        <w:t>After implementation, evaluate the economic, trade, food security, and environmental benefits delivered by a selection of commodity or pathway specific standards.</w:t>
      </w:r>
    </w:p>
    <w:p w:rsidR="00E92EEC" w:rsidRPr="00D667D5" w:rsidRDefault="00E92EEC" w:rsidP="001E6578">
      <w:pPr>
        <w:numPr>
          <w:ilvl w:val="0"/>
          <w:numId w:val="4"/>
        </w:numPr>
        <w:contextualSpacing/>
        <w:rPr>
          <w:rFonts w:eastAsia="Calibri" w:cs="Times New Roman"/>
        </w:rPr>
      </w:pPr>
      <w:r w:rsidRPr="00D667D5">
        <w:rPr>
          <w:rFonts w:eastAsia="Calibri" w:cs="Times New Roman"/>
        </w:rPr>
        <w:t>Intensify current activities on phytosanitary treatments.</w:t>
      </w:r>
    </w:p>
    <w:p w:rsidR="00E92EEC" w:rsidRPr="00D667D5" w:rsidRDefault="00E92EEC" w:rsidP="001E6578">
      <w:pPr>
        <w:numPr>
          <w:ilvl w:val="0"/>
          <w:numId w:val="4"/>
        </w:numPr>
        <w:contextualSpacing/>
        <w:rPr>
          <w:rFonts w:eastAsia="Calibri" w:cs="Times New Roman"/>
        </w:rPr>
      </w:pPr>
      <w:r w:rsidRPr="00D667D5">
        <w:rPr>
          <w:rFonts w:eastAsia="Calibri" w:cs="Times New Roman"/>
        </w:rPr>
        <w:t>Establish technical panels to develop alternative pest risk management approaches for individual pests or commodities.</w:t>
      </w:r>
    </w:p>
    <w:p w:rsidR="0068403C" w:rsidRDefault="0068403C" w:rsidP="0068403C">
      <w:pPr>
        <w:rPr>
          <w:rFonts w:ascii="Calibri" w:eastAsia="Calibri" w:hAnsi="Calibri" w:cs="Times New Roman"/>
        </w:rPr>
      </w:pPr>
    </w:p>
    <w:tbl>
      <w:tblPr>
        <w:tblStyle w:val="TableGrid"/>
        <w:tblW w:w="0" w:type="auto"/>
        <w:tblLook w:val="04A0" w:firstRow="1" w:lastRow="0" w:firstColumn="1" w:lastColumn="0" w:noHBand="0" w:noVBand="1"/>
      </w:tblPr>
      <w:tblGrid>
        <w:gridCol w:w="2972"/>
        <w:gridCol w:w="1134"/>
        <w:gridCol w:w="992"/>
        <w:gridCol w:w="993"/>
        <w:gridCol w:w="992"/>
        <w:gridCol w:w="992"/>
        <w:gridCol w:w="941"/>
      </w:tblGrid>
      <w:tr w:rsidR="0068403C" w:rsidRPr="00D667D5" w:rsidTr="003B580E">
        <w:trPr>
          <w:tblHeader/>
        </w:trPr>
        <w:tc>
          <w:tcPr>
            <w:tcW w:w="2972" w:type="dxa"/>
            <w:vMerge w:val="restart"/>
            <w:shd w:val="clear" w:color="auto" w:fill="D9D9D9" w:themeFill="background1" w:themeFillShade="D9"/>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Action</w:t>
            </w:r>
          </w:p>
        </w:tc>
        <w:tc>
          <w:tcPr>
            <w:tcW w:w="1134" w:type="dxa"/>
            <w:vMerge w:val="restart"/>
            <w:shd w:val="clear" w:color="auto" w:fill="D9D9D9" w:themeFill="background1" w:themeFillShade="D9"/>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Funding</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Source</w:t>
            </w:r>
          </w:p>
        </w:tc>
        <w:tc>
          <w:tcPr>
            <w:tcW w:w="4910" w:type="dxa"/>
            <w:gridSpan w:val="5"/>
            <w:shd w:val="clear" w:color="auto" w:fill="D9D9D9" w:themeFill="background1" w:themeFillShade="D9"/>
          </w:tcPr>
          <w:p w:rsidR="0068403C" w:rsidRPr="00D667D5" w:rsidRDefault="0068403C"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68403C" w:rsidRPr="00D667D5" w:rsidTr="00A77EDE">
        <w:trPr>
          <w:tblHeader/>
        </w:trPr>
        <w:tc>
          <w:tcPr>
            <w:tcW w:w="2972" w:type="dxa"/>
            <w:vMerge/>
          </w:tcPr>
          <w:p w:rsidR="0068403C" w:rsidRPr="00D667D5" w:rsidRDefault="0068403C" w:rsidP="00A77EDE">
            <w:pPr>
              <w:rPr>
                <w:rFonts w:ascii="Arial" w:eastAsia="Calibri" w:hAnsi="Arial" w:cs="Arial"/>
                <w:sz w:val="18"/>
                <w:szCs w:val="18"/>
              </w:rPr>
            </w:pPr>
          </w:p>
        </w:tc>
        <w:tc>
          <w:tcPr>
            <w:tcW w:w="1134" w:type="dxa"/>
            <w:vMerge/>
          </w:tcPr>
          <w:p w:rsidR="0068403C" w:rsidRPr="00D667D5" w:rsidRDefault="0068403C" w:rsidP="00A77EDE">
            <w:pPr>
              <w:rPr>
                <w:rFonts w:ascii="Arial" w:eastAsia="Calibri" w:hAnsi="Arial" w:cs="Arial"/>
                <w:sz w:val="18"/>
                <w:szCs w:val="18"/>
              </w:rPr>
            </w:pP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2023</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2024</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Develop and pilot processes for commodity and pathway standards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60 K</w:t>
            </w:r>
          </w:p>
        </w:tc>
        <w:tc>
          <w:tcPr>
            <w:tcW w:w="993" w:type="dxa"/>
          </w:tcPr>
          <w:p w:rsidR="0068403C" w:rsidRPr="00D667D5" w:rsidRDefault="0068403C" w:rsidP="00A77EDE">
            <w:pPr>
              <w:rPr>
                <w:rFonts w:ascii="Arial" w:eastAsia="Calibri" w:hAnsi="Arial" w:cs="Arial"/>
                <w:sz w:val="18"/>
                <w:szCs w:val="18"/>
              </w:rPr>
            </w:pPr>
          </w:p>
        </w:tc>
        <w:tc>
          <w:tcPr>
            <w:tcW w:w="992" w:type="dxa"/>
          </w:tcPr>
          <w:p w:rsidR="0068403C" w:rsidRPr="00D667D5" w:rsidRDefault="0068403C" w:rsidP="00A77EDE">
            <w:pPr>
              <w:rPr>
                <w:rFonts w:ascii="Arial" w:eastAsia="Calibri" w:hAnsi="Arial" w:cs="Arial"/>
                <w:sz w:val="18"/>
                <w:szCs w:val="18"/>
              </w:rPr>
            </w:pPr>
          </w:p>
        </w:tc>
        <w:tc>
          <w:tcPr>
            <w:tcW w:w="992" w:type="dxa"/>
          </w:tcPr>
          <w:p w:rsidR="0068403C" w:rsidRPr="00D667D5" w:rsidRDefault="0068403C" w:rsidP="00A77EDE">
            <w:pPr>
              <w:rPr>
                <w:rFonts w:ascii="Arial" w:eastAsia="Calibri" w:hAnsi="Arial" w:cs="Arial"/>
                <w:sz w:val="18"/>
                <w:szCs w:val="18"/>
              </w:rPr>
            </w:pPr>
          </w:p>
        </w:tc>
        <w:tc>
          <w:tcPr>
            <w:tcW w:w="941" w:type="dxa"/>
          </w:tcPr>
          <w:p w:rsidR="0068403C" w:rsidRPr="00D667D5" w:rsidRDefault="0068403C" w:rsidP="00A77EDE">
            <w:pPr>
              <w:rPr>
                <w:rFonts w:ascii="Arial" w:eastAsia="Calibri" w:hAnsi="Arial" w:cs="Arial"/>
                <w:sz w:val="18"/>
                <w:szCs w:val="18"/>
              </w:rPr>
            </w:pP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Analyse and address implementation challenges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IRSS</w:t>
            </w:r>
          </w:p>
        </w:tc>
        <w:tc>
          <w:tcPr>
            <w:tcW w:w="992" w:type="dxa"/>
          </w:tcPr>
          <w:p w:rsidR="0068403C" w:rsidRPr="00D667D5" w:rsidRDefault="0068403C" w:rsidP="00A77EDE">
            <w:pPr>
              <w:rPr>
                <w:rFonts w:ascii="Arial" w:eastAsia="Calibri" w:hAnsi="Arial" w:cs="Arial"/>
                <w:sz w:val="18"/>
                <w:szCs w:val="18"/>
              </w:rPr>
            </w:pPr>
          </w:p>
        </w:tc>
        <w:tc>
          <w:tcPr>
            <w:tcW w:w="993"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tc>
        <w:tc>
          <w:tcPr>
            <w:tcW w:w="941" w:type="dxa"/>
          </w:tcPr>
          <w:p w:rsidR="0068403C" w:rsidRPr="00D667D5" w:rsidRDefault="0068403C" w:rsidP="00A77EDE">
            <w:pPr>
              <w:rPr>
                <w:rFonts w:ascii="Arial" w:eastAsia="Calibri" w:hAnsi="Arial" w:cs="Arial"/>
                <w:sz w:val="18"/>
                <w:szCs w:val="18"/>
              </w:rPr>
            </w:pP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Identify priority pathways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tc>
        <w:tc>
          <w:tcPr>
            <w:tcW w:w="993" w:type="dxa"/>
          </w:tcPr>
          <w:p w:rsidR="0068403C" w:rsidRPr="00D667D5" w:rsidRDefault="0068403C" w:rsidP="00A77EDE">
            <w:pPr>
              <w:rPr>
                <w:rFonts w:ascii="Arial" w:eastAsia="Calibri" w:hAnsi="Arial" w:cs="Arial"/>
                <w:sz w:val="18"/>
                <w:szCs w:val="18"/>
              </w:rPr>
            </w:pPr>
          </w:p>
        </w:tc>
        <w:tc>
          <w:tcPr>
            <w:tcW w:w="992" w:type="dxa"/>
          </w:tcPr>
          <w:p w:rsidR="0068403C" w:rsidRPr="00D667D5" w:rsidRDefault="0068403C" w:rsidP="00A77EDE">
            <w:pPr>
              <w:rPr>
                <w:rFonts w:ascii="Arial" w:eastAsia="Calibri" w:hAnsi="Arial" w:cs="Arial"/>
                <w:sz w:val="18"/>
                <w:szCs w:val="18"/>
              </w:rPr>
            </w:pPr>
          </w:p>
        </w:tc>
        <w:tc>
          <w:tcPr>
            <w:tcW w:w="992" w:type="dxa"/>
          </w:tcPr>
          <w:p w:rsidR="0068403C" w:rsidRPr="00D667D5" w:rsidRDefault="0068403C" w:rsidP="00A77EDE">
            <w:pPr>
              <w:rPr>
                <w:rFonts w:ascii="Arial" w:eastAsia="Calibri" w:hAnsi="Arial" w:cs="Arial"/>
                <w:sz w:val="18"/>
                <w:szCs w:val="18"/>
              </w:rPr>
            </w:pPr>
          </w:p>
        </w:tc>
        <w:tc>
          <w:tcPr>
            <w:tcW w:w="941" w:type="dxa"/>
          </w:tcPr>
          <w:p w:rsidR="0068403C" w:rsidRPr="00D667D5" w:rsidRDefault="0068403C" w:rsidP="00A77EDE">
            <w:pPr>
              <w:rPr>
                <w:rFonts w:ascii="Arial" w:eastAsia="Calibri" w:hAnsi="Arial" w:cs="Arial"/>
                <w:sz w:val="18"/>
                <w:szCs w:val="18"/>
              </w:rPr>
            </w:pP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lastRenderedPageBreak/>
              <w:t xml:space="preserve">Establish and implement </w:t>
            </w:r>
            <w:r w:rsidR="00873D4F" w:rsidRPr="00D667D5">
              <w:rPr>
                <w:rFonts w:ascii="Arial" w:eastAsia="Calibri" w:hAnsi="Arial" w:cs="Arial"/>
                <w:sz w:val="18"/>
                <w:szCs w:val="18"/>
              </w:rPr>
              <w:t xml:space="preserve">a </w:t>
            </w:r>
            <w:r w:rsidRPr="00D667D5">
              <w:rPr>
                <w:rFonts w:ascii="Arial" w:eastAsia="Calibri" w:hAnsi="Arial" w:cs="Arial"/>
                <w:sz w:val="18"/>
                <w:szCs w:val="18"/>
              </w:rPr>
              <w:t>work</w:t>
            </w:r>
            <w:r w:rsidR="00873D4F" w:rsidRPr="00D667D5">
              <w:rPr>
                <w:rFonts w:ascii="Arial" w:eastAsia="Calibri" w:hAnsi="Arial" w:cs="Arial"/>
                <w:sz w:val="18"/>
                <w:szCs w:val="18"/>
              </w:rPr>
              <w:t xml:space="preserve"> </w:t>
            </w:r>
            <w:r w:rsidRPr="00D667D5">
              <w:rPr>
                <w:rFonts w:ascii="Arial" w:eastAsia="Calibri" w:hAnsi="Arial" w:cs="Arial"/>
                <w:sz w:val="18"/>
                <w:szCs w:val="18"/>
              </w:rPr>
              <w:t>plan for commodity and pathway standards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68403C" w:rsidRPr="00D667D5" w:rsidRDefault="0068403C" w:rsidP="00A77EDE">
            <w:pPr>
              <w:rPr>
                <w:rFonts w:ascii="Arial" w:eastAsia="Calibri" w:hAnsi="Arial" w:cs="Arial"/>
                <w:sz w:val="18"/>
                <w:szCs w:val="18"/>
              </w:rPr>
            </w:pPr>
          </w:p>
        </w:tc>
        <w:tc>
          <w:tcPr>
            <w:tcW w:w="993"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c>
          <w:tcPr>
            <w:tcW w:w="941"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Establish evaluation criteria and analyse impacts of commodity and pathway standards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IRSS</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tc>
        <w:tc>
          <w:tcPr>
            <w:tcW w:w="993" w:type="dxa"/>
          </w:tcPr>
          <w:p w:rsidR="0068403C" w:rsidRPr="00D667D5" w:rsidRDefault="0068403C" w:rsidP="00A77EDE">
            <w:pPr>
              <w:rPr>
                <w:rFonts w:ascii="Arial" w:eastAsia="Calibri" w:hAnsi="Arial" w:cs="Arial"/>
                <w:sz w:val="18"/>
                <w:szCs w:val="18"/>
              </w:rPr>
            </w:pP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68403C" w:rsidRPr="00D667D5" w:rsidRDefault="0068403C" w:rsidP="00A77EDE">
            <w:pPr>
              <w:rPr>
                <w:rFonts w:ascii="Arial" w:eastAsia="Calibri" w:hAnsi="Arial" w:cs="Arial"/>
                <w:sz w:val="18"/>
                <w:szCs w:val="18"/>
              </w:rPr>
            </w:pPr>
          </w:p>
        </w:tc>
        <w:tc>
          <w:tcPr>
            <w:tcW w:w="941"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Establish and operate technical panels on alternative risk management approaches</w:t>
            </w:r>
          </w:p>
          <w:p w:rsidR="0068403C" w:rsidRPr="00D667D5" w:rsidRDefault="0068403C" w:rsidP="001E6578">
            <w:pPr>
              <w:pStyle w:val="ListParagraph"/>
              <w:numPr>
                <w:ilvl w:val="0"/>
                <w:numId w:val="15"/>
              </w:numPr>
              <w:ind w:left="1240"/>
              <w:rPr>
                <w:rFonts w:ascii="Arial" w:eastAsia="Calibri" w:hAnsi="Arial" w:cs="Arial"/>
                <w:sz w:val="18"/>
                <w:szCs w:val="18"/>
              </w:rPr>
            </w:pPr>
            <w:r w:rsidRPr="00D667D5">
              <w:rPr>
                <w:rFonts w:ascii="Arial" w:eastAsia="Calibri" w:hAnsi="Arial" w:cs="Arial"/>
                <w:sz w:val="18"/>
                <w:szCs w:val="18"/>
              </w:rPr>
              <w:t>40% RP FTE (SSU)</w:t>
            </w:r>
          </w:p>
          <w:p w:rsidR="0068403C" w:rsidRPr="00D667D5" w:rsidRDefault="0068403C" w:rsidP="001E6578">
            <w:pPr>
              <w:pStyle w:val="ListParagraph"/>
              <w:numPr>
                <w:ilvl w:val="0"/>
                <w:numId w:val="15"/>
              </w:numPr>
              <w:ind w:left="1240"/>
              <w:rPr>
                <w:rFonts w:ascii="Arial" w:eastAsia="Calibri" w:hAnsi="Arial" w:cs="Arial"/>
                <w:sz w:val="18"/>
                <w:szCs w:val="18"/>
              </w:rPr>
            </w:pPr>
            <w:r w:rsidRPr="00D667D5">
              <w:rPr>
                <w:rFonts w:ascii="Arial" w:eastAsia="Calibri" w:hAnsi="Arial" w:cs="Arial"/>
                <w:sz w:val="18"/>
                <w:szCs w:val="18"/>
              </w:rPr>
              <w:t>Meetings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RP</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MDTF</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50 K</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60 K</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50 K</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50 K</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50 K</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70 K</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50 K</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70 K</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Identify top priority treatments needs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IRSS</w:t>
            </w:r>
          </w:p>
          <w:p w:rsidR="00873D4F" w:rsidRPr="00D667D5" w:rsidRDefault="00873D4F"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p w:rsidR="00873D4F"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c>
          <w:tcPr>
            <w:tcW w:w="993" w:type="dxa"/>
          </w:tcPr>
          <w:p w:rsidR="0068403C" w:rsidRPr="00D667D5" w:rsidRDefault="0068403C" w:rsidP="00A77EDE">
            <w:pPr>
              <w:rPr>
                <w:rFonts w:ascii="Arial" w:eastAsia="Calibri" w:hAnsi="Arial" w:cs="Arial"/>
                <w:sz w:val="18"/>
                <w:szCs w:val="18"/>
              </w:rPr>
            </w:pPr>
          </w:p>
          <w:p w:rsidR="00873D4F"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c>
          <w:tcPr>
            <w:tcW w:w="992" w:type="dxa"/>
          </w:tcPr>
          <w:p w:rsidR="0068403C" w:rsidRPr="00D667D5" w:rsidRDefault="00873D4F" w:rsidP="00A77EDE">
            <w:pPr>
              <w:rPr>
                <w:rFonts w:ascii="Arial" w:eastAsia="Calibri" w:hAnsi="Arial" w:cs="Arial"/>
                <w:sz w:val="18"/>
                <w:szCs w:val="18"/>
              </w:rPr>
            </w:pPr>
            <w:r w:rsidRPr="00D667D5">
              <w:rPr>
                <w:rFonts w:ascii="Arial" w:eastAsia="Calibri" w:hAnsi="Arial" w:cs="Arial"/>
                <w:sz w:val="18"/>
                <w:szCs w:val="18"/>
              </w:rPr>
              <w:t>20 K</w:t>
            </w:r>
          </w:p>
          <w:p w:rsidR="00873D4F"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c>
          <w:tcPr>
            <w:tcW w:w="992" w:type="dxa"/>
          </w:tcPr>
          <w:p w:rsidR="0068403C" w:rsidRPr="00D667D5" w:rsidRDefault="0068403C" w:rsidP="00A77EDE">
            <w:pPr>
              <w:rPr>
                <w:rFonts w:ascii="Arial" w:eastAsia="Calibri" w:hAnsi="Arial" w:cs="Arial"/>
                <w:sz w:val="18"/>
                <w:szCs w:val="18"/>
              </w:rPr>
            </w:pPr>
          </w:p>
          <w:p w:rsidR="00873D4F" w:rsidRPr="00D667D5" w:rsidRDefault="00873D4F" w:rsidP="00A77EDE">
            <w:pPr>
              <w:rPr>
                <w:rFonts w:ascii="Arial" w:eastAsia="Calibri" w:hAnsi="Arial" w:cs="Arial"/>
                <w:sz w:val="18"/>
                <w:szCs w:val="18"/>
              </w:rPr>
            </w:pPr>
            <w:r w:rsidRPr="00D667D5">
              <w:rPr>
                <w:rFonts w:ascii="Arial" w:eastAsia="Calibri" w:hAnsi="Arial" w:cs="Arial"/>
                <w:sz w:val="18"/>
                <w:szCs w:val="18"/>
              </w:rPr>
              <w:t>50 K</w:t>
            </w:r>
          </w:p>
        </w:tc>
        <w:tc>
          <w:tcPr>
            <w:tcW w:w="941" w:type="dxa"/>
          </w:tcPr>
          <w:p w:rsidR="00873D4F" w:rsidRPr="00D667D5" w:rsidRDefault="00873D4F" w:rsidP="00873D4F">
            <w:pPr>
              <w:rPr>
                <w:rFonts w:ascii="Arial" w:eastAsia="Calibri" w:hAnsi="Arial" w:cs="Arial"/>
                <w:sz w:val="18"/>
                <w:szCs w:val="18"/>
              </w:rPr>
            </w:pPr>
            <w:r w:rsidRPr="00D667D5">
              <w:rPr>
                <w:rFonts w:ascii="Arial" w:eastAsia="Calibri" w:hAnsi="Arial" w:cs="Arial"/>
                <w:sz w:val="18"/>
                <w:szCs w:val="18"/>
              </w:rPr>
              <w:t>20 K</w:t>
            </w:r>
          </w:p>
          <w:p w:rsidR="0068403C" w:rsidRPr="00D667D5" w:rsidRDefault="00873D4F" w:rsidP="00873D4F">
            <w:pPr>
              <w:rPr>
                <w:rFonts w:ascii="Arial" w:eastAsia="Calibri" w:hAnsi="Arial" w:cs="Arial"/>
                <w:sz w:val="18"/>
                <w:szCs w:val="18"/>
              </w:rPr>
            </w:pPr>
            <w:r w:rsidRPr="00D667D5">
              <w:rPr>
                <w:rFonts w:ascii="Arial" w:eastAsia="Calibri" w:hAnsi="Arial" w:cs="Arial"/>
                <w:sz w:val="18"/>
                <w:szCs w:val="18"/>
              </w:rPr>
              <w:t>50 K</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Intensify current treatment activities</w:t>
            </w:r>
          </w:p>
          <w:p w:rsidR="0068403C" w:rsidRPr="00D667D5" w:rsidRDefault="0068403C" w:rsidP="001E6578">
            <w:pPr>
              <w:pStyle w:val="ListParagraph"/>
              <w:numPr>
                <w:ilvl w:val="0"/>
                <w:numId w:val="14"/>
              </w:numPr>
              <w:ind w:left="1240"/>
              <w:rPr>
                <w:rFonts w:ascii="Arial" w:eastAsia="Calibri" w:hAnsi="Arial" w:cs="Arial"/>
                <w:sz w:val="18"/>
                <w:szCs w:val="18"/>
              </w:rPr>
            </w:pPr>
            <w:r w:rsidRPr="00D667D5">
              <w:rPr>
                <w:rFonts w:ascii="Arial" w:eastAsia="Calibri" w:hAnsi="Arial" w:cs="Arial"/>
                <w:sz w:val="18"/>
                <w:szCs w:val="18"/>
              </w:rPr>
              <w:t>Coordinator</w:t>
            </w:r>
          </w:p>
          <w:p w:rsidR="0068403C" w:rsidRPr="00D667D5" w:rsidRDefault="0068403C" w:rsidP="001E6578">
            <w:pPr>
              <w:pStyle w:val="ListParagraph"/>
              <w:numPr>
                <w:ilvl w:val="0"/>
                <w:numId w:val="14"/>
              </w:numPr>
              <w:ind w:left="1240"/>
              <w:rPr>
                <w:rFonts w:ascii="Arial" w:eastAsia="Calibri" w:hAnsi="Arial" w:cs="Arial"/>
                <w:sz w:val="18"/>
                <w:szCs w:val="18"/>
              </w:rPr>
            </w:pPr>
            <w:r w:rsidRPr="00D667D5">
              <w:rPr>
                <w:rFonts w:ascii="Arial" w:eastAsia="Calibri" w:hAnsi="Arial" w:cs="Arial"/>
                <w:sz w:val="18"/>
                <w:szCs w:val="18"/>
              </w:rPr>
              <w:t>Expert meetings or analysis</w:t>
            </w:r>
          </w:p>
        </w:tc>
        <w:tc>
          <w:tcPr>
            <w:tcW w:w="1134"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MDTF</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150 K</w:t>
            </w:r>
          </w:p>
        </w:tc>
        <w:tc>
          <w:tcPr>
            <w:tcW w:w="993"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150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200 K</w:t>
            </w:r>
          </w:p>
        </w:tc>
        <w:tc>
          <w:tcPr>
            <w:tcW w:w="99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200 K</w:t>
            </w:r>
          </w:p>
        </w:tc>
        <w:tc>
          <w:tcPr>
            <w:tcW w:w="941"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200 K</w:t>
            </w:r>
          </w:p>
        </w:tc>
      </w:tr>
      <w:tr w:rsidR="00503B18" w:rsidRPr="00D667D5" w:rsidTr="00503B18">
        <w:tc>
          <w:tcPr>
            <w:tcW w:w="297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Various</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430 K</w:t>
            </w:r>
          </w:p>
        </w:tc>
        <w:tc>
          <w:tcPr>
            <w:tcW w:w="993"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380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480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440 K</w:t>
            </w:r>
          </w:p>
        </w:tc>
        <w:tc>
          <w:tcPr>
            <w:tcW w:w="941"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460 K</w:t>
            </w:r>
          </w:p>
        </w:tc>
      </w:tr>
      <w:tr w:rsidR="003D75CE" w:rsidRPr="00D667D5" w:rsidTr="000503F7">
        <w:tc>
          <w:tcPr>
            <w:tcW w:w="297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FTE (estimate)</w:t>
            </w:r>
          </w:p>
        </w:tc>
        <w:tc>
          <w:tcPr>
            <w:tcW w:w="1134"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Various</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2.5</w:t>
            </w:r>
          </w:p>
        </w:tc>
        <w:tc>
          <w:tcPr>
            <w:tcW w:w="993"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2.5</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2.5</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2.0</w:t>
            </w:r>
          </w:p>
        </w:tc>
        <w:tc>
          <w:tcPr>
            <w:tcW w:w="941"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2.0</w:t>
            </w:r>
          </w:p>
        </w:tc>
      </w:tr>
    </w:tbl>
    <w:p w:rsidR="003E196D" w:rsidRPr="004D5BAD" w:rsidRDefault="003E196D" w:rsidP="007E00FE">
      <w:pPr>
        <w:rPr>
          <w:rFonts w:ascii="Calibri" w:eastAsia="Calibri" w:hAnsi="Calibri" w:cs="Times New Roman"/>
        </w:rPr>
      </w:pPr>
    </w:p>
    <w:p w:rsidR="004D5BAD" w:rsidRDefault="007E00FE" w:rsidP="008D0344">
      <w:pPr>
        <w:keepNext/>
        <w:keepLines/>
        <w:spacing w:before="120" w:after="120"/>
        <w:outlineLvl w:val="2"/>
        <w:rPr>
          <w:rFonts w:eastAsia="Times New Roman" w:cs="Times New Roman"/>
        </w:rPr>
      </w:pPr>
      <w:bookmarkStart w:id="12" w:name="_Toc519604987"/>
      <w:r w:rsidRPr="004D5BAD">
        <w:rPr>
          <w:rStyle w:val="Heading2Char"/>
          <w:rFonts w:asciiTheme="minorHAnsi" w:hAnsiTheme="minorHAnsi"/>
          <w:sz w:val="22"/>
          <w:szCs w:val="22"/>
        </w:rPr>
        <w:t>3. Management of E-commerce and Courier Mail Pathway</w:t>
      </w:r>
      <w:r w:rsidR="00063A2A" w:rsidRPr="004D5BAD">
        <w:rPr>
          <w:rStyle w:val="Heading2Char"/>
          <w:rFonts w:asciiTheme="minorHAnsi" w:hAnsiTheme="minorHAnsi"/>
          <w:sz w:val="22"/>
          <w:szCs w:val="22"/>
        </w:rPr>
        <w:t>s</w:t>
      </w:r>
      <w:bookmarkEnd w:id="12"/>
    </w:p>
    <w:p w:rsidR="00770665" w:rsidRPr="008D0344" w:rsidRDefault="007E00FE" w:rsidP="008D0344">
      <w:pPr>
        <w:keepNext/>
        <w:keepLines/>
        <w:outlineLvl w:val="2"/>
        <w:rPr>
          <w:rFonts w:eastAsia="Times New Roman" w:cs="Times New Roman"/>
        </w:rPr>
      </w:pPr>
      <w:r w:rsidRPr="004D5BAD">
        <w:rPr>
          <w:rFonts w:eastAsia="Times New Roman" w:cs="Times New Roman"/>
        </w:rPr>
        <w:t>A coordinated international effort to address the spread of pests and pest host material sold through e-commence and distributed through rapid mail and courier pathways.</w:t>
      </w:r>
    </w:p>
    <w:p w:rsidR="002452A6" w:rsidRPr="004D5BAD" w:rsidRDefault="002452A6" w:rsidP="004D5BAD">
      <w:pPr>
        <w:rPr>
          <w:rFonts w:eastAsia="Calibri" w:cs="Times New Roman"/>
        </w:rPr>
      </w:pPr>
      <w:r w:rsidRPr="004D5BAD">
        <w:rPr>
          <w:rFonts w:eastAsia="Calibri" w:cs="Times New Roman"/>
          <w:b/>
        </w:rPr>
        <w:t>Desired 2030 Ou</w:t>
      </w:r>
      <w:r w:rsidR="008D0344">
        <w:rPr>
          <w:rFonts w:eastAsia="Calibri" w:cs="Times New Roman"/>
          <w:b/>
        </w:rPr>
        <w:t>tcome</w:t>
      </w:r>
    </w:p>
    <w:p w:rsidR="007E00FE" w:rsidRPr="004D5BAD" w:rsidRDefault="002452A6" w:rsidP="004D5BAD">
      <w:pPr>
        <w:rPr>
          <w:rFonts w:eastAsia="Calibri" w:cs="Times New Roman"/>
        </w:rPr>
      </w:pPr>
      <w:r w:rsidRPr="004D5BAD">
        <w:rPr>
          <w:rFonts w:eastAsia="Calibri" w:cs="Times New Roman"/>
        </w:rPr>
        <w:t>A coordinated international effort has largely addressed the spread of pests and pest host material sold through e-commence and distributed through rapid mail and courier pathways. Volumes of high risk plant material purchased online in small quantities and shipped via courier pathways is sourced from high health programs, and compliance is tracked and enforced in collaboration with other border agencies, the international postal services and courier services.</w:t>
      </w:r>
    </w:p>
    <w:p w:rsidR="007E00FE" w:rsidRPr="004D5BAD" w:rsidRDefault="007E00FE" w:rsidP="004D5BAD">
      <w:pPr>
        <w:rPr>
          <w:rFonts w:eastAsia="Calibri" w:cs="Times New Roman"/>
        </w:rPr>
      </w:pPr>
      <w:r w:rsidRPr="004D5BAD">
        <w:rPr>
          <w:rFonts w:eastAsia="Calibri" w:cs="Times New Roman"/>
        </w:rPr>
        <w:t>Activities to be carried out during 2020 - 2030 would include:</w:t>
      </w:r>
    </w:p>
    <w:p w:rsidR="007E00FE" w:rsidRPr="004D5BAD" w:rsidRDefault="007E00FE" w:rsidP="001E6578">
      <w:pPr>
        <w:numPr>
          <w:ilvl w:val="0"/>
          <w:numId w:val="4"/>
        </w:numPr>
        <w:contextualSpacing/>
        <w:rPr>
          <w:rFonts w:eastAsia="Calibri" w:cs="Times New Roman"/>
        </w:rPr>
      </w:pPr>
      <w:r w:rsidRPr="004D5BAD">
        <w:rPr>
          <w:rFonts w:eastAsia="Calibri" w:cs="Times New Roman"/>
        </w:rPr>
        <w:t>An international communications effort targeting companies selling through e-commerce channels and consumers, to ensure they understand the need and how to comply with importing country phytosanitary requirements.</w:t>
      </w:r>
    </w:p>
    <w:p w:rsidR="007E00FE" w:rsidRPr="004D5BAD" w:rsidRDefault="007E00FE" w:rsidP="001E6578">
      <w:pPr>
        <w:numPr>
          <w:ilvl w:val="0"/>
          <w:numId w:val="4"/>
        </w:numPr>
        <w:contextualSpacing/>
        <w:rPr>
          <w:rFonts w:eastAsia="Calibri" w:cs="Times New Roman"/>
        </w:rPr>
      </w:pPr>
      <w:r w:rsidRPr="004D5BAD">
        <w:rPr>
          <w:rFonts w:eastAsia="Calibri" w:cs="Times New Roman"/>
        </w:rPr>
        <w:t>Establishment of an inter-agency network (CITES/WCO/IPPC) to create synergy in developing a joint policy and requirement catalogue with regard to E-commerce and courier/postal pathways.</w:t>
      </w:r>
    </w:p>
    <w:p w:rsidR="007E00FE" w:rsidRPr="004D5BAD" w:rsidRDefault="007E00FE" w:rsidP="001E6578">
      <w:pPr>
        <w:numPr>
          <w:ilvl w:val="0"/>
          <w:numId w:val="4"/>
        </w:numPr>
        <w:contextualSpacing/>
        <w:rPr>
          <w:rFonts w:eastAsia="Calibri" w:cs="Times New Roman"/>
        </w:rPr>
      </w:pPr>
      <w:r w:rsidRPr="004D5BAD">
        <w:rPr>
          <w:rFonts w:eastAsia="Calibri" w:cs="Times New Roman"/>
        </w:rPr>
        <w:t>Establishment of a joint inter-agency toolkit for the regulation and screening of E-commerce and courier/postal pathways.</w:t>
      </w:r>
    </w:p>
    <w:p w:rsidR="0068403C" w:rsidRPr="00AB6D02" w:rsidRDefault="0068403C" w:rsidP="0068403C">
      <w:pPr>
        <w:contextualSpacing/>
        <w:rPr>
          <w:rFonts w:ascii="Calibri" w:eastAsia="Calibri" w:hAnsi="Calibri" w:cs="Times New Roman"/>
        </w:rPr>
      </w:pPr>
    </w:p>
    <w:tbl>
      <w:tblPr>
        <w:tblStyle w:val="TableGrid"/>
        <w:tblW w:w="0" w:type="auto"/>
        <w:tblLook w:val="04A0" w:firstRow="1" w:lastRow="0" w:firstColumn="1" w:lastColumn="0" w:noHBand="0" w:noVBand="1"/>
      </w:tblPr>
      <w:tblGrid>
        <w:gridCol w:w="2972"/>
        <w:gridCol w:w="1134"/>
        <w:gridCol w:w="992"/>
        <w:gridCol w:w="993"/>
        <w:gridCol w:w="992"/>
        <w:gridCol w:w="992"/>
        <w:gridCol w:w="941"/>
      </w:tblGrid>
      <w:tr w:rsidR="0068403C" w:rsidRPr="00D667D5" w:rsidTr="003B580E">
        <w:trPr>
          <w:tblHeader/>
        </w:trPr>
        <w:tc>
          <w:tcPr>
            <w:tcW w:w="2972" w:type="dxa"/>
            <w:vMerge w:val="restart"/>
            <w:shd w:val="clear" w:color="auto" w:fill="D9D9D9" w:themeFill="background1" w:themeFillShade="D9"/>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Action</w:t>
            </w:r>
          </w:p>
        </w:tc>
        <w:tc>
          <w:tcPr>
            <w:tcW w:w="1134" w:type="dxa"/>
            <w:vMerge w:val="restart"/>
            <w:shd w:val="clear" w:color="auto" w:fill="D9D9D9" w:themeFill="background1" w:themeFillShade="D9"/>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Funding</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Source</w:t>
            </w:r>
          </w:p>
        </w:tc>
        <w:tc>
          <w:tcPr>
            <w:tcW w:w="4910" w:type="dxa"/>
            <w:gridSpan w:val="5"/>
            <w:shd w:val="clear" w:color="auto" w:fill="D9D9D9" w:themeFill="background1" w:themeFillShade="D9"/>
          </w:tcPr>
          <w:p w:rsidR="0068403C" w:rsidRPr="00D667D5" w:rsidRDefault="0068403C"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68403C" w:rsidRPr="00D667D5" w:rsidTr="00A77EDE">
        <w:trPr>
          <w:tblHeader/>
        </w:trPr>
        <w:tc>
          <w:tcPr>
            <w:tcW w:w="2972" w:type="dxa"/>
            <w:vMerge/>
          </w:tcPr>
          <w:p w:rsidR="0068403C" w:rsidRPr="00D667D5" w:rsidRDefault="0068403C" w:rsidP="00A77EDE">
            <w:pPr>
              <w:rPr>
                <w:rFonts w:ascii="Arial" w:eastAsia="Calibri" w:hAnsi="Arial" w:cs="Arial"/>
                <w:sz w:val="18"/>
                <w:szCs w:val="18"/>
              </w:rPr>
            </w:pPr>
          </w:p>
        </w:tc>
        <w:tc>
          <w:tcPr>
            <w:tcW w:w="1134" w:type="dxa"/>
            <w:vMerge/>
          </w:tcPr>
          <w:p w:rsidR="0068403C" w:rsidRPr="00D667D5" w:rsidRDefault="0068403C" w:rsidP="00A77EDE">
            <w:pPr>
              <w:rPr>
                <w:rFonts w:ascii="Arial" w:eastAsia="Calibri" w:hAnsi="Arial" w:cs="Arial"/>
                <w:sz w:val="18"/>
                <w:szCs w:val="18"/>
              </w:rPr>
            </w:pPr>
          </w:p>
        </w:tc>
        <w:tc>
          <w:tcPr>
            <w:tcW w:w="992"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2023</w:t>
            </w:r>
          </w:p>
        </w:tc>
        <w:tc>
          <w:tcPr>
            <w:tcW w:w="941"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2024</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Communications strategy and implementation</w:t>
            </w:r>
          </w:p>
        </w:tc>
        <w:tc>
          <w:tcPr>
            <w:tcW w:w="1134" w:type="dxa"/>
          </w:tcPr>
          <w:p w:rsidR="0068403C" w:rsidRPr="00D667D5" w:rsidRDefault="0068403C" w:rsidP="003022F3">
            <w:pPr>
              <w:rPr>
                <w:rFonts w:ascii="Arial" w:eastAsia="Calibri" w:hAnsi="Arial" w:cs="Arial"/>
                <w:sz w:val="18"/>
                <w:szCs w:val="18"/>
              </w:rPr>
            </w:pPr>
            <w:proofErr w:type="spellStart"/>
            <w:r w:rsidRPr="00D667D5">
              <w:rPr>
                <w:rFonts w:ascii="Arial" w:eastAsia="Calibri" w:hAnsi="Arial" w:cs="Arial"/>
                <w:sz w:val="18"/>
                <w:szCs w:val="18"/>
              </w:rPr>
              <w:t>Ex</w:t>
            </w:r>
            <w:r w:rsidR="003022F3" w:rsidRPr="00D667D5">
              <w:rPr>
                <w:rFonts w:ascii="Arial" w:eastAsia="Calibri" w:hAnsi="Arial" w:cs="Arial"/>
                <w:sz w:val="18"/>
                <w:szCs w:val="18"/>
              </w:rPr>
              <w:t>t</w:t>
            </w:r>
            <w:r w:rsidRPr="00D667D5">
              <w:rPr>
                <w:rFonts w:ascii="Arial" w:eastAsia="Calibri" w:hAnsi="Arial" w:cs="Arial"/>
                <w:sz w:val="18"/>
                <w:szCs w:val="18"/>
              </w:rPr>
              <w:t>P</w:t>
            </w:r>
            <w:proofErr w:type="spellEnd"/>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3"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41"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Interagency network for E-Commerce and courier/postal pathways</w:t>
            </w:r>
          </w:p>
        </w:tc>
        <w:tc>
          <w:tcPr>
            <w:tcW w:w="1134" w:type="dxa"/>
          </w:tcPr>
          <w:p w:rsidR="0068403C" w:rsidRPr="00D667D5" w:rsidRDefault="00744A05" w:rsidP="003022F3">
            <w:pPr>
              <w:rPr>
                <w:rFonts w:ascii="Arial" w:eastAsia="Calibri" w:hAnsi="Arial" w:cs="Arial"/>
                <w:sz w:val="18"/>
                <w:szCs w:val="18"/>
              </w:rPr>
            </w:pPr>
            <w:proofErr w:type="spellStart"/>
            <w:r w:rsidRPr="00D667D5">
              <w:rPr>
                <w:rFonts w:ascii="Arial" w:eastAsia="Calibri" w:hAnsi="Arial" w:cs="Arial"/>
                <w:sz w:val="18"/>
                <w:szCs w:val="18"/>
              </w:rPr>
              <w:t>Ex</w:t>
            </w:r>
            <w:r w:rsidR="003022F3" w:rsidRPr="00D667D5">
              <w:rPr>
                <w:rFonts w:ascii="Arial" w:eastAsia="Calibri" w:hAnsi="Arial" w:cs="Arial"/>
                <w:sz w:val="18"/>
                <w:szCs w:val="18"/>
              </w:rPr>
              <w:t>t</w:t>
            </w:r>
            <w:r w:rsidRPr="00D667D5">
              <w:rPr>
                <w:rFonts w:ascii="Arial" w:eastAsia="Calibri" w:hAnsi="Arial" w:cs="Arial"/>
                <w:sz w:val="18"/>
                <w:szCs w:val="18"/>
              </w:rPr>
              <w:t>P</w:t>
            </w:r>
            <w:proofErr w:type="spellEnd"/>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3"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41"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r>
      <w:tr w:rsidR="0068403C" w:rsidRPr="00D667D5" w:rsidTr="00A77EDE">
        <w:tc>
          <w:tcPr>
            <w:tcW w:w="2972" w:type="dxa"/>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Interagency tool kit</w:t>
            </w:r>
          </w:p>
          <w:p w:rsidR="0068403C" w:rsidRPr="00D667D5" w:rsidRDefault="0068403C" w:rsidP="001E6578">
            <w:pPr>
              <w:pStyle w:val="ListParagraph"/>
              <w:numPr>
                <w:ilvl w:val="0"/>
                <w:numId w:val="16"/>
              </w:numPr>
              <w:ind w:left="1240"/>
              <w:rPr>
                <w:rFonts w:ascii="Arial" w:eastAsia="Calibri" w:hAnsi="Arial" w:cs="Arial"/>
                <w:sz w:val="18"/>
                <w:szCs w:val="18"/>
              </w:rPr>
            </w:pPr>
            <w:r w:rsidRPr="00D667D5">
              <w:rPr>
                <w:rFonts w:ascii="Arial" w:eastAsia="Calibri" w:hAnsi="Arial" w:cs="Arial"/>
                <w:sz w:val="18"/>
                <w:szCs w:val="18"/>
              </w:rPr>
              <w:lastRenderedPageBreak/>
              <w:t>Regulation</w:t>
            </w:r>
          </w:p>
          <w:p w:rsidR="0068403C" w:rsidRPr="00D667D5" w:rsidRDefault="0068403C" w:rsidP="001E6578">
            <w:pPr>
              <w:pStyle w:val="ListParagraph"/>
              <w:numPr>
                <w:ilvl w:val="0"/>
                <w:numId w:val="16"/>
              </w:numPr>
              <w:ind w:left="1240"/>
              <w:rPr>
                <w:rFonts w:ascii="Arial" w:eastAsia="Calibri" w:hAnsi="Arial" w:cs="Arial"/>
                <w:sz w:val="18"/>
                <w:szCs w:val="18"/>
              </w:rPr>
            </w:pPr>
            <w:r w:rsidRPr="00D667D5">
              <w:rPr>
                <w:rFonts w:ascii="Arial" w:eastAsia="Calibri" w:hAnsi="Arial" w:cs="Arial"/>
                <w:sz w:val="18"/>
                <w:szCs w:val="18"/>
              </w:rPr>
              <w:t>Operations</w:t>
            </w:r>
          </w:p>
          <w:p w:rsidR="0068403C" w:rsidRPr="00D667D5" w:rsidRDefault="0068403C" w:rsidP="001E6578">
            <w:pPr>
              <w:pStyle w:val="ListParagraph"/>
              <w:numPr>
                <w:ilvl w:val="0"/>
                <w:numId w:val="16"/>
              </w:numPr>
              <w:ind w:left="1240"/>
              <w:rPr>
                <w:rFonts w:ascii="Arial" w:eastAsia="Calibri" w:hAnsi="Arial" w:cs="Arial"/>
                <w:sz w:val="18"/>
                <w:szCs w:val="18"/>
              </w:rPr>
            </w:pPr>
            <w:r w:rsidRPr="00D667D5">
              <w:rPr>
                <w:rFonts w:ascii="Arial" w:eastAsia="Calibri" w:hAnsi="Arial" w:cs="Arial"/>
                <w:sz w:val="18"/>
                <w:szCs w:val="18"/>
              </w:rPr>
              <w:t>Other support materials</w:t>
            </w:r>
          </w:p>
        </w:tc>
        <w:tc>
          <w:tcPr>
            <w:tcW w:w="1134" w:type="dxa"/>
          </w:tcPr>
          <w:p w:rsidR="0068403C" w:rsidRPr="00D667D5" w:rsidRDefault="00744A05" w:rsidP="003022F3">
            <w:pPr>
              <w:rPr>
                <w:rFonts w:ascii="Arial" w:eastAsia="Calibri" w:hAnsi="Arial" w:cs="Arial"/>
                <w:sz w:val="18"/>
                <w:szCs w:val="18"/>
              </w:rPr>
            </w:pPr>
            <w:proofErr w:type="spellStart"/>
            <w:r w:rsidRPr="00D667D5">
              <w:rPr>
                <w:rFonts w:ascii="Arial" w:eastAsia="Calibri" w:hAnsi="Arial" w:cs="Arial"/>
                <w:sz w:val="18"/>
                <w:szCs w:val="18"/>
              </w:rPr>
              <w:lastRenderedPageBreak/>
              <w:t>Ex</w:t>
            </w:r>
            <w:r w:rsidR="003022F3" w:rsidRPr="00D667D5">
              <w:rPr>
                <w:rFonts w:ascii="Arial" w:eastAsia="Calibri" w:hAnsi="Arial" w:cs="Arial"/>
                <w:sz w:val="18"/>
                <w:szCs w:val="18"/>
              </w:rPr>
              <w:t>t</w:t>
            </w:r>
            <w:r w:rsidRPr="00D667D5">
              <w:rPr>
                <w:rFonts w:ascii="Arial" w:eastAsia="Calibri" w:hAnsi="Arial" w:cs="Arial"/>
                <w:sz w:val="18"/>
                <w:szCs w:val="18"/>
              </w:rPr>
              <w:t>P</w:t>
            </w:r>
            <w:proofErr w:type="spellEnd"/>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3"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41"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r>
      <w:tr w:rsidR="00503B18" w:rsidRPr="00D667D5" w:rsidTr="00503B18">
        <w:tc>
          <w:tcPr>
            <w:tcW w:w="297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503B18" w:rsidRPr="00D667D5" w:rsidRDefault="00503B18" w:rsidP="000503F7">
            <w:pPr>
              <w:rPr>
                <w:rFonts w:ascii="Arial" w:eastAsia="Calibri" w:hAnsi="Arial" w:cs="Arial"/>
                <w:b/>
                <w:sz w:val="18"/>
                <w:szCs w:val="18"/>
              </w:rPr>
            </w:pPr>
            <w:proofErr w:type="spellStart"/>
            <w:r w:rsidRPr="00D667D5">
              <w:rPr>
                <w:rFonts w:ascii="Arial" w:eastAsia="Calibri" w:hAnsi="Arial" w:cs="Arial"/>
                <w:b/>
                <w:sz w:val="18"/>
                <w:szCs w:val="18"/>
              </w:rPr>
              <w:t>ExtP</w:t>
            </w:r>
            <w:proofErr w:type="spellEnd"/>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150 K</w:t>
            </w:r>
          </w:p>
        </w:tc>
        <w:tc>
          <w:tcPr>
            <w:tcW w:w="993"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80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80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70 K</w:t>
            </w:r>
          </w:p>
        </w:tc>
        <w:tc>
          <w:tcPr>
            <w:tcW w:w="941"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70 K</w:t>
            </w:r>
          </w:p>
        </w:tc>
      </w:tr>
      <w:tr w:rsidR="003D75CE" w:rsidRPr="00D667D5" w:rsidTr="000503F7">
        <w:tc>
          <w:tcPr>
            <w:tcW w:w="297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FTE (estimate)</w:t>
            </w:r>
          </w:p>
        </w:tc>
        <w:tc>
          <w:tcPr>
            <w:tcW w:w="1134" w:type="dxa"/>
          </w:tcPr>
          <w:p w:rsidR="003D75CE" w:rsidRPr="00D667D5" w:rsidRDefault="003D75CE" w:rsidP="000503F7">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1.25</w:t>
            </w:r>
          </w:p>
        </w:tc>
        <w:tc>
          <w:tcPr>
            <w:tcW w:w="993"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0.7</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0.7</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0.5</w:t>
            </w:r>
          </w:p>
        </w:tc>
        <w:tc>
          <w:tcPr>
            <w:tcW w:w="941"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0.5</w:t>
            </w:r>
          </w:p>
        </w:tc>
      </w:tr>
    </w:tbl>
    <w:p w:rsidR="003D75CE" w:rsidRPr="004D5BAD" w:rsidRDefault="003D75CE" w:rsidP="004D5BAD">
      <w:pPr>
        <w:rPr>
          <w:rFonts w:eastAsia="Times New Roman" w:cs="Times New Roman"/>
          <w:b/>
        </w:rPr>
      </w:pPr>
    </w:p>
    <w:p w:rsidR="004D5BAD" w:rsidRDefault="007E00FE" w:rsidP="008D0344">
      <w:pPr>
        <w:keepNext/>
        <w:keepLines/>
        <w:spacing w:before="120" w:after="120"/>
        <w:outlineLvl w:val="2"/>
        <w:rPr>
          <w:rFonts w:eastAsia="Calibri" w:cs="Times New Roman"/>
          <w:b/>
        </w:rPr>
      </w:pPr>
      <w:bookmarkStart w:id="13" w:name="_Toc519604988"/>
      <w:r w:rsidRPr="004D5BAD">
        <w:rPr>
          <w:rStyle w:val="Heading2Char"/>
          <w:rFonts w:asciiTheme="minorHAnsi" w:hAnsiTheme="minorHAnsi"/>
          <w:sz w:val="22"/>
          <w:szCs w:val="22"/>
        </w:rPr>
        <w:t xml:space="preserve">4. </w:t>
      </w:r>
      <w:r w:rsidRPr="004D5BAD">
        <w:rPr>
          <w:rStyle w:val="Heading2Char"/>
          <w:rFonts w:asciiTheme="minorHAnsi" w:hAnsiTheme="minorHAnsi"/>
          <w:sz w:val="22"/>
          <w:szCs w:val="22"/>
          <w:lang w:val="en-NZ"/>
        </w:rPr>
        <w:t xml:space="preserve">Enabling the Use of Third Party </w:t>
      </w:r>
      <w:r w:rsidR="00D17C09" w:rsidRPr="004D5BAD">
        <w:rPr>
          <w:rStyle w:val="Heading2Char"/>
          <w:rFonts w:asciiTheme="minorHAnsi" w:hAnsiTheme="minorHAnsi"/>
          <w:sz w:val="22"/>
          <w:szCs w:val="22"/>
          <w:lang w:val="en-NZ"/>
        </w:rPr>
        <w:t>Entities</w:t>
      </w:r>
      <w:bookmarkEnd w:id="13"/>
    </w:p>
    <w:p w:rsidR="007E00FE" w:rsidRPr="004D5BAD" w:rsidRDefault="007E00FE" w:rsidP="008D0344">
      <w:pPr>
        <w:rPr>
          <w:rFonts w:eastAsia="Calibri" w:cs="Times New Roman"/>
        </w:rPr>
      </w:pPr>
      <w:r w:rsidRPr="004D5BAD">
        <w:rPr>
          <w:rFonts w:eastAsia="Times New Roman" w:cs="Times New Roman"/>
        </w:rPr>
        <w:t>Enabl</w:t>
      </w:r>
      <w:r w:rsidR="00323AB7" w:rsidRPr="004D5BAD">
        <w:rPr>
          <w:rFonts w:eastAsia="Times New Roman" w:cs="Times New Roman"/>
        </w:rPr>
        <w:t>ing</w:t>
      </w:r>
      <w:r w:rsidRPr="004D5BAD">
        <w:rPr>
          <w:rFonts w:eastAsia="Times New Roman" w:cs="Times New Roman"/>
        </w:rPr>
        <w:t xml:space="preserve"> use of third parties to perform phytosanitary </w:t>
      </w:r>
      <w:r w:rsidR="00D17C09" w:rsidRPr="004D5BAD">
        <w:rPr>
          <w:rFonts w:eastAsia="Times New Roman" w:cs="Times New Roman"/>
        </w:rPr>
        <w:t>actions</w:t>
      </w:r>
      <w:r w:rsidRPr="004D5BAD">
        <w:rPr>
          <w:rFonts w:eastAsia="Times New Roman" w:cs="Times New Roman"/>
        </w:rPr>
        <w:t>, including treatments, inspections, etc.</w:t>
      </w:r>
    </w:p>
    <w:p w:rsidR="00D17C09" w:rsidRPr="004D5BAD" w:rsidRDefault="008D0344" w:rsidP="004D5BAD">
      <w:pPr>
        <w:autoSpaceDE w:val="0"/>
        <w:autoSpaceDN w:val="0"/>
        <w:adjustRightInd w:val="0"/>
        <w:rPr>
          <w:rFonts w:eastAsia="Calibri" w:cs="Times New Roman"/>
          <w:b/>
          <w:color w:val="000000"/>
        </w:rPr>
      </w:pPr>
      <w:r>
        <w:rPr>
          <w:rFonts w:eastAsia="Calibri" w:cs="Times New Roman"/>
          <w:b/>
          <w:color w:val="000000"/>
        </w:rPr>
        <w:t>Desired 2030 Outcome</w:t>
      </w:r>
    </w:p>
    <w:p w:rsidR="00D17C09" w:rsidRPr="004D5BAD" w:rsidRDefault="00D17C09" w:rsidP="004D5BAD">
      <w:pPr>
        <w:autoSpaceDE w:val="0"/>
        <w:autoSpaceDN w:val="0"/>
        <w:adjustRightInd w:val="0"/>
        <w:rPr>
          <w:rFonts w:eastAsia="Calibri" w:cs="Times New Roman"/>
          <w:color w:val="000000"/>
        </w:rPr>
      </w:pPr>
      <w:r w:rsidRPr="004D5BAD">
        <w:rPr>
          <w:rFonts w:eastAsia="Calibri" w:cs="Times New Roman"/>
          <w:color w:val="000000"/>
        </w:rPr>
        <w:t xml:space="preserve">Standards have been adopted and implemented that enable use of third party entities to perform various phytosanitary actions, including treatments, inspections, diagnostic identification, etc.   This provides more timely services for stakeholders and results in cost savings for government and business. Governments are able to direct internal resources to areas of highest risk.  </w:t>
      </w:r>
    </w:p>
    <w:p w:rsidR="007E00FE" w:rsidRPr="004D5BAD" w:rsidRDefault="007E00FE" w:rsidP="004D5BAD">
      <w:pPr>
        <w:rPr>
          <w:rFonts w:eastAsia="Calibri" w:cs="Times New Roman"/>
        </w:rPr>
      </w:pPr>
      <w:r w:rsidRPr="004D5BAD">
        <w:rPr>
          <w:rFonts w:eastAsia="Calibri" w:cs="Times New Roman"/>
        </w:rPr>
        <w:t>Activities to be carried out during 2020 - 2030 would include:</w:t>
      </w:r>
    </w:p>
    <w:p w:rsidR="007E00FE" w:rsidRPr="004D5BAD" w:rsidRDefault="007E00FE" w:rsidP="001E6578">
      <w:pPr>
        <w:numPr>
          <w:ilvl w:val="0"/>
          <w:numId w:val="4"/>
        </w:numPr>
        <w:contextualSpacing/>
        <w:rPr>
          <w:rFonts w:eastAsia="Calibri" w:cs="Times New Roman"/>
        </w:rPr>
      </w:pPr>
      <w:r w:rsidRPr="004D5BAD">
        <w:rPr>
          <w:rFonts w:eastAsia="Calibri" w:cs="Times New Roman"/>
        </w:rPr>
        <w:t xml:space="preserve">Adoption of relevant ISPM(s) </w:t>
      </w:r>
      <w:r w:rsidR="00E47464" w:rsidRPr="004D5BAD">
        <w:rPr>
          <w:rFonts w:eastAsia="Calibri" w:cs="Times New Roman"/>
        </w:rPr>
        <w:t xml:space="preserve">and guidance </w:t>
      </w:r>
      <w:r w:rsidRPr="004D5BAD">
        <w:rPr>
          <w:rFonts w:eastAsia="Calibri" w:cs="Times New Roman"/>
        </w:rPr>
        <w:t xml:space="preserve">providing guidance on authorization of third party </w:t>
      </w:r>
      <w:r w:rsidR="009001C3" w:rsidRPr="004D5BAD">
        <w:rPr>
          <w:rFonts w:eastAsia="Calibri" w:cs="Times New Roman"/>
        </w:rPr>
        <w:t xml:space="preserve">entities to </w:t>
      </w:r>
      <w:r w:rsidRPr="004D5BAD">
        <w:rPr>
          <w:rFonts w:eastAsia="Calibri" w:cs="Times New Roman"/>
        </w:rPr>
        <w:t>perform phytosanitary actions such as inspection, testing, surveillance and treatment on behalf of the NPPO.</w:t>
      </w:r>
    </w:p>
    <w:p w:rsidR="007E00FE" w:rsidRPr="004D5BAD" w:rsidRDefault="007E00FE" w:rsidP="001E6578">
      <w:pPr>
        <w:numPr>
          <w:ilvl w:val="0"/>
          <w:numId w:val="4"/>
        </w:numPr>
        <w:contextualSpacing/>
        <w:rPr>
          <w:rFonts w:eastAsia="Calibri" w:cs="Times New Roman"/>
        </w:rPr>
      </w:pPr>
      <w:r w:rsidRPr="004D5BAD">
        <w:rPr>
          <w:rFonts w:eastAsia="Calibri" w:cs="Times New Roman"/>
        </w:rPr>
        <w:t>Explore</w:t>
      </w:r>
      <w:r w:rsidR="009001C3" w:rsidRPr="004D5BAD">
        <w:rPr>
          <w:rFonts w:eastAsia="Calibri" w:cs="Times New Roman"/>
        </w:rPr>
        <w:t xml:space="preserve"> </w:t>
      </w:r>
      <w:r w:rsidRPr="004D5BAD">
        <w:rPr>
          <w:rFonts w:eastAsia="Calibri" w:cs="Times New Roman"/>
        </w:rPr>
        <w:t>how confidence in authorization systems can be increased internationally, e.g. through an international accreditation system.</w:t>
      </w:r>
    </w:p>
    <w:p w:rsidR="007E00FE" w:rsidRPr="004D5BAD" w:rsidRDefault="007E00FE" w:rsidP="001E6578">
      <w:pPr>
        <w:numPr>
          <w:ilvl w:val="0"/>
          <w:numId w:val="4"/>
        </w:numPr>
        <w:contextualSpacing/>
        <w:rPr>
          <w:rFonts w:eastAsia="Calibri" w:cs="Times New Roman"/>
        </w:rPr>
      </w:pPr>
      <w:r w:rsidRPr="004D5BAD">
        <w:rPr>
          <w:rFonts w:eastAsia="Calibri" w:cs="Times New Roman"/>
        </w:rPr>
        <w:t>Provide capacity develop</w:t>
      </w:r>
      <w:r w:rsidR="00744A05" w:rsidRPr="004D5BAD">
        <w:rPr>
          <w:rFonts w:eastAsia="Calibri" w:cs="Times New Roman"/>
        </w:rPr>
        <w:t>ment</w:t>
      </w:r>
      <w:r w:rsidRPr="004D5BAD">
        <w:rPr>
          <w:rFonts w:eastAsia="Calibri" w:cs="Times New Roman"/>
        </w:rPr>
        <w:t xml:space="preserve"> resources as needed to assist NPPOs wanting to start using a third party </w:t>
      </w:r>
      <w:r w:rsidR="00B82DCC" w:rsidRPr="004D5BAD">
        <w:rPr>
          <w:rFonts w:eastAsia="Calibri" w:cs="Times New Roman"/>
        </w:rPr>
        <w:t>entity</w:t>
      </w:r>
      <w:r w:rsidR="0068403C" w:rsidRPr="004D5BAD">
        <w:rPr>
          <w:rFonts w:eastAsia="Calibri" w:cs="Times New Roman"/>
        </w:rPr>
        <w:t xml:space="preserve"> model.</w:t>
      </w:r>
    </w:p>
    <w:p w:rsidR="0068403C" w:rsidRPr="007E00FE" w:rsidRDefault="0068403C" w:rsidP="0068403C">
      <w:pPr>
        <w:contextualSpacing/>
        <w:rPr>
          <w:rFonts w:ascii="Calibri" w:eastAsia="Calibri" w:hAnsi="Calibri" w:cs="Times New Roman"/>
        </w:rPr>
      </w:pPr>
    </w:p>
    <w:tbl>
      <w:tblPr>
        <w:tblStyle w:val="TableGrid"/>
        <w:tblW w:w="0" w:type="auto"/>
        <w:tblLook w:val="04A0" w:firstRow="1" w:lastRow="0" w:firstColumn="1" w:lastColumn="0" w:noHBand="0" w:noVBand="1"/>
      </w:tblPr>
      <w:tblGrid>
        <w:gridCol w:w="2972"/>
        <w:gridCol w:w="1134"/>
        <w:gridCol w:w="992"/>
        <w:gridCol w:w="993"/>
        <w:gridCol w:w="992"/>
        <w:gridCol w:w="992"/>
        <w:gridCol w:w="941"/>
      </w:tblGrid>
      <w:tr w:rsidR="0068403C" w:rsidRPr="00D667D5" w:rsidTr="003B580E">
        <w:trPr>
          <w:tblHeader/>
        </w:trPr>
        <w:tc>
          <w:tcPr>
            <w:tcW w:w="2972" w:type="dxa"/>
            <w:vMerge w:val="restart"/>
            <w:shd w:val="clear" w:color="auto" w:fill="D9D9D9" w:themeFill="background1" w:themeFillShade="D9"/>
          </w:tcPr>
          <w:p w:rsidR="0068403C" w:rsidRPr="00D667D5" w:rsidRDefault="0068403C" w:rsidP="0068403C">
            <w:pPr>
              <w:rPr>
                <w:rFonts w:ascii="Arial" w:eastAsia="Calibri" w:hAnsi="Arial" w:cs="Arial"/>
                <w:sz w:val="18"/>
                <w:szCs w:val="18"/>
              </w:rPr>
            </w:pPr>
            <w:bookmarkStart w:id="14" w:name="_Toc492896850"/>
            <w:r w:rsidRPr="00D667D5">
              <w:rPr>
                <w:rFonts w:ascii="Arial" w:eastAsia="Calibri" w:hAnsi="Arial" w:cs="Arial"/>
                <w:sz w:val="18"/>
                <w:szCs w:val="18"/>
              </w:rPr>
              <w:t>Action</w:t>
            </w:r>
          </w:p>
        </w:tc>
        <w:tc>
          <w:tcPr>
            <w:tcW w:w="1134" w:type="dxa"/>
            <w:vMerge w:val="restart"/>
            <w:shd w:val="clear" w:color="auto" w:fill="D9D9D9" w:themeFill="background1" w:themeFillShade="D9"/>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Funding</w:t>
            </w:r>
          </w:p>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Source</w:t>
            </w:r>
          </w:p>
        </w:tc>
        <w:tc>
          <w:tcPr>
            <w:tcW w:w="4910" w:type="dxa"/>
            <w:gridSpan w:val="5"/>
            <w:shd w:val="clear" w:color="auto" w:fill="D9D9D9" w:themeFill="background1" w:themeFillShade="D9"/>
          </w:tcPr>
          <w:p w:rsidR="0068403C" w:rsidRPr="00D667D5" w:rsidRDefault="0068403C"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68403C" w:rsidRPr="00D667D5" w:rsidTr="00A77EDE">
        <w:trPr>
          <w:tblHeader/>
        </w:trPr>
        <w:tc>
          <w:tcPr>
            <w:tcW w:w="2972" w:type="dxa"/>
            <w:vMerge/>
          </w:tcPr>
          <w:p w:rsidR="0068403C" w:rsidRPr="00D667D5" w:rsidRDefault="0068403C" w:rsidP="00A77EDE">
            <w:pPr>
              <w:rPr>
                <w:rFonts w:ascii="Arial" w:eastAsia="Calibri" w:hAnsi="Arial" w:cs="Arial"/>
                <w:sz w:val="18"/>
                <w:szCs w:val="18"/>
              </w:rPr>
            </w:pPr>
          </w:p>
        </w:tc>
        <w:tc>
          <w:tcPr>
            <w:tcW w:w="1134" w:type="dxa"/>
            <w:vMerge/>
          </w:tcPr>
          <w:p w:rsidR="0068403C" w:rsidRPr="00D667D5" w:rsidRDefault="0068403C" w:rsidP="00A77EDE">
            <w:pPr>
              <w:rPr>
                <w:rFonts w:ascii="Arial" w:eastAsia="Calibri" w:hAnsi="Arial" w:cs="Arial"/>
                <w:sz w:val="18"/>
                <w:szCs w:val="18"/>
              </w:rPr>
            </w:pPr>
          </w:p>
        </w:tc>
        <w:tc>
          <w:tcPr>
            <w:tcW w:w="992"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2023</w:t>
            </w:r>
          </w:p>
        </w:tc>
        <w:tc>
          <w:tcPr>
            <w:tcW w:w="941" w:type="dxa"/>
            <w:shd w:val="clear" w:color="auto" w:fill="F2F2F2" w:themeFill="background1" w:themeFillShade="F2"/>
          </w:tcPr>
          <w:p w:rsidR="0068403C" w:rsidRPr="00D667D5" w:rsidRDefault="0068403C" w:rsidP="00A77EDE">
            <w:pPr>
              <w:rPr>
                <w:rFonts w:ascii="Arial" w:eastAsia="Calibri" w:hAnsi="Arial" w:cs="Arial"/>
                <w:sz w:val="18"/>
                <w:szCs w:val="18"/>
              </w:rPr>
            </w:pPr>
            <w:r w:rsidRPr="00D667D5">
              <w:rPr>
                <w:rFonts w:ascii="Arial" w:eastAsia="Calibri" w:hAnsi="Arial" w:cs="Arial"/>
                <w:sz w:val="18"/>
                <w:szCs w:val="18"/>
              </w:rPr>
              <w:t>2024</w:t>
            </w:r>
          </w:p>
        </w:tc>
      </w:tr>
      <w:tr w:rsidR="0068403C" w:rsidRPr="00D667D5" w:rsidTr="00A77EDE">
        <w:tc>
          <w:tcPr>
            <w:tcW w:w="2972" w:type="dxa"/>
          </w:tcPr>
          <w:p w:rsidR="0068403C" w:rsidRPr="00D667D5" w:rsidRDefault="00744A05" w:rsidP="00744A05">
            <w:pPr>
              <w:rPr>
                <w:rFonts w:ascii="Arial" w:eastAsia="Calibri" w:hAnsi="Arial" w:cs="Arial"/>
                <w:sz w:val="18"/>
                <w:szCs w:val="18"/>
              </w:rPr>
            </w:pPr>
            <w:r w:rsidRPr="00D667D5">
              <w:rPr>
                <w:rFonts w:ascii="Arial" w:eastAsia="Calibri" w:hAnsi="Arial" w:cs="Arial"/>
                <w:sz w:val="18"/>
                <w:szCs w:val="18"/>
              </w:rPr>
              <w:t xml:space="preserve">Authorization of third party entities – standard completed </w:t>
            </w:r>
          </w:p>
        </w:tc>
        <w:tc>
          <w:tcPr>
            <w:tcW w:w="1134" w:type="dxa"/>
          </w:tcPr>
          <w:p w:rsidR="0068403C" w:rsidRPr="00D667D5" w:rsidRDefault="00744A05"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93"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92" w:type="dxa"/>
          </w:tcPr>
          <w:p w:rsidR="0068403C" w:rsidRPr="00D667D5" w:rsidRDefault="0068403C" w:rsidP="00A77EDE">
            <w:pPr>
              <w:rPr>
                <w:rFonts w:ascii="Arial" w:eastAsia="Calibri" w:hAnsi="Arial" w:cs="Arial"/>
                <w:sz w:val="18"/>
                <w:szCs w:val="18"/>
              </w:rPr>
            </w:pPr>
          </w:p>
        </w:tc>
        <w:tc>
          <w:tcPr>
            <w:tcW w:w="992" w:type="dxa"/>
          </w:tcPr>
          <w:p w:rsidR="0068403C" w:rsidRPr="00D667D5" w:rsidRDefault="0068403C" w:rsidP="00A77EDE">
            <w:pPr>
              <w:rPr>
                <w:rFonts w:ascii="Arial" w:eastAsia="Calibri" w:hAnsi="Arial" w:cs="Arial"/>
                <w:sz w:val="18"/>
                <w:szCs w:val="18"/>
              </w:rPr>
            </w:pPr>
          </w:p>
        </w:tc>
        <w:tc>
          <w:tcPr>
            <w:tcW w:w="941" w:type="dxa"/>
          </w:tcPr>
          <w:p w:rsidR="0068403C" w:rsidRPr="00D667D5" w:rsidRDefault="0068403C" w:rsidP="00A77EDE">
            <w:pPr>
              <w:rPr>
                <w:rFonts w:ascii="Arial" w:eastAsia="Calibri" w:hAnsi="Arial" w:cs="Arial"/>
                <w:sz w:val="18"/>
                <w:szCs w:val="18"/>
              </w:rPr>
            </w:pPr>
          </w:p>
        </w:tc>
      </w:tr>
      <w:tr w:rsidR="0068403C" w:rsidRPr="00D667D5" w:rsidTr="00A77EDE">
        <w:tc>
          <w:tcPr>
            <w:tcW w:w="2972" w:type="dxa"/>
          </w:tcPr>
          <w:p w:rsidR="0068403C" w:rsidRPr="00D667D5" w:rsidRDefault="00744A05" w:rsidP="00A77EDE">
            <w:pPr>
              <w:rPr>
                <w:rFonts w:ascii="Arial" w:eastAsia="Calibri" w:hAnsi="Arial" w:cs="Arial"/>
                <w:sz w:val="18"/>
                <w:szCs w:val="18"/>
              </w:rPr>
            </w:pPr>
            <w:r w:rsidRPr="00D667D5">
              <w:rPr>
                <w:rFonts w:ascii="Arial" w:eastAsia="Calibri" w:hAnsi="Arial" w:cs="Arial"/>
                <w:sz w:val="18"/>
                <w:szCs w:val="18"/>
              </w:rPr>
              <w:t>Scoping study and analysis to increase international confidence in authorisation systems</w:t>
            </w:r>
          </w:p>
        </w:tc>
        <w:tc>
          <w:tcPr>
            <w:tcW w:w="1134" w:type="dxa"/>
          </w:tcPr>
          <w:p w:rsidR="0068403C" w:rsidRPr="00D667D5" w:rsidRDefault="00744A05" w:rsidP="003022F3">
            <w:pPr>
              <w:rPr>
                <w:rFonts w:ascii="Arial" w:eastAsia="Calibri" w:hAnsi="Arial" w:cs="Arial"/>
                <w:sz w:val="18"/>
                <w:szCs w:val="18"/>
              </w:rPr>
            </w:pPr>
            <w:proofErr w:type="spellStart"/>
            <w:r w:rsidRPr="00D667D5">
              <w:rPr>
                <w:rFonts w:ascii="Arial" w:eastAsia="Calibri" w:hAnsi="Arial" w:cs="Arial"/>
                <w:sz w:val="18"/>
                <w:szCs w:val="18"/>
              </w:rPr>
              <w:t>Ex</w:t>
            </w:r>
            <w:r w:rsidR="003022F3" w:rsidRPr="00D667D5">
              <w:rPr>
                <w:rFonts w:ascii="Arial" w:eastAsia="Calibri" w:hAnsi="Arial" w:cs="Arial"/>
                <w:sz w:val="18"/>
                <w:szCs w:val="18"/>
              </w:rPr>
              <w:t>t</w:t>
            </w:r>
            <w:r w:rsidRPr="00D667D5">
              <w:rPr>
                <w:rFonts w:ascii="Arial" w:eastAsia="Calibri" w:hAnsi="Arial" w:cs="Arial"/>
                <w:sz w:val="18"/>
                <w:szCs w:val="18"/>
              </w:rPr>
              <w:t>P</w:t>
            </w:r>
            <w:proofErr w:type="spellEnd"/>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3"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41"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r>
      <w:tr w:rsidR="0068403C" w:rsidRPr="00D667D5" w:rsidTr="00A77EDE">
        <w:tc>
          <w:tcPr>
            <w:tcW w:w="2972" w:type="dxa"/>
          </w:tcPr>
          <w:p w:rsidR="0068403C" w:rsidRPr="00D667D5" w:rsidRDefault="00744A05" w:rsidP="00A77EDE">
            <w:pPr>
              <w:rPr>
                <w:rFonts w:ascii="Arial" w:eastAsia="Calibri" w:hAnsi="Arial" w:cs="Arial"/>
                <w:sz w:val="18"/>
                <w:szCs w:val="18"/>
              </w:rPr>
            </w:pPr>
            <w:r w:rsidRPr="00D667D5">
              <w:rPr>
                <w:rFonts w:ascii="Arial" w:eastAsia="Calibri" w:hAnsi="Arial" w:cs="Arial"/>
                <w:sz w:val="18"/>
                <w:szCs w:val="18"/>
              </w:rPr>
              <w:t>Implementation support and capacity development resources available</w:t>
            </w:r>
          </w:p>
        </w:tc>
        <w:tc>
          <w:tcPr>
            <w:tcW w:w="1134" w:type="dxa"/>
          </w:tcPr>
          <w:p w:rsidR="0068403C" w:rsidRPr="00D667D5" w:rsidRDefault="00744A05"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50 K</w:t>
            </w:r>
          </w:p>
        </w:tc>
        <w:tc>
          <w:tcPr>
            <w:tcW w:w="993"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100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50 K</w:t>
            </w:r>
          </w:p>
        </w:tc>
        <w:tc>
          <w:tcPr>
            <w:tcW w:w="992"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41" w:type="dxa"/>
          </w:tcPr>
          <w:p w:rsidR="0068403C"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r>
      <w:tr w:rsidR="00503B18" w:rsidRPr="00D667D5" w:rsidTr="00503B18">
        <w:tc>
          <w:tcPr>
            <w:tcW w:w="297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503B18" w:rsidRPr="00D667D5" w:rsidRDefault="00503B18" w:rsidP="000503F7">
            <w:pPr>
              <w:rPr>
                <w:rFonts w:ascii="Arial" w:eastAsia="Calibri" w:hAnsi="Arial" w:cs="Arial"/>
                <w:b/>
                <w:sz w:val="18"/>
                <w:szCs w:val="18"/>
              </w:rPr>
            </w:pPr>
            <w:proofErr w:type="spellStart"/>
            <w:r w:rsidRPr="00D667D5">
              <w:rPr>
                <w:rFonts w:ascii="Arial" w:eastAsia="Calibri" w:hAnsi="Arial" w:cs="Arial"/>
                <w:b/>
                <w:sz w:val="18"/>
                <w:szCs w:val="18"/>
              </w:rPr>
              <w:t>ExtP</w:t>
            </w:r>
            <w:proofErr w:type="spellEnd"/>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130 K</w:t>
            </w:r>
          </w:p>
        </w:tc>
        <w:tc>
          <w:tcPr>
            <w:tcW w:w="993"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180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80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60 K</w:t>
            </w:r>
          </w:p>
        </w:tc>
        <w:tc>
          <w:tcPr>
            <w:tcW w:w="941"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60 K</w:t>
            </w:r>
          </w:p>
        </w:tc>
      </w:tr>
      <w:tr w:rsidR="003D75CE" w:rsidRPr="00D667D5" w:rsidTr="000503F7">
        <w:tc>
          <w:tcPr>
            <w:tcW w:w="297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FTE (estimate)</w:t>
            </w:r>
          </w:p>
        </w:tc>
        <w:tc>
          <w:tcPr>
            <w:tcW w:w="1134" w:type="dxa"/>
          </w:tcPr>
          <w:p w:rsidR="003D75CE" w:rsidRPr="00D667D5" w:rsidRDefault="003D75CE" w:rsidP="000503F7">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0.4</w:t>
            </w:r>
          </w:p>
        </w:tc>
        <w:tc>
          <w:tcPr>
            <w:tcW w:w="993"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1.0</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0.7</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0.5</w:t>
            </w:r>
          </w:p>
        </w:tc>
        <w:tc>
          <w:tcPr>
            <w:tcW w:w="941"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0.5</w:t>
            </w:r>
          </w:p>
        </w:tc>
      </w:tr>
    </w:tbl>
    <w:p w:rsidR="0068403C" w:rsidRPr="004D5BAD" w:rsidRDefault="0068403C" w:rsidP="0068403C">
      <w:pPr>
        <w:rPr>
          <w:rFonts w:eastAsia="Calibri" w:cs="Times New Roman"/>
        </w:rPr>
      </w:pPr>
    </w:p>
    <w:p w:rsidR="008D0344" w:rsidRDefault="007E00FE" w:rsidP="008D0344">
      <w:pPr>
        <w:keepNext/>
        <w:keepLines/>
        <w:spacing w:before="120" w:after="120"/>
        <w:outlineLvl w:val="2"/>
        <w:rPr>
          <w:rFonts w:eastAsia="Times New Roman" w:cs="Times New Roman"/>
        </w:rPr>
      </w:pPr>
      <w:bookmarkStart w:id="15" w:name="_Toc519604989"/>
      <w:r w:rsidRPr="004D5BAD">
        <w:rPr>
          <w:rStyle w:val="Heading2Char"/>
          <w:rFonts w:asciiTheme="minorHAnsi" w:hAnsiTheme="minorHAnsi"/>
          <w:sz w:val="22"/>
          <w:szCs w:val="22"/>
        </w:rPr>
        <w:t xml:space="preserve">5. </w:t>
      </w:r>
      <w:r w:rsidR="00323AB7" w:rsidRPr="004D5BAD">
        <w:rPr>
          <w:rStyle w:val="Heading2Char"/>
          <w:rFonts w:asciiTheme="minorHAnsi" w:hAnsiTheme="minorHAnsi"/>
          <w:sz w:val="22"/>
          <w:szCs w:val="22"/>
        </w:rPr>
        <w:t xml:space="preserve">Strengthening Pest </w:t>
      </w:r>
      <w:r w:rsidR="00913C3C" w:rsidRPr="004D5BAD">
        <w:rPr>
          <w:rStyle w:val="Heading2Char"/>
          <w:rFonts w:asciiTheme="minorHAnsi" w:hAnsiTheme="minorHAnsi"/>
          <w:sz w:val="22"/>
          <w:szCs w:val="22"/>
        </w:rPr>
        <w:t>Outbreak</w:t>
      </w:r>
      <w:r w:rsidR="00F870C4" w:rsidRPr="004D5BAD">
        <w:rPr>
          <w:rStyle w:val="Heading2Char"/>
          <w:rFonts w:asciiTheme="minorHAnsi" w:hAnsiTheme="minorHAnsi"/>
          <w:sz w:val="22"/>
          <w:szCs w:val="22"/>
        </w:rPr>
        <w:t xml:space="preserve"> </w:t>
      </w:r>
      <w:r w:rsidR="00584004" w:rsidRPr="004D5BAD">
        <w:rPr>
          <w:rStyle w:val="Heading2Char"/>
          <w:rFonts w:asciiTheme="minorHAnsi" w:hAnsiTheme="minorHAnsi"/>
          <w:sz w:val="22"/>
          <w:szCs w:val="22"/>
        </w:rPr>
        <w:t xml:space="preserve">Alert and </w:t>
      </w:r>
      <w:r w:rsidRPr="004D5BAD">
        <w:rPr>
          <w:rStyle w:val="Heading2Char"/>
          <w:rFonts w:asciiTheme="minorHAnsi" w:hAnsiTheme="minorHAnsi"/>
          <w:sz w:val="22"/>
          <w:szCs w:val="22"/>
        </w:rPr>
        <w:t>Response</w:t>
      </w:r>
      <w:bookmarkEnd w:id="14"/>
      <w:r w:rsidR="00913C3C" w:rsidRPr="004D5BAD">
        <w:rPr>
          <w:rStyle w:val="Heading2Char"/>
          <w:rFonts w:asciiTheme="minorHAnsi" w:hAnsiTheme="minorHAnsi"/>
          <w:sz w:val="22"/>
          <w:szCs w:val="22"/>
        </w:rPr>
        <w:t xml:space="preserve"> Systems</w:t>
      </w:r>
      <w:bookmarkEnd w:id="15"/>
    </w:p>
    <w:p w:rsidR="007E00FE" w:rsidRPr="004D5BAD" w:rsidRDefault="00584004" w:rsidP="008D0344">
      <w:pPr>
        <w:keepNext/>
        <w:keepLines/>
        <w:outlineLvl w:val="2"/>
        <w:rPr>
          <w:rFonts w:eastAsia="Times New Roman" w:cs="Times New Roman"/>
        </w:rPr>
      </w:pPr>
      <w:r w:rsidRPr="004D5BAD">
        <w:rPr>
          <w:rFonts w:eastAsia="Times New Roman" w:cs="Times New Roman"/>
          <w:lang w:eastAsia="en-NZ"/>
        </w:rPr>
        <w:t xml:space="preserve">A global pest alert and response system to communicate emerging pest risks, so countries can proactively adapt their phytosanitary systems to reduce the risk of introduction and the </w:t>
      </w:r>
      <w:r w:rsidRPr="004D5BAD">
        <w:rPr>
          <w:rFonts w:eastAsia="Times New Roman" w:cs="Times New Roman"/>
        </w:rPr>
        <w:t>s</w:t>
      </w:r>
      <w:r w:rsidR="00323AB7" w:rsidRPr="004D5BAD">
        <w:rPr>
          <w:rFonts w:eastAsia="Times New Roman" w:cs="Times New Roman"/>
        </w:rPr>
        <w:t xml:space="preserve">trengthening </w:t>
      </w:r>
      <w:r w:rsidRPr="004D5BAD">
        <w:rPr>
          <w:rFonts w:eastAsia="Times New Roman" w:cs="Times New Roman"/>
        </w:rPr>
        <w:t xml:space="preserve">of </w:t>
      </w:r>
      <w:r w:rsidR="00323AB7" w:rsidRPr="004D5BAD">
        <w:rPr>
          <w:rFonts w:eastAsia="Times New Roman" w:cs="Times New Roman"/>
        </w:rPr>
        <w:t xml:space="preserve">country and regional </w:t>
      </w:r>
      <w:r w:rsidRPr="004D5BAD">
        <w:rPr>
          <w:rFonts w:eastAsia="Times New Roman" w:cs="Times New Roman"/>
        </w:rPr>
        <w:t xml:space="preserve">abilities </w:t>
      </w:r>
      <w:r w:rsidR="00323AB7" w:rsidRPr="004D5BAD">
        <w:rPr>
          <w:rFonts w:eastAsia="Times New Roman" w:cs="Times New Roman"/>
        </w:rPr>
        <w:t xml:space="preserve">to respond effectively to </w:t>
      </w:r>
      <w:r w:rsidR="00913C3C" w:rsidRPr="004D5BAD">
        <w:rPr>
          <w:rFonts w:eastAsia="Times New Roman" w:cs="Times New Roman"/>
        </w:rPr>
        <w:t>pest outbreaks including new incursions</w:t>
      </w:r>
      <w:r w:rsidR="00323AB7" w:rsidRPr="004D5BAD">
        <w:rPr>
          <w:rFonts w:eastAsia="Times New Roman" w:cs="Times New Roman"/>
        </w:rPr>
        <w:t>.</w:t>
      </w:r>
    </w:p>
    <w:p w:rsidR="00101BBF" w:rsidRPr="004D5BAD" w:rsidRDefault="008D0344" w:rsidP="007E00FE">
      <w:pPr>
        <w:rPr>
          <w:rFonts w:eastAsia="Calibri" w:cs="Times New Roman"/>
          <w:b/>
        </w:rPr>
      </w:pPr>
      <w:r>
        <w:rPr>
          <w:rFonts w:eastAsia="Calibri" w:cs="Times New Roman"/>
          <w:b/>
        </w:rPr>
        <w:t>Desired 2030 Outcome</w:t>
      </w:r>
    </w:p>
    <w:p w:rsidR="00913C3C" w:rsidRPr="004D5BAD" w:rsidRDefault="00584004" w:rsidP="00913C3C">
      <w:pPr>
        <w:rPr>
          <w:rFonts w:eastAsia="Calibri" w:cs="Times New Roman"/>
        </w:rPr>
      </w:pPr>
      <w:r w:rsidRPr="004D5BAD">
        <w:rPr>
          <w:rFonts w:eastAsia="Calibri" w:cs="Times New Roman"/>
        </w:rPr>
        <w:t>A global pest alert system with mechanisms to evaluate and communicate emerging pest risks is in place, providing regular information to NPPOs on changes in pest status around the word.  NPPOs are using this to quickly adapt their phytosanitary systems to reduce the risk of introduction and establishment. In case of outbreaks, s</w:t>
      </w:r>
      <w:r w:rsidR="00101BBF" w:rsidRPr="004D5BAD">
        <w:rPr>
          <w:rFonts w:eastAsia="Calibri" w:cs="Times New Roman"/>
        </w:rPr>
        <w:t xml:space="preserve">trengthened pest outbreak response </w:t>
      </w:r>
      <w:r w:rsidR="00913C3C" w:rsidRPr="004D5BAD">
        <w:rPr>
          <w:rFonts w:eastAsia="Calibri" w:cs="Times New Roman"/>
        </w:rPr>
        <w:t>system</w:t>
      </w:r>
      <w:r w:rsidR="00101BBF" w:rsidRPr="004D5BAD">
        <w:rPr>
          <w:rFonts w:eastAsia="Calibri" w:cs="Times New Roman"/>
        </w:rPr>
        <w:t>s</w:t>
      </w:r>
      <w:r w:rsidR="00913C3C" w:rsidRPr="004D5BAD">
        <w:rPr>
          <w:rFonts w:eastAsia="Calibri" w:cs="Times New Roman"/>
        </w:rPr>
        <w:t xml:space="preserve"> </w:t>
      </w:r>
      <w:r w:rsidR="00101BBF" w:rsidRPr="004D5BAD">
        <w:rPr>
          <w:rFonts w:eastAsia="Calibri" w:cs="Times New Roman"/>
        </w:rPr>
        <w:t>and tools are helping countries take much more timely action against especially new incursions</w:t>
      </w:r>
      <w:r w:rsidR="00913C3C" w:rsidRPr="004D5BAD">
        <w:rPr>
          <w:rFonts w:eastAsia="Calibri" w:cs="Times New Roman"/>
        </w:rPr>
        <w:t xml:space="preserve">. NPPOs, RPPOs and the FAO </w:t>
      </w:r>
      <w:r w:rsidR="00101BBF" w:rsidRPr="004D5BAD">
        <w:rPr>
          <w:rFonts w:eastAsia="Calibri" w:cs="Times New Roman"/>
        </w:rPr>
        <w:t xml:space="preserve">have collaborated to </w:t>
      </w:r>
      <w:r w:rsidR="00E41A18" w:rsidRPr="004D5BAD">
        <w:rPr>
          <w:rFonts w:eastAsia="Calibri" w:cs="Times New Roman"/>
        </w:rPr>
        <w:t>develop</w:t>
      </w:r>
      <w:r w:rsidR="00101BBF" w:rsidRPr="004D5BAD">
        <w:rPr>
          <w:rFonts w:eastAsia="Calibri" w:cs="Times New Roman"/>
        </w:rPr>
        <w:t xml:space="preserve"> and roll out a comprehensive but easy to use </w:t>
      </w:r>
      <w:r w:rsidR="00E41A18" w:rsidRPr="004D5BAD">
        <w:rPr>
          <w:rFonts w:eastAsia="Calibri" w:cs="Times New Roman"/>
        </w:rPr>
        <w:t>toolbox</w:t>
      </w:r>
      <w:r w:rsidR="00101BBF" w:rsidRPr="004D5BAD">
        <w:rPr>
          <w:rFonts w:eastAsia="Calibri" w:cs="Times New Roman"/>
        </w:rPr>
        <w:t xml:space="preserve"> to support countries </w:t>
      </w:r>
      <w:r w:rsidR="00101BBF" w:rsidRPr="004D5BAD">
        <w:rPr>
          <w:rFonts w:eastAsia="Calibri" w:cs="Times New Roman"/>
        </w:rPr>
        <w:lastRenderedPageBreak/>
        <w:t>respond</w:t>
      </w:r>
      <w:r w:rsidR="00AF4A15" w:rsidRPr="004D5BAD">
        <w:rPr>
          <w:rFonts w:eastAsia="Calibri" w:cs="Times New Roman"/>
        </w:rPr>
        <w:t>ing</w:t>
      </w:r>
      <w:r w:rsidR="00101BBF" w:rsidRPr="004D5BAD">
        <w:rPr>
          <w:rFonts w:eastAsia="Calibri" w:cs="Times New Roman"/>
        </w:rPr>
        <w:t xml:space="preserve"> quickly and effectively.</w:t>
      </w:r>
      <w:r w:rsidR="00E7721D" w:rsidRPr="004D5BAD">
        <w:rPr>
          <w:rFonts w:eastAsia="Calibri" w:cs="Times New Roman"/>
        </w:rPr>
        <w:t xml:space="preserve">  RPPO’s are playing an active role to assist NPPO’s and coordinate outbreak responses across their regions.</w:t>
      </w:r>
    </w:p>
    <w:p w:rsidR="007E00FE" w:rsidRPr="004D5BAD" w:rsidRDefault="007E00FE" w:rsidP="007E00FE">
      <w:pPr>
        <w:rPr>
          <w:rFonts w:eastAsia="Calibri" w:cs="Times New Roman"/>
        </w:rPr>
      </w:pPr>
      <w:r w:rsidRPr="004D5BAD">
        <w:rPr>
          <w:rFonts w:eastAsia="Calibri" w:cs="Times New Roman"/>
        </w:rPr>
        <w:t>Activities to be carried out during 2020 - 2030 could include:</w:t>
      </w:r>
    </w:p>
    <w:p w:rsidR="00480136" w:rsidRPr="004D5BAD" w:rsidRDefault="00480136" w:rsidP="001E6578">
      <w:pPr>
        <w:numPr>
          <w:ilvl w:val="1"/>
          <w:numId w:val="9"/>
        </w:numPr>
        <w:ind w:left="709"/>
        <w:contextualSpacing/>
        <w:rPr>
          <w:rFonts w:eastAsia="Calibri" w:cs="Times New Roman"/>
        </w:rPr>
      </w:pPr>
      <w:r w:rsidRPr="004D5BAD">
        <w:rPr>
          <w:rFonts w:eastAsia="Calibri" w:cs="Times New Roman"/>
        </w:rPr>
        <w:t>Understand the global state of emerging pest risk scanning and reporting at NPPO and RPPO levels, and user requirements for an enhanced system.</w:t>
      </w:r>
    </w:p>
    <w:p w:rsidR="00480136" w:rsidRPr="004D5BAD" w:rsidRDefault="00480136" w:rsidP="001E6578">
      <w:pPr>
        <w:numPr>
          <w:ilvl w:val="1"/>
          <w:numId w:val="9"/>
        </w:numPr>
        <w:ind w:left="709"/>
        <w:contextualSpacing/>
        <w:rPr>
          <w:rFonts w:eastAsia="Calibri" w:cs="Times New Roman"/>
        </w:rPr>
      </w:pPr>
      <w:r w:rsidRPr="004D5BAD">
        <w:rPr>
          <w:rFonts w:eastAsia="Calibri" w:cs="Times New Roman"/>
        </w:rPr>
        <w:t>Continue to work with countries to facilitate the development of pest surveillance systems, based on IPPC standards and other technical guidance, necessary for early detection and response to emerging pest threats.</w:t>
      </w:r>
    </w:p>
    <w:p w:rsidR="00480136" w:rsidRPr="004D5BAD" w:rsidRDefault="00480136" w:rsidP="001E6578">
      <w:pPr>
        <w:numPr>
          <w:ilvl w:val="1"/>
          <w:numId w:val="9"/>
        </w:numPr>
        <w:ind w:left="709"/>
        <w:contextualSpacing/>
        <w:rPr>
          <w:rFonts w:eastAsia="Calibri" w:cs="Times New Roman"/>
        </w:rPr>
      </w:pPr>
      <w:r w:rsidRPr="004D5BAD">
        <w:rPr>
          <w:rFonts w:eastAsia="Calibri" w:cs="Times New Roman"/>
        </w:rPr>
        <w:t>Develop a system to coordinate the dissemination of emerging pest risks and changes in pest status, including establishing common data standards for all countries and regions engaged in this activity.</w:t>
      </w:r>
    </w:p>
    <w:p w:rsidR="00480136" w:rsidRPr="004D5BAD" w:rsidRDefault="00480136" w:rsidP="001E6578">
      <w:pPr>
        <w:numPr>
          <w:ilvl w:val="1"/>
          <w:numId w:val="9"/>
        </w:numPr>
        <w:ind w:left="709"/>
        <w:contextualSpacing/>
        <w:rPr>
          <w:rFonts w:eastAsia="Calibri" w:cs="Times New Roman"/>
        </w:rPr>
      </w:pPr>
      <w:r w:rsidRPr="004D5BAD">
        <w:rPr>
          <w:rFonts w:eastAsia="Calibri" w:cs="Times New Roman"/>
        </w:rPr>
        <w:t>Set-up a generic system countries and RPPO’s could use to enter and report emerging risks including changes in pest status.</w:t>
      </w:r>
    </w:p>
    <w:p w:rsidR="00480136" w:rsidRPr="004D5BAD" w:rsidRDefault="00480136" w:rsidP="001E6578">
      <w:pPr>
        <w:numPr>
          <w:ilvl w:val="1"/>
          <w:numId w:val="9"/>
        </w:numPr>
        <w:ind w:left="709"/>
        <w:contextualSpacing/>
        <w:rPr>
          <w:rFonts w:eastAsia="Calibri" w:cs="Times New Roman"/>
        </w:rPr>
      </w:pPr>
      <w:r w:rsidRPr="004D5BAD">
        <w:rPr>
          <w:rFonts w:eastAsia="Calibri" w:cs="Times New Roman"/>
        </w:rPr>
        <w:t>Explore new ways to remove current barriers that work against proactive pest reporting.</w:t>
      </w:r>
    </w:p>
    <w:p w:rsidR="007E00FE" w:rsidRPr="004D5BAD" w:rsidRDefault="007E00FE" w:rsidP="001E6578">
      <w:pPr>
        <w:numPr>
          <w:ilvl w:val="1"/>
          <w:numId w:val="9"/>
        </w:numPr>
        <w:ind w:left="709"/>
        <w:contextualSpacing/>
        <w:rPr>
          <w:rFonts w:eastAsia="Calibri" w:cs="Times New Roman"/>
        </w:rPr>
      </w:pPr>
      <w:r w:rsidRPr="004D5BAD">
        <w:rPr>
          <w:rFonts w:eastAsia="Calibri" w:cs="Times New Roman"/>
        </w:rPr>
        <w:t>Develop a clear IPPC mandate, policy and structure including, if appropriate, the integration of EMPRESS plant health activities into an overall plant health mandate.</w:t>
      </w:r>
    </w:p>
    <w:p w:rsidR="007E00FE" w:rsidRPr="004D5BAD" w:rsidRDefault="007E00FE" w:rsidP="001E6578">
      <w:pPr>
        <w:numPr>
          <w:ilvl w:val="1"/>
          <w:numId w:val="9"/>
        </w:numPr>
        <w:ind w:left="709"/>
        <w:contextualSpacing/>
        <w:rPr>
          <w:rFonts w:eastAsia="Calibri" w:cs="Times New Roman"/>
        </w:rPr>
      </w:pPr>
      <w:r w:rsidRPr="004D5BAD">
        <w:rPr>
          <w:rFonts w:eastAsia="Calibri" w:cs="Times New Roman"/>
        </w:rPr>
        <w:t>Establish a network of phytosanitary emergency response expertise</w:t>
      </w:r>
    </w:p>
    <w:p w:rsidR="007E00FE" w:rsidRPr="004D5BAD" w:rsidRDefault="007E00FE" w:rsidP="001E6578">
      <w:pPr>
        <w:numPr>
          <w:ilvl w:val="1"/>
          <w:numId w:val="9"/>
        </w:numPr>
        <w:ind w:left="709"/>
        <w:contextualSpacing/>
        <w:rPr>
          <w:rFonts w:eastAsia="Calibri" w:cs="Times New Roman"/>
        </w:rPr>
      </w:pPr>
      <w:r w:rsidRPr="004D5BAD">
        <w:rPr>
          <w:rFonts w:eastAsia="Calibri" w:cs="Times New Roman"/>
        </w:rPr>
        <w:t>Facilitate engagement of expertise and response resources in a timely manner</w:t>
      </w:r>
    </w:p>
    <w:p w:rsidR="008D1182" w:rsidRPr="004D5BAD" w:rsidRDefault="007E00FE" w:rsidP="001E6578">
      <w:pPr>
        <w:numPr>
          <w:ilvl w:val="1"/>
          <w:numId w:val="9"/>
        </w:numPr>
        <w:ind w:left="709"/>
        <w:contextualSpacing/>
        <w:rPr>
          <w:rFonts w:eastAsia="Calibri" w:cs="Times New Roman"/>
        </w:rPr>
      </w:pPr>
      <w:r w:rsidRPr="004D5BAD">
        <w:rPr>
          <w:rFonts w:eastAsia="Calibri" w:cs="Times New Roman"/>
        </w:rPr>
        <w:t>Develop a</w:t>
      </w:r>
      <w:r w:rsidR="00E41A18" w:rsidRPr="004D5BAD">
        <w:rPr>
          <w:rFonts w:eastAsia="Calibri" w:cs="Times New Roman"/>
        </w:rPr>
        <w:t xml:space="preserve"> simple and effective incursion response toolbox</w:t>
      </w:r>
      <w:r w:rsidRPr="004D5BAD">
        <w:rPr>
          <w:rFonts w:eastAsia="Calibri" w:cs="Times New Roman"/>
        </w:rPr>
        <w:t xml:space="preserve"> that countries can use including </w:t>
      </w:r>
      <w:r w:rsidR="00E41A18" w:rsidRPr="004D5BAD">
        <w:rPr>
          <w:rFonts w:eastAsia="Calibri" w:cs="Times New Roman"/>
        </w:rPr>
        <w:t xml:space="preserve">contingency response plans, </w:t>
      </w:r>
      <w:r w:rsidRPr="004D5BAD">
        <w:rPr>
          <w:rFonts w:eastAsia="Calibri" w:cs="Times New Roman"/>
        </w:rPr>
        <w:t xml:space="preserve">delimitation methods, diagnostic protocols, containment protocols, </w:t>
      </w:r>
      <w:r w:rsidR="00D84EC5" w:rsidRPr="004D5BAD">
        <w:rPr>
          <w:rFonts w:eastAsia="Calibri" w:cs="Times New Roman"/>
        </w:rPr>
        <w:t xml:space="preserve">lists of lures, lures, attractants and control agents, </w:t>
      </w:r>
      <w:r w:rsidRPr="004D5BAD">
        <w:rPr>
          <w:rFonts w:eastAsia="Calibri" w:cs="Times New Roman"/>
        </w:rPr>
        <w:t xml:space="preserve">control options, </w:t>
      </w:r>
      <w:r w:rsidR="00E41A18" w:rsidRPr="004D5BAD">
        <w:rPr>
          <w:rFonts w:eastAsia="Calibri" w:cs="Times New Roman"/>
        </w:rPr>
        <w:t xml:space="preserve">phytosanitary treatments, </w:t>
      </w:r>
      <w:r w:rsidRPr="004D5BAD">
        <w:rPr>
          <w:rFonts w:eastAsia="Calibri" w:cs="Times New Roman"/>
        </w:rPr>
        <w:t>etc.</w:t>
      </w:r>
    </w:p>
    <w:p w:rsidR="00324ACE" w:rsidRDefault="00324ACE" w:rsidP="00324ACE">
      <w:pPr>
        <w:contextualSpacing/>
        <w:rPr>
          <w:rFonts w:ascii="Calibri" w:eastAsia="Calibri" w:hAnsi="Calibri" w:cs="Times New Roman"/>
        </w:rPr>
      </w:pPr>
      <w:bookmarkStart w:id="16" w:name="_Toc492896848"/>
    </w:p>
    <w:tbl>
      <w:tblPr>
        <w:tblStyle w:val="TableGrid"/>
        <w:tblW w:w="0" w:type="auto"/>
        <w:tblLook w:val="04A0" w:firstRow="1" w:lastRow="0" w:firstColumn="1" w:lastColumn="0" w:noHBand="0" w:noVBand="1"/>
      </w:tblPr>
      <w:tblGrid>
        <w:gridCol w:w="2972"/>
        <w:gridCol w:w="1134"/>
        <w:gridCol w:w="992"/>
        <w:gridCol w:w="993"/>
        <w:gridCol w:w="992"/>
        <w:gridCol w:w="992"/>
        <w:gridCol w:w="941"/>
      </w:tblGrid>
      <w:tr w:rsidR="00324ACE" w:rsidRPr="00D667D5" w:rsidTr="003B580E">
        <w:trPr>
          <w:tblHeader/>
        </w:trPr>
        <w:tc>
          <w:tcPr>
            <w:tcW w:w="2972"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Action</w:t>
            </w:r>
          </w:p>
        </w:tc>
        <w:tc>
          <w:tcPr>
            <w:tcW w:w="1134"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Funding</w:t>
            </w:r>
          </w:p>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Source</w:t>
            </w:r>
          </w:p>
        </w:tc>
        <w:tc>
          <w:tcPr>
            <w:tcW w:w="4910" w:type="dxa"/>
            <w:gridSpan w:val="5"/>
            <w:shd w:val="clear" w:color="auto" w:fill="D9D9D9" w:themeFill="background1" w:themeFillShade="D9"/>
          </w:tcPr>
          <w:p w:rsidR="00324ACE" w:rsidRPr="00D667D5" w:rsidRDefault="00324ACE"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324ACE" w:rsidRPr="00D667D5" w:rsidTr="00A77EDE">
        <w:trPr>
          <w:tblHeader/>
        </w:trPr>
        <w:tc>
          <w:tcPr>
            <w:tcW w:w="2972" w:type="dxa"/>
            <w:vMerge/>
          </w:tcPr>
          <w:p w:rsidR="00324ACE" w:rsidRPr="00D667D5" w:rsidRDefault="00324ACE" w:rsidP="00A77EDE">
            <w:pPr>
              <w:rPr>
                <w:rFonts w:ascii="Arial" w:eastAsia="Calibri" w:hAnsi="Arial" w:cs="Arial"/>
                <w:sz w:val="18"/>
                <w:szCs w:val="18"/>
              </w:rPr>
            </w:pPr>
          </w:p>
        </w:tc>
        <w:tc>
          <w:tcPr>
            <w:tcW w:w="1134" w:type="dxa"/>
            <w:vMerge/>
          </w:tcPr>
          <w:p w:rsidR="00324ACE" w:rsidRPr="00D667D5" w:rsidRDefault="00324ACE" w:rsidP="00A77EDE">
            <w:pPr>
              <w:rPr>
                <w:rFonts w:ascii="Arial" w:eastAsia="Calibri" w:hAnsi="Arial" w:cs="Arial"/>
                <w:sz w:val="18"/>
                <w:szCs w:val="18"/>
              </w:rPr>
            </w:pP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2023</w:t>
            </w:r>
          </w:p>
        </w:tc>
        <w:tc>
          <w:tcPr>
            <w:tcW w:w="941"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2024</w:t>
            </w:r>
          </w:p>
        </w:tc>
      </w:tr>
      <w:tr w:rsidR="00324ACE" w:rsidRPr="00D667D5" w:rsidTr="00A77EDE">
        <w:tc>
          <w:tcPr>
            <w:tcW w:w="2972" w:type="dxa"/>
          </w:tcPr>
          <w:p w:rsidR="00324ACE" w:rsidRPr="00D667D5" w:rsidRDefault="00D22E3F" w:rsidP="00A77EDE">
            <w:pPr>
              <w:rPr>
                <w:rFonts w:ascii="Arial" w:eastAsia="Calibri" w:hAnsi="Arial" w:cs="Arial"/>
                <w:sz w:val="18"/>
                <w:szCs w:val="18"/>
              </w:rPr>
            </w:pPr>
            <w:r w:rsidRPr="00D667D5">
              <w:rPr>
                <w:rFonts w:ascii="Arial" w:eastAsia="Calibri" w:hAnsi="Arial" w:cs="Arial"/>
                <w:sz w:val="18"/>
                <w:szCs w:val="18"/>
              </w:rPr>
              <w:t>Analysis and report – global state of emerging pest risk scanning and reporting, impediments to reporting</w:t>
            </w:r>
          </w:p>
        </w:tc>
        <w:tc>
          <w:tcPr>
            <w:tcW w:w="1134" w:type="dxa"/>
          </w:tcPr>
          <w:p w:rsidR="00324ACE" w:rsidRPr="00D667D5" w:rsidRDefault="00D22E3F" w:rsidP="003022F3">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80 K</w:t>
            </w:r>
          </w:p>
        </w:tc>
        <w:tc>
          <w:tcPr>
            <w:tcW w:w="993"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941" w:type="dxa"/>
          </w:tcPr>
          <w:p w:rsidR="00324ACE" w:rsidRPr="00D667D5" w:rsidRDefault="00324ACE" w:rsidP="00A77EDE">
            <w:pPr>
              <w:rPr>
                <w:rFonts w:ascii="Arial" w:eastAsia="Calibri" w:hAnsi="Arial" w:cs="Arial"/>
                <w:sz w:val="18"/>
                <w:szCs w:val="18"/>
              </w:rPr>
            </w:pPr>
          </w:p>
        </w:tc>
      </w:tr>
      <w:tr w:rsidR="00744A05" w:rsidRPr="00D667D5" w:rsidTr="00A77EDE">
        <w:tc>
          <w:tcPr>
            <w:tcW w:w="2972" w:type="dxa"/>
          </w:tcPr>
          <w:p w:rsidR="00744A05" w:rsidRPr="00D667D5" w:rsidRDefault="00D22E3F" w:rsidP="00A77EDE">
            <w:pPr>
              <w:rPr>
                <w:rFonts w:ascii="Arial" w:eastAsia="Calibri" w:hAnsi="Arial" w:cs="Arial"/>
                <w:sz w:val="18"/>
                <w:szCs w:val="18"/>
              </w:rPr>
            </w:pPr>
            <w:r w:rsidRPr="00D667D5">
              <w:rPr>
                <w:rFonts w:ascii="Arial" w:eastAsia="Calibri" w:hAnsi="Arial" w:cs="Arial"/>
                <w:sz w:val="18"/>
                <w:szCs w:val="18"/>
              </w:rPr>
              <w:t>User requirements for an enhanced scanning and reporting system</w:t>
            </w:r>
          </w:p>
        </w:tc>
        <w:tc>
          <w:tcPr>
            <w:tcW w:w="1134" w:type="dxa"/>
          </w:tcPr>
          <w:p w:rsidR="00744A05" w:rsidRPr="00D667D5" w:rsidRDefault="00D22E3F" w:rsidP="003022F3">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3"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744A05" w:rsidRPr="00D667D5" w:rsidRDefault="00744A05" w:rsidP="00A77EDE">
            <w:pPr>
              <w:rPr>
                <w:rFonts w:ascii="Arial" w:eastAsia="Calibri" w:hAnsi="Arial" w:cs="Arial"/>
                <w:sz w:val="18"/>
                <w:szCs w:val="18"/>
              </w:rPr>
            </w:pPr>
          </w:p>
        </w:tc>
        <w:tc>
          <w:tcPr>
            <w:tcW w:w="992" w:type="dxa"/>
          </w:tcPr>
          <w:p w:rsidR="00744A05" w:rsidRPr="00D667D5" w:rsidRDefault="00744A05" w:rsidP="00A77EDE">
            <w:pPr>
              <w:rPr>
                <w:rFonts w:ascii="Arial" w:eastAsia="Calibri" w:hAnsi="Arial" w:cs="Arial"/>
                <w:sz w:val="18"/>
                <w:szCs w:val="18"/>
              </w:rPr>
            </w:pPr>
          </w:p>
        </w:tc>
        <w:tc>
          <w:tcPr>
            <w:tcW w:w="941" w:type="dxa"/>
          </w:tcPr>
          <w:p w:rsidR="00744A05" w:rsidRPr="00D667D5" w:rsidRDefault="00744A05" w:rsidP="00A77EDE">
            <w:pPr>
              <w:rPr>
                <w:rFonts w:ascii="Arial" w:eastAsia="Calibri" w:hAnsi="Arial" w:cs="Arial"/>
                <w:sz w:val="18"/>
                <w:szCs w:val="18"/>
              </w:rPr>
            </w:pPr>
          </w:p>
        </w:tc>
      </w:tr>
      <w:tr w:rsidR="00744A05" w:rsidRPr="00D667D5" w:rsidTr="00A77EDE">
        <w:tc>
          <w:tcPr>
            <w:tcW w:w="2972" w:type="dxa"/>
          </w:tcPr>
          <w:p w:rsidR="00744A05" w:rsidRPr="00D667D5" w:rsidRDefault="00D22E3F" w:rsidP="00A77EDE">
            <w:pPr>
              <w:rPr>
                <w:rFonts w:ascii="Arial" w:eastAsia="Calibri" w:hAnsi="Arial" w:cs="Arial"/>
                <w:sz w:val="18"/>
                <w:szCs w:val="18"/>
              </w:rPr>
            </w:pPr>
            <w:r w:rsidRPr="00D667D5">
              <w:rPr>
                <w:rFonts w:ascii="Arial" w:eastAsia="Calibri" w:hAnsi="Arial" w:cs="Arial"/>
                <w:sz w:val="18"/>
                <w:szCs w:val="18"/>
              </w:rPr>
              <w:t>Facilitate development and implementation of standards-based pest surveillance systems</w:t>
            </w:r>
          </w:p>
        </w:tc>
        <w:tc>
          <w:tcPr>
            <w:tcW w:w="1134" w:type="dxa"/>
          </w:tcPr>
          <w:p w:rsidR="00744A05" w:rsidRPr="00D667D5" w:rsidRDefault="003022F3" w:rsidP="00A77EDE">
            <w:pPr>
              <w:rPr>
                <w:rFonts w:ascii="Arial" w:eastAsia="Calibri" w:hAnsi="Arial" w:cs="Arial"/>
                <w:sz w:val="18"/>
                <w:szCs w:val="18"/>
              </w:rPr>
            </w:pPr>
            <w:proofErr w:type="spellStart"/>
            <w:r w:rsidRPr="00D667D5">
              <w:rPr>
                <w:rFonts w:ascii="Arial" w:eastAsia="Calibri" w:hAnsi="Arial" w:cs="Arial"/>
                <w:sz w:val="18"/>
                <w:szCs w:val="18"/>
              </w:rPr>
              <w:t>Ext</w:t>
            </w:r>
            <w:r w:rsidR="00D22E3F" w:rsidRPr="00D667D5">
              <w:rPr>
                <w:rFonts w:ascii="Arial" w:eastAsia="Calibri" w:hAnsi="Arial" w:cs="Arial"/>
                <w:sz w:val="18"/>
                <w:szCs w:val="18"/>
              </w:rPr>
              <w:t>P</w:t>
            </w:r>
            <w:proofErr w:type="spellEnd"/>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100 K</w:t>
            </w:r>
          </w:p>
        </w:tc>
        <w:tc>
          <w:tcPr>
            <w:tcW w:w="993"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744A05" w:rsidRPr="00D667D5" w:rsidRDefault="00744A05" w:rsidP="00A77EDE">
            <w:pPr>
              <w:rPr>
                <w:rFonts w:ascii="Arial" w:eastAsia="Calibri" w:hAnsi="Arial" w:cs="Arial"/>
                <w:sz w:val="18"/>
                <w:szCs w:val="18"/>
              </w:rPr>
            </w:pPr>
          </w:p>
        </w:tc>
        <w:tc>
          <w:tcPr>
            <w:tcW w:w="941" w:type="dxa"/>
          </w:tcPr>
          <w:p w:rsidR="00744A05" w:rsidRPr="00D667D5" w:rsidRDefault="00744A05" w:rsidP="00A77EDE">
            <w:pPr>
              <w:rPr>
                <w:rFonts w:ascii="Arial" w:eastAsia="Calibri" w:hAnsi="Arial" w:cs="Arial"/>
                <w:sz w:val="18"/>
                <w:szCs w:val="18"/>
              </w:rPr>
            </w:pPr>
          </w:p>
        </w:tc>
      </w:tr>
      <w:tr w:rsidR="00744A05" w:rsidRPr="00D667D5" w:rsidTr="00A77EDE">
        <w:tc>
          <w:tcPr>
            <w:tcW w:w="2972" w:type="dxa"/>
          </w:tcPr>
          <w:p w:rsidR="00744A05" w:rsidRPr="00D667D5" w:rsidRDefault="00D22E3F" w:rsidP="00A77EDE">
            <w:pPr>
              <w:rPr>
                <w:rFonts w:ascii="Arial" w:eastAsia="Calibri" w:hAnsi="Arial" w:cs="Arial"/>
                <w:sz w:val="18"/>
                <w:szCs w:val="18"/>
              </w:rPr>
            </w:pPr>
            <w:r w:rsidRPr="00D667D5">
              <w:rPr>
                <w:rFonts w:ascii="Arial" w:eastAsia="Calibri" w:hAnsi="Arial" w:cs="Arial"/>
                <w:sz w:val="18"/>
                <w:szCs w:val="18"/>
              </w:rPr>
              <w:t>Global system for providing and sharing information on emerging pest risks and changes in pest status (potential joint project FAO (EMPRESS)/RPPOs)</w:t>
            </w:r>
          </w:p>
        </w:tc>
        <w:tc>
          <w:tcPr>
            <w:tcW w:w="1134" w:type="dxa"/>
          </w:tcPr>
          <w:p w:rsidR="00744A05" w:rsidRPr="00D667D5" w:rsidRDefault="003022F3" w:rsidP="00A77EDE">
            <w:pPr>
              <w:rPr>
                <w:rFonts w:ascii="Arial" w:eastAsia="Calibri" w:hAnsi="Arial" w:cs="Arial"/>
                <w:sz w:val="18"/>
                <w:szCs w:val="18"/>
              </w:rPr>
            </w:pPr>
            <w:proofErr w:type="spellStart"/>
            <w:r w:rsidRPr="00D667D5">
              <w:rPr>
                <w:rFonts w:ascii="Arial" w:eastAsia="Calibri" w:hAnsi="Arial" w:cs="Arial"/>
                <w:sz w:val="18"/>
                <w:szCs w:val="18"/>
              </w:rPr>
              <w:t>Ext</w:t>
            </w:r>
            <w:r w:rsidR="00D22E3F" w:rsidRPr="00D667D5">
              <w:rPr>
                <w:rFonts w:ascii="Arial" w:eastAsia="Calibri" w:hAnsi="Arial" w:cs="Arial"/>
                <w:sz w:val="18"/>
                <w:szCs w:val="18"/>
              </w:rPr>
              <w:t>P</w:t>
            </w:r>
            <w:proofErr w:type="spellEnd"/>
          </w:p>
          <w:p w:rsidR="00D22E3F" w:rsidRPr="00D667D5" w:rsidRDefault="00D22E3F" w:rsidP="00A77EDE">
            <w:pPr>
              <w:rPr>
                <w:rFonts w:ascii="Arial" w:eastAsia="Calibri" w:hAnsi="Arial" w:cs="Arial"/>
                <w:sz w:val="18"/>
                <w:szCs w:val="18"/>
              </w:rPr>
            </w:pP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3"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100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41" w:type="dxa"/>
          </w:tcPr>
          <w:p w:rsidR="00744A05" w:rsidRPr="00D667D5" w:rsidRDefault="00744A05" w:rsidP="00A77EDE">
            <w:pPr>
              <w:rPr>
                <w:rFonts w:ascii="Arial" w:eastAsia="Calibri" w:hAnsi="Arial" w:cs="Arial"/>
                <w:sz w:val="18"/>
                <w:szCs w:val="18"/>
              </w:rPr>
            </w:pPr>
          </w:p>
        </w:tc>
      </w:tr>
      <w:tr w:rsidR="00744A05" w:rsidRPr="00D667D5" w:rsidTr="00A77EDE">
        <w:tc>
          <w:tcPr>
            <w:tcW w:w="2972" w:type="dxa"/>
          </w:tcPr>
          <w:p w:rsidR="00744A05" w:rsidRPr="00D667D5" w:rsidRDefault="00D22E3F" w:rsidP="00A77EDE">
            <w:pPr>
              <w:rPr>
                <w:rFonts w:ascii="Arial" w:eastAsia="Calibri" w:hAnsi="Arial" w:cs="Arial"/>
                <w:sz w:val="18"/>
                <w:szCs w:val="18"/>
              </w:rPr>
            </w:pPr>
            <w:r w:rsidRPr="00D667D5">
              <w:rPr>
                <w:rFonts w:ascii="Arial" w:eastAsia="Calibri" w:hAnsi="Arial" w:cs="Arial"/>
                <w:sz w:val="18"/>
                <w:szCs w:val="18"/>
              </w:rPr>
              <w:t>Develop and globally adopt enabling policies to optimise reporting including IPPC mandate and operating structures</w:t>
            </w:r>
          </w:p>
        </w:tc>
        <w:tc>
          <w:tcPr>
            <w:tcW w:w="1134" w:type="dxa"/>
          </w:tcPr>
          <w:p w:rsidR="00744A05" w:rsidRPr="00D667D5" w:rsidRDefault="003022F3"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3"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c>
          <w:tcPr>
            <w:tcW w:w="992" w:type="dxa"/>
          </w:tcPr>
          <w:p w:rsidR="00744A05" w:rsidRPr="00D667D5" w:rsidRDefault="00744A05" w:rsidP="00A77EDE">
            <w:pPr>
              <w:rPr>
                <w:rFonts w:ascii="Arial" w:eastAsia="Calibri" w:hAnsi="Arial" w:cs="Arial"/>
                <w:sz w:val="18"/>
                <w:szCs w:val="18"/>
              </w:rPr>
            </w:pPr>
          </w:p>
        </w:tc>
        <w:tc>
          <w:tcPr>
            <w:tcW w:w="992" w:type="dxa"/>
          </w:tcPr>
          <w:p w:rsidR="00744A05" w:rsidRPr="00D667D5" w:rsidRDefault="00744A05" w:rsidP="00A77EDE">
            <w:pPr>
              <w:rPr>
                <w:rFonts w:ascii="Arial" w:eastAsia="Calibri" w:hAnsi="Arial" w:cs="Arial"/>
                <w:sz w:val="18"/>
                <w:szCs w:val="18"/>
              </w:rPr>
            </w:pPr>
          </w:p>
        </w:tc>
        <w:tc>
          <w:tcPr>
            <w:tcW w:w="941" w:type="dxa"/>
          </w:tcPr>
          <w:p w:rsidR="00744A05" w:rsidRPr="00D667D5" w:rsidRDefault="00744A05" w:rsidP="00A77EDE">
            <w:pPr>
              <w:rPr>
                <w:rFonts w:ascii="Arial" w:eastAsia="Calibri" w:hAnsi="Arial" w:cs="Arial"/>
                <w:sz w:val="18"/>
                <w:szCs w:val="18"/>
              </w:rPr>
            </w:pPr>
          </w:p>
        </w:tc>
      </w:tr>
      <w:tr w:rsidR="00744A05" w:rsidRPr="00D667D5" w:rsidTr="00A77EDE">
        <w:tc>
          <w:tcPr>
            <w:tcW w:w="2972" w:type="dxa"/>
          </w:tcPr>
          <w:p w:rsidR="00744A05" w:rsidRPr="00D667D5" w:rsidRDefault="00D22E3F" w:rsidP="00A77EDE">
            <w:pPr>
              <w:rPr>
                <w:rFonts w:ascii="Arial" w:eastAsia="Calibri" w:hAnsi="Arial" w:cs="Arial"/>
                <w:sz w:val="18"/>
                <w:szCs w:val="18"/>
              </w:rPr>
            </w:pPr>
            <w:r w:rsidRPr="00D667D5">
              <w:rPr>
                <w:rFonts w:ascii="Arial" w:eastAsia="Calibri" w:hAnsi="Arial" w:cs="Arial"/>
                <w:sz w:val="18"/>
                <w:szCs w:val="18"/>
              </w:rPr>
              <w:t>A network of phytosanitary emergency response expertise is established</w:t>
            </w:r>
          </w:p>
        </w:tc>
        <w:tc>
          <w:tcPr>
            <w:tcW w:w="1134" w:type="dxa"/>
          </w:tcPr>
          <w:p w:rsidR="00744A05" w:rsidRPr="00D667D5" w:rsidRDefault="003022F3" w:rsidP="003022F3">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3"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 K</w:t>
            </w:r>
          </w:p>
        </w:tc>
        <w:tc>
          <w:tcPr>
            <w:tcW w:w="941"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 K</w:t>
            </w:r>
          </w:p>
        </w:tc>
      </w:tr>
      <w:tr w:rsidR="00744A05" w:rsidRPr="00D667D5" w:rsidTr="00A77EDE">
        <w:tc>
          <w:tcPr>
            <w:tcW w:w="2972" w:type="dxa"/>
          </w:tcPr>
          <w:p w:rsidR="00744A05" w:rsidRPr="00D667D5" w:rsidRDefault="00D22E3F" w:rsidP="00A77EDE">
            <w:pPr>
              <w:rPr>
                <w:rFonts w:ascii="Arial" w:eastAsia="Calibri" w:hAnsi="Arial" w:cs="Arial"/>
                <w:sz w:val="18"/>
                <w:szCs w:val="18"/>
              </w:rPr>
            </w:pPr>
            <w:r w:rsidRPr="00D667D5">
              <w:rPr>
                <w:rFonts w:ascii="Arial" w:eastAsia="Calibri" w:hAnsi="Arial" w:cs="Arial"/>
                <w:sz w:val="18"/>
                <w:szCs w:val="18"/>
              </w:rPr>
              <w:t xml:space="preserve">Develop, adopt and apply processes for rapidly engaging </w:t>
            </w:r>
            <w:r w:rsidRPr="00D667D5">
              <w:rPr>
                <w:rFonts w:ascii="Arial" w:eastAsia="Calibri" w:hAnsi="Arial" w:cs="Arial"/>
                <w:sz w:val="18"/>
                <w:szCs w:val="18"/>
              </w:rPr>
              <w:lastRenderedPageBreak/>
              <w:t>expertise and response resources</w:t>
            </w:r>
          </w:p>
        </w:tc>
        <w:tc>
          <w:tcPr>
            <w:tcW w:w="1134" w:type="dxa"/>
          </w:tcPr>
          <w:p w:rsidR="00744A05" w:rsidRPr="00D667D5" w:rsidRDefault="003022F3" w:rsidP="00A77EDE">
            <w:pPr>
              <w:rPr>
                <w:rFonts w:ascii="Arial" w:eastAsia="Calibri" w:hAnsi="Arial" w:cs="Arial"/>
                <w:sz w:val="18"/>
                <w:szCs w:val="18"/>
              </w:rPr>
            </w:pPr>
            <w:proofErr w:type="spellStart"/>
            <w:r w:rsidRPr="00D667D5">
              <w:rPr>
                <w:rFonts w:ascii="Arial" w:eastAsia="Calibri" w:hAnsi="Arial" w:cs="Arial"/>
                <w:sz w:val="18"/>
                <w:szCs w:val="18"/>
              </w:rPr>
              <w:lastRenderedPageBreak/>
              <w:t>IntP</w:t>
            </w:r>
            <w:proofErr w:type="spellEnd"/>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3"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25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 K</w:t>
            </w:r>
          </w:p>
        </w:tc>
        <w:tc>
          <w:tcPr>
            <w:tcW w:w="992" w:type="dxa"/>
          </w:tcPr>
          <w:p w:rsidR="00744A05" w:rsidRPr="00D667D5" w:rsidRDefault="00744A05" w:rsidP="00A77EDE">
            <w:pPr>
              <w:rPr>
                <w:rFonts w:ascii="Arial" w:eastAsia="Calibri" w:hAnsi="Arial" w:cs="Arial"/>
                <w:sz w:val="18"/>
                <w:szCs w:val="18"/>
              </w:rPr>
            </w:pPr>
          </w:p>
        </w:tc>
        <w:tc>
          <w:tcPr>
            <w:tcW w:w="941" w:type="dxa"/>
          </w:tcPr>
          <w:p w:rsidR="00744A05" w:rsidRPr="00D667D5" w:rsidRDefault="00744A05" w:rsidP="00A77EDE">
            <w:pPr>
              <w:rPr>
                <w:rFonts w:ascii="Arial" w:eastAsia="Calibri" w:hAnsi="Arial" w:cs="Arial"/>
                <w:sz w:val="18"/>
                <w:szCs w:val="18"/>
              </w:rPr>
            </w:pPr>
          </w:p>
        </w:tc>
      </w:tr>
      <w:tr w:rsidR="00744A05" w:rsidRPr="00D667D5" w:rsidTr="00A77EDE">
        <w:tc>
          <w:tcPr>
            <w:tcW w:w="2972" w:type="dxa"/>
          </w:tcPr>
          <w:p w:rsidR="00744A05" w:rsidRPr="00D667D5" w:rsidRDefault="003022F3" w:rsidP="003022F3">
            <w:pPr>
              <w:rPr>
                <w:rFonts w:ascii="Arial" w:eastAsia="Calibri" w:hAnsi="Arial" w:cs="Arial"/>
                <w:sz w:val="18"/>
                <w:szCs w:val="18"/>
              </w:rPr>
            </w:pPr>
            <w:r w:rsidRPr="00D667D5">
              <w:rPr>
                <w:rFonts w:ascii="Arial" w:eastAsia="Calibri" w:hAnsi="Arial" w:cs="Arial"/>
                <w:sz w:val="18"/>
                <w:szCs w:val="18"/>
              </w:rPr>
              <w:t xml:space="preserve">Establish an incursion response tool box </w:t>
            </w:r>
          </w:p>
        </w:tc>
        <w:tc>
          <w:tcPr>
            <w:tcW w:w="1134" w:type="dxa"/>
          </w:tcPr>
          <w:p w:rsidR="00744A05" w:rsidRPr="00D667D5" w:rsidRDefault="003022F3"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93"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100 K</w:t>
            </w:r>
          </w:p>
        </w:tc>
        <w:tc>
          <w:tcPr>
            <w:tcW w:w="992"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41" w:type="dxa"/>
          </w:tcPr>
          <w:p w:rsidR="00744A05"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r>
      <w:tr w:rsidR="00503B18" w:rsidRPr="00D667D5" w:rsidTr="00503B18">
        <w:tc>
          <w:tcPr>
            <w:tcW w:w="297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Various</w:t>
            </w:r>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410 K</w:t>
            </w:r>
          </w:p>
        </w:tc>
        <w:tc>
          <w:tcPr>
            <w:tcW w:w="993"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330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210 K</w:t>
            </w:r>
          </w:p>
        </w:tc>
        <w:tc>
          <w:tcPr>
            <w:tcW w:w="992"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60 K</w:t>
            </w:r>
          </w:p>
        </w:tc>
        <w:tc>
          <w:tcPr>
            <w:tcW w:w="941" w:type="dxa"/>
          </w:tcPr>
          <w:p w:rsidR="00503B18" w:rsidRPr="00D667D5" w:rsidRDefault="00C66826" w:rsidP="000503F7">
            <w:pPr>
              <w:rPr>
                <w:rFonts w:ascii="Arial" w:eastAsia="Calibri" w:hAnsi="Arial" w:cs="Arial"/>
                <w:b/>
                <w:sz w:val="18"/>
                <w:szCs w:val="18"/>
              </w:rPr>
            </w:pPr>
            <w:r w:rsidRPr="00D667D5">
              <w:rPr>
                <w:rFonts w:ascii="Arial" w:eastAsia="Calibri" w:hAnsi="Arial" w:cs="Arial"/>
                <w:b/>
                <w:sz w:val="18"/>
                <w:szCs w:val="18"/>
              </w:rPr>
              <w:t>30 K</w:t>
            </w:r>
          </w:p>
        </w:tc>
      </w:tr>
      <w:tr w:rsidR="003D75CE" w:rsidRPr="00D667D5" w:rsidTr="000503F7">
        <w:tc>
          <w:tcPr>
            <w:tcW w:w="2972" w:type="dxa"/>
          </w:tcPr>
          <w:p w:rsidR="003D75CE" w:rsidRPr="00D667D5" w:rsidRDefault="003D75CE" w:rsidP="000503F7">
            <w:pPr>
              <w:rPr>
                <w:rFonts w:ascii="Arial" w:eastAsia="Calibri" w:hAnsi="Arial" w:cs="Arial"/>
                <w:sz w:val="18"/>
                <w:szCs w:val="18"/>
              </w:rPr>
            </w:pPr>
            <w:bookmarkStart w:id="17" w:name="_Toc519604990"/>
            <w:r w:rsidRPr="00D667D5">
              <w:rPr>
                <w:rFonts w:ascii="Arial" w:eastAsia="Calibri" w:hAnsi="Arial" w:cs="Arial"/>
                <w:sz w:val="18"/>
                <w:szCs w:val="18"/>
              </w:rPr>
              <w:t>FTE (estimate)</w:t>
            </w:r>
          </w:p>
        </w:tc>
        <w:tc>
          <w:tcPr>
            <w:tcW w:w="1134" w:type="dxa"/>
          </w:tcPr>
          <w:p w:rsidR="003D75CE" w:rsidRPr="00D667D5" w:rsidRDefault="003D75CE" w:rsidP="000503F7">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3.0</w:t>
            </w:r>
          </w:p>
        </w:tc>
        <w:tc>
          <w:tcPr>
            <w:tcW w:w="993"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3.0</w:t>
            </w:r>
          </w:p>
        </w:tc>
        <w:tc>
          <w:tcPr>
            <w:tcW w:w="992"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1.3</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0.5</w:t>
            </w:r>
          </w:p>
        </w:tc>
        <w:tc>
          <w:tcPr>
            <w:tcW w:w="941"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0.2</w:t>
            </w:r>
          </w:p>
        </w:tc>
      </w:tr>
    </w:tbl>
    <w:p w:rsidR="003D75CE" w:rsidRPr="008D0344" w:rsidRDefault="003D75CE" w:rsidP="008D0344">
      <w:pPr>
        <w:rPr>
          <w:rFonts w:eastAsia="Calibri" w:cs="Times New Roman"/>
        </w:rPr>
      </w:pPr>
    </w:p>
    <w:p w:rsidR="008D0344" w:rsidRDefault="007E00FE" w:rsidP="008D0344">
      <w:pPr>
        <w:keepNext/>
        <w:keepLines/>
        <w:spacing w:before="120" w:after="120"/>
        <w:outlineLvl w:val="2"/>
        <w:rPr>
          <w:rFonts w:eastAsia="Times New Roman" w:cs="Times New Roman"/>
          <w:b/>
          <w:lang w:eastAsia="en-NZ"/>
        </w:rPr>
      </w:pPr>
      <w:r w:rsidRPr="008D0344">
        <w:rPr>
          <w:rStyle w:val="Heading2Char"/>
          <w:rFonts w:asciiTheme="minorHAnsi" w:hAnsiTheme="minorHAnsi"/>
          <w:sz w:val="22"/>
          <w:szCs w:val="22"/>
        </w:rPr>
        <w:t xml:space="preserve">6. </w:t>
      </w:r>
      <w:r w:rsidR="001061B4" w:rsidRPr="008D0344">
        <w:rPr>
          <w:rStyle w:val="Heading2Char"/>
          <w:rFonts w:asciiTheme="minorHAnsi" w:hAnsiTheme="minorHAnsi"/>
          <w:sz w:val="22"/>
          <w:szCs w:val="22"/>
          <w:lang w:val="en-NZ" w:eastAsia="en-NZ"/>
        </w:rPr>
        <w:t xml:space="preserve">Assessment and Management of </w:t>
      </w:r>
      <w:r w:rsidR="00617674" w:rsidRPr="008D0344">
        <w:rPr>
          <w:rStyle w:val="Heading2Char"/>
          <w:rFonts w:asciiTheme="minorHAnsi" w:hAnsiTheme="minorHAnsi"/>
          <w:sz w:val="22"/>
          <w:szCs w:val="22"/>
          <w:lang w:val="en-NZ" w:eastAsia="en-NZ"/>
        </w:rPr>
        <w:t xml:space="preserve">Climate Change </w:t>
      </w:r>
      <w:r w:rsidR="001061B4" w:rsidRPr="008D0344">
        <w:rPr>
          <w:rStyle w:val="Heading2Char"/>
          <w:rFonts w:asciiTheme="minorHAnsi" w:hAnsiTheme="minorHAnsi"/>
          <w:sz w:val="22"/>
          <w:szCs w:val="22"/>
          <w:lang w:val="en-NZ" w:eastAsia="en-NZ"/>
        </w:rPr>
        <w:t>Impacts on Plant Health</w:t>
      </w:r>
      <w:bookmarkEnd w:id="17"/>
    </w:p>
    <w:p w:rsidR="007E00FE" w:rsidRPr="008D0344" w:rsidRDefault="00194B6E" w:rsidP="008D0344">
      <w:pPr>
        <w:rPr>
          <w:rFonts w:eastAsia="Calibri" w:cs="Times New Roman"/>
        </w:rPr>
      </w:pPr>
      <w:r w:rsidRPr="008D0344">
        <w:rPr>
          <w:rFonts w:eastAsia="Times New Roman" w:cs="Times New Roman"/>
          <w:lang w:eastAsia="en-NZ"/>
        </w:rPr>
        <w:t xml:space="preserve">A </w:t>
      </w:r>
      <w:r w:rsidR="001061B4" w:rsidRPr="008D0344">
        <w:rPr>
          <w:rFonts w:eastAsia="Times New Roman" w:cs="Times New Roman"/>
          <w:lang w:eastAsia="en-NZ"/>
        </w:rPr>
        <w:t>work programme is initiated to assess and manage impacts caused by climate change with regard plant health and international trade of plants and plant products</w:t>
      </w:r>
      <w:r w:rsidR="007E00FE" w:rsidRPr="008D0344">
        <w:rPr>
          <w:rFonts w:eastAsia="Times New Roman" w:cs="Times New Roman"/>
          <w:lang w:eastAsia="en-NZ"/>
        </w:rPr>
        <w:t>.</w:t>
      </w:r>
    </w:p>
    <w:p w:rsidR="000B0E03" w:rsidRPr="008D0344" w:rsidRDefault="00115BE4" w:rsidP="008D0344">
      <w:pPr>
        <w:rPr>
          <w:rFonts w:eastAsia="Calibri" w:cs="Times New Roman"/>
          <w:b/>
        </w:rPr>
      </w:pPr>
      <w:r w:rsidRPr="008D0344">
        <w:rPr>
          <w:rFonts w:eastAsia="Calibri" w:cs="Times New Roman"/>
          <w:b/>
        </w:rPr>
        <w:t>Desired 2030 Outcome</w:t>
      </w:r>
    </w:p>
    <w:p w:rsidR="00770665" w:rsidRPr="008D0344" w:rsidRDefault="001061B4" w:rsidP="008D0344">
      <w:pPr>
        <w:rPr>
          <w:rFonts w:eastAsia="Calibri" w:cs="Times New Roman"/>
        </w:rPr>
      </w:pPr>
      <w:r w:rsidRPr="008D0344">
        <w:rPr>
          <w:rFonts w:eastAsia="Calibri" w:cs="Times New Roman"/>
        </w:rPr>
        <w:t>The impacts of climate change on plant health and the international trade of plants and plant products are evaluated especially in relation to risk assessment and ri</w:t>
      </w:r>
      <w:r w:rsidR="00E01B9D" w:rsidRPr="008D0344">
        <w:rPr>
          <w:rFonts w:eastAsia="Calibri" w:cs="Times New Roman"/>
        </w:rPr>
        <w:t>s</w:t>
      </w:r>
      <w:r w:rsidRPr="008D0344">
        <w:rPr>
          <w:rFonts w:eastAsia="Calibri" w:cs="Times New Roman"/>
        </w:rPr>
        <w:t xml:space="preserve">k management </w:t>
      </w:r>
      <w:r w:rsidR="00E01B9D" w:rsidRPr="008D0344">
        <w:rPr>
          <w:rFonts w:eastAsia="Calibri" w:cs="Times New Roman"/>
        </w:rPr>
        <w:t>issues and phytosanitary issues are adequately reflected in the international climate change debate under the Intergovernmental Panel on Climate Change</w:t>
      </w:r>
      <w:r w:rsidR="001106D1" w:rsidRPr="008D0344">
        <w:rPr>
          <w:rFonts w:eastAsia="Calibri" w:cs="Times New Roman"/>
        </w:rPr>
        <w:t xml:space="preserve"> (IPCC)</w:t>
      </w:r>
      <w:r w:rsidR="00E01B9D" w:rsidRPr="008D0344">
        <w:rPr>
          <w:rFonts w:eastAsia="Calibri" w:cs="Times New Roman"/>
        </w:rPr>
        <w:t>.</w:t>
      </w:r>
    </w:p>
    <w:p w:rsidR="00115BE4" w:rsidRPr="008D0344" w:rsidRDefault="007E00FE" w:rsidP="008D0344">
      <w:pPr>
        <w:rPr>
          <w:rFonts w:eastAsia="Calibri" w:cs="Times New Roman"/>
        </w:rPr>
      </w:pPr>
      <w:r w:rsidRPr="008D0344">
        <w:rPr>
          <w:rFonts w:eastAsia="Calibri" w:cs="Times New Roman"/>
        </w:rPr>
        <w:t>Activities to be carried out during 2020 - 2030 could include:</w:t>
      </w:r>
    </w:p>
    <w:p w:rsidR="006F1D76" w:rsidRPr="00D667D5" w:rsidRDefault="003022F3" w:rsidP="001E6578">
      <w:pPr>
        <w:pStyle w:val="ListParagraph"/>
        <w:numPr>
          <w:ilvl w:val="0"/>
          <w:numId w:val="11"/>
        </w:numPr>
        <w:ind w:left="1240"/>
        <w:rPr>
          <w:rFonts w:ascii="Times New Roman" w:eastAsia="Calibri" w:hAnsi="Times New Roman" w:cs="Times New Roman"/>
          <w:sz w:val="22"/>
          <w:szCs w:val="22"/>
        </w:rPr>
      </w:pPr>
      <w:r w:rsidRPr="00D667D5">
        <w:rPr>
          <w:rFonts w:ascii="Times New Roman" w:eastAsia="Calibri" w:hAnsi="Times New Roman" w:cs="Times New Roman"/>
          <w:sz w:val="22"/>
          <w:szCs w:val="22"/>
        </w:rPr>
        <w:t xml:space="preserve">Explore </w:t>
      </w:r>
      <w:r w:rsidR="006F1D76" w:rsidRPr="00D667D5">
        <w:rPr>
          <w:rFonts w:ascii="Times New Roman" w:eastAsia="Calibri" w:hAnsi="Times New Roman" w:cs="Times New Roman"/>
          <w:sz w:val="22"/>
          <w:szCs w:val="22"/>
        </w:rPr>
        <w:t>how far the Commission needs to address climate change issues and their impact on plant health policies.</w:t>
      </w:r>
    </w:p>
    <w:p w:rsidR="006F1D76" w:rsidRPr="00D667D5" w:rsidRDefault="006F1D76" w:rsidP="001E6578">
      <w:pPr>
        <w:pStyle w:val="ListParagraph"/>
        <w:numPr>
          <w:ilvl w:val="0"/>
          <w:numId w:val="11"/>
        </w:numPr>
        <w:ind w:left="1240"/>
        <w:rPr>
          <w:rFonts w:ascii="Times New Roman" w:eastAsia="Calibri" w:hAnsi="Times New Roman" w:cs="Times New Roman"/>
          <w:sz w:val="22"/>
          <w:szCs w:val="22"/>
        </w:rPr>
      </w:pPr>
      <w:r w:rsidRPr="00D667D5">
        <w:rPr>
          <w:rFonts w:ascii="Times New Roman" w:eastAsia="Calibri" w:hAnsi="Times New Roman" w:cs="Times New Roman"/>
          <w:sz w:val="22"/>
          <w:szCs w:val="22"/>
        </w:rPr>
        <w:t>Establishment, if appropriate, of a structure to systematically analyse and discuss climate change and plant health.</w:t>
      </w:r>
    </w:p>
    <w:p w:rsidR="006F1D76" w:rsidRPr="00D667D5" w:rsidRDefault="006F1D76" w:rsidP="001E6578">
      <w:pPr>
        <w:pStyle w:val="ListParagraph"/>
        <w:numPr>
          <w:ilvl w:val="0"/>
          <w:numId w:val="11"/>
        </w:numPr>
        <w:ind w:left="1240"/>
        <w:rPr>
          <w:rFonts w:ascii="Times New Roman" w:eastAsia="Calibri" w:hAnsi="Times New Roman" w:cs="Times New Roman"/>
          <w:sz w:val="22"/>
          <w:szCs w:val="22"/>
        </w:rPr>
      </w:pPr>
      <w:r w:rsidRPr="00D667D5">
        <w:rPr>
          <w:rFonts w:ascii="Times New Roman" w:eastAsia="Calibri" w:hAnsi="Times New Roman" w:cs="Times New Roman"/>
          <w:sz w:val="22"/>
          <w:szCs w:val="22"/>
        </w:rPr>
        <w:t>Development of recommendations with regard to climate change and plant health and if necessary guidelines for pest risk analysis and surveillance.</w:t>
      </w:r>
    </w:p>
    <w:p w:rsidR="006F1D76" w:rsidRPr="00D667D5" w:rsidRDefault="006F1D76" w:rsidP="001E6578">
      <w:pPr>
        <w:pStyle w:val="ListParagraph"/>
        <w:numPr>
          <w:ilvl w:val="0"/>
          <w:numId w:val="11"/>
        </w:numPr>
        <w:ind w:left="1240"/>
        <w:rPr>
          <w:rFonts w:ascii="Times New Roman" w:eastAsia="Calibri" w:hAnsi="Times New Roman" w:cs="Times New Roman"/>
          <w:sz w:val="22"/>
          <w:szCs w:val="22"/>
        </w:rPr>
      </w:pPr>
      <w:r w:rsidRPr="00D667D5">
        <w:rPr>
          <w:rFonts w:ascii="Times New Roman" w:eastAsia="Calibri" w:hAnsi="Times New Roman" w:cs="Times New Roman"/>
          <w:sz w:val="22"/>
          <w:szCs w:val="22"/>
        </w:rPr>
        <w:t>Mainstreaming phytosanitary policies into the climate change debate.</w:t>
      </w:r>
    </w:p>
    <w:p w:rsidR="00324ACE" w:rsidRPr="008D0344" w:rsidRDefault="00324ACE" w:rsidP="008D0344">
      <w:pPr>
        <w:rPr>
          <w:rFonts w:eastAsia="Calibri" w:cs="Times New Roman"/>
        </w:rPr>
      </w:pPr>
    </w:p>
    <w:tbl>
      <w:tblPr>
        <w:tblStyle w:val="TableGrid"/>
        <w:tblW w:w="0" w:type="auto"/>
        <w:tblLayout w:type="fixed"/>
        <w:tblLook w:val="04A0" w:firstRow="1" w:lastRow="0" w:firstColumn="1" w:lastColumn="0" w:noHBand="0" w:noVBand="1"/>
      </w:tblPr>
      <w:tblGrid>
        <w:gridCol w:w="2972"/>
        <w:gridCol w:w="1134"/>
        <w:gridCol w:w="992"/>
        <w:gridCol w:w="993"/>
        <w:gridCol w:w="992"/>
        <w:gridCol w:w="992"/>
        <w:gridCol w:w="828"/>
      </w:tblGrid>
      <w:tr w:rsidR="00324ACE" w:rsidRPr="00D667D5" w:rsidTr="003D75CE">
        <w:trPr>
          <w:tblHeader/>
        </w:trPr>
        <w:tc>
          <w:tcPr>
            <w:tcW w:w="2972"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Action</w:t>
            </w:r>
          </w:p>
        </w:tc>
        <w:tc>
          <w:tcPr>
            <w:tcW w:w="1134"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Funding</w:t>
            </w:r>
          </w:p>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Source</w:t>
            </w:r>
          </w:p>
        </w:tc>
        <w:tc>
          <w:tcPr>
            <w:tcW w:w="4797" w:type="dxa"/>
            <w:gridSpan w:val="5"/>
            <w:shd w:val="clear" w:color="auto" w:fill="D9D9D9" w:themeFill="background1" w:themeFillShade="D9"/>
          </w:tcPr>
          <w:p w:rsidR="00324ACE" w:rsidRPr="00D667D5" w:rsidRDefault="00324ACE"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324ACE" w:rsidRPr="00D667D5" w:rsidTr="003D75CE">
        <w:trPr>
          <w:tblHeader/>
        </w:trPr>
        <w:tc>
          <w:tcPr>
            <w:tcW w:w="2972" w:type="dxa"/>
            <w:vMerge/>
          </w:tcPr>
          <w:p w:rsidR="00324ACE" w:rsidRPr="00D667D5" w:rsidRDefault="00324ACE" w:rsidP="00A77EDE">
            <w:pPr>
              <w:rPr>
                <w:rFonts w:ascii="Arial" w:eastAsia="Calibri" w:hAnsi="Arial" w:cs="Arial"/>
                <w:sz w:val="18"/>
                <w:szCs w:val="18"/>
              </w:rPr>
            </w:pPr>
          </w:p>
        </w:tc>
        <w:tc>
          <w:tcPr>
            <w:tcW w:w="1134" w:type="dxa"/>
            <w:vMerge/>
          </w:tcPr>
          <w:p w:rsidR="00324ACE" w:rsidRPr="00D667D5" w:rsidRDefault="00324ACE" w:rsidP="00A77EDE">
            <w:pPr>
              <w:rPr>
                <w:rFonts w:ascii="Arial" w:eastAsia="Calibri" w:hAnsi="Arial" w:cs="Arial"/>
                <w:sz w:val="18"/>
                <w:szCs w:val="18"/>
              </w:rPr>
            </w:pP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2023</w:t>
            </w:r>
          </w:p>
        </w:tc>
        <w:tc>
          <w:tcPr>
            <w:tcW w:w="828"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2024</w:t>
            </w:r>
          </w:p>
        </w:tc>
      </w:tr>
      <w:tr w:rsidR="00324ACE" w:rsidRPr="00D667D5" w:rsidTr="003D75CE">
        <w:tc>
          <w:tcPr>
            <w:tcW w:w="2972" w:type="dxa"/>
          </w:tcPr>
          <w:p w:rsidR="00324ACE" w:rsidRPr="00D667D5" w:rsidRDefault="003022F3" w:rsidP="003022F3">
            <w:pPr>
              <w:rPr>
                <w:rFonts w:ascii="Arial" w:eastAsia="Calibri" w:hAnsi="Arial" w:cs="Arial"/>
                <w:sz w:val="18"/>
                <w:szCs w:val="18"/>
              </w:rPr>
            </w:pPr>
            <w:r w:rsidRPr="00D667D5">
              <w:rPr>
                <w:rFonts w:ascii="Arial" w:eastAsia="Calibri" w:hAnsi="Arial" w:cs="Arial"/>
                <w:sz w:val="18"/>
                <w:szCs w:val="18"/>
              </w:rPr>
              <w:t>Analysis of CPM responsibilities on climate change issues as they impact plant health policies</w:t>
            </w:r>
          </w:p>
        </w:tc>
        <w:tc>
          <w:tcPr>
            <w:tcW w:w="1134" w:type="dxa"/>
          </w:tcPr>
          <w:p w:rsidR="00324ACE" w:rsidRPr="00D667D5" w:rsidRDefault="000A731B" w:rsidP="00A77EDE">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25 K</w:t>
            </w:r>
          </w:p>
        </w:tc>
        <w:tc>
          <w:tcPr>
            <w:tcW w:w="993"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828" w:type="dxa"/>
          </w:tcPr>
          <w:p w:rsidR="00324ACE" w:rsidRPr="00D667D5" w:rsidRDefault="00324ACE" w:rsidP="00A77EDE">
            <w:pPr>
              <w:rPr>
                <w:rFonts w:ascii="Arial" w:eastAsia="Calibri" w:hAnsi="Arial" w:cs="Arial"/>
                <w:sz w:val="18"/>
                <w:szCs w:val="18"/>
              </w:rPr>
            </w:pPr>
          </w:p>
        </w:tc>
      </w:tr>
      <w:tr w:rsidR="00324ACE" w:rsidRPr="00D667D5" w:rsidTr="003D75CE">
        <w:tc>
          <w:tcPr>
            <w:tcW w:w="2972" w:type="dxa"/>
          </w:tcPr>
          <w:p w:rsidR="00324ACE" w:rsidRPr="00D667D5" w:rsidRDefault="003022F3" w:rsidP="00A77EDE">
            <w:pPr>
              <w:rPr>
                <w:rFonts w:ascii="Arial" w:eastAsia="Calibri" w:hAnsi="Arial" w:cs="Arial"/>
                <w:sz w:val="18"/>
                <w:szCs w:val="18"/>
              </w:rPr>
            </w:pPr>
            <w:r w:rsidRPr="00D667D5">
              <w:rPr>
                <w:rFonts w:ascii="Arial" w:eastAsia="Calibri" w:hAnsi="Arial" w:cs="Arial"/>
                <w:sz w:val="18"/>
                <w:szCs w:val="18"/>
              </w:rPr>
              <w:t>Consider recommendations from the analysis and shape a response for adoption and implementation</w:t>
            </w:r>
          </w:p>
        </w:tc>
        <w:tc>
          <w:tcPr>
            <w:tcW w:w="1134" w:type="dxa"/>
          </w:tcPr>
          <w:p w:rsidR="00324ACE" w:rsidRPr="00D667D5" w:rsidRDefault="000A731B" w:rsidP="00A77EDE">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324ACE" w:rsidRPr="00D667D5" w:rsidRDefault="00324ACE" w:rsidP="00A77EDE">
            <w:pPr>
              <w:rPr>
                <w:rFonts w:ascii="Arial" w:eastAsia="Calibri" w:hAnsi="Arial" w:cs="Arial"/>
                <w:sz w:val="18"/>
                <w:szCs w:val="18"/>
              </w:rPr>
            </w:pPr>
          </w:p>
        </w:tc>
        <w:tc>
          <w:tcPr>
            <w:tcW w:w="993"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30 K</w:t>
            </w:r>
          </w:p>
        </w:tc>
        <w:tc>
          <w:tcPr>
            <w:tcW w:w="992"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828" w:type="dxa"/>
          </w:tcPr>
          <w:p w:rsidR="00324ACE" w:rsidRPr="00D667D5" w:rsidRDefault="00324ACE" w:rsidP="00A77EDE">
            <w:pPr>
              <w:rPr>
                <w:rFonts w:ascii="Arial" w:eastAsia="Calibri" w:hAnsi="Arial" w:cs="Arial"/>
                <w:sz w:val="18"/>
                <w:szCs w:val="18"/>
              </w:rPr>
            </w:pPr>
          </w:p>
        </w:tc>
      </w:tr>
      <w:tr w:rsidR="003022F3" w:rsidRPr="00D667D5" w:rsidTr="003D75CE">
        <w:tc>
          <w:tcPr>
            <w:tcW w:w="2972" w:type="dxa"/>
          </w:tcPr>
          <w:p w:rsidR="003022F3" w:rsidRPr="00D667D5" w:rsidRDefault="003022F3" w:rsidP="003022F3">
            <w:pPr>
              <w:rPr>
                <w:rFonts w:ascii="Arial" w:eastAsia="Calibri" w:hAnsi="Arial" w:cs="Arial"/>
                <w:sz w:val="18"/>
                <w:szCs w:val="18"/>
              </w:rPr>
            </w:pPr>
            <w:r w:rsidRPr="00D667D5">
              <w:rPr>
                <w:rFonts w:ascii="Arial" w:eastAsia="Calibri" w:hAnsi="Arial" w:cs="Arial"/>
                <w:sz w:val="18"/>
                <w:szCs w:val="18"/>
              </w:rPr>
              <w:t>Review and revise IPPC policies and guidelines as recommended</w:t>
            </w:r>
          </w:p>
        </w:tc>
        <w:tc>
          <w:tcPr>
            <w:tcW w:w="1134" w:type="dxa"/>
          </w:tcPr>
          <w:p w:rsidR="003022F3" w:rsidRPr="00D667D5" w:rsidRDefault="000A731B"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3022F3" w:rsidRPr="00D667D5" w:rsidRDefault="003022F3" w:rsidP="00A77EDE">
            <w:pPr>
              <w:rPr>
                <w:rFonts w:ascii="Arial" w:eastAsia="Calibri" w:hAnsi="Arial" w:cs="Arial"/>
                <w:sz w:val="18"/>
                <w:szCs w:val="18"/>
              </w:rPr>
            </w:pPr>
          </w:p>
        </w:tc>
        <w:tc>
          <w:tcPr>
            <w:tcW w:w="993" w:type="dxa"/>
          </w:tcPr>
          <w:p w:rsidR="003022F3" w:rsidRPr="00D667D5" w:rsidRDefault="003022F3" w:rsidP="00A77EDE">
            <w:pPr>
              <w:rPr>
                <w:rFonts w:ascii="Arial" w:eastAsia="Calibri" w:hAnsi="Arial" w:cs="Arial"/>
                <w:sz w:val="18"/>
                <w:szCs w:val="18"/>
              </w:rPr>
            </w:pPr>
          </w:p>
        </w:tc>
        <w:tc>
          <w:tcPr>
            <w:tcW w:w="992" w:type="dxa"/>
          </w:tcPr>
          <w:p w:rsidR="003022F3"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c>
          <w:tcPr>
            <w:tcW w:w="992" w:type="dxa"/>
          </w:tcPr>
          <w:p w:rsidR="003022F3" w:rsidRPr="00D667D5" w:rsidRDefault="003022F3" w:rsidP="00A77EDE">
            <w:pPr>
              <w:rPr>
                <w:rFonts w:ascii="Arial" w:eastAsia="Calibri" w:hAnsi="Arial" w:cs="Arial"/>
                <w:sz w:val="18"/>
                <w:szCs w:val="18"/>
              </w:rPr>
            </w:pPr>
          </w:p>
        </w:tc>
        <w:tc>
          <w:tcPr>
            <w:tcW w:w="828" w:type="dxa"/>
          </w:tcPr>
          <w:p w:rsidR="003022F3" w:rsidRPr="00D667D5" w:rsidRDefault="003022F3" w:rsidP="00A77EDE">
            <w:pPr>
              <w:rPr>
                <w:rFonts w:ascii="Arial" w:eastAsia="Calibri" w:hAnsi="Arial" w:cs="Arial"/>
                <w:sz w:val="18"/>
                <w:szCs w:val="18"/>
              </w:rPr>
            </w:pPr>
          </w:p>
        </w:tc>
      </w:tr>
      <w:tr w:rsidR="00324ACE" w:rsidRPr="00D667D5" w:rsidTr="003D75CE">
        <w:tc>
          <w:tcPr>
            <w:tcW w:w="2972" w:type="dxa"/>
          </w:tcPr>
          <w:p w:rsidR="00324ACE" w:rsidRPr="00D667D5" w:rsidRDefault="000A731B" w:rsidP="000A731B">
            <w:pPr>
              <w:rPr>
                <w:rFonts w:ascii="Arial" w:eastAsia="Calibri" w:hAnsi="Arial" w:cs="Arial"/>
                <w:sz w:val="18"/>
                <w:szCs w:val="18"/>
              </w:rPr>
            </w:pPr>
            <w:r w:rsidRPr="00D667D5">
              <w:rPr>
                <w:rFonts w:ascii="Arial" w:eastAsia="Calibri" w:hAnsi="Arial" w:cs="Arial"/>
                <w:sz w:val="18"/>
                <w:szCs w:val="18"/>
              </w:rPr>
              <w:t>Establish working relationships with the IPCC and other climate-focussed organisations, as appropriate and relevant to IPPC outcomes</w:t>
            </w:r>
          </w:p>
        </w:tc>
        <w:tc>
          <w:tcPr>
            <w:tcW w:w="1134" w:type="dxa"/>
          </w:tcPr>
          <w:p w:rsidR="00324ACE" w:rsidRPr="00D667D5" w:rsidRDefault="000A731B"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c>
          <w:tcPr>
            <w:tcW w:w="993"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c>
          <w:tcPr>
            <w:tcW w:w="828"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r>
      <w:tr w:rsidR="00503B18" w:rsidRPr="00D667D5" w:rsidTr="00503B18">
        <w:tc>
          <w:tcPr>
            <w:tcW w:w="297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503B18" w:rsidRPr="00D667D5" w:rsidRDefault="00503B18" w:rsidP="000503F7">
            <w:pPr>
              <w:rPr>
                <w:rFonts w:ascii="Arial" w:eastAsia="Calibri" w:hAnsi="Arial" w:cs="Arial"/>
                <w:b/>
                <w:sz w:val="18"/>
                <w:szCs w:val="18"/>
              </w:rPr>
            </w:pPr>
            <w:proofErr w:type="spellStart"/>
            <w:r w:rsidRPr="00D667D5">
              <w:rPr>
                <w:rFonts w:ascii="Arial" w:eastAsia="Calibri" w:hAnsi="Arial" w:cs="Arial"/>
                <w:b/>
                <w:sz w:val="18"/>
                <w:szCs w:val="18"/>
              </w:rPr>
              <w:t>IntP</w:t>
            </w:r>
            <w:proofErr w:type="spellEnd"/>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40 K</w:t>
            </w:r>
          </w:p>
        </w:tc>
        <w:tc>
          <w:tcPr>
            <w:tcW w:w="993"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45 K</w:t>
            </w:r>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30 K</w:t>
            </w:r>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15 K</w:t>
            </w:r>
          </w:p>
        </w:tc>
        <w:tc>
          <w:tcPr>
            <w:tcW w:w="828"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15 K</w:t>
            </w:r>
          </w:p>
        </w:tc>
      </w:tr>
      <w:tr w:rsidR="003D75CE" w:rsidRPr="00D667D5" w:rsidTr="003D75CE">
        <w:tc>
          <w:tcPr>
            <w:tcW w:w="2972" w:type="dxa"/>
          </w:tcPr>
          <w:p w:rsidR="003D75CE" w:rsidRPr="00D667D5" w:rsidRDefault="003D75CE" w:rsidP="000503F7">
            <w:pPr>
              <w:rPr>
                <w:rFonts w:ascii="Arial" w:eastAsia="Calibri" w:hAnsi="Arial" w:cs="Arial"/>
                <w:sz w:val="18"/>
                <w:szCs w:val="18"/>
              </w:rPr>
            </w:pPr>
            <w:bookmarkStart w:id="18" w:name="_Toc519604991"/>
            <w:r w:rsidRPr="00D667D5">
              <w:rPr>
                <w:rFonts w:ascii="Arial" w:eastAsia="Calibri" w:hAnsi="Arial" w:cs="Arial"/>
                <w:sz w:val="18"/>
                <w:szCs w:val="18"/>
              </w:rPr>
              <w:t>FTE (estimate)</w:t>
            </w:r>
          </w:p>
        </w:tc>
        <w:tc>
          <w:tcPr>
            <w:tcW w:w="1134" w:type="dxa"/>
          </w:tcPr>
          <w:p w:rsidR="003D75CE" w:rsidRPr="00D667D5" w:rsidRDefault="003D75CE" w:rsidP="003D75CE">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0.25</w:t>
            </w:r>
          </w:p>
        </w:tc>
        <w:tc>
          <w:tcPr>
            <w:tcW w:w="993"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0.4</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0.25</w:t>
            </w:r>
          </w:p>
        </w:tc>
        <w:tc>
          <w:tcPr>
            <w:tcW w:w="992"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0.1</w:t>
            </w:r>
          </w:p>
        </w:tc>
        <w:tc>
          <w:tcPr>
            <w:tcW w:w="828"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0.1</w:t>
            </w:r>
          </w:p>
        </w:tc>
      </w:tr>
    </w:tbl>
    <w:p w:rsidR="003D75CE" w:rsidRPr="008D0344" w:rsidRDefault="003D75CE" w:rsidP="008D0344">
      <w:pPr>
        <w:rPr>
          <w:rStyle w:val="Heading2Char"/>
          <w:rFonts w:asciiTheme="minorHAnsi" w:hAnsiTheme="minorHAnsi"/>
          <w:sz w:val="22"/>
          <w:szCs w:val="22"/>
        </w:rPr>
      </w:pPr>
    </w:p>
    <w:p w:rsidR="008D0344" w:rsidRDefault="007E00FE" w:rsidP="008D0344">
      <w:pPr>
        <w:keepNext/>
        <w:keepLines/>
        <w:spacing w:before="120" w:after="120"/>
        <w:outlineLvl w:val="2"/>
        <w:rPr>
          <w:rFonts w:eastAsia="Times New Roman" w:cs="Times New Roman"/>
          <w:b/>
        </w:rPr>
      </w:pPr>
      <w:r w:rsidRPr="008D0344">
        <w:rPr>
          <w:rStyle w:val="Heading2Char"/>
          <w:rFonts w:asciiTheme="minorHAnsi" w:hAnsiTheme="minorHAnsi"/>
          <w:sz w:val="22"/>
          <w:szCs w:val="22"/>
        </w:rPr>
        <w:t xml:space="preserve">7. </w:t>
      </w:r>
      <w:r w:rsidR="003A0068" w:rsidRPr="008D0344">
        <w:rPr>
          <w:rStyle w:val="Heading2Char"/>
          <w:rFonts w:asciiTheme="minorHAnsi" w:hAnsiTheme="minorHAnsi"/>
          <w:sz w:val="22"/>
          <w:szCs w:val="22"/>
        </w:rPr>
        <w:t>Global Phytosanitary Research Coordination</w:t>
      </w:r>
      <w:bookmarkEnd w:id="18"/>
    </w:p>
    <w:p w:rsidR="003A0068" w:rsidRPr="008D0344" w:rsidRDefault="003A0068" w:rsidP="008D0344">
      <w:pPr>
        <w:rPr>
          <w:rFonts w:eastAsiaTheme="majorEastAsia" w:cstheme="majorBidi"/>
          <w:b/>
        </w:rPr>
      </w:pPr>
      <w:r w:rsidRPr="008D0344">
        <w:rPr>
          <w:rFonts w:eastAsia="Times New Roman" w:cs="Times New Roman"/>
        </w:rPr>
        <w:t>A voluntary mechanism for global phytosanitary research coordination, to accelerate development of science to support all regulatory phytosanitary activities.</w:t>
      </w:r>
    </w:p>
    <w:p w:rsidR="008D0344" w:rsidRPr="008D0344" w:rsidRDefault="008D0344" w:rsidP="008D0344">
      <w:pPr>
        <w:rPr>
          <w:rFonts w:eastAsia="Calibri" w:cs="Times New Roman"/>
          <w:b/>
        </w:rPr>
      </w:pPr>
      <w:r w:rsidRPr="008D0344">
        <w:rPr>
          <w:rFonts w:eastAsia="Calibri" w:cs="Times New Roman"/>
          <w:b/>
        </w:rPr>
        <w:t>Desired 2030 Outcome</w:t>
      </w:r>
    </w:p>
    <w:p w:rsidR="003A0068" w:rsidRPr="008D0344" w:rsidRDefault="003A0068" w:rsidP="008D0344">
      <w:pPr>
        <w:rPr>
          <w:rFonts w:eastAsia="Times New Roman" w:cs="Times New Roman"/>
        </w:rPr>
      </w:pPr>
      <w:r w:rsidRPr="008D0344">
        <w:rPr>
          <w:rFonts w:eastAsia="Calibri" w:cs="Times New Roman"/>
        </w:rPr>
        <w:lastRenderedPageBreak/>
        <w:t xml:space="preserve">International research collaboration across nations, institutions, and disciplines, leads to higher quality science, efficiencies of resource use, better outcomes and wider adoption of results. However, these benefits of collaboration only occur where there is mutual interest and alignment of goals, leadership, and support for collaboration. </w:t>
      </w:r>
      <w:r w:rsidRPr="008D0344">
        <w:rPr>
          <w:rFonts w:eastAsia="Times New Roman" w:cs="Times New Roman"/>
        </w:rPr>
        <w:t>The ingredients for successful collaboration are facilitating processes and structures, leadership, a ‘vision’ and ultimately funding - for both research and collaboration. In addition, the need to develop a balanced portfolio of research work, ranging from strategic to applied research and extension for adoption, is essential in creating synergistic collaboration.</w:t>
      </w:r>
    </w:p>
    <w:p w:rsidR="003A0068" w:rsidRPr="008D0344" w:rsidRDefault="003A0068" w:rsidP="008D0344">
      <w:pPr>
        <w:rPr>
          <w:rFonts w:eastAsia="Calibri" w:cs="Times New Roman"/>
        </w:rPr>
      </w:pPr>
      <w:r w:rsidRPr="008D0344">
        <w:rPr>
          <w:rFonts w:eastAsia="Calibri" w:cs="Times New Roman"/>
        </w:rPr>
        <w:t>To establish an international research coordination and collaborati</w:t>
      </w:r>
      <w:r w:rsidR="0058362F" w:rsidRPr="008D0344">
        <w:rPr>
          <w:rFonts w:eastAsia="Calibri" w:cs="Times New Roman"/>
        </w:rPr>
        <w:t>on it is important to develop a</w:t>
      </w:r>
      <w:r w:rsidRPr="008D0344">
        <w:rPr>
          <w:rFonts w:eastAsia="Calibri" w:cs="Times New Roman"/>
        </w:rPr>
        <w:t xml:space="preserve"> Commission policy on the matter and to agree on structures. Collaboration with EUPHRESCO, a plant health research coordination structure housed within the European and Mediterranean Plant Protection Organization (EPPO), may present perspectives for the </w:t>
      </w:r>
      <w:r w:rsidR="00617674" w:rsidRPr="008D0344">
        <w:rPr>
          <w:rFonts w:eastAsia="Calibri" w:cs="Times New Roman"/>
        </w:rPr>
        <w:t>policy and structural planning and the complete administration and governing of this activity could be delegated to RPPOs thus avoiding resource requirements on behalf of the IPPC Secretariat.</w:t>
      </w:r>
    </w:p>
    <w:p w:rsidR="003A0068" w:rsidRPr="008D0344" w:rsidRDefault="003A0068" w:rsidP="008D0344">
      <w:pPr>
        <w:rPr>
          <w:rFonts w:eastAsia="Calibri" w:cs="Times New Roman"/>
        </w:rPr>
      </w:pPr>
      <w:r w:rsidRPr="008D0344">
        <w:rPr>
          <w:rFonts w:eastAsia="Calibri" w:cs="Times New Roman"/>
        </w:rPr>
        <w:t>Science stands at the base of all plant health related activities of NPPOs, RPPOs and the Commission. For this reason, the development of an initiative to establish a global phytosanitary research coordination policy and structure is an important component for the Commissions’ strategic objectives.</w:t>
      </w:r>
    </w:p>
    <w:p w:rsidR="003A0068" w:rsidRPr="008D0344" w:rsidRDefault="003A0068" w:rsidP="008D0344">
      <w:pPr>
        <w:rPr>
          <w:rFonts w:eastAsia="Calibri" w:cs="Times New Roman"/>
        </w:rPr>
      </w:pPr>
      <w:r w:rsidRPr="008D0344">
        <w:rPr>
          <w:rFonts w:eastAsia="Calibri" w:cs="Times New Roman"/>
        </w:rPr>
        <w:t>Activities to be carried out during 2020 - 2030 would include:</w:t>
      </w:r>
    </w:p>
    <w:p w:rsidR="003A0068" w:rsidRPr="008D0344" w:rsidRDefault="003A0068" w:rsidP="001E6578">
      <w:pPr>
        <w:numPr>
          <w:ilvl w:val="0"/>
          <w:numId w:val="10"/>
        </w:numPr>
        <w:spacing w:line="256" w:lineRule="auto"/>
        <w:ind w:left="709"/>
        <w:rPr>
          <w:rFonts w:eastAsia="Calibri" w:cs="Times New Roman"/>
        </w:rPr>
      </w:pPr>
      <w:r w:rsidRPr="008D0344">
        <w:rPr>
          <w:rFonts w:eastAsia="Calibri" w:cs="Times New Roman"/>
        </w:rPr>
        <w:t xml:space="preserve">Analysis of existing international </w:t>
      </w:r>
      <w:r w:rsidR="00626062" w:rsidRPr="008D0344">
        <w:rPr>
          <w:rFonts w:eastAsia="Calibri" w:cs="Times New Roman"/>
        </w:rPr>
        <w:t xml:space="preserve">research </w:t>
      </w:r>
      <w:r w:rsidRPr="008D0344">
        <w:rPr>
          <w:rFonts w:eastAsia="Calibri" w:cs="Times New Roman"/>
        </w:rPr>
        <w:t>coordination policies and structures.</w:t>
      </w:r>
    </w:p>
    <w:p w:rsidR="003A0068" w:rsidRPr="008D0344" w:rsidRDefault="003A0068" w:rsidP="001E6578">
      <w:pPr>
        <w:numPr>
          <w:ilvl w:val="0"/>
          <w:numId w:val="10"/>
        </w:numPr>
        <w:spacing w:line="256" w:lineRule="auto"/>
        <w:ind w:left="709"/>
        <w:rPr>
          <w:rFonts w:eastAsia="Calibri" w:cs="Times New Roman"/>
        </w:rPr>
      </w:pPr>
      <w:r w:rsidRPr="008D0344">
        <w:rPr>
          <w:rFonts w:eastAsia="Calibri" w:cs="Times New Roman"/>
        </w:rPr>
        <w:t>Development of an IPPC poli</w:t>
      </w:r>
      <w:r w:rsidR="00617674" w:rsidRPr="008D0344">
        <w:rPr>
          <w:rFonts w:eastAsia="Calibri" w:cs="Times New Roman"/>
        </w:rPr>
        <w:t>cy and structure, especially determining the role of RPPOs in this activity.</w:t>
      </w:r>
    </w:p>
    <w:p w:rsidR="003A0068" w:rsidRPr="008D0344" w:rsidRDefault="003A0068" w:rsidP="001E6578">
      <w:pPr>
        <w:numPr>
          <w:ilvl w:val="0"/>
          <w:numId w:val="10"/>
        </w:numPr>
        <w:spacing w:line="256" w:lineRule="auto"/>
        <w:ind w:left="709"/>
        <w:rPr>
          <w:rFonts w:eastAsia="Calibri" w:cs="Times New Roman"/>
        </w:rPr>
      </w:pPr>
      <w:r w:rsidRPr="008D0344">
        <w:rPr>
          <w:rFonts w:eastAsia="Calibri" w:cs="Times New Roman"/>
        </w:rPr>
        <w:t>Adoption of an IPPC international research coordination and policy and structure.</w:t>
      </w:r>
    </w:p>
    <w:p w:rsidR="00324ACE" w:rsidRPr="008D0344" w:rsidRDefault="00324ACE" w:rsidP="008D0344">
      <w:pPr>
        <w:rPr>
          <w:rFonts w:eastAsia="Calibri" w:cs="Times New Roman"/>
        </w:rPr>
      </w:pPr>
    </w:p>
    <w:tbl>
      <w:tblPr>
        <w:tblStyle w:val="TableGrid"/>
        <w:tblW w:w="0" w:type="auto"/>
        <w:tblLook w:val="04A0" w:firstRow="1" w:lastRow="0" w:firstColumn="1" w:lastColumn="0" w:noHBand="0" w:noVBand="1"/>
      </w:tblPr>
      <w:tblGrid>
        <w:gridCol w:w="2972"/>
        <w:gridCol w:w="1134"/>
        <w:gridCol w:w="992"/>
        <w:gridCol w:w="993"/>
        <w:gridCol w:w="992"/>
        <w:gridCol w:w="992"/>
        <w:gridCol w:w="941"/>
      </w:tblGrid>
      <w:tr w:rsidR="00324ACE" w:rsidRPr="00D667D5" w:rsidTr="003B580E">
        <w:trPr>
          <w:tblHeader/>
        </w:trPr>
        <w:tc>
          <w:tcPr>
            <w:tcW w:w="2972"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Action</w:t>
            </w:r>
          </w:p>
        </w:tc>
        <w:tc>
          <w:tcPr>
            <w:tcW w:w="1134"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Funding</w:t>
            </w:r>
          </w:p>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Source</w:t>
            </w:r>
          </w:p>
        </w:tc>
        <w:tc>
          <w:tcPr>
            <w:tcW w:w="4910" w:type="dxa"/>
            <w:gridSpan w:val="5"/>
            <w:shd w:val="clear" w:color="auto" w:fill="D9D9D9" w:themeFill="background1" w:themeFillShade="D9"/>
          </w:tcPr>
          <w:p w:rsidR="00324ACE" w:rsidRPr="00D667D5" w:rsidRDefault="00324ACE"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324ACE" w:rsidRPr="00D667D5" w:rsidTr="00A77EDE">
        <w:trPr>
          <w:tblHeader/>
        </w:trPr>
        <w:tc>
          <w:tcPr>
            <w:tcW w:w="2972" w:type="dxa"/>
            <w:vMerge/>
          </w:tcPr>
          <w:p w:rsidR="00324ACE" w:rsidRPr="00D667D5" w:rsidRDefault="00324ACE" w:rsidP="00A77EDE">
            <w:pPr>
              <w:rPr>
                <w:rFonts w:ascii="Arial" w:eastAsia="Calibri" w:hAnsi="Arial" w:cs="Arial"/>
                <w:sz w:val="18"/>
                <w:szCs w:val="18"/>
              </w:rPr>
            </w:pPr>
          </w:p>
        </w:tc>
        <w:tc>
          <w:tcPr>
            <w:tcW w:w="1134" w:type="dxa"/>
            <w:vMerge/>
          </w:tcPr>
          <w:p w:rsidR="00324ACE" w:rsidRPr="00D667D5" w:rsidRDefault="00324ACE" w:rsidP="00A77EDE">
            <w:pPr>
              <w:rPr>
                <w:rFonts w:ascii="Arial" w:eastAsia="Calibri" w:hAnsi="Arial" w:cs="Arial"/>
                <w:sz w:val="18"/>
                <w:szCs w:val="18"/>
              </w:rPr>
            </w:pP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2023</w:t>
            </w:r>
          </w:p>
        </w:tc>
        <w:tc>
          <w:tcPr>
            <w:tcW w:w="941"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2024</w:t>
            </w:r>
          </w:p>
        </w:tc>
      </w:tr>
      <w:tr w:rsidR="00324ACE" w:rsidRPr="00D667D5" w:rsidTr="00A77EDE">
        <w:tc>
          <w:tcPr>
            <w:tcW w:w="2972" w:type="dxa"/>
          </w:tcPr>
          <w:p w:rsidR="00324ACE" w:rsidRPr="00D667D5" w:rsidRDefault="00626062" w:rsidP="00A77EDE">
            <w:pPr>
              <w:rPr>
                <w:rFonts w:ascii="Arial" w:eastAsia="Calibri" w:hAnsi="Arial" w:cs="Arial"/>
                <w:sz w:val="18"/>
                <w:szCs w:val="18"/>
              </w:rPr>
            </w:pPr>
            <w:r w:rsidRPr="00D667D5">
              <w:rPr>
                <w:rFonts w:ascii="Arial" w:eastAsia="Calibri" w:hAnsi="Arial" w:cs="Arial"/>
                <w:sz w:val="18"/>
                <w:szCs w:val="18"/>
              </w:rPr>
              <w:t>Analyse existing international research coordination policies and structures</w:t>
            </w:r>
          </w:p>
        </w:tc>
        <w:tc>
          <w:tcPr>
            <w:tcW w:w="1134" w:type="dxa"/>
          </w:tcPr>
          <w:p w:rsidR="00324ACE" w:rsidRPr="00D667D5" w:rsidRDefault="00626062" w:rsidP="00A77EDE">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25 K</w:t>
            </w:r>
          </w:p>
        </w:tc>
        <w:tc>
          <w:tcPr>
            <w:tcW w:w="993"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941" w:type="dxa"/>
          </w:tcPr>
          <w:p w:rsidR="00324ACE" w:rsidRPr="00D667D5" w:rsidRDefault="00324ACE" w:rsidP="00A77EDE">
            <w:pPr>
              <w:rPr>
                <w:rFonts w:ascii="Arial" w:eastAsia="Calibri" w:hAnsi="Arial" w:cs="Arial"/>
                <w:sz w:val="18"/>
                <w:szCs w:val="18"/>
              </w:rPr>
            </w:pPr>
          </w:p>
        </w:tc>
      </w:tr>
      <w:tr w:rsidR="00324ACE" w:rsidRPr="00D667D5" w:rsidTr="00A77EDE">
        <w:tc>
          <w:tcPr>
            <w:tcW w:w="2972" w:type="dxa"/>
          </w:tcPr>
          <w:p w:rsidR="00324ACE" w:rsidRPr="00D667D5" w:rsidRDefault="00626062" w:rsidP="00A77EDE">
            <w:pPr>
              <w:rPr>
                <w:rFonts w:ascii="Arial" w:eastAsia="Calibri" w:hAnsi="Arial" w:cs="Arial"/>
                <w:sz w:val="18"/>
                <w:szCs w:val="18"/>
              </w:rPr>
            </w:pPr>
            <w:r w:rsidRPr="00D667D5">
              <w:rPr>
                <w:rFonts w:ascii="Arial" w:eastAsia="Calibri" w:hAnsi="Arial" w:cs="Arial"/>
                <w:sz w:val="18"/>
                <w:szCs w:val="18"/>
              </w:rPr>
              <w:t>Develop IPPC policy and coordination structures</w:t>
            </w:r>
          </w:p>
        </w:tc>
        <w:tc>
          <w:tcPr>
            <w:tcW w:w="1134" w:type="dxa"/>
          </w:tcPr>
          <w:p w:rsidR="00324ACE" w:rsidRPr="00D667D5" w:rsidRDefault="00626062"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324ACE" w:rsidRPr="00D667D5" w:rsidRDefault="00324ACE" w:rsidP="00A77EDE">
            <w:pPr>
              <w:rPr>
                <w:rFonts w:ascii="Arial" w:eastAsia="Calibri" w:hAnsi="Arial" w:cs="Arial"/>
                <w:sz w:val="18"/>
                <w:szCs w:val="18"/>
              </w:rPr>
            </w:pPr>
          </w:p>
        </w:tc>
        <w:tc>
          <w:tcPr>
            <w:tcW w:w="993"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20 K</w:t>
            </w:r>
          </w:p>
        </w:tc>
        <w:tc>
          <w:tcPr>
            <w:tcW w:w="992"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324ACE" w:rsidP="00A77EDE">
            <w:pPr>
              <w:rPr>
                <w:rFonts w:ascii="Arial" w:eastAsia="Calibri" w:hAnsi="Arial" w:cs="Arial"/>
                <w:sz w:val="18"/>
                <w:szCs w:val="18"/>
              </w:rPr>
            </w:pPr>
          </w:p>
        </w:tc>
        <w:tc>
          <w:tcPr>
            <w:tcW w:w="941" w:type="dxa"/>
          </w:tcPr>
          <w:p w:rsidR="00324ACE" w:rsidRPr="00D667D5" w:rsidRDefault="00324ACE" w:rsidP="00A77EDE">
            <w:pPr>
              <w:rPr>
                <w:rFonts w:ascii="Arial" w:eastAsia="Calibri" w:hAnsi="Arial" w:cs="Arial"/>
                <w:sz w:val="18"/>
                <w:szCs w:val="18"/>
              </w:rPr>
            </w:pPr>
          </w:p>
        </w:tc>
      </w:tr>
      <w:tr w:rsidR="00324ACE" w:rsidRPr="00D667D5" w:rsidTr="00A77EDE">
        <w:tc>
          <w:tcPr>
            <w:tcW w:w="2972" w:type="dxa"/>
          </w:tcPr>
          <w:p w:rsidR="00324ACE" w:rsidRPr="00D667D5" w:rsidRDefault="00626062" w:rsidP="00A77EDE">
            <w:pPr>
              <w:rPr>
                <w:rFonts w:ascii="Arial" w:eastAsia="Calibri" w:hAnsi="Arial" w:cs="Arial"/>
                <w:sz w:val="18"/>
                <w:szCs w:val="18"/>
              </w:rPr>
            </w:pPr>
            <w:r w:rsidRPr="00D667D5">
              <w:rPr>
                <w:rFonts w:ascii="Arial" w:eastAsia="Calibri" w:hAnsi="Arial" w:cs="Arial"/>
                <w:sz w:val="18"/>
                <w:szCs w:val="18"/>
              </w:rPr>
              <w:t>Adopt and implement coordination arrangements</w:t>
            </w:r>
          </w:p>
        </w:tc>
        <w:tc>
          <w:tcPr>
            <w:tcW w:w="1134" w:type="dxa"/>
          </w:tcPr>
          <w:p w:rsidR="00324ACE" w:rsidRPr="00D667D5" w:rsidRDefault="00626062" w:rsidP="00A77EDE">
            <w:pPr>
              <w:rPr>
                <w:rFonts w:ascii="Arial" w:eastAsia="Calibri" w:hAnsi="Arial" w:cs="Arial"/>
                <w:sz w:val="18"/>
                <w:szCs w:val="18"/>
              </w:rPr>
            </w:pPr>
            <w:r w:rsidRPr="00D667D5">
              <w:rPr>
                <w:rFonts w:ascii="Arial" w:eastAsia="Calibri" w:hAnsi="Arial" w:cs="Arial"/>
                <w:sz w:val="18"/>
                <w:szCs w:val="18"/>
              </w:rPr>
              <w:t>RP</w:t>
            </w:r>
          </w:p>
        </w:tc>
        <w:tc>
          <w:tcPr>
            <w:tcW w:w="992" w:type="dxa"/>
          </w:tcPr>
          <w:p w:rsidR="00324ACE" w:rsidRPr="00D667D5" w:rsidRDefault="00324ACE" w:rsidP="00A77EDE">
            <w:pPr>
              <w:rPr>
                <w:rFonts w:ascii="Arial" w:eastAsia="Calibri" w:hAnsi="Arial" w:cs="Arial"/>
                <w:sz w:val="18"/>
                <w:szCs w:val="18"/>
              </w:rPr>
            </w:pPr>
          </w:p>
        </w:tc>
        <w:tc>
          <w:tcPr>
            <w:tcW w:w="993"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25 K</w:t>
            </w: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10 K</w:t>
            </w:r>
          </w:p>
        </w:tc>
        <w:tc>
          <w:tcPr>
            <w:tcW w:w="941"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10 K</w:t>
            </w:r>
          </w:p>
        </w:tc>
      </w:tr>
      <w:tr w:rsidR="00503B18" w:rsidRPr="00D667D5" w:rsidTr="00503B18">
        <w:tc>
          <w:tcPr>
            <w:tcW w:w="297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503B18" w:rsidRPr="00D667D5" w:rsidRDefault="00503B18" w:rsidP="000503F7">
            <w:pPr>
              <w:rPr>
                <w:rFonts w:ascii="Arial" w:eastAsia="Calibri" w:hAnsi="Arial" w:cs="Arial"/>
                <w:b/>
                <w:sz w:val="18"/>
                <w:szCs w:val="18"/>
              </w:rPr>
            </w:pPr>
            <w:proofErr w:type="spellStart"/>
            <w:r w:rsidRPr="00D667D5">
              <w:rPr>
                <w:rFonts w:ascii="Arial" w:eastAsia="Calibri" w:hAnsi="Arial" w:cs="Arial"/>
                <w:b/>
                <w:sz w:val="18"/>
                <w:szCs w:val="18"/>
              </w:rPr>
              <w:t>IntP</w:t>
            </w:r>
            <w:proofErr w:type="spellEnd"/>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25 K</w:t>
            </w:r>
          </w:p>
        </w:tc>
        <w:tc>
          <w:tcPr>
            <w:tcW w:w="993"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20 K</w:t>
            </w:r>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25 K</w:t>
            </w:r>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10 K</w:t>
            </w:r>
          </w:p>
        </w:tc>
        <w:tc>
          <w:tcPr>
            <w:tcW w:w="941"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10 K</w:t>
            </w:r>
          </w:p>
        </w:tc>
      </w:tr>
      <w:tr w:rsidR="003D75CE" w:rsidRPr="00D667D5" w:rsidTr="000503F7">
        <w:tc>
          <w:tcPr>
            <w:tcW w:w="297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FTE (estimate)</w:t>
            </w:r>
          </w:p>
        </w:tc>
        <w:tc>
          <w:tcPr>
            <w:tcW w:w="1134" w:type="dxa"/>
          </w:tcPr>
          <w:p w:rsidR="003D75CE" w:rsidRPr="00D667D5" w:rsidRDefault="003D75CE" w:rsidP="000503F7">
            <w:pPr>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0.25</w:t>
            </w:r>
          </w:p>
        </w:tc>
        <w:tc>
          <w:tcPr>
            <w:tcW w:w="993"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0.2</w:t>
            </w:r>
          </w:p>
        </w:tc>
        <w:tc>
          <w:tcPr>
            <w:tcW w:w="992"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0.25</w:t>
            </w:r>
          </w:p>
        </w:tc>
        <w:tc>
          <w:tcPr>
            <w:tcW w:w="992" w:type="dxa"/>
          </w:tcPr>
          <w:p w:rsidR="003D75CE" w:rsidRPr="00D667D5" w:rsidRDefault="003D75CE" w:rsidP="003D75CE">
            <w:pPr>
              <w:rPr>
                <w:rFonts w:ascii="Arial" w:eastAsia="Calibri" w:hAnsi="Arial" w:cs="Arial"/>
                <w:sz w:val="18"/>
                <w:szCs w:val="18"/>
              </w:rPr>
            </w:pPr>
            <w:r w:rsidRPr="00D667D5">
              <w:rPr>
                <w:rFonts w:ascii="Arial" w:eastAsia="Calibri" w:hAnsi="Arial" w:cs="Arial"/>
                <w:sz w:val="18"/>
                <w:szCs w:val="18"/>
              </w:rPr>
              <w:t>0.1</w:t>
            </w:r>
          </w:p>
        </w:tc>
        <w:tc>
          <w:tcPr>
            <w:tcW w:w="941" w:type="dxa"/>
          </w:tcPr>
          <w:p w:rsidR="003D75CE" w:rsidRPr="00D667D5" w:rsidRDefault="003D75CE" w:rsidP="000503F7">
            <w:pPr>
              <w:rPr>
                <w:rFonts w:ascii="Arial" w:eastAsia="Calibri" w:hAnsi="Arial" w:cs="Arial"/>
                <w:sz w:val="18"/>
                <w:szCs w:val="18"/>
              </w:rPr>
            </w:pPr>
            <w:r w:rsidRPr="00D667D5">
              <w:rPr>
                <w:rFonts w:ascii="Arial" w:eastAsia="Calibri" w:hAnsi="Arial" w:cs="Arial"/>
                <w:sz w:val="18"/>
                <w:szCs w:val="18"/>
              </w:rPr>
              <w:t>0.1</w:t>
            </w:r>
          </w:p>
        </w:tc>
      </w:tr>
    </w:tbl>
    <w:p w:rsidR="00324ACE" w:rsidRPr="008D0344" w:rsidRDefault="00324ACE" w:rsidP="008D0344">
      <w:pPr>
        <w:rPr>
          <w:rStyle w:val="Heading2Char"/>
          <w:rFonts w:asciiTheme="minorHAnsi" w:hAnsiTheme="minorHAnsi"/>
          <w:sz w:val="22"/>
          <w:szCs w:val="22"/>
        </w:rPr>
      </w:pPr>
    </w:p>
    <w:p w:rsidR="008D0344" w:rsidRDefault="00770665" w:rsidP="008D0344">
      <w:pPr>
        <w:keepNext/>
        <w:keepLines/>
        <w:spacing w:before="120" w:after="120"/>
        <w:outlineLvl w:val="2"/>
        <w:rPr>
          <w:rFonts w:eastAsia="Times New Roman" w:cs="Times New Roman"/>
          <w:b/>
        </w:rPr>
      </w:pPr>
      <w:bookmarkStart w:id="19" w:name="_Toc519604992"/>
      <w:r w:rsidRPr="008D0344">
        <w:rPr>
          <w:rStyle w:val="Heading2Char"/>
          <w:rFonts w:asciiTheme="minorHAnsi" w:hAnsiTheme="minorHAnsi"/>
          <w:sz w:val="22"/>
          <w:szCs w:val="22"/>
        </w:rPr>
        <w:t>8</w:t>
      </w:r>
      <w:r w:rsidR="007E00FE" w:rsidRPr="008D0344">
        <w:rPr>
          <w:rStyle w:val="Heading2Char"/>
          <w:rFonts w:asciiTheme="minorHAnsi" w:hAnsiTheme="minorHAnsi"/>
          <w:sz w:val="22"/>
          <w:szCs w:val="22"/>
        </w:rPr>
        <w:t>. Diagnostic Laboratory Network</w:t>
      </w:r>
      <w:bookmarkEnd w:id="19"/>
    </w:p>
    <w:p w:rsidR="007E00FE" w:rsidRPr="008D0344" w:rsidRDefault="007E00FE" w:rsidP="008D0344">
      <w:pPr>
        <w:rPr>
          <w:rFonts w:eastAsia="Calibri" w:cs="Times New Roman"/>
        </w:rPr>
      </w:pPr>
      <w:r w:rsidRPr="008D0344">
        <w:rPr>
          <w:rFonts w:eastAsia="Times New Roman" w:cs="Times New Roman"/>
        </w:rPr>
        <w:t>A network of recognised diagnostic laboratory services to support countries to identify pests in a more reliable and timely manner.</w:t>
      </w:r>
    </w:p>
    <w:p w:rsidR="00AF4A15" w:rsidRPr="008D0344" w:rsidRDefault="00AF4A15" w:rsidP="008D0344">
      <w:pPr>
        <w:rPr>
          <w:rFonts w:eastAsia="Calibri" w:cs="Times New Roman"/>
        </w:rPr>
      </w:pPr>
    </w:p>
    <w:p w:rsidR="00AF4A15" w:rsidRPr="008D0344" w:rsidRDefault="008D0344" w:rsidP="008D0344">
      <w:pPr>
        <w:rPr>
          <w:rFonts w:eastAsia="Calibri" w:cs="Times New Roman"/>
          <w:b/>
        </w:rPr>
      </w:pPr>
      <w:r>
        <w:rPr>
          <w:rFonts w:eastAsia="Calibri" w:cs="Times New Roman"/>
          <w:b/>
        </w:rPr>
        <w:t>Desired 2030 Outcome</w:t>
      </w:r>
    </w:p>
    <w:p w:rsidR="00AF4A15" w:rsidRPr="008D0344" w:rsidRDefault="00AF4A15" w:rsidP="008D0344">
      <w:pPr>
        <w:rPr>
          <w:rFonts w:eastAsia="Calibri" w:cs="Times New Roman"/>
        </w:rPr>
      </w:pPr>
      <w:r w:rsidRPr="008D0344">
        <w:rPr>
          <w:rFonts w:eastAsia="Calibri" w:cs="Times New Roman"/>
        </w:rPr>
        <w:t>An international network of recognised diagnostic laboratory services provides reliable and timely pest identifications. National laboratories with strong diagnostic functions are officially recognised as capable of offering reliable services within regions or globally, reducing the need for all countries to develop duplicated capacity.</w:t>
      </w:r>
    </w:p>
    <w:p w:rsidR="00AF4A15" w:rsidRPr="008D0344" w:rsidRDefault="00AF4A15" w:rsidP="008D0344">
      <w:pPr>
        <w:rPr>
          <w:rFonts w:eastAsia="Calibri" w:cs="Times New Roman"/>
        </w:rPr>
      </w:pPr>
    </w:p>
    <w:p w:rsidR="007E00FE" w:rsidRPr="008D0344" w:rsidRDefault="007E00FE" w:rsidP="008D0344">
      <w:pPr>
        <w:rPr>
          <w:rFonts w:eastAsia="Calibri" w:cs="Times New Roman"/>
        </w:rPr>
      </w:pPr>
      <w:r w:rsidRPr="008D0344">
        <w:rPr>
          <w:rFonts w:eastAsia="Calibri" w:cs="Times New Roman"/>
        </w:rPr>
        <w:t>Activities to be carried out during 2020 - 2030 would include:</w:t>
      </w:r>
    </w:p>
    <w:p w:rsidR="007E00FE" w:rsidRPr="008D0344" w:rsidRDefault="007E00FE" w:rsidP="001E6578">
      <w:pPr>
        <w:numPr>
          <w:ilvl w:val="0"/>
          <w:numId w:val="5"/>
        </w:numPr>
        <w:contextualSpacing/>
        <w:rPr>
          <w:rFonts w:eastAsia="Calibri" w:cs="Times New Roman"/>
        </w:rPr>
      </w:pPr>
      <w:r w:rsidRPr="008D0344">
        <w:rPr>
          <w:rFonts w:eastAsia="Calibri" w:cs="Times New Roman"/>
        </w:rPr>
        <w:t>Conceive a model for the establishment of sub-regiona</w:t>
      </w:r>
      <w:r w:rsidR="00362CE1" w:rsidRPr="008D0344">
        <w:rPr>
          <w:rFonts w:eastAsia="Calibri" w:cs="Times New Roman"/>
        </w:rPr>
        <w:t>l joint diagnostic laboratories</w:t>
      </w:r>
    </w:p>
    <w:p w:rsidR="007E00FE" w:rsidRPr="008D0344" w:rsidRDefault="007E00FE" w:rsidP="001E6578">
      <w:pPr>
        <w:numPr>
          <w:ilvl w:val="0"/>
          <w:numId w:val="5"/>
        </w:numPr>
        <w:contextualSpacing/>
        <w:rPr>
          <w:rFonts w:eastAsia="Calibri" w:cs="Times New Roman"/>
        </w:rPr>
      </w:pPr>
      <w:r w:rsidRPr="008D0344">
        <w:rPr>
          <w:rFonts w:eastAsia="Calibri" w:cs="Times New Roman"/>
        </w:rPr>
        <w:t>Establish required standards and protocols</w:t>
      </w:r>
    </w:p>
    <w:p w:rsidR="007E00FE" w:rsidRPr="008D0344" w:rsidRDefault="007E00FE" w:rsidP="001E6578">
      <w:pPr>
        <w:numPr>
          <w:ilvl w:val="0"/>
          <w:numId w:val="5"/>
        </w:numPr>
        <w:contextualSpacing/>
        <w:rPr>
          <w:rFonts w:eastAsia="Calibri" w:cs="Times New Roman"/>
        </w:rPr>
      </w:pPr>
      <w:r w:rsidRPr="008D0344">
        <w:rPr>
          <w:rFonts w:eastAsia="Calibri" w:cs="Times New Roman"/>
        </w:rPr>
        <w:t>Facilitate the establishment of an i</w:t>
      </w:r>
      <w:r w:rsidR="00362CE1" w:rsidRPr="008D0344">
        <w:rPr>
          <w:rFonts w:eastAsia="Calibri" w:cs="Times New Roman"/>
        </w:rPr>
        <w:t>nternational laboratory network</w:t>
      </w:r>
    </w:p>
    <w:p w:rsidR="007E00FE" w:rsidRPr="008D0344" w:rsidRDefault="007E00FE" w:rsidP="001E6578">
      <w:pPr>
        <w:numPr>
          <w:ilvl w:val="0"/>
          <w:numId w:val="5"/>
        </w:numPr>
        <w:contextualSpacing/>
        <w:rPr>
          <w:rFonts w:eastAsia="Calibri" w:cs="Times New Roman"/>
        </w:rPr>
      </w:pPr>
      <w:r w:rsidRPr="008D0344">
        <w:rPr>
          <w:rFonts w:eastAsia="Calibri" w:cs="Times New Roman"/>
        </w:rPr>
        <w:t xml:space="preserve">Establish and communicate a </w:t>
      </w:r>
      <w:r w:rsidR="00067BEB" w:rsidRPr="008D0344">
        <w:rPr>
          <w:rFonts w:eastAsia="Calibri" w:cs="Times New Roman"/>
        </w:rPr>
        <w:t>listing</w:t>
      </w:r>
      <w:r w:rsidRPr="008D0344">
        <w:rPr>
          <w:rFonts w:eastAsia="Calibri" w:cs="Times New Roman"/>
        </w:rPr>
        <w:t xml:space="preserve"> of available diagnostic laboratories and their expertise.</w:t>
      </w:r>
    </w:p>
    <w:p w:rsidR="007E00FE" w:rsidRPr="008D0344" w:rsidRDefault="007E00FE" w:rsidP="008D0344">
      <w:pPr>
        <w:rPr>
          <w:rFonts w:eastAsia="Calibri" w:cs="Times New Roman"/>
        </w:rPr>
      </w:pPr>
    </w:p>
    <w:tbl>
      <w:tblPr>
        <w:tblStyle w:val="TableGrid"/>
        <w:tblW w:w="0" w:type="auto"/>
        <w:tblLook w:val="04A0" w:firstRow="1" w:lastRow="0" w:firstColumn="1" w:lastColumn="0" w:noHBand="0" w:noVBand="1"/>
      </w:tblPr>
      <w:tblGrid>
        <w:gridCol w:w="2972"/>
        <w:gridCol w:w="1134"/>
        <w:gridCol w:w="992"/>
        <w:gridCol w:w="993"/>
        <w:gridCol w:w="992"/>
        <w:gridCol w:w="992"/>
        <w:gridCol w:w="941"/>
      </w:tblGrid>
      <w:tr w:rsidR="00324ACE" w:rsidRPr="00D667D5" w:rsidTr="003B580E">
        <w:trPr>
          <w:tblHeader/>
        </w:trPr>
        <w:tc>
          <w:tcPr>
            <w:tcW w:w="2972"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lastRenderedPageBreak/>
              <w:t>Action</w:t>
            </w:r>
          </w:p>
        </w:tc>
        <w:tc>
          <w:tcPr>
            <w:tcW w:w="1134" w:type="dxa"/>
            <w:vMerge w:val="restart"/>
            <w:shd w:val="clear" w:color="auto" w:fill="D9D9D9" w:themeFill="background1" w:themeFillShade="D9"/>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Funding</w:t>
            </w:r>
          </w:p>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Source</w:t>
            </w:r>
          </w:p>
        </w:tc>
        <w:tc>
          <w:tcPr>
            <w:tcW w:w="4910" w:type="dxa"/>
            <w:gridSpan w:val="5"/>
            <w:shd w:val="clear" w:color="auto" w:fill="D9D9D9" w:themeFill="background1" w:themeFillShade="D9"/>
          </w:tcPr>
          <w:p w:rsidR="00324ACE" w:rsidRPr="00D667D5" w:rsidRDefault="00324ACE" w:rsidP="00A77EDE">
            <w:pPr>
              <w:jc w:val="center"/>
              <w:rPr>
                <w:rFonts w:ascii="Arial" w:eastAsia="Calibri" w:hAnsi="Arial" w:cs="Arial"/>
                <w:sz w:val="18"/>
                <w:szCs w:val="18"/>
              </w:rPr>
            </w:pPr>
            <w:r w:rsidRPr="00D667D5">
              <w:rPr>
                <w:rFonts w:ascii="Arial" w:eastAsia="Calibri" w:hAnsi="Arial" w:cs="Arial"/>
                <w:sz w:val="18"/>
                <w:szCs w:val="18"/>
              </w:rPr>
              <w:t>Estimated budget (USD)</w:t>
            </w:r>
          </w:p>
        </w:tc>
      </w:tr>
      <w:tr w:rsidR="00324ACE" w:rsidRPr="00D667D5" w:rsidTr="00A77EDE">
        <w:trPr>
          <w:tblHeader/>
        </w:trPr>
        <w:tc>
          <w:tcPr>
            <w:tcW w:w="2972" w:type="dxa"/>
            <w:vMerge/>
          </w:tcPr>
          <w:p w:rsidR="00324ACE" w:rsidRPr="00D667D5" w:rsidRDefault="00324ACE" w:rsidP="00A77EDE">
            <w:pPr>
              <w:rPr>
                <w:rFonts w:ascii="Arial" w:eastAsia="Calibri" w:hAnsi="Arial" w:cs="Arial"/>
                <w:sz w:val="18"/>
                <w:szCs w:val="18"/>
              </w:rPr>
            </w:pPr>
          </w:p>
        </w:tc>
        <w:tc>
          <w:tcPr>
            <w:tcW w:w="1134" w:type="dxa"/>
            <w:vMerge/>
          </w:tcPr>
          <w:p w:rsidR="00324ACE" w:rsidRPr="00D667D5" w:rsidRDefault="00324ACE" w:rsidP="00A77EDE">
            <w:pPr>
              <w:rPr>
                <w:rFonts w:ascii="Arial" w:eastAsia="Calibri" w:hAnsi="Arial" w:cs="Arial"/>
                <w:sz w:val="18"/>
                <w:szCs w:val="18"/>
              </w:rPr>
            </w:pP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2020</w:t>
            </w:r>
          </w:p>
        </w:tc>
        <w:tc>
          <w:tcPr>
            <w:tcW w:w="993"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2021</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2022</w:t>
            </w:r>
          </w:p>
        </w:tc>
        <w:tc>
          <w:tcPr>
            <w:tcW w:w="992"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2023</w:t>
            </w:r>
          </w:p>
        </w:tc>
        <w:tc>
          <w:tcPr>
            <w:tcW w:w="941" w:type="dxa"/>
            <w:shd w:val="clear" w:color="auto" w:fill="F2F2F2" w:themeFill="background1" w:themeFillShade="F2"/>
          </w:tcPr>
          <w:p w:rsidR="00324ACE" w:rsidRPr="00D667D5" w:rsidRDefault="00324ACE" w:rsidP="00A77EDE">
            <w:pPr>
              <w:rPr>
                <w:rFonts w:ascii="Arial" w:eastAsia="Calibri" w:hAnsi="Arial" w:cs="Arial"/>
                <w:sz w:val="18"/>
                <w:szCs w:val="18"/>
              </w:rPr>
            </w:pPr>
            <w:r w:rsidRPr="00D667D5">
              <w:rPr>
                <w:rFonts w:ascii="Arial" w:eastAsia="Calibri" w:hAnsi="Arial" w:cs="Arial"/>
                <w:sz w:val="18"/>
                <w:szCs w:val="18"/>
              </w:rPr>
              <w:t>2024</w:t>
            </w:r>
          </w:p>
        </w:tc>
      </w:tr>
      <w:tr w:rsidR="0058362F" w:rsidRPr="00D667D5" w:rsidTr="0058362F">
        <w:tc>
          <w:tcPr>
            <w:tcW w:w="2972" w:type="dxa"/>
          </w:tcPr>
          <w:p w:rsidR="0058362F" w:rsidRPr="00D667D5" w:rsidRDefault="0058362F" w:rsidP="0058362F">
            <w:pPr>
              <w:rPr>
                <w:rFonts w:ascii="Arial" w:eastAsia="Calibri" w:hAnsi="Arial" w:cs="Arial"/>
                <w:sz w:val="18"/>
                <w:szCs w:val="18"/>
              </w:rPr>
            </w:pPr>
            <w:r w:rsidRPr="00D667D5">
              <w:rPr>
                <w:rFonts w:ascii="Arial" w:eastAsia="Calibri" w:hAnsi="Arial" w:cs="Arial"/>
                <w:sz w:val="18"/>
                <w:szCs w:val="18"/>
              </w:rPr>
              <w:t>Coordinate and publish a list of diagnostic laboratories including operational expertise</w:t>
            </w:r>
          </w:p>
        </w:tc>
        <w:tc>
          <w:tcPr>
            <w:tcW w:w="1134" w:type="dxa"/>
          </w:tcPr>
          <w:p w:rsidR="0058362F" w:rsidRPr="00D667D5" w:rsidRDefault="00626062" w:rsidP="0058362F">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58362F" w:rsidRPr="00D667D5" w:rsidRDefault="00E417EF" w:rsidP="0058362F">
            <w:pPr>
              <w:rPr>
                <w:rFonts w:ascii="Arial" w:eastAsia="Calibri" w:hAnsi="Arial" w:cs="Arial"/>
                <w:sz w:val="18"/>
                <w:szCs w:val="18"/>
              </w:rPr>
            </w:pPr>
            <w:r w:rsidRPr="00D667D5">
              <w:rPr>
                <w:rFonts w:ascii="Arial" w:eastAsia="Calibri" w:hAnsi="Arial" w:cs="Arial"/>
                <w:sz w:val="18"/>
                <w:szCs w:val="18"/>
              </w:rPr>
              <w:t>30 K</w:t>
            </w:r>
          </w:p>
        </w:tc>
        <w:tc>
          <w:tcPr>
            <w:tcW w:w="993" w:type="dxa"/>
          </w:tcPr>
          <w:p w:rsidR="0058362F" w:rsidRPr="00D667D5" w:rsidRDefault="0058362F" w:rsidP="0058362F">
            <w:pPr>
              <w:rPr>
                <w:rFonts w:ascii="Arial" w:eastAsia="Calibri" w:hAnsi="Arial" w:cs="Arial"/>
                <w:sz w:val="18"/>
                <w:szCs w:val="18"/>
              </w:rPr>
            </w:pPr>
          </w:p>
        </w:tc>
        <w:tc>
          <w:tcPr>
            <w:tcW w:w="992" w:type="dxa"/>
          </w:tcPr>
          <w:p w:rsidR="0058362F" w:rsidRPr="00D667D5" w:rsidRDefault="00E417EF" w:rsidP="0058362F">
            <w:pPr>
              <w:rPr>
                <w:rFonts w:ascii="Arial" w:eastAsia="Calibri" w:hAnsi="Arial" w:cs="Arial"/>
                <w:sz w:val="18"/>
                <w:szCs w:val="18"/>
              </w:rPr>
            </w:pPr>
            <w:r w:rsidRPr="00D667D5">
              <w:rPr>
                <w:rFonts w:ascii="Arial" w:eastAsia="Calibri" w:hAnsi="Arial" w:cs="Arial"/>
                <w:sz w:val="18"/>
                <w:szCs w:val="18"/>
              </w:rPr>
              <w:t>10 K</w:t>
            </w:r>
          </w:p>
        </w:tc>
        <w:tc>
          <w:tcPr>
            <w:tcW w:w="992" w:type="dxa"/>
          </w:tcPr>
          <w:p w:rsidR="0058362F" w:rsidRPr="00D667D5" w:rsidRDefault="0058362F" w:rsidP="0058362F">
            <w:pPr>
              <w:rPr>
                <w:rFonts w:ascii="Arial" w:eastAsia="Calibri" w:hAnsi="Arial" w:cs="Arial"/>
                <w:sz w:val="18"/>
                <w:szCs w:val="18"/>
              </w:rPr>
            </w:pPr>
          </w:p>
        </w:tc>
        <w:tc>
          <w:tcPr>
            <w:tcW w:w="941" w:type="dxa"/>
          </w:tcPr>
          <w:p w:rsidR="0058362F" w:rsidRPr="00D667D5" w:rsidRDefault="0058362F" w:rsidP="0058362F">
            <w:pPr>
              <w:rPr>
                <w:rFonts w:ascii="Arial" w:eastAsia="Calibri" w:hAnsi="Arial" w:cs="Arial"/>
                <w:sz w:val="18"/>
                <w:szCs w:val="18"/>
              </w:rPr>
            </w:pPr>
          </w:p>
        </w:tc>
      </w:tr>
      <w:tr w:rsidR="00324ACE" w:rsidRPr="00D667D5" w:rsidTr="00A77EDE">
        <w:tc>
          <w:tcPr>
            <w:tcW w:w="2972" w:type="dxa"/>
          </w:tcPr>
          <w:p w:rsidR="00324ACE" w:rsidRPr="00D667D5" w:rsidRDefault="0058362F" w:rsidP="00A77EDE">
            <w:pPr>
              <w:rPr>
                <w:rFonts w:ascii="Arial" w:eastAsia="Calibri" w:hAnsi="Arial" w:cs="Arial"/>
                <w:sz w:val="18"/>
                <w:szCs w:val="18"/>
              </w:rPr>
            </w:pPr>
            <w:r w:rsidRPr="00D667D5">
              <w:rPr>
                <w:rFonts w:ascii="Arial" w:eastAsia="Calibri" w:hAnsi="Arial" w:cs="Arial"/>
                <w:sz w:val="18"/>
                <w:szCs w:val="18"/>
              </w:rPr>
              <w:t>Develop a model for networked or shared diagnostic laboratories</w:t>
            </w:r>
          </w:p>
        </w:tc>
        <w:tc>
          <w:tcPr>
            <w:tcW w:w="1134" w:type="dxa"/>
          </w:tcPr>
          <w:p w:rsidR="00324ACE" w:rsidRPr="00D667D5" w:rsidRDefault="00626062" w:rsidP="00A77EDE">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24ACE" w:rsidRPr="00D667D5" w:rsidRDefault="00324ACE" w:rsidP="00A77EDE">
            <w:pPr>
              <w:rPr>
                <w:rFonts w:ascii="Arial" w:eastAsia="Calibri" w:hAnsi="Arial" w:cs="Arial"/>
                <w:sz w:val="18"/>
                <w:szCs w:val="18"/>
              </w:rPr>
            </w:pPr>
          </w:p>
        </w:tc>
        <w:tc>
          <w:tcPr>
            <w:tcW w:w="993"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100 K</w:t>
            </w: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324ACE" w:rsidRPr="00D667D5" w:rsidRDefault="00324ACE" w:rsidP="00A77EDE">
            <w:pPr>
              <w:rPr>
                <w:rFonts w:ascii="Arial" w:eastAsia="Calibri" w:hAnsi="Arial" w:cs="Arial"/>
                <w:sz w:val="18"/>
                <w:szCs w:val="18"/>
              </w:rPr>
            </w:pPr>
          </w:p>
        </w:tc>
        <w:tc>
          <w:tcPr>
            <w:tcW w:w="941" w:type="dxa"/>
          </w:tcPr>
          <w:p w:rsidR="00324ACE" w:rsidRPr="00D667D5" w:rsidRDefault="00324ACE" w:rsidP="00A77EDE">
            <w:pPr>
              <w:rPr>
                <w:rFonts w:ascii="Arial" w:eastAsia="Calibri" w:hAnsi="Arial" w:cs="Arial"/>
                <w:sz w:val="18"/>
                <w:szCs w:val="18"/>
              </w:rPr>
            </w:pPr>
          </w:p>
        </w:tc>
      </w:tr>
      <w:tr w:rsidR="00324ACE" w:rsidRPr="00D667D5" w:rsidTr="00A77EDE">
        <w:tc>
          <w:tcPr>
            <w:tcW w:w="2972" w:type="dxa"/>
          </w:tcPr>
          <w:p w:rsidR="00324ACE" w:rsidRPr="00D667D5" w:rsidRDefault="0058362F" w:rsidP="00A77EDE">
            <w:pPr>
              <w:rPr>
                <w:rFonts w:ascii="Arial" w:eastAsia="Calibri" w:hAnsi="Arial" w:cs="Arial"/>
                <w:sz w:val="18"/>
                <w:szCs w:val="18"/>
              </w:rPr>
            </w:pPr>
            <w:r w:rsidRPr="00D667D5">
              <w:rPr>
                <w:rFonts w:ascii="Arial" w:eastAsia="Calibri" w:hAnsi="Arial" w:cs="Arial"/>
                <w:sz w:val="18"/>
                <w:szCs w:val="18"/>
              </w:rPr>
              <w:t>Draft standards and protocols</w:t>
            </w:r>
          </w:p>
        </w:tc>
        <w:tc>
          <w:tcPr>
            <w:tcW w:w="1134" w:type="dxa"/>
          </w:tcPr>
          <w:p w:rsidR="00324ACE" w:rsidRPr="00D667D5" w:rsidRDefault="00626062" w:rsidP="00A77EDE">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24ACE" w:rsidRPr="00D667D5" w:rsidRDefault="00324ACE" w:rsidP="00A77EDE">
            <w:pPr>
              <w:rPr>
                <w:rFonts w:ascii="Arial" w:eastAsia="Calibri" w:hAnsi="Arial" w:cs="Arial"/>
                <w:sz w:val="18"/>
                <w:szCs w:val="18"/>
              </w:rPr>
            </w:pPr>
          </w:p>
        </w:tc>
        <w:tc>
          <w:tcPr>
            <w:tcW w:w="993" w:type="dxa"/>
          </w:tcPr>
          <w:p w:rsidR="00324ACE" w:rsidRPr="00D667D5" w:rsidRDefault="00324ACE" w:rsidP="00A77EDE">
            <w:pPr>
              <w:rPr>
                <w:rFonts w:ascii="Arial" w:eastAsia="Calibri" w:hAnsi="Arial" w:cs="Arial"/>
                <w:sz w:val="18"/>
                <w:szCs w:val="18"/>
              </w:rPr>
            </w:pP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60 K</w:t>
            </w:r>
          </w:p>
        </w:tc>
        <w:tc>
          <w:tcPr>
            <w:tcW w:w="992"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c>
          <w:tcPr>
            <w:tcW w:w="941" w:type="dxa"/>
          </w:tcPr>
          <w:p w:rsidR="00324ACE" w:rsidRPr="00D667D5" w:rsidRDefault="00E417EF" w:rsidP="00A77EDE">
            <w:pPr>
              <w:rPr>
                <w:rFonts w:ascii="Arial" w:eastAsia="Calibri" w:hAnsi="Arial" w:cs="Arial"/>
                <w:sz w:val="18"/>
                <w:szCs w:val="18"/>
              </w:rPr>
            </w:pPr>
            <w:r w:rsidRPr="00D667D5">
              <w:rPr>
                <w:rFonts w:ascii="Arial" w:eastAsia="Calibri" w:hAnsi="Arial" w:cs="Arial"/>
                <w:sz w:val="18"/>
                <w:szCs w:val="18"/>
              </w:rPr>
              <w:t>15 K</w:t>
            </w:r>
          </w:p>
        </w:tc>
      </w:tr>
      <w:tr w:rsidR="00362CE1" w:rsidRPr="00D667D5" w:rsidTr="00A77EDE">
        <w:tc>
          <w:tcPr>
            <w:tcW w:w="2972" w:type="dxa"/>
          </w:tcPr>
          <w:p w:rsidR="00362CE1" w:rsidRPr="00D667D5" w:rsidRDefault="0058362F" w:rsidP="00A77EDE">
            <w:pPr>
              <w:rPr>
                <w:rFonts w:ascii="Arial" w:eastAsia="Calibri" w:hAnsi="Arial" w:cs="Arial"/>
                <w:sz w:val="18"/>
                <w:szCs w:val="18"/>
              </w:rPr>
            </w:pPr>
            <w:r w:rsidRPr="00D667D5">
              <w:rPr>
                <w:rFonts w:ascii="Arial" w:eastAsia="Calibri" w:hAnsi="Arial" w:cs="Arial"/>
                <w:sz w:val="18"/>
                <w:szCs w:val="18"/>
              </w:rPr>
              <w:t>Coordinate a pilot laboratory network</w:t>
            </w:r>
          </w:p>
        </w:tc>
        <w:tc>
          <w:tcPr>
            <w:tcW w:w="1134" w:type="dxa"/>
          </w:tcPr>
          <w:p w:rsidR="00362CE1" w:rsidRPr="00D667D5" w:rsidRDefault="00626062" w:rsidP="00A77EDE">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62CE1" w:rsidRPr="00D667D5" w:rsidRDefault="00362CE1" w:rsidP="00A77EDE">
            <w:pPr>
              <w:rPr>
                <w:rFonts w:ascii="Arial" w:eastAsia="Calibri" w:hAnsi="Arial" w:cs="Arial"/>
                <w:sz w:val="18"/>
                <w:szCs w:val="18"/>
              </w:rPr>
            </w:pPr>
          </w:p>
        </w:tc>
        <w:tc>
          <w:tcPr>
            <w:tcW w:w="993" w:type="dxa"/>
          </w:tcPr>
          <w:p w:rsidR="00362CE1" w:rsidRPr="00D667D5" w:rsidRDefault="00362CE1" w:rsidP="00A77EDE">
            <w:pPr>
              <w:rPr>
                <w:rFonts w:ascii="Arial" w:eastAsia="Calibri" w:hAnsi="Arial" w:cs="Arial"/>
                <w:sz w:val="18"/>
                <w:szCs w:val="18"/>
              </w:rPr>
            </w:pPr>
          </w:p>
        </w:tc>
        <w:tc>
          <w:tcPr>
            <w:tcW w:w="992" w:type="dxa"/>
          </w:tcPr>
          <w:p w:rsidR="00362CE1" w:rsidRPr="00D667D5" w:rsidRDefault="003D75CE" w:rsidP="00A77EDE">
            <w:pPr>
              <w:rPr>
                <w:rFonts w:ascii="Arial" w:eastAsia="Calibri" w:hAnsi="Arial" w:cs="Arial"/>
                <w:sz w:val="18"/>
                <w:szCs w:val="18"/>
              </w:rPr>
            </w:pPr>
            <w:r w:rsidRPr="00D667D5">
              <w:rPr>
                <w:rFonts w:ascii="Arial" w:eastAsia="Calibri" w:hAnsi="Arial" w:cs="Arial"/>
                <w:sz w:val="18"/>
                <w:szCs w:val="18"/>
              </w:rPr>
              <w:t>15 K</w:t>
            </w:r>
          </w:p>
        </w:tc>
        <w:tc>
          <w:tcPr>
            <w:tcW w:w="992" w:type="dxa"/>
          </w:tcPr>
          <w:p w:rsidR="00362CE1" w:rsidRPr="00D667D5" w:rsidRDefault="003D75CE" w:rsidP="00A77EDE">
            <w:pPr>
              <w:rPr>
                <w:rFonts w:ascii="Arial" w:eastAsia="Calibri" w:hAnsi="Arial" w:cs="Arial"/>
                <w:sz w:val="18"/>
                <w:szCs w:val="18"/>
              </w:rPr>
            </w:pPr>
            <w:r w:rsidRPr="00D667D5">
              <w:rPr>
                <w:rFonts w:ascii="Arial" w:eastAsia="Calibri" w:hAnsi="Arial" w:cs="Arial"/>
                <w:sz w:val="18"/>
                <w:szCs w:val="18"/>
              </w:rPr>
              <w:t>30 K</w:t>
            </w:r>
          </w:p>
        </w:tc>
        <w:tc>
          <w:tcPr>
            <w:tcW w:w="941" w:type="dxa"/>
          </w:tcPr>
          <w:p w:rsidR="00362CE1" w:rsidRPr="00D667D5" w:rsidRDefault="00362CE1" w:rsidP="00A77EDE">
            <w:pPr>
              <w:rPr>
                <w:rFonts w:ascii="Arial" w:eastAsia="Calibri" w:hAnsi="Arial" w:cs="Arial"/>
                <w:sz w:val="18"/>
                <w:szCs w:val="18"/>
              </w:rPr>
            </w:pPr>
          </w:p>
        </w:tc>
      </w:tr>
      <w:tr w:rsidR="00503B18" w:rsidRPr="00D667D5" w:rsidTr="00503B18">
        <w:tc>
          <w:tcPr>
            <w:tcW w:w="297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Total</w:t>
            </w:r>
          </w:p>
        </w:tc>
        <w:tc>
          <w:tcPr>
            <w:tcW w:w="1134" w:type="dxa"/>
          </w:tcPr>
          <w:p w:rsidR="00503B18" w:rsidRPr="00D667D5" w:rsidRDefault="00503B18" w:rsidP="000503F7">
            <w:pPr>
              <w:rPr>
                <w:rFonts w:ascii="Arial" w:eastAsia="Calibri" w:hAnsi="Arial" w:cs="Arial"/>
                <w:b/>
                <w:sz w:val="18"/>
                <w:szCs w:val="18"/>
              </w:rPr>
            </w:pPr>
            <w:proofErr w:type="spellStart"/>
            <w:r w:rsidRPr="00D667D5">
              <w:rPr>
                <w:rFonts w:ascii="Arial" w:eastAsia="Calibri" w:hAnsi="Arial" w:cs="Arial"/>
                <w:b/>
                <w:sz w:val="18"/>
                <w:szCs w:val="18"/>
              </w:rPr>
              <w:t>ExtP</w:t>
            </w:r>
            <w:proofErr w:type="spellEnd"/>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30 K</w:t>
            </w:r>
          </w:p>
        </w:tc>
        <w:tc>
          <w:tcPr>
            <w:tcW w:w="993"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100 K</w:t>
            </w:r>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145 K</w:t>
            </w:r>
          </w:p>
        </w:tc>
        <w:tc>
          <w:tcPr>
            <w:tcW w:w="992"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45 K</w:t>
            </w:r>
          </w:p>
        </w:tc>
        <w:tc>
          <w:tcPr>
            <w:tcW w:w="941" w:type="dxa"/>
          </w:tcPr>
          <w:p w:rsidR="00503B18" w:rsidRPr="00D667D5" w:rsidRDefault="00503B18" w:rsidP="000503F7">
            <w:pPr>
              <w:rPr>
                <w:rFonts w:ascii="Arial" w:eastAsia="Calibri" w:hAnsi="Arial" w:cs="Arial"/>
                <w:b/>
                <w:sz w:val="18"/>
                <w:szCs w:val="18"/>
              </w:rPr>
            </w:pPr>
            <w:r w:rsidRPr="00D667D5">
              <w:rPr>
                <w:rFonts w:ascii="Arial" w:eastAsia="Calibri" w:hAnsi="Arial" w:cs="Arial"/>
                <w:b/>
                <w:sz w:val="18"/>
                <w:szCs w:val="18"/>
              </w:rPr>
              <w:t>15 K</w:t>
            </w:r>
          </w:p>
        </w:tc>
      </w:tr>
      <w:tr w:rsidR="003D75CE" w:rsidRPr="00D667D5" w:rsidTr="00A77EDE">
        <w:tc>
          <w:tcPr>
            <w:tcW w:w="2972" w:type="dxa"/>
          </w:tcPr>
          <w:p w:rsidR="003D75CE" w:rsidRPr="00D667D5" w:rsidRDefault="003D75CE" w:rsidP="00A77EDE">
            <w:pPr>
              <w:rPr>
                <w:rFonts w:ascii="Arial" w:eastAsia="Calibri" w:hAnsi="Arial" w:cs="Arial"/>
                <w:sz w:val="18"/>
                <w:szCs w:val="18"/>
              </w:rPr>
            </w:pPr>
            <w:r w:rsidRPr="00D667D5">
              <w:rPr>
                <w:rFonts w:ascii="Arial" w:eastAsia="Calibri" w:hAnsi="Arial" w:cs="Arial"/>
                <w:sz w:val="18"/>
                <w:szCs w:val="18"/>
              </w:rPr>
              <w:t>FTE (estimate)</w:t>
            </w:r>
          </w:p>
        </w:tc>
        <w:tc>
          <w:tcPr>
            <w:tcW w:w="1134" w:type="dxa"/>
          </w:tcPr>
          <w:p w:rsidR="003D75CE" w:rsidRPr="00D667D5" w:rsidRDefault="003D75CE" w:rsidP="00A77EDE">
            <w:pPr>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992" w:type="dxa"/>
          </w:tcPr>
          <w:p w:rsidR="003D75CE" w:rsidRPr="00D667D5" w:rsidRDefault="003D75CE" w:rsidP="00A77EDE">
            <w:pPr>
              <w:rPr>
                <w:rFonts w:ascii="Arial" w:eastAsia="Calibri" w:hAnsi="Arial" w:cs="Arial"/>
                <w:sz w:val="18"/>
                <w:szCs w:val="18"/>
              </w:rPr>
            </w:pPr>
            <w:r w:rsidRPr="00D667D5">
              <w:rPr>
                <w:rFonts w:ascii="Arial" w:eastAsia="Calibri" w:hAnsi="Arial" w:cs="Arial"/>
                <w:sz w:val="18"/>
                <w:szCs w:val="18"/>
              </w:rPr>
              <w:t>0.25</w:t>
            </w:r>
          </w:p>
        </w:tc>
        <w:tc>
          <w:tcPr>
            <w:tcW w:w="993" w:type="dxa"/>
          </w:tcPr>
          <w:p w:rsidR="003D75CE" w:rsidRPr="00D667D5" w:rsidRDefault="003D75CE" w:rsidP="00A77EDE">
            <w:pPr>
              <w:rPr>
                <w:rFonts w:ascii="Arial" w:eastAsia="Calibri" w:hAnsi="Arial" w:cs="Arial"/>
                <w:sz w:val="18"/>
                <w:szCs w:val="18"/>
              </w:rPr>
            </w:pPr>
            <w:r w:rsidRPr="00D667D5">
              <w:rPr>
                <w:rFonts w:ascii="Arial" w:eastAsia="Calibri" w:hAnsi="Arial" w:cs="Arial"/>
                <w:sz w:val="18"/>
                <w:szCs w:val="18"/>
              </w:rPr>
              <w:t>0.5</w:t>
            </w:r>
          </w:p>
        </w:tc>
        <w:tc>
          <w:tcPr>
            <w:tcW w:w="992" w:type="dxa"/>
          </w:tcPr>
          <w:p w:rsidR="003D75CE" w:rsidRPr="00D667D5" w:rsidRDefault="003D75CE" w:rsidP="00A77EDE">
            <w:pPr>
              <w:rPr>
                <w:rFonts w:ascii="Arial" w:eastAsia="Calibri" w:hAnsi="Arial" w:cs="Arial"/>
                <w:sz w:val="18"/>
                <w:szCs w:val="18"/>
              </w:rPr>
            </w:pPr>
            <w:r w:rsidRPr="00D667D5">
              <w:rPr>
                <w:rFonts w:ascii="Arial" w:eastAsia="Calibri" w:hAnsi="Arial" w:cs="Arial"/>
                <w:sz w:val="18"/>
                <w:szCs w:val="18"/>
              </w:rPr>
              <w:t>1.25</w:t>
            </w:r>
          </w:p>
        </w:tc>
        <w:tc>
          <w:tcPr>
            <w:tcW w:w="992" w:type="dxa"/>
          </w:tcPr>
          <w:p w:rsidR="003D75CE" w:rsidRPr="00D667D5" w:rsidRDefault="003D75CE" w:rsidP="00A77EDE">
            <w:pPr>
              <w:rPr>
                <w:rFonts w:ascii="Arial" w:eastAsia="Calibri" w:hAnsi="Arial" w:cs="Arial"/>
                <w:sz w:val="18"/>
                <w:szCs w:val="18"/>
              </w:rPr>
            </w:pPr>
            <w:r w:rsidRPr="00D667D5">
              <w:rPr>
                <w:rFonts w:ascii="Arial" w:eastAsia="Calibri" w:hAnsi="Arial" w:cs="Arial"/>
                <w:sz w:val="18"/>
                <w:szCs w:val="18"/>
              </w:rPr>
              <w:t>0.5</w:t>
            </w:r>
          </w:p>
        </w:tc>
        <w:tc>
          <w:tcPr>
            <w:tcW w:w="941" w:type="dxa"/>
          </w:tcPr>
          <w:p w:rsidR="003D75CE" w:rsidRPr="00D667D5" w:rsidRDefault="003D75CE" w:rsidP="00A77EDE">
            <w:pPr>
              <w:rPr>
                <w:rFonts w:ascii="Arial" w:eastAsia="Calibri" w:hAnsi="Arial" w:cs="Arial"/>
                <w:sz w:val="18"/>
                <w:szCs w:val="18"/>
              </w:rPr>
            </w:pPr>
            <w:r w:rsidRPr="00D667D5">
              <w:rPr>
                <w:rFonts w:ascii="Arial" w:eastAsia="Calibri" w:hAnsi="Arial" w:cs="Arial"/>
                <w:sz w:val="18"/>
                <w:szCs w:val="18"/>
              </w:rPr>
              <w:t>0.1</w:t>
            </w:r>
          </w:p>
        </w:tc>
      </w:tr>
      <w:bookmarkEnd w:id="16"/>
    </w:tbl>
    <w:p w:rsidR="003A20FC" w:rsidRDefault="003A20FC" w:rsidP="007E00FE">
      <w:pPr>
        <w:rPr>
          <w:rFonts w:ascii="Calibri" w:eastAsia="Calibri" w:hAnsi="Calibri" w:cs="Times New Roman"/>
        </w:rPr>
      </w:pPr>
    </w:p>
    <w:p w:rsidR="00F844A1" w:rsidRDefault="00F844A1" w:rsidP="007E00FE">
      <w:pPr>
        <w:rPr>
          <w:rFonts w:ascii="Calibri" w:eastAsia="Calibri" w:hAnsi="Calibri" w:cs="Times New Roman"/>
        </w:rPr>
      </w:pPr>
    </w:p>
    <w:p w:rsidR="00F844A1" w:rsidRPr="00D667D5" w:rsidRDefault="001E5483" w:rsidP="00F844A1">
      <w:pPr>
        <w:rPr>
          <w:rFonts w:eastAsiaTheme="majorEastAsia" w:cstheme="majorBidi"/>
          <w:b/>
          <w:sz w:val="24"/>
        </w:rPr>
      </w:pPr>
      <w:r>
        <w:rPr>
          <w:rFonts w:ascii="Calibri" w:eastAsia="Times New Roman" w:hAnsi="Calibri" w:cs="Times New Roman"/>
          <w:b/>
          <w:sz w:val="40"/>
          <w:szCs w:val="40"/>
        </w:rPr>
        <w:br w:type="column"/>
      </w:r>
      <w:r w:rsidR="00F844A1" w:rsidRPr="00D667D5">
        <w:rPr>
          <w:rFonts w:ascii="Calibri" w:eastAsia="Times New Roman" w:hAnsi="Calibri" w:cs="Times New Roman"/>
          <w:b/>
          <w:sz w:val="24"/>
        </w:rPr>
        <w:lastRenderedPageBreak/>
        <w:t>4. Projected expenditure 2020 - 2024</w:t>
      </w:r>
    </w:p>
    <w:p w:rsidR="00503B18" w:rsidRDefault="00F844A1" w:rsidP="007E00FE">
      <w:pPr>
        <w:rPr>
          <w:rFonts w:ascii="Calibri" w:eastAsia="Calibri" w:hAnsi="Calibri" w:cs="Times New Roman"/>
        </w:rPr>
      </w:pPr>
      <w:r>
        <w:rPr>
          <w:rFonts w:ascii="Calibri" w:eastAsia="Calibri" w:hAnsi="Calibri" w:cs="Times New Roman"/>
        </w:rPr>
        <w:t>The collective investment in the IPPC Development Agenda from 2020 to 2024 based on indicative activities is USD 12.78 million over the 5 years, or around $2.5 million each year.  This includes funding for between 7.5 and 12.3 staff per annum (as full time equivalent or FTE) to undertake the activities.  This is largely in addition to the expected budget and staffing levels of the IPPC Secretariat that are funded from the FAO Regular Program biennial budget.</w:t>
      </w:r>
    </w:p>
    <w:p w:rsidR="00F844A1" w:rsidRDefault="00F844A1" w:rsidP="007E00FE">
      <w:pPr>
        <w:rPr>
          <w:rFonts w:ascii="Calibri" w:eastAsia="Calibri" w:hAnsi="Calibri" w:cs="Times New Roman"/>
        </w:rPr>
      </w:pPr>
      <w:r>
        <w:rPr>
          <w:rFonts w:ascii="Calibri" w:eastAsia="Calibri" w:hAnsi="Calibri" w:cs="Times New Roman"/>
        </w:rPr>
        <w:t xml:space="preserve">Around half of the expenditure is for the implementation of the </w:t>
      </w:r>
      <w:proofErr w:type="spellStart"/>
      <w:r>
        <w:rPr>
          <w:rFonts w:ascii="Calibri" w:eastAsia="Calibri" w:hAnsi="Calibri" w:cs="Times New Roman"/>
        </w:rPr>
        <w:t>ePhyto</w:t>
      </w:r>
      <w:proofErr w:type="spellEnd"/>
      <w:r>
        <w:rPr>
          <w:rFonts w:ascii="Calibri" w:eastAsia="Calibri" w:hAnsi="Calibri" w:cs="Times New Roman"/>
        </w:rPr>
        <w:t xml:space="preserve"> Solution, which will be directed by a separate five year investment and implementation work plan.</w:t>
      </w:r>
      <w:r w:rsidR="001E5483">
        <w:rPr>
          <w:rFonts w:ascii="Calibri" w:eastAsia="Calibri" w:hAnsi="Calibri" w:cs="Times New Roman"/>
        </w:rPr>
        <w:t xml:space="preserve">  Most of the remainder is projected to be funded as external projects beyond the contributions by contracting parties to the IPPC Multi Donor Trust Fund, with donors potentially entering into joint projects with the IPPC Secretariat.  These projects will require funding for staff resources in addition to operating capital in order for them to be undertaken.</w:t>
      </w:r>
    </w:p>
    <w:p w:rsidR="000503F7" w:rsidRDefault="000503F7" w:rsidP="007E00FE">
      <w:pPr>
        <w:rPr>
          <w:rFonts w:ascii="Calibri" w:eastAsia="Calibri" w:hAnsi="Calibri" w:cs="Times New Roman"/>
        </w:rPr>
      </w:pPr>
    </w:p>
    <w:p w:rsidR="00EA4A6E" w:rsidRDefault="00EA4A6E" w:rsidP="007E00FE">
      <w:pPr>
        <w:rPr>
          <w:rFonts w:ascii="Calibri" w:eastAsia="Calibri" w:hAnsi="Calibri" w:cs="Times New Roman"/>
        </w:rPr>
      </w:pPr>
    </w:p>
    <w:p w:rsidR="008C2ADB" w:rsidRPr="00C66826" w:rsidRDefault="008C2ADB" w:rsidP="008C2ADB">
      <w:pPr>
        <w:rPr>
          <w:b/>
        </w:rPr>
      </w:pPr>
      <w:r w:rsidRPr="00ED26F9">
        <w:rPr>
          <w:b/>
        </w:rPr>
        <w:t>Total projected investment in the IPPC Development Agenda, 2020 to 2024</w:t>
      </w:r>
    </w:p>
    <w:tbl>
      <w:tblPr>
        <w:tblStyle w:val="TableGrid6"/>
        <w:tblW w:w="0" w:type="auto"/>
        <w:tblLook w:val="04A0" w:firstRow="1" w:lastRow="0" w:firstColumn="1" w:lastColumn="0" w:noHBand="0" w:noVBand="1"/>
      </w:tblPr>
      <w:tblGrid>
        <w:gridCol w:w="2972"/>
        <w:gridCol w:w="1007"/>
        <w:gridCol w:w="1007"/>
        <w:gridCol w:w="1008"/>
        <w:gridCol w:w="1007"/>
        <w:gridCol w:w="1007"/>
        <w:gridCol w:w="1008"/>
      </w:tblGrid>
      <w:tr w:rsidR="000503F7" w:rsidRPr="00D667D5" w:rsidTr="00EA4A6E">
        <w:tc>
          <w:tcPr>
            <w:tcW w:w="9016" w:type="dxa"/>
            <w:gridSpan w:val="7"/>
            <w:shd w:val="clear" w:color="auto" w:fill="D9D9D9" w:themeFill="background1" w:themeFillShade="D9"/>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Development Agenda Item</w:t>
            </w:r>
          </w:p>
        </w:tc>
      </w:tr>
      <w:tr w:rsidR="000503F7" w:rsidRPr="00D667D5" w:rsidTr="00EA4A6E">
        <w:tc>
          <w:tcPr>
            <w:tcW w:w="2972" w:type="dxa"/>
          </w:tcPr>
          <w:p w:rsidR="000503F7" w:rsidRPr="00D667D5" w:rsidRDefault="000503F7" w:rsidP="000503F7">
            <w:pPr>
              <w:spacing w:before="60" w:after="60"/>
              <w:rPr>
                <w:rFonts w:ascii="Arial" w:eastAsia="Calibri" w:hAnsi="Arial" w:cs="Arial"/>
                <w:sz w:val="18"/>
                <w:szCs w:val="18"/>
              </w:rPr>
            </w:pPr>
          </w:p>
        </w:tc>
        <w:tc>
          <w:tcPr>
            <w:tcW w:w="1007"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Primary Source</w:t>
            </w:r>
          </w:p>
        </w:tc>
        <w:tc>
          <w:tcPr>
            <w:tcW w:w="1007"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2020</w:t>
            </w:r>
          </w:p>
        </w:tc>
        <w:tc>
          <w:tcPr>
            <w:tcW w:w="1008"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2021</w:t>
            </w:r>
          </w:p>
        </w:tc>
        <w:tc>
          <w:tcPr>
            <w:tcW w:w="1007"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2022</w:t>
            </w:r>
          </w:p>
        </w:tc>
        <w:tc>
          <w:tcPr>
            <w:tcW w:w="1007"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2023</w:t>
            </w:r>
          </w:p>
        </w:tc>
        <w:tc>
          <w:tcPr>
            <w:tcW w:w="1008"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2024</w:t>
            </w:r>
          </w:p>
        </w:tc>
      </w:tr>
      <w:tr w:rsidR="000503F7" w:rsidRPr="00D667D5" w:rsidTr="00EA4A6E">
        <w:tc>
          <w:tcPr>
            <w:tcW w:w="9016" w:type="dxa"/>
            <w:gridSpan w:val="7"/>
            <w:shd w:val="clear" w:color="auto" w:fill="F2F2F2" w:themeFill="background1" w:themeFillShade="F2"/>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1. Harmonisation of Electronic Data Exchange</w:t>
            </w:r>
          </w:p>
        </w:tc>
      </w:tr>
      <w:tr w:rsidR="000503F7" w:rsidRPr="00D667D5" w:rsidTr="00EA4A6E">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USD</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1.04 M</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1.190 M</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1.65 M</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1.39 M</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1.71 M</w:t>
            </w:r>
          </w:p>
        </w:tc>
      </w:tr>
      <w:tr w:rsidR="000503F7" w:rsidRPr="00D667D5" w:rsidTr="00EA4A6E">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FTE (estimate)</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4.0</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4.0</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4.0</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4.0</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4.0</w:t>
            </w:r>
          </w:p>
        </w:tc>
      </w:tr>
    </w:tbl>
    <w:tbl>
      <w:tblPr>
        <w:tblStyle w:val="TableGrid5"/>
        <w:tblW w:w="0" w:type="auto"/>
        <w:tblLook w:val="04A0" w:firstRow="1" w:lastRow="0" w:firstColumn="1" w:lastColumn="0" w:noHBand="0" w:noVBand="1"/>
      </w:tblPr>
      <w:tblGrid>
        <w:gridCol w:w="2972"/>
        <w:gridCol w:w="1007"/>
        <w:gridCol w:w="1007"/>
        <w:gridCol w:w="1008"/>
        <w:gridCol w:w="1007"/>
        <w:gridCol w:w="1007"/>
        <w:gridCol w:w="1008"/>
      </w:tblGrid>
      <w:tr w:rsidR="008C2ADB" w:rsidRPr="00D667D5" w:rsidTr="00EA4A6E">
        <w:tc>
          <w:tcPr>
            <w:tcW w:w="9016" w:type="dxa"/>
            <w:gridSpan w:val="7"/>
            <w:shd w:val="clear" w:color="auto" w:fill="F2F2F2" w:themeFill="background1" w:themeFillShade="F2"/>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 Commodity and Pathway Specific ISPMs</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USD</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Various</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430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380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480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440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460 K</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FTE (estimate)</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Various</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2.5</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2.5</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2.5</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2.0</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2.0</w:t>
            </w:r>
          </w:p>
        </w:tc>
      </w:tr>
    </w:tbl>
    <w:tbl>
      <w:tblPr>
        <w:tblStyle w:val="TableGrid4"/>
        <w:tblW w:w="0" w:type="auto"/>
        <w:tblLook w:val="04A0" w:firstRow="1" w:lastRow="0" w:firstColumn="1" w:lastColumn="0" w:noHBand="0" w:noVBand="1"/>
      </w:tblPr>
      <w:tblGrid>
        <w:gridCol w:w="2972"/>
        <w:gridCol w:w="1007"/>
        <w:gridCol w:w="1007"/>
        <w:gridCol w:w="1008"/>
        <w:gridCol w:w="1007"/>
        <w:gridCol w:w="1007"/>
        <w:gridCol w:w="1008"/>
      </w:tblGrid>
      <w:tr w:rsidR="008C2ADB" w:rsidRPr="00D667D5" w:rsidTr="00EA4A6E">
        <w:tc>
          <w:tcPr>
            <w:tcW w:w="9016" w:type="dxa"/>
            <w:gridSpan w:val="7"/>
            <w:shd w:val="clear" w:color="auto" w:fill="F2F2F2" w:themeFill="background1" w:themeFillShade="F2"/>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 Management of E-commerce and Courier Mail Pathways</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USD</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150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80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80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70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70 K</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FTE (estimate)</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1.25</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0.7</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0.7</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0.5</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0.5</w:t>
            </w:r>
          </w:p>
        </w:tc>
      </w:tr>
    </w:tbl>
    <w:tbl>
      <w:tblPr>
        <w:tblStyle w:val="TableGrid3"/>
        <w:tblW w:w="0" w:type="auto"/>
        <w:tblLook w:val="04A0" w:firstRow="1" w:lastRow="0" w:firstColumn="1" w:lastColumn="0" w:noHBand="0" w:noVBand="1"/>
      </w:tblPr>
      <w:tblGrid>
        <w:gridCol w:w="2972"/>
        <w:gridCol w:w="1007"/>
        <w:gridCol w:w="1007"/>
        <w:gridCol w:w="1008"/>
        <w:gridCol w:w="1007"/>
        <w:gridCol w:w="1007"/>
        <w:gridCol w:w="1008"/>
      </w:tblGrid>
      <w:tr w:rsidR="008C2ADB" w:rsidRPr="00D667D5" w:rsidTr="00EA4A6E">
        <w:tc>
          <w:tcPr>
            <w:tcW w:w="9016" w:type="dxa"/>
            <w:gridSpan w:val="7"/>
            <w:shd w:val="clear" w:color="auto" w:fill="F2F2F2" w:themeFill="background1" w:themeFillShade="F2"/>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 Enabling the Use of Third Party Entities</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USD</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130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180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80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60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60 K</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FTE (estimate)</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0.4</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1.0</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0.7</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0.5</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0.5</w:t>
            </w:r>
          </w:p>
        </w:tc>
      </w:tr>
      <w:tr w:rsidR="008C2ADB" w:rsidRPr="00D667D5" w:rsidTr="00EA4A6E">
        <w:tc>
          <w:tcPr>
            <w:tcW w:w="9016" w:type="dxa"/>
            <w:gridSpan w:val="7"/>
            <w:shd w:val="clear" w:color="auto" w:fill="F2F2F2" w:themeFill="background1" w:themeFillShade="F2"/>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5. Strengthening Pest Outbreak Alert and Response Systems</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USD</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Various</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410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330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210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60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30 K</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FTE (estimate)</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3.0</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3.0</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1.3</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0.5</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0.2</w:t>
            </w:r>
          </w:p>
        </w:tc>
      </w:tr>
      <w:tr w:rsidR="008C2ADB" w:rsidRPr="00D667D5" w:rsidTr="00EA4A6E">
        <w:tc>
          <w:tcPr>
            <w:tcW w:w="9016" w:type="dxa"/>
            <w:gridSpan w:val="7"/>
            <w:shd w:val="clear" w:color="auto" w:fill="F2F2F2" w:themeFill="background1" w:themeFillShade="F2"/>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6. Assessment and Management of Climate Change Impacts on Plant Health</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USD</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45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15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15 K</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FTE (estimate)</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0.25</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0.4</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0.25</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0.1</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0.1</w:t>
            </w:r>
          </w:p>
        </w:tc>
      </w:tr>
    </w:tbl>
    <w:tbl>
      <w:tblPr>
        <w:tblStyle w:val="TableGrid1"/>
        <w:tblW w:w="9016" w:type="dxa"/>
        <w:tblLayout w:type="fixed"/>
        <w:tblLook w:val="04A0" w:firstRow="1" w:lastRow="0" w:firstColumn="1" w:lastColumn="0" w:noHBand="0" w:noVBand="1"/>
      </w:tblPr>
      <w:tblGrid>
        <w:gridCol w:w="2972"/>
        <w:gridCol w:w="1007"/>
        <w:gridCol w:w="1007"/>
        <w:gridCol w:w="1008"/>
        <w:gridCol w:w="1007"/>
        <w:gridCol w:w="1007"/>
        <w:gridCol w:w="1008"/>
      </w:tblGrid>
      <w:tr w:rsidR="008C2ADB" w:rsidRPr="00D667D5" w:rsidTr="00EA4A6E">
        <w:tc>
          <w:tcPr>
            <w:tcW w:w="9016" w:type="dxa"/>
            <w:gridSpan w:val="7"/>
            <w:shd w:val="clear" w:color="auto" w:fill="F2F2F2" w:themeFill="background1" w:themeFillShade="F2"/>
          </w:tcPr>
          <w:p w:rsidR="008C2ADB" w:rsidRPr="00D667D5" w:rsidRDefault="00607525" w:rsidP="000503F7">
            <w:pPr>
              <w:spacing w:before="60" w:after="60"/>
              <w:rPr>
                <w:rFonts w:ascii="Arial" w:eastAsia="Calibri" w:hAnsi="Arial" w:cs="Arial"/>
                <w:sz w:val="18"/>
                <w:szCs w:val="18"/>
              </w:rPr>
            </w:pPr>
            <w:r w:rsidRPr="00D667D5">
              <w:rPr>
                <w:rFonts w:ascii="Arial" w:eastAsia="Calibri" w:hAnsi="Arial" w:cs="Arial"/>
                <w:sz w:val="18"/>
                <w:szCs w:val="18"/>
              </w:rPr>
              <w:t>7</w:t>
            </w:r>
            <w:r w:rsidR="008C2ADB" w:rsidRPr="00D667D5">
              <w:rPr>
                <w:rFonts w:ascii="Arial" w:eastAsia="Calibri" w:hAnsi="Arial" w:cs="Arial"/>
                <w:sz w:val="18"/>
                <w:szCs w:val="18"/>
              </w:rPr>
              <w:t>. Global Phytosanitary Research Coordination</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USD</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25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25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10 K</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FTE (estimate)</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IntP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0.25</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0.2</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0.25</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0.1</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0.1</w:t>
            </w:r>
          </w:p>
        </w:tc>
      </w:tr>
      <w:tr w:rsidR="008C2ADB" w:rsidRPr="00D667D5" w:rsidTr="00EA4A6E">
        <w:tc>
          <w:tcPr>
            <w:tcW w:w="9016" w:type="dxa"/>
            <w:gridSpan w:val="7"/>
            <w:shd w:val="clear" w:color="auto" w:fill="F2F2F2" w:themeFill="background1" w:themeFillShade="F2"/>
          </w:tcPr>
          <w:p w:rsidR="008C2ADB" w:rsidRPr="00D667D5" w:rsidRDefault="00607525" w:rsidP="000503F7">
            <w:pPr>
              <w:spacing w:before="60" w:after="60"/>
              <w:rPr>
                <w:rFonts w:ascii="Arial" w:eastAsia="Calibri" w:hAnsi="Arial" w:cs="Arial"/>
                <w:sz w:val="18"/>
                <w:szCs w:val="18"/>
              </w:rPr>
            </w:pPr>
            <w:r w:rsidRPr="00D667D5">
              <w:rPr>
                <w:rFonts w:ascii="Arial" w:eastAsia="Calibri" w:hAnsi="Arial" w:cs="Arial"/>
                <w:sz w:val="18"/>
                <w:szCs w:val="18"/>
              </w:rPr>
              <w:t>8</w:t>
            </w:r>
            <w:r w:rsidR="008C2ADB" w:rsidRPr="00D667D5">
              <w:rPr>
                <w:rFonts w:ascii="Arial" w:eastAsia="Calibri" w:hAnsi="Arial" w:cs="Arial"/>
                <w:sz w:val="18"/>
                <w:szCs w:val="18"/>
              </w:rPr>
              <w:t>. Diagnostic Laboratory Network</w:t>
            </w:r>
          </w:p>
        </w:tc>
      </w:tr>
      <w:tr w:rsidR="008C2ADB" w:rsidRPr="00D667D5" w:rsidTr="000503F7">
        <w:tc>
          <w:tcPr>
            <w:tcW w:w="2972"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lastRenderedPageBreak/>
              <w:t>USD</w:t>
            </w:r>
          </w:p>
        </w:tc>
        <w:tc>
          <w:tcPr>
            <w:tcW w:w="1007" w:type="dxa"/>
          </w:tcPr>
          <w:p w:rsidR="008C2ADB" w:rsidRPr="00D667D5" w:rsidRDefault="008C2ADB" w:rsidP="000503F7">
            <w:pPr>
              <w:spacing w:before="60" w:after="60"/>
              <w:rPr>
                <w:rFonts w:ascii="Arial" w:eastAsia="Calibri" w:hAnsi="Arial" w:cs="Arial"/>
                <w:sz w:val="18"/>
                <w:szCs w:val="18"/>
              </w:rPr>
            </w:pPr>
            <w:proofErr w:type="spellStart"/>
            <w:r w:rsidRPr="00D667D5">
              <w:rPr>
                <w:rFonts w:ascii="Arial" w:eastAsia="Calibri" w:hAnsi="Arial" w:cs="Arial"/>
                <w:sz w:val="18"/>
                <w:szCs w:val="18"/>
              </w:rPr>
              <w:t>ExtP</w:t>
            </w:r>
            <w:proofErr w:type="spellEnd"/>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30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100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145 K</w:t>
            </w:r>
          </w:p>
        </w:tc>
        <w:tc>
          <w:tcPr>
            <w:tcW w:w="1007"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45 K</w:t>
            </w:r>
          </w:p>
        </w:tc>
        <w:tc>
          <w:tcPr>
            <w:tcW w:w="1008" w:type="dxa"/>
          </w:tcPr>
          <w:p w:rsidR="008C2ADB" w:rsidRPr="00D667D5" w:rsidRDefault="008C2ADB" w:rsidP="000503F7">
            <w:pPr>
              <w:spacing w:before="60" w:after="60"/>
              <w:rPr>
                <w:rFonts w:ascii="Arial" w:eastAsia="Calibri" w:hAnsi="Arial" w:cs="Arial"/>
                <w:sz w:val="18"/>
                <w:szCs w:val="18"/>
              </w:rPr>
            </w:pPr>
            <w:r w:rsidRPr="00D667D5">
              <w:rPr>
                <w:rFonts w:ascii="Arial" w:eastAsia="Calibri" w:hAnsi="Arial" w:cs="Arial"/>
                <w:sz w:val="18"/>
                <w:szCs w:val="18"/>
              </w:rPr>
              <w:t>15 K</w:t>
            </w:r>
          </w:p>
        </w:tc>
      </w:tr>
      <w:tr w:rsidR="008C2ADB" w:rsidRPr="00C66826" w:rsidTr="000503F7">
        <w:tc>
          <w:tcPr>
            <w:tcW w:w="2972" w:type="dxa"/>
          </w:tcPr>
          <w:p w:rsidR="008C2ADB" w:rsidRPr="00C66826" w:rsidRDefault="008C2ADB" w:rsidP="000503F7">
            <w:pPr>
              <w:spacing w:before="60" w:after="60"/>
              <w:rPr>
                <w:rFonts w:eastAsia="Calibri" w:cs="Times New Roman"/>
              </w:rPr>
            </w:pPr>
            <w:r w:rsidRPr="00C66826">
              <w:rPr>
                <w:rFonts w:eastAsia="Calibri" w:cs="Times New Roman"/>
              </w:rPr>
              <w:t>FTE (estimate)</w:t>
            </w:r>
          </w:p>
        </w:tc>
        <w:tc>
          <w:tcPr>
            <w:tcW w:w="1007" w:type="dxa"/>
          </w:tcPr>
          <w:p w:rsidR="008C2ADB" w:rsidRPr="00C66826" w:rsidRDefault="008C2ADB" w:rsidP="000503F7">
            <w:pPr>
              <w:spacing w:before="60" w:after="60"/>
              <w:rPr>
                <w:rFonts w:eastAsia="Calibri" w:cs="Times New Roman"/>
              </w:rPr>
            </w:pPr>
            <w:proofErr w:type="spellStart"/>
            <w:r w:rsidRPr="00C66826">
              <w:rPr>
                <w:rFonts w:eastAsia="Calibri" w:cs="Times New Roman"/>
              </w:rPr>
              <w:t>ExtP</w:t>
            </w:r>
            <w:proofErr w:type="spellEnd"/>
          </w:p>
        </w:tc>
        <w:tc>
          <w:tcPr>
            <w:tcW w:w="1007" w:type="dxa"/>
          </w:tcPr>
          <w:p w:rsidR="008C2ADB" w:rsidRPr="00C66826" w:rsidRDefault="008C2ADB" w:rsidP="000503F7">
            <w:pPr>
              <w:spacing w:before="60" w:after="60"/>
              <w:rPr>
                <w:rFonts w:eastAsia="Calibri" w:cs="Times New Roman"/>
              </w:rPr>
            </w:pPr>
            <w:r w:rsidRPr="00C66826">
              <w:rPr>
                <w:rFonts w:eastAsia="Calibri" w:cs="Times New Roman"/>
              </w:rPr>
              <w:t>0.25</w:t>
            </w:r>
          </w:p>
        </w:tc>
        <w:tc>
          <w:tcPr>
            <w:tcW w:w="1008" w:type="dxa"/>
          </w:tcPr>
          <w:p w:rsidR="008C2ADB" w:rsidRPr="00C66826" w:rsidRDefault="008C2ADB" w:rsidP="000503F7">
            <w:pPr>
              <w:spacing w:before="60" w:after="60"/>
              <w:rPr>
                <w:rFonts w:eastAsia="Calibri" w:cs="Times New Roman"/>
              </w:rPr>
            </w:pPr>
            <w:r w:rsidRPr="00C66826">
              <w:rPr>
                <w:rFonts w:eastAsia="Calibri" w:cs="Times New Roman"/>
              </w:rPr>
              <w:t>0.5</w:t>
            </w:r>
          </w:p>
        </w:tc>
        <w:tc>
          <w:tcPr>
            <w:tcW w:w="1007" w:type="dxa"/>
          </w:tcPr>
          <w:p w:rsidR="008C2ADB" w:rsidRPr="00C66826" w:rsidRDefault="008C2ADB" w:rsidP="000503F7">
            <w:pPr>
              <w:spacing w:before="60" w:after="60"/>
              <w:rPr>
                <w:rFonts w:eastAsia="Calibri" w:cs="Times New Roman"/>
              </w:rPr>
            </w:pPr>
            <w:r w:rsidRPr="00C66826">
              <w:rPr>
                <w:rFonts w:eastAsia="Calibri" w:cs="Times New Roman"/>
              </w:rPr>
              <w:t>1.25</w:t>
            </w:r>
          </w:p>
        </w:tc>
        <w:tc>
          <w:tcPr>
            <w:tcW w:w="1007" w:type="dxa"/>
          </w:tcPr>
          <w:p w:rsidR="008C2ADB" w:rsidRPr="00C66826" w:rsidRDefault="008C2ADB" w:rsidP="000503F7">
            <w:pPr>
              <w:spacing w:before="60" w:after="60"/>
              <w:rPr>
                <w:rFonts w:eastAsia="Calibri" w:cs="Times New Roman"/>
              </w:rPr>
            </w:pPr>
            <w:r w:rsidRPr="00C66826">
              <w:rPr>
                <w:rFonts w:eastAsia="Calibri" w:cs="Times New Roman"/>
              </w:rPr>
              <w:t>0.5</w:t>
            </w:r>
          </w:p>
        </w:tc>
        <w:tc>
          <w:tcPr>
            <w:tcW w:w="1008" w:type="dxa"/>
          </w:tcPr>
          <w:p w:rsidR="008C2ADB" w:rsidRPr="00C66826" w:rsidRDefault="008C2ADB" w:rsidP="000503F7">
            <w:pPr>
              <w:spacing w:before="60" w:after="60"/>
              <w:rPr>
                <w:rFonts w:eastAsia="Calibri" w:cs="Times New Roman"/>
              </w:rPr>
            </w:pPr>
            <w:r w:rsidRPr="00C66826">
              <w:rPr>
                <w:rFonts w:eastAsia="Calibri" w:cs="Times New Roman"/>
              </w:rPr>
              <w:t>0.1</w:t>
            </w:r>
          </w:p>
        </w:tc>
      </w:tr>
      <w:tr w:rsidR="000503F7" w:rsidRPr="00D667D5" w:rsidTr="00EA4A6E">
        <w:trPr>
          <w:trHeight w:val="206"/>
        </w:trPr>
        <w:tc>
          <w:tcPr>
            <w:tcW w:w="9016" w:type="dxa"/>
            <w:gridSpan w:val="7"/>
            <w:shd w:val="clear" w:color="auto" w:fill="F2F2F2" w:themeFill="background1" w:themeFillShade="F2"/>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TOTAL</w:t>
            </w:r>
          </w:p>
        </w:tc>
      </w:tr>
      <w:tr w:rsidR="000503F7" w:rsidRPr="00D667D5" w:rsidTr="000503F7">
        <w:tc>
          <w:tcPr>
            <w:tcW w:w="3979" w:type="dxa"/>
            <w:gridSpan w:val="2"/>
          </w:tcPr>
          <w:p w:rsidR="000503F7" w:rsidRPr="00D667D5" w:rsidRDefault="000503F7" w:rsidP="00EA4A6E">
            <w:pPr>
              <w:spacing w:before="60" w:after="60"/>
              <w:jc w:val="right"/>
              <w:rPr>
                <w:rFonts w:ascii="Arial" w:eastAsia="Calibri" w:hAnsi="Arial" w:cs="Arial"/>
                <w:b/>
                <w:sz w:val="18"/>
                <w:szCs w:val="18"/>
              </w:rPr>
            </w:pPr>
            <w:bookmarkStart w:id="20" w:name="_GoBack"/>
            <w:bookmarkEnd w:id="20"/>
            <w:r w:rsidRPr="00D667D5">
              <w:rPr>
                <w:rFonts w:ascii="Arial" w:eastAsia="Calibri" w:hAnsi="Arial" w:cs="Arial"/>
                <w:b/>
                <w:sz w:val="18"/>
                <w:szCs w:val="18"/>
              </w:rPr>
              <w:t>USD</w:t>
            </w:r>
          </w:p>
        </w:tc>
        <w:tc>
          <w:tcPr>
            <w:tcW w:w="1007"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2.665 M</w:t>
            </w:r>
          </w:p>
        </w:tc>
        <w:tc>
          <w:tcPr>
            <w:tcW w:w="1008"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2.655 M</w:t>
            </w:r>
          </w:p>
        </w:tc>
        <w:tc>
          <w:tcPr>
            <w:tcW w:w="1007"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2.910 M</w:t>
            </w:r>
          </w:p>
        </w:tc>
        <w:tc>
          <w:tcPr>
            <w:tcW w:w="1007"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2.150 M</w:t>
            </w:r>
          </w:p>
        </w:tc>
        <w:tc>
          <w:tcPr>
            <w:tcW w:w="1008"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2.400 M</w:t>
            </w:r>
          </w:p>
        </w:tc>
      </w:tr>
      <w:tr w:rsidR="000503F7" w:rsidRPr="00D667D5" w:rsidTr="000503F7">
        <w:tc>
          <w:tcPr>
            <w:tcW w:w="3979" w:type="dxa"/>
            <w:gridSpan w:val="2"/>
          </w:tcPr>
          <w:p w:rsidR="000503F7" w:rsidRPr="00D667D5" w:rsidRDefault="000503F7" w:rsidP="00EA4A6E">
            <w:pPr>
              <w:spacing w:before="60" w:after="60"/>
              <w:jc w:val="right"/>
              <w:rPr>
                <w:rFonts w:ascii="Arial" w:eastAsia="Calibri" w:hAnsi="Arial" w:cs="Arial"/>
                <w:b/>
                <w:sz w:val="18"/>
                <w:szCs w:val="18"/>
              </w:rPr>
            </w:pPr>
            <w:r w:rsidRPr="00D667D5">
              <w:rPr>
                <w:rFonts w:ascii="Arial" w:eastAsia="Calibri" w:hAnsi="Arial" w:cs="Arial"/>
                <w:b/>
                <w:sz w:val="18"/>
                <w:szCs w:val="18"/>
              </w:rPr>
              <w:t>FTE</w:t>
            </w:r>
          </w:p>
        </w:tc>
        <w:tc>
          <w:tcPr>
            <w:tcW w:w="1007"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11.9</w:t>
            </w:r>
          </w:p>
        </w:tc>
        <w:tc>
          <w:tcPr>
            <w:tcW w:w="1008"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12.3</w:t>
            </w:r>
          </w:p>
        </w:tc>
        <w:tc>
          <w:tcPr>
            <w:tcW w:w="1007"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10.95</w:t>
            </w:r>
          </w:p>
        </w:tc>
        <w:tc>
          <w:tcPr>
            <w:tcW w:w="1007"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8.2</w:t>
            </w:r>
          </w:p>
        </w:tc>
        <w:tc>
          <w:tcPr>
            <w:tcW w:w="1008" w:type="dxa"/>
          </w:tcPr>
          <w:p w:rsidR="000503F7" w:rsidRPr="00D667D5" w:rsidRDefault="000503F7" w:rsidP="000503F7">
            <w:pPr>
              <w:spacing w:before="60" w:after="60"/>
              <w:rPr>
                <w:rFonts w:ascii="Arial" w:eastAsia="Calibri" w:hAnsi="Arial" w:cs="Arial"/>
                <w:b/>
                <w:sz w:val="18"/>
                <w:szCs w:val="18"/>
              </w:rPr>
            </w:pPr>
            <w:r w:rsidRPr="00D667D5">
              <w:rPr>
                <w:rFonts w:ascii="Arial" w:eastAsia="Calibri" w:hAnsi="Arial" w:cs="Arial"/>
                <w:b/>
                <w:sz w:val="18"/>
                <w:szCs w:val="18"/>
              </w:rPr>
              <w:t>7.5</w:t>
            </w:r>
          </w:p>
        </w:tc>
      </w:tr>
    </w:tbl>
    <w:tbl>
      <w:tblPr>
        <w:tblStyle w:val="TableGrid6"/>
        <w:tblW w:w="0" w:type="auto"/>
        <w:tblLook w:val="04A0" w:firstRow="1" w:lastRow="0" w:firstColumn="1" w:lastColumn="0" w:noHBand="0" w:noVBand="1"/>
      </w:tblPr>
      <w:tblGrid>
        <w:gridCol w:w="3979"/>
        <w:gridCol w:w="1007"/>
        <w:gridCol w:w="1008"/>
        <w:gridCol w:w="1007"/>
        <w:gridCol w:w="1007"/>
        <w:gridCol w:w="1008"/>
      </w:tblGrid>
      <w:tr w:rsidR="000503F7" w:rsidRPr="00D667D5" w:rsidTr="000503F7">
        <w:tc>
          <w:tcPr>
            <w:tcW w:w="3979" w:type="dxa"/>
          </w:tcPr>
          <w:p w:rsidR="000503F7" w:rsidRPr="00D667D5" w:rsidRDefault="000503F7" w:rsidP="000503F7">
            <w:pPr>
              <w:spacing w:before="60" w:after="60"/>
              <w:rPr>
                <w:rFonts w:ascii="Arial" w:eastAsia="Calibri" w:hAnsi="Arial" w:cs="Arial"/>
                <w:sz w:val="18"/>
                <w:szCs w:val="18"/>
              </w:rPr>
            </w:pPr>
          </w:p>
        </w:tc>
        <w:tc>
          <w:tcPr>
            <w:tcW w:w="1007"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2020</w:t>
            </w:r>
          </w:p>
        </w:tc>
        <w:tc>
          <w:tcPr>
            <w:tcW w:w="1008"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2021</w:t>
            </w:r>
          </w:p>
        </w:tc>
        <w:tc>
          <w:tcPr>
            <w:tcW w:w="1007"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2022</w:t>
            </w:r>
          </w:p>
        </w:tc>
        <w:tc>
          <w:tcPr>
            <w:tcW w:w="1007"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2023</w:t>
            </w:r>
          </w:p>
        </w:tc>
        <w:tc>
          <w:tcPr>
            <w:tcW w:w="1008" w:type="dxa"/>
          </w:tcPr>
          <w:p w:rsidR="000503F7" w:rsidRPr="00D667D5" w:rsidRDefault="000503F7" w:rsidP="000503F7">
            <w:pPr>
              <w:spacing w:before="60" w:after="60"/>
              <w:rPr>
                <w:rFonts w:ascii="Arial" w:eastAsia="Calibri" w:hAnsi="Arial" w:cs="Arial"/>
                <w:sz w:val="18"/>
                <w:szCs w:val="18"/>
              </w:rPr>
            </w:pPr>
            <w:r w:rsidRPr="00D667D5">
              <w:rPr>
                <w:rFonts w:ascii="Arial" w:eastAsia="Calibri" w:hAnsi="Arial" w:cs="Arial"/>
                <w:sz w:val="18"/>
                <w:szCs w:val="18"/>
              </w:rPr>
              <w:t>2024</w:t>
            </w:r>
          </w:p>
        </w:tc>
      </w:tr>
    </w:tbl>
    <w:p w:rsidR="00C66826" w:rsidRPr="00C66826" w:rsidRDefault="00C66826" w:rsidP="000503F7"/>
    <w:sectPr w:rsidR="00C66826" w:rsidRPr="00C66826" w:rsidSect="00D65B9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9C" w:rsidRDefault="00D65B9C" w:rsidP="006A46F8">
      <w:r>
        <w:separator/>
      </w:r>
    </w:p>
  </w:endnote>
  <w:endnote w:type="continuationSeparator" w:id="0">
    <w:p w:rsidR="00D65B9C" w:rsidRDefault="00D65B9C" w:rsidP="006A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9C" w:rsidRPr="00A61947" w:rsidRDefault="00D65B9C" w:rsidP="00D65B9C">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D667D5">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D667D5">
      <w:rPr>
        <w:rFonts w:cs="Arial"/>
        <w:noProof/>
        <w:szCs w:val="18"/>
      </w:rPr>
      <w:t>23</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9C" w:rsidRPr="00A61947" w:rsidRDefault="00D65B9C" w:rsidP="00D65B9C">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D667D5">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D667D5">
      <w:rPr>
        <w:rFonts w:cs="Arial"/>
        <w:noProof/>
        <w:szCs w:val="18"/>
      </w:rPr>
      <w:t>23</w:t>
    </w:r>
    <w:r w:rsidRPr="00377B19">
      <w:rPr>
        <w:rFonts w:cs="Arial"/>
        <w:szCs w:val="18"/>
      </w:rPr>
      <w:fldChar w:fldCharType="end"/>
    </w:r>
    <w:r w:rsidRPr="008B4D7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9C" w:rsidRPr="00A61947" w:rsidRDefault="00D65B9C" w:rsidP="00D65B9C">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D667D5">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D667D5">
      <w:rPr>
        <w:rFonts w:cs="Arial"/>
        <w:noProof/>
        <w:szCs w:val="18"/>
      </w:rPr>
      <w:t>23</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9C" w:rsidRDefault="00D65B9C" w:rsidP="006A46F8">
      <w:r>
        <w:separator/>
      </w:r>
    </w:p>
  </w:footnote>
  <w:footnote w:type="continuationSeparator" w:id="0">
    <w:p w:rsidR="00D65B9C" w:rsidRDefault="00D65B9C" w:rsidP="006A4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9C" w:rsidRPr="00D65B9C" w:rsidRDefault="00D65B9C" w:rsidP="00D65B9C">
    <w:pPr>
      <w:pStyle w:val="IPPHeader"/>
    </w:pPr>
    <w:r>
      <w:t>04_</w:t>
    </w:r>
    <w:r w:rsidRPr="00F57CE3">
      <w:t xml:space="preserve"> </w:t>
    </w:r>
    <w:r>
      <w:t>SPG_2</w:t>
    </w:r>
    <w:r w:rsidRPr="00EC5BC8">
      <w:t>01</w:t>
    </w:r>
    <w:r>
      <w:t xml:space="preserve">8_Oct </w:t>
    </w:r>
    <w:r>
      <w:tab/>
      <w:t>Draft Investment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9C" w:rsidRPr="00D65B9C" w:rsidRDefault="00D65B9C" w:rsidP="00D65B9C">
    <w:pPr>
      <w:pStyle w:val="IPPHeader"/>
    </w:pPr>
    <w:r>
      <w:t xml:space="preserve">Draft Investment Plan </w:t>
    </w:r>
    <w:r>
      <w:tab/>
      <w:t>04_</w:t>
    </w:r>
    <w:r w:rsidRPr="00F57CE3">
      <w:t xml:space="preserve"> </w:t>
    </w:r>
    <w:r>
      <w:t>SPG_2</w:t>
    </w:r>
    <w:r w:rsidRPr="00EC5BC8">
      <w:t>01</w:t>
    </w:r>
    <w:r>
      <w:t xml:space="preserve">8_Oct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B9C" w:rsidRPr="00FE6905" w:rsidRDefault="00D65B9C" w:rsidP="00D65B9C">
    <w:pPr>
      <w:pStyle w:val="IPPHeader"/>
      <w:tabs>
        <w:tab w:val="clear" w:pos="1134"/>
        <w:tab w:val="left" w:pos="900"/>
      </w:tabs>
      <w:spacing w:after="0"/>
    </w:pPr>
    <w:r w:rsidRPr="00094132">
      <w:rPr>
        <w:noProof/>
        <w:lang w:eastAsia="en-US"/>
      </w:rPr>
      <w:drawing>
        <wp:anchor distT="0" distB="0" distL="114300" distR="114300" simplePos="0" relativeHeight="251660288" behindDoc="0" locked="0" layoutInCell="1" allowOverlap="1" wp14:anchorId="2AF12589" wp14:editId="0039C294">
          <wp:simplePos x="0" y="0"/>
          <wp:positionH relativeFrom="column">
            <wp:posOffset>-920187</wp:posOffset>
          </wp:positionH>
          <wp:positionV relativeFrom="paragraph">
            <wp:posOffset>-524815</wp:posOffset>
          </wp:positionV>
          <wp:extent cx="7549515" cy="410901"/>
          <wp:effectExtent l="0" t="0" r="0" b="825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4774" cy="41336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42EA5805" wp14:editId="333F90C2">
          <wp:simplePos x="0" y="0"/>
          <wp:positionH relativeFrom="margin">
            <wp:posOffset>-176329</wp:posOffset>
          </wp:positionH>
          <wp:positionV relativeFrom="margin">
            <wp:posOffset>-626415</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04_</w:t>
    </w:r>
    <w:r w:rsidRPr="00F57CE3">
      <w:t xml:space="preserve"> </w:t>
    </w:r>
    <w:r>
      <w:t>SPG_2</w:t>
    </w:r>
    <w:r w:rsidRPr="00EC5BC8">
      <w:t>01</w:t>
    </w:r>
    <w:r>
      <w:t>8_Oct</w:t>
    </w:r>
  </w:p>
  <w:p w:rsidR="00D65B9C" w:rsidRPr="00A61947" w:rsidRDefault="00D65B9C" w:rsidP="00D65B9C">
    <w:pPr>
      <w:pStyle w:val="IPPHeader"/>
      <w:tabs>
        <w:tab w:val="clear" w:pos="1134"/>
        <w:tab w:val="left" w:pos="900"/>
      </w:tabs>
      <w:rPr>
        <w:i/>
      </w:rPr>
    </w:pPr>
    <w:r w:rsidRPr="00606019">
      <w:tab/>
    </w:r>
    <w:r>
      <w:rPr>
        <w:i/>
      </w:rPr>
      <w:t>Draft Investment Plan</w:t>
    </w:r>
    <w:r w:rsidRPr="00606019">
      <w:rPr>
        <w:i/>
      </w:rPr>
      <w:tab/>
    </w:r>
    <w:r>
      <w:rPr>
        <w:i/>
      </w:rPr>
      <w:t>Agenda item: 13</w:t>
    </w:r>
  </w:p>
  <w:p w:rsidR="00D65B9C" w:rsidRPr="00D65B9C" w:rsidRDefault="00D65B9C" w:rsidP="001E657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4C9D"/>
    <w:multiLevelType w:val="hybridMultilevel"/>
    <w:tmpl w:val="F51AA3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3241C6"/>
    <w:multiLevelType w:val="hybridMultilevel"/>
    <w:tmpl w:val="10C6C6D4"/>
    <w:lvl w:ilvl="0" w:tplc="791CB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13D01"/>
    <w:multiLevelType w:val="multilevel"/>
    <w:tmpl w:val="0D9E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3220F"/>
    <w:multiLevelType w:val="hybridMultilevel"/>
    <w:tmpl w:val="D0AE58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B33B0A"/>
    <w:multiLevelType w:val="hybridMultilevel"/>
    <w:tmpl w:val="5D0ACBFC"/>
    <w:lvl w:ilvl="0" w:tplc="791CB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A7C76"/>
    <w:multiLevelType w:val="hybridMultilevel"/>
    <w:tmpl w:val="FE98A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C87466"/>
    <w:multiLevelType w:val="hybridMultilevel"/>
    <w:tmpl w:val="78FCFA9C"/>
    <w:lvl w:ilvl="0" w:tplc="791CB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83D2F67"/>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5012FF"/>
    <w:multiLevelType w:val="hybridMultilevel"/>
    <w:tmpl w:val="F11C4EE6"/>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7366CC"/>
    <w:multiLevelType w:val="hybridMultilevel"/>
    <w:tmpl w:val="BBDECE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7BA4975"/>
    <w:multiLevelType w:val="hybridMultilevel"/>
    <w:tmpl w:val="88545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DB47BBD"/>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4043BE8"/>
    <w:multiLevelType w:val="hybridMultilevel"/>
    <w:tmpl w:val="F59E73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80893"/>
    <w:multiLevelType w:val="hybridMultilevel"/>
    <w:tmpl w:val="4780530C"/>
    <w:lvl w:ilvl="0" w:tplc="791CB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E61204"/>
    <w:multiLevelType w:val="multilevel"/>
    <w:tmpl w:val="CA9C4DCE"/>
    <w:lvl w:ilvl="0">
      <w:start w:val="1"/>
      <w:numFmt w:val="lowerLetter"/>
      <w:lvlText w:val="%1)"/>
      <w:lvlJc w:val="left"/>
      <w:pPr>
        <w:ind w:left="720" w:hanging="363"/>
      </w:pPr>
      <w:rPr>
        <w:rFonts w:hint="default"/>
      </w:rPr>
    </w:lvl>
    <w:lvl w:ilvl="1">
      <w:start w:val="1"/>
      <w:numFmt w:val="upp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num w:numId="1">
    <w:abstractNumId w:val="23"/>
  </w:num>
  <w:num w:numId="2">
    <w:abstractNumId w:val="7"/>
  </w:num>
  <w:num w:numId="3">
    <w:abstractNumId w:val="15"/>
  </w:num>
  <w:num w:numId="4">
    <w:abstractNumId w:val="17"/>
  </w:num>
  <w:num w:numId="5">
    <w:abstractNumId w:val="5"/>
  </w:num>
  <w:num w:numId="6">
    <w:abstractNumId w:val="1"/>
  </w:num>
  <w:num w:numId="7">
    <w:abstractNumId w:val="4"/>
  </w:num>
  <w:num w:numId="8">
    <w:abstractNumId w:val="13"/>
  </w:num>
  <w:num w:numId="9">
    <w:abstractNumId w:val="16"/>
  </w:num>
  <w:num w:numId="10">
    <w:abstractNumId w:val="5"/>
  </w:num>
  <w:num w:numId="11">
    <w:abstractNumId w:val="10"/>
  </w:num>
  <w:num w:numId="12">
    <w:abstractNumId w:val="12"/>
  </w:num>
  <w:num w:numId="13">
    <w:abstractNumId w:val="3"/>
  </w:num>
  <w:num w:numId="14">
    <w:abstractNumId w:val="6"/>
  </w:num>
  <w:num w:numId="15">
    <w:abstractNumId w:val="8"/>
  </w:num>
  <w:num w:numId="16">
    <w:abstractNumId w:val="21"/>
  </w:num>
  <w:num w:numId="17">
    <w:abstractNumId w:val="18"/>
  </w:num>
  <w:num w:numId="18">
    <w:abstractNumId w:val="2"/>
  </w:num>
  <w:num w:numId="19">
    <w:abstractNumId w:val="9"/>
  </w:num>
  <w:num w:numId="20">
    <w:abstractNumId w:val="20"/>
  </w:num>
  <w:num w:numId="21">
    <w:abstractNumId w:val="14"/>
  </w:num>
  <w:num w:numId="22">
    <w:abstractNumId w:val="11"/>
  </w:num>
  <w:num w:numId="23">
    <w:abstractNumId w:val="22"/>
  </w:num>
  <w:num w:numId="24">
    <w:abstractNumId w:val="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ED"/>
    <w:rsid w:val="00001C3C"/>
    <w:rsid w:val="0000261C"/>
    <w:rsid w:val="00016787"/>
    <w:rsid w:val="000213C4"/>
    <w:rsid w:val="00030F6A"/>
    <w:rsid w:val="0003278B"/>
    <w:rsid w:val="00033E23"/>
    <w:rsid w:val="0003441A"/>
    <w:rsid w:val="00037841"/>
    <w:rsid w:val="00044D0D"/>
    <w:rsid w:val="0004654D"/>
    <w:rsid w:val="00050073"/>
    <w:rsid w:val="000503F7"/>
    <w:rsid w:val="00050B30"/>
    <w:rsid w:val="000552FF"/>
    <w:rsid w:val="00060466"/>
    <w:rsid w:val="00061BEE"/>
    <w:rsid w:val="00063A2A"/>
    <w:rsid w:val="00064C29"/>
    <w:rsid w:val="00067B65"/>
    <w:rsid w:val="00067BEB"/>
    <w:rsid w:val="00067FD8"/>
    <w:rsid w:val="000708DB"/>
    <w:rsid w:val="00073A62"/>
    <w:rsid w:val="000831EE"/>
    <w:rsid w:val="00090AC7"/>
    <w:rsid w:val="00095B67"/>
    <w:rsid w:val="000A0489"/>
    <w:rsid w:val="000A731B"/>
    <w:rsid w:val="000B0E03"/>
    <w:rsid w:val="000B172D"/>
    <w:rsid w:val="000B3731"/>
    <w:rsid w:val="000B735A"/>
    <w:rsid w:val="000B742A"/>
    <w:rsid w:val="000C24F3"/>
    <w:rsid w:val="000C702F"/>
    <w:rsid w:val="000D2B95"/>
    <w:rsid w:val="000D7DC4"/>
    <w:rsid w:val="000E0251"/>
    <w:rsid w:val="000E102B"/>
    <w:rsid w:val="000E2A4F"/>
    <w:rsid w:val="000E625A"/>
    <w:rsid w:val="000E71D0"/>
    <w:rsid w:val="000F7C6A"/>
    <w:rsid w:val="001019B4"/>
    <w:rsid w:val="00101BBF"/>
    <w:rsid w:val="001061B4"/>
    <w:rsid w:val="001077AE"/>
    <w:rsid w:val="001106D1"/>
    <w:rsid w:val="00115BE4"/>
    <w:rsid w:val="0012450D"/>
    <w:rsid w:val="00124C9C"/>
    <w:rsid w:val="00124E9D"/>
    <w:rsid w:val="00127D48"/>
    <w:rsid w:val="001368FA"/>
    <w:rsid w:val="00142AD1"/>
    <w:rsid w:val="00144FDC"/>
    <w:rsid w:val="0014623E"/>
    <w:rsid w:val="00146A9D"/>
    <w:rsid w:val="001569BD"/>
    <w:rsid w:val="00160C12"/>
    <w:rsid w:val="001659EC"/>
    <w:rsid w:val="001671FF"/>
    <w:rsid w:val="00174F3C"/>
    <w:rsid w:val="0017540D"/>
    <w:rsid w:val="00180979"/>
    <w:rsid w:val="00180C2D"/>
    <w:rsid w:val="001851D1"/>
    <w:rsid w:val="001903E2"/>
    <w:rsid w:val="00191AFD"/>
    <w:rsid w:val="0019308E"/>
    <w:rsid w:val="00194B6E"/>
    <w:rsid w:val="001A1609"/>
    <w:rsid w:val="001A3D4B"/>
    <w:rsid w:val="001A497C"/>
    <w:rsid w:val="001A5E03"/>
    <w:rsid w:val="001B1316"/>
    <w:rsid w:val="001B6CA2"/>
    <w:rsid w:val="001E02D0"/>
    <w:rsid w:val="001E34C0"/>
    <w:rsid w:val="001E3735"/>
    <w:rsid w:val="001E5483"/>
    <w:rsid w:val="001E6578"/>
    <w:rsid w:val="001E7083"/>
    <w:rsid w:val="00202E70"/>
    <w:rsid w:val="0020324C"/>
    <w:rsid w:val="002040DF"/>
    <w:rsid w:val="002055D8"/>
    <w:rsid w:val="00206A1B"/>
    <w:rsid w:val="002118E7"/>
    <w:rsid w:val="00212A5E"/>
    <w:rsid w:val="00212F49"/>
    <w:rsid w:val="00221EDA"/>
    <w:rsid w:val="002365F0"/>
    <w:rsid w:val="00236B7B"/>
    <w:rsid w:val="0024443D"/>
    <w:rsid w:val="002452A6"/>
    <w:rsid w:val="00246C78"/>
    <w:rsid w:val="002471F7"/>
    <w:rsid w:val="0025509A"/>
    <w:rsid w:val="002552E3"/>
    <w:rsid w:val="002559D0"/>
    <w:rsid w:val="00256B55"/>
    <w:rsid w:val="002622A1"/>
    <w:rsid w:val="002626ED"/>
    <w:rsid w:val="00264BC4"/>
    <w:rsid w:val="00264C60"/>
    <w:rsid w:val="00265637"/>
    <w:rsid w:val="0026661F"/>
    <w:rsid w:val="002676F1"/>
    <w:rsid w:val="00270EE4"/>
    <w:rsid w:val="00281639"/>
    <w:rsid w:val="002837CB"/>
    <w:rsid w:val="0028727C"/>
    <w:rsid w:val="002877FC"/>
    <w:rsid w:val="00292F4F"/>
    <w:rsid w:val="002A248B"/>
    <w:rsid w:val="002A6900"/>
    <w:rsid w:val="002A7900"/>
    <w:rsid w:val="002A7E04"/>
    <w:rsid w:val="002B30F7"/>
    <w:rsid w:val="002B3E2D"/>
    <w:rsid w:val="002C3FE1"/>
    <w:rsid w:val="002C5891"/>
    <w:rsid w:val="002D031C"/>
    <w:rsid w:val="002D483D"/>
    <w:rsid w:val="002E5162"/>
    <w:rsid w:val="002E7F53"/>
    <w:rsid w:val="00301D9C"/>
    <w:rsid w:val="003022F3"/>
    <w:rsid w:val="00305F9C"/>
    <w:rsid w:val="003064EE"/>
    <w:rsid w:val="003065EB"/>
    <w:rsid w:val="0032016A"/>
    <w:rsid w:val="00322712"/>
    <w:rsid w:val="00323AB7"/>
    <w:rsid w:val="00324ACE"/>
    <w:rsid w:val="003269B7"/>
    <w:rsid w:val="00341617"/>
    <w:rsid w:val="003425D5"/>
    <w:rsid w:val="0034303D"/>
    <w:rsid w:val="003527C1"/>
    <w:rsid w:val="00356F09"/>
    <w:rsid w:val="003575F0"/>
    <w:rsid w:val="00361EE5"/>
    <w:rsid w:val="003622AF"/>
    <w:rsid w:val="00362CE1"/>
    <w:rsid w:val="00362DC1"/>
    <w:rsid w:val="00364876"/>
    <w:rsid w:val="00370BC2"/>
    <w:rsid w:val="00372868"/>
    <w:rsid w:val="003731F1"/>
    <w:rsid w:val="00376FAF"/>
    <w:rsid w:val="003830AC"/>
    <w:rsid w:val="00383BAB"/>
    <w:rsid w:val="00384237"/>
    <w:rsid w:val="0038440D"/>
    <w:rsid w:val="00384BB6"/>
    <w:rsid w:val="0039045F"/>
    <w:rsid w:val="003912FF"/>
    <w:rsid w:val="00392163"/>
    <w:rsid w:val="00393032"/>
    <w:rsid w:val="003945D6"/>
    <w:rsid w:val="003A0068"/>
    <w:rsid w:val="003A046F"/>
    <w:rsid w:val="003A20FC"/>
    <w:rsid w:val="003A64D1"/>
    <w:rsid w:val="003B2417"/>
    <w:rsid w:val="003B3622"/>
    <w:rsid w:val="003B4A03"/>
    <w:rsid w:val="003B580E"/>
    <w:rsid w:val="003B7881"/>
    <w:rsid w:val="003B7EBA"/>
    <w:rsid w:val="003C36A3"/>
    <w:rsid w:val="003D55E4"/>
    <w:rsid w:val="003D6464"/>
    <w:rsid w:val="003D6644"/>
    <w:rsid w:val="003D75CE"/>
    <w:rsid w:val="003E196D"/>
    <w:rsid w:val="003E1A4E"/>
    <w:rsid w:val="003E3109"/>
    <w:rsid w:val="003E6D3B"/>
    <w:rsid w:val="003F69CA"/>
    <w:rsid w:val="003F7FA2"/>
    <w:rsid w:val="003F7FC1"/>
    <w:rsid w:val="0040184C"/>
    <w:rsid w:val="00412153"/>
    <w:rsid w:val="00412240"/>
    <w:rsid w:val="0041683C"/>
    <w:rsid w:val="0042125A"/>
    <w:rsid w:val="004300B6"/>
    <w:rsid w:val="00431590"/>
    <w:rsid w:val="00433091"/>
    <w:rsid w:val="00436D62"/>
    <w:rsid w:val="00444EBC"/>
    <w:rsid w:val="00446589"/>
    <w:rsid w:val="004515F5"/>
    <w:rsid w:val="0045659B"/>
    <w:rsid w:val="00456954"/>
    <w:rsid w:val="004612B1"/>
    <w:rsid w:val="00471E85"/>
    <w:rsid w:val="00480136"/>
    <w:rsid w:val="00482724"/>
    <w:rsid w:val="00483526"/>
    <w:rsid w:val="004915E8"/>
    <w:rsid w:val="004A05B4"/>
    <w:rsid w:val="004A4866"/>
    <w:rsid w:val="004A787F"/>
    <w:rsid w:val="004B0545"/>
    <w:rsid w:val="004B7200"/>
    <w:rsid w:val="004C04FD"/>
    <w:rsid w:val="004C0840"/>
    <w:rsid w:val="004C4A57"/>
    <w:rsid w:val="004D1E27"/>
    <w:rsid w:val="004D5BAD"/>
    <w:rsid w:val="004E0B89"/>
    <w:rsid w:val="004E3A5F"/>
    <w:rsid w:val="004E3DE6"/>
    <w:rsid w:val="004E414A"/>
    <w:rsid w:val="004E614C"/>
    <w:rsid w:val="004F0852"/>
    <w:rsid w:val="004F0DAD"/>
    <w:rsid w:val="004F4738"/>
    <w:rsid w:val="004F5233"/>
    <w:rsid w:val="004F757F"/>
    <w:rsid w:val="00501DE9"/>
    <w:rsid w:val="00503B18"/>
    <w:rsid w:val="00507B15"/>
    <w:rsid w:val="005102CB"/>
    <w:rsid w:val="005113B8"/>
    <w:rsid w:val="00513CB7"/>
    <w:rsid w:val="005262B0"/>
    <w:rsid w:val="00526C28"/>
    <w:rsid w:val="00530B94"/>
    <w:rsid w:val="00531FD2"/>
    <w:rsid w:val="00537C2E"/>
    <w:rsid w:val="00543D7A"/>
    <w:rsid w:val="00546E3A"/>
    <w:rsid w:val="00554379"/>
    <w:rsid w:val="005547DC"/>
    <w:rsid w:val="0056350B"/>
    <w:rsid w:val="00563EBF"/>
    <w:rsid w:val="00565F96"/>
    <w:rsid w:val="00570968"/>
    <w:rsid w:val="00574711"/>
    <w:rsid w:val="0058362F"/>
    <w:rsid w:val="00584004"/>
    <w:rsid w:val="0058686D"/>
    <w:rsid w:val="00587F5D"/>
    <w:rsid w:val="005A0715"/>
    <w:rsid w:val="005A4E7F"/>
    <w:rsid w:val="005B1888"/>
    <w:rsid w:val="005B1DB8"/>
    <w:rsid w:val="005B211C"/>
    <w:rsid w:val="005B3A88"/>
    <w:rsid w:val="005C3349"/>
    <w:rsid w:val="005C4C65"/>
    <w:rsid w:val="005D03FF"/>
    <w:rsid w:val="005D48B3"/>
    <w:rsid w:val="005E157B"/>
    <w:rsid w:val="005E6425"/>
    <w:rsid w:val="005F21F6"/>
    <w:rsid w:val="005F7EF0"/>
    <w:rsid w:val="00606175"/>
    <w:rsid w:val="00607525"/>
    <w:rsid w:val="00607849"/>
    <w:rsid w:val="00607890"/>
    <w:rsid w:val="00610BF6"/>
    <w:rsid w:val="00610E1B"/>
    <w:rsid w:val="00612666"/>
    <w:rsid w:val="00617674"/>
    <w:rsid w:val="0062154E"/>
    <w:rsid w:val="00622476"/>
    <w:rsid w:val="00626062"/>
    <w:rsid w:val="00627C52"/>
    <w:rsid w:val="00631A9E"/>
    <w:rsid w:val="00631DE7"/>
    <w:rsid w:val="00633F6F"/>
    <w:rsid w:val="00634BA5"/>
    <w:rsid w:val="0063646E"/>
    <w:rsid w:val="0063704B"/>
    <w:rsid w:val="00642339"/>
    <w:rsid w:val="006442CA"/>
    <w:rsid w:val="006530E0"/>
    <w:rsid w:val="00662564"/>
    <w:rsid w:val="00667B25"/>
    <w:rsid w:val="006724E9"/>
    <w:rsid w:val="006835BB"/>
    <w:rsid w:val="0068403C"/>
    <w:rsid w:val="0069346F"/>
    <w:rsid w:val="006A0059"/>
    <w:rsid w:val="006A4582"/>
    <w:rsid w:val="006A46F8"/>
    <w:rsid w:val="006B20B8"/>
    <w:rsid w:val="006B33E3"/>
    <w:rsid w:val="006B5A15"/>
    <w:rsid w:val="006C1250"/>
    <w:rsid w:val="006C2DD2"/>
    <w:rsid w:val="006E343B"/>
    <w:rsid w:val="006F1AE7"/>
    <w:rsid w:val="006F1D76"/>
    <w:rsid w:val="006F6B00"/>
    <w:rsid w:val="006F770F"/>
    <w:rsid w:val="006F7C63"/>
    <w:rsid w:val="00700253"/>
    <w:rsid w:val="007021AD"/>
    <w:rsid w:val="0070258C"/>
    <w:rsid w:val="0070754B"/>
    <w:rsid w:val="007112DA"/>
    <w:rsid w:val="0071228B"/>
    <w:rsid w:val="007235FA"/>
    <w:rsid w:val="0072580A"/>
    <w:rsid w:val="00730314"/>
    <w:rsid w:val="00732AF0"/>
    <w:rsid w:val="0073382A"/>
    <w:rsid w:val="007348C1"/>
    <w:rsid w:val="00735307"/>
    <w:rsid w:val="00737402"/>
    <w:rsid w:val="00741B28"/>
    <w:rsid w:val="0074329F"/>
    <w:rsid w:val="00744A05"/>
    <w:rsid w:val="00746071"/>
    <w:rsid w:val="00755CA3"/>
    <w:rsid w:val="00770665"/>
    <w:rsid w:val="0077142F"/>
    <w:rsid w:val="007768C4"/>
    <w:rsid w:val="00785373"/>
    <w:rsid w:val="00786257"/>
    <w:rsid w:val="00786B7A"/>
    <w:rsid w:val="0079077E"/>
    <w:rsid w:val="007913AB"/>
    <w:rsid w:val="00792683"/>
    <w:rsid w:val="00796C8E"/>
    <w:rsid w:val="007A6EF7"/>
    <w:rsid w:val="007B0108"/>
    <w:rsid w:val="007B4B1A"/>
    <w:rsid w:val="007C07A7"/>
    <w:rsid w:val="007C2D81"/>
    <w:rsid w:val="007C53C7"/>
    <w:rsid w:val="007D1204"/>
    <w:rsid w:val="007D48B8"/>
    <w:rsid w:val="007D7F25"/>
    <w:rsid w:val="007E00FE"/>
    <w:rsid w:val="007E0486"/>
    <w:rsid w:val="007E41BB"/>
    <w:rsid w:val="00802731"/>
    <w:rsid w:val="00803F4B"/>
    <w:rsid w:val="00806694"/>
    <w:rsid w:val="0081477A"/>
    <w:rsid w:val="00816BD4"/>
    <w:rsid w:val="00821B40"/>
    <w:rsid w:val="00824A57"/>
    <w:rsid w:val="00831937"/>
    <w:rsid w:val="00836A8A"/>
    <w:rsid w:val="00850594"/>
    <w:rsid w:val="00853BA2"/>
    <w:rsid w:val="00854E8B"/>
    <w:rsid w:val="00855363"/>
    <w:rsid w:val="008560B2"/>
    <w:rsid w:val="00862F4F"/>
    <w:rsid w:val="008727C7"/>
    <w:rsid w:val="00873D4F"/>
    <w:rsid w:val="008878D6"/>
    <w:rsid w:val="00892A3D"/>
    <w:rsid w:val="00892F04"/>
    <w:rsid w:val="0089602B"/>
    <w:rsid w:val="008A01A5"/>
    <w:rsid w:val="008A2A0F"/>
    <w:rsid w:val="008B19C3"/>
    <w:rsid w:val="008B3815"/>
    <w:rsid w:val="008C0270"/>
    <w:rsid w:val="008C2ADB"/>
    <w:rsid w:val="008C3F96"/>
    <w:rsid w:val="008C6C88"/>
    <w:rsid w:val="008D0344"/>
    <w:rsid w:val="008D1182"/>
    <w:rsid w:val="008D259E"/>
    <w:rsid w:val="008D614D"/>
    <w:rsid w:val="008E32A2"/>
    <w:rsid w:val="008E66CD"/>
    <w:rsid w:val="008F0F90"/>
    <w:rsid w:val="008F3094"/>
    <w:rsid w:val="008F62F8"/>
    <w:rsid w:val="008F7FC6"/>
    <w:rsid w:val="009001C3"/>
    <w:rsid w:val="00910334"/>
    <w:rsid w:val="00911301"/>
    <w:rsid w:val="009115B1"/>
    <w:rsid w:val="009127AC"/>
    <w:rsid w:val="00913C3C"/>
    <w:rsid w:val="00914AA6"/>
    <w:rsid w:val="00915FD6"/>
    <w:rsid w:val="00917956"/>
    <w:rsid w:val="00920483"/>
    <w:rsid w:val="0092458D"/>
    <w:rsid w:val="00925269"/>
    <w:rsid w:val="00925B32"/>
    <w:rsid w:val="009271A0"/>
    <w:rsid w:val="00933257"/>
    <w:rsid w:val="00934149"/>
    <w:rsid w:val="00935939"/>
    <w:rsid w:val="00935F4D"/>
    <w:rsid w:val="009365C9"/>
    <w:rsid w:val="009373B9"/>
    <w:rsid w:val="00940BC5"/>
    <w:rsid w:val="00944C3E"/>
    <w:rsid w:val="009555F9"/>
    <w:rsid w:val="009558FB"/>
    <w:rsid w:val="00956F88"/>
    <w:rsid w:val="00964DB2"/>
    <w:rsid w:val="00965C19"/>
    <w:rsid w:val="00972409"/>
    <w:rsid w:val="0098155F"/>
    <w:rsid w:val="00982CAA"/>
    <w:rsid w:val="0098395A"/>
    <w:rsid w:val="00983D2E"/>
    <w:rsid w:val="0098498B"/>
    <w:rsid w:val="009851EB"/>
    <w:rsid w:val="0099083B"/>
    <w:rsid w:val="00995C2A"/>
    <w:rsid w:val="0099743E"/>
    <w:rsid w:val="009A0E72"/>
    <w:rsid w:val="009B2DE4"/>
    <w:rsid w:val="009C6792"/>
    <w:rsid w:val="009C7E17"/>
    <w:rsid w:val="009D016D"/>
    <w:rsid w:val="009D312F"/>
    <w:rsid w:val="009E170F"/>
    <w:rsid w:val="009E37AD"/>
    <w:rsid w:val="009F0E91"/>
    <w:rsid w:val="009F2C31"/>
    <w:rsid w:val="009F7346"/>
    <w:rsid w:val="009F7A3E"/>
    <w:rsid w:val="00A008CE"/>
    <w:rsid w:val="00A03CC8"/>
    <w:rsid w:val="00A0401A"/>
    <w:rsid w:val="00A04A07"/>
    <w:rsid w:val="00A05CA5"/>
    <w:rsid w:val="00A127A2"/>
    <w:rsid w:val="00A12F71"/>
    <w:rsid w:val="00A178F4"/>
    <w:rsid w:val="00A273FE"/>
    <w:rsid w:val="00A3227D"/>
    <w:rsid w:val="00A35EF5"/>
    <w:rsid w:val="00A4251D"/>
    <w:rsid w:val="00A43B3E"/>
    <w:rsid w:val="00A441DE"/>
    <w:rsid w:val="00A50B67"/>
    <w:rsid w:val="00A51145"/>
    <w:rsid w:val="00A57E62"/>
    <w:rsid w:val="00A64D32"/>
    <w:rsid w:val="00A67E5B"/>
    <w:rsid w:val="00A708E2"/>
    <w:rsid w:val="00A72338"/>
    <w:rsid w:val="00A72FBC"/>
    <w:rsid w:val="00A7511A"/>
    <w:rsid w:val="00A77208"/>
    <w:rsid w:val="00A77EDE"/>
    <w:rsid w:val="00A82436"/>
    <w:rsid w:val="00A84112"/>
    <w:rsid w:val="00A86A36"/>
    <w:rsid w:val="00A91CBC"/>
    <w:rsid w:val="00A95B9A"/>
    <w:rsid w:val="00AA558A"/>
    <w:rsid w:val="00AA6EAE"/>
    <w:rsid w:val="00AB0032"/>
    <w:rsid w:val="00AB049B"/>
    <w:rsid w:val="00AB08F5"/>
    <w:rsid w:val="00AB0D5D"/>
    <w:rsid w:val="00AB6D02"/>
    <w:rsid w:val="00AC4991"/>
    <w:rsid w:val="00AD3BFA"/>
    <w:rsid w:val="00AD3F6E"/>
    <w:rsid w:val="00AD3FB5"/>
    <w:rsid w:val="00AE4FDA"/>
    <w:rsid w:val="00AF4A15"/>
    <w:rsid w:val="00B06002"/>
    <w:rsid w:val="00B07DBF"/>
    <w:rsid w:val="00B07F3F"/>
    <w:rsid w:val="00B11F51"/>
    <w:rsid w:val="00B41AB8"/>
    <w:rsid w:val="00B54791"/>
    <w:rsid w:val="00B55833"/>
    <w:rsid w:val="00B64E81"/>
    <w:rsid w:val="00B71166"/>
    <w:rsid w:val="00B71A7F"/>
    <w:rsid w:val="00B75E8F"/>
    <w:rsid w:val="00B80083"/>
    <w:rsid w:val="00B82DCC"/>
    <w:rsid w:val="00B861DF"/>
    <w:rsid w:val="00B91B3A"/>
    <w:rsid w:val="00B95789"/>
    <w:rsid w:val="00BA2096"/>
    <w:rsid w:val="00BB16CD"/>
    <w:rsid w:val="00BB2B82"/>
    <w:rsid w:val="00BB78D8"/>
    <w:rsid w:val="00BC588B"/>
    <w:rsid w:val="00BC5CAE"/>
    <w:rsid w:val="00BD02BE"/>
    <w:rsid w:val="00BD5BB9"/>
    <w:rsid w:val="00BE14BC"/>
    <w:rsid w:val="00BE62BA"/>
    <w:rsid w:val="00BF0861"/>
    <w:rsid w:val="00BF11AF"/>
    <w:rsid w:val="00BF3B4A"/>
    <w:rsid w:val="00C02BFC"/>
    <w:rsid w:val="00C06F45"/>
    <w:rsid w:val="00C15DBD"/>
    <w:rsid w:val="00C20DB3"/>
    <w:rsid w:val="00C24206"/>
    <w:rsid w:val="00C247C8"/>
    <w:rsid w:val="00C363F3"/>
    <w:rsid w:val="00C43CFF"/>
    <w:rsid w:val="00C43D8D"/>
    <w:rsid w:val="00C4546E"/>
    <w:rsid w:val="00C47E85"/>
    <w:rsid w:val="00C504F8"/>
    <w:rsid w:val="00C6064E"/>
    <w:rsid w:val="00C631C2"/>
    <w:rsid w:val="00C65F92"/>
    <w:rsid w:val="00C66826"/>
    <w:rsid w:val="00C67412"/>
    <w:rsid w:val="00C72D49"/>
    <w:rsid w:val="00C80058"/>
    <w:rsid w:val="00C80C2E"/>
    <w:rsid w:val="00C8275E"/>
    <w:rsid w:val="00C87549"/>
    <w:rsid w:val="00C91112"/>
    <w:rsid w:val="00C927D1"/>
    <w:rsid w:val="00C92E6A"/>
    <w:rsid w:val="00CA6291"/>
    <w:rsid w:val="00CB1B37"/>
    <w:rsid w:val="00CB254D"/>
    <w:rsid w:val="00CB4814"/>
    <w:rsid w:val="00CB5D16"/>
    <w:rsid w:val="00CB613B"/>
    <w:rsid w:val="00CC5344"/>
    <w:rsid w:val="00CD0BB7"/>
    <w:rsid w:val="00CD12ED"/>
    <w:rsid w:val="00CD708B"/>
    <w:rsid w:val="00CD7486"/>
    <w:rsid w:val="00CE2088"/>
    <w:rsid w:val="00CE78E5"/>
    <w:rsid w:val="00CF0CD7"/>
    <w:rsid w:val="00CF3AEC"/>
    <w:rsid w:val="00D01F41"/>
    <w:rsid w:val="00D026E9"/>
    <w:rsid w:val="00D03611"/>
    <w:rsid w:val="00D0523B"/>
    <w:rsid w:val="00D05548"/>
    <w:rsid w:val="00D1755E"/>
    <w:rsid w:val="00D17C09"/>
    <w:rsid w:val="00D17CC9"/>
    <w:rsid w:val="00D2205B"/>
    <w:rsid w:val="00D22B11"/>
    <w:rsid w:val="00D22E3F"/>
    <w:rsid w:val="00D25032"/>
    <w:rsid w:val="00D306F1"/>
    <w:rsid w:val="00D40A1C"/>
    <w:rsid w:val="00D40A7D"/>
    <w:rsid w:val="00D43BA3"/>
    <w:rsid w:val="00D50ABE"/>
    <w:rsid w:val="00D628D6"/>
    <w:rsid w:val="00D62E74"/>
    <w:rsid w:val="00D65B9C"/>
    <w:rsid w:val="00D667D5"/>
    <w:rsid w:val="00D7508E"/>
    <w:rsid w:val="00D754B7"/>
    <w:rsid w:val="00D773CA"/>
    <w:rsid w:val="00D808ED"/>
    <w:rsid w:val="00D819C3"/>
    <w:rsid w:val="00D83CB2"/>
    <w:rsid w:val="00D84EC5"/>
    <w:rsid w:val="00D916BE"/>
    <w:rsid w:val="00DA2AE0"/>
    <w:rsid w:val="00DA53B2"/>
    <w:rsid w:val="00DA7B75"/>
    <w:rsid w:val="00DB0347"/>
    <w:rsid w:val="00DB472A"/>
    <w:rsid w:val="00DB4B7E"/>
    <w:rsid w:val="00DC37BD"/>
    <w:rsid w:val="00DD0341"/>
    <w:rsid w:val="00DD0710"/>
    <w:rsid w:val="00DD44C9"/>
    <w:rsid w:val="00DD6097"/>
    <w:rsid w:val="00DE2A7B"/>
    <w:rsid w:val="00DE50B0"/>
    <w:rsid w:val="00DE72E2"/>
    <w:rsid w:val="00DF121E"/>
    <w:rsid w:val="00DF549F"/>
    <w:rsid w:val="00DF5ADA"/>
    <w:rsid w:val="00DF7601"/>
    <w:rsid w:val="00E01B9D"/>
    <w:rsid w:val="00E02D06"/>
    <w:rsid w:val="00E04175"/>
    <w:rsid w:val="00E06EFA"/>
    <w:rsid w:val="00E17316"/>
    <w:rsid w:val="00E17683"/>
    <w:rsid w:val="00E17F88"/>
    <w:rsid w:val="00E20AF9"/>
    <w:rsid w:val="00E25EF4"/>
    <w:rsid w:val="00E270A0"/>
    <w:rsid w:val="00E30435"/>
    <w:rsid w:val="00E322A3"/>
    <w:rsid w:val="00E32AF0"/>
    <w:rsid w:val="00E3367A"/>
    <w:rsid w:val="00E336EF"/>
    <w:rsid w:val="00E417EF"/>
    <w:rsid w:val="00E41A18"/>
    <w:rsid w:val="00E440A3"/>
    <w:rsid w:val="00E47464"/>
    <w:rsid w:val="00E51EC8"/>
    <w:rsid w:val="00E533DF"/>
    <w:rsid w:val="00E60DD5"/>
    <w:rsid w:val="00E6166A"/>
    <w:rsid w:val="00E70E2A"/>
    <w:rsid w:val="00E72CAC"/>
    <w:rsid w:val="00E7474F"/>
    <w:rsid w:val="00E7721D"/>
    <w:rsid w:val="00E8253C"/>
    <w:rsid w:val="00E84621"/>
    <w:rsid w:val="00E87A5F"/>
    <w:rsid w:val="00E87B52"/>
    <w:rsid w:val="00E92EEC"/>
    <w:rsid w:val="00E9428E"/>
    <w:rsid w:val="00E944F9"/>
    <w:rsid w:val="00E96E78"/>
    <w:rsid w:val="00E96FB8"/>
    <w:rsid w:val="00EA3271"/>
    <w:rsid w:val="00EA4A6E"/>
    <w:rsid w:val="00EA6427"/>
    <w:rsid w:val="00EB2C4B"/>
    <w:rsid w:val="00EB3CEE"/>
    <w:rsid w:val="00EB4743"/>
    <w:rsid w:val="00EC089B"/>
    <w:rsid w:val="00EC2BB2"/>
    <w:rsid w:val="00ED26F9"/>
    <w:rsid w:val="00ED64AC"/>
    <w:rsid w:val="00EE4089"/>
    <w:rsid w:val="00EE619D"/>
    <w:rsid w:val="00EF0190"/>
    <w:rsid w:val="00EF038B"/>
    <w:rsid w:val="00EF1012"/>
    <w:rsid w:val="00EF62A2"/>
    <w:rsid w:val="00EF6FAF"/>
    <w:rsid w:val="00EF71EB"/>
    <w:rsid w:val="00F01E6F"/>
    <w:rsid w:val="00F02617"/>
    <w:rsid w:val="00F0551B"/>
    <w:rsid w:val="00F0625E"/>
    <w:rsid w:val="00F065E7"/>
    <w:rsid w:val="00F07DCB"/>
    <w:rsid w:val="00F121AB"/>
    <w:rsid w:val="00F140FD"/>
    <w:rsid w:val="00F16BEF"/>
    <w:rsid w:val="00F17EC6"/>
    <w:rsid w:val="00F24C57"/>
    <w:rsid w:val="00F35670"/>
    <w:rsid w:val="00F439D7"/>
    <w:rsid w:val="00F471B6"/>
    <w:rsid w:val="00F52BE2"/>
    <w:rsid w:val="00F56376"/>
    <w:rsid w:val="00F56F31"/>
    <w:rsid w:val="00F57260"/>
    <w:rsid w:val="00F66546"/>
    <w:rsid w:val="00F74040"/>
    <w:rsid w:val="00F75F53"/>
    <w:rsid w:val="00F83F9A"/>
    <w:rsid w:val="00F844A1"/>
    <w:rsid w:val="00F86ADF"/>
    <w:rsid w:val="00F870C4"/>
    <w:rsid w:val="00F921DE"/>
    <w:rsid w:val="00F93FE3"/>
    <w:rsid w:val="00FA01B5"/>
    <w:rsid w:val="00FA4168"/>
    <w:rsid w:val="00FA47CF"/>
    <w:rsid w:val="00FA735C"/>
    <w:rsid w:val="00FC108F"/>
    <w:rsid w:val="00FD2FA2"/>
    <w:rsid w:val="00FD4F7E"/>
    <w:rsid w:val="00FD633C"/>
    <w:rsid w:val="00FE3E69"/>
    <w:rsid w:val="00FE4F11"/>
    <w:rsid w:val="00FE537D"/>
    <w:rsid w:val="00FF3A22"/>
    <w:rsid w:val="00FF4203"/>
    <w:rsid w:val="00FF5C9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0220F1-D5B7-414C-8C2A-0C707B9E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7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1E657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E657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E6578"/>
    <w:pPr>
      <w:keepNext/>
      <w:spacing w:before="240" w:after="60"/>
      <w:outlineLvl w:val="2"/>
    </w:pPr>
    <w:rPr>
      <w:rFonts w:ascii="Calibri" w:hAnsi="Calibri"/>
      <w:b/>
      <w:bCs/>
      <w:sz w:val="26"/>
      <w:szCs w:val="26"/>
    </w:rPr>
  </w:style>
  <w:style w:type="paragraph" w:styleId="Heading6">
    <w:name w:val="heading 6"/>
    <w:basedOn w:val="Normal"/>
    <w:next w:val="Normal"/>
    <w:link w:val="Heading6Char"/>
    <w:uiPriority w:val="9"/>
    <w:semiHidden/>
    <w:unhideWhenUsed/>
    <w:qFormat/>
    <w:rsid w:val="0063704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1E65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578"/>
  </w:style>
  <w:style w:type="paragraph" w:styleId="ListParagraph">
    <w:name w:val="List Paragraph"/>
    <w:basedOn w:val="Normal"/>
    <w:uiPriority w:val="34"/>
    <w:qFormat/>
    <w:rsid w:val="001E6578"/>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8B3815"/>
    <w:rPr>
      <w:color w:val="0563C1" w:themeColor="hyperlink"/>
      <w:u w:val="single"/>
    </w:rPr>
  </w:style>
  <w:style w:type="paragraph" w:styleId="BalloonText">
    <w:name w:val="Balloon Text"/>
    <w:basedOn w:val="Normal"/>
    <w:link w:val="BalloonTextChar"/>
    <w:rsid w:val="001E6578"/>
    <w:rPr>
      <w:rFonts w:ascii="Tahoma" w:hAnsi="Tahoma" w:cs="Tahoma"/>
      <w:sz w:val="16"/>
      <w:szCs w:val="16"/>
    </w:rPr>
  </w:style>
  <w:style w:type="character" w:customStyle="1" w:styleId="BalloonTextChar">
    <w:name w:val="Balloon Text Char"/>
    <w:basedOn w:val="DefaultParagraphFont"/>
    <w:link w:val="BalloonText"/>
    <w:rsid w:val="001E6578"/>
    <w:rPr>
      <w:rFonts w:ascii="Tahoma" w:eastAsia="MS Mincho" w:hAnsi="Tahoma" w:cs="Tahoma"/>
      <w:sz w:val="16"/>
      <w:szCs w:val="16"/>
      <w:lang w:val="en-GB" w:eastAsia="zh-CN"/>
    </w:rPr>
  </w:style>
  <w:style w:type="character" w:styleId="CommentReference">
    <w:name w:val="annotation reference"/>
    <w:basedOn w:val="DefaultParagraphFont"/>
    <w:uiPriority w:val="99"/>
    <w:semiHidden/>
    <w:unhideWhenUsed/>
    <w:rsid w:val="00EF038B"/>
    <w:rPr>
      <w:sz w:val="16"/>
      <w:szCs w:val="16"/>
    </w:rPr>
  </w:style>
  <w:style w:type="paragraph" w:styleId="CommentText">
    <w:name w:val="annotation text"/>
    <w:basedOn w:val="Normal"/>
    <w:link w:val="CommentTextChar"/>
    <w:uiPriority w:val="99"/>
    <w:semiHidden/>
    <w:unhideWhenUsed/>
    <w:rsid w:val="00EF038B"/>
    <w:rPr>
      <w:sz w:val="20"/>
      <w:szCs w:val="20"/>
    </w:rPr>
  </w:style>
  <w:style w:type="character" w:customStyle="1" w:styleId="CommentTextChar">
    <w:name w:val="Comment Text Char"/>
    <w:basedOn w:val="DefaultParagraphFont"/>
    <w:link w:val="CommentText"/>
    <w:uiPriority w:val="99"/>
    <w:semiHidden/>
    <w:rsid w:val="00EF038B"/>
    <w:rPr>
      <w:sz w:val="20"/>
      <w:szCs w:val="20"/>
      <w:lang w:val="en-GB"/>
    </w:rPr>
  </w:style>
  <w:style w:type="paragraph" w:styleId="CommentSubject">
    <w:name w:val="annotation subject"/>
    <w:basedOn w:val="CommentText"/>
    <w:next w:val="CommentText"/>
    <w:link w:val="CommentSubjectChar"/>
    <w:uiPriority w:val="99"/>
    <w:semiHidden/>
    <w:unhideWhenUsed/>
    <w:rsid w:val="00EF038B"/>
    <w:rPr>
      <w:b/>
      <w:bCs/>
    </w:rPr>
  </w:style>
  <w:style w:type="character" w:customStyle="1" w:styleId="CommentSubjectChar">
    <w:name w:val="Comment Subject Char"/>
    <w:basedOn w:val="CommentTextChar"/>
    <w:link w:val="CommentSubject"/>
    <w:uiPriority w:val="99"/>
    <w:semiHidden/>
    <w:rsid w:val="00EF038B"/>
    <w:rPr>
      <w:b/>
      <w:bCs/>
      <w:sz w:val="20"/>
      <w:szCs w:val="20"/>
      <w:lang w:val="en-GB"/>
    </w:rPr>
  </w:style>
  <w:style w:type="character" w:customStyle="1" w:styleId="Heading1Char">
    <w:name w:val="Heading 1 Char"/>
    <w:basedOn w:val="DefaultParagraphFont"/>
    <w:link w:val="Heading1"/>
    <w:rsid w:val="001E657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1E657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1E6578"/>
    <w:rPr>
      <w:rFonts w:ascii="Calibri" w:eastAsia="MS Mincho" w:hAnsi="Calibri"/>
      <w:b/>
      <w:bCs/>
      <w:sz w:val="26"/>
      <w:szCs w:val="26"/>
      <w:lang w:val="en-GB" w:eastAsia="zh-CN"/>
    </w:rPr>
  </w:style>
  <w:style w:type="paragraph" w:styleId="TOCHeading">
    <w:name w:val="TOC Heading"/>
    <w:basedOn w:val="Heading1"/>
    <w:next w:val="Normal"/>
    <w:uiPriority w:val="39"/>
    <w:unhideWhenUsed/>
    <w:qFormat/>
    <w:rsid w:val="001368FA"/>
    <w:pPr>
      <w:outlineLvl w:val="9"/>
    </w:pPr>
    <w:rPr>
      <w:rFonts w:asciiTheme="majorHAnsi" w:hAnsiTheme="majorHAnsi"/>
      <w:b w:val="0"/>
      <w:sz w:val="32"/>
      <w:szCs w:val="32"/>
      <w:lang w:val="en-US"/>
    </w:rPr>
  </w:style>
  <w:style w:type="paragraph" w:styleId="TOC1">
    <w:name w:val="toc 1"/>
    <w:basedOn w:val="IPPNormalCloseSpace"/>
    <w:next w:val="Normal"/>
    <w:autoRedefine/>
    <w:uiPriority w:val="39"/>
    <w:rsid w:val="001E6578"/>
    <w:pPr>
      <w:tabs>
        <w:tab w:val="right" w:leader="dot" w:pos="9072"/>
      </w:tabs>
      <w:spacing w:before="240"/>
      <w:ind w:left="567" w:hanging="567"/>
    </w:pPr>
  </w:style>
  <w:style w:type="paragraph" w:styleId="TOC2">
    <w:name w:val="toc 2"/>
    <w:basedOn w:val="TOC1"/>
    <w:next w:val="Normal"/>
    <w:autoRedefine/>
    <w:uiPriority w:val="39"/>
    <w:rsid w:val="001E6578"/>
    <w:pPr>
      <w:keepNext w:val="0"/>
      <w:tabs>
        <w:tab w:val="left" w:pos="425"/>
      </w:tabs>
      <w:spacing w:before="120" w:after="0"/>
      <w:ind w:left="425" w:right="284" w:hanging="425"/>
    </w:pPr>
  </w:style>
  <w:style w:type="paragraph" w:styleId="TOC3">
    <w:name w:val="toc 3"/>
    <w:basedOn w:val="TOC2"/>
    <w:next w:val="Normal"/>
    <w:autoRedefine/>
    <w:uiPriority w:val="39"/>
    <w:rsid w:val="001E6578"/>
    <w:pPr>
      <w:tabs>
        <w:tab w:val="left" w:pos="1276"/>
      </w:tabs>
      <w:spacing w:before="60"/>
      <w:ind w:left="1276" w:hanging="851"/>
    </w:pPr>
    <w:rPr>
      <w:rFonts w:eastAsia="Times"/>
    </w:rPr>
  </w:style>
  <w:style w:type="character" w:styleId="Strong">
    <w:name w:val="Strong"/>
    <w:basedOn w:val="DefaultParagraphFont"/>
    <w:qFormat/>
    <w:rsid w:val="001E6578"/>
    <w:rPr>
      <w:b/>
      <w:bCs/>
    </w:rPr>
  </w:style>
  <w:style w:type="paragraph" w:styleId="NormalWeb">
    <w:name w:val="Normal (Web)"/>
    <w:basedOn w:val="Normal"/>
    <w:uiPriority w:val="99"/>
    <w:semiHidden/>
    <w:unhideWhenUsed/>
    <w:rsid w:val="00EF1012"/>
    <w:pPr>
      <w:spacing w:before="75" w:after="225" w:line="330" w:lineRule="atLeast"/>
    </w:pPr>
    <w:rPr>
      <w:rFonts w:eastAsia="Times New Roman" w:cs="Times New Roman"/>
      <w:sz w:val="24"/>
      <w:lang w:eastAsia="en-NZ"/>
    </w:rPr>
  </w:style>
  <w:style w:type="paragraph" w:styleId="Header">
    <w:name w:val="header"/>
    <w:basedOn w:val="Normal"/>
    <w:link w:val="HeaderChar"/>
    <w:rsid w:val="001E6578"/>
    <w:pPr>
      <w:tabs>
        <w:tab w:val="center" w:pos="4680"/>
        <w:tab w:val="right" w:pos="9360"/>
      </w:tabs>
    </w:pPr>
  </w:style>
  <w:style w:type="character" w:customStyle="1" w:styleId="HeaderChar">
    <w:name w:val="Header Char"/>
    <w:basedOn w:val="DefaultParagraphFont"/>
    <w:link w:val="Header"/>
    <w:rsid w:val="001E6578"/>
    <w:rPr>
      <w:rFonts w:ascii="Times New Roman" w:eastAsia="MS Mincho" w:hAnsi="Times New Roman"/>
      <w:szCs w:val="24"/>
      <w:lang w:val="en-GB" w:eastAsia="zh-CN"/>
    </w:rPr>
  </w:style>
  <w:style w:type="paragraph" w:styleId="Footer">
    <w:name w:val="footer"/>
    <w:basedOn w:val="Normal"/>
    <w:link w:val="FooterChar"/>
    <w:rsid w:val="001E6578"/>
    <w:pPr>
      <w:tabs>
        <w:tab w:val="center" w:pos="4680"/>
        <w:tab w:val="right" w:pos="9360"/>
      </w:tabs>
    </w:pPr>
  </w:style>
  <w:style w:type="character" w:customStyle="1" w:styleId="FooterChar">
    <w:name w:val="Footer Char"/>
    <w:basedOn w:val="DefaultParagraphFont"/>
    <w:link w:val="Footer"/>
    <w:rsid w:val="001E6578"/>
    <w:rPr>
      <w:rFonts w:ascii="Times New Roman" w:eastAsia="MS Mincho" w:hAnsi="Times New Roman"/>
      <w:szCs w:val="24"/>
      <w:lang w:val="en-GB" w:eastAsia="zh-CN"/>
    </w:rPr>
  </w:style>
  <w:style w:type="table" w:styleId="TableGrid">
    <w:name w:val="Table Grid"/>
    <w:basedOn w:val="TableNormal"/>
    <w:rsid w:val="001E6578"/>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3704B"/>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39"/>
    <w:rsid w:val="00C6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6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6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E6578"/>
    <w:pPr>
      <w:spacing w:before="60"/>
    </w:pPr>
    <w:rPr>
      <w:sz w:val="20"/>
    </w:rPr>
  </w:style>
  <w:style w:type="character" w:customStyle="1" w:styleId="FootnoteTextChar">
    <w:name w:val="Footnote Text Char"/>
    <w:basedOn w:val="DefaultParagraphFont"/>
    <w:link w:val="FootnoteText"/>
    <w:semiHidden/>
    <w:rsid w:val="001E6578"/>
    <w:rPr>
      <w:rFonts w:ascii="Times New Roman" w:eastAsia="MS Mincho" w:hAnsi="Times New Roman"/>
      <w:sz w:val="20"/>
      <w:szCs w:val="24"/>
      <w:lang w:val="en-GB" w:eastAsia="zh-CN"/>
    </w:rPr>
  </w:style>
  <w:style w:type="character" w:styleId="FootnoteReference">
    <w:name w:val="footnote reference"/>
    <w:basedOn w:val="DefaultParagraphFont"/>
    <w:semiHidden/>
    <w:rsid w:val="001E6578"/>
    <w:rPr>
      <w:vertAlign w:val="superscript"/>
    </w:rPr>
  </w:style>
  <w:style w:type="paragraph" w:customStyle="1" w:styleId="Style">
    <w:name w:val="Style"/>
    <w:basedOn w:val="Footer"/>
    <w:autoRedefine/>
    <w:qFormat/>
    <w:rsid w:val="001E657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E6578"/>
    <w:rPr>
      <w:rFonts w:ascii="Arial" w:hAnsi="Arial"/>
      <w:b/>
      <w:sz w:val="18"/>
    </w:rPr>
  </w:style>
  <w:style w:type="paragraph" w:customStyle="1" w:styleId="IPPArialFootnote">
    <w:name w:val="IPP Arial Footnote"/>
    <w:basedOn w:val="IPPArialTable"/>
    <w:qFormat/>
    <w:rsid w:val="001E6578"/>
    <w:pPr>
      <w:tabs>
        <w:tab w:val="left" w:pos="28"/>
      </w:tabs>
      <w:ind w:left="284" w:hanging="284"/>
    </w:pPr>
    <w:rPr>
      <w:sz w:val="16"/>
    </w:rPr>
  </w:style>
  <w:style w:type="paragraph" w:customStyle="1" w:styleId="IPPContentsHead">
    <w:name w:val="IPP ContentsHead"/>
    <w:basedOn w:val="IPPSubhead"/>
    <w:next w:val="IPPNormal"/>
    <w:qFormat/>
    <w:rsid w:val="001E6578"/>
    <w:pPr>
      <w:spacing w:after="240"/>
    </w:pPr>
    <w:rPr>
      <w:sz w:val="24"/>
    </w:rPr>
  </w:style>
  <w:style w:type="paragraph" w:customStyle="1" w:styleId="IPPBullet2">
    <w:name w:val="IPP Bullet2"/>
    <w:basedOn w:val="IPPNormal"/>
    <w:next w:val="IPPBullet1"/>
    <w:qFormat/>
    <w:rsid w:val="001E6578"/>
    <w:pPr>
      <w:numPr>
        <w:numId w:val="20"/>
      </w:numPr>
      <w:tabs>
        <w:tab w:val="left" w:pos="1134"/>
      </w:tabs>
      <w:spacing w:after="60"/>
    </w:pPr>
  </w:style>
  <w:style w:type="paragraph" w:customStyle="1" w:styleId="IPPQuote">
    <w:name w:val="IPP Quote"/>
    <w:basedOn w:val="IPPNormal"/>
    <w:qFormat/>
    <w:rsid w:val="001E6578"/>
    <w:pPr>
      <w:ind w:left="851" w:right="851"/>
    </w:pPr>
    <w:rPr>
      <w:sz w:val="18"/>
    </w:rPr>
  </w:style>
  <w:style w:type="paragraph" w:customStyle="1" w:styleId="IPPNormal">
    <w:name w:val="IPP Normal"/>
    <w:basedOn w:val="Normal"/>
    <w:link w:val="IPPNormalChar"/>
    <w:qFormat/>
    <w:rsid w:val="001E6578"/>
    <w:pPr>
      <w:spacing w:after="180"/>
    </w:pPr>
    <w:rPr>
      <w:rFonts w:eastAsia="Times"/>
    </w:rPr>
  </w:style>
  <w:style w:type="paragraph" w:customStyle="1" w:styleId="IPPIndentClose">
    <w:name w:val="IPP Indent Close"/>
    <w:basedOn w:val="IPPNormal"/>
    <w:qFormat/>
    <w:rsid w:val="001E6578"/>
    <w:pPr>
      <w:tabs>
        <w:tab w:val="left" w:pos="2835"/>
      </w:tabs>
      <w:spacing w:after="60"/>
      <w:ind w:left="567"/>
    </w:pPr>
  </w:style>
  <w:style w:type="paragraph" w:customStyle="1" w:styleId="IPPIndent">
    <w:name w:val="IPP Indent"/>
    <w:basedOn w:val="IPPIndentClose"/>
    <w:qFormat/>
    <w:rsid w:val="001E6578"/>
    <w:pPr>
      <w:spacing w:after="180"/>
    </w:pPr>
  </w:style>
  <w:style w:type="paragraph" w:customStyle="1" w:styleId="IPPFootnote">
    <w:name w:val="IPP Footnote"/>
    <w:basedOn w:val="IPPArialFootnote"/>
    <w:qFormat/>
    <w:rsid w:val="001E657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E6578"/>
    <w:pPr>
      <w:keepNext/>
      <w:tabs>
        <w:tab w:val="left" w:pos="567"/>
      </w:tabs>
      <w:spacing w:before="120" w:after="120"/>
      <w:ind w:left="567" w:hanging="567"/>
    </w:pPr>
    <w:rPr>
      <w:b/>
      <w:i/>
    </w:rPr>
  </w:style>
  <w:style w:type="character" w:customStyle="1" w:styleId="IPPnormalitalics">
    <w:name w:val="IPP normal italics"/>
    <w:basedOn w:val="DefaultParagraphFont"/>
    <w:rsid w:val="001E6578"/>
    <w:rPr>
      <w:rFonts w:ascii="Times New Roman" w:hAnsi="Times New Roman"/>
      <w:i/>
      <w:sz w:val="22"/>
      <w:lang w:val="en-US"/>
    </w:rPr>
  </w:style>
  <w:style w:type="character" w:customStyle="1" w:styleId="IPPNormalbold">
    <w:name w:val="IPP Normal bold"/>
    <w:basedOn w:val="PlainTextChar"/>
    <w:rsid w:val="001E6578"/>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1E657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E657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E6578"/>
    <w:pPr>
      <w:keepNext/>
      <w:ind w:left="567" w:hanging="567"/>
      <w:jc w:val="left"/>
    </w:pPr>
    <w:rPr>
      <w:b/>
      <w:bCs/>
      <w:iCs/>
      <w:szCs w:val="22"/>
    </w:rPr>
  </w:style>
  <w:style w:type="character" w:customStyle="1" w:styleId="IPPNormalunderlined">
    <w:name w:val="IPP Normal underlined"/>
    <w:basedOn w:val="DefaultParagraphFont"/>
    <w:rsid w:val="001E6578"/>
    <w:rPr>
      <w:rFonts w:ascii="Times New Roman" w:hAnsi="Times New Roman"/>
      <w:sz w:val="22"/>
      <w:u w:val="single"/>
      <w:lang w:val="en-US"/>
    </w:rPr>
  </w:style>
  <w:style w:type="paragraph" w:customStyle="1" w:styleId="IPPBullet1">
    <w:name w:val="IPP Bullet1"/>
    <w:basedOn w:val="IPPBullet1Last"/>
    <w:qFormat/>
    <w:rsid w:val="001E6578"/>
    <w:pPr>
      <w:numPr>
        <w:numId w:val="25"/>
      </w:numPr>
      <w:spacing w:after="60"/>
    </w:pPr>
    <w:rPr>
      <w:lang w:val="en-US"/>
    </w:rPr>
  </w:style>
  <w:style w:type="paragraph" w:customStyle="1" w:styleId="IPPBullet1Last">
    <w:name w:val="IPP Bullet1Last"/>
    <w:basedOn w:val="IPPNormal"/>
    <w:next w:val="IPPNormal"/>
    <w:autoRedefine/>
    <w:qFormat/>
    <w:rsid w:val="001E6578"/>
    <w:pPr>
      <w:numPr>
        <w:numId w:val="21"/>
      </w:numPr>
    </w:pPr>
  </w:style>
  <w:style w:type="character" w:customStyle="1" w:styleId="IPPNormalstrikethrough">
    <w:name w:val="IPP Normal strikethrough"/>
    <w:rsid w:val="001E6578"/>
    <w:rPr>
      <w:rFonts w:ascii="Times New Roman" w:hAnsi="Times New Roman"/>
      <w:strike/>
      <w:dstrike w:val="0"/>
      <w:sz w:val="22"/>
    </w:rPr>
  </w:style>
  <w:style w:type="paragraph" w:customStyle="1" w:styleId="IPPTitle16pt">
    <w:name w:val="IPP Title16pt"/>
    <w:basedOn w:val="Normal"/>
    <w:qFormat/>
    <w:rsid w:val="001E657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E6578"/>
    <w:pPr>
      <w:spacing w:after="360"/>
      <w:jc w:val="center"/>
    </w:pPr>
    <w:rPr>
      <w:rFonts w:ascii="Arial" w:hAnsi="Arial" w:cs="Arial"/>
      <w:b/>
      <w:bCs/>
      <w:sz w:val="36"/>
      <w:szCs w:val="36"/>
    </w:rPr>
  </w:style>
  <w:style w:type="paragraph" w:customStyle="1" w:styleId="IPPHeader">
    <w:name w:val="IPP Header"/>
    <w:basedOn w:val="Normal"/>
    <w:qFormat/>
    <w:rsid w:val="001E657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E6578"/>
    <w:pPr>
      <w:keepNext/>
      <w:tabs>
        <w:tab w:val="left" w:pos="567"/>
      </w:tabs>
      <w:spacing w:before="120"/>
      <w:jc w:val="left"/>
      <w:outlineLvl w:val="1"/>
    </w:pPr>
    <w:rPr>
      <w:b/>
      <w:sz w:val="24"/>
    </w:rPr>
  </w:style>
  <w:style w:type="numbering" w:customStyle="1" w:styleId="IPPParagraphnumberedlist">
    <w:name w:val="IPP Paragraph numbered list"/>
    <w:rsid w:val="001E6578"/>
    <w:pPr>
      <w:numPr>
        <w:numId w:val="19"/>
      </w:numPr>
    </w:pPr>
  </w:style>
  <w:style w:type="paragraph" w:customStyle="1" w:styleId="IPPNormalCloseSpace">
    <w:name w:val="IPP NormalCloseSpace"/>
    <w:basedOn w:val="Normal"/>
    <w:qFormat/>
    <w:rsid w:val="001E6578"/>
    <w:pPr>
      <w:keepNext/>
      <w:spacing w:after="60"/>
    </w:pPr>
  </w:style>
  <w:style w:type="paragraph" w:customStyle="1" w:styleId="IPPHeading2">
    <w:name w:val="IPP Heading2"/>
    <w:basedOn w:val="IPPNormal"/>
    <w:next w:val="IPPNormal"/>
    <w:qFormat/>
    <w:rsid w:val="001E657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E6578"/>
    <w:pPr>
      <w:pBdr>
        <w:top w:val="single" w:sz="4" w:space="4" w:color="auto"/>
        <w:bottom w:val="none" w:sz="0" w:space="0" w:color="auto"/>
      </w:pBdr>
      <w:tabs>
        <w:tab w:val="clear" w:pos="1134"/>
      </w:tabs>
      <w:jc w:val="right"/>
    </w:pPr>
    <w:rPr>
      <w:b/>
    </w:rPr>
  </w:style>
  <w:style w:type="paragraph" w:styleId="TOC4">
    <w:name w:val="toc 4"/>
    <w:basedOn w:val="Normal"/>
    <w:next w:val="Normal"/>
    <w:autoRedefine/>
    <w:uiPriority w:val="39"/>
    <w:rsid w:val="001E6578"/>
    <w:pPr>
      <w:spacing w:after="120"/>
      <w:ind w:left="660"/>
    </w:pPr>
    <w:rPr>
      <w:rFonts w:eastAsia="Times"/>
      <w:lang w:val="en-AU"/>
    </w:rPr>
  </w:style>
  <w:style w:type="paragraph" w:styleId="TOC5">
    <w:name w:val="toc 5"/>
    <w:basedOn w:val="Normal"/>
    <w:next w:val="Normal"/>
    <w:autoRedefine/>
    <w:uiPriority w:val="39"/>
    <w:rsid w:val="001E6578"/>
    <w:pPr>
      <w:spacing w:after="120"/>
      <w:ind w:left="880"/>
    </w:pPr>
    <w:rPr>
      <w:rFonts w:eastAsia="Times"/>
      <w:lang w:val="en-AU"/>
    </w:rPr>
  </w:style>
  <w:style w:type="paragraph" w:styleId="TOC6">
    <w:name w:val="toc 6"/>
    <w:basedOn w:val="Normal"/>
    <w:next w:val="Normal"/>
    <w:autoRedefine/>
    <w:uiPriority w:val="39"/>
    <w:rsid w:val="001E6578"/>
    <w:pPr>
      <w:spacing w:after="120"/>
      <w:ind w:left="1100"/>
    </w:pPr>
    <w:rPr>
      <w:rFonts w:eastAsia="Times"/>
      <w:lang w:val="en-AU"/>
    </w:rPr>
  </w:style>
  <w:style w:type="paragraph" w:styleId="TOC7">
    <w:name w:val="toc 7"/>
    <w:basedOn w:val="Normal"/>
    <w:next w:val="Normal"/>
    <w:autoRedefine/>
    <w:uiPriority w:val="39"/>
    <w:rsid w:val="001E6578"/>
    <w:pPr>
      <w:spacing w:after="120"/>
      <w:ind w:left="1320"/>
    </w:pPr>
    <w:rPr>
      <w:rFonts w:eastAsia="Times"/>
      <w:lang w:val="en-AU"/>
    </w:rPr>
  </w:style>
  <w:style w:type="paragraph" w:styleId="TOC8">
    <w:name w:val="toc 8"/>
    <w:basedOn w:val="Normal"/>
    <w:next w:val="Normal"/>
    <w:autoRedefine/>
    <w:uiPriority w:val="39"/>
    <w:rsid w:val="001E6578"/>
    <w:pPr>
      <w:spacing w:after="120"/>
      <w:ind w:left="1540"/>
    </w:pPr>
    <w:rPr>
      <w:rFonts w:eastAsia="Times"/>
      <w:lang w:val="en-AU"/>
    </w:rPr>
  </w:style>
  <w:style w:type="paragraph" w:styleId="TOC9">
    <w:name w:val="toc 9"/>
    <w:basedOn w:val="Normal"/>
    <w:next w:val="Normal"/>
    <w:autoRedefine/>
    <w:uiPriority w:val="39"/>
    <w:rsid w:val="001E6578"/>
    <w:pPr>
      <w:spacing w:after="120"/>
      <w:ind w:left="1760"/>
    </w:pPr>
    <w:rPr>
      <w:rFonts w:eastAsia="Times"/>
      <w:lang w:val="en-AU"/>
    </w:rPr>
  </w:style>
  <w:style w:type="paragraph" w:customStyle="1" w:styleId="IPPReferences">
    <w:name w:val="IPP References"/>
    <w:basedOn w:val="IPPNormal"/>
    <w:qFormat/>
    <w:rsid w:val="001E6578"/>
    <w:pPr>
      <w:spacing w:after="60"/>
      <w:ind w:left="567" w:hanging="567"/>
    </w:pPr>
  </w:style>
  <w:style w:type="paragraph" w:customStyle="1" w:styleId="IPPArial">
    <w:name w:val="IPP Arial"/>
    <w:basedOn w:val="IPPNormal"/>
    <w:qFormat/>
    <w:rsid w:val="001E6578"/>
    <w:pPr>
      <w:spacing w:after="0"/>
    </w:pPr>
    <w:rPr>
      <w:rFonts w:ascii="Arial" w:hAnsi="Arial"/>
      <w:sz w:val="18"/>
    </w:rPr>
  </w:style>
  <w:style w:type="paragraph" w:customStyle="1" w:styleId="IPPArialTable">
    <w:name w:val="IPP Arial Table"/>
    <w:basedOn w:val="IPPArial"/>
    <w:qFormat/>
    <w:rsid w:val="001E6578"/>
    <w:pPr>
      <w:spacing w:before="60" w:after="60"/>
      <w:jc w:val="left"/>
    </w:pPr>
  </w:style>
  <w:style w:type="paragraph" w:customStyle="1" w:styleId="IPPHeaderlandscape">
    <w:name w:val="IPP Header landscape"/>
    <w:basedOn w:val="IPPHeader"/>
    <w:qFormat/>
    <w:rsid w:val="001E657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E657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E6578"/>
    <w:rPr>
      <w:rFonts w:ascii="Courier" w:eastAsia="Times" w:hAnsi="Courier"/>
      <w:sz w:val="21"/>
      <w:szCs w:val="21"/>
      <w:lang w:val="en-AU" w:eastAsia="zh-CN"/>
    </w:rPr>
  </w:style>
  <w:style w:type="paragraph" w:customStyle="1" w:styleId="IPPLetterList">
    <w:name w:val="IPP LetterList"/>
    <w:basedOn w:val="IPPBullet2"/>
    <w:qFormat/>
    <w:rsid w:val="001E6578"/>
    <w:pPr>
      <w:numPr>
        <w:numId w:val="17"/>
      </w:numPr>
      <w:jc w:val="left"/>
    </w:pPr>
  </w:style>
  <w:style w:type="paragraph" w:customStyle="1" w:styleId="IPPLetterListIndent">
    <w:name w:val="IPP LetterList Indent"/>
    <w:basedOn w:val="IPPLetterList"/>
    <w:qFormat/>
    <w:rsid w:val="001E6578"/>
    <w:pPr>
      <w:numPr>
        <w:numId w:val="18"/>
      </w:numPr>
    </w:pPr>
  </w:style>
  <w:style w:type="paragraph" w:customStyle="1" w:styleId="IPPFooterLandscape">
    <w:name w:val="IPP Footer Landscape"/>
    <w:basedOn w:val="IPPHeaderlandscape"/>
    <w:qFormat/>
    <w:rsid w:val="001E6578"/>
    <w:pPr>
      <w:pBdr>
        <w:top w:val="single" w:sz="4" w:space="1" w:color="auto"/>
        <w:bottom w:val="none" w:sz="0" w:space="0" w:color="auto"/>
      </w:pBdr>
      <w:jc w:val="right"/>
    </w:pPr>
    <w:rPr>
      <w:b/>
    </w:rPr>
  </w:style>
  <w:style w:type="paragraph" w:customStyle="1" w:styleId="IPPSubheadSpace">
    <w:name w:val="IPP Subhead Space"/>
    <w:basedOn w:val="IPPSubhead"/>
    <w:qFormat/>
    <w:rsid w:val="001E6578"/>
    <w:pPr>
      <w:tabs>
        <w:tab w:val="left" w:pos="567"/>
      </w:tabs>
      <w:spacing w:before="60" w:after="60"/>
    </w:pPr>
  </w:style>
  <w:style w:type="paragraph" w:customStyle="1" w:styleId="IPPSubheadSpaceAfter">
    <w:name w:val="IPP Subhead SpaceAfter"/>
    <w:basedOn w:val="IPPSubhead"/>
    <w:qFormat/>
    <w:rsid w:val="001E6578"/>
    <w:pPr>
      <w:spacing w:after="60"/>
    </w:pPr>
  </w:style>
  <w:style w:type="paragraph" w:customStyle="1" w:styleId="IPPHdg1Num">
    <w:name w:val="IPP Hdg1Num"/>
    <w:basedOn w:val="IPPHeading1"/>
    <w:next w:val="IPPNormal"/>
    <w:qFormat/>
    <w:rsid w:val="001E6578"/>
    <w:pPr>
      <w:numPr>
        <w:numId w:val="22"/>
      </w:numPr>
    </w:pPr>
  </w:style>
  <w:style w:type="paragraph" w:customStyle="1" w:styleId="IPPHdg2Num">
    <w:name w:val="IPP Hdg2Num"/>
    <w:basedOn w:val="IPPHeading2"/>
    <w:next w:val="IPPNormal"/>
    <w:qFormat/>
    <w:rsid w:val="001E6578"/>
    <w:pPr>
      <w:numPr>
        <w:ilvl w:val="1"/>
        <w:numId w:val="23"/>
      </w:numPr>
    </w:pPr>
  </w:style>
  <w:style w:type="paragraph" w:customStyle="1" w:styleId="IPPNumberedList">
    <w:name w:val="IPP NumberedList"/>
    <w:basedOn w:val="IPPBullet1"/>
    <w:qFormat/>
    <w:rsid w:val="001E6578"/>
    <w:pPr>
      <w:numPr>
        <w:numId w:val="24"/>
      </w:numPr>
    </w:pPr>
  </w:style>
  <w:style w:type="paragraph" w:customStyle="1" w:styleId="IPPParagraphnumbering">
    <w:name w:val="IPP Paragraph numbering"/>
    <w:basedOn w:val="IPPNormal"/>
    <w:qFormat/>
    <w:rsid w:val="001E6578"/>
    <w:pPr>
      <w:tabs>
        <w:tab w:val="num" w:pos="0"/>
      </w:tabs>
      <w:ind w:hanging="482"/>
    </w:pPr>
    <w:rPr>
      <w:lang w:val="en-US"/>
    </w:rPr>
  </w:style>
  <w:style w:type="paragraph" w:customStyle="1" w:styleId="IPPParagraphnumberingclose">
    <w:name w:val="IPP Paragraph numbering close"/>
    <w:basedOn w:val="IPPParagraphnumbering"/>
    <w:qFormat/>
    <w:rsid w:val="001E6578"/>
    <w:pPr>
      <w:keepNext/>
      <w:tabs>
        <w:tab w:val="clear" w:pos="0"/>
      </w:tabs>
      <w:spacing w:after="60"/>
      <w:ind w:firstLine="0"/>
    </w:pPr>
  </w:style>
  <w:style w:type="paragraph" w:customStyle="1" w:styleId="IPPNumberedListLast">
    <w:name w:val="IPP NumberedListLast"/>
    <w:basedOn w:val="IPPNumberedList"/>
    <w:qFormat/>
    <w:rsid w:val="001E6578"/>
    <w:pPr>
      <w:numPr>
        <w:numId w:val="0"/>
      </w:numPr>
      <w:spacing w:after="180"/>
    </w:pPr>
  </w:style>
  <w:style w:type="paragraph" w:customStyle="1" w:styleId="IPPPargraphnumbering">
    <w:name w:val="IPP Pargraph numbering"/>
    <w:basedOn w:val="IPPNormal"/>
    <w:qFormat/>
    <w:rsid w:val="001E6578"/>
    <w:pPr>
      <w:tabs>
        <w:tab w:val="num" w:pos="360"/>
      </w:tabs>
    </w:pPr>
    <w:rPr>
      <w:rFonts w:cs="Times New Roman"/>
      <w:lang w:val="en-US"/>
    </w:rPr>
  </w:style>
  <w:style w:type="character" w:customStyle="1" w:styleId="IPPNormalChar">
    <w:name w:val="IPP Normal Char"/>
    <w:link w:val="IPPNormal"/>
    <w:rsid w:val="001E6578"/>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535">
      <w:bodyDiv w:val="1"/>
      <w:marLeft w:val="0"/>
      <w:marRight w:val="0"/>
      <w:marTop w:val="0"/>
      <w:marBottom w:val="0"/>
      <w:divBdr>
        <w:top w:val="none" w:sz="0" w:space="0" w:color="auto"/>
        <w:left w:val="none" w:sz="0" w:space="0" w:color="auto"/>
        <w:bottom w:val="none" w:sz="0" w:space="0" w:color="auto"/>
        <w:right w:val="none" w:sz="0" w:space="0" w:color="auto"/>
      </w:divBdr>
    </w:div>
    <w:div w:id="263194724">
      <w:bodyDiv w:val="1"/>
      <w:marLeft w:val="0"/>
      <w:marRight w:val="0"/>
      <w:marTop w:val="0"/>
      <w:marBottom w:val="0"/>
      <w:divBdr>
        <w:top w:val="none" w:sz="0" w:space="0" w:color="auto"/>
        <w:left w:val="none" w:sz="0" w:space="0" w:color="auto"/>
        <w:bottom w:val="none" w:sz="0" w:space="0" w:color="auto"/>
        <w:right w:val="none" w:sz="0" w:space="0" w:color="auto"/>
      </w:divBdr>
      <w:divsChild>
        <w:div w:id="721560449">
          <w:marLeft w:val="0"/>
          <w:marRight w:val="0"/>
          <w:marTop w:val="0"/>
          <w:marBottom w:val="0"/>
          <w:divBdr>
            <w:top w:val="none" w:sz="0" w:space="0" w:color="auto"/>
            <w:left w:val="none" w:sz="0" w:space="0" w:color="auto"/>
            <w:bottom w:val="none" w:sz="0" w:space="0" w:color="auto"/>
            <w:right w:val="none" w:sz="0" w:space="0" w:color="auto"/>
          </w:divBdr>
          <w:divsChild>
            <w:div w:id="16940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209">
      <w:bodyDiv w:val="1"/>
      <w:marLeft w:val="0"/>
      <w:marRight w:val="0"/>
      <w:marTop w:val="0"/>
      <w:marBottom w:val="0"/>
      <w:divBdr>
        <w:top w:val="none" w:sz="0" w:space="0" w:color="auto"/>
        <w:left w:val="none" w:sz="0" w:space="0" w:color="auto"/>
        <w:bottom w:val="none" w:sz="0" w:space="0" w:color="auto"/>
        <w:right w:val="none" w:sz="0" w:space="0" w:color="auto"/>
      </w:divBdr>
      <w:divsChild>
        <w:div w:id="64885817">
          <w:marLeft w:val="360"/>
          <w:marRight w:val="0"/>
          <w:marTop w:val="0"/>
          <w:marBottom w:val="0"/>
          <w:divBdr>
            <w:top w:val="none" w:sz="0" w:space="0" w:color="auto"/>
            <w:left w:val="none" w:sz="0" w:space="0" w:color="auto"/>
            <w:bottom w:val="none" w:sz="0" w:space="0" w:color="auto"/>
            <w:right w:val="none" w:sz="0" w:space="0" w:color="auto"/>
          </w:divBdr>
        </w:div>
        <w:div w:id="770124103">
          <w:marLeft w:val="360"/>
          <w:marRight w:val="0"/>
          <w:marTop w:val="0"/>
          <w:marBottom w:val="0"/>
          <w:divBdr>
            <w:top w:val="none" w:sz="0" w:space="0" w:color="auto"/>
            <w:left w:val="none" w:sz="0" w:space="0" w:color="auto"/>
            <w:bottom w:val="none" w:sz="0" w:space="0" w:color="auto"/>
            <w:right w:val="none" w:sz="0" w:space="0" w:color="auto"/>
          </w:divBdr>
        </w:div>
        <w:div w:id="1698772920">
          <w:marLeft w:val="360"/>
          <w:marRight w:val="0"/>
          <w:marTop w:val="0"/>
          <w:marBottom w:val="0"/>
          <w:divBdr>
            <w:top w:val="none" w:sz="0" w:space="0" w:color="auto"/>
            <w:left w:val="none" w:sz="0" w:space="0" w:color="auto"/>
            <w:bottom w:val="none" w:sz="0" w:space="0" w:color="auto"/>
            <w:right w:val="none" w:sz="0" w:space="0" w:color="auto"/>
          </w:divBdr>
        </w:div>
        <w:div w:id="1525097561">
          <w:marLeft w:val="360"/>
          <w:marRight w:val="0"/>
          <w:marTop w:val="0"/>
          <w:marBottom w:val="0"/>
          <w:divBdr>
            <w:top w:val="none" w:sz="0" w:space="0" w:color="auto"/>
            <w:left w:val="none" w:sz="0" w:space="0" w:color="auto"/>
            <w:bottom w:val="none" w:sz="0" w:space="0" w:color="auto"/>
            <w:right w:val="none" w:sz="0" w:space="0" w:color="auto"/>
          </w:divBdr>
        </w:div>
        <w:div w:id="1758752092">
          <w:marLeft w:val="360"/>
          <w:marRight w:val="0"/>
          <w:marTop w:val="0"/>
          <w:marBottom w:val="0"/>
          <w:divBdr>
            <w:top w:val="none" w:sz="0" w:space="0" w:color="auto"/>
            <w:left w:val="none" w:sz="0" w:space="0" w:color="auto"/>
            <w:bottom w:val="none" w:sz="0" w:space="0" w:color="auto"/>
            <w:right w:val="none" w:sz="0" w:space="0" w:color="auto"/>
          </w:divBdr>
        </w:div>
        <w:div w:id="41640350">
          <w:marLeft w:val="360"/>
          <w:marRight w:val="0"/>
          <w:marTop w:val="0"/>
          <w:marBottom w:val="0"/>
          <w:divBdr>
            <w:top w:val="none" w:sz="0" w:space="0" w:color="auto"/>
            <w:left w:val="none" w:sz="0" w:space="0" w:color="auto"/>
            <w:bottom w:val="none" w:sz="0" w:space="0" w:color="auto"/>
            <w:right w:val="none" w:sz="0" w:space="0" w:color="auto"/>
          </w:divBdr>
        </w:div>
        <w:div w:id="1215193738">
          <w:marLeft w:val="360"/>
          <w:marRight w:val="0"/>
          <w:marTop w:val="0"/>
          <w:marBottom w:val="0"/>
          <w:divBdr>
            <w:top w:val="none" w:sz="0" w:space="0" w:color="auto"/>
            <w:left w:val="none" w:sz="0" w:space="0" w:color="auto"/>
            <w:bottom w:val="none" w:sz="0" w:space="0" w:color="auto"/>
            <w:right w:val="none" w:sz="0" w:space="0" w:color="auto"/>
          </w:divBdr>
        </w:div>
        <w:div w:id="1471946486">
          <w:marLeft w:val="360"/>
          <w:marRight w:val="0"/>
          <w:marTop w:val="0"/>
          <w:marBottom w:val="0"/>
          <w:divBdr>
            <w:top w:val="none" w:sz="0" w:space="0" w:color="auto"/>
            <w:left w:val="none" w:sz="0" w:space="0" w:color="auto"/>
            <w:bottom w:val="none" w:sz="0" w:space="0" w:color="auto"/>
            <w:right w:val="none" w:sz="0" w:space="0" w:color="auto"/>
          </w:divBdr>
        </w:div>
        <w:div w:id="441077251">
          <w:marLeft w:val="360"/>
          <w:marRight w:val="0"/>
          <w:marTop w:val="0"/>
          <w:marBottom w:val="0"/>
          <w:divBdr>
            <w:top w:val="none" w:sz="0" w:space="0" w:color="auto"/>
            <w:left w:val="none" w:sz="0" w:space="0" w:color="auto"/>
            <w:bottom w:val="none" w:sz="0" w:space="0" w:color="auto"/>
            <w:right w:val="none" w:sz="0" w:space="0" w:color="auto"/>
          </w:divBdr>
        </w:div>
        <w:div w:id="624624785">
          <w:marLeft w:val="360"/>
          <w:marRight w:val="0"/>
          <w:marTop w:val="0"/>
          <w:marBottom w:val="0"/>
          <w:divBdr>
            <w:top w:val="none" w:sz="0" w:space="0" w:color="auto"/>
            <w:left w:val="none" w:sz="0" w:space="0" w:color="auto"/>
            <w:bottom w:val="none" w:sz="0" w:space="0" w:color="auto"/>
            <w:right w:val="none" w:sz="0" w:space="0" w:color="auto"/>
          </w:divBdr>
        </w:div>
        <w:div w:id="363868318">
          <w:marLeft w:val="360"/>
          <w:marRight w:val="0"/>
          <w:marTop w:val="0"/>
          <w:marBottom w:val="0"/>
          <w:divBdr>
            <w:top w:val="none" w:sz="0" w:space="0" w:color="auto"/>
            <w:left w:val="none" w:sz="0" w:space="0" w:color="auto"/>
            <w:bottom w:val="none" w:sz="0" w:space="0" w:color="auto"/>
            <w:right w:val="none" w:sz="0" w:space="0" w:color="auto"/>
          </w:divBdr>
        </w:div>
        <w:div w:id="1563786579">
          <w:marLeft w:val="360"/>
          <w:marRight w:val="0"/>
          <w:marTop w:val="0"/>
          <w:marBottom w:val="0"/>
          <w:divBdr>
            <w:top w:val="none" w:sz="0" w:space="0" w:color="auto"/>
            <w:left w:val="none" w:sz="0" w:space="0" w:color="auto"/>
            <w:bottom w:val="none" w:sz="0" w:space="0" w:color="auto"/>
            <w:right w:val="none" w:sz="0" w:space="0" w:color="auto"/>
          </w:divBdr>
        </w:div>
        <w:div w:id="206795439">
          <w:marLeft w:val="360"/>
          <w:marRight w:val="0"/>
          <w:marTop w:val="0"/>
          <w:marBottom w:val="0"/>
          <w:divBdr>
            <w:top w:val="none" w:sz="0" w:space="0" w:color="auto"/>
            <w:left w:val="none" w:sz="0" w:space="0" w:color="auto"/>
            <w:bottom w:val="none" w:sz="0" w:space="0" w:color="auto"/>
            <w:right w:val="none" w:sz="0" w:space="0" w:color="auto"/>
          </w:divBdr>
        </w:div>
        <w:div w:id="189881128">
          <w:marLeft w:val="360"/>
          <w:marRight w:val="0"/>
          <w:marTop w:val="0"/>
          <w:marBottom w:val="0"/>
          <w:divBdr>
            <w:top w:val="none" w:sz="0" w:space="0" w:color="auto"/>
            <w:left w:val="none" w:sz="0" w:space="0" w:color="auto"/>
            <w:bottom w:val="none" w:sz="0" w:space="0" w:color="auto"/>
            <w:right w:val="none" w:sz="0" w:space="0" w:color="auto"/>
          </w:divBdr>
        </w:div>
      </w:divsChild>
    </w:div>
    <w:div w:id="681467323">
      <w:bodyDiv w:val="1"/>
      <w:marLeft w:val="0"/>
      <w:marRight w:val="0"/>
      <w:marTop w:val="0"/>
      <w:marBottom w:val="0"/>
      <w:divBdr>
        <w:top w:val="none" w:sz="0" w:space="0" w:color="auto"/>
        <w:left w:val="none" w:sz="0" w:space="0" w:color="auto"/>
        <w:bottom w:val="none" w:sz="0" w:space="0" w:color="auto"/>
        <w:right w:val="none" w:sz="0" w:space="0" w:color="auto"/>
      </w:divBdr>
      <w:divsChild>
        <w:div w:id="47342330">
          <w:marLeft w:val="0"/>
          <w:marRight w:val="0"/>
          <w:marTop w:val="0"/>
          <w:marBottom w:val="0"/>
          <w:divBdr>
            <w:top w:val="none" w:sz="0" w:space="0" w:color="auto"/>
            <w:left w:val="none" w:sz="0" w:space="0" w:color="auto"/>
            <w:bottom w:val="none" w:sz="0" w:space="0" w:color="auto"/>
            <w:right w:val="none" w:sz="0" w:space="0" w:color="auto"/>
          </w:divBdr>
          <w:divsChild>
            <w:div w:id="205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69">
      <w:bodyDiv w:val="1"/>
      <w:marLeft w:val="0"/>
      <w:marRight w:val="0"/>
      <w:marTop w:val="0"/>
      <w:marBottom w:val="0"/>
      <w:divBdr>
        <w:top w:val="none" w:sz="0" w:space="0" w:color="auto"/>
        <w:left w:val="none" w:sz="0" w:space="0" w:color="auto"/>
        <w:bottom w:val="none" w:sz="0" w:space="0" w:color="auto"/>
        <w:right w:val="none" w:sz="0" w:space="0" w:color="auto"/>
      </w:divBdr>
      <w:divsChild>
        <w:div w:id="889683251">
          <w:marLeft w:val="0"/>
          <w:marRight w:val="0"/>
          <w:marTop w:val="0"/>
          <w:marBottom w:val="0"/>
          <w:divBdr>
            <w:top w:val="none" w:sz="0" w:space="0" w:color="auto"/>
            <w:left w:val="none" w:sz="0" w:space="0" w:color="auto"/>
            <w:bottom w:val="none" w:sz="0" w:space="0" w:color="auto"/>
            <w:right w:val="none" w:sz="0" w:space="0" w:color="auto"/>
          </w:divBdr>
          <w:divsChild>
            <w:div w:id="1042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9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5153">
          <w:marLeft w:val="0"/>
          <w:marRight w:val="0"/>
          <w:marTop w:val="0"/>
          <w:marBottom w:val="0"/>
          <w:divBdr>
            <w:top w:val="none" w:sz="0" w:space="0" w:color="auto"/>
            <w:left w:val="none" w:sz="0" w:space="0" w:color="auto"/>
            <w:bottom w:val="none" w:sz="0" w:space="0" w:color="auto"/>
            <w:right w:val="none" w:sz="0" w:space="0" w:color="auto"/>
          </w:divBdr>
          <w:divsChild>
            <w:div w:id="6399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473">
      <w:bodyDiv w:val="1"/>
      <w:marLeft w:val="0"/>
      <w:marRight w:val="0"/>
      <w:marTop w:val="0"/>
      <w:marBottom w:val="0"/>
      <w:divBdr>
        <w:top w:val="none" w:sz="0" w:space="0" w:color="auto"/>
        <w:left w:val="none" w:sz="0" w:space="0" w:color="auto"/>
        <w:bottom w:val="none" w:sz="0" w:space="0" w:color="auto"/>
        <w:right w:val="none" w:sz="0" w:space="0" w:color="auto"/>
      </w:divBdr>
    </w:div>
    <w:div w:id="1860852650">
      <w:bodyDiv w:val="1"/>
      <w:marLeft w:val="0"/>
      <w:marRight w:val="0"/>
      <w:marTop w:val="0"/>
      <w:marBottom w:val="0"/>
      <w:divBdr>
        <w:top w:val="none" w:sz="0" w:space="0" w:color="auto"/>
        <w:left w:val="none" w:sz="0" w:space="0" w:color="auto"/>
        <w:bottom w:val="none" w:sz="0" w:space="0" w:color="auto"/>
        <w:right w:val="none" w:sz="0" w:space="0" w:color="auto"/>
      </w:divBdr>
      <w:divsChild>
        <w:div w:id="70662354">
          <w:marLeft w:val="0"/>
          <w:marRight w:val="0"/>
          <w:marTop w:val="0"/>
          <w:marBottom w:val="0"/>
          <w:divBdr>
            <w:top w:val="none" w:sz="0" w:space="0" w:color="auto"/>
            <w:left w:val="none" w:sz="0" w:space="0" w:color="auto"/>
            <w:bottom w:val="none" w:sz="0" w:space="0" w:color="auto"/>
            <w:right w:val="none" w:sz="0" w:space="0" w:color="auto"/>
          </w:divBdr>
          <w:divsChild>
            <w:div w:id="26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themes/food-security/" TargetMode="External"/><Relationship Id="rId18" Type="http://schemas.openxmlformats.org/officeDocument/2006/relationships/hyperlink" Target="https://www.ippc.int/static/media/uploads/ippc_communicationsstrategy_cpm8_201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ppc.int/en/external-cooperation/regional-plant-protection-organizations/" TargetMode="External"/><Relationship Id="rId17" Type="http://schemas.openxmlformats.org/officeDocument/2006/relationships/hyperlink" Target="https://www.ippc.int/en/iyp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ppc.int/en/themes/capacity-develop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ppc.int/en/themes/environment-protectio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themes/trade-facilitation/"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181ABA2FE7B45A1EA77505BFCA263" ma:contentTypeVersion="0" ma:contentTypeDescription="Create a new document." ma:contentTypeScope="" ma:versionID="548a32abc746115a6662424e53509dfa">
  <xsd:schema xmlns:xsd="http://www.w3.org/2001/XMLSchema" xmlns:xs="http://www.w3.org/2001/XMLSchema" xmlns:p="http://schemas.microsoft.com/office/2006/metadata/properties" targetNamespace="http://schemas.microsoft.com/office/2006/metadata/properties" ma:root="true" ma:fieldsID="3fc526a6f426f51b8a31fa18ec56a0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12A2-D329-421E-91CA-D1C482D69E11}">
  <ds:schemaRefs>
    <ds:schemaRef ds:uri="http://schemas.microsoft.com/sharepoint/v3/contenttype/forms"/>
  </ds:schemaRefs>
</ds:datastoreItem>
</file>

<file path=customXml/itemProps2.xml><?xml version="1.0" encoding="utf-8"?>
<ds:datastoreItem xmlns:ds="http://schemas.openxmlformats.org/officeDocument/2006/customXml" ds:itemID="{E961A4C2-C1C5-463A-9FEC-7A5D7F6E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978FB7-4657-4C86-97B8-C2DFE244F321}">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DC08026-F849-47EC-9420-D662ED9C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14</TotalTime>
  <Pages>23</Pages>
  <Words>8025</Words>
  <Characters>45747</Characters>
  <Application>Microsoft Office Word</Application>
  <DocSecurity>0</DocSecurity>
  <Lines>381</Lines>
  <Paragraphs>107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MPI</Company>
  <LinksUpToDate>false</LinksUpToDate>
  <CharactersWithSpaces>53665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Thomson</dc:creator>
  <cp:lastModifiedBy>Lahti, Tanja (AGDI)</cp:lastModifiedBy>
  <cp:revision>3</cp:revision>
  <cp:lastPrinted>2018-02-20T10:37:00Z</cp:lastPrinted>
  <dcterms:created xsi:type="dcterms:W3CDTF">2018-09-10T12:43:00Z</dcterms:created>
  <dcterms:modified xsi:type="dcterms:W3CDTF">2018-09-10T12:56:00Z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0x010100C3A181ABA2FE7B45A1EA77505BFCA263</vt:lpwstr>
  </property>
  <property fmtid="{D5CDD505-2E9C-101B-9397-08002B2CF9AE}" pid="3" name="IsMyDocuments">
    <vt:bool>true</vt:bool>
  </property>
</Properties>
</file>