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60" w:rsidRDefault="00E92360" w:rsidP="00EE74EE">
      <w:pPr>
        <w:pStyle w:val="IPPHeadSection"/>
        <w:jc w:val="center"/>
      </w:pPr>
      <w:r>
        <w:t>Trade Facilitation Action Plan</w:t>
      </w:r>
    </w:p>
    <w:p w:rsidR="0016037A" w:rsidRPr="00635881" w:rsidRDefault="00E92360" w:rsidP="00EE74EE">
      <w:pPr>
        <w:pStyle w:val="IPPParagraphnumbering"/>
        <w:rPr>
          <w:szCs w:val="22"/>
        </w:rPr>
      </w:pPr>
      <w:r w:rsidRPr="00635881">
        <w:rPr>
          <w:szCs w:val="22"/>
        </w:rPr>
        <w:t xml:space="preserve">At its meeting in October 2017, the Strategic Planning Group (SPG) endorsed the draft Trade Facilitation Action Plan (TFAP) for submission to CPM-13 for approval.  </w:t>
      </w:r>
      <w:r w:rsidR="0016037A" w:rsidRPr="00635881">
        <w:rPr>
          <w:szCs w:val="22"/>
        </w:rPr>
        <w:t xml:space="preserve">The link to the CPM paper is </w:t>
      </w:r>
      <w:hyperlink r:id="rId8" w:history="1">
        <w:r w:rsidR="0016037A" w:rsidRPr="00635881">
          <w:rPr>
            <w:rStyle w:val="Hyperlink"/>
            <w:szCs w:val="22"/>
          </w:rPr>
          <w:t>https://www.ippc.int/static/media/files/publication/en/2018/03/34_CPM_April_2018_Trade_facilitation_ActionPlan-2018-03-14.pdf</w:t>
        </w:r>
      </w:hyperlink>
      <w:r w:rsidR="00281FDF" w:rsidRPr="00635881">
        <w:rPr>
          <w:szCs w:val="22"/>
        </w:rPr>
        <w:t xml:space="preserve">. </w:t>
      </w:r>
    </w:p>
    <w:p w:rsidR="0016037A" w:rsidRPr="0016037A" w:rsidRDefault="00E92360" w:rsidP="00EE74EE">
      <w:pPr>
        <w:pStyle w:val="IPPParagraphnumbering"/>
      </w:pPr>
      <w:r>
        <w:t>The TFAP brings together a number of existing and proposed priorities that facilitate safe trade</w:t>
      </w:r>
      <w:r w:rsidR="0016037A">
        <w:t xml:space="preserve"> and reflects implementation elements of the </w:t>
      </w:r>
      <w:r w:rsidR="0016037A" w:rsidRPr="0016037A">
        <w:t xml:space="preserve">Trade Facilitation Agreement of the World Trade Organization. </w:t>
      </w:r>
    </w:p>
    <w:p w:rsidR="00E92360" w:rsidRDefault="00E92360" w:rsidP="00EE74EE">
      <w:pPr>
        <w:pStyle w:val="IPPParagraphnumbering"/>
      </w:pPr>
      <w:r>
        <w:t xml:space="preserve">CPM was reminded that </w:t>
      </w:r>
      <w:proofErr w:type="spellStart"/>
      <w:r>
        <w:t>ePhyto</w:t>
      </w:r>
      <w:proofErr w:type="spellEnd"/>
      <w:r>
        <w:t xml:space="preserve"> and SCTF are funded, whereas e-Commerce and the International Trade Facilitation Conference need project proposals developed and funding identified.  Contracting parties requested more time to consider the subject and that the draft TFA be presented for review and discussion at the next SPG meeting in October 2018.</w:t>
      </w:r>
    </w:p>
    <w:p w:rsidR="00E92360" w:rsidRDefault="00E92360" w:rsidP="00EE74EE">
      <w:pPr>
        <w:pStyle w:val="IPPParagraphnumbering"/>
      </w:pPr>
      <w:r>
        <w:t xml:space="preserve">The Bureau briefly discussed the draft </w:t>
      </w:r>
      <w:r w:rsidR="00D0782E">
        <w:t>TF</w:t>
      </w:r>
      <w:r>
        <w:t xml:space="preserve">AP during its pre-CPM meeting in April 2018.  Some concerns were noted regarding the scope and intent of actions proposed for e-Commerce and it was agreed that the </w:t>
      </w:r>
      <w:r w:rsidR="0016037A">
        <w:t>TFAP</w:t>
      </w:r>
      <w:r>
        <w:t xml:space="preserve"> would be updated when this had been considered further.</w:t>
      </w:r>
    </w:p>
    <w:p w:rsidR="003D4E02" w:rsidRDefault="00E92360" w:rsidP="00EE74EE">
      <w:pPr>
        <w:pStyle w:val="IPPParagraphnumbering"/>
      </w:pPr>
      <w:r>
        <w:t xml:space="preserve">The e-Commerce project work plan and budget </w:t>
      </w:r>
      <w:r w:rsidR="003D4E02">
        <w:t xml:space="preserve">has been </w:t>
      </w:r>
      <w:r w:rsidR="00D0782E">
        <w:t>drafted</w:t>
      </w:r>
      <w:r w:rsidR="003D4E02">
        <w:t xml:space="preserve"> and has been incorporated into the revised TFAP for Bureau and SPG consideration in October 2018.  Relevant elements of the draft IPPC Strategic Framework 2020-2030 and the associated draft 5-year investment plan have also been incorporated into this amended draft TFAP.</w:t>
      </w:r>
    </w:p>
    <w:p w:rsidR="00E92360" w:rsidRDefault="00E92360" w:rsidP="00EE74EE">
      <w:pPr>
        <w:pStyle w:val="IPPParagraphnumbering"/>
      </w:pPr>
      <w:r>
        <w:t>The Bureau</w:t>
      </w:r>
      <w:r w:rsidR="003D4E02">
        <w:t xml:space="preserve"> and SPG are</w:t>
      </w:r>
      <w:r>
        <w:t xml:space="preserve"> invited to:</w:t>
      </w:r>
    </w:p>
    <w:p w:rsidR="006E7B80" w:rsidRDefault="006E7B80" w:rsidP="00721EFD">
      <w:pPr>
        <w:pStyle w:val="IPPNumberedList"/>
      </w:pPr>
      <w:r w:rsidRPr="00721EFD">
        <w:rPr>
          <w:i/>
        </w:rPr>
        <w:t>D</w:t>
      </w:r>
      <w:r w:rsidR="00E92360" w:rsidRPr="00721EFD">
        <w:rPr>
          <w:i/>
        </w:rPr>
        <w:t>iscuss</w:t>
      </w:r>
      <w:r w:rsidR="00E92360">
        <w:t xml:space="preserve"> the </w:t>
      </w:r>
      <w:r>
        <w:t xml:space="preserve">revised </w:t>
      </w:r>
      <w:r w:rsidR="00E92360">
        <w:t>draft TFAP</w:t>
      </w:r>
      <w:r>
        <w:t xml:space="preserve"> and</w:t>
      </w:r>
    </w:p>
    <w:p w:rsidR="00635881" w:rsidRDefault="006E7B80" w:rsidP="00721EFD">
      <w:pPr>
        <w:pStyle w:val="IPPNumberedList"/>
        <w:sectPr w:rsidR="00635881" w:rsidSect="00635881">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721EFD">
        <w:rPr>
          <w:i/>
        </w:rPr>
        <w:t>Agree</w:t>
      </w:r>
      <w:r>
        <w:t xml:space="preserve"> that the TFAP is presented</w:t>
      </w:r>
      <w:r w:rsidR="00E92360">
        <w:t xml:space="preserve"> to CPM-14 in 2019</w:t>
      </w:r>
      <w:r w:rsidR="00F8302F">
        <w:t xml:space="preserve"> for adoption</w:t>
      </w:r>
      <w:r w:rsidR="00E92360">
        <w:t>.</w:t>
      </w:r>
    </w:p>
    <w:p w:rsidR="00281FDF" w:rsidRPr="00281FDF" w:rsidRDefault="00635881" w:rsidP="00721EFD">
      <w:pPr>
        <w:pStyle w:val="IPPAnnexHead"/>
        <w:jc w:val="right"/>
      </w:pPr>
      <w:r>
        <w:lastRenderedPageBreak/>
        <w:t>A</w:t>
      </w:r>
      <w:r w:rsidR="00281FDF" w:rsidRPr="00281FDF">
        <w:t>ttachment 1</w:t>
      </w:r>
    </w:p>
    <w:p w:rsidR="00281FDF" w:rsidRDefault="00281FDF" w:rsidP="00281FDF">
      <w:pPr>
        <w:pStyle w:val="Default"/>
        <w:jc w:val="right"/>
      </w:pPr>
    </w:p>
    <w:p w:rsidR="0016037A" w:rsidRPr="00281FDF" w:rsidRDefault="0016037A" w:rsidP="00281FDF">
      <w:pPr>
        <w:pStyle w:val="Default"/>
        <w:jc w:val="center"/>
        <w:rPr>
          <w:b/>
          <w:bCs/>
          <w:color w:val="auto"/>
          <w:sz w:val="28"/>
          <w:szCs w:val="28"/>
        </w:rPr>
      </w:pPr>
      <w:r w:rsidRPr="00281FDF">
        <w:rPr>
          <w:b/>
          <w:bCs/>
          <w:color w:val="auto"/>
          <w:sz w:val="28"/>
          <w:szCs w:val="28"/>
        </w:rPr>
        <w:t>Trade Facilitation Action Plan 20</w:t>
      </w:r>
      <w:r w:rsidR="00F8302F">
        <w:rPr>
          <w:b/>
          <w:bCs/>
          <w:color w:val="auto"/>
          <w:sz w:val="28"/>
          <w:szCs w:val="28"/>
        </w:rPr>
        <w:t>20</w:t>
      </w:r>
      <w:r w:rsidRPr="00281FDF">
        <w:rPr>
          <w:b/>
          <w:bCs/>
          <w:color w:val="auto"/>
          <w:sz w:val="28"/>
          <w:szCs w:val="28"/>
        </w:rPr>
        <w:t xml:space="preserve"> – </w:t>
      </w:r>
      <w:r w:rsidR="003D4E02">
        <w:rPr>
          <w:b/>
          <w:bCs/>
          <w:color w:val="auto"/>
          <w:sz w:val="28"/>
          <w:szCs w:val="28"/>
        </w:rPr>
        <w:t>20</w:t>
      </w:r>
      <w:r w:rsidRPr="00281FDF">
        <w:rPr>
          <w:b/>
          <w:bCs/>
          <w:color w:val="auto"/>
          <w:sz w:val="28"/>
          <w:szCs w:val="28"/>
        </w:rPr>
        <w:t>2</w:t>
      </w:r>
      <w:r w:rsidR="00F8302F">
        <w:rPr>
          <w:b/>
          <w:bCs/>
          <w:color w:val="auto"/>
          <w:sz w:val="28"/>
          <w:szCs w:val="28"/>
        </w:rPr>
        <w:t>1</w:t>
      </w:r>
    </w:p>
    <w:p w:rsidR="0016037A" w:rsidRDefault="0016037A" w:rsidP="0016037A">
      <w:pPr>
        <w:pStyle w:val="Default"/>
        <w:rPr>
          <w:color w:val="auto"/>
          <w:sz w:val="22"/>
          <w:szCs w:val="22"/>
        </w:rPr>
      </w:pPr>
    </w:p>
    <w:p w:rsidR="0016037A" w:rsidRDefault="0016037A" w:rsidP="00CC2638">
      <w:pPr>
        <w:pStyle w:val="Default"/>
        <w:jc w:val="center"/>
        <w:rPr>
          <w:b/>
          <w:bCs/>
          <w:color w:val="auto"/>
          <w:sz w:val="26"/>
          <w:szCs w:val="26"/>
        </w:rPr>
      </w:pPr>
      <w:r>
        <w:rPr>
          <w:b/>
          <w:bCs/>
          <w:color w:val="auto"/>
          <w:sz w:val="26"/>
          <w:szCs w:val="26"/>
        </w:rPr>
        <w:t>I. Description</w:t>
      </w:r>
    </w:p>
    <w:p w:rsidR="0016037A" w:rsidRDefault="0016037A" w:rsidP="0016037A">
      <w:pPr>
        <w:pStyle w:val="Default"/>
        <w:rPr>
          <w:color w:val="auto"/>
          <w:sz w:val="26"/>
          <w:szCs w:val="26"/>
        </w:rPr>
      </w:pPr>
    </w:p>
    <w:p w:rsidR="0016037A" w:rsidRDefault="0016037A" w:rsidP="00635881">
      <w:pPr>
        <w:pStyle w:val="IPPParagraphnumbering"/>
        <w:numPr>
          <w:ilvl w:val="0"/>
          <w:numId w:val="32"/>
        </w:numPr>
      </w:pPr>
      <w:r>
        <w:t xml:space="preserve">The World Trade Organization (WTO) Trade Facilitation Agreement (TFA) was ratified on 22 February 2017. The Agreement prescribes the rights and obligations on signatories to </w:t>
      </w:r>
      <w:proofErr w:type="spellStart"/>
      <w:r>
        <w:t>harmonise</w:t>
      </w:r>
      <w:proofErr w:type="spellEnd"/>
      <w:r>
        <w:t xml:space="preserve"> border actions to facilitate the movement of goods. The World Customs Organization (WCO) has taken the lead in facilitating the global implementation of the TFA. </w:t>
      </w:r>
    </w:p>
    <w:p w:rsidR="0016037A" w:rsidRDefault="0016037A" w:rsidP="00635881">
      <w:pPr>
        <w:pStyle w:val="IPPParagraphnumbering"/>
      </w:pPr>
      <w:r>
        <w:t xml:space="preserve">Activities of National Plant Protection </w:t>
      </w:r>
      <w:proofErr w:type="spellStart"/>
      <w:r>
        <w:t>Organisations</w:t>
      </w:r>
      <w:proofErr w:type="spellEnd"/>
      <w:r>
        <w:t xml:space="preserve"> (NPPOs) to implement their commitments under the International Plant Protection Convention (IPPC) will intersect with those of other border agencies, particularly around the inspection and clearance of goods, passengers, mail and courier parcels. </w:t>
      </w:r>
    </w:p>
    <w:p w:rsidR="0016037A" w:rsidRDefault="0016037A" w:rsidP="00635881">
      <w:pPr>
        <w:pStyle w:val="IPPParagraphnumbering"/>
      </w:pPr>
      <w:r>
        <w:t>The TFA includes elements that are already practiced or under development by the IPPC. These include risk-based intervention, authorization of third parties, e-commerce, electronic transmission of phytosanitary certificates (</w:t>
      </w:r>
      <w:proofErr w:type="spellStart"/>
      <w:r>
        <w:t>ePhyto</w:t>
      </w:r>
      <w:proofErr w:type="spellEnd"/>
      <w:r>
        <w:t xml:space="preserve">) and systems approaches (safe or trusted traders). The international movement of sea containers is of common interest to many countries. </w:t>
      </w:r>
    </w:p>
    <w:p w:rsidR="0016037A" w:rsidRDefault="0016037A" w:rsidP="00635881">
      <w:pPr>
        <w:pStyle w:val="IPPParagraphnumbering"/>
      </w:pPr>
      <w:r>
        <w:t>The IPPC Bureau agreed in June 2017 that a summary of the TFA, with an IPPC Action Plan for the next 3 years be drafted for discussion by the Strategic Planning Gro</w:t>
      </w:r>
      <w:r w:rsidR="003D4E02">
        <w:t>up in October 2017 and this was completed</w:t>
      </w:r>
      <w:r>
        <w:t xml:space="preserve">. Following the SPG discussions, the plan has been prepared for review and approval by the CPM. The plan </w:t>
      </w:r>
      <w:r w:rsidR="003D4E02">
        <w:t>directs</w:t>
      </w:r>
      <w:r>
        <w:t xml:space="preserve"> implementation of the TFA with regards to ecommerce, </w:t>
      </w:r>
      <w:proofErr w:type="spellStart"/>
      <w:r>
        <w:t>ePhyto</w:t>
      </w:r>
      <w:proofErr w:type="spellEnd"/>
      <w:r>
        <w:t>, sea containers, the IPPC-WCO Cooperation Agreement and collaboration in capacity building. The plan will culminate in an IPPC-hosted 202</w:t>
      </w:r>
      <w:r w:rsidR="00F8302F">
        <w:t>1</w:t>
      </w:r>
      <w:r>
        <w:t xml:space="preserve"> conference/symposium to be dedicated to plant health and the implementation of the TFA. </w:t>
      </w:r>
    </w:p>
    <w:p w:rsidR="0016037A" w:rsidRDefault="0016037A" w:rsidP="0016037A">
      <w:pPr>
        <w:pStyle w:val="Default"/>
        <w:rPr>
          <w:color w:val="auto"/>
          <w:sz w:val="22"/>
          <w:szCs w:val="22"/>
        </w:rPr>
      </w:pPr>
    </w:p>
    <w:p w:rsidR="0016037A" w:rsidRDefault="0016037A" w:rsidP="00CC2638">
      <w:pPr>
        <w:pStyle w:val="Default"/>
        <w:jc w:val="center"/>
        <w:rPr>
          <w:b/>
          <w:bCs/>
          <w:color w:val="auto"/>
          <w:sz w:val="26"/>
          <w:szCs w:val="26"/>
        </w:rPr>
      </w:pPr>
      <w:r>
        <w:rPr>
          <w:b/>
          <w:bCs/>
          <w:color w:val="auto"/>
          <w:sz w:val="26"/>
          <w:szCs w:val="26"/>
        </w:rPr>
        <w:t>II. Strategic context/alignment</w:t>
      </w:r>
    </w:p>
    <w:p w:rsidR="0016037A" w:rsidRDefault="0016037A" w:rsidP="0016037A">
      <w:pPr>
        <w:pStyle w:val="Default"/>
        <w:rPr>
          <w:color w:val="auto"/>
          <w:sz w:val="26"/>
          <w:szCs w:val="26"/>
        </w:rPr>
      </w:pPr>
    </w:p>
    <w:p w:rsidR="0016037A" w:rsidRDefault="0016037A" w:rsidP="00635881">
      <w:pPr>
        <w:pStyle w:val="IPPParagraphnumbering"/>
      </w:pPr>
      <w:r>
        <w:t xml:space="preserve">This action plan </w:t>
      </w:r>
      <w:r w:rsidR="00D0782E">
        <w:t xml:space="preserve">provides a summary of IPPC activities that facilitate safe trade.  It </w:t>
      </w:r>
      <w:r>
        <w:t>draws on the draft Stra</w:t>
      </w:r>
      <w:r w:rsidR="00D0782E">
        <w:t xml:space="preserve">tegic Framework 2020 – 2030 and </w:t>
      </w:r>
      <w:r>
        <w:t xml:space="preserve">incorporates actions and outcomes through 2018 to 2020 for new or existing projects including </w:t>
      </w:r>
      <w:proofErr w:type="spellStart"/>
      <w:r>
        <w:t>ePhyto</w:t>
      </w:r>
      <w:proofErr w:type="spellEnd"/>
      <w:r>
        <w:t xml:space="preserve">, </w:t>
      </w:r>
      <w:proofErr w:type="spellStart"/>
      <w:r>
        <w:t>eCommerce</w:t>
      </w:r>
      <w:proofErr w:type="spellEnd"/>
      <w:r>
        <w:t>, risk</w:t>
      </w:r>
      <w:r w:rsidR="003D4E02">
        <w:t>-</w:t>
      </w:r>
      <w:r>
        <w:t xml:space="preserve">based inspection and activities of the Sea Container Task Force. </w:t>
      </w:r>
    </w:p>
    <w:p w:rsidR="0016037A" w:rsidRDefault="0016037A" w:rsidP="0016037A">
      <w:pPr>
        <w:pStyle w:val="Default"/>
        <w:rPr>
          <w:color w:val="auto"/>
          <w:sz w:val="22"/>
          <w:szCs w:val="22"/>
        </w:rPr>
      </w:pPr>
    </w:p>
    <w:p w:rsidR="0016037A" w:rsidRDefault="0016037A" w:rsidP="00CC2638">
      <w:pPr>
        <w:pStyle w:val="Default"/>
        <w:jc w:val="center"/>
        <w:rPr>
          <w:b/>
          <w:bCs/>
          <w:color w:val="auto"/>
          <w:sz w:val="26"/>
          <w:szCs w:val="26"/>
        </w:rPr>
      </w:pPr>
      <w:r>
        <w:rPr>
          <w:b/>
          <w:bCs/>
          <w:color w:val="auto"/>
          <w:sz w:val="26"/>
          <w:szCs w:val="26"/>
        </w:rPr>
        <w:t>III. Outcomes</w:t>
      </w:r>
    </w:p>
    <w:p w:rsidR="0016037A" w:rsidRDefault="0016037A" w:rsidP="0016037A">
      <w:pPr>
        <w:pStyle w:val="Default"/>
        <w:rPr>
          <w:color w:val="auto"/>
          <w:sz w:val="26"/>
          <w:szCs w:val="26"/>
        </w:rPr>
      </w:pPr>
    </w:p>
    <w:p w:rsidR="0016037A" w:rsidRDefault="0016037A" w:rsidP="00635881">
      <w:pPr>
        <w:pStyle w:val="IPPParagraphnumbering"/>
      </w:pPr>
      <w:r>
        <w:t xml:space="preserve">This action plan will give visibility to activities that are undertaken by the IPPC, alone and potentially in collaboration with the WCO, to facilitate safe trade in plants and plant products, to reduce the international spread of pests. </w:t>
      </w:r>
    </w:p>
    <w:p w:rsidR="0016037A" w:rsidRDefault="0016037A" w:rsidP="0016037A">
      <w:pPr>
        <w:pStyle w:val="Default"/>
        <w:rPr>
          <w:color w:val="auto"/>
          <w:sz w:val="22"/>
          <w:szCs w:val="22"/>
        </w:rPr>
      </w:pPr>
    </w:p>
    <w:p w:rsidR="0016037A" w:rsidRPr="00721EFD" w:rsidRDefault="0016037A" w:rsidP="0016037A">
      <w:pPr>
        <w:pStyle w:val="Default"/>
        <w:rPr>
          <w:b/>
          <w:bCs/>
          <w:i/>
          <w:iCs/>
          <w:color w:val="auto"/>
          <w:sz w:val="22"/>
          <w:szCs w:val="22"/>
        </w:rPr>
      </w:pPr>
      <w:r>
        <w:rPr>
          <w:b/>
          <w:bCs/>
          <w:i/>
          <w:iCs/>
          <w:color w:val="auto"/>
          <w:sz w:val="22"/>
          <w:szCs w:val="22"/>
        </w:rPr>
        <w:t xml:space="preserve">1. IPPC-WCO Cooperation Agreement </w:t>
      </w:r>
    </w:p>
    <w:p w:rsidR="0016037A" w:rsidRDefault="0016037A" w:rsidP="00635881">
      <w:pPr>
        <w:pStyle w:val="IPPParagraphnumbering"/>
      </w:pPr>
      <w:r>
        <w:t xml:space="preserve">The Cooperation Agreement between the Secretariats of the IPPC and WCO </w:t>
      </w:r>
      <w:r w:rsidR="003D4E02">
        <w:t>was</w:t>
      </w:r>
      <w:r>
        <w:t xml:space="preserve"> signed </w:t>
      </w:r>
      <w:r w:rsidR="003D4E02">
        <w:t>on 19 June 2018</w:t>
      </w:r>
      <w:r>
        <w:t xml:space="preserve">. It promotes cooperation on matters of common interest that help facilitate the international trade of plants and plant products in a safe and efficient manner. It supports the exchange of documents and publications, and information on events and activities that may be of mutual interest, and provides a platform for regular consultation on policy issues. Each organization will participate as an observer at relevant meetings or events and may also agree to engage in joint activities in accordance with internal regulations and rules and subject to available resources. </w:t>
      </w:r>
    </w:p>
    <w:p w:rsidR="0016037A" w:rsidRDefault="0016037A" w:rsidP="00635881">
      <w:pPr>
        <w:pStyle w:val="IPPParagraphnumbering"/>
      </w:pPr>
      <w:r>
        <w:t xml:space="preserve">A joint action plan will be developed and agreed in </w:t>
      </w:r>
      <w:r w:rsidR="00CC2638">
        <w:t xml:space="preserve">late </w:t>
      </w:r>
      <w:r>
        <w:t xml:space="preserve">2018. This will likely include: </w:t>
      </w:r>
    </w:p>
    <w:p w:rsidR="0016037A" w:rsidRDefault="0016037A" w:rsidP="00EE74EE">
      <w:pPr>
        <w:pStyle w:val="Default"/>
        <w:numPr>
          <w:ilvl w:val="0"/>
          <w:numId w:val="10"/>
        </w:numPr>
        <w:spacing w:before="120"/>
        <w:ind w:left="714" w:hanging="357"/>
        <w:rPr>
          <w:color w:val="auto"/>
          <w:sz w:val="22"/>
          <w:szCs w:val="22"/>
        </w:rPr>
      </w:pPr>
      <w:r>
        <w:rPr>
          <w:color w:val="auto"/>
          <w:sz w:val="22"/>
          <w:szCs w:val="22"/>
        </w:rPr>
        <w:lastRenderedPageBreak/>
        <w:t xml:space="preserve">Joint recognition of roles and opportunities to facilitate trade at a global level, with specific reference to the outcomes directed by the TFA </w:t>
      </w:r>
    </w:p>
    <w:p w:rsidR="0016037A" w:rsidRDefault="0016037A" w:rsidP="00EE74EE">
      <w:pPr>
        <w:pStyle w:val="Default"/>
        <w:numPr>
          <w:ilvl w:val="0"/>
          <w:numId w:val="9"/>
        </w:numPr>
        <w:spacing w:before="120"/>
        <w:ind w:left="714" w:hanging="357"/>
        <w:rPr>
          <w:color w:val="auto"/>
          <w:sz w:val="22"/>
          <w:szCs w:val="22"/>
        </w:rPr>
      </w:pPr>
      <w:r>
        <w:rPr>
          <w:color w:val="auto"/>
          <w:sz w:val="22"/>
          <w:szCs w:val="22"/>
        </w:rPr>
        <w:t xml:space="preserve">Collaboration in the development and implementation of capacity building activities of common interest, to include training on the principles and implementation of risk-based inspection schemes. </w:t>
      </w:r>
    </w:p>
    <w:p w:rsidR="0016037A" w:rsidRDefault="0016037A" w:rsidP="00EE74EE">
      <w:pPr>
        <w:pStyle w:val="Default"/>
        <w:numPr>
          <w:ilvl w:val="0"/>
          <w:numId w:val="9"/>
        </w:numPr>
        <w:spacing w:before="120"/>
        <w:ind w:left="714" w:hanging="357"/>
        <w:rPr>
          <w:color w:val="auto"/>
          <w:sz w:val="22"/>
          <w:szCs w:val="22"/>
        </w:rPr>
      </w:pPr>
      <w:r>
        <w:rPr>
          <w:color w:val="auto"/>
          <w:sz w:val="22"/>
          <w:szCs w:val="22"/>
        </w:rPr>
        <w:t xml:space="preserve">IPPC participation in the Safety and Security subgroup facilitated by WCO to support the global implementation of the TFA and any other relevant forums </w:t>
      </w:r>
    </w:p>
    <w:p w:rsidR="0016037A" w:rsidRDefault="0016037A" w:rsidP="00EE74EE">
      <w:pPr>
        <w:pStyle w:val="Default"/>
        <w:numPr>
          <w:ilvl w:val="0"/>
          <w:numId w:val="9"/>
        </w:numPr>
        <w:spacing w:before="120"/>
        <w:ind w:left="714" w:hanging="357"/>
        <w:rPr>
          <w:color w:val="auto"/>
          <w:sz w:val="22"/>
          <w:szCs w:val="22"/>
        </w:rPr>
      </w:pPr>
      <w:r>
        <w:rPr>
          <w:color w:val="auto"/>
          <w:sz w:val="22"/>
          <w:szCs w:val="22"/>
        </w:rPr>
        <w:t xml:space="preserve">Collaboration to support implementation of this action plan, particularly the recognition of </w:t>
      </w:r>
      <w:proofErr w:type="spellStart"/>
      <w:r>
        <w:rPr>
          <w:color w:val="auto"/>
          <w:sz w:val="22"/>
          <w:szCs w:val="22"/>
        </w:rPr>
        <w:t>ePhyto</w:t>
      </w:r>
      <w:proofErr w:type="spellEnd"/>
      <w:r>
        <w:rPr>
          <w:color w:val="auto"/>
          <w:sz w:val="22"/>
          <w:szCs w:val="22"/>
        </w:rPr>
        <w:t xml:space="preserve"> in the development of single window systems, access to data systems in support of the tracking and recording of clean sea containers and shared activities with courier service providers to reduce the global movement of regulated plants and plant products through ecommerce </w:t>
      </w:r>
    </w:p>
    <w:p w:rsidR="0016037A" w:rsidRDefault="0016037A" w:rsidP="0016037A">
      <w:pPr>
        <w:pStyle w:val="Default"/>
        <w:rPr>
          <w:color w:val="auto"/>
          <w:sz w:val="22"/>
          <w:szCs w:val="22"/>
        </w:rPr>
      </w:pPr>
    </w:p>
    <w:p w:rsidR="0016037A" w:rsidRPr="00721EFD" w:rsidRDefault="0016037A" w:rsidP="0016037A">
      <w:pPr>
        <w:pStyle w:val="Default"/>
        <w:rPr>
          <w:b/>
          <w:bCs/>
          <w:i/>
          <w:iCs/>
          <w:color w:val="auto"/>
          <w:sz w:val="22"/>
          <w:szCs w:val="22"/>
        </w:rPr>
      </w:pPr>
      <w:r>
        <w:rPr>
          <w:b/>
          <w:bCs/>
          <w:i/>
          <w:iCs/>
          <w:color w:val="auto"/>
          <w:sz w:val="22"/>
          <w:szCs w:val="22"/>
        </w:rPr>
        <w:t xml:space="preserve">2. </w:t>
      </w:r>
      <w:proofErr w:type="spellStart"/>
      <w:proofErr w:type="gramStart"/>
      <w:r>
        <w:rPr>
          <w:b/>
          <w:bCs/>
          <w:i/>
          <w:iCs/>
          <w:color w:val="auto"/>
          <w:sz w:val="22"/>
          <w:szCs w:val="22"/>
        </w:rPr>
        <w:t>ePhyto</w:t>
      </w:r>
      <w:proofErr w:type="spellEnd"/>
      <w:proofErr w:type="gramEnd"/>
      <w:r>
        <w:rPr>
          <w:b/>
          <w:bCs/>
          <w:i/>
          <w:iCs/>
          <w:color w:val="auto"/>
          <w:sz w:val="22"/>
          <w:szCs w:val="22"/>
        </w:rPr>
        <w:t xml:space="preserve"> </w:t>
      </w:r>
    </w:p>
    <w:p w:rsidR="0016037A" w:rsidRDefault="0016037A" w:rsidP="00635881">
      <w:pPr>
        <w:pStyle w:val="IPPParagraphnumbering"/>
      </w:pPr>
      <w:r>
        <w:t xml:space="preserve">The IPPC </w:t>
      </w:r>
      <w:proofErr w:type="spellStart"/>
      <w:r>
        <w:t>ePhyto</w:t>
      </w:r>
      <w:proofErr w:type="spellEnd"/>
      <w:r>
        <w:t xml:space="preserve"> Hub will facilitate multilateral electronic certificate exchanges based upon a single communication protocol, eliminating the cost and complexity of bilateral exchange protocols. A simple generic web-based system (</w:t>
      </w:r>
      <w:proofErr w:type="spellStart"/>
      <w:r>
        <w:t>GeNS</w:t>
      </w:r>
      <w:proofErr w:type="spellEnd"/>
      <w:r>
        <w:t xml:space="preserve">) to issue, send and receive electronic phytosanitary certificates, for those countries that do not have an existing national system, is also being developed for global implementation. Ultimately, the combination of these two systems, known as ‘the </w:t>
      </w:r>
      <w:proofErr w:type="spellStart"/>
      <w:r>
        <w:t>ePhyto</w:t>
      </w:r>
      <w:proofErr w:type="spellEnd"/>
      <w:r>
        <w:t xml:space="preserve"> solution’, will make it easier for countries - especially those with limited resources - to exchange electronic phytosanitary certificates. </w:t>
      </w:r>
    </w:p>
    <w:p w:rsidR="0016037A" w:rsidRDefault="0016037A" w:rsidP="00635881">
      <w:pPr>
        <w:pStyle w:val="IPPParagraphnumbering"/>
      </w:pPr>
      <w:r>
        <w:t xml:space="preserve">Priority areas for the development and integration of </w:t>
      </w:r>
      <w:proofErr w:type="spellStart"/>
      <w:r>
        <w:t>ePhyto</w:t>
      </w:r>
      <w:proofErr w:type="spellEnd"/>
      <w:r>
        <w:t xml:space="preserve"> in trade are harmonization, collaboration, implementation and sustainability. Actions </w:t>
      </w:r>
      <w:r w:rsidR="00F8302F">
        <w:t>to 2021</w:t>
      </w:r>
      <w:r>
        <w:t xml:space="preserve"> are: </w:t>
      </w:r>
    </w:p>
    <w:p w:rsidR="0016037A" w:rsidRDefault="0016037A" w:rsidP="00EE74EE">
      <w:pPr>
        <w:pStyle w:val="Default"/>
        <w:numPr>
          <w:ilvl w:val="0"/>
          <w:numId w:val="3"/>
        </w:numPr>
        <w:spacing w:before="120"/>
        <w:ind w:left="714" w:hanging="357"/>
        <w:rPr>
          <w:color w:val="auto"/>
          <w:sz w:val="22"/>
          <w:szCs w:val="22"/>
        </w:rPr>
      </w:pPr>
      <w:r>
        <w:rPr>
          <w:color w:val="auto"/>
          <w:sz w:val="22"/>
          <w:szCs w:val="22"/>
        </w:rPr>
        <w:t xml:space="preserve">Completion of the STDF project, proof of concept of hub and </w:t>
      </w:r>
      <w:proofErr w:type="spellStart"/>
      <w:r>
        <w:rPr>
          <w:color w:val="auto"/>
          <w:sz w:val="22"/>
          <w:szCs w:val="22"/>
        </w:rPr>
        <w:t>GeNS</w:t>
      </w:r>
      <w:proofErr w:type="spellEnd"/>
      <w:r>
        <w:rPr>
          <w:color w:val="auto"/>
          <w:sz w:val="22"/>
          <w:szCs w:val="22"/>
        </w:rPr>
        <w:t xml:space="preserve"> </w:t>
      </w:r>
    </w:p>
    <w:p w:rsidR="0016037A" w:rsidRDefault="0016037A" w:rsidP="00EE74EE">
      <w:pPr>
        <w:pStyle w:val="Default"/>
        <w:numPr>
          <w:ilvl w:val="0"/>
          <w:numId w:val="3"/>
        </w:numPr>
        <w:spacing w:before="120"/>
        <w:ind w:left="714" w:hanging="357"/>
        <w:rPr>
          <w:color w:val="auto"/>
          <w:sz w:val="22"/>
          <w:szCs w:val="22"/>
        </w:rPr>
      </w:pPr>
      <w:r>
        <w:rPr>
          <w:color w:val="auto"/>
          <w:sz w:val="22"/>
          <w:szCs w:val="22"/>
        </w:rPr>
        <w:t xml:space="preserve">Guidance for implementation, e.g. legislation, technical specifications, operating model, capacity development and business process change tools </w:t>
      </w:r>
    </w:p>
    <w:p w:rsidR="0016037A" w:rsidRDefault="003D4E02" w:rsidP="00EE74EE">
      <w:pPr>
        <w:pStyle w:val="Default"/>
        <w:numPr>
          <w:ilvl w:val="0"/>
          <w:numId w:val="4"/>
        </w:numPr>
        <w:spacing w:before="120"/>
        <w:ind w:left="714" w:hanging="357"/>
        <w:rPr>
          <w:color w:val="auto"/>
          <w:sz w:val="22"/>
          <w:szCs w:val="22"/>
        </w:rPr>
      </w:pPr>
      <w:r>
        <w:rPr>
          <w:color w:val="auto"/>
          <w:sz w:val="22"/>
          <w:szCs w:val="22"/>
        </w:rPr>
        <w:t xml:space="preserve">CPM adoption of a five year implementation plan (2019 – 2023), including development and implementation of an </w:t>
      </w:r>
      <w:proofErr w:type="spellStart"/>
      <w:r w:rsidR="0016037A">
        <w:rPr>
          <w:color w:val="auto"/>
          <w:sz w:val="22"/>
          <w:szCs w:val="22"/>
        </w:rPr>
        <w:t>ePhyto</w:t>
      </w:r>
      <w:proofErr w:type="spellEnd"/>
      <w:r w:rsidR="0016037A">
        <w:rPr>
          <w:color w:val="auto"/>
          <w:sz w:val="22"/>
          <w:szCs w:val="22"/>
        </w:rPr>
        <w:t xml:space="preserve"> business model, including funding options </w:t>
      </w:r>
    </w:p>
    <w:p w:rsidR="0016037A" w:rsidRDefault="0016037A" w:rsidP="00EE74EE">
      <w:pPr>
        <w:pStyle w:val="Default"/>
        <w:numPr>
          <w:ilvl w:val="0"/>
          <w:numId w:val="5"/>
        </w:numPr>
        <w:spacing w:before="120"/>
        <w:ind w:left="714" w:hanging="357"/>
        <w:rPr>
          <w:color w:val="auto"/>
          <w:sz w:val="22"/>
          <w:szCs w:val="22"/>
        </w:rPr>
      </w:pPr>
      <w:r>
        <w:rPr>
          <w:color w:val="auto"/>
          <w:sz w:val="22"/>
          <w:szCs w:val="22"/>
        </w:rPr>
        <w:t xml:space="preserve">Implementation targets </w:t>
      </w:r>
    </w:p>
    <w:p w:rsidR="0016037A" w:rsidRDefault="0016037A" w:rsidP="00EE74EE">
      <w:pPr>
        <w:pStyle w:val="Default"/>
        <w:numPr>
          <w:ilvl w:val="0"/>
          <w:numId w:val="6"/>
        </w:numPr>
        <w:spacing w:before="120"/>
        <w:ind w:left="714" w:hanging="357"/>
        <w:rPr>
          <w:color w:val="auto"/>
          <w:sz w:val="22"/>
          <w:szCs w:val="22"/>
        </w:rPr>
      </w:pPr>
      <w:r>
        <w:rPr>
          <w:color w:val="auto"/>
          <w:sz w:val="22"/>
          <w:szCs w:val="22"/>
        </w:rPr>
        <w:t xml:space="preserve">An International Symposium in 2020 </w:t>
      </w:r>
    </w:p>
    <w:p w:rsidR="0016037A" w:rsidRDefault="0016037A" w:rsidP="00EE74EE">
      <w:pPr>
        <w:pStyle w:val="Default"/>
        <w:numPr>
          <w:ilvl w:val="0"/>
          <w:numId w:val="7"/>
        </w:numPr>
        <w:spacing w:before="120"/>
        <w:ind w:left="714" w:hanging="357"/>
        <w:rPr>
          <w:color w:val="auto"/>
          <w:sz w:val="22"/>
          <w:szCs w:val="22"/>
        </w:rPr>
      </w:pPr>
      <w:r>
        <w:rPr>
          <w:color w:val="auto"/>
          <w:sz w:val="22"/>
          <w:szCs w:val="22"/>
        </w:rPr>
        <w:t xml:space="preserve">Collaboration with </w:t>
      </w:r>
      <w:r w:rsidR="003D4E02">
        <w:rPr>
          <w:color w:val="auto"/>
          <w:sz w:val="22"/>
          <w:szCs w:val="22"/>
        </w:rPr>
        <w:t xml:space="preserve">the </w:t>
      </w:r>
      <w:r>
        <w:rPr>
          <w:color w:val="auto"/>
          <w:sz w:val="22"/>
          <w:szCs w:val="22"/>
        </w:rPr>
        <w:t xml:space="preserve">World Bank </w:t>
      </w:r>
      <w:r w:rsidR="003D4E02">
        <w:rPr>
          <w:color w:val="auto"/>
          <w:sz w:val="22"/>
          <w:szCs w:val="22"/>
        </w:rPr>
        <w:t>including</w:t>
      </w:r>
      <w:r>
        <w:rPr>
          <w:color w:val="auto"/>
          <w:sz w:val="22"/>
          <w:szCs w:val="22"/>
        </w:rPr>
        <w:t xml:space="preserve"> integration with single window concepts through global partnerships (WB and WCO) </w:t>
      </w:r>
    </w:p>
    <w:p w:rsidR="0016037A" w:rsidRDefault="0016037A" w:rsidP="00EE74EE">
      <w:pPr>
        <w:pStyle w:val="Default"/>
        <w:numPr>
          <w:ilvl w:val="0"/>
          <w:numId w:val="8"/>
        </w:numPr>
        <w:spacing w:before="120"/>
        <w:ind w:left="714" w:hanging="357"/>
        <w:rPr>
          <w:color w:val="auto"/>
          <w:sz w:val="22"/>
          <w:szCs w:val="22"/>
        </w:rPr>
      </w:pPr>
      <w:r>
        <w:rPr>
          <w:color w:val="auto"/>
          <w:sz w:val="22"/>
          <w:szCs w:val="22"/>
        </w:rPr>
        <w:t xml:space="preserve">Consideration of expanding the scope of the hub to include </w:t>
      </w:r>
      <w:proofErr w:type="spellStart"/>
      <w:r>
        <w:rPr>
          <w:color w:val="auto"/>
          <w:sz w:val="22"/>
          <w:szCs w:val="22"/>
        </w:rPr>
        <w:t>eSPS</w:t>
      </w:r>
      <w:proofErr w:type="spellEnd"/>
      <w:r>
        <w:rPr>
          <w:color w:val="auto"/>
          <w:sz w:val="22"/>
          <w:szCs w:val="22"/>
        </w:rPr>
        <w:t xml:space="preserve"> certificates (animal health, food safety) </w:t>
      </w:r>
    </w:p>
    <w:p w:rsidR="0016037A" w:rsidRDefault="0016037A" w:rsidP="0016037A">
      <w:pPr>
        <w:pStyle w:val="Default"/>
        <w:rPr>
          <w:color w:val="auto"/>
          <w:sz w:val="22"/>
          <w:szCs w:val="22"/>
        </w:rPr>
      </w:pPr>
    </w:p>
    <w:p w:rsidR="0016037A" w:rsidRPr="00721EFD" w:rsidRDefault="0016037A" w:rsidP="0016037A">
      <w:pPr>
        <w:pStyle w:val="Default"/>
        <w:rPr>
          <w:b/>
          <w:bCs/>
          <w:i/>
          <w:iCs/>
          <w:color w:val="auto"/>
          <w:sz w:val="22"/>
          <w:szCs w:val="22"/>
        </w:rPr>
      </w:pPr>
      <w:r>
        <w:rPr>
          <w:b/>
          <w:bCs/>
          <w:i/>
          <w:iCs/>
          <w:color w:val="auto"/>
          <w:sz w:val="22"/>
          <w:szCs w:val="22"/>
        </w:rPr>
        <w:t>3. e</w:t>
      </w:r>
      <w:r w:rsidR="00D0782E">
        <w:rPr>
          <w:b/>
          <w:bCs/>
          <w:i/>
          <w:iCs/>
          <w:color w:val="auto"/>
          <w:sz w:val="22"/>
          <w:szCs w:val="22"/>
        </w:rPr>
        <w:t>-</w:t>
      </w:r>
      <w:r>
        <w:rPr>
          <w:b/>
          <w:bCs/>
          <w:i/>
          <w:iCs/>
          <w:color w:val="auto"/>
          <w:sz w:val="22"/>
          <w:szCs w:val="22"/>
        </w:rPr>
        <w:t xml:space="preserve">Commerce </w:t>
      </w:r>
    </w:p>
    <w:p w:rsidR="0016037A" w:rsidRDefault="0016037A" w:rsidP="00635881">
      <w:pPr>
        <w:pStyle w:val="IPPParagraphnumbering"/>
      </w:pPr>
      <w:r>
        <w:t>In April 2017, the twelfth meeting of the Commission on Phytosanitary Measures held a special topics session on e</w:t>
      </w:r>
      <w:r w:rsidR="00D0782E">
        <w:t>-</w:t>
      </w:r>
      <w:r>
        <w:t>Commerce and requested the Bureau to develop a way forward in the June 2017 meeting, including resource considerations. Following a teleconference on e</w:t>
      </w:r>
      <w:r w:rsidR="00D0782E">
        <w:t>-</w:t>
      </w:r>
      <w:r>
        <w:t xml:space="preserve">Commerce with a number of </w:t>
      </w:r>
      <w:proofErr w:type="spellStart"/>
      <w:r>
        <w:t>organisations</w:t>
      </w:r>
      <w:proofErr w:type="spellEnd"/>
      <w:r>
        <w:t xml:space="preserve">, it became evident that a lack of knowledge on phytosanitary import and export regulations amongst stakeholders plays a major role in non-compliance of goods that are purchased on-line. </w:t>
      </w:r>
    </w:p>
    <w:p w:rsidR="006E504C" w:rsidRDefault="0016037A" w:rsidP="00635881">
      <w:pPr>
        <w:pStyle w:val="IPPParagraphnumbering"/>
      </w:pPr>
      <w:r>
        <w:t>The Bureau agreed [June 2017, Bureau report] that the TFA provided a platform for working through e</w:t>
      </w:r>
      <w:r w:rsidR="00D0782E">
        <w:t>-</w:t>
      </w:r>
      <w:r>
        <w:t xml:space="preserve">Commerce issues and </w:t>
      </w:r>
      <w:r w:rsidR="006E504C">
        <w:t>a range of</w:t>
      </w:r>
      <w:r>
        <w:t xml:space="preserve"> actions</w:t>
      </w:r>
      <w:r w:rsidR="006E504C">
        <w:t>.</w:t>
      </w:r>
    </w:p>
    <w:p w:rsidR="0016037A" w:rsidRDefault="006E504C" w:rsidP="00635881">
      <w:pPr>
        <w:pStyle w:val="IPPParagraphnumbering"/>
      </w:pPr>
      <w:r>
        <w:t>The IPPC e-Commerce Project Work Plan and Budget (e-Commerce plan) has been developed to coordinate international efforts to address the spread of pests and pest host material sold through e-</w:t>
      </w:r>
      <w:r>
        <w:lastRenderedPageBreak/>
        <w:t>Commerce and distributed through mail and courier pathways.</w:t>
      </w:r>
      <w:r w:rsidR="0016037A">
        <w:t xml:space="preserve"> </w:t>
      </w:r>
      <w:r>
        <w:t xml:space="preserve"> This objective is aligned with those of the IPPC Strategic Framework 2020 – 2030.</w:t>
      </w:r>
    </w:p>
    <w:p w:rsidR="006E504C" w:rsidRDefault="006E504C" w:rsidP="00635881">
      <w:pPr>
        <w:pStyle w:val="IPPParagraphnumbering"/>
      </w:pPr>
      <w:r w:rsidRPr="006E504C">
        <w:rPr>
          <w:szCs w:val="22"/>
        </w:rPr>
        <w:t xml:space="preserve">The implementation of the </w:t>
      </w:r>
      <w:r>
        <w:rPr>
          <w:szCs w:val="22"/>
        </w:rPr>
        <w:t>e-Commerce</w:t>
      </w:r>
      <w:r w:rsidRPr="006E504C">
        <w:rPr>
          <w:szCs w:val="22"/>
        </w:rPr>
        <w:t xml:space="preserve"> plan through collaborative partnerships between NPPOs, the IPPC Secretariat and WCO Secretariats and commercial operators involved in e-Commerce</w:t>
      </w:r>
      <w:r>
        <w:rPr>
          <w:szCs w:val="22"/>
        </w:rPr>
        <w:t xml:space="preserve"> will demonstrably reduce the</w:t>
      </w:r>
      <w:r w:rsidRPr="006E504C">
        <w:rPr>
          <w:szCs w:val="22"/>
        </w:rPr>
        <w:t xml:space="preserve"> incidence of pests and other phytosanitary risks on and in goods traded through e-Commerce. </w:t>
      </w:r>
      <w:r w:rsidR="00E23B20">
        <w:rPr>
          <w:szCs w:val="22"/>
        </w:rPr>
        <w:t>Key outcomes include</w:t>
      </w:r>
      <w:r>
        <w:rPr>
          <w:szCs w:val="22"/>
        </w:rPr>
        <w:t>:</w:t>
      </w:r>
    </w:p>
    <w:p w:rsidR="006E504C" w:rsidRPr="006E504C" w:rsidRDefault="006E504C" w:rsidP="006E504C">
      <w:pPr>
        <w:pStyle w:val="Default"/>
        <w:numPr>
          <w:ilvl w:val="0"/>
          <w:numId w:val="11"/>
        </w:numPr>
        <w:spacing w:before="120"/>
        <w:rPr>
          <w:color w:val="auto"/>
          <w:sz w:val="22"/>
          <w:szCs w:val="22"/>
        </w:rPr>
      </w:pPr>
      <w:r w:rsidRPr="006E504C">
        <w:rPr>
          <w:color w:val="auto"/>
          <w:sz w:val="22"/>
          <w:szCs w:val="22"/>
        </w:rPr>
        <w:t xml:space="preserve">The phytosanitary risks associated with e-Commerce </w:t>
      </w:r>
      <w:r w:rsidR="00E23B20">
        <w:rPr>
          <w:color w:val="auto"/>
          <w:sz w:val="22"/>
          <w:szCs w:val="22"/>
        </w:rPr>
        <w:t>are</w:t>
      </w:r>
      <w:r w:rsidRPr="006E504C">
        <w:rPr>
          <w:color w:val="auto"/>
          <w:sz w:val="22"/>
          <w:szCs w:val="22"/>
        </w:rPr>
        <w:t xml:space="preserve"> identified and defined</w:t>
      </w:r>
    </w:p>
    <w:p w:rsidR="006E504C" w:rsidRPr="006E504C" w:rsidRDefault="006E504C" w:rsidP="006E504C">
      <w:pPr>
        <w:pStyle w:val="Default"/>
        <w:numPr>
          <w:ilvl w:val="0"/>
          <w:numId w:val="11"/>
        </w:numPr>
        <w:spacing w:before="120"/>
        <w:rPr>
          <w:color w:val="auto"/>
          <w:sz w:val="22"/>
          <w:szCs w:val="22"/>
        </w:rPr>
      </w:pPr>
      <w:r w:rsidRPr="006E504C">
        <w:rPr>
          <w:color w:val="auto"/>
          <w:sz w:val="22"/>
          <w:szCs w:val="22"/>
        </w:rPr>
        <w:t>NPPOs and relevant stakeholders are informed of these risks</w:t>
      </w:r>
    </w:p>
    <w:p w:rsidR="006E504C" w:rsidRPr="006E504C" w:rsidRDefault="006E504C" w:rsidP="006E504C">
      <w:pPr>
        <w:pStyle w:val="Default"/>
        <w:numPr>
          <w:ilvl w:val="0"/>
          <w:numId w:val="11"/>
        </w:numPr>
        <w:spacing w:before="120"/>
        <w:rPr>
          <w:color w:val="auto"/>
          <w:sz w:val="22"/>
          <w:szCs w:val="22"/>
        </w:rPr>
      </w:pPr>
      <w:r w:rsidRPr="006E504C">
        <w:rPr>
          <w:color w:val="auto"/>
          <w:sz w:val="22"/>
          <w:szCs w:val="22"/>
        </w:rPr>
        <w:t>Measures that NPPOs can take to raise awareness in the public and e-Commerce participants of risks from on-line trading  and the responsibilities that these stakeholders have to comply with laws to protect crop/food production, natural environment and trade, are identified and described</w:t>
      </w:r>
    </w:p>
    <w:p w:rsidR="006E504C" w:rsidRPr="006E504C" w:rsidRDefault="006E504C" w:rsidP="006E504C">
      <w:pPr>
        <w:pStyle w:val="Default"/>
        <w:numPr>
          <w:ilvl w:val="0"/>
          <w:numId w:val="11"/>
        </w:numPr>
        <w:spacing w:before="120"/>
        <w:rPr>
          <w:color w:val="auto"/>
          <w:sz w:val="22"/>
          <w:szCs w:val="22"/>
        </w:rPr>
      </w:pPr>
      <w:r w:rsidRPr="006E504C">
        <w:rPr>
          <w:color w:val="auto"/>
          <w:sz w:val="22"/>
          <w:szCs w:val="22"/>
        </w:rPr>
        <w:t>IPPC activities link with and ultimately support a multidisciplinary and integrated approach across NPPOs, Customs and other relevant government agencies to facilitate safe trade via e-Commerce transactions.</w:t>
      </w:r>
    </w:p>
    <w:p w:rsidR="00E23B20" w:rsidRDefault="00281FDF" w:rsidP="00E23B20">
      <w:pPr>
        <w:pStyle w:val="IPPParagraphnumbering"/>
        <w:spacing w:before="120"/>
      </w:pPr>
      <w:r>
        <w:t xml:space="preserve">An </w:t>
      </w:r>
      <w:r w:rsidR="00E23B20">
        <w:t>ad hoc working group, known as the e-Commerce Task Force</w:t>
      </w:r>
      <w:r w:rsidR="00E23B20" w:rsidRPr="00E23B20">
        <w:t xml:space="preserve"> </w:t>
      </w:r>
      <w:r w:rsidR="00E23B20">
        <w:t>(</w:t>
      </w:r>
      <w:r w:rsidR="00E23B20" w:rsidRPr="00E23B20">
        <w:t>ECTF</w:t>
      </w:r>
      <w:r w:rsidR="00E23B20">
        <w:t>),</w:t>
      </w:r>
      <w:r w:rsidR="00E23B20" w:rsidRPr="00E23B20">
        <w:t xml:space="preserve"> will be established to direct, supervise and direct the implementation of </w:t>
      </w:r>
      <w:r w:rsidR="00E23B20">
        <w:t>the e-Commerce</w:t>
      </w:r>
      <w:r w:rsidR="00E23B20" w:rsidRPr="00E23B20">
        <w:t xml:space="preserve"> plan</w:t>
      </w:r>
      <w:r w:rsidR="00E23B20">
        <w:t>.  It will benefit from a coordinator to support and drive the activities of the ECTF and requires sufficient resources to cover IPPC Secretariat costs including staffing resources.  All resources must be extra-budgetary.</w:t>
      </w:r>
    </w:p>
    <w:p w:rsidR="0016037A" w:rsidRDefault="0016037A" w:rsidP="0016037A">
      <w:pPr>
        <w:pStyle w:val="Default"/>
        <w:rPr>
          <w:color w:val="auto"/>
          <w:sz w:val="22"/>
          <w:szCs w:val="22"/>
        </w:rPr>
      </w:pPr>
    </w:p>
    <w:p w:rsidR="00281FDF" w:rsidRPr="00721EFD" w:rsidRDefault="0016037A" w:rsidP="0016037A">
      <w:pPr>
        <w:pStyle w:val="Default"/>
        <w:rPr>
          <w:b/>
          <w:bCs/>
          <w:i/>
          <w:iCs/>
          <w:color w:val="auto"/>
          <w:sz w:val="22"/>
          <w:szCs w:val="22"/>
        </w:rPr>
      </w:pPr>
      <w:r>
        <w:rPr>
          <w:b/>
          <w:bCs/>
          <w:i/>
          <w:iCs/>
          <w:color w:val="auto"/>
          <w:sz w:val="22"/>
          <w:szCs w:val="22"/>
        </w:rPr>
        <w:t xml:space="preserve">4. Sea Container Task Force </w:t>
      </w:r>
    </w:p>
    <w:p w:rsidR="0016037A" w:rsidRDefault="0016037A" w:rsidP="00635881">
      <w:pPr>
        <w:pStyle w:val="IPPParagraphnumbering"/>
      </w:pPr>
      <w:r>
        <w:t xml:space="preserve">At the twelfth meeting of the Commission on Phytosanitary Measures in April 2017, the CPM agreed a "set of complementary actions”, which offer value in assessing and managing the pest threats associated with sea containers. The actions complement the implementation of the IMO/ILO/UNECE CTU Code and CPM Recommendation 10/2015_01 on Sea Containers to address the risks of sea containers being contaminated and introducing pests and diseases to new areas as they move in trade. </w:t>
      </w:r>
    </w:p>
    <w:p w:rsidR="0016037A" w:rsidRDefault="0016037A" w:rsidP="00635881">
      <w:pPr>
        <w:pStyle w:val="IPPParagraphnumbering"/>
      </w:pPr>
      <w:r>
        <w:t xml:space="preserve">Central to the Complementary Action Plan endorsed by the CPM is the Sea Container Task Force (SCTF), which </w:t>
      </w:r>
      <w:r w:rsidR="00D0782E">
        <w:t>is operating</w:t>
      </w:r>
      <w:r>
        <w:t xml:space="preserve"> under the oversight of the CPM Implementation and Capacity Development Committee (IC). The SCTF will measure the impact of the IMO/ILO/UNECE Code of Practice for Packing of Cargo Transport Units (CTU Code) </w:t>
      </w:r>
      <w:r w:rsidR="00D0782E">
        <w:t>until 2012</w:t>
      </w:r>
      <w:r>
        <w:t xml:space="preserve">, increase awareness of pest risks of sea containers and facilitate the collection and sharing of information to assist NPPOs better manage these risks. </w:t>
      </w:r>
    </w:p>
    <w:p w:rsidR="0016037A" w:rsidRDefault="0016037A" w:rsidP="00635881">
      <w:pPr>
        <w:pStyle w:val="IPPParagraphnumbering"/>
      </w:pPr>
      <w:r>
        <w:t xml:space="preserve">The SCTF </w:t>
      </w:r>
      <w:r w:rsidR="00D0782E">
        <w:t>is supervising</w:t>
      </w:r>
      <w:r>
        <w:t xml:space="preserve"> actions in the Sea Container Complementary Action Plan and </w:t>
      </w:r>
      <w:r w:rsidR="00D0782E">
        <w:t xml:space="preserve">is </w:t>
      </w:r>
      <w:r>
        <w:t>complement</w:t>
      </w:r>
      <w:r w:rsidR="00D0782E">
        <w:t>ing</w:t>
      </w:r>
      <w:r>
        <w:t xml:space="preserve"> them with other actions</w:t>
      </w:r>
      <w:r w:rsidR="00D0782E">
        <w:t xml:space="preserve"> including</w:t>
      </w:r>
      <w:r>
        <w:t xml:space="preserve">: </w:t>
      </w:r>
    </w:p>
    <w:p w:rsidR="0016037A" w:rsidRDefault="0016037A" w:rsidP="00EE74EE">
      <w:pPr>
        <w:pStyle w:val="Default"/>
        <w:numPr>
          <w:ilvl w:val="0"/>
          <w:numId w:val="1"/>
        </w:numPr>
        <w:spacing w:before="120"/>
        <w:ind w:left="714" w:hanging="357"/>
        <w:rPr>
          <w:color w:val="auto"/>
          <w:sz w:val="22"/>
          <w:szCs w:val="22"/>
        </w:rPr>
      </w:pPr>
      <w:r>
        <w:rPr>
          <w:color w:val="auto"/>
          <w:sz w:val="22"/>
          <w:szCs w:val="22"/>
        </w:rPr>
        <w:t xml:space="preserve">providing information on pest risks of sea containers and their management; </w:t>
      </w:r>
    </w:p>
    <w:p w:rsidR="0016037A" w:rsidRDefault="0016037A" w:rsidP="00EE74EE">
      <w:pPr>
        <w:pStyle w:val="Default"/>
        <w:numPr>
          <w:ilvl w:val="0"/>
          <w:numId w:val="1"/>
        </w:numPr>
        <w:spacing w:before="120"/>
        <w:ind w:left="714" w:hanging="357"/>
        <w:rPr>
          <w:color w:val="auto"/>
          <w:sz w:val="22"/>
          <w:szCs w:val="22"/>
        </w:rPr>
      </w:pPr>
      <w:r>
        <w:rPr>
          <w:color w:val="auto"/>
          <w:sz w:val="22"/>
          <w:szCs w:val="22"/>
        </w:rPr>
        <w:t xml:space="preserve">coordinating with CPs, RPPOs, industry and other international organizations; </w:t>
      </w:r>
    </w:p>
    <w:p w:rsidR="0016037A" w:rsidRDefault="0016037A" w:rsidP="00EE74EE">
      <w:pPr>
        <w:pStyle w:val="Default"/>
        <w:numPr>
          <w:ilvl w:val="0"/>
          <w:numId w:val="1"/>
        </w:numPr>
        <w:spacing w:before="120"/>
        <w:ind w:left="714" w:hanging="357"/>
        <w:rPr>
          <w:color w:val="auto"/>
          <w:sz w:val="22"/>
          <w:szCs w:val="22"/>
        </w:rPr>
      </w:pPr>
      <w:r>
        <w:rPr>
          <w:color w:val="auto"/>
          <w:sz w:val="22"/>
          <w:szCs w:val="22"/>
        </w:rPr>
        <w:t xml:space="preserve">establishing a mechanism for CPs to report to CPM on their progress and achievements; </w:t>
      </w:r>
    </w:p>
    <w:p w:rsidR="0016037A" w:rsidRDefault="0016037A" w:rsidP="00EE74EE">
      <w:pPr>
        <w:pStyle w:val="Default"/>
        <w:numPr>
          <w:ilvl w:val="0"/>
          <w:numId w:val="1"/>
        </w:numPr>
        <w:spacing w:before="120"/>
        <w:ind w:left="714" w:hanging="357"/>
        <w:rPr>
          <w:color w:val="auto"/>
          <w:sz w:val="22"/>
          <w:szCs w:val="22"/>
        </w:rPr>
      </w:pPr>
      <w:r>
        <w:rPr>
          <w:color w:val="auto"/>
          <w:sz w:val="22"/>
          <w:szCs w:val="22"/>
        </w:rPr>
        <w:t xml:space="preserve">providing advice on how the CTU Code or any other instrument could be updated; </w:t>
      </w:r>
    </w:p>
    <w:p w:rsidR="0016037A" w:rsidRDefault="0016037A" w:rsidP="00EE74EE">
      <w:pPr>
        <w:pStyle w:val="Default"/>
        <w:numPr>
          <w:ilvl w:val="0"/>
          <w:numId w:val="1"/>
        </w:numPr>
        <w:spacing w:before="120"/>
        <w:ind w:left="714" w:hanging="357"/>
        <w:rPr>
          <w:color w:val="auto"/>
          <w:sz w:val="22"/>
          <w:szCs w:val="22"/>
        </w:rPr>
      </w:pPr>
      <w:proofErr w:type="gramStart"/>
      <w:r>
        <w:rPr>
          <w:color w:val="auto"/>
          <w:sz w:val="22"/>
          <w:szCs w:val="22"/>
        </w:rPr>
        <w:t>providing</w:t>
      </w:r>
      <w:proofErr w:type="gramEnd"/>
      <w:r>
        <w:rPr>
          <w:color w:val="auto"/>
          <w:sz w:val="22"/>
          <w:szCs w:val="22"/>
        </w:rPr>
        <w:t xml:space="preserve">, through the IC, updates on its activities to be presented annually to the CPM, as well as a final report for presentation to CPM-16 (2021). </w:t>
      </w:r>
    </w:p>
    <w:p w:rsidR="00635881" w:rsidRDefault="00635881" w:rsidP="00635881">
      <w:pPr>
        <w:pStyle w:val="Default"/>
        <w:spacing w:before="120"/>
        <w:rPr>
          <w:color w:val="auto"/>
          <w:sz w:val="22"/>
          <w:szCs w:val="22"/>
        </w:rPr>
      </w:pPr>
    </w:p>
    <w:p w:rsidR="0016037A" w:rsidRDefault="0016037A" w:rsidP="00635881">
      <w:pPr>
        <w:pStyle w:val="IPPParagraphnumbering"/>
      </w:pPr>
      <w:r>
        <w:t xml:space="preserve">A five year action plan of the SCTF was developed in November 2017 at its first meeting. </w:t>
      </w:r>
      <w:r w:rsidR="00D0782E">
        <w:t>T</w:t>
      </w:r>
      <w:r>
        <w:t xml:space="preserve">here are several areas where the implementation of the SC Action Plan potentially connect with the WCO. This includes access to the container database maintained by the WCO to record container maintenance and safety; integrating any proposed programs to better manage container hygiene at sea ports with Customs </w:t>
      </w:r>
      <w:r>
        <w:lastRenderedPageBreak/>
        <w:t xml:space="preserve">operations; identifying and using any shared communications and/or messaging with national governments for safe and secure movement of sea containers. </w:t>
      </w:r>
    </w:p>
    <w:p w:rsidR="00E23B20" w:rsidRPr="00E23B20" w:rsidRDefault="00E23B20" w:rsidP="00721EFD">
      <w:pPr>
        <w:pStyle w:val="IPPParagraphnumbering"/>
        <w:numPr>
          <w:ilvl w:val="0"/>
          <w:numId w:val="0"/>
        </w:numPr>
        <w:spacing w:after="0"/>
        <w:rPr>
          <w:b/>
          <w:i/>
        </w:rPr>
      </w:pPr>
      <w:r w:rsidRPr="00E23B20">
        <w:rPr>
          <w:b/>
          <w:i/>
        </w:rPr>
        <w:t>5. International Trade Facilitation Conference 202</w:t>
      </w:r>
      <w:r w:rsidR="00F8302F">
        <w:rPr>
          <w:b/>
          <w:i/>
        </w:rPr>
        <w:t>1</w:t>
      </w:r>
    </w:p>
    <w:p w:rsidR="0016037A" w:rsidRDefault="0016037A" w:rsidP="00721EFD">
      <w:pPr>
        <w:pStyle w:val="IPPParagraphnumbering"/>
        <w:spacing w:after="0"/>
      </w:pPr>
      <w:r>
        <w:t>An IPPC hosted conference/symposium in 202</w:t>
      </w:r>
      <w:r w:rsidR="00F8302F">
        <w:t>1</w:t>
      </w:r>
      <w:r>
        <w:t xml:space="preserve">that is dedicated to plant health and the implementation of the TFA will provide a focal point for short to medium term outcomes that may be included in the joint IPPC-WCO Cooperation Agreement, as well as providing a mechanism to assess the current status and future directions of programs such as </w:t>
      </w:r>
      <w:proofErr w:type="spellStart"/>
      <w:r>
        <w:t>ePhyto</w:t>
      </w:r>
      <w:proofErr w:type="spellEnd"/>
      <w:r>
        <w:t>, e</w:t>
      </w:r>
      <w:r w:rsidR="00E23B20">
        <w:t>-</w:t>
      </w:r>
      <w:r>
        <w:t xml:space="preserve">Commerce and sea containers. </w:t>
      </w:r>
    </w:p>
    <w:p w:rsidR="0016037A" w:rsidRDefault="0016037A" w:rsidP="0016037A">
      <w:pPr>
        <w:pStyle w:val="Default"/>
        <w:rPr>
          <w:color w:val="auto"/>
          <w:sz w:val="22"/>
          <w:szCs w:val="22"/>
        </w:rPr>
      </w:pPr>
    </w:p>
    <w:p w:rsidR="0016037A" w:rsidRDefault="0016037A" w:rsidP="00E23B20">
      <w:pPr>
        <w:pStyle w:val="Default"/>
        <w:jc w:val="center"/>
        <w:rPr>
          <w:color w:val="auto"/>
          <w:sz w:val="26"/>
          <w:szCs w:val="26"/>
        </w:rPr>
      </w:pPr>
      <w:r>
        <w:rPr>
          <w:b/>
          <w:bCs/>
          <w:color w:val="auto"/>
          <w:sz w:val="26"/>
          <w:szCs w:val="26"/>
        </w:rPr>
        <w:t>IV. Benefits</w:t>
      </w:r>
    </w:p>
    <w:p w:rsidR="0016037A" w:rsidRPr="00721EFD" w:rsidRDefault="0016037A" w:rsidP="0016037A">
      <w:pPr>
        <w:pStyle w:val="IPPParagraphnumbering"/>
      </w:pPr>
      <w:r>
        <w:t xml:space="preserve">The outcomes sought will contribute to </w:t>
      </w:r>
      <w:proofErr w:type="spellStart"/>
      <w:r>
        <w:t>harmonising</w:t>
      </w:r>
      <w:proofErr w:type="spellEnd"/>
      <w:r>
        <w:t xml:space="preserve"> management of phytosanitary risks in the interests of facilitating trade, along with establishing a collaboration platform with other border agencies, particularly Customs. </w:t>
      </w:r>
    </w:p>
    <w:p w:rsidR="0016037A" w:rsidRDefault="0016037A" w:rsidP="00E23B20">
      <w:pPr>
        <w:pStyle w:val="Default"/>
        <w:jc w:val="center"/>
        <w:rPr>
          <w:color w:val="auto"/>
          <w:sz w:val="26"/>
          <w:szCs w:val="26"/>
        </w:rPr>
      </w:pPr>
      <w:r>
        <w:rPr>
          <w:b/>
          <w:bCs/>
          <w:color w:val="auto"/>
          <w:sz w:val="26"/>
          <w:szCs w:val="26"/>
        </w:rPr>
        <w:t>V. Approach</w:t>
      </w:r>
    </w:p>
    <w:p w:rsidR="0016037A" w:rsidRDefault="0016037A" w:rsidP="00635881">
      <w:pPr>
        <w:pStyle w:val="IPPParagraphnumbering"/>
      </w:pPr>
      <w:r>
        <w:t xml:space="preserve">This action plan will provide the frame of reference for activities that will contribute the effective implementation of the TFA in collaboration with other border agencies, including Customs. </w:t>
      </w:r>
    </w:p>
    <w:p w:rsidR="0016037A" w:rsidRDefault="0016037A" w:rsidP="0016037A">
      <w:pPr>
        <w:pStyle w:val="Default"/>
        <w:rPr>
          <w:color w:val="auto"/>
          <w:sz w:val="22"/>
          <w:szCs w:val="22"/>
        </w:rPr>
      </w:pPr>
    </w:p>
    <w:p w:rsidR="0016037A" w:rsidRDefault="0016037A" w:rsidP="00E23B20">
      <w:pPr>
        <w:pStyle w:val="Default"/>
        <w:jc w:val="center"/>
        <w:rPr>
          <w:color w:val="auto"/>
          <w:sz w:val="26"/>
          <w:szCs w:val="26"/>
        </w:rPr>
      </w:pPr>
      <w:r>
        <w:rPr>
          <w:b/>
          <w:bCs/>
          <w:color w:val="auto"/>
          <w:sz w:val="26"/>
          <w:szCs w:val="26"/>
        </w:rPr>
        <w:t>VI. Products</w:t>
      </w:r>
    </w:p>
    <w:p w:rsidR="0016037A" w:rsidRDefault="0016037A" w:rsidP="00635881">
      <w:pPr>
        <w:pStyle w:val="IPPParagraphnumbering"/>
      </w:pPr>
      <w:r>
        <w:t xml:space="preserve">Products developed from priority activities in the lead up to proposed the September 2020 International Trade Facilitation Conference are as follows: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969"/>
        <w:gridCol w:w="2693"/>
        <w:gridCol w:w="1843"/>
      </w:tblGrid>
      <w:tr w:rsidR="00CC2638" w:rsidRPr="00635881" w:rsidTr="00CC2638">
        <w:trPr>
          <w:trHeight w:val="100"/>
        </w:trPr>
        <w:tc>
          <w:tcPr>
            <w:tcW w:w="529" w:type="dxa"/>
          </w:tcPr>
          <w:p w:rsidR="00CC2638" w:rsidRPr="00635881" w:rsidRDefault="00CC2638">
            <w:pPr>
              <w:pStyle w:val="Default"/>
              <w:rPr>
                <w:rFonts w:ascii="Arial" w:hAnsi="Arial" w:cs="Arial"/>
                <w:sz w:val="18"/>
                <w:szCs w:val="18"/>
              </w:rPr>
            </w:pPr>
          </w:p>
        </w:tc>
        <w:tc>
          <w:tcPr>
            <w:tcW w:w="3969" w:type="dxa"/>
          </w:tcPr>
          <w:p w:rsidR="00CC2638" w:rsidRPr="00635881" w:rsidRDefault="00CC2638">
            <w:pPr>
              <w:pStyle w:val="Default"/>
              <w:rPr>
                <w:rFonts w:ascii="Arial" w:hAnsi="Arial" w:cs="Arial"/>
                <w:sz w:val="18"/>
                <w:szCs w:val="18"/>
              </w:rPr>
            </w:pPr>
            <w:r w:rsidRPr="00635881">
              <w:rPr>
                <w:rFonts w:ascii="Arial" w:hAnsi="Arial" w:cs="Arial"/>
                <w:b/>
                <w:bCs/>
                <w:sz w:val="18"/>
                <w:szCs w:val="18"/>
              </w:rPr>
              <w:t>Action</w:t>
            </w:r>
          </w:p>
        </w:tc>
        <w:tc>
          <w:tcPr>
            <w:tcW w:w="2693" w:type="dxa"/>
          </w:tcPr>
          <w:p w:rsidR="00CC2638" w:rsidRPr="00635881" w:rsidRDefault="00CC2638">
            <w:pPr>
              <w:pStyle w:val="Default"/>
              <w:rPr>
                <w:rFonts w:ascii="Arial" w:hAnsi="Arial" w:cs="Arial"/>
                <w:sz w:val="18"/>
                <w:szCs w:val="18"/>
              </w:rPr>
            </w:pPr>
            <w:r w:rsidRPr="00635881">
              <w:rPr>
                <w:rFonts w:ascii="Arial" w:hAnsi="Arial" w:cs="Arial"/>
                <w:b/>
                <w:bCs/>
                <w:sz w:val="18"/>
                <w:szCs w:val="18"/>
              </w:rPr>
              <w:t>Who</w:t>
            </w:r>
          </w:p>
        </w:tc>
        <w:tc>
          <w:tcPr>
            <w:tcW w:w="1843" w:type="dxa"/>
          </w:tcPr>
          <w:p w:rsidR="00CC2638" w:rsidRPr="00635881" w:rsidRDefault="00CC2638">
            <w:pPr>
              <w:pStyle w:val="Default"/>
              <w:rPr>
                <w:rFonts w:ascii="Arial" w:hAnsi="Arial" w:cs="Arial"/>
                <w:sz w:val="18"/>
                <w:szCs w:val="18"/>
              </w:rPr>
            </w:pPr>
            <w:r w:rsidRPr="00635881">
              <w:rPr>
                <w:rFonts w:ascii="Arial" w:hAnsi="Arial" w:cs="Arial"/>
                <w:b/>
                <w:bCs/>
                <w:sz w:val="18"/>
                <w:szCs w:val="18"/>
              </w:rPr>
              <w:t xml:space="preserve">When </w:t>
            </w:r>
          </w:p>
        </w:tc>
      </w:tr>
      <w:tr w:rsidR="0016037A" w:rsidRPr="00635881" w:rsidTr="00CC2638">
        <w:trPr>
          <w:trHeight w:val="329"/>
        </w:trPr>
        <w:tc>
          <w:tcPr>
            <w:tcW w:w="529" w:type="dxa"/>
          </w:tcPr>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1 </w:t>
            </w:r>
          </w:p>
        </w:tc>
        <w:tc>
          <w:tcPr>
            <w:tcW w:w="3969" w:type="dxa"/>
          </w:tcPr>
          <w:p w:rsidR="0016037A" w:rsidRPr="00635881" w:rsidRDefault="0016037A" w:rsidP="00CC2638">
            <w:pPr>
              <w:pStyle w:val="Default"/>
              <w:spacing w:before="60"/>
              <w:rPr>
                <w:rFonts w:ascii="Arial" w:hAnsi="Arial" w:cs="Arial"/>
                <w:sz w:val="18"/>
                <w:szCs w:val="18"/>
              </w:rPr>
            </w:pPr>
            <w:r w:rsidRPr="00635881">
              <w:rPr>
                <w:rFonts w:ascii="Arial" w:hAnsi="Arial" w:cs="Arial"/>
                <w:b/>
                <w:bCs/>
                <w:i/>
                <w:iCs/>
                <w:sz w:val="18"/>
                <w:szCs w:val="18"/>
              </w:rPr>
              <w:t xml:space="preserve">IPPC-WCO Cooperation Agreement </w:t>
            </w:r>
          </w:p>
          <w:p w:rsidR="0016037A" w:rsidRPr="00635881" w:rsidRDefault="0016037A" w:rsidP="00CC2638">
            <w:pPr>
              <w:pStyle w:val="Default"/>
              <w:spacing w:before="60"/>
              <w:rPr>
                <w:rFonts w:ascii="Arial" w:hAnsi="Arial" w:cs="Arial"/>
                <w:sz w:val="18"/>
                <w:szCs w:val="18"/>
              </w:rPr>
            </w:pPr>
            <w:r w:rsidRPr="00635881">
              <w:rPr>
                <w:rFonts w:ascii="Arial" w:hAnsi="Arial" w:cs="Arial"/>
                <w:b/>
                <w:bCs/>
                <w:i/>
                <w:iCs/>
                <w:sz w:val="18"/>
                <w:szCs w:val="18"/>
              </w:rPr>
              <w:t xml:space="preserve">Joint work plan </w:t>
            </w:r>
          </w:p>
        </w:tc>
        <w:tc>
          <w:tcPr>
            <w:tcW w:w="2693" w:type="dxa"/>
          </w:tcPr>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Secretariat </w:t>
            </w:r>
          </w:p>
        </w:tc>
        <w:tc>
          <w:tcPr>
            <w:tcW w:w="1843" w:type="dxa"/>
          </w:tcPr>
          <w:p w:rsidR="0016037A" w:rsidRPr="00635881" w:rsidRDefault="00CC2638" w:rsidP="00CC2638">
            <w:pPr>
              <w:pStyle w:val="Default"/>
              <w:spacing w:before="60"/>
              <w:rPr>
                <w:rFonts w:ascii="Arial" w:hAnsi="Arial" w:cs="Arial"/>
                <w:sz w:val="18"/>
                <w:szCs w:val="18"/>
              </w:rPr>
            </w:pPr>
            <w:r>
              <w:rPr>
                <w:rFonts w:ascii="Arial" w:hAnsi="Arial" w:cs="Arial"/>
                <w:sz w:val="18"/>
                <w:szCs w:val="18"/>
              </w:rPr>
              <w:t xml:space="preserve">June </w:t>
            </w:r>
            <w:r w:rsidR="0016037A" w:rsidRPr="00635881">
              <w:rPr>
                <w:rFonts w:ascii="Arial" w:hAnsi="Arial" w:cs="Arial"/>
                <w:sz w:val="18"/>
                <w:szCs w:val="18"/>
              </w:rPr>
              <w:t xml:space="preserve">2018 </w:t>
            </w:r>
          </w:p>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July 2018 </w:t>
            </w:r>
          </w:p>
        </w:tc>
      </w:tr>
      <w:tr w:rsidR="0016037A" w:rsidRPr="00635881" w:rsidTr="00CC2638">
        <w:trPr>
          <w:trHeight w:val="1687"/>
        </w:trPr>
        <w:tc>
          <w:tcPr>
            <w:tcW w:w="529" w:type="dxa"/>
          </w:tcPr>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2 </w:t>
            </w:r>
          </w:p>
        </w:tc>
        <w:tc>
          <w:tcPr>
            <w:tcW w:w="3969" w:type="dxa"/>
          </w:tcPr>
          <w:p w:rsidR="0016037A" w:rsidRPr="00635881" w:rsidRDefault="0016037A" w:rsidP="00CC2638">
            <w:pPr>
              <w:pStyle w:val="Default"/>
              <w:spacing w:before="60"/>
              <w:rPr>
                <w:rFonts w:ascii="Arial" w:hAnsi="Arial" w:cs="Arial"/>
                <w:sz w:val="18"/>
                <w:szCs w:val="18"/>
              </w:rPr>
            </w:pPr>
            <w:proofErr w:type="spellStart"/>
            <w:r w:rsidRPr="00635881">
              <w:rPr>
                <w:rFonts w:ascii="Arial" w:hAnsi="Arial" w:cs="Arial"/>
                <w:b/>
                <w:bCs/>
                <w:i/>
                <w:iCs/>
                <w:sz w:val="18"/>
                <w:szCs w:val="18"/>
              </w:rPr>
              <w:t>ePhyto</w:t>
            </w:r>
            <w:proofErr w:type="spellEnd"/>
            <w:r w:rsidRPr="00635881">
              <w:rPr>
                <w:rFonts w:ascii="Arial" w:hAnsi="Arial" w:cs="Arial"/>
                <w:b/>
                <w:bCs/>
                <w:i/>
                <w:iCs/>
                <w:sz w:val="18"/>
                <w:szCs w:val="18"/>
              </w:rPr>
              <w:t xml:space="preserve"> </w:t>
            </w:r>
          </w:p>
          <w:p w:rsidR="00CC2638" w:rsidRPr="00635881" w:rsidRDefault="00CC2638" w:rsidP="00CC2638">
            <w:pPr>
              <w:pStyle w:val="Default"/>
              <w:spacing w:before="60"/>
              <w:rPr>
                <w:rFonts w:ascii="Arial" w:hAnsi="Arial" w:cs="Arial"/>
                <w:sz w:val="18"/>
                <w:szCs w:val="18"/>
              </w:rPr>
            </w:pPr>
            <w:r w:rsidRPr="00635881">
              <w:rPr>
                <w:rFonts w:ascii="Arial" w:hAnsi="Arial" w:cs="Arial"/>
                <w:sz w:val="18"/>
                <w:szCs w:val="18"/>
              </w:rPr>
              <w:t xml:space="preserve">Hub – go live </w:t>
            </w:r>
          </w:p>
          <w:p w:rsidR="0016037A" w:rsidRPr="00635881" w:rsidRDefault="0016037A" w:rsidP="00CC2638">
            <w:pPr>
              <w:pStyle w:val="Default"/>
              <w:spacing w:before="60"/>
              <w:rPr>
                <w:rFonts w:ascii="Arial" w:hAnsi="Arial" w:cs="Arial"/>
                <w:sz w:val="18"/>
                <w:szCs w:val="18"/>
              </w:rPr>
            </w:pPr>
            <w:proofErr w:type="spellStart"/>
            <w:r w:rsidRPr="00635881">
              <w:rPr>
                <w:rFonts w:ascii="Arial" w:hAnsi="Arial" w:cs="Arial"/>
                <w:sz w:val="18"/>
                <w:szCs w:val="18"/>
              </w:rPr>
              <w:t>GeNS</w:t>
            </w:r>
            <w:proofErr w:type="spellEnd"/>
            <w:r w:rsidRPr="00635881">
              <w:rPr>
                <w:rFonts w:ascii="Arial" w:hAnsi="Arial" w:cs="Arial"/>
                <w:sz w:val="18"/>
                <w:szCs w:val="18"/>
              </w:rPr>
              <w:t xml:space="preserve"> prototype available for piloting </w:t>
            </w:r>
          </w:p>
          <w:p w:rsidR="0016037A" w:rsidRPr="00635881" w:rsidRDefault="0016037A" w:rsidP="00CC2638">
            <w:pPr>
              <w:pStyle w:val="Default"/>
              <w:spacing w:before="60"/>
              <w:rPr>
                <w:rFonts w:ascii="Arial" w:hAnsi="Arial" w:cs="Arial"/>
                <w:sz w:val="18"/>
                <w:szCs w:val="18"/>
              </w:rPr>
            </w:pPr>
            <w:proofErr w:type="spellStart"/>
            <w:r w:rsidRPr="00635881">
              <w:rPr>
                <w:rFonts w:ascii="Arial" w:hAnsi="Arial" w:cs="Arial"/>
                <w:sz w:val="18"/>
                <w:szCs w:val="18"/>
              </w:rPr>
              <w:t>GeNS</w:t>
            </w:r>
            <w:proofErr w:type="spellEnd"/>
            <w:r w:rsidRPr="00635881">
              <w:rPr>
                <w:rFonts w:ascii="Arial" w:hAnsi="Arial" w:cs="Arial"/>
                <w:sz w:val="18"/>
                <w:szCs w:val="18"/>
              </w:rPr>
              <w:t xml:space="preserve"> – go live </w:t>
            </w:r>
          </w:p>
          <w:p w:rsidR="0016037A" w:rsidRPr="00635881" w:rsidRDefault="0016037A" w:rsidP="00CC2638">
            <w:pPr>
              <w:pStyle w:val="Default"/>
              <w:spacing w:before="60"/>
              <w:rPr>
                <w:rFonts w:ascii="Arial" w:hAnsi="Arial" w:cs="Arial"/>
                <w:sz w:val="18"/>
                <w:szCs w:val="18"/>
              </w:rPr>
            </w:pPr>
            <w:proofErr w:type="spellStart"/>
            <w:r w:rsidRPr="00635881">
              <w:rPr>
                <w:rFonts w:ascii="Arial" w:hAnsi="Arial" w:cs="Arial"/>
                <w:sz w:val="18"/>
                <w:szCs w:val="18"/>
              </w:rPr>
              <w:t>ePhyto</w:t>
            </w:r>
            <w:proofErr w:type="spellEnd"/>
            <w:r w:rsidRPr="00635881">
              <w:rPr>
                <w:rFonts w:ascii="Arial" w:hAnsi="Arial" w:cs="Arial"/>
                <w:sz w:val="18"/>
                <w:szCs w:val="18"/>
              </w:rPr>
              <w:t xml:space="preserve"> </w:t>
            </w:r>
            <w:r w:rsidR="00CC2638">
              <w:rPr>
                <w:rFonts w:ascii="Arial" w:hAnsi="Arial" w:cs="Arial"/>
                <w:sz w:val="18"/>
                <w:szCs w:val="18"/>
              </w:rPr>
              <w:t>5-year plan</w:t>
            </w:r>
            <w:r w:rsidRPr="00635881">
              <w:rPr>
                <w:rFonts w:ascii="Arial" w:hAnsi="Arial" w:cs="Arial"/>
                <w:sz w:val="18"/>
                <w:szCs w:val="18"/>
              </w:rPr>
              <w:t xml:space="preserve"> </w:t>
            </w:r>
            <w:r w:rsidR="00CC2638">
              <w:rPr>
                <w:rFonts w:ascii="Arial" w:hAnsi="Arial" w:cs="Arial"/>
                <w:sz w:val="18"/>
                <w:szCs w:val="18"/>
              </w:rPr>
              <w:t>- draft</w:t>
            </w:r>
          </w:p>
          <w:p w:rsidR="00CC2638" w:rsidRPr="00635881" w:rsidRDefault="00CC2638" w:rsidP="00CC2638">
            <w:pPr>
              <w:pStyle w:val="Default"/>
              <w:spacing w:before="60"/>
              <w:rPr>
                <w:rFonts w:ascii="Arial" w:hAnsi="Arial" w:cs="Arial"/>
                <w:sz w:val="18"/>
                <w:szCs w:val="18"/>
              </w:rPr>
            </w:pPr>
            <w:r w:rsidRPr="00635881">
              <w:rPr>
                <w:rFonts w:ascii="Arial" w:hAnsi="Arial" w:cs="Arial"/>
                <w:sz w:val="18"/>
                <w:szCs w:val="18"/>
              </w:rPr>
              <w:t xml:space="preserve">International Symposium </w:t>
            </w:r>
          </w:p>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Expansion of country participation </w:t>
            </w:r>
          </w:p>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Scope expansion of Hub to </w:t>
            </w:r>
            <w:proofErr w:type="spellStart"/>
            <w:r w:rsidRPr="00635881">
              <w:rPr>
                <w:rFonts w:ascii="Arial" w:hAnsi="Arial" w:cs="Arial"/>
                <w:sz w:val="18"/>
                <w:szCs w:val="18"/>
              </w:rPr>
              <w:t>eSPS</w:t>
            </w:r>
            <w:proofErr w:type="spellEnd"/>
            <w:r w:rsidRPr="00635881">
              <w:rPr>
                <w:rFonts w:ascii="Arial" w:hAnsi="Arial" w:cs="Arial"/>
                <w:sz w:val="18"/>
                <w:szCs w:val="18"/>
              </w:rPr>
              <w:t xml:space="preserve"> </w:t>
            </w:r>
          </w:p>
          <w:p w:rsidR="0016037A" w:rsidRPr="00635881" w:rsidRDefault="0016037A" w:rsidP="00CC2638">
            <w:pPr>
              <w:pStyle w:val="Default"/>
              <w:spacing w:before="60"/>
              <w:rPr>
                <w:rFonts w:ascii="Arial" w:hAnsi="Arial" w:cs="Arial"/>
                <w:sz w:val="18"/>
                <w:szCs w:val="18"/>
              </w:rPr>
            </w:pPr>
          </w:p>
        </w:tc>
        <w:tc>
          <w:tcPr>
            <w:tcW w:w="2693" w:type="dxa"/>
          </w:tcPr>
          <w:p w:rsidR="0016037A" w:rsidRPr="00635881" w:rsidRDefault="0016037A" w:rsidP="00CC2638">
            <w:pPr>
              <w:pStyle w:val="Default"/>
              <w:spacing w:before="60"/>
              <w:rPr>
                <w:rFonts w:ascii="Arial" w:hAnsi="Arial" w:cs="Arial"/>
                <w:sz w:val="18"/>
                <w:szCs w:val="18"/>
              </w:rPr>
            </w:pPr>
            <w:proofErr w:type="spellStart"/>
            <w:r w:rsidRPr="00635881">
              <w:rPr>
                <w:rFonts w:ascii="Arial" w:hAnsi="Arial" w:cs="Arial"/>
                <w:sz w:val="18"/>
                <w:szCs w:val="18"/>
              </w:rPr>
              <w:t>ePhyto</w:t>
            </w:r>
            <w:proofErr w:type="spellEnd"/>
            <w:r w:rsidRPr="00635881">
              <w:rPr>
                <w:rFonts w:ascii="Arial" w:hAnsi="Arial" w:cs="Arial"/>
                <w:sz w:val="18"/>
                <w:szCs w:val="18"/>
              </w:rPr>
              <w:t xml:space="preserve"> Steering Group </w:t>
            </w:r>
          </w:p>
        </w:tc>
        <w:tc>
          <w:tcPr>
            <w:tcW w:w="1843" w:type="dxa"/>
          </w:tcPr>
          <w:p w:rsidR="00CC2638" w:rsidRDefault="00CC2638" w:rsidP="00CC2638">
            <w:pPr>
              <w:pStyle w:val="Default"/>
              <w:spacing w:before="60"/>
              <w:rPr>
                <w:rFonts w:ascii="Arial" w:hAnsi="Arial" w:cs="Arial"/>
                <w:sz w:val="18"/>
                <w:szCs w:val="18"/>
              </w:rPr>
            </w:pPr>
          </w:p>
          <w:p w:rsidR="00CC2638" w:rsidRPr="00635881" w:rsidRDefault="00CC2638" w:rsidP="00CC2638">
            <w:pPr>
              <w:pStyle w:val="Default"/>
              <w:spacing w:before="60"/>
              <w:rPr>
                <w:rFonts w:ascii="Arial" w:hAnsi="Arial" w:cs="Arial"/>
                <w:sz w:val="18"/>
                <w:szCs w:val="18"/>
              </w:rPr>
            </w:pPr>
            <w:r>
              <w:rPr>
                <w:rFonts w:ascii="Arial" w:hAnsi="Arial" w:cs="Arial"/>
                <w:sz w:val="18"/>
                <w:szCs w:val="18"/>
              </w:rPr>
              <w:t>Mid-</w:t>
            </w:r>
            <w:r w:rsidRPr="00635881">
              <w:rPr>
                <w:rFonts w:ascii="Arial" w:hAnsi="Arial" w:cs="Arial"/>
                <w:sz w:val="18"/>
                <w:szCs w:val="18"/>
              </w:rPr>
              <w:t xml:space="preserve"> 2018 </w:t>
            </w:r>
          </w:p>
          <w:p w:rsidR="0016037A" w:rsidRPr="00635881" w:rsidRDefault="00CC2638" w:rsidP="00CC2638">
            <w:pPr>
              <w:pStyle w:val="Default"/>
              <w:spacing w:before="60"/>
              <w:rPr>
                <w:rFonts w:ascii="Arial" w:hAnsi="Arial" w:cs="Arial"/>
                <w:sz w:val="18"/>
                <w:szCs w:val="18"/>
              </w:rPr>
            </w:pPr>
            <w:r>
              <w:rPr>
                <w:rFonts w:ascii="Arial" w:hAnsi="Arial" w:cs="Arial"/>
                <w:sz w:val="18"/>
                <w:szCs w:val="18"/>
              </w:rPr>
              <w:t>Late- 2018</w:t>
            </w:r>
          </w:p>
          <w:p w:rsidR="0016037A" w:rsidRPr="00635881" w:rsidRDefault="00CC2638" w:rsidP="00CC2638">
            <w:pPr>
              <w:pStyle w:val="Default"/>
              <w:spacing w:before="60"/>
              <w:rPr>
                <w:rFonts w:ascii="Arial" w:hAnsi="Arial" w:cs="Arial"/>
                <w:sz w:val="18"/>
                <w:szCs w:val="18"/>
              </w:rPr>
            </w:pPr>
            <w:r>
              <w:rPr>
                <w:rFonts w:ascii="Arial" w:hAnsi="Arial" w:cs="Arial"/>
                <w:sz w:val="18"/>
                <w:szCs w:val="18"/>
              </w:rPr>
              <w:t>Early – mid-2019</w:t>
            </w:r>
            <w:r w:rsidR="0016037A" w:rsidRPr="00635881">
              <w:rPr>
                <w:rFonts w:ascii="Arial" w:hAnsi="Arial" w:cs="Arial"/>
                <w:sz w:val="18"/>
                <w:szCs w:val="18"/>
              </w:rPr>
              <w:t xml:space="preserve"> </w:t>
            </w:r>
          </w:p>
          <w:p w:rsidR="0016037A" w:rsidRPr="00635881" w:rsidRDefault="00CC2638" w:rsidP="00CC2638">
            <w:pPr>
              <w:pStyle w:val="Default"/>
              <w:spacing w:before="60"/>
              <w:rPr>
                <w:rFonts w:ascii="Arial" w:hAnsi="Arial" w:cs="Arial"/>
                <w:sz w:val="18"/>
                <w:szCs w:val="18"/>
              </w:rPr>
            </w:pPr>
            <w:r>
              <w:rPr>
                <w:rFonts w:ascii="Arial" w:hAnsi="Arial" w:cs="Arial"/>
                <w:sz w:val="18"/>
                <w:szCs w:val="18"/>
              </w:rPr>
              <w:t>October</w:t>
            </w:r>
            <w:r w:rsidR="0016037A" w:rsidRPr="00635881">
              <w:rPr>
                <w:rFonts w:ascii="Arial" w:hAnsi="Arial" w:cs="Arial"/>
                <w:sz w:val="18"/>
                <w:szCs w:val="18"/>
              </w:rPr>
              <w:t xml:space="preserve"> 2018 </w:t>
            </w:r>
          </w:p>
          <w:p w:rsidR="0016037A" w:rsidRPr="00635881" w:rsidRDefault="00CC2638" w:rsidP="00CC2638">
            <w:pPr>
              <w:pStyle w:val="Default"/>
              <w:spacing w:before="60"/>
              <w:rPr>
                <w:rFonts w:ascii="Arial" w:hAnsi="Arial" w:cs="Arial"/>
                <w:sz w:val="18"/>
                <w:szCs w:val="18"/>
              </w:rPr>
            </w:pPr>
            <w:r>
              <w:rPr>
                <w:rFonts w:ascii="Arial" w:hAnsi="Arial" w:cs="Arial"/>
                <w:sz w:val="18"/>
                <w:szCs w:val="18"/>
              </w:rPr>
              <w:t>2020</w:t>
            </w:r>
          </w:p>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2019 </w:t>
            </w:r>
          </w:p>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Ongoing </w:t>
            </w:r>
          </w:p>
        </w:tc>
      </w:tr>
      <w:tr w:rsidR="0016037A" w:rsidRPr="00635881" w:rsidTr="00CC2638">
        <w:trPr>
          <w:trHeight w:val="553"/>
        </w:trPr>
        <w:tc>
          <w:tcPr>
            <w:tcW w:w="529" w:type="dxa"/>
          </w:tcPr>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3 </w:t>
            </w:r>
          </w:p>
        </w:tc>
        <w:tc>
          <w:tcPr>
            <w:tcW w:w="3969" w:type="dxa"/>
          </w:tcPr>
          <w:p w:rsidR="0016037A" w:rsidRPr="00635881" w:rsidRDefault="0016037A" w:rsidP="00CC2638">
            <w:pPr>
              <w:pStyle w:val="Default"/>
              <w:spacing w:before="60"/>
              <w:rPr>
                <w:rFonts w:ascii="Arial" w:hAnsi="Arial" w:cs="Arial"/>
                <w:sz w:val="18"/>
                <w:szCs w:val="18"/>
              </w:rPr>
            </w:pPr>
            <w:proofErr w:type="spellStart"/>
            <w:r w:rsidRPr="00635881">
              <w:rPr>
                <w:rFonts w:ascii="Arial" w:hAnsi="Arial" w:cs="Arial"/>
                <w:b/>
                <w:bCs/>
                <w:sz w:val="18"/>
                <w:szCs w:val="18"/>
              </w:rPr>
              <w:t>eCommerce</w:t>
            </w:r>
            <w:proofErr w:type="spellEnd"/>
            <w:r w:rsidRPr="00635881">
              <w:rPr>
                <w:rFonts w:ascii="Arial" w:hAnsi="Arial" w:cs="Arial"/>
                <w:b/>
                <w:bCs/>
                <w:sz w:val="18"/>
                <w:szCs w:val="18"/>
              </w:rPr>
              <w:t xml:space="preserve"> </w:t>
            </w:r>
          </w:p>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Draft project plan </w:t>
            </w:r>
          </w:p>
          <w:p w:rsidR="0016037A" w:rsidRDefault="0016037A" w:rsidP="00CC2638">
            <w:pPr>
              <w:pStyle w:val="Default"/>
              <w:spacing w:before="60"/>
              <w:rPr>
                <w:rFonts w:ascii="Arial" w:hAnsi="Arial" w:cs="Arial"/>
                <w:sz w:val="18"/>
                <w:szCs w:val="18"/>
              </w:rPr>
            </w:pPr>
            <w:r w:rsidRPr="00635881">
              <w:rPr>
                <w:rFonts w:ascii="Arial" w:hAnsi="Arial" w:cs="Arial"/>
                <w:sz w:val="18"/>
                <w:szCs w:val="18"/>
              </w:rPr>
              <w:t xml:space="preserve">Convene ad hoc working group </w:t>
            </w:r>
          </w:p>
          <w:p w:rsidR="00F8302F" w:rsidRPr="00635881" w:rsidRDefault="00F8302F" w:rsidP="00CC2638">
            <w:pPr>
              <w:pStyle w:val="Default"/>
              <w:spacing w:before="60"/>
              <w:rPr>
                <w:rFonts w:ascii="Arial" w:hAnsi="Arial" w:cs="Arial"/>
                <w:sz w:val="18"/>
                <w:szCs w:val="18"/>
              </w:rPr>
            </w:pPr>
            <w:r>
              <w:rPr>
                <w:rFonts w:ascii="Arial" w:hAnsi="Arial" w:cs="Arial"/>
                <w:sz w:val="18"/>
                <w:szCs w:val="18"/>
              </w:rPr>
              <w:t>Implement the agreed work programme</w:t>
            </w:r>
          </w:p>
          <w:p w:rsidR="0016037A" w:rsidRPr="00635881" w:rsidRDefault="0016037A" w:rsidP="00CC2638">
            <w:pPr>
              <w:pStyle w:val="Default"/>
              <w:spacing w:before="60"/>
              <w:rPr>
                <w:rFonts w:ascii="Arial" w:hAnsi="Arial" w:cs="Arial"/>
                <w:sz w:val="18"/>
                <w:szCs w:val="18"/>
              </w:rPr>
            </w:pPr>
          </w:p>
        </w:tc>
        <w:tc>
          <w:tcPr>
            <w:tcW w:w="2693" w:type="dxa"/>
          </w:tcPr>
          <w:p w:rsidR="0016037A" w:rsidRPr="00635881" w:rsidRDefault="0016037A" w:rsidP="00CC2638">
            <w:pPr>
              <w:pStyle w:val="Default"/>
              <w:spacing w:before="60"/>
              <w:rPr>
                <w:rFonts w:ascii="Arial" w:hAnsi="Arial" w:cs="Arial"/>
                <w:sz w:val="18"/>
                <w:szCs w:val="18"/>
              </w:rPr>
            </w:pPr>
            <w:r w:rsidRPr="00635881">
              <w:rPr>
                <w:rFonts w:ascii="Arial" w:hAnsi="Arial" w:cs="Arial"/>
                <w:sz w:val="18"/>
                <w:szCs w:val="18"/>
              </w:rPr>
              <w:t xml:space="preserve">Bureau </w:t>
            </w:r>
            <w:bookmarkStart w:id="0" w:name="_GoBack"/>
            <w:bookmarkEnd w:id="0"/>
          </w:p>
        </w:tc>
        <w:tc>
          <w:tcPr>
            <w:tcW w:w="1843" w:type="dxa"/>
          </w:tcPr>
          <w:p w:rsidR="00CC2638" w:rsidRDefault="00CC2638" w:rsidP="00CC2638">
            <w:pPr>
              <w:pStyle w:val="Default"/>
              <w:spacing w:before="60"/>
              <w:rPr>
                <w:rFonts w:ascii="Arial" w:hAnsi="Arial" w:cs="Arial"/>
                <w:sz w:val="18"/>
                <w:szCs w:val="18"/>
              </w:rPr>
            </w:pPr>
          </w:p>
          <w:p w:rsidR="0016037A" w:rsidRPr="00635881" w:rsidRDefault="00CC2638" w:rsidP="00CC2638">
            <w:pPr>
              <w:pStyle w:val="Default"/>
              <w:spacing w:before="60"/>
              <w:rPr>
                <w:rFonts w:ascii="Arial" w:hAnsi="Arial" w:cs="Arial"/>
                <w:sz w:val="18"/>
                <w:szCs w:val="18"/>
              </w:rPr>
            </w:pPr>
            <w:r>
              <w:rPr>
                <w:rFonts w:ascii="Arial" w:hAnsi="Arial" w:cs="Arial"/>
                <w:sz w:val="18"/>
                <w:szCs w:val="18"/>
              </w:rPr>
              <w:t>October</w:t>
            </w:r>
            <w:r w:rsidR="0016037A" w:rsidRPr="00635881">
              <w:rPr>
                <w:rFonts w:ascii="Arial" w:hAnsi="Arial" w:cs="Arial"/>
                <w:sz w:val="18"/>
                <w:szCs w:val="18"/>
              </w:rPr>
              <w:t xml:space="preserve"> 2018 </w:t>
            </w:r>
          </w:p>
          <w:p w:rsidR="0016037A" w:rsidRDefault="0016037A" w:rsidP="00CC2638">
            <w:pPr>
              <w:pStyle w:val="Default"/>
              <w:spacing w:before="60"/>
              <w:rPr>
                <w:rFonts w:ascii="Arial" w:hAnsi="Arial" w:cs="Arial"/>
                <w:sz w:val="18"/>
                <w:szCs w:val="18"/>
              </w:rPr>
            </w:pPr>
            <w:r w:rsidRPr="00635881">
              <w:rPr>
                <w:rFonts w:ascii="Arial" w:hAnsi="Arial" w:cs="Arial"/>
                <w:sz w:val="18"/>
                <w:szCs w:val="18"/>
              </w:rPr>
              <w:t>May 201</w:t>
            </w:r>
            <w:r w:rsidR="00CC2638">
              <w:rPr>
                <w:rFonts w:ascii="Arial" w:hAnsi="Arial" w:cs="Arial"/>
                <w:sz w:val="18"/>
                <w:szCs w:val="18"/>
              </w:rPr>
              <w:t>9</w:t>
            </w:r>
            <w:r w:rsidRPr="00635881">
              <w:rPr>
                <w:rFonts w:ascii="Arial" w:hAnsi="Arial" w:cs="Arial"/>
                <w:sz w:val="18"/>
                <w:szCs w:val="18"/>
              </w:rPr>
              <w:t xml:space="preserve"> </w:t>
            </w:r>
          </w:p>
          <w:p w:rsidR="00F8302F" w:rsidRPr="00635881" w:rsidRDefault="00F8302F" w:rsidP="00CC2638">
            <w:pPr>
              <w:pStyle w:val="Default"/>
              <w:spacing w:before="60"/>
              <w:rPr>
                <w:rFonts w:ascii="Arial" w:hAnsi="Arial" w:cs="Arial"/>
                <w:sz w:val="18"/>
                <w:szCs w:val="18"/>
              </w:rPr>
            </w:pPr>
            <w:r>
              <w:rPr>
                <w:rFonts w:ascii="Arial" w:hAnsi="Arial" w:cs="Arial"/>
                <w:sz w:val="18"/>
                <w:szCs w:val="18"/>
              </w:rPr>
              <w:t>Ongoing</w:t>
            </w:r>
          </w:p>
        </w:tc>
      </w:tr>
    </w:tbl>
    <w:p w:rsidR="00E92360" w:rsidRDefault="00E92360" w:rsidP="00E92360">
      <w:pPr>
        <w:rPr>
          <w:sz w:val="24"/>
        </w:rPr>
      </w:pPr>
    </w:p>
    <w:p w:rsidR="00E92360" w:rsidRDefault="00E92360" w:rsidP="00E92360">
      <w:pPr>
        <w:rPr>
          <w:sz w:val="24"/>
        </w:rPr>
      </w:pPr>
    </w:p>
    <w:sectPr w:rsidR="00E92360">
      <w:headerReference w:type="even" r:id="rId1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CB" w:rsidRDefault="001450CB" w:rsidP="00EE74EE">
      <w:r>
        <w:separator/>
      </w:r>
    </w:p>
  </w:endnote>
  <w:endnote w:type="continuationSeparator" w:id="0">
    <w:p w:rsidR="001450CB" w:rsidRDefault="001450CB" w:rsidP="00E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81" w:rsidRDefault="00635881" w:rsidP="00635881">
    <w:pPr>
      <w:pStyle w:val="IPPFooter"/>
    </w:pPr>
    <w:r w:rsidRPr="00635881">
      <w:rPr>
        <w:rStyle w:val="PageNumber"/>
        <w:b/>
      </w:rPr>
      <w:t xml:space="preserve">Page </w:t>
    </w:r>
    <w:r w:rsidRPr="00635881">
      <w:rPr>
        <w:rStyle w:val="PageNumber"/>
        <w:b/>
      </w:rPr>
      <w:fldChar w:fldCharType="begin"/>
    </w:r>
    <w:r w:rsidRPr="00635881">
      <w:rPr>
        <w:rStyle w:val="PageNumber"/>
        <w:b/>
      </w:rPr>
      <w:instrText xml:space="preserve"> PAGE </w:instrText>
    </w:r>
    <w:r w:rsidRPr="00635881">
      <w:rPr>
        <w:rStyle w:val="PageNumber"/>
        <w:b/>
      </w:rPr>
      <w:fldChar w:fldCharType="separate"/>
    </w:r>
    <w:r w:rsidR="00721EFD">
      <w:rPr>
        <w:rStyle w:val="PageNumber"/>
        <w:b/>
        <w:noProof/>
      </w:rPr>
      <w:t>4</w:t>
    </w:r>
    <w:r w:rsidRPr="00635881">
      <w:rPr>
        <w:rStyle w:val="PageNumber"/>
        <w:b/>
      </w:rPr>
      <w:fldChar w:fldCharType="end"/>
    </w:r>
    <w:r w:rsidRPr="00635881">
      <w:rPr>
        <w:rStyle w:val="PageNumber"/>
        <w:b/>
      </w:rPr>
      <w:t xml:space="preserve"> of </w:t>
    </w:r>
    <w:r w:rsidRPr="00635881">
      <w:rPr>
        <w:rStyle w:val="PageNumber"/>
        <w:b/>
      </w:rPr>
      <w:fldChar w:fldCharType="begin"/>
    </w:r>
    <w:r w:rsidRPr="00635881">
      <w:rPr>
        <w:rStyle w:val="PageNumber"/>
        <w:b/>
      </w:rPr>
      <w:instrText xml:space="preserve"> NUMPAGES </w:instrText>
    </w:r>
    <w:r w:rsidRPr="00635881">
      <w:rPr>
        <w:rStyle w:val="PageNumber"/>
        <w:b/>
      </w:rPr>
      <w:fldChar w:fldCharType="separate"/>
    </w:r>
    <w:r w:rsidR="00721EFD">
      <w:rPr>
        <w:rStyle w:val="PageNumber"/>
        <w:b/>
        <w:noProof/>
      </w:rPr>
      <w:t>5</w:t>
    </w:r>
    <w:r w:rsidRPr="00635881">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81" w:rsidRDefault="00635881" w:rsidP="00635881">
    <w:pPr>
      <w:pStyle w:val="IPPFooter"/>
    </w:pPr>
    <w:r w:rsidRPr="00A62A0E">
      <w:t>International Plant Protection Convention</w:t>
    </w:r>
    <w:r w:rsidRPr="00635881">
      <w:rPr>
        <w:rStyle w:val="PageNumber"/>
        <w:b/>
      </w:rPr>
      <w:t xml:space="preserve"> </w:t>
    </w:r>
    <w:r>
      <w:rPr>
        <w:rStyle w:val="PageNumber"/>
        <w:b/>
      </w:rPr>
      <w:tab/>
    </w:r>
    <w:r w:rsidRPr="00635881">
      <w:rPr>
        <w:rStyle w:val="PageNumber"/>
        <w:b/>
      </w:rPr>
      <w:t xml:space="preserve">Page </w:t>
    </w:r>
    <w:r w:rsidRPr="00635881">
      <w:rPr>
        <w:rStyle w:val="PageNumber"/>
        <w:b/>
      </w:rPr>
      <w:fldChar w:fldCharType="begin"/>
    </w:r>
    <w:r w:rsidRPr="00635881">
      <w:rPr>
        <w:rStyle w:val="PageNumber"/>
        <w:b/>
      </w:rPr>
      <w:instrText xml:space="preserve"> PAGE </w:instrText>
    </w:r>
    <w:r w:rsidRPr="00635881">
      <w:rPr>
        <w:rStyle w:val="PageNumber"/>
        <w:b/>
      </w:rPr>
      <w:fldChar w:fldCharType="separate"/>
    </w:r>
    <w:r w:rsidR="00721EFD">
      <w:rPr>
        <w:rStyle w:val="PageNumber"/>
        <w:b/>
        <w:noProof/>
      </w:rPr>
      <w:t>5</w:t>
    </w:r>
    <w:r w:rsidRPr="00635881">
      <w:rPr>
        <w:rStyle w:val="PageNumber"/>
        <w:b/>
      </w:rPr>
      <w:fldChar w:fldCharType="end"/>
    </w:r>
    <w:r w:rsidRPr="00635881">
      <w:rPr>
        <w:rStyle w:val="PageNumber"/>
        <w:b/>
      </w:rPr>
      <w:t xml:space="preserve"> of </w:t>
    </w:r>
    <w:r w:rsidRPr="00635881">
      <w:rPr>
        <w:rStyle w:val="PageNumber"/>
        <w:b/>
      </w:rPr>
      <w:fldChar w:fldCharType="begin"/>
    </w:r>
    <w:r w:rsidRPr="00635881">
      <w:rPr>
        <w:rStyle w:val="PageNumber"/>
        <w:b/>
      </w:rPr>
      <w:instrText xml:space="preserve"> NUMPAGES </w:instrText>
    </w:r>
    <w:r w:rsidRPr="00635881">
      <w:rPr>
        <w:rStyle w:val="PageNumber"/>
        <w:b/>
      </w:rPr>
      <w:fldChar w:fldCharType="separate"/>
    </w:r>
    <w:r w:rsidR="00721EFD">
      <w:rPr>
        <w:rStyle w:val="PageNumber"/>
        <w:b/>
        <w:noProof/>
      </w:rPr>
      <w:t>5</w:t>
    </w:r>
    <w:r w:rsidRPr="00635881">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81" w:rsidRPr="00635881" w:rsidRDefault="00635881" w:rsidP="00635881">
    <w:pPr>
      <w:pStyle w:val="IPPFooter"/>
      <w:tabs>
        <w:tab w:val="clear" w:pos="9072"/>
        <w:tab w:val="right" w:pos="9360"/>
      </w:tabs>
      <w:jc w:val="left"/>
      <w:rPr>
        <w:b w:val="0"/>
      </w:rPr>
    </w:pPr>
    <w:r w:rsidRPr="00A62A0E">
      <w:t>International Plant Protection Convention</w:t>
    </w:r>
    <w:r w:rsidRPr="00A62A0E">
      <w:tab/>
    </w:r>
    <w:r w:rsidRPr="00635881">
      <w:rPr>
        <w:rStyle w:val="PageNumber"/>
        <w:b/>
      </w:rPr>
      <w:t xml:space="preserve">Page </w:t>
    </w:r>
    <w:r w:rsidRPr="00635881">
      <w:rPr>
        <w:rStyle w:val="PageNumber"/>
        <w:b/>
      </w:rPr>
      <w:fldChar w:fldCharType="begin"/>
    </w:r>
    <w:r w:rsidRPr="00635881">
      <w:rPr>
        <w:rStyle w:val="PageNumber"/>
        <w:b/>
      </w:rPr>
      <w:instrText xml:space="preserve"> PAGE </w:instrText>
    </w:r>
    <w:r w:rsidRPr="00635881">
      <w:rPr>
        <w:rStyle w:val="PageNumber"/>
        <w:b/>
      </w:rPr>
      <w:fldChar w:fldCharType="separate"/>
    </w:r>
    <w:r w:rsidR="00721EFD">
      <w:rPr>
        <w:rStyle w:val="PageNumber"/>
        <w:b/>
        <w:noProof/>
      </w:rPr>
      <w:t>1</w:t>
    </w:r>
    <w:r w:rsidRPr="00635881">
      <w:rPr>
        <w:rStyle w:val="PageNumber"/>
        <w:b/>
      </w:rPr>
      <w:fldChar w:fldCharType="end"/>
    </w:r>
    <w:r w:rsidRPr="00635881">
      <w:rPr>
        <w:rStyle w:val="PageNumber"/>
        <w:b/>
      </w:rPr>
      <w:t xml:space="preserve"> of </w:t>
    </w:r>
    <w:r w:rsidRPr="00635881">
      <w:rPr>
        <w:rStyle w:val="PageNumber"/>
        <w:b/>
      </w:rPr>
      <w:fldChar w:fldCharType="begin"/>
    </w:r>
    <w:r w:rsidRPr="00635881">
      <w:rPr>
        <w:rStyle w:val="PageNumber"/>
        <w:b/>
      </w:rPr>
      <w:instrText xml:space="preserve"> NUMPAGES </w:instrText>
    </w:r>
    <w:r w:rsidRPr="00635881">
      <w:rPr>
        <w:rStyle w:val="PageNumber"/>
        <w:b/>
      </w:rPr>
      <w:fldChar w:fldCharType="separate"/>
    </w:r>
    <w:r w:rsidR="00721EFD">
      <w:rPr>
        <w:rStyle w:val="PageNumber"/>
        <w:b/>
        <w:noProof/>
      </w:rPr>
      <w:t>5</w:t>
    </w:r>
    <w:r w:rsidRPr="00635881">
      <w:rPr>
        <w:rStyle w:val="PageNumber"/>
        <w:b/>
      </w:rPr>
      <w:fldChar w:fldCharType="end"/>
    </w:r>
  </w:p>
  <w:p w:rsidR="00635881" w:rsidRDefault="0063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CB" w:rsidRDefault="001450CB" w:rsidP="00EE74EE">
      <w:r>
        <w:separator/>
      </w:r>
    </w:p>
  </w:footnote>
  <w:footnote w:type="continuationSeparator" w:id="0">
    <w:p w:rsidR="001450CB" w:rsidRDefault="001450CB" w:rsidP="00EE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81" w:rsidRPr="00FE6905" w:rsidRDefault="00635881" w:rsidP="00721EFD">
    <w:pPr>
      <w:pStyle w:val="IPPHeader"/>
      <w:tabs>
        <w:tab w:val="clear" w:pos="9072"/>
        <w:tab w:val="right" w:pos="9000"/>
      </w:tabs>
      <w:spacing w:after="0"/>
    </w:pPr>
    <w:r>
      <w:rPr>
        <w:noProof/>
        <w:lang w:eastAsia="en-US"/>
      </w:rPr>
      <w:drawing>
        <wp:anchor distT="0" distB="0" distL="114300" distR="114300" simplePos="0" relativeHeight="251659264" behindDoc="0" locked="0" layoutInCell="1" allowOverlap="1" wp14:anchorId="610896FF" wp14:editId="2195AA80">
          <wp:simplePos x="0" y="0"/>
          <wp:positionH relativeFrom="margin">
            <wp:posOffset>-72390</wp:posOffset>
          </wp:positionH>
          <wp:positionV relativeFrom="margin">
            <wp:posOffset>-624506</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05BABFA1" wp14:editId="68562FC5">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721EFD">
      <w:rPr>
        <w:rFonts w:cs="Arial"/>
        <w:szCs w:val="18"/>
      </w:rPr>
      <w:t>14_</w:t>
    </w:r>
    <w:r w:rsidR="00721EFD" w:rsidRPr="00AC719B">
      <w:rPr>
        <w:rFonts w:cs="Arial"/>
        <w:szCs w:val="18"/>
      </w:rPr>
      <w:t>SPG_201</w:t>
    </w:r>
    <w:r w:rsidR="00721EFD">
      <w:rPr>
        <w:rFonts w:cs="Arial"/>
        <w:szCs w:val="18"/>
      </w:rPr>
      <w:t>8</w:t>
    </w:r>
    <w:r w:rsidR="00721EFD" w:rsidRPr="00AC719B">
      <w:rPr>
        <w:rFonts w:cs="Arial"/>
        <w:szCs w:val="18"/>
      </w:rPr>
      <w:t>_Oct</w:t>
    </w:r>
  </w:p>
  <w:p w:rsidR="00635881" w:rsidRPr="00A61947" w:rsidRDefault="00635881" w:rsidP="00635881">
    <w:pPr>
      <w:pStyle w:val="IPPHeader"/>
      <w:tabs>
        <w:tab w:val="clear" w:pos="9072"/>
        <w:tab w:val="right" w:pos="9360"/>
      </w:tabs>
      <w:rPr>
        <w:i/>
      </w:rPr>
    </w:pPr>
    <w:r w:rsidRPr="00606019">
      <w:tab/>
    </w:r>
    <w:r>
      <w:rPr>
        <w:i/>
      </w:rPr>
      <w:t>Trade Facilitation Action Plan</w:t>
    </w:r>
    <w:r w:rsidRPr="00606019">
      <w:rPr>
        <w:i/>
      </w:rPr>
      <w:tab/>
    </w:r>
    <w:r>
      <w:rPr>
        <w:i/>
      </w:rPr>
      <w:t xml:space="preserve">Agenda item: </w:t>
    </w:r>
    <w:r w:rsidR="00721EFD">
      <w:rPr>
        <w:i/>
      </w:rPr>
      <w:t>10.1</w:t>
    </w:r>
  </w:p>
  <w:p w:rsidR="00635881" w:rsidRDefault="00635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81" w:rsidRPr="00FE6905" w:rsidRDefault="00721EFD" w:rsidP="00721EFD">
    <w:pPr>
      <w:pStyle w:val="IPPHeader"/>
      <w:tabs>
        <w:tab w:val="clear" w:pos="9072"/>
        <w:tab w:val="right" w:pos="9000"/>
      </w:tabs>
      <w:spacing w:after="0"/>
    </w:pPr>
    <w:r>
      <w:rPr>
        <w:rFonts w:cs="Arial"/>
        <w:szCs w:val="18"/>
      </w:rPr>
      <w:t>14_</w:t>
    </w:r>
    <w:r w:rsidRPr="00AC719B">
      <w:rPr>
        <w:rFonts w:cs="Arial"/>
        <w:szCs w:val="18"/>
      </w:rPr>
      <w:t>SPG_201</w:t>
    </w:r>
    <w:r>
      <w:rPr>
        <w:rFonts w:cs="Arial"/>
        <w:szCs w:val="18"/>
      </w:rPr>
      <w:t>8</w:t>
    </w:r>
    <w:r w:rsidRPr="00AC719B">
      <w:rPr>
        <w:rFonts w:cs="Arial"/>
        <w:szCs w:val="18"/>
      </w:rPr>
      <w:t>_Oct</w:t>
    </w:r>
    <w:r>
      <w:tab/>
    </w:r>
    <w:r w:rsidR="00635881" w:rsidRPr="00635881">
      <w:t>Trade Facilitation Action Plan</w:t>
    </w:r>
  </w:p>
  <w:p w:rsidR="00635881" w:rsidRDefault="00635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81" w:rsidRPr="00EE74EE" w:rsidRDefault="00635881" w:rsidP="00635881">
    <w:pPr>
      <w:pStyle w:val="IPPHeader"/>
    </w:pPr>
    <w:r w:rsidRPr="00635881">
      <w:t>Trade Facilitation Action Plan</w:t>
    </w:r>
    <w:r>
      <w:t xml:space="preserve"> </w:t>
    </w:r>
    <w:r>
      <w:tab/>
    </w:r>
    <w:r w:rsidR="00721EFD">
      <w:rPr>
        <w:rFonts w:cs="Arial"/>
        <w:szCs w:val="18"/>
      </w:rPr>
      <w:t>14_</w:t>
    </w:r>
    <w:r w:rsidR="00721EFD" w:rsidRPr="00AC719B">
      <w:rPr>
        <w:rFonts w:cs="Arial"/>
        <w:szCs w:val="18"/>
      </w:rPr>
      <w:t>SPG_201</w:t>
    </w:r>
    <w:r w:rsidR="00721EFD">
      <w:rPr>
        <w:rFonts w:cs="Arial"/>
        <w:szCs w:val="18"/>
      </w:rPr>
      <w:t>8</w:t>
    </w:r>
    <w:r w:rsidR="00721EFD" w:rsidRPr="00AC719B">
      <w:rPr>
        <w:rFonts w:cs="Arial"/>
        <w:szCs w:val="18"/>
      </w:rPr>
      <w:t>_Oct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534"/>
    <w:multiLevelType w:val="hybridMultilevel"/>
    <w:tmpl w:val="863A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11E0"/>
    <w:multiLevelType w:val="hybridMultilevel"/>
    <w:tmpl w:val="CB029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310271"/>
    <w:multiLevelType w:val="hybridMultilevel"/>
    <w:tmpl w:val="A9AEF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983457"/>
    <w:multiLevelType w:val="hybridMultilevel"/>
    <w:tmpl w:val="4608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84E67"/>
    <w:multiLevelType w:val="hybridMultilevel"/>
    <w:tmpl w:val="1908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C74AD"/>
    <w:multiLevelType w:val="hybridMultilevel"/>
    <w:tmpl w:val="10E46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F2D1A0A"/>
    <w:multiLevelType w:val="hybridMultilevel"/>
    <w:tmpl w:val="61C41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A143A6"/>
    <w:multiLevelType w:val="hybridMultilevel"/>
    <w:tmpl w:val="D2C2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8F694E"/>
    <w:multiLevelType w:val="hybridMultilevel"/>
    <w:tmpl w:val="5F52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13672"/>
    <w:multiLevelType w:val="hybridMultilevel"/>
    <w:tmpl w:val="CB16B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25D48"/>
    <w:multiLevelType w:val="hybridMultilevel"/>
    <w:tmpl w:val="B0AC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5"/>
  </w:num>
  <w:num w:numId="3">
    <w:abstractNumId w:val="0"/>
  </w:num>
  <w:num w:numId="4">
    <w:abstractNumId w:val="7"/>
  </w:num>
  <w:num w:numId="5">
    <w:abstractNumId w:val="21"/>
  </w:num>
  <w:num w:numId="6">
    <w:abstractNumId w:val="2"/>
  </w:num>
  <w:num w:numId="7">
    <w:abstractNumId w:val="8"/>
  </w:num>
  <w:num w:numId="8">
    <w:abstractNumId w:val="15"/>
  </w:num>
  <w:num w:numId="9">
    <w:abstractNumId w:val="19"/>
  </w:num>
  <w:num w:numId="10">
    <w:abstractNumId w:val="9"/>
  </w:num>
  <w:num w:numId="11">
    <w:abstractNumId w:val="14"/>
  </w:num>
  <w:num w:numId="12">
    <w:abstractNumId w:val="17"/>
  </w:num>
  <w:num w:numId="13">
    <w:abstractNumId w:val="4"/>
  </w:num>
  <w:num w:numId="14">
    <w:abstractNumId w:val="10"/>
  </w:num>
  <w:num w:numId="15">
    <w:abstractNumId w:val="20"/>
  </w:num>
  <w:num w:numId="16">
    <w:abstractNumId w:val="13"/>
  </w:num>
  <w:num w:numId="17">
    <w:abstractNumId w:val="11"/>
  </w:num>
  <w:num w:numId="18">
    <w:abstractNumId w:val="22"/>
  </w:num>
  <w:num w:numId="19">
    <w:abstractNumId w:val="1"/>
  </w:num>
  <w:num w:numId="20">
    <w:abstractNumId w:val="18"/>
  </w:num>
  <w:num w:numId="21">
    <w:abstractNumId w:val="3"/>
  </w:num>
  <w:num w:numId="22">
    <w:abstractNumId w:val="6"/>
  </w:num>
  <w:num w:numId="2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num>
  <w:num w:numId="3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0"/>
    <w:rsid w:val="001450CB"/>
    <w:rsid w:val="0016037A"/>
    <w:rsid w:val="00281FDF"/>
    <w:rsid w:val="003D4E02"/>
    <w:rsid w:val="00635881"/>
    <w:rsid w:val="006E504C"/>
    <w:rsid w:val="006E7B80"/>
    <w:rsid w:val="007042A4"/>
    <w:rsid w:val="00721EFD"/>
    <w:rsid w:val="00AD5D05"/>
    <w:rsid w:val="00CC2638"/>
    <w:rsid w:val="00D0782E"/>
    <w:rsid w:val="00E23B20"/>
    <w:rsid w:val="00E4519C"/>
    <w:rsid w:val="00E92360"/>
    <w:rsid w:val="00EE74EE"/>
    <w:rsid w:val="00F83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5B15D7-2CC5-47BB-9CE7-41D0B904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FD"/>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721EF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21EF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21EF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21E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1EFD"/>
  </w:style>
  <w:style w:type="paragraph" w:customStyle="1" w:styleId="Default">
    <w:name w:val="Default"/>
    <w:rsid w:val="0016037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037A"/>
    <w:rPr>
      <w:color w:val="0563C1" w:themeColor="hyperlink"/>
      <w:u w:val="single"/>
    </w:rPr>
  </w:style>
  <w:style w:type="paragraph" w:styleId="Header">
    <w:name w:val="header"/>
    <w:basedOn w:val="Normal"/>
    <w:link w:val="HeaderChar"/>
    <w:rsid w:val="00721EFD"/>
    <w:pPr>
      <w:tabs>
        <w:tab w:val="center" w:pos="4680"/>
        <w:tab w:val="right" w:pos="9360"/>
      </w:tabs>
    </w:pPr>
  </w:style>
  <w:style w:type="character" w:customStyle="1" w:styleId="HeaderChar">
    <w:name w:val="Header Char"/>
    <w:basedOn w:val="DefaultParagraphFont"/>
    <w:link w:val="Header"/>
    <w:rsid w:val="00721EFD"/>
    <w:rPr>
      <w:rFonts w:ascii="Times New Roman" w:eastAsia="MS Mincho" w:hAnsi="Times New Roman"/>
      <w:szCs w:val="24"/>
      <w:lang w:val="en-GB" w:eastAsia="zh-CN"/>
    </w:rPr>
  </w:style>
  <w:style w:type="paragraph" w:styleId="Footer">
    <w:name w:val="footer"/>
    <w:basedOn w:val="Normal"/>
    <w:link w:val="FooterChar"/>
    <w:rsid w:val="00721EFD"/>
    <w:pPr>
      <w:tabs>
        <w:tab w:val="center" w:pos="4680"/>
        <w:tab w:val="right" w:pos="9360"/>
      </w:tabs>
    </w:pPr>
  </w:style>
  <w:style w:type="character" w:customStyle="1" w:styleId="FooterChar">
    <w:name w:val="Footer Char"/>
    <w:basedOn w:val="DefaultParagraphFont"/>
    <w:link w:val="Footer"/>
    <w:rsid w:val="00721EFD"/>
    <w:rPr>
      <w:rFonts w:ascii="Times New Roman" w:eastAsia="MS Mincho" w:hAnsi="Times New Roman"/>
      <w:szCs w:val="24"/>
      <w:lang w:val="en-GB" w:eastAsia="zh-CN"/>
    </w:rPr>
  </w:style>
  <w:style w:type="character" w:customStyle="1" w:styleId="Heading1Char">
    <w:name w:val="Heading 1 Char"/>
    <w:basedOn w:val="DefaultParagraphFont"/>
    <w:link w:val="Heading1"/>
    <w:rsid w:val="00721EFD"/>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721EFD"/>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721EFD"/>
    <w:rPr>
      <w:rFonts w:ascii="Calibri" w:eastAsia="MS Mincho" w:hAnsi="Calibri"/>
      <w:b/>
      <w:bCs/>
      <w:sz w:val="26"/>
      <w:szCs w:val="26"/>
      <w:lang w:val="en-GB" w:eastAsia="zh-CN"/>
    </w:rPr>
  </w:style>
  <w:style w:type="paragraph" w:styleId="FootnoteText">
    <w:name w:val="footnote text"/>
    <w:basedOn w:val="Normal"/>
    <w:link w:val="FootnoteTextChar"/>
    <w:semiHidden/>
    <w:rsid w:val="00721EFD"/>
    <w:pPr>
      <w:spacing w:before="60"/>
    </w:pPr>
    <w:rPr>
      <w:sz w:val="20"/>
    </w:rPr>
  </w:style>
  <w:style w:type="character" w:customStyle="1" w:styleId="FootnoteTextChar">
    <w:name w:val="Footnote Text Char"/>
    <w:basedOn w:val="DefaultParagraphFont"/>
    <w:link w:val="FootnoteText"/>
    <w:semiHidden/>
    <w:rsid w:val="00721EFD"/>
    <w:rPr>
      <w:rFonts w:ascii="Times New Roman" w:eastAsia="MS Mincho" w:hAnsi="Times New Roman"/>
      <w:sz w:val="20"/>
      <w:szCs w:val="24"/>
      <w:lang w:val="en-GB" w:eastAsia="zh-CN"/>
    </w:rPr>
  </w:style>
  <w:style w:type="character" w:styleId="FootnoteReference">
    <w:name w:val="footnote reference"/>
    <w:basedOn w:val="DefaultParagraphFont"/>
    <w:semiHidden/>
    <w:rsid w:val="00721EFD"/>
    <w:rPr>
      <w:vertAlign w:val="superscript"/>
    </w:rPr>
  </w:style>
  <w:style w:type="paragraph" w:customStyle="1" w:styleId="Style">
    <w:name w:val="Style"/>
    <w:basedOn w:val="Footer"/>
    <w:autoRedefine/>
    <w:qFormat/>
    <w:rsid w:val="00721EF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21EFD"/>
    <w:rPr>
      <w:rFonts w:ascii="Arial" w:hAnsi="Arial"/>
      <w:b/>
      <w:sz w:val="18"/>
    </w:rPr>
  </w:style>
  <w:style w:type="paragraph" w:customStyle="1" w:styleId="IPPArialFootnote">
    <w:name w:val="IPP Arial Footnote"/>
    <w:basedOn w:val="IPPArialTable"/>
    <w:qFormat/>
    <w:rsid w:val="00721EFD"/>
    <w:pPr>
      <w:tabs>
        <w:tab w:val="left" w:pos="28"/>
      </w:tabs>
      <w:ind w:left="284" w:hanging="284"/>
    </w:pPr>
    <w:rPr>
      <w:sz w:val="16"/>
    </w:rPr>
  </w:style>
  <w:style w:type="paragraph" w:customStyle="1" w:styleId="IPPContentsHead">
    <w:name w:val="IPP ContentsHead"/>
    <w:basedOn w:val="IPPSubhead"/>
    <w:next w:val="IPPNormal"/>
    <w:qFormat/>
    <w:rsid w:val="00721EFD"/>
    <w:pPr>
      <w:spacing w:after="240"/>
    </w:pPr>
    <w:rPr>
      <w:sz w:val="24"/>
    </w:rPr>
  </w:style>
  <w:style w:type="table" w:styleId="TableGrid">
    <w:name w:val="Table Grid"/>
    <w:basedOn w:val="TableNormal"/>
    <w:rsid w:val="00721EFD"/>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1EFD"/>
    <w:rPr>
      <w:rFonts w:ascii="Tahoma" w:hAnsi="Tahoma" w:cs="Tahoma"/>
      <w:sz w:val="16"/>
      <w:szCs w:val="16"/>
    </w:rPr>
  </w:style>
  <w:style w:type="character" w:customStyle="1" w:styleId="BalloonTextChar">
    <w:name w:val="Balloon Text Char"/>
    <w:basedOn w:val="DefaultParagraphFont"/>
    <w:link w:val="BalloonText"/>
    <w:rsid w:val="00721EFD"/>
    <w:rPr>
      <w:rFonts w:ascii="Tahoma" w:eastAsia="MS Mincho" w:hAnsi="Tahoma" w:cs="Tahoma"/>
      <w:sz w:val="16"/>
      <w:szCs w:val="16"/>
      <w:lang w:val="en-GB" w:eastAsia="zh-CN"/>
    </w:rPr>
  </w:style>
  <w:style w:type="paragraph" w:customStyle="1" w:styleId="IPPBullet2">
    <w:name w:val="IPP Bullet2"/>
    <w:basedOn w:val="IPPNormal"/>
    <w:next w:val="IPPBullet1"/>
    <w:qFormat/>
    <w:rsid w:val="00721EFD"/>
    <w:pPr>
      <w:numPr>
        <w:numId w:val="15"/>
      </w:numPr>
      <w:tabs>
        <w:tab w:val="left" w:pos="1134"/>
      </w:tabs>
      <w:spacing w:after="60"/>
    </w:pPr>
  </w:style>
  <w:style w:type="paragraph" w:customStyle="1" w:styleId="IPPQuote">
    <w:name w:val="IPP Quote"/>
    <w:basedOn w:val="IPPNormal"/>
    <w:qFormat/>
    <w:rsid w:val="00721EFD"/>
    <w:pPr>
      <w:ind w:left="851" w:right="851"/>
    </w:pPr>
    <w:rPr>
      <w:sz w:val="18"/>
    </w:rPr>
  </w:style>
  <w:style w:type="paragraph" w:customStyle="1" w:styleId="IPPNormal">
    <w:name w:val="IPP Normal"/>
    <w:basedOn w:val="Normal"/>
    <w:link w:val="IPPNormalChar"/>
    <w:qFormat/>
    <w:rsid w:val="00721EFD"/>
    <w:pPr>
      <w:spacing w:after="180"/>
    </w:pPr>
    <w:rPr>
      <w:rFonts w:eastAsia="Times"/>
    </w:rPr>
  </w:style>
  <w:style w:type="paragraph" w:customStyle="1" w:styleId="IPPIndentClose">
    <w:name w:val="IPP Indent Close"/>
    <w:basedOn w:val="IPPNormal"/>
    <w:qFormat/>
    <w:rsid w:val="00721EFD"/>
    <w:pPr>
      <w:tabs>
        <w:tab w:val="left" w:pos="2835"/>
      </w:tabs>
      <w:spacing w:after="60"/>
      <w:ind w:left="567"/>
    </w:pPr>
  </w:style>
  <w:style w:type="paragraph" w:customStyle="1" w:styleId="IPPIndent">
    <w:name w:val="IPP Indent"/>
    <w:basedOn w:val="IPPIndentClose"/>
    <w:qFormat/>
    <w:rsid w:val="00721EFD"/>
    <w:pPr>
      <w:spacing w:after="180"/>
    </w:pPr>
  </w:style>
  <w:style w:type="paragraph" w:customStyle="1" w:styleId="IPPFootnote">
    <w:name w:val="IPP Footnote"/>
    <w:basedOn w:val="IPPArialFootnote"/>
    <w:qFormat/>
    <w:rsid w:val="00721EF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21EFD"/>
    <w:pPr>
      <w:keepNext/>
      <w:tabs>
        <w:tab w:val="left" w:pos="567"/>
      </w:tabs>
      <w:spacing w:before="120" w:after="120"/>
      <w:ind w:left="567" w:hanging="567"/>
    </w:pPr>
    <w:rPr>
      <w:b/>
      <w:i/>
    </w:rPr>
  </w:style>
  <w:style w:type="character" w:customStyle="1" w:styleId="IPPnormalitalics">
    <w:name w:val="IPP normal italics"/>
    <w:basedOn w:val="DefaultParagraphFont"/>
    <w:rsid w:val="00721EFD"/>
    <w:rPr>
      <w:rFonts w:ascii="Times New Roman" w:hAnsi="Times New Roman"/>
      <w:i/>
      <w:sz w:val="22"/>
      <w:lang w:val="en-US"/>
    </w:rPr>
  </w:style>
  <w:style w:type="character" w:customStyle="1" w:styleId="IPPNormalbold">
    <w:name w:val="IPP Normal bold"/>
    <w:basedOn w:val="PlainTextChar"/>
    <w:rsid w:val="00721EFD"/>
    <w:rPr>
      <w:rFonts w:ascii="Times New Roman" w:eastAsia="Times" w:hAnsi="Times New Roman"/>
      <w:b/>
      <w:sz w:val="22"/>
      <w:szCs w:val="21"/>
      <w:lang w:eastAsia="zh-CN"/>
    </w:rPr>
  </w:style>
  <w:style w:type="paragraph" w:customStyle="1" w:styleId="IPPHeadSection">
    <w:name w:val="IPP HeadSection"/>
    <w:basedOn w:val="Normal"/>
    <w:next w:val="Normal"/>
    <w:qFormat/>
    <w:rsid w:val="00721EF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21EF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21EFD"/>
    <w:pPr>
      <w:keepNext/>
      <w:ind w:left="567" w:hanging="567"/>
      <w:jc w:val="left"/>
    </w:pPr>
    <w:rPr>
      <w:b/>
      <w:bCs/>
      <w:iCs/>
      <w:szCs w:val="22"/>
    </w:rPr>
  </w:style>
  <w:style w:type="character" w:customStyle="1" w:styleId="IPPNormalunderlined">
    <w:name w:val="IPP Normal underlined"/>
    <w:basedOn w:val="DefaultParagraphFont"/>
    <w:rsid w:val="00721EFD"/>
    <w:rPr>
      <w:rFonts w:ascii="Times New Roman" w:hAnsi="Times New Roman"/>
      <w:sz w:val="22"/>
      <w:u w:val="single"/>
      <w:lang w:val="en-US"/>
    </w:rPr>
  </w:style>
  <w:style w:type="paragraph" w:customStyle="1" w:styleId="IPPBullet1">
    <w:name w:val="IPP Bullet1"/>
    <w:basedOn w:val="IPPBullet1Last"/>
    <w:qFormat/>
    <w:rsid w:val="00721EFD"/>
    <w:pPr>
      <w:numPr>
        <w:numId w:val="20"/>
      </w:numPr>
      <w:spacing w:after="60"/>
    </w:pPr>
    <w:rPr>
      <w:lang w:val="en-US"/>
    </w:rPr>
  </w:style>
  <w:style w:type="paragraph" w:customStyle="1" w:styleId="IPPBullet1Last">
    <w:name w:val="IPP Bullet1Last"/>
    <w:basedOn w:val="IPPNormal"/>
    <w:next w:val="IPPNormal"/>
    <w:autoRedefine/>
    <w:qFormat/>
    <w:rsid w:val="00721EFD"/>
    <w:pPr>
      <w:numPr>
        <w:numId w:val="16"/>
      </w:numPr>
    </w:pPr>
  </w:style>
  <w:style w:type="character" w:customStyle="1" w:styleId="IPPNormalstrikethrough">
    <w:name w:val="IPP Normal strikethrough"/>
    <w:rsid w:val="00721EFD"/>
    <w:rPr>
      <w:rFonts w:ascii="Times New Roman" w:hAnsi="Times New Roman"/>
      <w:strike/>
      <w:dstrike w:val="0"/>
      <w:sz w:val="22"/>
    </w:rPr>
  </w:style>
  <w:style w:type="paragraph" w:customStyle="1" w:styleId="IPPTitle16pt">
    <w:name w:val="IPP Title16pt"/>
    <w:basedOn w:val="Normal"/>
    <w:qFormat/>
    <w:rsid w:val="00721EF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21EFD"/>
    <w:pPr>
      <w:spacing w:after="360"/>
      <w:jc w:val="center"/>
    </w:pPr>
    <w:rPr>
      <w:rFonts w:ascii="Arial" w:hAnsi="Arial" w:cs="Arial"/>
      <w:b/>
      <w:bCs/>
      <w:sz w:val="36"/>
      <w:szCs w:val="36"/>
    </w:rPr>
  </w:style>
  <w:style w:type="paragraph" w:customStyle="1" w:styleId="IPPHeader">
    <w:name w:val="IPP Header"/>
    <w:basedOn w:val="Normal"/>
    <w:qFormat/>
    <w:rsid w:val="00721EF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21EFD"/>
    <w:pPr>
      <w:keepNext/>
      <w:tabs>
        <w:tab w:val="left" w:pos="567"/>
      </w:tabs>
      <w:spacing w:before="120"/>
      <w:jc w:val="left"/>
      <w:outlineLvl w:val="1"/>
    </w:pPr>
    <w:rPr>
      <w:b/>
      <w:sz w:val="24"/>
    </w:rPr>
  </w:style>
  <w:style w:type="numbering" w:customStyle="1" w:styleId="IPPParagraphnumberedlist">
    <w:name w:val="IPP Paragraph numbered list"/>
    <w:rsid w:val="00721EFD"/>
    <w:pPr>
      <w:numPr>
        <w:numId w:val="14"/>
      </w:numPr>
    </w:pPr>
  </w:style>
  <w:style w:type="paragraph" w:customStyle="1" w:styleId="IPPNormalCloseSpace">
    <w:name w:val="IPP NormalCloseSpace"/>
    <w:basedOn w:val="Normal"/>
    <w:qFormat/>
    <w:rsid w:val="00721EFD"/>
    <w:pPr>
      <w:keepNext/>
      <w:spacing w:after="60"/>
    </w:pPr>
  </w:style>
  <w:style w:type="paragraph" w:customStyle="1" w:styleId="IPPHeading2">
    <w:name w:val="IPP Heading2"/>
    <w:basedOn w:val="IPPNormal"/>
    <w:next w:val="IPPNormal"/>
    <w:qFormat/>
    <w:rsid w:val="00721EF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21EF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21EFD"/>
    <w:pPr>
      <w:tabs>
        <w:tab w:val="right" w:leader="dot" w:pos="9072"/>
      </w:tabs>
      <w:spacing w:before="240"/>
      <w:ind w:left="567" w:hanging="567"/>
    </w:pPr>
  </w:style>
  <w:style w:type="paragraph" w:styleId="TOC2">
    <w:name w:val="toc 2"/>
    <w:basedOn w:val="TOC1"/>
    <w:next w:val="Normal"/>
    <w:autoRedefine/>
    <w:uiPriority w:val="39"/>
    <w:rsid w:val="00721EFD"/>
    <w:pPr>
      <w:keepNext w:val="0"/>
      <w:tabs>
        <w:tab w:val="left" w:pos="425"/>
      </w:tabs>
      <w:spacing w:before="120" w:after="0"/>
      <w:ind w:left="425" w:right="284" w:hanging="425"/>
    </w:pPr>
  </w:style>
  <w:style w:type="paragraph" w:styleId="TOC3">
    <w:name w:val="toc 3"/>
    <w:basedOn w:val="TOC2"/>
    <w:next w:val="Normal"/>
    <w:autoRedefine/>
    <w:uiPriority w:val="39"/>
    <w:rsid w:val="00721EFD"/>
    <w:pPr>
      <w:tabs>
        <w:tab w:val="left" w:pos="1276"/>
      </w:tabs>
      <w:spacing w:before="60"/>
      <w:ind w:left="1276" w:hanging="851"/>
    </w:pPr>
    <w:rPr>
      <w:rFonts w:eastAsia="Times"/>
    </w:rPr>
  </w:style>
  <w:style w:type="paragraph" w:styleId="TOC4">
    <w:name w:val="toc 4"/>
    <w:basedOn w:val="Normal"/>
    <w:next w:val="Normal"/>
    <w:autoRedefine/>
    <w:uiPriority w:val="39"/>
    <w:rsid w:val="00721EFD"/>
    <w:pPr>
      <w:spacing w:after="120"/>
      <w:ind w:left="660"/>
    </w:pPr>
    <w:rPr>
      <w:rFonts w:eastAsia="Times"/>
      <w:lang w:val="en-AU"/>
    </w:rPr>
  </w:style>
  <w:style w:type="paragraph" w:styleId="TOC5">
    <w:name w:val="toc 5"/>
    <w:basedOn w:val="Normal"/>
    <w:next w:val="Normal"/>
    <w:autoRedefine/>
    <w:uiPriority w:val="39"/>
    <w:rsid w:val="00721EFD"/>
    <w:pPr>
      <w:spacing w:after="120"/>
      <w:ind w:left="880"/>
    </w:pPr>
    <w:rPr>
      <w:rFonts w:eastAsia="Times"/>
      <w:lang w:val="en-AU"/>
    </w:rPr>
  </w:style>
  <w:style w:type="paragraph" w:styleId="TOC6">
    <w:name w:val="toc 6"/>
    <w:basedOn w:val="Normal"/>
    <w:next w:val="Normal"/>
    <w:autoRedefine/>
    <w:uiPriority w:val="39"/>
    <w:rsid w:val="00721EFD"/>
    <w:pPr>
      <w:spacing w:after="120"/>
      <w:ind w:left="1100"/>
    </w:pPr>
    <w:rPr>
      <w:rFonts w:eastAsia="Times"/>
      <w:lang w:val="en-AU"/>
    </w:rPr>
  </w:style>
  <w:style w:type="paragraph" w:styleId="TOC7">
    <w:name w:val="toc 7"/>
    <w:basedOn w:val="Normal"/>
    <w:next w:val="Normal"/>
    <w:autoRedefine/>
    <w:uiPriority w:val="39"/>
    <w:rsid w:val="00721EFD"/>
    <w:pPr>
      <w:spacing w:after="120"/>
      <w:ind w:left="1320"/>
    </w:pPr>
    <w:rPr>
      <w:rFonts w:eastAsia="Times"/>
      <w:lang w:val="en-AU"/>
    </w:rPr>
  </w:style>
  <w:style w:type="paragraph" w:styleId="TOC8">
    <w:name w:val="toc 8"/>
    <w:basedOn w:val="Normal"/>
    <w:next w:val="Normal"/>
    <w:autoRedefine/>
    <w:uiPriority w:val="39"/>
    <w:rsid w:val="00721EFD"/>
    <w:pPr>
      <w:spacing w:after="120"/>
      <w:ind w:left="1540"/>
    </w:pPr>
    <w:rPr>
      <w:rFonts w:eastAsia="Times"/>
      <w:lang w:val="en-AU"/>
    </w:rPr>
  </w:style>
  <w:style w:type="paragraph" w:styleId="TOC9">
    <w:name w:val="toc 9"/>
    <w:basedOn w:val="Normal"/>
    <w:next w:val="Normal"/>
    <w:autoRedefine/>
    <w:uiPriority w:val="39"/>
    <w:rsid w:val="00721EFD"/>
    <w:pPr>
      <w:spacing w:after="120"/>
      <w:ind w:left="1760"/>
    </w:pPr>
    <w:rPr>
      <w:rFonts w:eastAsia="Times"/>
      <w:lang w:val="en-AU"/>
    </w:rPr>
  </w:style>
  <w:style w:type="paragraph" w:customStyle="1" w:styleId="IPPReferences">
    <w:name w:val="IPP References"/>
    <w:basedOn w:val="IPPNormal"/>
    <w:qFormat/>
    <w:rsid w:val="00721EFD"/>
    <w:pPr>
      <w:spacing w:after="60"/>
      <w:ind w:left="567" w:hanging="567"/>
    </w:pPr>
  </w:style>
  <w:style w:type="paragraph" w:customStyle="1" w:styleId="IPPArial">
    <w:name w:val="IPP Arial"/>
    <w:basedOn w:val="IPPNormal"/>
    <w:qFormat/>
    <w:rsid w:val="00721EFD"/>
    <w:pPr>
      <w:spacing w:after="0"/>
    </w:pPr>
    <w:rPr>
      <w:rFonts w:ascii="Arial" w:hAnsi="Arial"/>
      <w:sz w:val="18"/>
    </w:rPr>
  </w:style>
  <w:style w:type="paragraph" w:customStyle="1" w:styleId="IPPArialTable">
    <w:name w:val="IPP Arial Table"/>
    <w:basedOn w:val="IPPArial"/>
    <w:qFormat/>
    <w:rsid w:val="00721EFD"/>
    <w:pPr>
      <w:spacing w:before="60" w:after="60"/>
      <w:jc w:val="left"/>
    </w:pPr>
  </w:style>
  <w:style w:type="paragraph" w:customStyle="1" w:styleId="IPPHeaderlandscape">
    <w:name w:val="IPP Header landscape"/>
    <w:basedOn w:val="IPPHeader"/>
    <w:qFormat/>
    <w:rsid w:val="00721EF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21EF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21EFD"/>
    <w:rPr>
      <w:rFonts w:ascii="Courier" w:eastAsia="Times" w:hAnsi="Courier"/>
      <w:sz w:val="21"/>
      <w:szCs w:val="21"/>
      <w:lang w:eastAsia="zh-CN"/>
    </w:rPr>
  </w:style>
  <w:style w:type="paragraph" w:customStyle="1" w:styleId="IPPLetterList">
    <w:name w:val="IPP LetterList"/>
    <w:basedOn w:val="IPPBullet2"/>
    <w:qFormat/>
    <w:rsid w:val="00721EFD"/>
    <w:pPr>
      <w:numPr>
        <w:numId w:val="12"/>
      </w:numPr>
      <w:jc w:val="left"/>
    </w:pPr>
  </w:style>
  <w:style w:type="paragraph" w:customStyle="1" w:styleId="IPPLetterListIndent">
    <w:name w:val="IPP LetterList Indent"/>
    <w:basedOn w:val="IPPLetterList"/>
    <w:qFormat/>
    <w:rsid w:val="00721EFD"/>
    <w:pPr>
      <w:numPr>
        <w:numId w:val="13"/>
      </w:numPr>
    </w:pPr>
  </w:style>
  <w:style w:type="paragraph" w:customStyle="1" w:styleId="IPPFooterLandscape">
    <w:name w:val="IPP Footer Landscape"/>
    <w:basedOn w:val="IPPHeaderlandscape"/>
    <w:qFormat/>
    <w:rsid w:val="00721EFD"/>
    <w:pPr>
      <w:pBdr>
        <w:top w:val="single" w:sz="4" w:space="1" w:color="auto"/>
        <w:bottom w:val="none" w:sz="0" w:space="0" w:color="auto"/>
      </w:pBdr>
      <w:jc w:val="right"/>
    </w:pPr>
    <w:rPr>
      <w:b/>
    </w:rPr>
  </w:style>
  <w:style w:type="paragraph" w:customStyle="1" w:styleId="IPPSubheadSpace">
    <w:name w:val="IPP Subhead Space"/>
    <w:basedOn w:val="IPPSubhead"/>
    <w:qFormat/>
    <w:rsid w:val="00721EFD"/>
    <w:pPr>
      <w:tabs>
        <w:tab w:val="left" w:pos="567"/>
      </w:tabs>
      <w:spacing w:before="60" w:after="60"/>
    </w:pPr>
  </w:style>
  <w:style w:type="paragraph" w:customStyle="1" w:styleId="IPPSubheadSpaceAfter">
    <w:name w:val="IPP Subhead SpaceAfter"/>
    <w:basedOn w:val="IPPSubhead"/>
    <w:qFormat/>
    <w:rsid w:val="00721EFD"/>
    <w:pPr>
      <w:spacing w:after="60"/>
    </w:pPr>
  </w:style>
  <w:style w:type="paragraph" w:customStyle="1" w:styleId="IPPHdg1Num">
    <w:name w:val="IPP Hdg1Num"/>
    <w:basedOn w:val="IPPHeading1"/>
    <w:next w:val="IPPNormal"/>
    <w:qFormat/>
    <w:rsid w:val="00721EFD"/>
    <w:pPr>
      <w:numPr>
        <w:numId w:val="17"/>
      </w:numPr>
    </w:pPr>
  </w:style>
  <w:style w:type="paragraph" w:customStyle="1" w:styleId="IPPHdg2Num">
    <w:name w:val="IPP Hdg2Num"/>
    <w:basedOn w:val="IPPHeading2"/>
    <w:next w:val="IPPNormal"/>
    <w:qFormat/>
    <w:rsid w:val="00721EFD"/>
    <w:pPr>
      <w:numPr>
        <w:ilvl w:val="1"/>
        <w:numId w:val="18"/>
      </w:numPr>
    </w:pPr>
  </w:style>
  <w:style w:type="paragraph" w:customStyle="1" w:styleId="IPPNumberedList">
    <w:name w:val="IPP NumberedList"/>
    <w:basedOn w:val="IPPBullet1"/>
    <w:qFormat/>
    <w:rsid w:val="00721EFD"/>
    <w:pPr>
      <w:numPr>
        <w:numId w:val="19"/>
      </w:numPr>
    </w:pPr>
  </w:style>
  <w:style w:type="character" w:styleId="Strong">
    <w:name w:val="Strong"/>
    <w:basedOn w:val="DefaultParagraphFont"/>
    <w:qFormat/>
    <w:rsid w:val="00721EFD"/>
    <w:rPr>
      <w:b/>
      <w:bCs/>
    </w:rPr>
  </w:style>
  <w:style w:type="paragraph" w:styleId="ListParagraph">
    <w:name w:val="List Paragraph"/>
    <w:basedOn w:val="Normal"/>
    <w:uiPriority w:val="34"/>
    <w:qFormat/>
    <w:rsid w:val="00721EF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721EFD"/>
    <w:pPr>
      <w:numPr>
        <w:numId w:val="23"/>
      </w:numPr>
    </w:pPr>
    <w:rPr>
      <w:lang w:val="en-US"/>
    </w:rPr>
  </w:style>
  <w:style w:type="paragraph" w:customStyle="1" w:styleId="IPPParagraphnumberingclose">
    <w:name w:val="IPP Paragraph numbering close"/>
    <w:basedOn w:val="IPPParagraphnumbering"/>
    <w:qFormat/>
    <w:rsid w:val="00721EFD"/>
    <w:pPr>
      <w:keepNext/>
      <w:numPr>
        <w:numId w:val="0"/>
      </w:numPr>
      <w:spacing w:after="60"/>
    </w:pPr>
  </w:style>
  <w:style w:type="paragraph" w:customStyle="1" w:styleId="IPPNumberedListLast">
    <w:name w:val="IPP NumberedListLast"/>
    <w:basedOn w:val="IPPNumberedList"/>
    <w:qFormat/>
    <w:rsid w:val="00721EFD"/>
    <w:pPr>
      <w:numPr>
        <w:numId w:val="0"/>
      </w:numPr>
      <w:spacing w:after="180"/>
    </w:pPr>
  </w:style>
  <w:style w:type="paragraph" w:customStyle="1" w:styleId="IPPPargraphnumbering">
    <w:name w:val="IPP Pargraph numbering"/>
    <w:basedOn w:val="IPPNormal"/>
    <w:qFormat/>
    <w:rsid w:val="00721EFD"/>
    <w:pPr>
      <w:tabs>
        <w:tab w:val="num" w:pos="360"/>
      </w:tabs>
    </w:pPr>
    <w:rPr>
      <w:rFonts w:cs="Times New Roman"/>
      <w:lang w:val="en-US"/>
    </w:rPr>
  </w:style>
  <w:style w:type="character" w:customStyle="1" w:styleId="IPPNormalChar">
    <w:name w:val="IPP Normal Char"/>
    <w:link w:val="IPPNormal"/>
    <w:rsid w:val="00721EFD"/>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static/media/files/publication/en/2018/03/34_CPM_April_2018_Trade_facilitation_ActionPlan-2018-03-14.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FB23-005C-4636-9F71-CE3A638C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Agriculture</dc:creator>
  <cp:keywords/>
  <dc:description/>
  <cp:lastModifiedBy>Lahti, Tanja (AGDI)</cp:lastModifiedBy>
  <cp:revision>4</cp:revision>
  <dcterms:created xsi:type="dcterms:W3CDTF">2018-09-16T23:59:00Z</dcterms:created>
  <dcterms:modified xsi:type="dcterms:W3CDTF">2018-09-28T12:56:00Z</dcterms:modified>
</cp:coreProperties>
</file>