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2EC" w:rsidRPr="007075F6" w:rsidRDefault="000B32EC" w:rsidP="007E5FE0">
      <w:pPr>
        <w:pStyle w:val="IPPAnnexHead"/>
        <w:jc w:val="center"/>
      </w:pPr>
      <w:bookmarkStart w:id="0" w:name="_Toc343683278"/>
      <w:bookmarkStart w:id="1" w:name="_Toc343684037"/>
      <w:bookmarkStart w:id="2" w:name="_Toc277923864"/>
      <w:bookmarkStart w:id="3" w:name="_Toc462832325"/>
      <w:bookmarkStart w:id="4" w:name="_Toc462833911"/>
      <w:bookmarkStart w:id="5" w:name="_Toc463019513"/>
      <w:bookmarkStart w:id="6" w:name="_Toc463019713"/>
      <w:bookmarkStart w:id="7" w:name="_Toc463019981"/>
      <w:bookmarkStart w:id="8" w:name="_Toc463351876"/>
      <w:bookmarkStart w:id="9" w:name="_Toc463359145"/>
      <w:bookmarkStart w:id="10" w:name="_Toc463360357"/>
      <w:bookmarkStart w:id="11" w:name="_Toc463360485"/>
      <w:bookmarkStart w:id="12" w:name="_Toc463361514"/>
      <w:bookmarkStart w:id="13" w:name="_Toc463859032"/>
      <w:bookmarkStart w:id="14" w:name="_Toc463859160"/>
      <w:bookmarkStart w:id="15" w:name="Annex3"/>
      <w:bookmarkStart w:id="16" w:name="_GoBack"/>
      <w:bookmarkEnd w:id="16"/>
      <w:r w:rsidRPr="007075F6">
        <w:t xml:space="preserve">Submission form for topics for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438FB" w:rsidRPr="00EE39DD">
        <w:t>Standards and Implementation</w:t>
      </w:r>
    </w:p>
    <w:bookmarkEnd w:id="15"/>
    <w:p w:rsidR="000B32EC" w:rsidRPr="007075F6" w:rsidRDefault="000B32EC" w:rsidP="000B32EC">
      <w:pPr>
        <w:jc w:val="center"/>
        <w:rPr>
          <w:i/>
          <w:iCs/>
        </w:rPr>
      </w:pPr>
      <w:r w:rsidRPr="007075F6">
        <w:rPr>
          <w:i/>
          <w:iCs/>
        </w:rPr>
        <w:t xml:space="preserve">(Updated by the IPPC Secretariat </w:t>
      </w:r>
      <w:r w:rsidRPr="00EE39DD">
        <w:rPr>
          <w:i/>
          <w:iCs/>
        </w:rPr>
        <w:t>201</w:t>
      </w:r>
      <w:r w:rsidR="00F6085C" w:rsidRPr="00EE39DD">
        <w:rPr>
          <w:i/>
          <w:iCs/>
        </w:rPr>
        <w:t>8-04</w:t>
      </w:r>
      <w:r w:rsidR="00F37128" w:rsidRPr="00EE39DD">
        <w:rPr>
          <w:i/>
          <w:iCs/>
        </w:rPr>
        <w:t>-</w:t>
      </w:r>
      <w:r w:rsidR="00E57BC8">
        <w:rPr>
          <w:i/>
          <w:iCs/>
        </w:rPr>
        <w:t>27</w:t>
      </w:r>
      <w:r w:rsidRPr="007075F6">
        <w:rPr>
          <w:i/>
          <w:iCs/>
        </w:rPr>
        <w:t>)</w:t>
      </w:r>
    </w:p>
    <w:p w:rsidR="000B32EC" w:rsidRPr="007075F6" w:rsidRDefault="000B32EC" w:rsidP="000B32EC">
      <w:pPr>
        <w:jc w:val="center"/>
      </w:pPr>
    </w:p>
    <w:p w:rsidR="000B32EC" w:rsidRPr="007075F6" w:rsidRDefault="000B32EC" w:rsidP="000B32EC">
      <w:pPr>
        <w:jc w:val="right"/>
      </w:pPr>
      <w:r w:rsidRPr="007075F6">
        <w:t xml:space="preserve">Name of Country or </w:t>
      </w:r>
      <w:proofErr w:type="spellStart"/>
      <w:r w:rsidRPr="007075F6">
        <w:t>Organization____</w:t>
      </w:r>
      <w:r w:rsidR="0049535A">
        <w:t>New</w:t>
      </w:r>
      <w:proofErr w:type="spellEnd"/>
      <w:r w:rsidR="0049535A">
        <w:t xml:space="preserve"> Zealand</w:t>
      </w:r>
      <w:r w:rsidRPr="007075F6">
        <w:t>_______________________</w:t>
      </w:r>
    </w:p>
    <w:p w:rsidR="000B32EC" w:rsidRPr="007075F6" w:rsidRDefault="000B32EC" w:rsidP="000B32EC">
      <w:pPr>
        <w:rPr>
          <w:szCs w:val="22"/>
          <w:u w:val="single"/>
        </w:rPr>
      </w:pPr>
    </w:p>
    <w:p w:rsidR="004C6850" w:rsidRPr="00EE39DD" w:rsidRDefault="004C6850" w:rsidP="004C6850">
      <w:pPr>
        <w:ind w:right="-12"/>
        <w:rPr>
          <w:szCs w:val="22"/>
          <w:u w:val="single"/>
        </w:rPr>
      </w:pPr>
      <w:r w:rsidRPr="00EE39DD">
        <w:rPr>
          <w:szCs w:val="22"/>
          <w:u w:val="single"/>
        </w:rPr>
        <w:t>Introduction</w:t>
      </w:r>
    </w:p>
    <w:p w:rsidR="005D6636" w:rsidRPr="00EE39DD" w:rsidRDefault="005D6636" w:rsidP="001E7364">
      <w:pPr>
        <w:ind w:right="-12"/>
        <w:rPr>
          <w:sz w:val="20"/>
          <w:szCs w:val="20"/>
        </w:rPr>
      </w:pPr>
      <w:r w:rsidRPr="00EE39DD">
        <w:rPr>
          <w:sz w:val="20"/>
          <w:szCs w:val="20"/>
        </w:rPr>
        <w:t xml:space="preserve">In Accordance with </w:t>
      </w:r>
      <w:r w:rsidR="007075F6" w:rsidRPr="00EE39DD">
        <w:rPr>
          <w:sz w:val="20"/>
          <w:szCs w:val="20"/>
        </w:rPr>
        <w:t>CPM-13</w:t>
      </w:r>
      <w:r w:rsidRPr="00EE39DD">
        <w:rPr>
          <w:sz w:val="20"/>
          <w:szCs w:val="20"/>
        </w:rPr>
        <w:t xml:space="preserve"> decision, a combined call for topics for standards and tools for implementation </w:t>
      </w:r>
      <w:proofErr w:type="gramStart"/>
      <w:r w:rsidRPr="00EE39DD">
        <w:rPr>
          <w:sz w:val="20"/>
          <w:szCs w:val="20"/>
        </w:rPr>
        <w:t>is opened</w:t>
      </w:r>
      <w:proofErr w:type="gramEnd"/>
      <w:r w:rsidRPr="00EE39DD">
        <w:rPr>
          <w:sz w:val="20"/>
          <w:szCs w:val="20"/>
        </w:rPr>
        <w:t xml:space="preserve"> </w:t>
      </w:r>
      <w:r w:rsidR="00E86637" w:rsidRPr="00EE39DD">
        <w:rPr>
          <w:sz w:val="20"/>
          <w:szCs w:val="20"/>
        </w:rPr>
        <w:t>in 2018</w:t>
      </w:r>
      <w:r w:rsidRPr="00EE39DD">
        <w:rPr>
          <w:sz w:val="20"/>
          <w:szCs w:val="20"/>
        </w:rPr>
        <w:t xml:space="preserve">. IPPC contracting parties and RPPOs </w:t>
      </w:r>
      <w:proofErr w:type="gramStart"/>
      <w:r w:rsidRPr="00EE39DD">
        <w:rPr>
          <w:sz w:val="20"/>
          <w:szCs w:val="20"/>
        </w:rPr>
        <w:t>are invited</w:t>
      </w:r>
      <w:proofErr w:type="gramEnd"/>
      <w:r w:rsidRPr="00EE39DD">
        <w:rPr>
          <w:sz w:val="20"/>
          <w:szCs w:val="20"/>
        </w:rPr>
        <w:t xml:space="preserve"> to submit proposals for topics to be included as gaps in the Framework for Standards and Implementation for consideration to be put onto the IPPC work programme. </w:t>
      </w:r>
      <w:r w:rsidR="001E7364" w:rsidRPr="007075F6">
        <w:rPr>
          <w:sz w:val="20"/>
          <w:szCs w:val="20"/>
        </w:rPr>
        <w:t xml:space="preserve">Each submission should clearly define the problem needing resolution in sufficient detail to determine how it fits into the Framework for Standards and Implementation and the cost/benefit of the development of the standard or tool. </w:t>
      </w:r>
      <w:r w:rsidRPr="00EE39DD">
        <w:rPr>
          <w:sz w:val="20"/>
          <w:szCs w:val="20"/>
        </w:rPr>
        <w:t xml:space="preserve">Submitters </w:t>
      </w:r>
      <w:proofErr w:type="gramStart"/>
      <w:r w:rsidRPr="00EE39DD">
        <w:rPr>
          <w:sz w:val="20"/>
          <w:szCs w:val="20"/>
        </w:rPr>
        <w:t xml:space="preserve">are </w:t>
      </w:r>
      <w:r w:rsidR="00C82B35">
        <w:rPr>
          <w:sz w:val="20"/>
          <w:szCs w:val="20"/>
        </w:rPr>
        <w:t>requested</w:t>
      </w:r>
      <w:proofErr w:type="gramEnd"/>
      <w:r w:rsidR="00C82B35" w:rsidRPr="00EE39DD">
        <w:rPr>
          <w:sz w:val="20"/>
          <w:szCs w:val="20"/>
        </w:rPr>
        <w:t xml:space="preserve"> </w:t>
      </w:r>
      <w:r w:rsidRPr="00EE39DD">
        <w:rPr>
          <w:sz w:val="20"/>
          <w:szCs w:val="20"/>
        </w:rPr>
        <w:t>to consult the current IPPC Framework for Standards and Implementation</w:t>
      </w:r>
      <w:r w:rsidR="00F50D5F" w:rsidRPr="00EE39DD">
        <w:rPr>
          <w:sz w:val="20"/>
          <w:szCs w:val="20"/>
        </w:rPr>
        <w:t xml:space="preserve"> </w:t>
      </w:r>
      <w:r w:rsidR="00F50D5F" w:rsidRPr="00EE39DD">
        <w:rPr>
          <w:sz w:val="20"/>
          <w:szCs w:val="20"/>
          <w:lang w:eastAsia="ja-JP"/>
        </w:rPr>
        <w:t>(</w:t>
      </w:r>
      <w:hyperlink r:id="rId8" w:history="1">
        <w:r w:rsidR="004613BB" w:rsidRPr="00885B3E">
          <w:rPr>
            <w:rStyle w:val="Hyperlink"/>
            <w:sz w:val="20"/>
            <w:szCs w:val="20"/>
          </w:rPr>
          <w:t>https://www.ippc.int/en/publications/82439/</w:t>
        </w:r>
      </w:hyperlink>
      <w:r w:rsidR="00F50D5F" w:rsidRPr="00EE39DD">
        <w:rPr>
          <w:sz w:val="20"/>
          <w:szCs w:val="20"/>
          <w:lang w:eastAsia="ja-JP"/>
        </w:rPr>
        <w:t>)</w:t>
      </w:r>
      <w:r w:rsidRPr="00EE39DD">
        <w:rPr>
          <w:sz w:val="20"/>
          <w:szCs w:val="20"/>
        </w:rPr>
        <w:t xml:space="preserve"> to identify areas </w:t>
      </w:r>
      <w:r w:rsidR="00F50D5F" w:rsidRPr="00EE39DD">
        <w:rPr>
          <w:sz w:val="20"/>
          <w:szCs w:val="20"/>
        </w:rPr>
        <w:t>where t</w:t>
      </w:r>
      <w:r w:rsidR="001E7364" w:rsidRPr="00EE39DD">
        <w:rPr>
          <w:sz w:val="20"/>
          <w:szCs w:val="20"/>
        </w:rPr>
        <w:t>he</w:t>
      </w:r>
      <w:r w:rsidR="00F50D5F" w:rsidRPr="00EE39DD">
        <w:rPr>
          <w:sz w:val="20"/>
          <w:szCs w:val="20"/>
        </w:rPr>
        <w:t xml:space="preserve"> proposal can contribute. </w:t>
      </w:r>
    </w:p>
    <w:p w:rsidR="004C6850" w:rsidRPr="007075F6" w:rsidRDefault="004C6850" w:rsidP="000B32EC">
      <w:pPr>
        <w:ind w:right="-12"/>
        <w:rPr>
          <w:szCs w:val="22"/>
          <w:u w:val="single"/>
        </w:rPr>
      </w:pPr>
    </w:p>
    <w:p w:rsidR="0077292D" w:rsidRPr="007075F6" w:rsidRDefault="0077292D" w:rsidP="000B32EC">
      <w:pPr>
        <w:ind w:right="-12"/>
        <w:rPr>
          <w:szCs w:val="22"/>
          <w:u w:val="single"/>
        </w:rPr>
      </w:pPr>
      <w:r w:rsidRPr="00EE39DD">
        <w:rPr>
          <w:szCs w:val="22"/>
          <w:u w:val="single"/>
        </w:rPr>
        <w:t>Standards</w:t>
      </w:r>
    </w:p>
    <w:p w:rsidR="000B32EC" w:rsidRPr="007075F6" w:rsidRDefault="000B32EC" w:rsidP="000B32EC">
      <w:pPr>
        <w:ind w:right="-12"/>
        <w:rPr>
          <w:sz w:val="20"/>
          <w:szCs w:val="20"/>
        </w:rPr>
      </w:pPr>
      <w:r w:rsidRPr="007075F6">
        <w:rPr>
          <w:sz w:val="20"/>
          <w:szCs w:val="20"/>
        </w:rPr>
        <w:t>This form covers submissions for new ISPMs, new components to an existing ISPM and revision or amendments to an ISPM, supplement, annex or appendix</w:t>
      </w:r>
      <w:r w:rsidR="007075F6" w:rsidRPr="007075F6">
        <w:rPr>
          <w:sz w:val="20"/>
          <w:szCs w:val="20"/>
        </w:rPr>
        <w:t>, including diagnostic protocols</w:t>
      </w:r>
      <w:r w:rsidRPr="007075F6">
        <w:rPr>
          <w:sz w:val="20"/>
          <w:szCs w:val="20"/>
        </w:rPr>
        <w:t xml:space="preserve">. Please note that a separate call for </w:t>
      </w:r>
      <w:proofErr w:type="spellStart"/>
      <w:r w:rsidRPr="007075F6">
        <w:rPr>
          <w:sz w:val="20"/>
          <w:szCs w:val="20"/>
        </w:rPr>
        <w:t>phytosanitary</w:t>
      </w:r>
      <w:proofErr w:type="spellEnd"/>
      <w:r w:rsidRPr="007075F6">
        <w:rPr>
          <w:sz w:val="20"/>
          <w:szCs w:val="20"/>
        </w:rPr>
        <w:t xml:space="preserve"> treatments (PTs) </w:t>
      </w:r>
      <w:proofErr w:type="gramStart"/>
      <w:r w:rsidRPr="007075F6">
        <w:rPr>
          <w:sz w:val="20"/>
          <w:szCs w:val="20"/>
        </w:rPr>
        <w:t>is made</w:t>
      </w:r>
      <w:proofErr w:type="gramEnd"/>
      <w:r w:rsidRPr="007075F6">
        <w:rPr>
          <w:sz w:val="20"/>
          <w:szCs w:val="20"/>
        </w:rPr>
        <w:t xml:space="preserve">, </w:t>
      </w:r>
      <w:r w:rsidR="007075F6" w:rsidRPr="007075F6">
        <w:rPr>
          <w:sz w:val="20"/>
          <w:szCs w:val="20"/>
        </w:rPr>
        <w:t xml:space="preserve">more information on this call is available at </w:t>
      </w:r>
      <w:hyperlink r:id="rId9" w:history="1">
        <w:r w:rsidR="007075F6" w:rsidRPr="007075F6">
          <w:rPr>
            <w:rStyle w:val="Hyperlink"/>
            <w:sz w:val="20"/>
            <w:szCs w:val="20"/>
          </w:rPr>
          <w:t>https://www.ippc.int/en/core-activities/standards-setting/calls-treatments/</w:t>
        </w:r>
      </w:hyperlink>
      <w:r w:rsidR="007075F6" w:rsidRPr="007075F6">
        <w:rPr>
          <w:sz w:val="20"/>
          <w:szCs w:val="20"/>
        </w:rPr>
        <w:t xml:space="preserve">. </w:t>
      </w:r>
    </w:p>
    <w:p w:rsidR="0077292D" w:rsidRPr="007075F6" w:rsidRDefault="0077292D" w:rsidP="0077292D">
      <w:pPr>
        <w:ind w:right="-12"/>
        <w:rPr>
          <w:b/>
          <w:snapToGrid w:val="0"/>
          <w:color w:val="000000"/>
          <w:sz w:val="20"/>
          <w:szCs w:val="20"/>
        </w:rPr>
      </w:pPr>
      <w:r w:rsidRPr="007075F6">
        <w:rPr>
          <w:snapToGrid w:val="0"/>
          <w:color w:val="000000"/>
          <w:sz w:val="20"/>
          <w:szCs w:val="20"/>
        </w:rPr>
        <w:t xml:space="preserve">Please refer to the IPPC Standard </w:t>
      </w:r>
      <w:r w:rsidR="00E95202" w:rsidRPr="007075F6">
        <w:rPr>
          <w:snapToGrid w:val="0"/>
          <w:color w:val="000000"/>
          <w:sz w:val="20"/>
          <w:szCs w:val="20"/>
        </w:rPr>
        <w:t>Setting Procedure Manual</w:t>
      </w:r>
      <w:r w:rsidR="00E95202" w:rsidRPr="007075F6">
        <w:rPr>
          <w:rStyle w:val="FootnoteReference"/>
          <w:snapToGrid w:val="0"/>
          <w:color w:val="000000"/>
          <w:sz w:val="20"/>
          <w:szCs w:val="20"/>
        </w:rPr>
        <w:footnoteReference w:id="1"/>
      </w:r>
      <w:r w:rsidRPr="007075F6">
        <w:rPr>
          <w:snapToGrid w:val="0"/>
          <w:color w:val="000000"/>
          <w:sz w:val="20"/>
          <w:szCs w:val="20"/>
        </w:rPr>
        <w:t xml:space="preserve"> for an explanation of the hierarchy of terms for standards (technical area, topic and subject). The list of topics for IPPC standards adopted by the CPM is available at </w:t>
      </w:r>
      <w:hyperlink r:id="rId10" w:history="1">
        <w:r w:rsidRPr="007075F6">
          <w:rPr>
            <w:rStyle w:val="Hyperlink"/>
            <w:sz w:val="20"/>
            <w:szCs w:val="20"/>
          </w:rPr>
          <w:t>https://www.ippc.int/core-activities/standards-setting/list-topics-ippc-standards</w:t>
        </w:r>
      </w:hyperlink>
      <w:r w:rsidRPr="007075F6">
        <w:rPr>
          <w:snapToGrid w:val="0"/>
          <w:color w:val="000000"/>
          <w:sz w:val="20"/>
          <w:szCs w:val="20"/>
        </w:rPr>
        <w:t xml:space="preserve">. </w:t>
      </w:r>
    </w:p>
    <w:p w:rsidR="0077292D" w:rsidRPr="007075F6" w:rsidRDefault="0077292D" w:rsidP="000B32EC">
      <w:pPr>
        <w:ind w:right="-12"/>
        <w:rPr>
          <w:sz w:val="20"/>
          <w:szCs w:val="20"/>
        </w:rPr>
      </w:pPr>
    </w:p>
    <w:p w:rsidR="0077292D" w:rsidRPr="007075F6" w:rsidRDefault="0077292D" w:rsidP="0077292D">
      <w:pPr>
        <w:ind w:right="-12"/>
        <w:rPr>
          <w:szCs w:val="22"/>
          <w:u w:val="single"/>
        </w:rPr>
      </w:pPr>
      <w:r w:rsidRPr="00EE39DD">
        <w:rPr>
          <w:szCs w:val="22"/>
          <w:u w:val="single"/>
        </w:rPr>
        <w:t>Implementation</w:t>
      </w:r>
    </w:p>
    <w:p w:rsidR="0077292D" w:rsidRPr="00EE39DD" w:rsidRDefault="00FC1907" w:rsidP="000B32EC">
      <w:pPr>
        <w:ind w:right="-12"/>
        <w:rPr>
          <w:sz w:val="20"/>
          <w:szCs w:val="20"/>
          <w:lang w:eastAsia="ja-JP"/>
        </w:rPr>
      </w:pPr>
      <w:r w:rsidRPr="00EE39DD">
        <w:rPr>
          <w:sz w:val="20"/>
          <w:szCs w:val="20"/>
        </w:rPr>
        <w:t>This form covers</w:t>
      </w:r>
      <w:r w:rsidR="00CA63CA" w:rsidRPr="00EE39DD">
        <w:rPr>
          <w:sz w:val="20"/>
          <w:szCs w:val="20"/>
        </w:rPr>
        <w:t xml:space="preserve"> submissions for </w:t>
      </w:r>
      <w:r w:rsidRPr="00EE39DD">
        <w:rPr>
          <w:sz w:val="20"/>
          <w:szCs w:val="20"/>
        </w:rPr>
        <w:t xml:space="preserve">new </w:t>
      </w:r>
      <w:r w:rsidR="00EB47FD" w:rsidRPr="00EE39DD">
        <w:rPr>
          <w:sz w:val="20"/>
          <w:szCs w:val="20"/>
        </w:rPr>
        <w:t>IPPC i</w:t>
      </w:r>
      <w:r w:rsidR="00F56C25" w:rsidRPr="00EE39DD">
        <w:rPr>
          <w:sz w:val="20"/>
          <w:szCs w:val="20"/>
        </w:rPr>
        <w:t>mplementation resources</w:t>
      </w:r>
      <w:r w:rsidR="002613D4" w:rsidRPr="00EE39DD">
        <w:rPr>
          <w:sz w:val="20"/>
          <w:szCs w:val="20"/>
        </w:rPr>
        <w:t xml:space="preserve"> </w:t>
      </w:r>
      <w:r w:rsidR="00CA63CA" w:rsidRPr="00EE39DD">
        <w:rPr>
          <w:sz w:val="20"/>
          <w:szCs w:val="20"/>
        </w:rPr>
        <w:t>for implementation of the Convention, ISPMs and CPM recommendations</w:t>
      </w:r>
      <w:r w:rsidR="00257DCF" w:rsidRPr="00EE39DD">
        <w:rPr>
          <w:sz w:val="20"/>
          <w:szCs w:val="20"/>
        </w:rPr>
        <w:t xml:space="preserve"> or</w:t>
      </w:r>
      <w:r w:rsidR="007075F6" w:rsidRPr="00EE39DD">
        <w:rPr>
          <w:sz w:val="20"/>
          <w:szCs w:val="20"/>
        </w:rPr>
        <w:t xml:space="preserve"> for</w:t>
      </w:r>
      <w:r w:rsidR="00257DCF" w:rsidRPr="00EE39DD">
        <w:rPr>
          <w:sz w:val="20"/>
          <w:szCs w:val="20"/>
        </w:rPr>
        <w:t xml:space="preserve"> revi</w:t>
      </w:r>
      <w:r w:rsidR="00F56C25" w:rsidRPr="00EE39DD">
        <w:rPr>
          <w:sz w:val="20"/>
          <w:szCs w:val="20"/>
        </w:rPr>
        <w:t>sion</w:t>
      </w:r>
      <w:r w:rsidR="007075F6" w:rsidRPr="00EE39DD">
        <w:rPr>
          <w:sz w:val="20"/>
          <w:szCs w:val="20"/>
        </w:rPr>
        <w:t>s</w:t>
      </w:r>
      <w:r w:rsidR="00F56C25" w:rsidRPr="00EE39DD">
        <w:rPr>
          <w:sz w:val="20"/>
          <w:szCs w:val="20"/>
        </w:rPr>
        <w:t xml:space="preserve"> to IPPC implementation resources</w:t>
      </w:r>
      <w:r w:rsidR="00CA63CA" w:rsidRPr="00EE39DD">
        <w:rPr>
          <w:sz w:val="20"/>
          <w:szCs w:val="20"/>
        </w:rPr>
        <w:t>.</w:t>
      </w:r>
      <w:r w:rsidRPr="00EE39DD">
        <w:rPr>
          <w:sz w:val="20"/>
          <w:szCs w:val="20"/>
        </w:rPr>
        <w:t xml:space="preserve"> </w:t>
      </w:r>
      <w:r w:rsidR="005205CE" w:rsidRPr="00EE39DD">
        <w:rPr>
          <w:sz w:val="20"/>
          <w:szCs w:val="20"/>
        </w:rPr>
        <w:t>Please refer to the</w:t>
      </w:r>
      <w:r w:rsidR="00E407A1" w:rsidRPr="00EE39DD">
        <w:rPr>
          <w:sz w:val="20"/>
          <w:szCs w:val="20"/>
          <w:lang w:eastAsia="ja-JP"/>
        </w:rPr>
        <w:t xml:space="preserve"> </w:t>
      </w:r>
      <w:r w:rsidR="00257DCF" w:rsidRPr="00EE39DD">
        <w:rPr>
          <w:sz w:val="20"/>
          <w:szCs w:val="20"/>
          <w:lang w:eastAsia="ja-JP"/>
        </w:rPr>
        <w:t xml:space="preserve">IPPC </w:t>
      </w:r>
      <w:r w:rsidR="00E407A1" w:rsidRPr="00EE39DD">
        <w:rPr>
          <w:sz w:val="20"/>
          <w:szCs w:val="20"/>
          <w:lang w:eastAsia="ja-JP"/>
        </w:rPr>
        <w:t xml:space="preserve">Framework for Standards and Implementation </w:t>
      </w:r>
      <w:r w:rsidR="00DC62EE">
        <w:rPr>
          <w:sz w:val="20"/>
          <w:szCs w:val="20"/>
          <w:lang w:eastAsia="ja-JP"/>
        </w:rPr>
        <w:t xml:space="preserve">on implementation </w:t>
      </w:r>
      <w:r w:rsidR="00BE6D70">
        <w:rPr>
          <w:sz w:val="20"/>
          <w:szCs w:val="20"/>
          <w:lang w:eastAsia="ja-JP"/>
        </w:rPr>
        <w:t>resources</w:t>
      </w:r>
      <w:r w:rsidR="00E407A1" w:rsidRPr="00EE39DD">
        <w:rPr>
          <w:sz w:val="20"/>
          <w:szCs w:val="20"/>
          <w:lang w:eastAsia="ja-JP"/>
        </w:rPr>
        <w:t xml:space="preserve"> that have been adopted/developed, are under development or </w:t>
      </w:r>
      <w:proofErr w:type="gramStart"/>
      <w:r w:rsidR="00E407A1" w:rsidRPr="00EE39DD">
        <w:rPr>
          <w:sz w:val="20"/>
          <w:szCs w:val="20"/>
          <w:lang w:eastAsia="ja-JP"/>
        </w:rPr>
        <w:t>are planned to be developed</w:t>
      </w:r>
      <w:proofErr w:type="gramEnd"/>
      <w:r w:rsidR="00E407A1" w:rsidRPr="00EE39DD">
        <w:rPr>
          <w:sz w:val="20"/>
          <w:szCs w:val="20"/>
          <w:lang w:eastAsia="ja-JP"/>
        </w:rPr>
        <w:t>.</w:t>
      </w:r>
    </w:p>
    <w:p w:rsidR="0077292D" w:rsidRPr="007075F6" w:rsidRDefault="0077292D" w:rsidP="000B32EC">
      <w:pPr>
        <w:ind w:right="-12"/>
        <w:rPr>
          <w:sz w:val="20"/>
          <w:szCs w:val="20"/>
        </w:rPr>
      </w:pPr>
    </w:p>
    <w:p w:rsidR="000B32EC" w:rsidRPr="007075F6" w:rsidRDefault="002613D4" w:rsidP="000B32EC">
      <w:pPr>
        <w:ind w:right="-12"/>
        <w:rPr>
          <w:szCs w:val="22"/>
          <w:u w:val="single"/>
        </w:rPr>
      </w:pPr>
      <w:r w:rsidRPr="00EE39DD">
        <w:rPr>
          <w:szCs w:val="22"/>
          <w:u w:val="single"/>
        </w:rPr>
        <w:t>Submission</w:t>
      </w:r>
    </w:p>
    <w:p w:rsidR="000B32EC" w:rsidRPr="00D768AF" w:rsidRDefault="000B32EC" w:rsidP="000B32EC">
      <w:pPr>
        <w:ind w:right="-12"/>
        <w:rPr>
          <w:sz w:val="20"/>
          <w:szCs w:val="20"/>
        </w:rPr>
      </w:pPr>
      <w:r w:rsidRPr="007075F6">
        <w:rPr>
          <w:sz w:val="20"/>
          <w:szCs w:val="20"/>
        </w:rPr>
        <w:t xml:space="preserve">This completed form </w:t>
      </w:r>
      <w:proofErr w:type="gramStart"/>
      <w:r w:rsidRPr="007075F6">
        <w:rPr>
          <w:sz w:val="20"/>
          <w:szCs w:val="20"/>
        </w:rPr>
        <w:t>should be submitted</w:t>
      </w:r>
      <w:proofErr w:type="gramEnd"/>
      <w:r w:rsidRPr="007075F6">
        <w:rPr>
          <w:sz w:val="20"/>
          <w:szCs w:val="20"/>
        </w:rPr>
        <w:t xml:space="preserve"> by the IPPC official contact point, preferably via e-mail, to the IPPC</w:t>
      </w:r>
      <w:r w:rsidRPr="0098757E">
        <w:rPr>
          <w:sz w:val="20"/>
          <w:szCs w:val="20"/>
        </w:rPr>
        <w:t xml:space="preserve"> Secretariat (</w:t>
      </w:r>
      <w:hyperlink r:id="rId11" w:history="1">
        <w:r w:rsidRPr="0098757E">
          <w:rPr>
            <w:rStyle w:val="Hyperlink"/>
            <w:sz w:val="20"/>
            <w:szCs w:val="20"/>
          </w:rPr>
          <w:t>ippc@fao.org</w:t>
        </w:r>
      </w:hyperlink>
      <w:r w:rsidRPr="0098757E">
        <w:rPr>
          <w:sz w:val="20"/>
          <w:szCs w:val="20"/>
        </w:rPr>
        <w:t xml:space="preserve">) no later than </w:t>
      </w:r>
      <w:r w:rsidR="007075F6">
        <w:rPr>
          <w:b/>
          <w:sz w:val="20"/>
          <w:szCs w:val="20"/>
        </w:rPr>
        <w:t>31 August 2018</w:t>
      </w:r>
      <w:r w:rsidRPr="00D768AF">
        <w:rPr>
          <w:sz w:val="20"/>
          <w:szCs w:val="20"/>
        </w:rPr>
        <w:t xml:space="preserve">. </w:t>
      </w:r>
      <w:r w:rsidRPr="00D768AF">
        <w:rPr>
          <w:sz w:val="20"/>
          <w:szCs w:val="20"/>
          <w:u w:val="single"/>
        </w:rPr>
        <w:t>Please use one form per topic</w:t>
      </w:r>
      <w:r w:rsidRPr="00D768AF">
        <w:rPr>
          <w:sz w:val="20"/>
          <w:szCs w:val="20"/>
        </w:rPr>
        <w:t xml:space="preserve">. </w:t>
      </w:r>
    </w:p>
    <w:p w:rsidR="008C3E20" w:rsidRPr="009A3A5A" w:rsidRDefault="000B32EC" w:rsidP="000B32EC">
      <w:pPr>
        <w:ind w:right="-12"/>
        <w:rPr>
          <w:sz w:val="20"/>
          <w:szCs w:val="20"/>
        </w:rPr>
      </w:pPr>
      <w:r w:rsidRPr="00D768AF">
        <w:rPr>
          <w:sz w:val="20"/>
          <w:szCs w:val="20"/>
        </w:rPr>
        <w:t xml:space="preserve">An electronic version of this form is available at </w:t>
      </w:r>
      <w:hyperlink r:id="rId12" w:history="1">
        <w:r w:rsidR="00D676E6" w:rsidRPr="00D676E6">
          <w:rPr>
            <w:rStyle w:val="Hyperlink"/>
            <w:sz w:val="20"/>
            <w:szCs w:val="20"/>
          </w:rPr>
          <w:t>https://www.ippc.int/en/core-activities/standards-and-implementation/call-for-topics-standards-and-implementation/</w:t>
        </w:r>
      </w:hyperlink>
      <w:r w:rsidRPr="00D768AF">
        <w:rPr>
          <w:sz w:val="20"/>
          <w:szCs w:val="20"/>
        </w:rPr>
        <w:t>.</w:t>
      </w:r>
      <w:r w:rsidRPr="009A3A5A">
        <w:rPr>
          <w:sz w:val="20"/>
          <w:szCs w:val="20"/>
        </w:rPr>
        <w:t xml:space="preserve"> </w:t>
      </w:r>
    </w:p>
    <w:p w:rsidR="008C3E20" w:rsidRDefault="008C3E20" w:rsidP="00EE39DD">
      <w:pPr>
        <w:ind w:right="-12"/>
        <w:jc w:val="left"/>
        <w:rPr>
          <w:snapToGrid w:val="0"/>
          <w:color w:val="000000"/>
          <w:sz w:val="20"/>
          <w:szCs w:val="20"/>
          <w:lang w:val="en-US"/>
        </w:rPr>
      </w:pPr>
      <w:r>
        <w:rPr>
          <w:snapToGrid w:val="0"/>
          <w:color w:val="000000"/>
          <w:sz w:val="20"/>
          <w:szCs w:val="20"/>
          <w:lang w:val="en-US"/>
        </w:rPr>
        <w:t>S</w:t>
      </w:r>
      <w:r w:rsidRPr="002F1B4E">
        <w:rPr>
          <w:snapToGrid w:val="0"/>
          <w:color w:val="000000"/>
          <w:sz w:val="20"/>
          <w:szCs w:val="20"/>
          <w:lang w:val="en-US"/>
        </w:rPr>
        <w:t xml:space="preserve">ave </w:t>
      </w:r>
      <w:r>
        <w:rPr>
          <w:snapToGrid w:val="0"/>
          <w:color w:val="000000"/>
          <w:sz w:val="20"/>
          <w:szCs w:val="20"/>
          <w:lang w:val="en-US"/>
        </w:rPr>
        <w:t xml:space="preserve">and submit </w:t>
      </w:r>
      <w:r w:rsidRPr="002F1B4E">
        <w:rPr>
          <w:snapToGrid w:val="0"/>
          <w:color w:val="000000"/>
          <w:sz w:val="20"/>
          <w:szCs w:val="20"/>
          <w:lang w:val="en-US"/>
        </w:rPr>
        <w:t xml:space="preserve">the completed submission form </w:t>
      </w:r>
      <w:r>
        <w:rPr>
          <w:snapToGrid w:val="0"/>
          <w:color w:val="000000"/>
          <w:sz w:val="20"/>
          <w:szCs w:val="20"/>
          <w:lang w:val="en-US"/>
        </w:rPr>
        <w:t>as:</w:t>
      </w:r>
      <w:r w:rsidRPr="002F1B4E">
        <w:rPr>
          <w:snapToGrid w:val="0"/>
          <w:color w:val="000000"/>
          <w:sz w:val="20"/>
          <w:szCs w:val="20"/>
          <w:lang w:val="en-US"/>
        </w:rPr>
        <w:t xml:space="preserve"> </w:t>
      </w:r>
      <w:r w:rsidR="00E95202">
        <w:rPr>
          <w:snapToGrid w:val="0"/>
          <w:color w:val="000000"/>
          <w:sz w:val="20"/>
          <w:szCs w:val="20"/>
          <w:lang w:val="en-US"/>
        </w:rPr>
        <w:br/>
      </w:r>
      <w:r w:rsidRPr="002E408F">
        <w:rPr>
          <w:caps/>
          <w:snapToGrid w:val="0"/>
          <w:color w:val="000000"/>
          <w:sz w:val="20"/>
          <w:szCs w:val="20"/>
          <w:lang w:val="en-US"/>
        </w:rPr>
        <w:t>201</w:t>
      </w:r>
      <w:r>
        <w:rPr>
          <w:caps/>
          <w:snapToGrid w:val="0"/>
          <w:color w:val="000000"/>
          <w:sz w:val="20"/>
          <w:szCs w:val="20"/>
          <w:lang w:val="en-US"/>
        </w:rPr>
        <w:t>8</w:t>
      </w:r>
      <w:r w:rsidRPr="002E408F">
        <w:rPr>
          <w:caps/>
          <w:snapToGrid w:val="0"/>
          <w:color w:val="000000"/>
          <w:sz w:val="20"/>
          <w:szCs w:val="20"/>
          <w:lang w:val="en-US"/>
        </w:rPr>
        <w:t>_TOPIC</w:t>
      </w:r>
      <w:proofErr w:type="gramStart"/>
      <w:r w:rsidRPr="002E408F">
        <w:rPr>
          <w:caps/>
          <w:snapToGrid w:val="0"/>
          <w:color w:val="000000"/>
          <w:sz w:val="20"/>
          <w:szCs w:val="20"/>
          <w:lang w:val="en-US"/>
        </w:rPr>
        <w:t>_</w:t>
      </w:r>
      <w:r w:rsidR="007075F6" w:rsidRPr="00EE39DD">
        <w:rPr>
          <w:i/>
          <w:caps/>
          <w:snapToGrid w:val="0"/>
          <w:color w:val="000000"/>
          <w:sz w:val="20"/>
          <w:szCs w:val="20"/>
          <w:lang w:val="en-US"/>
        </w:rPr>
        <w:t>[</w:t>
      </w:r>
      <w:proofErr w:type="gramEnd"/>
      <w:r w:rsidRPr="00EE39DD">
        <w:rPr>
          <w:i/>
          <w:caps/>
          <w:snapToGrid w:val="0"/>
          <w:color w:val="000000"/>
          <w:sz w:val="20"/>
          <w:szCs w:val="20"/>
          <w:lang w:val="en-US"/>
        </w:rPr>
        <w:t>C</w:t>
      </w:r>
      <w:r w:rsidR="002F705C" w:rsidRPr="00EE39DD">
        <w:rPr>
          <w:i/>
          <w:snapToGrid w:val="0"/>
          <w:color w:val="000000"/>
          <w:sz w:val="20"/>
          <w:szCs w:val="20"/>
          <w:lang w:val="en-US"/>
        </w:rPr>
        <w:t>ountry</w:t>
      </w:r>
      <w:r w:rsidRPr="00EE39DD">
        <w:rPr>
          <w:i/>
          <w:caps/>
          <w:snapToGrid w:val="0"/>
          <w:color w:val="000000"/>
          <w:sz w:val="20"/>
          <w:szCs w:val="20"/>
          <w:lang w:val="en-US"/>
        </w:rPr>
        <w:t xml:space="preserve"> </w:t>
      </w:r>
      <w:r w:rsidR="002F705C" w:rsidRPr="00EE39DD">
        <w:rPr>
          <w:i/>
          <w:snapToGrid w:val="0"/>
          <w:color w:val="000000"/>
          <w:sz w:val="20"/>
          <w:szCs w:val="20"/>
        </w:rPr>
        <w:t>or</w:t>
      </w:r>
      <w:r w:rsidRPr="00EE39DD">
        <w:rPr>
          <w:i/>
          <w:caps/>
          <w:snapToGrid w:val="0"/>
          <w:color w:val="000000"/>
          <w:sz w:val="20"/>
          <w:szCs w:val="20"/>
          <w:lang w:val="en-US"/>
        </w:rPr>
        <w:t xml:space="preserve"> o</w:t>
      </w:r>
      <w:r w:rsidR="002F705C" w:rsidRPr="00EE39DD">
        <w:rPr>
          <w:i/>
          <w:snapToGrid w:val="0"/>
          <w:color w:val="000000"/>
          <w:sz w:val="20"/>
          <w:szCs w:val="20"/>
          <w:lang w:val="en-US"/>
        </w:rPr>
        <w:t>rganization name</w:t>
      </w:r>
      <w:r w:rsidRPr="00EE39DD">
        <w:rPr>
          <w:i/>
          <w:caps/>
          <w:snapToGrid w:val="0"/>
          <w:color w:val="000000"/>
          <w:sz w:val="20"/>
          <w:szCs w:val="20"/>
          <w:lang w:val="en-US"/>
        </w:rPr>
        <w:t xml:space="preserve"> – P</w:t>
      </w:r>
      <w:r w:rsidRPr="00EE39DD">
        <w:rPr>
          <w:i/>
          <w:snapToGrid w:val="0"/>
          <w:color w:val="000000"/>
          <w:sz w:val="20"/>
          <w:szCs w:val="20"/>
          <w:lang w:val="en-US"/>
        </w:rPr>
        <w:t>roposed title of topic</w:t>
      </w:r>
      <w:r w:rsidR="007075F6" w:rsidRPr="00EE39DD">
        <w:rPr>
          <w:i/>
          <w:snapToGrid w:val="0"/>
          <w:color w:val="000000"/>
          <w:sz w:val="20"/>
          <w:szCs w:val="20"/>
          <w:lang w:val="en-US"/>
        </w:rPr>
        <w:t>]</w:t>
      </w:r>
      <w:r w:rsidRPr="002E408F">
        <w:rPr>
          <w:snapToGrid w:val="0"/>
          <w:color w:val="000000"/>
          <w:sz w:val="20"/>
          <w:szCs w:val="20"/>
          <w:lang w:val="en-US"/>
        </w:rPr>
        <w:t>.</w:t>
      </w:r>
      <w:proofErr w:type="spellStart"/>
      <w:r w:rsidRPr="002E408F">
        <w:rPr>
          <w:snapToGrid w:val="0"/>
          <w:color w:val="000000"/>
          <w:sz w:val="20"/>
          <w:szCs w:val="20"/>
          <w:lang w:val="en-US"/>
        </w:rPr>
        <w:t>doc</w:t>
      </w:r>
      <w:r w:rsidR="002F705C">
        <w:rPr>
          <w:snapToGrid w:val="0"/>
          <w:color w:val="000000"/>
          <w:sz w:val="20"/>
          <w:szCs w:val="20"/>
          <w:lang w:val="en-US"/>
        </w:rPr>
        <w:t>x</w:t>
      </w:r>
      <w:proofErr w:type="spellEnd"/>
      <w:r w:rsidRPr="002F1B4E">
        <w:rPr>
          <w:snapToGrid w:val="0"/>
          <w:color w:val="000000"/>
          <w:sz w:val="20"/>
          <w:szCs w:val="20"/>
          <w:lang w:val="en-US"/>
        </w:rPr>
        <w:t xml:space="preserve">. </w:t>
      </w:r>
    </w:p>
    <w:p w:rsidR="000B32EC" w:rsidRPr="002F1B4E" w:rsidRDefault="0077292D" w:rsidP="000B32EC">
      <w:pPr>
        <w:spacing w:before="120"/>
        <w:jc w:val="center"/>
        <w:rPr>
          <w:sz w:val="20"/>
          <w:szCs w:val="20"/>
        </w:rPr>
      </w:pPr>
      <w:r w:rsidRPr="002F1B4E">
        <w:rPr>
          <w:sz w:val="20"/>
          <w:szCs w:val="20"/>
        </w:rPr>
        <w:t xml:space="preserve"> </w:t>
      </w:r>
      <w:r w:rsidR="000B32EC" w:rsidRPr="002F1B4E">
        <w:rPr>
          <w:sz w:val="20"/>
          <w:szCs w:val="20"/>
        </w:rPr>
        <w:t>(Text in brackets given for explanatory purposes)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6"/>
      </w:tblGrid>
      <w:tr w:rsidR="000B32EC" w:rsidRPr="00326064" w:rsidTr="00551ED4">
        <w:trPr>
          <w:trHeight w:val="454"/>
          <w:jc w:val="center"/>
        </w:trPr>
        <w:tc>
          <w:tcPr>
            <w:tcW w:w="5000" w:type="pct"/>
            <w:shd w:val="clear" w:color="auto" w:fill="D9D9D9"/>
          </w:tcPr>
          <w:p w:rsidR="000B32EC" w:rsidRPr="00326064" w:rsidRDefault="000B32EC" w:rsidP="00551ED4">
            <w:pPr>
              <w:jc w:val="center"/>
              <w:rPr>
                <w:b/>
                <w:sz w:val="28"/>
                <w:szCs w:val="28"/>
              </w:rPr>
            </w:pPr>
            <w:r w:rsidRPr="00326064">
              <w:rPr>
                <w:b/>
                <w:sz w:val="28"/>
                <w:szCs w:val="28"/>
              </w:rPr>
              <w:t xml:space="preserve">Submission form for </w:t>
            </w:r>
            <w:r>
              <w:rPr>
                <w:b/>
                <w:sz w:val="28"/>
                <w:szCs w:val="28"/>
              </w:rPr>
              <w:t xml:space="preserve">topics for </w:t>
            </w:r>
            <w:r w:rsidR="0067537B">
              <w:rPr>
                <w:b/>
                <w:sz w:val="28"/>
                <w:szCs w:val="28"/>
              </w:rPr>
              <w:t>S</w:t>
            </w:r>
            <w:r w:rsidRPr="00326064">
              <w:rPr>
                <w:b/>
                <w:sz w:val="28"/>
                <w:szCs w:val="28"/>
              </w:rPr>
              <w:t>tandard</w:t>
            </w:r>
            <w:r>
              <w:rPr>
                <w:b/>
                <w:sz w:val="28"/>
                <w:szCs w:val="28"/>
              </w:rPr>
              <w:t>s</w:t>
            </w:r>
            <w:r w:rsidR="0067537B">
              <w:rPr>
                <w:b/>
                <w:sz w:val="28"/>
                <w:szCs w:val="28"/>
              </w:rPr>
              <w:t xml:space="preserve"> and Implementation</w:t>
            </w:r>
          </w:p>
        </w:tc>
      </w:tr>
      <w:tr w:rsidR="000B32EC" w:rsidRPr="00326064" w:rsidTr="00551ED4">
        <w:trPr>
          <w:trHeight w:val="454"/>
          <w:jc w:val="center"/>
        </w:trPr>
        <w:tc>
          <w:tcPr>
            <w:tcW w:w="5000" w:type="pct"/>
          </w:tcPr>
          <w:p w:rsidR="000B32EC" w:rsidRPr="00326064" w:rsidRDefault="000B32EC" w:rsidP="0067537B">
            <w:pPr>
              <w:pStyle w:val="ListParagraph"/>
              <w:numPr>
                <w:ilvl w:val="0"/>
                <w:numId w:val="15"/>
              </w:numPr>
              <w:jc w:val="left"/>
            </w:pPr>
            <w:r w:rsidRPr="005F17DA">
              <w:rPr>
                <w:b/>
                <w:u w:val="single"/>
              </w:rPr>
              <w:t>Proposed by</w:t>
            </w:r>
            <w:r w:rsidRPr="0067537B">
              <w:rPr>
                <w:u w:val="single"/>
              </w:rPr>
              <w:t>:</w:t>
            </w:r>
            <w:r w:rsidRPr="00326064">
              <w:t xml:space="preserve"> </w:t>
            </w:r>
            <w:proofErr w:type="spellStart"/>
            <w:r w:rsidR="0049535A">
              <w:rPr>
                <w:sz w:val="20"/>
                <w:szCs w:val="20"/>
              </w:rPr>
              <w:t>Lihong</w:t>
            </w:r>
            <w:proofErr w:type="spellEnd"/>
            <w:r w:rsidR="0049535A">
              <w:rPr>
                <w:sz w:val="20"/>
                <w:szCs w:val="20"/>
              </w:rPr>
              <w:t xml:space="preserve"> Zhu</w:t>
            </w:r>
          </w:p>
          <w:p w:rsidR="000B32EC" w:rsidRPr="00326064" w:rsidRDefault="000B32EC" w:rsidP="00551ED4"/>
        </w:tc>
      </w:tr>
      <w:tr w:rsidR="000B32EC" w:rsidRPr="00326064" w:rsidTr="00551ED4">
        <w:trPr>
          <w:trHeight w:val="390"/>
          <w:jc w:val="center"/>
        </w:trPr>
        <w:tc>
          <w:tcPr>
            <w:tcW w:w="5000" w:type="pct"/>
          </w:tcPr>
          <w:p w:rsidR="000B32EC" w:rsidRPr="0067537B" w:rsidRDefault="000B32EC" w:rsidP="0067537B">
            <w:pPr>
              <w:pStyle w:val="ListParagraph"/>
              <w:numPr>
                <w:ilvl w:val="0"/>
                <w:numId w:val="15"/>
              </w:numPr>
              <w:rPr>
                <w:sz w:val="20"/>
                <w:szCs w:val="20"/>
              </w:rPr>
            </w:pPr>
            <w:r w:rsidRPr="005F17DA">
              <w:rPr>
                <w:b/>
                <w:u w:val="single"/>
              </w:rPr>
              <w:t>Contact:</w:t>
            </w:r>
            <w:r w:rsidRPr="00326064">
              <w:t xml:space="preserve"> </w:t>
            </w:r>
            <w:r w:rsidRPr="0067537B">
              <w:rPr>
                <w:sz w:val="20"/>
                <w:szCs w:val="20"/>
              </w:rPr>
              <w:t>(Contact information of an individual able to clarify issues relating to this submission)</w:t>
            </w:r>
          </w:p>
          <w:p w:rsidR="000B32EC" w:rsidRPr="00326064" w:rsidRDefault="000B32EC" w:rsidP="00551ED4">
            <w:pPr>
              <w:tabs>
                <w:tab w:val="right" w:leader="dot" w:pos="9480"/>
              </w:tabs>
              <w:spacing w:before="60" w:after="60"/>
              <w:rPr>
                <w:sz w:val="20"/>
                <w:szCs w:val="20"/>
              </w:rPr>
            </w:pPr>
            <w:r w:rsidRPr="00326064">
              <w:rPr>
                <w:sz w:val="20"/>
                <w:szCs w:val="20"/>
              </w:rPr>
              <w:t>Name:</w:t>
            </w:r>
            <w:r w:rsidR="0049535A">
              <w:rPr>
                <w:sz w:val="20"/>
                <w:szCs w:val="20"/>
              </w:rPr>
              <w:t xml:space="preserve"> </w:t>
            </w:r>
            <w:proofErr w:type="spellStart"/>
            <w:r w:rsidR="0049535A">
              <w:rPr>
                <w:sz w:val="20"/>
                <w:szCs w:val="20"/>
              </w:rPr>
              <w:t>Lihong</w:t>
            </w:r>
            <w:proofErr w:type="spellEnd"/>
            <w:r w:rsidR="0049535A">
              <w:rPr>
                <w:sz w:val="20"/>
                <w:szCs w:val="20"/>
              </w:rPr>
              <w:t xml:space="preserve"> Zhu</w:t>
            </w:r>
            <w:r w:rsidRPr="00326064">
              <w:rPr>
                <w:sz w:val="20"/>
                <w:szCs w:val="20"/>
              </w:rPr>
              <w:tab/>
            </w:r>
          </w:p>
          <w:p w:rsidR="000B32EC" w:rsidRPr="00326064" w:rsidRDefault="000B32EC" w:rsidP="00551ED4">
            <w:pPr>
              <w:tabs>
                <w:tab w:val="right" w:leader="dot" w:pos="9480"/>
              </w:tabs>
              <w:spacing w:before="60" w:after="60"/>
              <w:rPr>
                <w:sz w:val="20"/>
                <w:szCs w:val="20"/>
              </w:rPr>
            </w:pPr>
            <w:r w:rsidRPr="00326064">
              <w:rPr>
                <w:sz w:val="20"/>
                <w:szCs w:val="20"/>
              </w:rPr>
              <w:t>Position and organization:</w:t>
            </w:r>
            <w:r w:rsidR="0049535A">
              <w:rPr>
                <w:sz w:val="20"/>
                <w:szCs w:val="20"/>
              </w:rPr>
              <w:t xml:space="preserve"> </w:t>
            </w:r>
            <w:r w:rsidR="00DF090E">
              <w:rPr>
                <w:sz w:val="20"/>
                <w:szCs w:val="20"/>
              </w:rPr>
              <w:t>Portfolio Manager for</w:t>
            </w:r>
            <w:r w:rsidR="0049535A">
              <w:rPr>
                <w:sz w:val="20"/>
                <w:szCs w:val="20"/>
              </w:rPr>
              <w:t xml:space="preserve"> IPPC</w:t>
            </w:r>
            <w:r w:rsidR="00DF090E">
              <w:rPr>
                <w:sz w:val="20"/>
                <w:szCs w:val="20"/>
              </w:rPr>
              <w:t>, Ministry for Primary Industries</w:t>
            </w:r>
            <w:r w:rsidRPr="00326064">
              <w:rPr>
                <w:sz w:val="20"/>
                <w:szCs w:val="20"/>
              </w:rPr>
              <w:tab/>
            </w:r>
          </w:p>
          <w:p w:rsidR="000B32EC" w:rsidRPr="00326064" w:rsidRDefault="000B32EC" w:rsidP="00551ED4">
            <w:pPr>
              <w:tabs>
                <w:tab w:val="right" w:leader="dot" w:pos="9480"/>
              </w:tabs>
              <w:spacing w:before="60" w:after="60"/>
              <w:rPr>
                <w:sz w:val="20"/>
                <w:szCs w:val="20"/>
              </w:rPr>
            </w:pPr>
            <w:r w:rsidRPr="00326064">
              <w:rPr>
                <w:sz w:val="20"/>
                <w:szCs w:val="20"/>
              </w:rPr>
              <w:t>Mailing address:</w:t>
            </w:r>
            <w:r w:rsidR="0049535A">
              <w:rPr>
                <w:sz w:val="20"/>
                <w:szCs w:val="20"/>
              </w:rPr>
              <w:t xml:space="preserve"> </w:t>
            </w:r>
            <w:r w:rsidR="00CF18C9">
              <w:rPr>
                <w:sz w:val="20"/>
                <w:szCs w:val="20"/>
              </w:rPr>
              <w:t xml:space="preserve">Pastoral House, </w:t>
            </w:r>
            <w:r w:rsidR="0049535A">
              <w:rPr>
                <w:sz w:val="20"/>
                <w:szCs w:val="20"/>
              </w:rPr>
              <w:t>25 The Terrace, Wellington, New Zealand</w:t>
            </w:r>
            <w:r w:rsidRPr="00326064">
              <w:rPr>
                <w:sz w:val="20"/>
                <w:szCs w:val="20"/>
              </w:rPr>
              <w:tab/>
            </w:r>
          </w:p>
          <w:p w:rsidR="000B32EC" w:rsidRPr="00326064" w:rsidRDefault="000B32EC" w:rsidP="00551ED4">
            <w:pPr>
              <w:tabs>
                <w:tab w:val="right" w:leader="dot" w:pos="9480"/>
              </w:tabs>
              <w:spacing w:before="60" w:after="60"/>
              <w:rPr>
                <w:sz w:val="20"/>
                <w:szCs w:val="20"/>
              </w:rPr>
            </w:pPr>
            <w:r w:rsidRPr="00326064">
              <w:rPr>
                <w:sz w:val="20"/>
                <w:szCs w:val="20"/>
              </w:rPr>
              <w:tab/>
            </w:r>
          </w:p>
          <w:p w:rsidR="000B32EC" w:rsidRPr="00326064" w:rsidRDefault="000B32EC" w:rsidP="00551ED4">
            <w:pPr>
              <w:tabs>
                <w:tab w:val="left" w:leader="dot" w:pos="4320"/>
                <w:tab w:val="left" w:pos="4560"/>
                <w:tab w:val="right" w:leader="dot" w:pos="9480"/>
              </w:tabs>
              <w:spacing w:before="60" w:after="60"/>
              <w:rPr>
                <w:sz w:val="20"/>
                <w:szCs w:val="20"/>
              </w:rPr>
            </w:pPr>
            <w:r w:rsidRPr="00326064">
              <w:rPr>
                <w:sz w:val="20"/>
                <w:szCs w:val="20"/>
              </w:rPr>
              <w:t>Phone:</w:t>
            </w:r>
            <w:r w:rsidR="0049535A" w:rsidRPr="00326064">
              <w:rPr>
                <w:sz w:val="20"/>
                <w:szCs w:val="20"/>
              </w:rPr>
              <w:t xml:space="preserve"> :</w:t>
            </w:r>
            <w:r w:rsidR="0049535A">
              <w:rPr>
                <w:sz w:val="20"/>
                <w:szCs w:val="20"/>
              </w:rPr>
              <w:t>+64 4 894 0261</w:t>
            </w:r>
            <w:r w:rsidRPr="00326064">
              <w:rPr>
                <w:sz w:val="20"/>
                <w:szCs w:val="20"/>
              </w:rPr>
              <w:tab/>
              <w:t>Fax:</w:t>
            </w:r>
            <w:r w:rsidRPr="00326064">
              <w:rPr>
                <w:sz w:val="20"/>
                <w:szCs w:val="20"/>
              </w:rPr>
              <w:tab/>
            </w:r>
          </w:p>
          <w:p w:rsidR="000B32EC" w:rsidRPr="00326064" w:rsidRDefault="000B32EC" w:rsidP="00551ED4">
            <w:pPr>
              <w:tabs>
                <w:tab w:val="right" w:leader="dot" w:pos="9480"/>
              </w:tabs>
              <w:spacing w:before="60" w:after="60"/>
              <w:rPr>
                <w:sz w:val="20"/>
                <w:szCs w:val="20"/>
              </w:rPr>
            </w:pPr>
            <w:r w:rsidRPr="00326064">
              <w:rPr>
                <w:sz w:val="20"/>
                <w:szCs w:val="20"/>
              </w:rPr>
              <w:t>E-mail:</w:t>
            </w:r>
            <w:r w:rsidR="0049535A">
              <w:rPr>
                <w:sz w:val="20"/>
                <w:szCs w:val="20"/>
              </w:rPr>
              <w:t>Lihong.Zhu@mpi.govt.nz</w:t>
            </w:r>
            <w:r w:rsidRPr="00326064">
              <w:rPr>
                <w:sz w:val="20"/>
                <w:szCs w:val="20"/>
              </w:rPr>
              <w:tab/>
            </w:r>
          </w:p>
        </w:tc>
      </w:tr>
      <w:tr w:rsidR="000B32EC" w:rsidRPr="007075F6" w:rsidTr="00E72A55">
        <w:trPr>
          <w:trHeight w:val="615"/>
          <w:jc w:val="center"/>
        </w:trPr>
        <w:tc>
          <w:tcPr>
            <w:tcW w:w="5000" w:type="pct"/>
          </w:tcPr>
          <w:p w:rsidR="000B32EC" w:rsidRPr="00EE39DD" w:rsidRDefault="0067537B" w:rsidP="0067537B">
            <w:pPr>
              <w:pStyle w:val="ListParagraph"/>
              <w:numPr>
                <w:ilvl w:val="0"/>
                <w:numId w:val="15"/>
              </w:numPr>
              <w:rPr>
                <w:b/>
                <w:u w:val="single"/>
              </w:rPr>
            </w:pPr>
            <w:r w:rsidRPr="00EE39DD">
              <w:rPr>
                <w:b/>
                <w:u w:val="single"/>
              </w:rPr>
              <w:t>Proposed Topic</w:t>
            </w:r>
            <w:r w:rsidR="008C3E20" w:rsidRPr="00EE39DD">
              <w:rPr>
                <w:b/>
                <w:u w:val="single"/>
              </w:rPr>
              <w:t xml:space="preserve"> </w:t>
            </w:r>
            <w:r w:rsidR="00E72A55" w:rsidRPr="00EE39DD">
              <w:rPr>
                <w:b/>
              </w:rPr>
              <w:t>(Choose one box only)</w:t>
            </w:r>
          </w:p>
          <w:p w:rsidR="00E96D9B" w:rsidRPr="00EE39DD" w:rsidRDefault="0067537B" w:rsidP="0049535A">
            <w:pPr>
              <w:rPr>
                <w:sz w:val="20"/>
                <w:szCs w:val="20"/>
              </w:rPr>
            </w:pPr>
            <w:r w:rsidRPr="00EE39DD">
              <w:rPr>
                <w:bCs/>
                <w:sz w:val="20"/>
                <w:szCs w:val="20"/>
              </w:rPr>
              <w:t>[__]</w:t>
            </w:r>
            <w:r w:rsidRPr="00EE39DD">
              <w:rPr>
                <w:sz w:val="20"/>
                <w:szCs w:val="20"/>
              </w:rPr>
              <w:t xml:space="preserve"> Standard </w:t>
            </w:r>
            <w:r w:rsidR="00CC70C3" w:rsidRPr="005C1BD0">
              <w:rPr>
                <w:b/>
                <w:sz w:val="20"/>
                <w:szCs w:val="20"/>
              </w:rPr>
              <w:t>(</w:t>
            </w:r>
            <w:r w:rsidRPr="005C1BD0">
              <w:rPr>
                <w:b/>
                <w:sz w:val="20"/>
                <w:szCs w:val="20"/>
              </w:rPr>
              <w:t>go to 4</w:t>
            </w:r>
            <w:r w:rsidR="00CC70C3" w:rsidRPr="005C1BD0">
              <w:rPr>
                <w:b/>
                <w:sz w:val="20"/>
                <w:szCs w:val="20"/>
              </w:rPr>
              <w:t>)</w:t>
            </w:r>
            <w:r w:rsidRPr="00EE39DD">
              <w:rPr>
                <w:sz w:val="20"/>
                <w:szCs w:val="20"/>
              </w:rPr>
              <w:t xml:space="preserve">  </w:t>
            </w:r>
            <w:r w:rsidR="00E72A55" w:rsidRPr="00EE39DD">
              <w:rPr>
                <w:sz w:val="20"/>
                <w:szCs w:val="20"/>
              </w:rPr>
              <w:t xml:space="preserve">   </w:t>
            </w:r>
            <w:r w:rsidRPr="00EE39DD">
              <w:rPr>
                <w:bCs/>
                <w:sz w:val="20"/>
                <w:szCs w:val="20"/>
              </w:rPr>
              <w:t>[</w:t>
            </w:r>
            <w:r w:rsidR="0049535A">
              <w:rPr>
                <w:bCs/>
                <w:sz w:val="20"/>
                <w:szCs w:val="20"/>
              </w:rPr>
              <w:t>X</w:t>
            </w:r>
            <w:r w:rsidRPr="00EE39DD">
              <w:rPr>
                <w:bCs/>
                <w:sz w:val="20"/>
                <w:szCs w:val="20"/>
              </w:rPr>
              <w:t>]</w:t>
            </w:r>
            <w:r w:rsidRPr="00EE39DD">
              <w:rPr>
                <w:sz w:val="20"/>
                <w:szCs w:val="20"/>
              </w:rPr>
              <w:t xml:space="preserve"> Implementation</w:t>
            </w:r>
            <w:r w:rsidR="00E72A55" w:rsidRPr="00EE39DD">
              <w:rPr>
                <w:sz w:val="20"/>
                <w:szCs w:val="20"/>
              </w:rPr>
              <w:t xml:space="preserve"> resource</w:t>
            </w:r>
            <w:r w:rsidRPr="00EE39DD">
              <w:rPr>
                <w:sz w:val="20"/>
                <w:szCs w:val="20"/>
              </w:rPr>
              <w:t xml:space="preserve"> </w:t>
            </w:r>
            <w:r w:rsidR="00CC70C3" w:rsidRPr="005C1BD0">
              <w:rPr>
                <w:b/>
                <w:sz w:val="20"/>
                <w:szCs w:val="20"/>
              </w:rPr>
              <w:t>(</w:t>
            </w:r>
            <w:r w:rsidR="00563FA2" w:rsidRPr="005C1BD0">
              <w:rPr>
                <w:b/>
                <w:sz w:val="20"/>
                <w:szCs w:val="20"/>
              </w:rPr>
              <w:t>go to 5</w:t>
            </w:r>
            <w:r w:rsidR="00CC70C3" w:rsidRPr="005C1BD0">
              <w:rPr>
                <w:b/>
                <w:sz w:val="20"/>
                <w:szCs w:val="20"/>
              </w:rPr>
              <w:t>)</w:t>
            </w:r>
          </w:p>
        </w:tc>
      </w:tr>
    </w:tbl>
    <w:p w:rsidR="005E6F6B" w:rsidRDefault="005E6F6B"/>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3682"/>
        <w:gridCol w:w="3029"/>
      </w:tblGrid>
      <w:tr w:rsidR="0067537B" w:rsidRPr="00326064" w:rsidTr="00EE39DD">
        <w:trPr>
          <w:trHeight w:val="273"/>
          <w:jc w:val="center"/>
        </w:trPr>
        <w:tc>
          <w:tcPr>
            <w:tcW w:w="5000" w:type="pct"/>
            <w:gridSpan w:val="3"/>
            <w:shd w:val="clear" w:color="auto" w:fill="D9D9D9" w:themeFill="background1" w:themeFillShade="D9"/>
          </w:tcPr>
          <w:p w:rsidR="00563FA2" w:rsidRPr="00EE39DD" w:rsidRDefault="00377343" w:rsidP="00377343">
            <w:pPr>
              <w:pStyle w:val="ListParagraph"/>
              <w:numPr>
                <w:ilvl w:val="0"/>
                <w:numId w:val="15"/>
              </w:numPr>
              <w:rPr>
                <w:b/>
                <w:u w:val="single"/>
              </w:rPr>
            </w:pPr>
            <w:r w:rsidRPr="00EE39DD">
              <w:rPr>
                <w:b/>
                <w:u w:val="single"/>
              </w:rPr>
              <w:t>S</w:t>
            </w:r>
            <w:r w:rsidR="00E96D9B" w:rsidRPr="00EE39DD">
              <w:rPr>
                <w:b/>
                <w:u w:val="single"/>
              </w:rPr>
              <w:t>tandard</w:t>
            </w:r>
            <w:r w:rsidR="0096151C" w:rsidRPr="00EE39DD">
              <w:rPr>
                <w:b/>
                <w:u w:val="single"/>
              </w:rPr>
              <w:t>s</w:t>
            </w:r>
          </w:p>
          <w:p w:rsidR="0067537B" w:rsidRPr="007075F6" w:rsidRDefault="0067537B" w:rsidP="00563FA2">
            <w:pPr>
              <w:pStyle w:val="ListParagraph"/>
              <w:numPr>
                <w:ilvl w:val="1"/>
                <w:numId w:val="16"/>
              </w:numPr>
              <w:rPr>
                <w:u w:val="single"/>
              </w:rPr>
            </w:pPr>
            <w:r w:rsidRPr="007075F6">
              <w:rPr>
                <w:b/>
                <w:u w:val="single"/>
              </w:rPr>
              <w:lastRenderedPageBreak/>
              <w:t>Type of topic:</w:t>
            </w:r>
            <w:r w:rsidRPr="007075F6">
              <w:rPr>
                <w:b/>
              </w:rPr>
              <w:t xml:space="preserve"> (Choose one box only)</w:t>
            </w:r>
          </w:p>
        </w:tc>
      </w:tr>
      <w:tr w:rsidR="000B32EC" w:rsidRPr="00326064" w:rsidTr="00551ED4">
        <w:trPr>
          <w:trHeight w:val="2039"/>
          <w:jc w:val="center"/>
        </w:trPr>
        <w:tc>
          <w:tcPr>
            <w:tcW w:w="1435" w:type="pct"/>
          </w:tcPr>
          <w:p w:rsidR="000B32EC" w:rsidRPr="00326064" w:rsidRDefault="000B32EC" w:rsidP="00551ED4">
            <w:pPr>
              <w:spacing w:before="120"/>
            </w:pPr>
            <w:r w:rsidRPr="00326064">
              <w:lastRenderedPageBreak/>
              <w:t>A. New ISPM:</w:t>
            </w:r>
          </w:p>
          <w:p w:rsidR="000B32EC" w:rsidRPr="00326064" w:rsidRDefault="000B32EC" w:rsidP="00551ED4">
            <w:pPr>
              <w:rPr>
                <w:sz w:val="20"/>
                <w:szCs w:val="20"/>
              </w:rPr>
            </w:pPr>
            <w:r w:rsidRPr="00326064">
              <w:rPr>
                <w:bCs/>
                <w:sz w:val="20"/>
                <w:szCs w:val="20"/>
              </w:rPr>
              <w:t>[__]</w:t>
            </w:r>
            <w:r w:rsidRPr="00326064">
              <w:rPr>
                <w:sz w:val="20"/>
                <w:szCs w:val="20"/>
              </w:rPr>
              <w:t xml:space="preserve"> Concept</w:t>
            </w:r>
          </w:p>
          <w:p w:rsidR="000B32EC" w:rsidRPr="00326064" w:rsidRDefault="000B32EC" w:rsidP="00551ED4">
            <w:pPr>
              <w:rPr>
                <w:sz w:val="20"/>
                <w:szCs w:val="20"/>
              </w:rPr>
            </w:pPr>
            <w:r w:rsidRPr="00326064">
              <w:rPr>
                <w:bCs/>
                <w:sz w:val="20"/>
                <w:szCs w:val="20"/>
              </w:rPr>
              <w:t>[__]</w:t>
            </w:r>
            <w:r w:rsidRPr="00326064">
              <w:rPr>
                <w:sz w:val="20"/>
                <w:szCs w:val="20"/>
              </w:rPr>
              <w:t xml:space="preserve"> Pest specific</w:t>
            </w:r>
          </w:p>
          <w:p w:rsidR="000B32EC" w:rsidRPr="00326064" w:rsidRDefault="000B32EC" w:rsidP="00551ED4">
            <w:pPr>
              <w:jc w:val="left"/>
              <w:rPr>
                <w:sz w:val="20"/>
                <w:szCs w:val="20"/>
              </w:rPr>
            </w:pPr>
            <w:r w:rsidRPr="00326064">
              <w:rPr>
                <w:bCs/>
                <w:sz w:val="20"/>
                <w:szCs w:val="20"/>
              </w:rPr>
              <w:t>[__]</w:t>
            </w:r>
            <w:r w:rsidRPr="00326064">
              <w:rPr>
                <w:sz w:val="20"/>
                <w:szCs w:val="20"/>
              </w:rPr>
              <w:t xml:space="preserve"> Commodity specific</w:t>
            </w:r>
          </w:p>
          <w:p w:rsidR="000B32EC" w:rsidRPr="00326064" w:rsidRDefault="000B32EC" w:rsidP="00551ED4">
            <w:r w:rsidRPr="00326064">
              <w:rPr>
                <w:bCs/>
                <w:sz w:val="20"/>
                <w:szCs w:val="20"/>
              </w:rPr>
              <w:t xml:space="preserve">[__] </w:t>
            </w:r>
            <w:r w:rsidRPr="00326064">
              <w:rPr>
                <w:sz w:val="20"/>
                <w:szCs w:val="20"/>
              </w:rPr>
              <w:t>Reference</w:t>
            </w:r>
          </w:p>
        </w:tc>
        <w:tc>
          <w:tcPr>
            <w:tcW w:w="1956" w:type="pct"/>
          </w:tcPr>
          <w:p w:rsidR="000B32EC" w:rsidRPr="00326064" w:rsidRDefault="000B32EC" w:rsidP="00551ED4">
            <w:pPr>
              <w:spacing w:before="120"/>
            </w:pPr>
            <w:r w:rsidRPr="00326064">
              <w:t>B. New component</w:t>
            </w:r>
            <w:r>
              <w:t xml:space="preserve"> </w:t>
            </w:r>
            <w:r w:rsidRPr="00326064">
              <w:t>to an existing ISPM:</w:t>
            </w:r>
          </w:p>
          <w:p w:rsidR="000B32EC" w:rsidRPr="00326064" w:rsidRDefault="000B32EC" w:rsidP="00551ED4">
            <w:pPr>
              <w:rPr>
                <w:sz w:val="20"/>
                <w:szCs w:val="20"/>
              </w:rPr>
            </w:pPr>
            <w:r w:rsidRPr="00326064">
              <w:rPr>
                <w:bCs/>
                <w:sz w:val="20"/>
                <w:szCs w:val="20"/>
              </w:rPr>
              <w:t>[__]</w:t>
            </w:r>
            <w:r w:rsidRPr="00326064">
              <w:rPr>
                <w:sz w:val="20"/>
                <w:szCs w:val="20"/>
              </w:rPr>
              <w:t xml:space="preserve"> Supplement</w:t>
            </w:r>
          </w:p>
          <w:p w:rsidR="000B32EC" w:rsidRPr="00326064" w:rsidRDefault="000B32EC" w:rsidP="00551ED4">
            <w:pPr>
              <w:ind w:left="423" w:hanging="423"/>
              <w:rPr>
                <w:sz w:val="20"/>
                <w:szCs w:val="20"/>
              </w:rPr>
            </w:pPr>
            <w:r w:rsidRPr="00326064">
              <w:rPr>
                <w:bCs/>
                <w:sz w:val="20"/>
                <w:szCs w:val="20"/>
              </w:rPr>
              <w:t>[__]</w:t>
            </w:r>
            <w:r w:rsidRPr="00326064">
              <w:rPr>
                <w:sz w:val="20"/>
                <w:szCs w:val="20"/>
              </w:rPr>
              <w:t xml:space="preserve"> Annex</w:t>
            </w:r>
          </w:p>
          <w:p w:rsidR="000B32EC" w:rsidRPr="00326064" w:rsidRDefault="000B32EC" w:rsidP="00551ED4">
            <w:pPr>
              <w:rPr>
                <w:sz w:val="20"/>
                <w:szCs w:val="20"/>
              </w:rPr>
            </w:pPr>
            <w:r w:rsidRPr="00326064">
              <w:rPr>
                <w:bCs/>
                <w:sz w:val="20"/>
                <w:szCs w:val="20"/>
              </w:rPr>
              <w:t>[__]</w:t>
            </w:r>
            <w:r w:rsidRPr="00326064">
              <w:rPr>
                <w:sz w:val="20"/>
                <w:szCs w:val="20"/>
              </w:rPr>
              <w:t xml:space="preserve"> Appendix</w:t>
            </w:r>
          </w:p>
          <w:p w:rsidR="000B32EC" w:rsidRPr="00326064" w:rsidRDefault="000B32EC" w:rsidP="00551ED4">
            <w:pPr>
              <w:ind w:left="423" w:hanging="423"/>
              <w:rPr>
                <w:sz w:val="20"/>
                <w:szCs w:val="20"/>
              </w:rPr>
            </w:pPr>
            <w:r w:rsidRPr="00326064">
              <w:rPr>
                <w:sz w:val="20"/>
                <w:szCs w:val="20"/>
              </w:rPr>
              <w:t xml:space="preserve">[__] Technical </w:t>
            </w:r>
            <w:r>
              <w:rPr>
                <w:sz w:val="20"/>
                <w:szCs w:val="20"/>
              </w:rPr>
              <w:t>p</w:t>
            </w:r>
            <w:r w:rsidRPr="00326064">
              <w:rPr>
                <w:sz w:val="20"/>
                <w:szCs w:val="20"/>
              </w:rPr>
              <w:t>anel (technical area)</w:t>
            </w:r>
          </w:p>
          <w:p w:rsidR="000B32EC" w:rsidRPr="00326064" w:rsidRDefault="000B32EC" w:rsidP="00551ED4">
            <w:pPr>
              <w:ind w:left="423" w:hanging="423"/>
              <w:rPr>
                <w:sz w:val="20"/>
                <w:szCs w:val="20"/>
              </w:rPr>
            </w:pPr>
            <w:r w:rsidRPr="00326064">
              <w:rPr>
                <w:sz w:val="20"/>
                <w:szCs w:val="20"/>
              </w:rPr>
              <w:t xml:space="preserve">[__] </w:t>
            </w:r>
            <w:r>
              <w:rPr>
                <w:sz w:val="20"/>
                <w:szCs w:val="20"/>
              </w:rPr>
              <w:t>Diagnostic protocol (subject</w:t>
            </w:r>
            <w:r w:rsidRPr="00326064">
              <w:rPr>
                <w:sz w:val="20"/>
                <w:szCs w:val="20"/>
              </w:rPr>
              <w:t>)</w:t>
            </w:r>
          </w:p>
          <w:p w:rsidR="000B32EC" w:rsidRPr="00326064" w:rsidRDefault="000B32EC" w:rsidP="00551ED4">
            <w:pPr>
              <w:ind w:left="423" w:hanging="423"/>
              <w:rPr>
                <w:sz w:val="20"/>
                <w:szCs w:val="20"/>
              </w:rPr>
            </w:pPr>
          </w:p>
        </w:tc>
        <w:tc>
          <w:tcPr>
            <w:tcW w:w="1609" w:type="pct"/>
          </w:tcPr>
          <w:p w:rsidR="000B32EC" w:rsidRPr="00326064" w:rsidRDefault="000B32EC" w:rsidP="00551ED4">
            <w:pPr>
              <w:spacing w:before="120"/>
            </w:pPr>
            <w:r w:rsidRPr="00326064">
              <w:t>C. Revision/Amendment of:</w:t>
            </w:r>
          </w:p>
          <w:p w:rsidR="000B32EC" w:rsidRPr="00326064" w:rsidRDefault="000B32EC" w:rsidP="00551ED4">
            <w:pPr>
              <w:rPr>
                <w:bCs/>
                <w:sz w:val="20"/>
                <w:szCs w:val="20"/>
              </w:rPr>
            </w:pPr>
            <w:r w:rsidRPr="00326064">
              <w:rPr>
                <w:bCs/>
                <w:sz w:val="20"/>
                <w:szCs w:val="20"/>
              </w:rPr>
              <w:t>[__] ISPM</w:t>
            </w:r>
          </w:p>
          <w:p w:rsidR="000B32EC" w:rsidRPr="00326064" w:rsidRDefault="000B32EC" w:rsidP="00551ED4">
            <w:pPr>
              <w:rPr>
                <w:bCs/>
                <w:sz w:val="20"/>
                <w:szCs w:val="20"/>
              </w:rPr>
            </w:pPr>
            <w:r w:rsidRPr="00326064">
              <w:rPr>
                <w:bCs/>
                <w:sz w:val="20"/>
                <w:szCs w:val="20"/>
              </w:rPr>
              <w:t>[__] Supplement</w:t>
            </w:r>
          </w:p>
          <w:p w:rsidR="000B32EC" w:rsidRPr="00326064" w:rsidRDefault="000B32EC" w:rsidP="00551ED4">
            <w:pPr>
              <w:rPr>
                <w:bCs/>
                <w:sz w:val="20"/>
                <w:szCs w:val="20"/>
              </w:rPr>
            </w:pPr>
            <w:r w:rsidRPr="00326064">
              <w:rPr>
                <w:bCs/>
                <w:sz w:val="20"/>
                <w:szCs w:val="20"/>
              </w:rPr>
              <w:t>[__] Annex</w:t>
            </w:r>
          </w:p>
          <w:p w:rsidR="000B32EC" w:rsidRPr="00326064" w:rsidRDefault="000B32EC" w:rsidP="00551ED4">
            <w:pPr>
              <w:rPr>
                <w:bCs/>
                <w:sz w:val="20"/>
                <w:szCs w:val="20"/>
              </w:rPr>
            </w:pPr>
            <w:r w:rsidRPr="00326064">
              <w:rPr>
                <w:bCs/>
                <w:sz w:val="20"/>
                <w:szCs w:val="20"/>
              </w:rPr>
              <w:t>[__] Appendix</w:t>
            </w:r>
          </w:p>
          <w:p w:rsidR="000B32EC" w:rsidRPr="00326064" w:rsidRDefault="000B32EC" w:rsidP="00551ED4"/>
        </w:tc>
      </w:tr>
      <w:tr w:rsidR="005E6F6B" w:rsidRPr="00326064" w:rsidTr="00D46538">
        <w:trPr>
          <w:trHeight w:val="1499"/>
          <w:jc w:val="center"/>
        </w:trPr>
        <w:tc>
          <w:tcPr>
            <w:tcW w:w="5000" w:type="pct"/>
            <w:gridSpan w:val="3"/>
          </w:tcPr>
          <w:p w:rsidR="00160B95" w:rsidRDefault="00160B95" w:rsidP="00160B95">
            <w:pPr>
              <w:autoSpaceDE w:val="0"/>
              <w:autoSpaceDN w:val="0"/>
              <w:adjustRightInd w:val="0"/>
              <w:ind w:left="709" w:hanging="709"/>
            </w:pPr>
            <w:r>
              <w:rPr>
                <w:rFonts w:cs="Times-Bold"/>
                <w:b/>
                <w:bCs/>
                <w:sz w:val="18"/>
                <w:szCs w:val="18"/>
                <w:u w:val="single"/>
              </w:rPr>
              <w:t xml:space="preserve">Draft specification: </w:t>
            </w:r>
            <w:r>
              <w:t xml:space="preserve"> </w:t>
            </w:r>
          </w:p>
          <w:p w:rsidR="00160B95" w:rsidRPr="00427923" w:rsidRDefault="00160B95" w:rsidP="00160B95">
            <w:pPr>
              <w:pStyle w:val="IPPNormal"/>
              <w:rPr>
                <w:sz w:val="18"/>
                <w:szCs w:val="18"/>
              </w:rPr>
            </w:pPr>
            <w:r w:rsidRPr="00225AF5">
              <w:rPr>
                <w:sz w:val="18"/>
                <w:szCs w:val="18"/>
              </w:rPr>
              <w:t>As agreed by CPM-7 (2012) and CPM-11 (2016), submissions in answer to the call for topics (except for draft diagnostic protocols</w:t>
            </w:r>
            <w:r w:rsidR="00427923">
              <w:rPr>
                <w:sz w:val="18"/>
                <w:szCs w:val="18"/>
              </w:rPr>
              <w:t>, which are subject to additional criteria, see below</w:t>
            </w:r>
            <w:r w:rsidRPr="00225AF5">
              <w:rPr>
                <w:sz w:val="18"/>
                <w:szCs w:val="18"/>
              </w:rPr>
              <w:t xml:space="preserve">) </w:t>
            </w:r>
            <w:proofErr w:type="gramStart"/>
            <w:r w:rsidRPr="00225AF5">
              <w:rPr>
                <w:sz w:val="18"/>
                <w:szCs w:val="18"/>
              </w:rPr>
              <w:t>should be accompanied</w:t>
            </w:r>
            <w:proofErr w:type="gramEnd"/>
            <w:r w:rsidRPr="00225AF5">
              <w:rPr>
                <w:sz w:val="18"/>
                <w:szCs w:val="18"/>
              </w:rPr>
              <w:t xml:space="preserve"> by a draft specification. </w:t>
            </w:r>
            <w:r w:rsidR="00427923">
              <w:rPr>
                <w:sz w:val="18"/>
                <w:szCs w:val="18"/>
              </w:rPr>
              <w:t xml:space="preserve">Proposals for </w:t>
            </w:r>
            <w:proofErr w:type="spellStart"/>
            <w:r w:rsidR="00427923">
              <w:rPr>
                <w:sz w:val="18"/>
                <w:szCs w:val="18"/>
              </w:rPr>
              <w:t>phytosanitary</w:t>
            </w:r>
            <w:proofErr w:type="spellEnd"/>
            <w:r w:rsidR="00427923">
              <w:rPr>
                <w:sz w:val="18"/>
                <w:szCs w:val="18"/>
              </w:rPr>
              <w:t xml:space="preserve"> treatments </w:t>
            </w:r>
            <w:proofErr w:type="gramStart"/>
            <w:r w:rsidR="00427923">
              <w:rPr>
                <w:sz w:val="18"/>
                <w:szCs w:val="18"/>
              </w:rPr>
              <w:t>are submitted</w:t>
            </w:r>
            <w:proofErr w:type="gramEnd"/>
            <w:r w:rsidR="00427923">
              <w:rPr>
                <w:sz w:val="18"/>
                <w:szCs w:val="18"/>
              </w:rPr>
              <w:t xml:space="preserve"> using a different submission form in a separate call</w:t>
            </w:r>
            <w:r w:rsidR="00427923" w:rsidRPr="00427923">
              <w:rPr>
                <w:sz w:val="18"/>
                <w:szCs w:val="18"/>
              </w:rPr>
              <w:t xml:space="preserve">: </w:t>
            </w:r>
            <w:hyperlink r:id="rId13" w:history="1">
              <w:r w:rsidR="00427923" w:rsidRPr="004377E7">
                <w:rPr>
                  <w:rStyle w:val="Hyperlink"/>
                  <w:sz w:val="18"/>
                  <w:szCs w:val="18"/>
                </w:rPr>
                <w:t>https://www.ippc.int/en/core-activities/standards-setting/calls-treatments/</w:t>
              </w:r>
            </w:hyperlink>
            <w:r w:rsidR="00427923">
              <w:rPr>
                <w:rStyle w:val="Hyperlink"/>
                <w:sz w:val="18"/>
                <w:szCs w:val="18"/>
              </w:rPr>
              <w:t>.</w:t>
            </w:r>
          </w:p>
          <w:p w:rsidR="00427923" w:rsidRDefault="00160B95" w:rsidP="00160B95">
            <w:pPr>
              <w:autoSpaceDE w:val="0"/>
              <w:autoSpaceDN w:val="0"/>
              <w:adjustRightInd w:val="0"/>
              <w:rPr>
                <w:sz w:val="18"/>
                <w:szCs w:val="18"/>
              </w:rPr>
            </w:pPr>
            <w:r w:rsidRPr="00225AF5">
              <w:rPr>
                <w:sz w:val="18"/>
                <w:szCs w:val="18"/>
              </w:rPr>
              <w:t>An annotated template for the draft specification</w:t>
            </w:r>
            <w:r>
              <w:rPr>
                <w:sz w:val="18"/>
                <w:szCs w:val="18"/>
              </w:rPr>
              <w:t xml:space="preserve"> for Standards</w:t>
            </w:r>
            <w:r w:rsidRPr="00225AF5">
              <w:rPr>
                <w:sz w:val="18"/>
                <w:szCs w:val="18"/>
              </w:rPr>
              <w:t xml:space="preserve"> is available on the IPP (</w:t>
            </w:r>
            <w:hyperlink r:id="rId14" w:history="1">
              <w:r w:rsidRPr="00225AF5">
                <w:rPr>
                  <w:rStyle w:val="Hyperlink"/>
                  <w:sz w:val="18"/>
                  <w:szCs w:val="18"/>
                </w:rPr>
                <w:t>https://www.ippc.int/en/publications/81324/</w:t>
              </w:r>
            </w:hyperlink>
            <w:r>
              <w:rPr>
                <w:sz w:val="18"/>
                <w:szCs w:val="18"/>
              </w:rPr>
              <w:t xml:space="preserve">) </w:t>
            </w:r>
            <w:r w:rsidRPr="00225AF5">
              <w:rPr>
                <w:sz w:val="18"/>
                <w:szCs w:val="18"/>
              </w:rPr>
              <w:t>in English, French and Spanish.</w:t>
            </w:r>
          </w:p>
          <w:p w:rsidR="00FD01BE" w:rsidRPr="005C1BD0" w:rsidRDefault="00D46538" w:rsidP="004377E7">
            <w:pPr>
              <w:ind w:right="100"/>
              <w:jc w:val="right"/>
              <w:rPr>
                <w:b/>
              </w:rPr>
            </w:pPr>
            <w:r w:rsidRPr="005C1BD0">
              <w:rPr>
                <w:b/>
                <w:sz w:val="20"/>
                <w:szCs w:val="20"/>
              </w:rPr>
              <w:t xml:space="preserve">    </w:t>
            </w:r>
            <w:r w:rsidR="00FD01BE" w:rsidRPr="005C1BD0">
              <w:rPr>
                <w:b/>
                <w:sz w:val="20"/>
                <w:szCs w:val="20"/>
              </w:rPr>
              <w:t>(go to 6)</w:t>
            </w:r>
          </w:p>
        </w:tc>
      </w:tr>
    </w:tbl>
    <w:p w:rsidR="005E6F6B" w:rsidRPr="005E6F6B" w:rsidRDefault="005E6F6B" w:rsidP="005E6F6B">
      <w:pPr>
        <w:jc w:val="center"/>
        <w:rPr>
          <w:b/>
          <w:sz w:val="24"/>
        </w:rPr>
      </w:pPr>
      <w:r w:rsidRPr="005E6F6B">
        <w:rPr>
          <w:b/>
          <w:sz w:val="24"/>
        </w:rPr>
        <w:t>OR</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771"/>
      </w:tblGrid>
      <w:tr w:rsidR="005205CE" w:rsidRPr="007075F6" w:rsidTr="00EE39DD">
        <w:trPr>
          <w:trHeight w:val="446"/>
          <w:jc w:val="center"/>
        </w:trPr>
        <w:tc>
          <w:tcPr>
            <w:tcW w:w="5000" w:type="pct"/>
            <w:gridSpan w:val="2"/>
            <w:shd w:val="clear" w:color="auto" w:fill="D9D9D9" w:themeFill="background1" w:themeFillShade="D9"/>
          </w:tcPr>
          <w:p w:rsidR="005205CE" w:rsidRPr="00EE39DD" w:rsidRDefault="005205CE" w:rsidP="00E96D9B">
            <w:pPr>
              <w:pStyle w:val="ListParagraph"/>
              <w:numPr>
                <w:ilvl w:val="0"/>
                <w:numId w:val="16"/>
              </w:numPr>
              <w:rPr>
                <w:b/>
              </w:rPr>
            </w:pPr>
            <w:r w:rsidRPr="00EE39DD">
              <w:rPr>
                <w:b/>
                <w:u w:val="single"/>
              </w:rPr>
              <w:t>Implementation</w:t>
            </w:r>
          </w:p>
          <w:p w:rsidR="0096151C" w:rsidRPr="00EE39DD" w:rsidRDefault="005205CE" w:rsidP="0096151C">
            <w:pPr>
              <w:pStyle w:val="ListParagraph"/>
              <w:numPr>
                <w:ilvl w:val="1"/>
                <w:numId w:val="16"/>
              </w:numPr>
            </w:pPr>
            <w:r w:rsidRPr="00EE39DD">
              <w:rPr>
                <w:b/>
              </w:rPr>
              <w:t>Type of topic: (Choose one box only)</w:t>
            </w:r>
          </w:p>
        </w:tc>
      </w:tr>
      <w:tr w:rsidR="00EB47FD" w:rsidRPr="007075F6" w:rsidTr="00EB47FD">
        <w:trPr>
          <w:trHeight w:val="704"/>
          <w:jc w:val="center"/>
        </w:trPr>
        <w:tc>
          <w:tcPr>
            <w:tcW w:w="2466" w:type="pct"/>
          </w:tcPr>
          <w:p w:rsidR="00EB47FD" w:rsidRPr="00EE39DD" w:rsidRDefault="00EB47FD" w:rsidP="00A63775">
            <w:pPr>
              <w:pStyle w:val="ListParagraph"/>
              <w:numPr>
                <w:ilvl w:val="0"/>
                <w:numId w:val="14"/>
              </w:numPr>
              <w:spacing w:before="120"/>
              <w:jc w:val="left"/>
              <w:rPr>
                <w:sz w:val="20"/>
                <w:szCs w:val="20"/>
              </w:rPr>
            </w:pPr>
            <w:r w:rsidRPr="00EE39DD">
              <w:rPr>
                <w:sz w:val="20"/>
                <w:szCs w:val="20"/>
              </w:rPr>
              <w:t>N</w:t>
            </w:r>
            <w:r w:rsidR="00FD01BE">
              <w:rPr>
                <w:sz w:val="20"/>
                <w:szCs w:val="20"/>
              </w:rPr>
              <w:t>ew implementation resource</w:t>
            </w:r>
            <w:r w:rsidRPr="00EE39DD">
              <w:rPr>
                <w:sz w:val="20"/>
                <w:szCs w:val="20"/>
              </w:rPr>
              <w:t>:</w:t>
            </w:r>
          </w:p>
          <w:p w:rsidR="00EB47FD" w:rsidRPr="00EE39DD" w:rsidRDefault="00DF090E" w:rsidP="00EB47FD">
            <w:pPr>
              <w:tabs>
                <w:tab w:val="right" w:leader="dot" w:pos="4263"/>
                <w:tab w:val="right" w:leader="dot" w:pos="4591"/>
                <w:tab w:val="left" w:leader="dot" w:pos="9360"/>
              </w:tabs>
              <w:spacing w:before="60"/>
              <w:ind w:right="62"/>
              <w:jc w:val="left"/>
              <w:rPr>
                <w:bCs/>
                <w:sz w:val="20"/>
                <w:szCs w:val="20"/>
              </w:rPr>
            </w:pPr>
            <w:r>
              <w:rPr>
                <w:bCs/>
                <w:sz w:val="20"/>
                <w:szCs w:val="20"/>
              </w:rPr>
              <w:t>[X</w:t>
            </w:r>
            <w:r w:rsidR="00EB47FD" w:rsidRPr="00EE39DD">
              <w:rPr>
                <w:bCs/>
                <w:sz w:val="20"/>
                <w:szCs w:val="20"/>
              </w:rPr>
              <w:t>] Guide</w:t>
            </w:r>
            <w:r w:rsidR="00074A88">
              <w:rPr>
                <w:bCs/>
                <w:sz w:val="20"/>
                <w:szCs w:val="20"/>
              </w:rPr>
              <w:t xml:space="preserve"> (</w:t>
            </w:r>
            <w:r w:rsidR="004A373D">
              <w:rPr>
                <w:bCs/>
                <w:sz w:val="20"/>
                <w:szCs w:val="20"/>
              </w:rPr>
              <w:t xml:space="preserve">e.g. </w:t>
            </w:r>
            <w:r w:rsidR="00074A88">
              <w:rPr>
                <w:bCs/>
                <w:sz w:val="20"/>
                <w:szCs w:val="20"/>
              </w:rPr>
              <w:t>Manual)</w:t>
            </w:r>
          </w:p>
          <w:p w:rsidR="00EB47FD" w:rsidRPr="00EE39DD" w:rsidRDefault="00EB47FD" w:rsidP="00EB47FD">
            <w:pPr>
              <w:tabs>
                <w:tab w:val="right" w:leader="dot" w:pos="4263"/>
                <w:tab w:val="right" w:leader="dot" w:pos="4591"/>
                <w:tab w:val="left" w:leader="dot" w:pos="9360"/>
              </w:tabs>
              <w:spacing w:before="60"/>
              <w:ind w:right="62"/>
              <w:jc w:val="left"/>
              <w:rPr>
                <w:bCs/>
                <w:sz w:val="20"/>
                <w:szCs w:val="20"/>
              </w:rPr>
            </w:pPr>
            <w:r w:rsidRPr="00EE39DD">
              <w:rPr>
                <w:bCs/>
                <w:sz w:val="20"/>
                <w:szCs w:val="20"/>
              </w:rPr>
              <w:t>[__]</w:t>
            </w:r>
            <w:r w:rsidR="009B3464" w:rsidRPr="00EE39DD">
              <w:rPr>
                <w:bCs/>
                <w:sz w:val="20"/>
                <w:szCs w:val="20"/>
              </w:rPr>
              <w:t xml:space="preserve"> </w:t>
            </w:r>
            <w:r w:rsidR="00E547A2">
              <w:rPr>
                <w:bCs/>
                <w:sz w:val="20"/>
                <w:szCs w:val="20"/>
              </w:rPr>
              <w:t>T</w:t>
            </w:r>
            <w:r w:rsidR="008E1E55">
              <w:rPr>
                <w:bCs/>
                <w:sz w:val="20"/>
                <w:szCs w:val="20"/>
              </w:rPr>
              <w:t>raining</w:t>
            </w:r>
            <w:r w:rsidR="009B3464" w:rsidRPr="00EE39DD">
              <w:rPr>
                <w:bCs/>
                <w:sz w:val="20"/>
                <w:szCs w:val="20"/>
              </w:rPr>
              <w:t xml:space="preserve"> material</w:t>
            </w:r>
            <w:r w:rsidRPr="00EE39DD">
              <w:rPr>
                <w:bCs/>
                <w:sz w:val="20"/>
                <w:szCs w:val="20"/>
              </w:rPr>
              <w:t xml:space="preserve"> </w:t>
            </w:r>
            <w:r w:rsidR="004A373D">
              <w:rPr>
                <w:bCs/>
                <w:sz w:val="20"/>
                <w:szCs w:val="20"/>
              </w:rPr>
              <w:t>(e.g. e-Learning)</w:t>
            </w:r>
          </w:p>
          <w:p w:rsidR="00EB47FD" w:rsidRPr="00EE39DD" w:rsidRDefault="00EB47FD" w:rsidP="00EB47FD">
            <w:pPr>
              <w:tabs>
                <w:tab w:val="right" w:leader="dot" w:pos="4263"/>
                <w:tab w:val="right" w:leader="dot" w:pos="4591"/>
                <w:tab w:val="left" w:leader="dot" w:pos="9360"/>
              </w:tabs>
              <w:spacing w:before="60"/>
              <w:ind w:right="62"/>
              <w:jc w:val="left"/>
              <w:rPr>
                <w:bCs/>
                <w:sz w:val="20"/>
                <w:szCs w:val="20"/>
              </w:rPr>
            </w:pPr>
            <w:r w:rsidRPr="00EE39DD">
              <w:rPr>
                <w:bCs/>
                <w:sz w:val="20"/>
                <w:szCs w:val="20"/>
              </w:rPr>
              <w:t>[</w:t>
            </w:r>
            <w:r w:rsidR="00DF090E">
              <w:rPr>
                <w:bCs/>
                <w:sz w:val="20"/>
                <w:szCs w:val="20"/>
              </w:rPr>
              <w:t xml:space="preserve">    </w:t>
            </w:r>
            <w:r w:rsidRPr="00EE39DD">
              <w:rPr>
                <w:bCs/>
                <w:sz w:val="20"/>
                <w:szCs w:val="20"/>
              </w:rPr>
              <w:t>] Awareness material</w:t>
            </w:r>
          </w:p>
          <w:p w:rsidR="00EB47FD" w:rsidRPr="00EE39DD" w:rsidRDefault="00EB47FD" w:rsidP="00EB47FD">
            <w:pPr>
              <w:tabs>
                <w:tab w:val="right" w:leader="dot" w:pos="4263"/>
                <w:tab w:val="right" w:leader="dot" w:pos="4591"/>
                <w:tab w:val="left" w:leader="dot" w:pos="9360"/>
              </w:tabs>
              <w:spacing w:before="60"/>
              <w:ind w:right="62"/>
              <w:jc w:val="left"/>
              <w:rPr>
                <w:bCs/>
                <w:sz w:val="20"/>
                <w:szCs w:val="20"/>
              </w:rPr>
            </w:pPr>
            <w:r w:rsidRPr="00EE39DD">
              <w:rPr>
                <w:bCs/>
                <w:sz w:val="20"/>
                <w:szCs w:val="20"/>
              </w:rPr>
              <w:t xml:space="preserve">[__] Other (Please specify      </w:t>
            </w:r>
            <w:r w:rsidR="00F56C25" w:rsidRPr="00EE39DD">
              <w:rPr>
                <w:bCs/>
                <w:sz w:val="20"/>
                <w:szCs w:val="20"/>
              </w:rPr>
              <w:t xml:space="preserve">                        </w:t>
            </w:r>
            <w:r w:rsidRPr="00EE39DD">
              <w:rPr>
                <w:bCs/>
                <w:sz w:val="20"/>
                <w:szCs w:val="20"/>
              </w:rPr>
              <w:t xml:space="preserve">     )      </w:t>
            </w:r>
          </w:p>
          <w:p w:rsidR="00EB47FD" w:rsidRPr="00EE39DD" w:rsidRDefault="00EB47FD" w:rsidP="00EB47FD">
            <w:pPr>
              <w:tabs>
                <w:tab w:val="right" w:leader="dot" w:pos="4263"/>
                <w:tab w:val="right" w:leader="dot" w:pos="4591"/>
                <w:tab w:val="left" w:leader="dot" w:pos="9360"/>
              </w:tabs>
              <w:spacing w:before="60"/>
              <w:ind w:right="62"/>
              <w:jc w:val="left"/>
              <w:rPr>
                <w:sz w:val="20"/>
                <w:szCs w:val="20"/>
                <w:u w:val="single"/>
              </w:rPr>
            </w:pPr>
          </w:p>
        </w:tc>
        <w:tc>
          <w:tcPr>
            <w:tcW w:w="2534" w:type="pct"/>
          </w:tcPr>
          <w:p w:rsidR="00EB47FD" w:rsidRPr="00EE39DD" w:rsidRDefault="00EB47FD" w:rsidP="00183D3D">
            <w:pPr>
              <w:pStyle w:val="ListParagraph"/>
              <w:numPr>
                <w:ilvl w:val="0"/>
                <w:numId w:val="14"/>
              </w:numPr>
              <w:spacing w:before="120"/>
              <w:jc w:val="left"/>
              <w:rPr>
                <w:sz w:val="20"/>
                <w:szCs w:val="20"/>
              </w:rPr>
            </w:pPr>
            <w:r w:rsidRPr="00EE39DD">
              <w:rPr>
                <w:sz w:val="20"/>
                <w:szCs w:val="20"/>
              </w:rPr>
              <w:t xml:space="preserve">Revision of </w:t>
            </w:r>
            <w:r w:rsidR="00F56C25" w:rsidRPr="00EE39DD">
              <w:rPr>
                <w:sz w:val="20"/>
                <w:szCs w:val="20"/>
              </w:rPr>
              <w:t xml:space="preserve">implementation </w:t>
            </w:r>
            <w:r w:rsidR="00FD01BE">
              <w:rPr>
                <w:sz w:val="20"/>
                <w:szCs w:val="20"/>
              </w:rPr>
              <w:t>resource</w:t>
            </w:r>
          </w:p>
          <w:p w:rsidR="00E72A55" w:rsidRPr="00074A88" w:rsidRDefault="00E72A55" w:rsidP="00E72A55">
            <w:pPr>
              <w:tabs>
                <w:tab w:val="right" w:leader="dot" w:pos="4263"/>
                <w:tab w:val="right" w:leader="dot" w:pos="4591"/>
                <w:tab w:val="left" w:leader="dot" w:pos="9360"/>
              </w:tabs>
              <w:spacing w:before="60"/>
              <w:ind w:right="62"/>
              <w:jc w:val="left"/>
              <w:rPr>
                <w:bCs/>
                <w:sz w:val="20"/>
                <w:szCs w:val="20"/>
              </w:rPr>
            </w:pPr>
            <w:r w:rsidRPr="00EE39DD">
              <w:rPr>
                <w:bCs/>
                <w:sz w:val="20"/>
                <w:szCs w:val="20"/>
              </w:rPr>
              <w:t>[__] Guide</w:t>
            </w:r>
            <w:r w:rsidR="00074A88">
              <w:rPr>
                <w:bCs/>
                <w:sz w:val="20"/>
                <w:szCs w:val="20"/>
              </w:rPr>
              <w:t xml:space="preserve"> (</w:t>
            </w:r>
            <w:r w:rsidR="004A373D">
              <w:rPr>
                <w:bCs/>
                <w:sz w:val="20"/>
                <w:szCs w:val="20"/>
              </w:rPr>
              <w:t xml:space="preserve">e.g. </w:t>
            </w:r>
            <w:r w:rsidR="00074A88">
              <w:rPr>
                <w:bCs/>
                <w:sz w:val="20"/>
                <w:szCs w:val="20"/>
              </w:rPr>
              <w:t>Manual)</w:t>
            </w:r>
          </w:p>
          <w:p w:rsidR="00DB23B5" w:rsidRPr="00EE39DD" w:rsidRDefault="00DB23B5" w:rsidP="00DB23B5">
            <w:pPr>
              <w:tabs>
                <w:tab w:val="right" w:leader="dot" w:pos="4263"/>
                <w:tab w:val="right" w:leader="dot" w:pos="4591"/>
                <w:tab w:val="left" w:leader="dot" w:pos="9360"/>
              </w:tabs>
              <w:spacing w:before="60"/>
              <w:ind w:right="62"/>
              <w:jc w:val="left"/>
              <w:rPr>
                <w:bCs/>
                <w:sz w:val="20"/>
                <w:szCs w:val="20"/>
              </w:rPr>
            </w:pPr>
            <w:r w:rsidRPr="00EE39DD">
              <w:rPr>
                <w:bCs/>
                <w:sz w:val="20"/>
                <w:szCs w:val="20"/>
              </w:rPr>
              <w:t>[__]</w:t>
            </w:r>
            <w:r w:rsidR="009B3464" w:rsidRPr="00EE39DD">
              <w:rPr>
                <w:bCs/>
                <w:sz w:val="20"/>
                <w:szCs w:val="20"/>
              </w:rPr>
              <w:t xml:space="preserve"> </w:t>
            </w:r>
            <w:r w:rsidR="00E547A2">
              <w:rPr>
                <w:bCs/>
                <w:sz w:val="20"/>
                <w:szCs w:val="20"/>
              </w:rPr>
              <w:t>T</w:t>
            </w:r>
            <w:r w:rsidR="008E1E55">
              <w:rPr>
                <w:bCs/>
                <w:sz w:val="20"/>
                <w:szCs w:val="20"/>
              </w:rPr>
              <w:t>raining</w:t>
            </w:r>
            <w:r w:rsidR="009B3464" w:rsidRPr="00EE39DD">
              <w:rPr>
                <w:bCs/>
                <w:sz w:val="20"/>
                <w:szCs w:val="20"/>
              </w:rPr>
              <w:t xml:space="preserve"> material</w:t>
            </w:r>
            <w:r w:rsidR="004A373D">
              <w:rPr>
                <w:bCs/>
                <w:sz w:val="20"/>
                <w:szCs w:val="20"/>
              </w:rPr>
              <w:t xml:space="preserve"> (e.g. e-Learning)</w:t>
            </w:r>
          </w:p>
          <w:p w:rsidR="00DB23B5" w:rsidRPr="00EE39DD" w:rsidRDefault="00DB23B5" w:rsidP="00DB23B5">
            <w:pPr>
              <w:tabs>
                <w:tab w:val="right" w:leader="dot" w:pos="4263"/>
                <w:tab w:val="right" w:leader="dot" w:pos="4591"/>
                <w:tab w:val="left" w:leader="dot" w:pos="9360"/>
              </w:tabs>
              <w:spacing w:before="60"/>
              <w:ind w:right="62"/>
              <w:jc w:val="left"/>
              <w:rPr>
                <w:bCs/>
                <w:sz w:val="20"/>
                <w:szCs w:val="20"/>
              </w:rPr>
            </w:pPr>
            <w:r w:rsidRPr="00EE39DD">
              <w:rPr>
                <w:bCs/>
                <w:sz w:val="20"/>
                <w:szCs w:val="20"/>
              </w:rPr>
              <w:t>[__] Awareness material</w:t>
            </w:r>
          </w:p>
          <w:p w:rsidR="00E72A55" w:rsidRPr="00EE39DD" w:rsidRDefault="00DB23B5" w:rsidP="00E72A55">
            <w:pPr>
              <w:tabs>
                <w:tab w:val="right" w:leader="dot" w:pos="4263"/>
                <w:tab w:val="right" w:leader="dot" w:pos="4591"/>
                <w:tab w:val="left" w:leader="dot" w:pos="9360"/>
              </w:tabs>
              <w:spacing w:before="60"/>
              <w:ind w:right="62"/>
              <w:jc w:val="left"/>
              <w:rPr>
                <w:bCs/>
                <w:sz w:val="20"/>
                <w:szCs w:val="20"/>
              </w:rPr>
            </w:pPr>
            <w:r w:rsidRPr="00EE39DD">
              <w:rPr>
                <w:bCs/>
                <w:sz w:val="20"/>
                <w:szCs w:val="20"/>
              </w:rPr>
              <w:t xml:space="preserve">[__] Other (Please specify                                   )      </w:t>
            </w:r>
          </w:p>
          <w:p w:rsidR="00EB47FD" w:rsidRPr="00EE39DD" w:rsidRDefault="00EB47FD" w:rsidP="00A63775">
            <w:pPr>
              <w:pStyle w:val="ListParagraph"/>
              <w:tabs>
                <w:tab w:val="right" w:leader="dot" w:pos="4263"/>
                <w:tab w:val="right" w:leader="dot" w:pos="4591"/>
                <w:tab w:val="left" w:leader="dot" w:pos="9360"/>
              </w:tabs>
              <w:spacing w:before="60"/>
              <w:ind w:left="360" w:right="62"/>
              <w:jc w:val="left"/>
              <w:rPr>
                <w:sz w:val="20"/>
                <w:szCs w:val="20"/>
                <w:u w:val="single"/>
              </w:rPr>
            </w:pPr>
          </w:p>
        </w:tc>
      </w:tr>
      <w:tr w:rsidR="00EB47FD" w:rsidRPr="007075F6" w:rsidTr="00E21030">
        <w:trPr>
          <w:trHeight w:val="704"/>
          <w:jc w:val="center"/>
        </w:trPr>
        <w:tc>
          <w:tcPr>
            <w:tcW w:w="5000" w:type="pct"/>
            <w:gridSpan w:val="2"/>
          </w:tcPr>
          <w:p w:rsidR="00EB47FD" w:rsidRPr="00EE39DD" w:rsidRDefault="00EB47FD" w:rsidP="00E96D9B">
            <w:pPr>
              <w:pStyle w:val="ListParagraph"/>
              <w:numPr>
                <w:ilvl w:val="1"/>
                <w:numId w:val="19"/>
              </w:numPr>
              <w:tabs>
                <w:tab w:val="right" w:leader="dot" w:pos="4263"/>
                <w:tab w:val="right" w:leader="dot" w:pos="4591"/>
                <w:tab w:val="left" w:leader="dot" w:pos="9360"/>
              </w:tabs>
              <w:spacing w:before="60"/>
              <w:ind w:right="62"/>
              <w:rPr>
                <w:sz w:val="20"/>
                <w:szCs w:val="20"/>
                <w:u w:val="single"/>
              </w:rPr>
            </w:pPr>
            <w:r w:rsidRPr="00EE39DD">
              <w:rPr>
                <w:sz w:val="20"/>
                <w:szCs w:val="20"/>
                <w:u w:val="single"/>
              </w:rPr>
              <w:t>Featured Convention articles, ISPMs and CPM recommendations</w:t>
            </w:r>
            <w:r w:rsidR="00F56C25" w:rsidRPr="00EE39DD">
              <w:rPr>
                <w:sz w:val="20"/>
                <w:szCs w:val="20"/>
                <w:u w:val="single"/>
              </w:rPr>
              <w:t xml:space="preserve"> in the p</w:t>
            </w:r>
            <w:r w:rsidR="00FD01BE">
              <w:rPr>
                <w:sz w:val="20"/>
                <w:szCs w:val="20"/>
                <w:u w:val="single"/>
              </w:rPr>
              <w:t>roposed implementation resource</w:t>
            </w:r>
          </w:p>
          <w:p w:rsidR="00EB47FD" w:rsidRPr="00EE39DD" w:rsidRDefault="00EB47FD" w:rsidP="00EB47FD">
            <w:pPr>
              <w:spacing w:before="120"/>
              <w:jc w:val="left"/>
              <w:rPr>
                <w:sz w:val="20"/>
                <w:szCs w:val="20"/>
              </w:rPr>
            </w:pPr>
            <w:r w:rsidRPr="00EE39DD">
              <w:rPr>
                <w:bCs/>
                <w:sz w:val="20"/>
                <w:szCs w:val="20"/>
              </w:rPr>
              <w:t xml:space="preserve">[__] for </w:t>
            </w:r>
            <w:r w:rsidRPr="00EE39DD">
              <w:rPr>
                <w:sz w:val="20"/>
                <w:szCs w:val="20"/>
              </w:rPr>
              <w:t xml:space="preserve">Convention articles (Please specify         </w:t>
            </w:r>
            <w:r w:rsidR="00F56C25" w:rsidRPr="00EE39DD">
              <w:rPr>
                <w:sz w:val="20"/>
                <w:szCs w:val="20"/>
              </w:rPr>
              <w:t xml:space="preserve">            </w:t>
            </w:r>
            <w:r w:rsidRPr="00EE39DD">
              <w:rPr>
                <w:sz w:val="20"/>
                <w:szCs w:val="20"/>
              </w:rPr>
              <w:t xml:space="preserve">     )                                                                                       </w:t>
            </w:r>
          </w:p>
          <w:p w:rsidR="00EB47FD" w:rsidRPr="00EE39DD" w:rsidRDefault="00EB47FD" w:rsidP="00EB47FD">
            <w:pPr>
              <w:spacing w:before="120"/>
              <w:jc w:val="left"/>
              <w:rPr>
                <w:sz w:val="20"/>
                <w:szCs w:val="20"/>
              </w:rPr>
            </w:pPr>
            <w:r w:rsidRPr="00EE39DD">
              <w:rPr>
                <w:bCs/>
                <w:sz w:val="20"/>
                <w:szCs w:val="20"/>
              </w:rPr>
              <w:t>[</w:t>
            </w:r>
            <w:r w:rsidR="001149FA">
              <w:rPr>
                <w:bCs/>
                <w:sz w:val="20"/>
                <w:szCs w:val="20"/>
              </w:rPr>
              <w:t>X</w:t>
            </w:r>
            <w:r w:rsidRPr="00EE39DD">
              <w:rPr>
                <w:bCs/>
                <w:sz w:val="20"/>
                <w:szCs w:val="20"/>
              </w:rPr>
              <w:t xml:space="preserve">] for </w:t>
            </w:r>
            <w:r w:rsidR="001149FA">
              <w:rPr>
                <w:sz w:val="20"/>
                <w:szCs w:val="20"/>
              </w:rPr>
              <w:t xml:space="preserve">ISPM (ISPM 13 </w:t>
            </w:r>
            <w:r w:rsidR="001149FA">
              <w:rPr>
                <w:i/>
                <w:sz w:val="20"/>
                <w:szCs w:val="20"/>
              </w:rPr>
              <w:t xml:space="preserve">Guidelines for the notification of non-compliance and emergency </w:t>
            </w:r>
            <w:r w:rsidR="001149FA" w:rsidRPr="00F17EA6">
              <w:rPr>
                <w:sz w:val="20"/>
                <w:szCs w:val="20"/>
              </w:rPr>
              <w:t>action</w:t>
            </w:r>
            <w:r w:rsidR="001149FA">
              <w:rPr>
                <w:sz w:val="20"/>
                <w:szCs w:val="20"/>
              </w:rPr>
              <w:t xml:space="preserve">, </w:t>
            </w:r>
            <w:r w:rsidR="001149FA" w:rsidRPr="00F17EA6">
              <w:rPr>
                <w:sz w:val="20"/>
                <w:szCs w:val="20"/>
              </w:rPr>
              <w:t>ISPM</w:t>
            </w:r>
            <w:r w:rsidR="001149FA" w:rsidRPr="0079652B">
              <w:rPr>
                <w:sz w:val="20"/>
                <w:szCs w:val="20"/>
              </w:rPr>
              <w:t xml:space="preserve"> 15 </w:t>
            </w:r>
            <w:r w:rsidR="001149FA">
              <w:rPr>
                <w:i/>
                <w:sz w:val="20"/>
                <w:szCs w:val="20"/>
              </w:rPr>
              <w:t xml:space="preserve">Regulation of wood packaging material in international trade </w:t>
            </w:r>
            <w:r w:rsidR="001149FA" w:rsidRPr="0079652B">
              <w:rPr>
                <w:sz w:val="20"/>
                <w:szCs w:val="20"/>
              </w:rPr>
              <w:t>and ISPM 42</w:t>
            </w:r>
            <w:r w:rsidR="001149FA">
              <w:rPr>
                <w:sz w:val="20"/>
                <w:szCs w:val="20"/>
              </w:rPr>
              <w:t xml:space="preserve"> </w:t>
            </w:r>
            <w:r w:rsidR="001149FA" w:rsidRPr="0079652B">
              <w:rPr>
                <w:i/>
                <w:iCs/>
                <w:sz w:val="20"/>
                <w:szCs w:val="20"/>
              </w:rPr>
              <w:t xml:space="preserve">Requirements for the use of temperature treatments as </w:t>
            </w:r>
            <w:proofErr w:type="spellStart"/>
            <w:r w:rsidR="001149FA" w:rsidRPr="0079652B">
              <w:rPr>
                <w:i/>
                <w:iCs/>
                <w:sz w:val="20"/>
                <w:szCs w:val="20"/>
              </w:rPr>
              <w:t>phytosanitary</w:t>
            </w:r>
            <w:proofErr w:type="spellEnd"/>
            <w:r w:rsidR="001149FA" w:rsidRPr="0079652B">
              <w:rPr>
                <w:i/>
                <w:iCs/>
                <w:sz w:val="20"/>
                <w:szCs w:val="20"/>
              </w:rPr>
              <w:t xml:space="preserve"> measures</w:t>
            </w:r>
            <w:r w:rsidRPr="00EE39DD">
              <w:rPr>
                <w:sz w:val="20"/>
                <w:szCs w:val="20"/>
              </w:rPr>
              <w:t xml:space="preserve">)                                                                                                                </w:t>
            </w:r>
          </w:p>
          <w:p w:rsidR="00EB47FD" w:rsidRPr="00EE39DD" w:rsidRDefault="00EB47FD" w:rsidP="00EB47FD">
            <w:pPr>
              <w:spacing w:before="120"/>
              <w:jc w:val="left"/>
              <w:rPr>
                <w:sz w:val="20"/>
                <w:szCs w:val="20"/>
              </w:rPr>
            </w:pPr>
            <w:r w:rsidRPr="00EE39DD">
              <w:rPr>
                <w:bCs/>
                <w:sz w:val="20"/>
                <w:szCs w:val="20"/>
              </w:rPr>
              <w:t xml:space="preserve">[__] for </w:t>
            </w:r>
            <w:r w:rsidRPr="00EE39DD">
              <w:rPr>
                <w:sz w:val="20"/>
                <w:szCs w:val="20"/>
              </w:rPr>
              <w:t xml:space="preserve">CPM Recommendation (Please specify                    ) </w:t>
            </w:r>
          </w:p>
          <w:p w:rsidR="00EB47FD" w:rsidRPr="00EE39DD" w:rsidRDefault="00EB47FD" w:rsidP="00EB47FD">
            <w:pPr>
              <w:tabs>
                <w:tab w:val="right" w:leader="dot" w:pos="4263"/>
                <w:tab w:val="right" w:leader="dot" w:pos="4591"/>
                <w:tab w:val="left" w:leader="dot" w:pos="9360"/>
              </w:tabs>
              <w:spacing w:before="60"/>
              <w:ind w:right="62"/>
              <w:rPr>
                <w:sz w:val="20"/>
                <w:szCs w:val="20"/>
                <w:u w:val="single"/>
              </w:rPr>
            </w:pPr>
          </w:p>
        </w:tc>
      </w:tr>
      <w:tr w:rsidR="00160B95" w:rsidRPr="007075F6" w:rsidTr="00E21030">
        <w:trPr>
          <w:trHeight w:val="704"/>
          <w:jc w:val="center"/>
        </w:trPr>
        <w:tc>
          <w:tcPr>
            <w:tcW w:w="5000" w:type="pct"/>
            <w:gridSpan w:val="2"/>
          </w:tcPr>
          <w:p w:rsidR="00160B95" w:rsidRDefault="00160B95" w:rsidP="00160B95">
            <w:pPr>
              <w:autoSpaceDE w:val="0"/>
              <w:autoSpaceDN w:val="0"/>
              <w:adjustRightInd w:val="0"/>
              <w:ind w:left="709" w:hanging="709"/>
            </w:pPr>
            <w:r>
              <w:rPr>
                <w:rFonts w:cs="Times-Bold"/>
                <w:b/>
                <w:bCs/>
                <w:sz w:val="18"/>
                <w:szCs w:val="18"/>
                <w:u w:val="single"/>
              </w:rPr>
              <w:t xml:space="preserve">Draft outline: </w:t>
            </w:r>
            <w:r>
              <w:t xml:space="preserve"> </w:t>
            </w:r>
          </w:p>
          <w:p w:rsidR="00160B95" w:rsidRDefault="00160B95" w:rsidP="00160B95">
            <w:pPr>
              <w:tabs>
                <w:tab w:val="right" w:leader="dot" w:pos="4263"/>
                <w:tab w:val="right" w:leader="dot" w:pos="4591"/>
                <w:tab w:val="left" w:leader="dot" w:pos="9360"/>
              </w:tabs>
              <w:spacing w:before="60"/>
              <w:ind w:right="62"/>
              <w:rPr>
                <w:sz w:val="20"/>
                <w:szCs w:val="20"/>
              </w:rPr>
            </w:pPr>
            <w:r w:rsidRPr="00160B95">
              <w:rPr>
                <w:sz w:val="20"/>
                <w:szCs w:val="20"/>
              </w:rPr>
              <w:t xml:space="preserve">Submissions for topics </w:t>
            </w:r>
            <w:r w:rsidR="00FD01BE">
              <w:rPr>
                <w:sz w:val="20"/>
                <w:szCs w:val="20"/>
              </w:rPr>
              <w:t xml:space="preserve">on implementation </w:t>
            </w:r>
            <w:proofErr w:type="gramStart"/>
            <w:r w:rsidRPr="00160B95">
              <w:rPr>
                <w:sz w:val="20"/>
                <w:szCs w:val="20"/>
              </w:rPr>
              <w:t>should be accompanied</w:t>
            </w:r>
            <w:proofErr w:type="gramEnd"/>
            <w:r w:rsidRPr="00160B95">
              <w:rPr>
                <w:sz w:val="20"/>
                <w:szCs w:val="20"/>
              </w:rPr>
              <w:t xml:space="preserve"> by a draft outline of </w:t>
            </w:r>
            <w:r>
              <w:rPr>
                <w:sz w:val="20"/>
                <w:szCs w:val="20"/>
              </w:rPr>
              <w:t>implementation resource</w:t>
            </w:r>
            <w:r w:rsidRPr="00160B95">
              <w:rPr>
                <w:sz w:val="20"/>
                <w:szCs w:val="20"/>
              </w:rPr>
              <w:t xml:space="preserve"> defining a scope and purpose, or </w:t>
            </w:r>
            <w:r w:rsidR="00C30FAE">
              <w:rPr>
                <w:sz w:val="20"/>
                <w:szCs w:val="20"/>
              </w:rPr>
              <w:t xml:space="preserve">a </w:t>
            </w:r>
            <w:r w:rsidRPr="00160B95">
              <w:rPr>
                <w:sz w:val="20"/>
                <w:szCs w:val="20"/>
              </w:rPr>
              <w:t xml:space="preserve">draft </w:t>
            </w:r>
            <w:r>
              <w:rPr>
                <w:sz w:val="20"/>
                <w:szCs w:val="20"/>
              </w:rPr>
              <w:t>implementation resource</w:t>
            </w:r>
            <w:r w:rsidR="00D46538">
              <w:rPr>
                <w:sz w:val="20"/>
                <w:szCs w:val="20"/>
              </w:rPr>
              <w:t>. C</w:t>
            </w:r>
            <w:r w:rsidR="00FD01BE">
              <w:rPr>
                <w:sz w:val="20"/>
                <w:szCs w:val="20"/>
              </w:rPr>
              <w:t>ommitment for financial/in-kind resources</w:t>
            </w:r>
            <w:r w:rsidRPr="00160B95">
              <w:rPr>
                <w:sz w:val="20"/>
                <w:szCs w:val="20"/>
              </w:rPr>
              <w:t xml:space="preserve"> to supp</w:t>
            </w:r>
            <w:r w:rsidR="00FD01BE">
              <w:rPr>
                <w:sz w:val="20"/>
                <w:szCs w:val="20"/>
              </w:rPr>
              <w:t xml:space="preserve">ort the development of </w:t>
            </w:r>
            <w:r w:rsidR="00C30FAE">
              <w:rPr>
                <w:sz w:val="20"/>
                <w:szCs w:val="20"/>
              </w:rPr>
              <w:t xml:space="preserve">the </w:t>
            </w:r>
            <w:r w:rsidR="00FD01BE">
              <w:rPr>
                <w:sz w:val="20"/>
                <w:szCs w:val="20"/>
              </w:rPr>
              <w:t>implementation resource</w:t>
            </w:r>
            <w:r w:rsidR="00D46538">
              <w:rPr>
                <w:sz w:val="20"/>
                <w:szCs w:val="20"/>
              </w:rPr>
              <w:t xml:space="preserve"> may be included in the submission</w:t>
            </w:r>
            <w:r w:rsidRPr="00160B95">
              <w:rPr>
                <w:sz w:val="20"/>
                <w:szCs w:val="20"/>
              </w:rPr>
              <w:t xml:space="preserve"> (non-obligatory).</w:t>
            </w:r>
          </w:p>
          <w:p w:rsidR="00FD01BE" w:rsidRPr="005C1BD0" w:rsidRDefault="00FD01BE" w:rsidP="004377E7">
            <w:pPr>
              <w:tabs>
                <w:tab w:val="right" w:leader="dot" w:pos="4263"/>
                <w:tab w:val="right" w:leader="dot" w:pos="4591"/>
                <w:tab w:val="left" w:leader="dot" w:pos="9360"/>
              </w:tabs>
              <w:ind w:right="62"/>
              <w:jc w:val="right"/>
              <w:rPr>
                <w:b/>
                <w:sz w:val="20"/>
                <w:szCs w:val="20"/>
              </w:rPr>
            </w:pPr>
            <w:r w:rsidRPr="005C1BD0">
              <w:rPr>
                <w:b/>
                <w:sz w:val="20"/>
                <w:szCs w:val="20"/>
              </w:rPr>
              <w:t>(go to 6)</w:t>
            </w:r>
          </w:p>
        </w:tc>
      </w:tr>
    </w:tbl>
    <w:p w:rsidR="005E6F6B" w:rsidRDefault="005E6F6B"/>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3"/>
      </w:tblGrid>
      <w:tr w:rsidR="005E6F6B" w:rsidRPr="007075F6" w:rsidTr="00563FA2">
        <w:trPr>
          <w:trHeight w:val="828"/>
          <w:jc w:val="center"/>
        </w:trPr>
        <w:tc>
          <w:tcPr>
            <w:tcW w:w="5000" w:type="pct"/>
          </w:tcPr>
          <w:p w:rsidR="005E6F6B" w:rsidRPr="003A01A8" w:rsidRDefault="005E6F6B" w:rsidP="003A01A8">
            <w:pPr>
              <w:pStyle w:val="ListParagraph"/>
              <w:numPr>
                <w:ilvl w:val="0"/>
                <w:numId w:val="16"/>
              </w:numPr>
              <w:rPr>
                <w:b/>
                <w:sz w:val="20"/>
                <w:szCs w:val="20"/>
                <w:u w:val="single"/>
              </w:rPr>
            </w:pPr>
            <w:r w:rsidRPr="003A01A8">
              <w:rPr>
                <w:b/>
                <w:u w:val="single"/>
              </w:rPr>
              <w:t>Proposed title of  document</w:t>
            </w:r>
          </w:p>
          <w:p w:rsidR="001149FA" w:rsidRDefault="001149FA" w:rsidP="0049535A">
            <w:pPr>
              <w:rPr>
                <w:b/>
                <w:sz w:val="20"/>
                <w:szCs w:val="20"/>
              </w:rPr>
            </w:pPr>
          </w:p>
          <w:p w:rsidR="0049535A" w:rsidRDefault="001149FA" w:rsidP="0049535A">
            <w:pPr>
              <w:rPr>
                <w:sz w:val="20"/>
                <w:szCs w:val="20"/>
              </w:rPr>
            </w:pPr>
            <w:r w:rsidRPr="001149FA">
              <w:rPr>
                <w:b/>
                <w:sz w:val="20"/>
                <w:szCs w:val="20"/>
              </w:rPr>
              <w:t>Title:</w:t>
            </w:r>
            <w:r>
              <w:rPr>
                <w:sz w:val="20"/>
                <w:szCs w:val="20"/>
              </w:rPr>
              <w:t xml:space="preserve"> </w:t>
            </w:r>
            <w:r w:rsidR="0049535A" w:rsidRPr="0049535A">
              <w:rPr>
                <w:sz w:val="20"/>
                <w:szCs w:val="20"/>
              </w:rPr>
              <w:t xml:space="preserve">Managing </w:t>
            </w:r>
            <w:r w:rsidR="0049535A">
              <w:rPr>
                <w:sz w:val="20"/>
                <w:szCs w:val="20"/>
              </w:rPr>
              <w:t>non-compliant treated consignments</w:t>
            </w:r>
          </w:p>
          <w:p w:rsidR="00C43277" w:rsidRDefault="00C43277" w:rsidP="0049535A">
            <w:pPr>
              <w:rPr>
                <w:sz w:val="20"/>
                <w:szCs w:val="20"/>
              </w:rPr>
            </w:pPr>
          </w:p>
          <w:p w:rsidR="001149FA" w:rsidRDefault="001149FA" w:rsidP="0049535A">
            <w:pPr>
              <w:rPr>
                <w:sz w:val="20"/>
                <w:szCs w:val="20"/>
              </w:rPr>
            </w:pPr>
            <w:r w:rsidRPr="001149FA">
              <w:rPr>
                <w:b/>
                <w:sz w:val="20"/>
                <w:szCs w:val="20"/>
              </w:rPr>
              <w:t>Scope:</w:t>
            </w:r>
            <w:r>
              <w:rPr>
                <w:b/>
                <w:sz w:val="20"/>
                <w:szCs w:val="20"/>
              </w:rPr>
              <w:t xml:space="preserve"> </w:t>
            </w:r>
            <w:r w:rsidR="00730E9E">
              <w:rPr>
                <w:sz w:val="20"/>
                <w:szCs w:val="20"/>
              </w:rPr>
              <w:t>All</w:t>
            </w:r>
            <w:r>
              <w:rPr>
                <w:sz w:val="20"/>
                <w:szCs w:val="20"/>
              </w:rPr>
              <w:t xml:space="preserve"> decisions concerning detections of non-target pests and the application of </w:t>
            </w:r>
            <w:proofErr w:type="spellStart"/>
            <w:r>
              <w:rPr>
                <w:sz w:val="20"/>
                <w:szCs w:val="20"/>
              </w:rPr>
              <w:t>phytosanitary</w:t>
            </w:r>
            <w:proofErr w:type="spellEnd"/>
            <w:r>
              <w:rPr>
                <w:sz w:val="20"/>
                <w:szCs w:val="20"/>
              </w:rPr>
              <w:t xml:space="preserve"> treatments.</w:t>
            </w:r>
          </w:p>
          <w:p w:rsidR="00C43277" w:rsidRPr="001149FA" w:rsidRDefault="00C43277" w:rsidP="0049535A">
            <w:pPr>
              <w:rPr>
                <w:sz w:val="20"/>
                <w:szCs w:val="20"/>
              </w:rPr>
            </w:pPr>
          </w:p>
          <w:p w:rsidR="001149FA" w:rsidRDefault="001149FA" w:rsidP="001149FA">
            <w:pPr>
              <w:rPr>
                <w:sz w:val="20"/>
                <w:szCs w:val="20"/>
              </w:rPr>
            </w:pPr>
            <w:r w:rsidRPr="001149FA">
              <w:rPr>
                <w:b/>
                <w:sz w:val="20"/>
                <w:szCs w:val="20"/>
              </w:rPr>
              <w:t>Purpose:</w:t>
            </w:r>
            <w:r>
              <w:rPr>
                <w:sz w:val="20"/>
                <w:szCs w:val="20"/>
              </w:rPr>
              <w:t xml:space="preserve"> To provide implementation</w:t>
            </w:r>
            <w:r w:rsidRPr="001149FA">
              <w:rPr>
                <w:sz w:val="20"/>
                <w:szCs w:val="20"/>
              </w:rPr>
              <w:t xml:space="preserve"> guidance for </w:t>
            </w:r>
            <w:r>
              <w:rPr>
                <w:sz w:val="20"/>
                <w:szCs w:val="20"/>
              </w:rPr>
              <w:t>NPPO</w:t>
            </w:r>
            <w:r w:rsidRPr="001149FA">
              <w:rPr>
                <w:sz w:val="20"/>
                <w:szCs w:val="20"/>
              </w:rPr>
              <w:t xml:space="preserve"> decision makers for determining if treatments applied to </w:t>
            </w:r>
            <w:r>
              <w:rPr>
                <w:sz w:val="20"/>
                <w:szCs w:val="20"/>
              </w:rPr>
              <w:t>commodities</w:t>
            </w:r>
            <w:r w:rsidRPr="001149FA">
              <w:rPr>
                <w:sz w:val="20"/>
                <w:szCs w:val="20"/>
              </w:rPr>
              <w:t xml:space="preserve"> have failed following the detection of live non-target organisms </w:t>
            </w:r>
            <w:r>
              <w:rPr>
                <w:sz w:val="20"/>
                <w:szCs w:val="20"/>
              </w:rPr>
              <w:t>either pre-export o</w:t>
            </w:r>
            <w:r w:rsidR="00730E9E">
              <w:rPr>
                <w:sz w:val="20"/>
                <w:szCs w:val="20"/>
              </w:rPr>
              <w:t xml:space="preserve">r </w:t>
            </w:r>
            <w:r w:rsidRPr="001149FA">
              <w:rPr>
                <w:sz w:val="20"/>
                <w:szCs w:val="20"/>
              </w:rPr>
              <w:t xml:space="preserve">on-arrival </w:t>
            </w:r>
            <w:r>
              <w:rPr>
                <w:sz w:val="20"/>
                <w:szCs w:val="20"/>
              </w:rPr>
              <w:t>in an importing country.</w:t>
            </w:r>
          </w:p>
          <w:p w:rsidR="00C43277" w:rsidRDefault="00C43277" w:rsidP="001149FA">
            <w:pPr>
              <w:rPr>
                <w:sz w:val="20"/>
                <w:szCs w:val="20"/>
              </w:rPr>
            </w:pPr>
          </w:p>
          <w:p w:rsidR="00C43277" w:rsidRDefault="00C43277" w:rsidP="001149FA">
            <w:pPr>
              <w:rPr>
                <w:sz w:val="20"/>
                <w:szCs w:val="20"/>
              </w:rPr>
            </w:pPr>
            <w:r w:rsidRPr="00C43277">
              <w:rPr>
                <w:b/>
                <w:sz w:val="20"/>
                <w:szCs w:val="20"/>
              </w:rPr>
              <w:t xml:space="preserve">Outline: </w:t>
            </w:r>
            <w:r>
              <w:rPr>
                <w:sz w:val="20"/>
                <w:szCs w:val="20"/>
              </w:rPr>
              <w:t>The implementation document will include background on the issue and the factors to consider for risk management decision-making, such as, biological characteristics of pest</w:t>
            </w:r>
            <w:r w:rsidR="00730E9E">
              <w:rPr>
                <w:sz w:val="20"/>
                <w:szCs w:val="20"/>
              </w:rPr>
              <w:t>s</w:t>
            </w:r>
            <w:r>
              <w:rPr>
                <w:sz w:val="20"/>
                <w:szCs w:val="20"/>
              </w:rPr>
              <w:t xml:space="preserve"> and operational compliance</w:t>
            </w:r>
            <w:r w:rsidR="00730E9E">
              <w:rPr>
                <w:sz w:val="20"/>
                <w:szCs w:val="20"/>
              </w:rPr>
              <w:t xml:space="preserve"> (see attached references).</w:t>
            </w:r>
          </w:p>
          <w:p w:rsidR="00C43277" w:rsidRPr="00C43277" w:rsidRDefault="00C43277" w:rsidP="001149FA">
            <w:pPr>
              <w:rPr>
                <w:sz w:val="20"/>
                <w:szCs w:val="20"/>
              </w:rPr>
            </w:pPr>
          </w:p>
        </w:tc>
      </w:tr>
      <w:tr w:rsidR="005E6F6B" w:rsidRPr="007075F6" w:rsidTr="00563FA2">
        <w:trPr>
          <w:trHeight w:val="828"/>
          <w:jc w:val="center"/>
        </w:trPr>
        <w:tc>
          <w:tcPr>
            <w:tcW w:w="5000" w:type="pct"/>
          </w:tcPr>
          <w:p w:rsidR="005E6F6B" w:rsidRPr="005E6F6B" w:rsidRDefault="005E6F6B" w:rsidP="005E6F6B">
            <w:pPr>
              <w:rPr>
                <w:b/>
                <w:sz w:val="20"/>
                <w:szCs w:val="20"/>
                <w:u w:val="single"/>
              </w:rPr>
            </w:pPr>
            <w:r w:rsidRPr="005E6F6B">
              <w:rPr>
                <w:b/>
                <w:sz w:val="20"/>
                <w:szCs w:val="20"/>
                <w:u w:val="single"/>
              </w:rPr>
              <w:lastRenderedPageBreak/>
              <w:t xml:space="preserve">7. Proposed priority  </w:t>
            </w:r>
          </w:p>
          <w:p w:rsidR="005E6F6B" w:rsidRPr="00EE39DD" w:rsidRDefault="005E6F6B" w:rsidP="005E6F6B">
            <w:pPr>
              <w:rPr>
                <w:sz w:val="20"/>
                <w:szCs w:val="20"/>
              </w:rPr>
            </w:pPr>
            <w:r w:rsidRPr="00EE39DD">
              <w:rPr>
                <w:sz w:val="20"/>
                <w:szCs w:val="20"/>
              </w:rPr>
              <w:t xml:space="preserve"> </w:t>
            </w:r>
            <w:r w:rsidRPr="00EE39DD">
              <w:rPr>
                <w:bCs/>
                <w:sz w:val="20"/>
                <w:szCs w:val="20"/>
              </w:rPr>
              <w:t>[__]</w:t>
            </w:r>
            <w:r w:rsidRPr="00EE39DD">
              <w:rPr>
                <w:sz w:val="20"/>
                <w:szCs w:val="20"/>
              </w:rPr>
              <w:t xml:space="preserve"> 1 (high)  </w:t>
            </w:r>
            <w:r w:rsidR="0049535A">
              <w:rPr>
                <w:bCs/>
                <w:sz w:val="20"/>
                <w:szCs w:val="20"/>
              </w:rPr>
              <w:t>[X</w:t>
            </w:r>
            <w:r w:rsidRPr="00EE39DD">
              <w:rPr>
                <w:bCs/>
                <w:sz w:val="20"/>
                <w:szCs w:val="20"/>
              </w:rPr>
              <w:t xml:space="preserve">] </w:t>
            </w:r>
            <w:r w:rsidRPr="00EE39DD">
              <w:rPr>
                <w:sz w:val="20"/>
                <w:szCs w:val="20"/>
              </w:rPr>
              <w:t xml:space="preserve">2 </w:t>
            </w:r>
            <w:r w:rsidRPr="00EE39DD">
              <w:rPr>
                <w:bCs/>
                <w:sz w:val="20"/>
                <w:szCs w:val="20"/>
              </w:rPr>
              <w:t xml:space="preserve"> [__] </w:t>
            </w:r>
            <w:r w:rsidRPr="00EE39DD">
              <w:rPr>
                <w:sz w:val="20"/>
                <w:szCs w:val="20"/>
              </w:rPr>
              <w:t>3</w:t>
            </w:r>
            <w:r w:rsidRPr="00EE39DD">
              <w:rPr>
                <w:bCs/>
                <w:sz w:val="20"/>
                <w:szCs w:val="20"/>
              </w:rPr>
              <w:t xml:space="preserve"> [__] </w:t>
            </w:r>
            <w:r w:rsidRPr="00EE39DD">
              <w:rPr>
                <w:sz w:val="20"/>
                <w:szCs w:val="20"/>
              </w:rPr>
              <w:t>4</w:t>
            </w:r>
            <w:r w:rsidR="00FD01BE">
              <w:rPr>
                <w:sz w:val="20"/>
                <w:szCs w:val="20"/>
              </w:rPr>
              <w:t xml:space="preserve"> </w:t>
            </w:r>
            <w:r w:rsidRPr="00EE39DD">
              <w:rPr>
                <w:sz w:val="20"/>
                <w:szCs w:val="20"/>
              </w:rPr>
              <w:t>(low)</w:t>
            </w:r>
          </w:p>
          <w:p w:rsidR="005E6F6B" w:rsidRPr="007075F6" w:rsidRDefault="005E6F6B" w:rsidP="005E6F6B">
            <w:pPr>
              <w:rPr>
                <w:sz w:val="20"/>
                <w:szCs w:val="20"/>
              </w:rPr>
            </w:pPr>
            <w:r w:rsidRPr="00EE39DD">
              <w:rPr>
                <w:sz w:val="20"/>
                <w:szCs w:val="20"/>
              </w:rPr>
              <w:t xml:space="preserve"> Comments:</w:t>
            </w:r>
          </w:p>
          <w:p w:rsidR="005E6F6B" w:rsidRPr="00EE39DD" w:rsidRDefault="005E6F6B" w:rsidP="00E96D9B">
            <w:pPr>
              <w:rPr>
                <w:b/>
                <w:sz w:val="20"/>
                <w:szCs w:val="20"/>
                <w:u w:val="single"/>
              </w:rPr>
            </w:pPr>
          </w:p>
        </w:tc>
      </w:tr>
      <w:tr w:rsidR="005E6F6B" w:rsidRPr="007075F6" w:rsidTr="00563FA2">
        <w:trPr>
          <w:trHeight w:val="828"/>
          <w:jc w:val="center"/>
        </w:trPr>
        <w:tc>
          <w:tcPr>
            <w:tcW w:w="5000" w:type="pct"/>
          </w:tcPr>
          <w:p w:rsidR="0049535A" w:rsidRDefault="005E6F6B" w:rsidP="00E96D9B">
            <w:pPr>
              <w:rPr>
                <w:sz w:val="20"/>
                <w:szCs w:val="20"/>
              </w:rPr>
            </w:pPr>
            <w:r w:rsidRPr="005E6F6B">
              <w:rPr>
                <w:b/>
                <w:sz w:val="20"/>
                <w:szCs w:val="20"/>
                <w:u w:val="single"/>
              </w:rPr>
              <w:t>8. Featur</w:t>
            </w:r>
            <w:r w:rsidR="00F21E55">
              <w:rPr>
                <w:b/>
                <w:sz w:val="20"/>
                <w:szCs w:val="20"/>
                <w:u w:val="single"/>
              </w:rPr>
              <w:t>ed outcome of standard/implementation resource</w:t>
            </w:r>
          </w:p>
          <w:p w:rsidR="00BE620B" w:rsidRDefault="00BE620B" w:rsidP="00877AAF">
            <w:pPr>
              <w:rPr>
                <w:sz w:val="20"/>
                <w:szCs w:val="20"/>
              </w:rPr>
            </w:pPr>
          </w:p>
          <w:p w:rsidR="005E6F6B" w:rsidRPr="005E6F6B" w:rsidRDefault="0049535A" w:rsidP="00877AAF">
            <w:pPr>
              <w:rPr>
                <w:b/>
                <w:sz w:val="20"/>
                <w:szCs w:val="20"/>
                <w:u w:val="single"/>
              </w:rPr>
            </w:pPr>
            <w:r>
              <w:rPr>
                <w:sz w:val="20"/>
                <w:szCs w:val="20"/>
              </w:rPr>
              <w:t xml:space="preserve">Consistent decision-making on the effective application of </w:t>
            </w:r>
            <w:r w:rsidRPr="0049535A">
              <w:rPr>
                <w:sz w:val="20"/>
                <w:szCs w:val="20"/>
              </w:rPr>
              <w:t>treatment</w:t>
            </w:r>
            <w:r>
              <w:rPr>
                <w:sz w:val="20"/>
                <w:szCs w:val="20"/>
              </w:rPr>
              <w:t xml:space="preserve">s as indicated by the survival of non-target </w:t>
            </w:r>
            <w:r w:rsidR="00877AAF">
              <w:rPr>
                <w:sz w:val="20"/>
                <w:szCs w:val="20"/>
              </w:rPr>
              <w:t>pests</w:t>
            </w:r>
            <w:r>
              <w:rPr>
                <w:sz w:val="20"/>
                <w:szCs w:val="20"/>
              </w:rPr>
              <w:t xml:space="preserve">. </w:t>
            </w:r>
          </w:p>
        </w:tc>
      </w:tr>
      <w:tr w:rsidR="00563FA2" w:rsidRPr="007075F6" w:rsidTr="00563FA2">
        <w:trPr>
          <w:trHeight w:val="828"/>
          <w:jc w:val="center"/>
        </w:trPr>
        <w:tc>
          <w:tcPr>
            <w:tcW w:w="5000" w:type="pct"/>
          </w:tcPr>
          <w:p w:rsidR="00563FA2" w:rsidRPr="00EE39DD" w:rsidRDefault="005E6F6B" w:rsidP="00E96D9B">
            <w:pPr>
              <w:rPr>
                <w:sz w:val="20"/>
                <w:szCs w:val="20"/>
              </w:rPr>
            </w:pPr>
            <w:r>
              <w:rPr>
                <w:b/>
                <w:sz w:val="20"/>
                <w:szCs w:val="20"/>
                <w:u w:val="single"/>
              </w:rPr>
              <w:t>9</w:t>
            </w:r>
            <w:r w:rsidR="00E96D9B" w:rsidRPr="00EE39DD">
              <w:rPr>
                <w:b/>
                <w:sz w:val="20"/>
                <w:szCs w:val="20"/>
                <w:u w:val="single"/>
              </w:rPr>
              <w:t xml:space="preserve">. </w:t>
            </w:r>
            <w:r w:rsidR="00377343" w:rsidRPr="00EE39DD">
              <w:rPr>
                <w:b/>
                <w:sz w:val="20"/>
                <w:szCs w:val="20"/>
                <w:u w:val="single"/>
              </w:rPr>
              <w:t xml:space="preserve">Contribution to filling the gaps of </w:t>
            </w:r>
            <w:r w:rsidR="008C3E20" w:rsidRPr="00EE39DD">
              <w:rPr>
                <w:b/>
                <w:sz w:val="20"/>
                <w:szCs w:val="20"/>
                <w:u w:val="single"/>
              </w:rPr>
              <w:t xml:space="preserve">the </w:t>
            </w:r>
            <w:r w:rsidR="00563FA2" w:rsidRPr="00EE39DD">
              <w:rPr>
                <w:b/>
                <w:sz w:val="20"/>
                <w:szCs w:val="20"/>
                <w:u w:val="single"/>
              </w:rPr>
              <w:t xml:space="preserve">Framework for </w:t>
            </w:r>
            <w:r w:rsidR="005F17DA" w:rsidRPr="00EE39DD">
              <w:rPr>
                <w:b/>
                <w:sz w:val="20"/>
                <w:szCs w:val="20"/>
                <w:u w:val="single"/>
              </w:rPr>
              <w:t>S</w:t>
            </w:r>
            <w:r w:rsidR="00563FA2" w:rsidRPr="00EE39DD">
              <w:rPr>
                <w:b/>
                <w:sz w:val="20"/>
                <w:szCs w:val="20"/>
                <w:u w:val="single"/>
              </w:rPr>
              <w:t xml:space="preserve">tandards and </w:t>
            </w:r>
            <w:r w:rsidR="005F17DA" w:rsidRPr="00EE39DD">
              <w:rPr>
                <w:b/>
                <w:sz w:val="20"/>
                <w:szCs w:val="20"/>
                <w:u w:val="single"/>
              </w:rPr>
              <w:t>I</w:t>
            </w:r>
            <w:r w:rsidR="00563FA2" w:rsidRPr="00EE39DD">
              <w:rPr>
                <w:b/>
                <w:sz w:val="20"/>
                <w:szCs w:val="20"/>
                <w:u w:val="single"/>
              </w:rPr>
              <w:t xml:space="preserve">mplementation: </w:t>
            </w:r>
            <w:r w:rsidR="005F17DA" w:rsidRPr="00EE39DD">
              <w:rPr>
                <w:sz w:val="20"/>
                <w:szCs w:val="20"/>
              </w:rPr>
              <w:t xml:space="preserve">(2 lines max) </w:t>
            </w:r>
          </w:p>
          <w:p w:rsidR="00BE620B" w:rsidRDefault="00BE620B" w:rsidP="0049535A">
            <w:pPr>
              <w:rPr>
                <w:sz w:val="20"/>
                <w:szCs w:val="20"/>
              </w:rPr>
            </w:pPr>
          </w:p>
          <w:p w:rsidR="0049535A" w:rsidRPr="0079652B" w:rsidRDefault="0049535A" w:rsidP="0049535A">
            <w:pPr>
              <w:rPr>
                <w:sz w:val="20"/>
                <w:szCs w:val="20"/>
              </w:rPr>
            </w:pPr>
            <w:r>
              <w:rPr>
                <w:sz w:val="20"/>
                <w:szCs w:val="20"/>
              </w:rPr>
              <w:t xml:space="preserve">To provide </w:t>
            </w:r>
            <w:r w:rsidR="00D97918">
              <w:rPr>
                <w:sz w:val="20"/>
                <w:szCs w:val="20"/>
              </w:rPr>
              <w:t xml:space="preserve">implementation </w:t>
            </w:r>
            <w:r>
              <w:rPr>
                <w:sz w:val="20"/>
                <w:szCs w:val="20"/>
              </w:rPr>
              <w:t xml:space="preserve">guidance on the statement in </w:t>
            </w:r>
            <w:r w:rsidRPr="0079652B">
              <w:rPr>
                <w:sz w:val="20"/>
                <w:szCs w:val="20"/>
              </w:rPr>
              <w:t>ISPM 42</w:t>
            </w:r>
            <w:r>
              <w:rPr>
                <w:sz w:val="20"/>
                <w:szCs w:val="20"/>
              </w:rPr>
              <w:t>:</w:t>
            </w:r>
            <w:r w:rsidRPr="0079652B">
              <w:rPr>
                <w:sz w:val="20"/>
                <w:szCs w:val="20"/>
              </w:rPr>
              <w:t xml:space="preserve"> 7. </w:t>
            </w:r>
            <w:r w:rsidRPr="0049535A">
              <w:rPr>
                <w:i/>
                <w:sz w:val="20"/>
                <w:szCs w:val="20"/>
              </w:rPr>
              <w:t>Inspection</w:t>
            </w:r>
            <w:r>
              <w:rPr>
                <w:sz w:val="20"/>
                <w:szCs w:val="20"/>
              </w:rPr>
              <w:t>,</w:t>
            </w:r>
            <w:r w:rsidRPr="0079652B">
              <w:rPr>
                <w:sz w:val="20"/>
                <w:szCs w:val="20"/>
              </w:rPr>
              <w:t xml:space="preserve"> </w:t>
            </w:r>
            <w:r w:rsidR="001149FA">
              <w:rPr>
                <w:sz w:val="20"/>
                <w:szCs w:val="20"/>
              </w:rPr>
              <w:t>i.e.</w:t>
            </w:r>
            <w:r w:rsidRPr="0079652B">
              <w:rPr>
                <w:sz w:val="20"/>
                <w:szCs w:val="20"/>
              </w:rPr>
              <w:t xml:space="preserve"> </w:t>
            </w:r>
            <w:r>
              <w:rPr>
                <w:sz w:val="20"/>
                <w:szCs w:val="20"/>
              </w:rPr>
              <w:t>determining if the</w:t>
            </w:r>
            <w:r w:rsidRPr="0079652B">
              <w:rPr>
                <w:sz w:val="20"/>
                <w:szCs w:val="20"/>
              </w:rPr>
              <w:t xml:space="preserve"> survival </w:t>
            </w:r>
            <w:r>
              <w:rPr>
                <w:sz w:val="20"/>
                <w:szCs w:val="20"/>
              </w:rPr>
              <w:t xml:space="preserve">of </w:t>
            </w:r>
            <w:r w:rsidR="00877AAF">
              <w:rPr>
                <w:sz w:val="20"/>
                <w:szCs w:val="20"/>
              </w:rPr>
              <w:t xml:space="preserve">non-target pests </w:t>
            </w:r>
            <w:r w:rsidRPr="0079652B">
              <w:rPr>
                <w:sz w:val="20"/>
                <w:szCs w:val="20"/>
              </w:rPr>
              <w:t xml:space="preserve">indicates </w:t>
            </w:r>
            <w:proofErr w:type="gramStart"/>
            <w:r w:rsidRPr="0079652B">
              <w:rPr>
                <w:sz w:val="20"/>
                <w:szCs w:val="20"/>
              </w:rPr>
              <w:t>a treatment failure and whether additional measures may be necessary</w:t>
            </w:r>
            <w:proofErr w:type="gramEnd"/>
            <w:r>
              <w:rPr>
                <w:sz w:val="20"/>
                <w:szCs w:val="20"/>
              </w:rPr>
              <w:t>.</w:t>
            </w:r>
          </w:p>
          <w:p w:rsidR="00563FA2" w:rsidRPr="00EE39DD" w:rsidRDefault="00563FA2" w:rsidP="00E21030">
            <w:pPr>
              <w:rPr>
                <w:sz w:val="20"/>
                <w:szCs w:val="20"/>
                <w:u w:val="single"/>
              </w:rPr>
            </w:pPr>
          </w:p>
        </w:tc>
      </w:tr>
      <w:tr w:rsidR="00563FA2" w:rsidRPr="00326064" w:rsidTr="00563FA2">
        <w:trPr>
          <w:trHeight w:val="828"/>
          <w:jc w:val="center"/>
        </w:trPr>
        <w:tc>
          <w:tcPr>
            <w:tcW w:w="5000" w:type="pct"/>
          </w:tcPr>
          <w:p w:rsidR="00563FA2" w:rsidRDefault="005E6F6B" w:rsidP="00E96D9B">
            <w:pPr>
              <w:rPr>
                <w:sz w:val="20"/>
                <w:szCs w:val="20"/>
              </w:rPr>
            </w:pPr>
            <w:r>
              <w:rPr>
                <w:b/>
                <w:sz w:val="20"/>
                <w:szCs w:val="20"/>
                <w:u w:val="single"/>
              </w:rPr>
              <w:t>10</w:t>
            </w:r>
            <w:r w:rsidR="00E96D9B" w:rsidRPr="00EE39DD">
              <w:rPr>
                <w:b/>
                <w:sz w:val="20"/>
                <w:szCs w:val="20"/>
                <w:u w:val="single"/>
              </w:rPr>
              <w:t>.</w:t>
            </w:r>
            <w:r w:rsidR="005F17DA" w:rsidRPr="00EE39DD">
              <w:rPr>
                <w:b/>
                <w:sz w:val="20"/>
                <w:szCs w:val="20"/>
                <w:u w:val="single"/>
              </w:rPr>
              <w:t xml:space="preserve"> </w:t>
            </w:r>
            <w:r w:rsidR="00563FA2" w:rsidRPr="00EE39DD">
              <w:rPr>
                <w:b/>
                <w:sz w:val="20"/>
                <w:szCs w:val="20"/>
                <w:u w:val="single"/>
              </w:rPr>
              <w:t xml:space="preserve">Summary of justification for the proposal </w:t>
            </w:r>
            <w:r w:rsidR="00563FA2" w:rsidRPr="00EE39DD">
              <w:rPr>
                <w:sz w:val="20"/>
                <w:szCs w:val="20"/>
              </w:rPr>
              <w:t>(2 lines max)</w:t>
            </w:r>
          </w:p>
          <w:p w:rsidR="00BE620B" w:rsidRDefault="00BE620B" w:rsidP="00D97918">
            <w:pPr>
              <w:rPr>
                <w:sz w:val="20"/>
                <w:szCs w:val="20"/>
              </w:rPr>
            </w:pPr>
          </w:p>
          <w:p w:rsidR="00877AAF" w:rsidRDefault="00BB196F" w:rsidP="00D97918">
            <w:pPr>
              <w:rPr>
                <w:sz w:val="20"/>
                <w:szCs w:val="20"/>
              </w:rPr>
            </w:pPr>
            <w:r w:rsidRPr="004A04CE">
              <w:rPr>
                <w:sz w:val="20"/>
                <w:szCs w:val="20"/>
              </w:rPr>
              <w:t>The</w:t>
            </w:r>
            <w:r>
              <w:rPr>
                <w:sz w:val="20"/>
                <w:szCs w:val="20"/>
              </w:rPr>
              <w:t xml:space="preserve"> proposed </w:t>
            </w:r>
            <w:r w:rsidR="00D97918">
              <w:rPr>
                <w:sz w:val="20"/>
                <w:szCs w:val="20"/>
              </w:rPr>
              <w:t>implementation guidance</w:t>
            </w:r>
            <w:r>
              <w:rPr>
                <w:sz w:val="20"/>
                <w:szCs w:val="20"/>
              </w:rPr>
              <w:t xml:space="preserve"> will assist NPPOs and treatment provide</w:t>
            </w:r>
            <w:r w:rsidR="00D97918">
              <w:rPr>
                <w:sz w:val="20"/>
                <w:szCs w:val="20"/>
              </w:rPr>
              <w:t>r</w:t>
            </w:r>
            <w:r>
              <w:rPr>
                <w:sz w:val="20"/>
                <w:szCs w:val="20"/>
              </w:rPr>
              <w:t xml:space="preserve">s with </w:t>
            </w:r>
            <w:r w:rsidR="00730E9E">
              <w:rPr>
                <w:sz w:val="20"/>
                <w:szCs w:val="20"/>
              </w:rPr>
              <w:t xml:space="preserve">making consistent </w:t>
            </w:r>
            <w:r>
              <w:rPr>
                <w:sz w:val="20"/>
                <w:szCs w:val="20"/>
              </w:rPr>
              <w:t>decisions on</w:t>
            </w:r>
            <w:r w:rsidRPr="004A04CE">
              <w:rPr>
                <w:sz w:val="20"/>
                <w:szCs w:val="20"/>
              </w:rPr>
              <w:t xml:space="preserve"> </w:t>
            </w:r>
            <w:r>
              <w:rPr>
                <w:sz w:val="20"/>
                <w:szCs w:val="20"/>
              </w:rPr>
              <w:t>the effective</w:t>
            </w:r>
            <w:r w:rsidRPr="004A04CE">
              <w:rPr>
                <w:sz w:val="20"/>
                <w:szCs w:val="20"/>
              </w:rPr>
              <w:t xml:space="preserve"> application of a treatment or on official assurances.</w:t>
            </w:r>
          </w:p>
          <w:p w:rsidR="00BE620B" w:rsidRPr="00EE39DD" w:rsidRDefault="00BE620B" w:rsidP="00D97918">
            <w:pPr>
              <w:rPr>
                <w:b/>
                <w:sz w:val="20"/>
                <w:szCs w:val="20"/>
                <w:u w:val="single"/>
              </w:rPr>
            </w:pPr>
          </w:p>
        </w:tc>
      </w:tr>
    </w:tbl>
    <w:p w:rsidR="00FD01BE" w:rsidRDefault="00FD01BE"/>
    <w:p w:rsidR="004C6850" w:rsidRPr="00EE39DD" w:rsidRDefault="009E1649">
      <w:pPr>
        <w:rPr>
          <w:b/>
        </w:rPr>
      </w:pPr>
      <w:r w:rsidRPr="00EE39DD">
        <w:rPr>
          <w:b/>
        </w:rPr>
        <w:t>Criteria for justification and prioritization of proposed topics</w:t>
      </w:r>
      <w:r w:rsidRPr="00EE39DD">
        <w:rPr>
          <w:rStyle w:val="FootnoteReference"/>
          <w:b/>
          <w:color w:val="FF0000"/>
        </w:rPr>
        <w:footnoteReference w:id="2"/>
      </w:r>
      <w:r w:rsidRPr="00EE39DD">
        <w:rPr>
          <w:b/>
        </w:rPr>
        <w:t>:</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3"/>
      </w:tblGrid>
      <w:tr w:rsidR="000B32EC" w:rsidRPr="00326064" w:rsidTr="00551ED4">
        <w:trPr>
          <w:trHeight w:val="248"/>
          <w:jc w:val="center"/>
        </w:trPr>
        <w:tc>
          <w:tcPr>
            <w:tcW w:w="5000" w:type="pct"/>
          </w:tcPr>
          <w:p w:rsidR="000B32EC" w:rsidRPr="00326064" w:rsidRDefault="000B32EC" w:rsidP="00551ED4">
            <w:pPr>
              <w:rPr>
                <w:rFonts w:cs="Times-Roman"/>
                <w:color w:val="000000"/>
                <w:sz w:val="20"/>
                <w:szCs w:val="20"/>
              </w:rPr>
            </w:pPr>
            <w:r w:rsidRPr="00326064">
              <w:rPr>
                <w:rFonts w:cs="Times-Roman"/>
                <w:color w:val="000000"/>
                <w:sz w:val="20"/>
                <w:szCs w:val="20"/>
              </w:rPr>
              <w:t xml:space="preserve">Submissions should address the applicable criteria for justification of the proposal (as listed below). Where possible, information in support of the justification and that may assist in the prioritization should be indicated. </w:t>
            </w:r>
          </w:p>
          <w:p w:rsidR="000B32EC" w:rsidRDefault="000B32EC" w:rsidP="00551ED4">
            <w:pPr>
              <w:rPr>
                <w:rFonts w:cs="Times-Roman"/>
                <w:color w:val="000000"/>
                <w:sz w:val="20"/>
                <w:szCs w:val="20"/>
              </w:rPr>
            </w:pPr>
            <w:r w:rsidRPr="00326064">
              <w:rPr>
                <w:rFonts w:cs="Times-Roman"/>
                <w:color w:val="000000"/>
                <w:sz w:val="20"/>
                <w:szCs w:val="20"/>
              </w:rPr>
              <w:t xml:space="preserve">All core criteria </w:t>
            </w:r>
            <w:proofErr w:type="gramStart"/>
            <w:r w:rsidRPr="00326064">
              <w:rPr>
                <w:rFonts w:cs="Times-Roman"/>
                <w:color w:val="000000"/>
                <w:sz w:val="20"/>
                <w:szCs w:val="20"/>
              </w:rPr>
              <w:t>must be addressed</w:t>
            </w:r>
            <w:proofErr w:type="gramEnd"/>
            <w:r w:rsidRPr="00326064">
              <w:rPr>
                <w:rFonts w:cs="Times-Roman"/>
                <w:color w:val="000000"/>
                <w:sz w:val="20"/>
                <w:szCs w:val="20"/>
              </w:rPr>
              <w:t>; supporting criteria should be addressed if applicable</w:t>
            </w:r>
            <w:r>
              <w:rPr>
                <w:rFonts w:cs="Times-Roman"/>
                <w:color w:val="000000"/>
                <w:sz w:val="20"/>
                <w:szCs w:val="20"/>
              </w:rPr>
              <w:t>.</w:t>
            </w:r>
          </w:p>
          <w:p w:rsidR="000B32EC" w:rsidRPr="00326064" w:rsidRDefault="000B32EC" w:rsidP="009A3A5A">
            <w:r w:rsidRPr="00197599">
              <w:rPr>
                <w:rFonts w:cs="Times-Roman"/>
                <w:color w:val="000000"/>
                <w:sz w:val="20"/>
                <w:szCs w:val="20"/>
              </w:rPr>
              <w:t xml:space="preserve">Priority </w:t>
            </w:r>
            <w:proofErr w:type="gramStart"/>
            <w:r w:rsidRPr="00197599">
              <w:rPr>
                <w:rFonts w:cs="Times-Roman"/>
                <w:color w:val="000000"/>
                <w:sz w:val="20"/>
                <w:szCs w:val="20"/>
              </w:rPr>
              <w:t>will be given</w:t>
            </w:r>
            <w:proofErr w:type="gramEnd"/>
            <w:r w:rsidRPr="00197599">
              <w:rPr>
                <w:rFonts w:cs="Times-Roman"/>
                <w:color w:val="000000"/>
                <w:sz w:val="20"/>
                <w:szCs w:val="20"/>
              </w:rPr>
              <w:t xml:space="preserve"> to topics with the largest global impact.</w:t>
            </w:r>
          </w:p>
        </w:tc>
      </w:tr>
      <w:tr w:rsidR="000B32EC" w:rsidRPr="00E86637" w:rsidTr="00551ED4">
        <w:trPr>
          <w:trHeight w:val="344"/>
          <w:jc w:val="center"/>
        </w:trPr>
        <w:tc>
          <w:tcPr>
            <w:tcW w:w="5000" w:type="pct"/>
          </w:tcPr>
          <w:p w:rsidR="00167857" w:rsidRPr="00F56C25" w:rsidRDefault="00167857" w:rsidP="00167857">
            <w:pPr>
              <w:autoSpaceDE w:val="0"/>
              <w:autoSpaceDN w:val="0"/>
              <w:adjustRightInd w:val="0"/>
              <w:rPr>
                <w:rFonts w:cs="Times-Bold"/>
                <w:b/>
                <w:sz w:val="20"/>
                <w:szCs w:val="20"/>
              </w:rPr>
            </w:pPr>
            <w:r w:rsidRPr="00F56C25">
              <w:rPr>
                <w:rFonts w:cs="Times-Bold"/>
                <w:b/>
                <w:sz w:val="20"/>
                <w:szCs w:val="20"/>
              </w:rPr>
              <w:t>Core criteria (must provide information. It is expected that all submissions meet the following core</w:t>
            </w:r>
          </w:p>
          <w:p w:rsidR="000B32EC" w:rsidRPr="00E86637" w:rsidRDefault="00167857" w:rsidP="00167857">
            <w:pPr>
              <w:autoSpaceDE w:val="0"/>
              <w:autoSpaceDN w:val="0"/>
              <w:adjustRightInd w:val="0"/>
              <w:rPr>
                <w:rFonts w:cs="Times-Bold"/>
                <w:b/>
                <w:sz w:val="20"/>
                <w:szCs w:val="20"/>
              </w:rPr>
            </w:pPr>
            <w:r w:rsidRPr="00F56C25">
              <w:rPr>
                <w:rFonts w:cs="Times-Bold"/>
                <w:b/>
                <w:sz w:val="20"/>
                <w:szCs w:val="20"/>
              </w:rPr>
              <w:t>criteria)</w:t>
            </w:r>
          </w:p>
        </w:tc>
      </w:tr>
      <w:tr w:rsidR="000B32EC" w:rsidRPr="00E86637" w:rsidTr="00551ED4">
        <w:trPr>
          <w:trHeight w:val="266"/>
          <w:jc w:val="center"/>
        </w:trPr>
        <w:tc>
          <w:tcPr>
            <w:tcW w:w="5000" w:type="pct"/>
          </w:tcPr>
          <w:p w:rsidR="000B32EC" w:rsidRDefault="00167857" w:rsidP="00551ED4">
            <w:pPr>
              <w:autoSpaceDE w:val="0"/>
              <w:autoSpaceDN w:val="0"/>
              <w:adjustRightInd w:val="0"/>
              <w:rPr>
                <w:rFonts w:cs="Times-Roman"/>
                <w:sz w:val="18"/>
                <w:szCs w:val="18"/>
              </w:rPr>
            </w:pPr>
            <w:r w:rsidRPr="00F56C25">
              <w:rPr>
                <w:rFonts w:cs="Times-Roman"/>
                <w:sz w:val="18"/>
                <w:szCs w:val="18"/>
              </w:rPr>
              <w:t>Contribution to the purpose of the IPPC as described in article I.1.</w:t>
            </w:r>
            <w:r w:rsidR="00BB196F">
              <w:rPr>
                <w:rFonts w:cs="Times-Roman"/>
                <w:sz w:val="18"/>
                <w:szCs w:val="18"/>
              </w:rPr>
              <w:t xml:space="preserve"> </w:t>
            </w:r>
          </w:p>
          <w:p w:rsidR="00BB196F" w:rsidRDefault="00BB196F" w:rsidP="00551ED4">
            <w:pPr>
              <w:autoSpaceDE w:val="0"/>
              <w:autoSpaceDN w:val="0"/>
              <w:adjustRightInd w:val="0"/>
              <w:rPr>
                <w:rFonts w:cs="Times-Bold"/>
                <w:bCs/>
                <w:sz w:val="20"/>
                <w:szCs w:val="20"/>
              </w:rPr>
            </w:pPr>
          </w:p>
          <w:p w:rsidR="00BB196F" w:rsidRPr="00E86637" w:rsidRDefault="00BB196F" w:rsidP="00551ED4">
            <w:pPr>
              <w:autoSpaceDE w:val="0"/>
              <w:autoSpaceDN w:val="0"/>
              <w:adjustRightInd w:val="0"/>
              <w:rPr>
                <w:rFonts w:cs="Times-Roman"/>
                <w:sz w:val="18"/>
                <w:szCs w:val="18"/>
              </w:rPr>
            </w:pPr>
            <w:r w:rsidRPr="0079652B">
              <w:rPr>
                <w:rFonts w:cs="Times-Bold"/>
                <w:bCs/>
                <w:sz w:val="20"/>
                <w:szCs w:val="20"/>
              </w:rPr>
              <w:t xml:space="preserve">The </w:t>
            </w:r>
            <w:r>
              <w:rPr>
                <w:rFonts w:cs="Times-Bold"/>
                <w:bCs/>
                <w:sz w:val="20"/>
                <w:szCs w:val="20"/>
              </w:rPr>
              <w:t xml:space="preserve">proposed </w:t>
            </w:r>
            <w:r w:rsidR="00DF090E">
              <w:rPr>
                <w:rFonts w:cs="Times-Bold"/>
                <w:bCs/>
                <w:sz w:val="20"/>
                <w:szCs w:val="20"/>
              </w:rPr>
              <w:t>guidance</w:t>
            </w:r>
            <w:r w:rsidRPr="0079652B">
              <w:rPr>
                <w:rFonts w:cs="Times-Bold"/>
                <w:bCs/>
                <w:sz w:val="20"/>
                <w:szCs w:val="20"/>
              </w:rPr>
              <w:t xml:space="preserve"> will help prevent the </w:t>
            </w:r>
            <w:r w:rsidR="00DF090E" w:rsidRPr="0079652B">
              <w:rPr>
                <w:rFonts w:cs="Times-Bold"/>
                <w:bCs/>
                <w:sz w:val="20"/>
                <w:szCs w:val="20"/>
              </w:rPr>
              <w:t xml:space="preserve">introduction and </w:t>
            </w:r>
            <w:r w:rsidRPr="0079652B">
              <w:rPr>
                <w:rFonts w:cs="Times-Bold"/>
                <w:bCs/>
                <w:sz w:val="20"/>
                <w:szCs w:val="20"/>
              </w:rPr>
              <w:t>spread of pests of plants and plant products</w:t>
            </w:r>
            <w:r>
              <w:rPr>
                <w:rFonts w:cs="Times-Bold"/>
                <w:bCs/>
                <w:sz w:val="20"/>
                <w:szCs w:val="20"/>
              </w:rPr>
              <w:t xml:space="preserve"> by providing</w:t>
            </w:r>
            <w:r w:rsidRPr="0079652B">
              <w:rPr>
                <w:rFonts w:cs="Times-Bold"/>
                <w:bCs/>
                <w:sz w:val="20"/>
                <w:szCs w:val="20"/>
              </w:rPr>
              <w:t xml:space="preserve"> </w:t>
            </w:r>
            <w:r>
              <w:rPr>
                <w:rFonts w:cs="Times-Bold"/>
                <w:bCs/>
                <w:sz w:val="20"/>
                <w:szCs w:val="20"/>
              </w:rPr>
              <w:t>guidance</w:t>
            </w:r>
            <w:r w:rsidRPr="0079652B">
              <w:rPr>
                <w:rFonts w:cs="Times-Bold"/>
                <w:bCs/>
                <w:sz w:val="20"/>
                <w:szCs w:val="20"/>
              </w:rPr>
              <w:t xml:space="preserve"> for decision making about </w:t>
            </w:r>
            <w:r>
              <w:rPr>
                <w:rFonts w:cs="Times-Bold"/>
                <w:bCs/>
                <w:sz w:val="20"/>
                <w:szCs w:val="20"/>
              </w:rPr>
              <w:t>the</w:t>
            </w:r>
            <w:r w:rsidRPr="0079652B">
              <w:rPr>
                <w:rFonts w:cs="Times-Bold"/>
                <w:bCs/>
                <w:sz w:val="20"/>
                <w:szCs w:val="20"/>
              </w:rPr>
              <w:t xml:space="preserve"> effective</w:t>
            </w:r>
            <w:r>
              <w:rPr>
                <w:rFonts w:cs="Times-Bold"/>
                <w:bCs/>
                <w:sz w:val="20"/>
                <w:szCs w:val="20"/>
              </w:rPr>
              <w:t xml:space="preserve"> application of</w:t>
            </w:r>
            <w:r w:rsidRPr="0079652B">
              <w:rPr>
                <w:rFonts w:cs="Times-Bold"/>
                <w:bCs/>
                <w:sz w:val="20"/>
                <w:szCs w:val="20"/>
              </w:rPr>
              <w:t xml:space="preserve"> treatment</w:t>
            </w:r>
            <w:r>
              <w:rPr>
                <w:rFonts w:cs="Times-Bold"/>
                <w:bCs/>
                <w:sz w:val="20"/>
                <w:szCs w:val="20"/>
              </w:rPr>
              <w:t>s</w:t>
            </w:r>
            <w:r w:rsidRPr="0079652B">
              <w:rPr>
                <w:rFonts w:cs="Times-Bold"/>
                <w:bCs/>
                <w:sz w:val="20"/>
                <w:szCs w:val="20"/>
              </w:rPr>
              <w:t>.</w:t>
            </w:r>
            <w:r>
              <w:rPr>
                <w:rFonts w:cs="Times-Bold"/>
                <w:bCs/>
                <w:sz w:val="20"/>
                <w:szCs w:val="20"/>
              </w:rPr>
              <w:t xml:space="preserve"> If used by exporting NPPOs it will strengthen </w:t>
            </w:r>
            <w:proofErr w:type="spellStart"/>
            <w:r>
              <w:rPr>
                <w:rFonts w:cs="Times-Bold"/>
                <w:bCs/>
                <w:sz w:val="20"/>
                <w:szCs w:val="20"/>
              </w:rPr>
              <w:t>phytosanitary</w:t>
            </w:r>
            <w:proofErr w:type="spellEnd"/>
            <w:r>
              <w:rPr>
                <w:rFonts w:cs="Times-Bold"/>
                <w:bCs/>
                <w:sz w:val="20"/>
                <w:szCs w:val="20"/>
              </w:rPr>
              <w:t xml:space="preserve"> assurances attested to in </w:t>
            </w:r>
            <w:proofErr w:type="spellStart"/>
            <w:r>
              <w:rPr>
                <w:rFonts w:cs="Times-Bold"/>
                <w:bCs/>
                <w:sz w:val="20"/>
                <w:szCs w:val="20"/>
              </w:rPr>
              <w:t>phytosanitary</w:t>
            </w:r>
            <w:proofErr w:type="spellEnd"/>
            <w:r>
              <w:rPr>
                <w:rFonts w:cs="Times-Bold"/>
                <w:bCs/>
                <w:sz w:val="20"/>
                <w:szCs w:val="20"/>
              </w:rPr>
              <w:t xml:space="preserve"> certificates. </w:t>
            </w:r>
            <w:proofErr w:type="gramStart"/>
            <w:r>
              <w:rPr>
                <w:rFonts w:cs="Times-Bold"/>
                <w:bCs/>
                <w:sz w:val="20"/>
                <w:szCs w:val="20"/>
              </w:rPr>
              <w:t>Also</w:t>
            </w:r>
            <w:proofErr w:type="gramEnd"/>
            <w:r>
              <w:rPr>
                <w:rFonts w:cs="Times-Bold"/>
                <w:bCs/>
                <w:sz w:val="20"/>
                <w:szCs w:val="20"/>
              </w:rPr>
              <w:t xml:space="preserve">, it can be used by </w:t>
            </w:r>
            <w:proofErr w:type="spellStart"/>
            <w:r>
              <w:rPr>
                <w:rFonts w:cs="Times-Bold"/>
                <w:bCs/>
                <w:sz w:val="20"/>
                <w:szCs w:val="20"/>
              </w:rPr>
              <w:t>phytosanitary</w:t>
            </w:r>
            <w:proofErr w:type="spellEnd"/>
            <w:r>
              <w:rPr>
                <w:rFonts w:cs="Times-Bold"/>
                <w:bCs/>
                <w:sz w:val="20"/>
                <w:szCs w:val="20"/>
              </w:rPr>
              <w:t xml:space="preserve"> treatment providers to determine the effectiveness of the application of a treatment.</w:t>
            </w:r>
          </w:p>
          <w:p w:rsidR="000B32EC" w:rsidRPr="00E86637" w:rsidRDefault="000B32EC" w:rsidP="00551ED4">
            <w:pPr>
              <w:autoSpaceDE w:val="0"/>
              <w:autoSpaceDN w:val="0"/>
              <w:adjustRightInd w:val="0"/>
              <w:rPr>
                <w:rFonts w:cs="Times-Roman"/>
                <w:sz w:val="18"/>
                <w:szCs w:val="18"/>
              </w:rPr>
            </w:pPr>
          </w:p>
        </w:tc>
      </w:tr>
      <w:tr w:rsidR="000B32EC" w:rsidRPr="00E86637" w:rsidTr="00551ED4">
        <w:trPr>
          <w:trHeight w:val="266"/>
          <w:jc w:val="center"/>
        </w:trPr>
        <w:tc>
          <w:tcPr>
            <w:tcW w:w="5000" w:type="pct"/>
          </w:tcPr>
          <w:p w:rsidR="000B32EC" w:rsidRDefault="00167857" w:rsidP="00551ED4">
            <w:pPr>
              <w:autoSpaceDE w:val="0"/>
              <w:autoSpaceDN w:val="0"/>
              <w:adjustRightInd w:val="0"/>
              <w:rPr>
                <w:rFonts w:cs="Times-Roman"/>
                <w:sz w:val="18"/>
                <w:szCs w:val="18"/>
              </w:rPr>
            </w:pPr>
            <w:r w:rsidRPr="00F56C25">
              <w:rPr>
                <w:rFonts w:cs="Times-Roman"/>
                <w:sz w:val="18"/>
                <w:szCs w:val="18"/>
              </w:rPr>
              <w:t>Linkage to IPPC Strategic Objectives (SOs) and Organizational results demonstrated.</w:t>
            </w:r>
          </w:p>
          <w:p w:rsidR="00D97918" w:rsidRDefault="00D97918" w:rsidP="00551ED4">
            <w:pPr>
              <w:autoSpaceDE w:val="0"/>
              <w:autoSpaceDN w:val="0"/>
              <w:adjustRightInd w:val="0"/>
              <w:rPr>
                <w:rFonts w:cs="Times-Roman"/>
                <w:sz w:val="18"/>
                <w:szCs w:val="18"/>
              </w:rPr>
            </w:pPr>
          </w:p>
          <w:p w:rsidR="00D97918" w:rsidRDefault="00D97918" w:rsidP="00D97918">
            <w:pPr>
              <w:autoSpaceDE w:val="0"/>
              <w:autoSpaceDN w:val="0"/>
              <w:adjustRightInd w:val="0"/>
              <w:spacing w:after="120"/>
              <w:rPr>
                <w:rFonts w:cs="Times-Bold"/>
                <w:bCs/>
                <w:sz w:val="20"/>
                <w:szCs w:val="20"/>
              </w:rPr>
            </w:pPr>
            <w:r w:rsidRPr="00365692">
              <w:rPr>
                <w:rFonts w:cs="Times-Bold"/>
                <w:b/>
                <w:bCs/>
                <w:sz w:val="20"/>
                <w:szCs w:val="20"/>
              </w:rPr>
              <w:t>Practical</w:t>
            </w:r>
            <w:r>
              <w:rPr>
                <w:rFonts w:cs="Times-Bold"/>
                <w:bCs/>
                <w:sz w:val="20"/>
                <w:szCs w:val="20"/>
              </w:rPr>
              <w:t xml:space="preserve"> – this </w:t>
            </w:r>
            <w:r w:rsidR="00DF090E">
              <w:rPr>
                <w:rFonts w:cs="Times-Bold"/>
                <w:bCs/>
                <w:sz w:val="20"/>
                <w:szCs w:val="20"/>
              </w:rPr>
              <w:t>guidance</w:t>
            </w:r>
            <w:r>
              <w:rPr>
                <w:rFonts w:cs="Times-Bold"/>
                <w:bCs/>
                <w:sz w:val="20"/>
                <w:szCs w:val="20"/>
              </w:rPr>
              <w:t xml:space="preserve"> can be adopted in a reasonable </w:t>
            </w:r>
            <w:proofErr w:type="gramStart"/>
            <w:r>
              <w:rPr>
                <w:rFonts w:cs="Times-Bold"/>
                <w:bCs/>
                <w:sz w:val="20"/>
                <w:szCs w:val="20"/>
              </w:rPr>
              <w:t>time frame</w:t>
            </w:r>
            <w:proofErr w:type="gramEnd"/>
            <w:r>
              <w:rPr>
                <w:rFonts w:cs="Times-Bold"/>
                <w:bCs/>
                <w:sz w:val="20"/>
                <w:szCs w:val="20"/>
              </w:rPr>
              <w:t xml:space="preserve"> because it is proposed to provide guidance for implementation only. New Zealand has already developed an internal guideline that </w:t>
            </w:r>
            <w:proofErr w:type="gramStart"/>
            <w:r>
              <w:rPr>
                <w:rFonts w:cs="Times-Bold"/>
                <w:bCs/>
                <w:sz w:val="20"/>
                <w:szCs w:val="20"/>
              </w:rPr>
              <w:t>can be used</w:t>
            </w:r>
            <w:proofErr w:type="gramEnd"/>
            <w:r>
              <w:rPr>
                <w:rFonts w:cs="Times-Bold"/>
                <w:bCs/>
                <w:sz w:val="20"/>
                <w:szCs w:val="20"/>
              </w:rPr>
              <w:t xml:space="preserve"> as the basis of the proposed </w:t>
            </w:r>
            <w:r w:rsidR="00DF090E">
              <w:rPr>
                <w:rFonts w:cs="Times-Bold"/>
                <w:bCs/>
                <w:sz w:val="20"/>
                <w:szCs w:val="20"/>
              </w:rPr>
              <w:t>guidance</w:t>
            </w:r>
            <w:r>
              <w:rPr>
                <w:rFonts w:cs="Times-Bold"/>
                <w:bCs/>
                <w:sz w:val="20"/>
                <w:szCs w:val="20"/>
              </w:rPr>
              <w:t xml:space="preserve">. In addition, some expertise is available from working groups such as the Technical Panel for </w:t>
            </w:r>
            <w:proofErr w:type="spellStart"/>
            <w:r>
              <w:rPr>
                <w:rFonts w:cs="Times-Bold"/>
                <w:bCs/>
                <w:sz w:val="20"/>
                <w:szCs w:val="20"/>
              </w:rPr>
              <w:t>Phytosanitary</w:t>
            </w:r>
            <w:proofErr w:type="spellEnd"/>
            <w:r>
              <w:rPr>
                <w:rFonts w:cs="Times-Bold"/>
                <w:bCs/>
                <w:sz w:val="20"/>
                <w:szCs w:val="20"/>
              </w:rPr>
              <w:t xml:space="preserve"> Treatments (TPPT) and the </w:t>
            </w:r>
            <w:proofErr w:type="spellStart"/>
            <w:r>
              <w:rPr>
                <w:rFonts w:cs="Times-Bold"/>
                <w:bCs/>
                <w:sz w:val="20"/>
                <w:szCs w:val="20"/>
              </w:rPr>
              <w:t>Phytosanitary</w:t>
            </w:r>
            <w:proofErr w:type="spellEnd"/>
            <w:r>
              <w:rPr>
                <w:rFonts w:cs="Times-Bold"/>
                <w:bCs/>
                <w:sz w:val="20"/>
                <w:szCs w:val="20"/>
              </w:rPr>
              <w:t xml:space="preserve"> Measures Research Group (PMRG) to assist in the development of the proposed </w:t>
            </w:r>
            <w:r w:rsidR="00DF090E">
              <w:rPr>
                <w:rFonts w:cs="Times-Bold"/>
                <w:bCs/>
                <w:sz w:val="20"/>
                <w:szCs w:val="20"/>
              </w:rPr>
              <w:t>guidance</w:t>
            </w:r>
            <w:r>
              <w:rPr>
                <w:rFonts w:cs="Times-Bold"/>
                <w:bCs/>
                <w:sz w:val="20"/>
                <w:szCs w:val="20"/>
              </w:rPr>
              <w:t>.</w:t>
            </w:r>
          </w:p>
          <w:p w:rsidR="00D97918" w:rsidRDefault="00D97918" w:rsidP="00D97918">
            <w:pPr>
              <w:autoSpaceDE w:val="0"/>
              <w:autoSpaceDN w:val="0"/>
              <w:adjustRightInd w:val="0"/>
              <w:spacing w:after="120"/>
              <w:rPr>
                <w:rFonts w:cs="Times-Bold"/>
                <w:bCs/>
                <w:sz w:val="20"/>
                <w:szCs w:val="20"/>
              </w:rPr>
            </w:pPr>
            <w:r w:rsidRPr="00365692">
              <w:rPr>
                <w:rFonts w:cs="Times-Bold"/>
                <w:b/>
                <w:bCs/>
                <w:sz w:val="20"/>
                <w:szCs w:val="20"/>
              </w:rPr>
              <w:t>Economic</w:t>
            </w:r>
            <w:r>
              <w:rPr>
                <w:rFonts w:cs="Times-Bold"/>
                <w:bCs/>
                <w:sz w:val="20"/>
                <w:szCs w:val="20"/>
              </w:rPr>
              <w:t xml:space="preserve"> – the proposed </w:t>
            </w:r>
            <w:r w:rsidR="00DF090E">
              <w:rPr>
                <w:rFonts w:cs="Times-Bold"/>
                <w:bCs/>
                <w:sz w:val="20"/>
                <w:szCs w:val="20"/>
              </w:rPr>
              <w:t>guidance</w:t>
            </w:r>
            <w:r>
              <w:rPr>
                <w:rFonts w:cs="Times-Bold"/>
                <w:bCs/>
                <w:sz w:val="20"/>
                <w:szCs w:val="20"/>
              </w:rPr>
              <w:t xml:space="preserve"> </w:t>
            </w:r>
            <w:proofErr w:type="gramStart"/>
            <w:r>
              <w:rPr>
                <w:rFonts w:cs="Times-Bold"/>
                <w:bCs/>
                <w:sz w:val="20"/>
                <w:szCs w:val="20"/>
              </w:rPr>
              <w:t>can be used</w:t>
            </w:r>
            <w:proofErr w:type="gramEnd"/>
            <w:r>
              <w:rPr>
                <w:rFonts w:cs="Times-Bold"/>
                <w:bCs/>
                <w:sz w:val="20"/>
                <w:szCs w:val="20"/>
              </w:rPr>
              <w:t xml:space="preserve"> across multiple pathways to make informed decisions to facilitate safe trade and strengthen </w:t>
            </w:r>
            <w:proofErr w:type="spellStart"/>
            <w:r>
              <w:rPr>
                <w:rFonts w:cs="Times-Bold"/>
                <w:bCs/>
                <w:sz w:val="20"/>
                <w:szCs w:val="20"/>
              </w:rPr>
              <w:t>phytosanitary</w:t>
            </w:r>
            <w:proofErr w:type="spellEnd"/>
            <w:r>
              <w:rPr>
                <w:rFonts w:cs="Times-Bold"/>
                <w:bCs/>
                <w:sz w:val="20"/>
                <w:szCs w:val="20"/>
              </w:rPr>
              <w:t xml:space="preserve"> assurances.  It will reduce the likelihood of pest control as the result of pest incursions.</w:t>
            </w:r>
          </w:p>
          <w:p w:rsidR="00D97918" w:rsidRDefault="00D97918" w:rsidP="00D97918">
            <w:pPr>
              <w:autoSpaceDE w:val="0"/>
              <w:autoSpaceDN w:val="0"/>
              <w:adjustRightInd w:val="0"/>
              <w:spacing w:after="120"/>
              <w:rPr>
                <w:rFonts w:cs="Times-Bold"/>
                <w:bCs/>
                <w:sz w:val="20"/>
                <w:szCs w:val="20"/>
              </w:rPr>
            </w:pPr>
            <w:r w:rsidRPr="00365692">
              <w:rPr>
                <w:rFonts w:cs="Times-Bold"/>
                <w:b/>
                <w:bCs/>
                <w:sz w:val="20"/>
                <w:szCs w:val="20"/>
              </w:rPr>
              <w:t>Environmental</w:t>
            </w:r>
            <w:r>
              <w:rPr>
                <w:rFonts w:cs="Times-Bold"/>
                <w:bCs/>
                <w:sz w:val="20"/>
                <w:szCs w:val="20"/>
              </w:rPr>
              <w:t xml:space="preserve"> – the proposed </w:t>
            </w:r>
            <w:r w:rsidR="00DF090E">
              <w:rPr>
                <w:rFonts w:cs="Times-Bold"/>
                <w:bCs/>
                <w:sz w:val="20"/>
                <w:szCs w:val="20"/>
              </w:rPr>
              <w:t>guidance</w:t>
            </w:r>
            <w:r>
              <w:rPr>
                <w:rFonts w:cs="Times-Bold"/>
                <w:bCs/>
                <w:sz w:val="20"/>
                <w:szCs w:val="20"/>
              </w:rPr>
              <w:t xml:space="preserve"> will aid in reducing negative environmental consequences </w:t>
            </w:r>
            <w:proofErr w:type="gramStart"/>
            <w:r>
              <w:rPr>
                <w:rFonts w:cs="Times-Bold"/>
                <w:bCs/>
                <w:sz w:val="20"/>
                <w:szCs w:val="20"/>
              </w:rPr>
              <w:t>as a result</w:t>
            </w:r>
            <w:proofErr w:type="gramEnd"/>
            <w:r>
              <w:rPr>
                <w:rFonts w:cs="Times-Bold"/>
                <w:bCs/>
                <w:sz w:val="20"/>
                <w:szCs w:val="20"/>
              </w:rPr>
              <w:t xml:space="preserve"> of regulated pests entering and establishing in an importing country as it will assist in the effective management of pest risk.</w:t>
            </w:r>
          </w:p>
          <w:p w:rsidR="00D97918" w:rsidRDefault="00D97918" w:rsidP="00D97918">
            <w:pPr>
              <w:autoSpaceDE w:val="0"/>
              <w:autoSpaceDN w:val="0"/>
              <w:adjustRightInd w:val="0"/>
              <w:spacing w:after="120"/>
              <w:rPr>
                <w:rFonts w:cs="Times-Bold"/>
                <w:bCs/>
                <w:sz w:val="20"/>
                <w:szCs w:val="20"/>
              </w:rPr>
            </w:pPr>
            <w:r w:rsidRPr="00365692">
              <w:rPr>
                <w:rFonts w:cs="Times-Bold"/>
                <w:b/>
                <w:bCs/>
                <w:sz w:val="20"/>
                <w:szCs w:val="20"/>
              </w:rPr>
              <w:t>Strategic</w:t>
            </w:r>
            <w:r>
              <w:rPr>
                <w:rFonts w:cs="Times-Bold"/>
                <w:bCs/>
                <w:sz w:val="20"/>
                <w:szCs w:val="20"/>
              </w:rPr>
              <w:t xml:space="preserve"> – The proposed </w:t>
            </w:r>
            <w:r w:rsidR="00DF090E">
              <w:rPr>
                <w:rFonts w:cs="Times-Bold"/>
                <w:bCs/>
                <w:sz w:val="20"/>
                <w:szCs w:val="20"/>
              </w:rPr>
              <w:t xml:space="preserve">guidance </w:t>
            </w:r>
            <w:r>
              <w:rPr>
                <w:rFonts w:cs="Times-Bold"/>
                <w:bCs/>
                <w:sz w:val="20"/>
                <w:szCs w:val="20"/>
              </w:rPr>
              <w:t xml:space="preserve">will provide </w:t>
            </w:r>
            <w:r w:rsidR="00DF090E">
              <w:rPr>
                <w:rFonts w:cs="Times-Bold"/>
                <w:bCs/>
                <w:sz w:val="20"/>
                <w:szCs w:val="20"/>
              </w:rPr>
              <w:t>decision</w:t>
            </w:r>
            <w:r w:rsidR="005022A7">
              <w:rPr>
                <w:rFonts w:cs="Times-Bold"/>
                <w:bCs/>
                <w:sz w:val="20"/>
                <w:szCs w:val="20"/>
              </w:rPr>
              <w:t>-</w:t>
            </w:r>
            <w:r w:rsidR="00DF090E">
              <w:rPr>
                <w:rFonts w:cs="Times-Bold"/>
                <w:bCs/>
                <w:sz w:val="20"/>
                <w:szCs w:val="20"/>
              </w:rPr>
              <w:t xml:space="preserve">making tools </w:t>
            </w:r>
            <w:r>
              <w:rPr>
                <w:rFonts w:cs="Times-Bold"/>
                <w:bCs/>
                <w:sz w:val="20"/>
                <w:szCs w:val="20"/>
              </w:rPr>
              <w:t xml:space="preserve">on the most fundamental element in the </w:t>
            </w:r>
            <w:proofErr w:type="spellStart"/>
            <w:r>
              <w:rPr>
                <w:rFonts w:cs="Times-Bold"/>
                <w:bCs/>
                <w:sz w:val="20"/>
                <w:szCs w:val="20"/>
              </w:rPr>
              <w:t>phytosanitary</w:t>
            </w:r>
            <w:proofErr w:type="spellEnd"/>
            <w:r>
              <w:rPr>
                <w:rFonts w:cs="Times-Bold"/>
                <w:bCs/>
                <w:sz w:val="20"/>
                <w:szCs w:val="20"/>
              </w:rPr>
              <w:t xml:space="preserve"> system, that is, </w:t>
            </w:r>
            <w:proofErr w:type="spellStart"/>
            <w:r>
              <w:rPr>
                <w:rFonts w:cs="Times-Bold"/>
                <w:bCs/>
                <w:sz w:val="20"/>
                <w:szCs w:val="20"/>
              </w:rPr>
              <w:t>phytosanitary</w:t>
            </w:r>
            <w:proofErr w:type="spellEnd"/>
            <w:r>
              <w:rPr>
                <w:rFonts w:cs="Times-Bold"/>
                <w:bCs/>
                <w:sz w:val="20"/>
                <w:szCs w:val="20"/>
              </w:rPr>
              <w:t xml:space="preserve"> assurances. Pest interceptions on consignments arriving at the importing country border occur frequently and this proposed </w:t>
            </w:r>
            <w:r w:rsidR="00DF090E">
              <w:rPr>
                <w:rFonts w:cs="Times-Bold"/>
                <w:bCs/>
                <w:sz w:val="20"/>
                <w:szCs w:val="20"/>
              </w:rPr>
              <w:t>guidance</w:t>
            </w:r>
            <w:r>
              <w:rPr>
                <w:rFonts w:cs="Times-Bold"/>
                <w:bCs/>
                <w:sz w:val="20"/>
                <w:szCs w:val="20"/>
              </w:rPr>
              <w:t xml:space="preserve"> will facilitate decision making on actions to take either pre-export or on-arrival in an importing country. </w:t>
            </w:r>
          </w:p>
          <w:p w:rsidR="00D97918" w:rsidRPr="00E86637" w:rsidRDefault="00D97918" w:rsidP="00D97918">
            <w:pPr>
              <w:autoSpaceDE w:val="0"/>
              <w:autoSpaceDN w:val="0"/>
              <w:adjustRightInd w:val="0"/>
              <w:rPr>
                <w:szCs w:val="22"/>
              </w:rPr>
            </w:pPr>
            <w:r>
              <w:rPr>
                <w:rFonts w:cs="Times-Bold"/>
                <w:bCs/>
                <w:sz w:val="20"/>
                <w:szCs w:val="20"/>
              </w:rPr>
              <w:t xml:space="preserve">The proposed </w:t>
            </w:r>
            <w:r w:rsidR="005022A7">
              <w:rPr>
                <w:rFonts w:cs="Times-Bold"/>
                <w:bCs/>
                <w:sz w:val="20"/>
                <w:szCs w:val="20"/>
              </w:rPr>
              <w:t>guidance</w:t>
            </w:r>
            <w:r>
              <w:rPr>
                <w:rFonts w:cs="Times-Bold"/>
                <w:bCs/>
                <w:sz w:val="20"/>
                <w:szCs w:val="20"/>
              </w:rPr>
              <w:t xml:space="preserve"> </w:t>
            </w:r>
            <w:proofErr w:type="gramStart"/>
            <w:r>
              <w:rPr>
                <w:rFonts w:cs="Times-Bold"/>
                <w:bCs/>
                <w:sz w:val="20"/>
                <w:szCs w:val="20"/>
              </w:rPr>
              <w:t>can be used</w:t>
            </w:r>
            <w:proofErr w:type="gramEnd"/>
            <w:r>
              <w:rPr>
                <w:rFonts w:cs="Times-Bold"/>
                <w:bCs/>
                <w:sz w:val="20"/>
                <w:szCs w:val="20"/>
              </w:rPr>
              <w:t xml:space="preserve"> by any NPPO for any pest and any treated commodity.  The foundation standards to which this proposed </w:t>
            </w:r>
            <w:r w:rsidR="005022A7">
              <w:rPr>
                <w:rFonts w:cs="Times-Bold"/>
                <w:bCs/>
                <w:sz w:val="20"/>
                <w:szCs w:val="20"/>
              </w:rPr>
              <w:t>guidance</w:t>
            </w:r>
            <w:r>
              <w:rPr>
                <w:rFonts w:cs="Times-Bold"/>
                <w:bCs/>
                <w:sz w:val="20"/>
                <w:szCs w:val="20"/>
              </w:rPr>
              <w:t xml:space="preserve"> applies </w:t>
            </w:r>
            <w:proofErr w:type="gramStart"/>
            <w:r>
              <w:rPr>
                <w:rFonts w:cs="Times-Bold"/>
                <w:bCs/>
                <w:sz w:val="20"/>
                <w:szCs w:val="20"/>
              </w:rPr>
              <w:t>are:</w:t>
            </w:r>
            <w:proofErr w:type="gramEnd"/>
            <w:r>
              <w:rPr>
                <w:rFonts w:cs="Times-Bold"/>
                <w:bCs/>
                <w:sz w:val="20"/>
                <w:szCs w:val="20"/>
              </w:rPr>
              <w:t xml:space="preserve">  </w:t>
            </w:r>
            <w:r>
              <w:rPr>
                <w:sz w:val="20"/>
                <w:szCs w:val="20"/>
              </w:rPr>
              <w:t xml:space="preserve">ISPM 13 </w:t>
            </w:r>
            <w:r>
              <w:rPr>
                <w:i/>
                <w:sz w:val="20"/>
                <w:szCs w:val="20"/>
              </w:rPr>
              <w:t xml:space="preserve">Guidelines for the notification of non-compliance and emergency </w:t>
            </w:r>
            <w:r w:rsidRPr="00F17EA6">
              <w:rPr>
                <w:sz w:val="20"/>
                <w:szCs w:val="20"/>
              </w:rPr>
              <w:t>action</w:t>
            </w:r>
            <w:r>
              <w:rPr>
                <w:sz w:val="20"/>
                <w:szCs w:val="20"/>
              </w:rPr>
              <w:t xml:space="preserve">, </w:t>
            </w:r>
            <w:r w:rsidRPr="00F17EA6">
              <w:rPr>
                <w:sz w:val="20"/>
                <w:szCs w:val="20"/>
              </w:rPr>
              <w:t>ISPM</w:t>
            </w:r>
            <w:r w:rsidRPr="0079652B">
              <w:rPr>
                <w:sz w:val="20"/>
                <w:szCs w:val="20"/>
              </w:rPr>
              <w:t xml:space="preserve"> 15 </w:t>
            </w:r>
            <w:r>
              <w:rPr>
                <w:i/>
                <w:sz w:val="20"/>
                <w:szCs w:val="20"/>
              </w:rPr>
              <w:t xml:space="preserve">Regulation of wood packaging material in international trade </w:t>
            </w:r>
            <w:r w:rsidRPr="0079652B">
              <w:rPr>
                <w:sz w:val="20"/>
                <w:szCs w:val="20"/>
              </w:rPr>
              <w:t>and ISPM 42</w:t>
            </w:r>
            <w:r>
              <w:rPr>
                <w:sz w:val="20"/>
                <w:szCs w:val="20"/>
              </w:rPr>
              <w:t xml:space="preserve"> </w:t>
            </w:r>
            <w:r w:rsidRPr="0079652B">
              <w:rPr>
                <w:i/>
                <w:iCs/>
                <w:sz w:val="20"/>
                <w:szCs w:val="20"/>
              </w:rPr>
              <w:t xml:space="preserve">Requirements for the use of temperature treatments as </w:t>
            </w:r>
            <w:proofErr w:type="spellStart"/>
            <w:r w:rsidRPr="0079652B">
              <w:rPr>
                <w:i/>
                <w:iCs/>
                <w:sz w:val="20"/>
                <w:szCs w:val="20"/>
              </w:rPr>
              <w:t>phytosanitary</w:t>
            </w:r>
            <w:proofErr w:type="spellEnd"/>
            <w:r w:rsidRPr="0079652B">
              <w:rPr>
                <w:i/>
                <w:iCs/>
                <w:sz w:val="20"/>
                <w:szCs w:val="20"/>
              </w:rPr>
              <w:t xml:space="preserve"> measures</w:t>
            </w:r>
            <w:r w:rsidRPr="0079652B">
              <w:rPr>
                <w:sz w:val="20"/>
                <w:szCs w:val="20"/>
              </w:rPr>
              <w:t xml:space="preserve">.  </w:t>
            </w:r>
          </w:p>
          <w:p w:rsidR="000B32EC" w:rsidRPr="00E86637" w:rsidRDefault="000B32EC" w:rsidP="00551ED4">
            <w:pPr>
              <w:autoSpaceDE w:val="0"/>
              <w:autoSpaceDN w:val="0"/>
              <w:adjustRightInd w:val="0"/>
              <w:rPr>
                <w:rFonts w:cs="Times-Roman"/>
                <w:sz w:val="18"/>
                <w:szCs w:val="18"/>
              </w:rPr>
            </w:pPr>
          </w:p>
        </w:tc>
      </w:tr>
      <w:tr w:rsidR="000B32EC" w:rsidRPr="00E86637" w:rsidTr="00551ED4">
        <w:trPr>
          <w:trHeight w:val="283"/>
          <w:jc w:val="center"/>
        </w:trPr>
        <w:tc>
          <w:tcPr>
            <w:tcW w:w="5000" w:type="pct"/>
          </w:tcPr>
          <w:p w:rsidR="000B32EC" w:rsidRDefault="00167857" w:rsidP="00167857">
            <w:pPr>
              <w:rPr>
                <w:sz w:val="18"/>
                <w:szCs w:val="18"/>
              </w:rPr>
            </w:pPr>
            <w:r w:rsidRPr="00F56C25">
              <w:rPr>
                <w:sz w:val="18"/>
                <w:szCs w:val="18"/>
              </w:rPr>
              <w:lastRenderedPageBreak/>
              <w:t>Feasibility of implementation at the global level (consider ease of implementation, technical complexity, capacity of NPPO(s) to implement, relevance for more than one region).</w:t>
            </w:r>
          </w:p>
          <w:p w:rsidR="00BB196F" w:rsidRDefault="00BB196F" w:rsidP="00BB196F">
            <w:pPr>
              <w:rPr>
                <w:sz w:val="20"/>
                <w:szCs w:val="20"/>
              </w:rPr>
            </w:pPr>
          </w:p>
          <w:p w:rsidR="00BB196F" w:rsidRDefault="00BB196F" w:rsidP="00BB196F">
            <w:pPr>
              <w:rPr>
                <w:sz w:val="20"/>
                <w:szCs w:val="20"/>
              </w:rPr>
            </w:pPr>
            <w:r w:rsidRPr="0079652B">
              <w:rPr>
                <w:sz w:val="20"/>
                <w:szCs w:val="20"/>
              </w:rPr>
              <w:t xml:space="preserve">The proposed </w:t>
            </w:r>
            <w:r>
              <w:rPr>
                <w:sz w:val="20"/>
                <w:szCs w:val="20"/>
              </w:rPr>
              <w:t>document</w:t>
            </w:r>
            <w:r w:rsidRPr="0079652B">
              <w:rPr>
                <w:sz w:val="20"/>
                <w:szCs w:val="20"/>
              </w:rPr>
              <w:t xml:space="preserve"> is feasible </w:t>
            </w:r>
            <w:r>
              <w:rPr>
                <w:sz w:val="20"/>
                <w:szCs w:val="20"/>
              </w:rPr>
              <w:t xml:space="preserve">because </w:t>
            </w:r>
            <w:r w:rsidRPr="0079652B">
              <w:rPr>
                <w:sz w:val="20"/>
                <w:szCs w:val="20"/>
              </w:rPr>
              <w:t xml:space="preserve">it will provide </w:t>
            </w:r>
            <w:r w:rsidR="00D97918">
              <w:rPr>
                <w:sz w:val="20"/>
                <w:szCs w:val="20"/>
              </w:rPr>
              <w:t xml:space="preserve">implementation </w:t>
            </w:r>
            <w:r w:rsidRPr="0079652B">
              <w:rPr>
                <w:sz w:val="20"/>
                <w:szCs w:val="20"/>
              </w:rPr>
              <w:t xml:space="preserve">guidance to exporting NPPOs for making decisions about the application of a treatment for the issuance of </w:t>
            </w:r>
            <w:proofErr w:type="spellStart"/>
            <w:r w:rsidRPr="0079652B">
              <w:rPr>
                <w:sz w:val="20"/>
                <w:szCs w:val="20"/>
              </w:rPr>
              <w:t>phytosanitary</w:t>
            </w:r>
            <w:proofErr w:type="spellEnd"/>
            <w:r w:rsidRPr="0079652B">
              <w:rPr>
                <w:sz w:val="20"/>
                <w:szCs w:val="20"/>
              </w:rPr>
              <w:t xml:space="preserve"> certificates</w:t>
            </w:r>
            <w:r>
              <w:rPr>
                <w:sz w:val="20"/>
                <w:szCs w:val="20"/>
              </w:rPr>
              <w:t xml:space="preserve">. It does not necessarily need to </w:t>
            </w:r>
            <w:proofErr w:type="gramStart"/>
            <w:r>
              <w:rPr>
                <w:sz w:val="20"/>
                <w:szCs w:val="20"/>
              </w:rPr>
              <w:t>be adhered</w:t>
            </w:r>
            <w:proofErr w:type="gramEnd"/>
            <w:r>
              <w:rPr>
                <w:sz w:val="20"/>
                <w:szCs w:val="20"/>
              </w:rPr>
              <w:t xml:space="preserve"> to but will provide information for consistent decision-making. </w:t>
            </w:r>
            <w:proofErr w:type="gramStart"/>
            <w:r>
              <w:rPr>
                <w:sz w:val="20"/>
                <w:szCs w:val="20"/>
              </w:rPr>
              <w:t>Also</w:t>
            </w:r>
            <w:proofErr w:type="gramEnd"/>
            <w:r>
              <w:rPr>
                <w:sz w:val="20"/>
                <w:szCs w:val="20"/>
              </w:rPr>
              <w:t>, it will assist</w:t>
            </w:r>
            <w:r w:rsidRPr="0079652B">
              <w:rPr>
                <w:sz w:val="20"/>
                <w:szCs w:val="20"/>
              </w:rPr>
              <w:t xml:space="preserve"> importing NPPOs with interpreting verification results. </w:t>
            </w:r>
          </w:p>
          <w:p w:rsidR="00167857" w:rsidRPr="00E86637" w:rsidRDefault="00167857" w:rsidP="00167857">
            <w:pPr>
              <w:rPr>
                <w:rFonts w:cs="Times-Bold"/>
                <w:bCs/>
                <w:sz w:val="20"/>
                <w:szCs w:val="20"/>
                <w:u w:val="single"/>
              </w:rPr>
            </w:pPr>
          </w:p>
        </w:tc>
      </w:tr>
      <w:tr w:rsidR="000B32EC" w:rsidRPr="00E86637" w:rsidTr="00551ED4">
        <w:trPr>
          <w:trHeight w:val="125"/>
          <w:jc w:val="center"/>
        </w:trPr>
        <w:tc>
          <w:tcPr>
            <w:tcW w:w="5000" w:type="pct"/>
          </w:tcPr>
          <w:p w:rsidR="000B32EC" w:rsidRDefault="00167857" w:rsidP="00167857">
            <w:pPr>
              <w:autoSpaceDE w:val="0"/>
              <w:autoSpaceDN w:val="0"/>
              <w:adjustRightInd w:val="0"/>
              <w:rPr>
                <w:sz w:val="18"/>
                <w:szCs w:val="18"/>
              </w:rPr>
            </w:pPr>
            <w:r w:rsidRPr="00F56C25">
              <w:rPr>
                <w:sz w:val="18"/>
                <w:szCs w:val="18"/>
              </w:rPr>
              <w:t>Clear identification of the problems that need to be resolved through the development of the standard or implementation resource.</w:t>
            </w:r>
          </w:p>
          <w:p w:rsidR="00BB196F" w:rsidRDefault="00BB196F" w:rsidP="00BB196F">
            <w:pPr>
              <w:spacing w:line="259" w:lineRule="auto"/>
              <w:jc w:val="left"/>
              <w:rPr>
                <w:sz w:val="20"/>
                <w:szCs w:val="20"/>
              </w:rPr>
            </w:pPr>
          </w:p>
          <w:p w:rsidR="00BB196F" w:rsidRDefault="00BB196F" w:rsidP="00BB196F">
            <w:pPr>
              <w:spacing w:line="259" w:lineRule="auto"/>
              <w:jc w:val="left"/>
              <w:rPr>
                <w:sz w:val="20"/>
                <w:szCs w:val="20"/>
              </w:rPr>
            </w:pPr>
            <w:r w:rsidRPr="00BB196F">
              <w:rPr>
                <w:sz w:val="20"/>
                <w:szCs w:val="20"/>
              </w:rPr>
              <w:t xml:space="preserve">The detection of live non-target organisms (regulated or non-regulated) on treated pathways can cast doubt on official assurances. This is because if a treatment has failed to kill the non-target pest (assuming it should also be killed by the treatment) then how confident are we that any target pest was killed. </w:t>
            </w:r>
          </w:p>
          <w:p w:rsidR="00730E9E" w:rsidRPr="00BB196F" w:rsidRDefault="00730E9E" w:rsidP="00BB196F">
            <w:pPr>
              <w:spacing w:line="259" w:lineRule="auto"/>
              <w:jc w:val="left"/>
              <w:rPr>
                <w:sz w:val="20"/>
                <w:szCs w:val="20"/>
              </w:rPr>
            </w:pPr>
          </w:p>
          <w:p w:rsidR="00BB196F" w:rsidRPr="00BB196F" w:rsidRDefault="00BB196F" w:rsidP="00BB196F">
            <w:pPr>
              <w:spacing w:line="259" w:lineRule="auto"/>
              <w:jc w:val="left"/>
              <w:rPr>
                <w:sz w:val="20"/>
                <w:szCs w:val="20"/>
              </w:rPr>
            </w:pPr>
            <w:r w:rsidRPr="00BB196F">
              <w:rPr>
                <w:sz w:val="20"/>
                <w:szCs w:val="20"/>
              </w:rPr>
              <w:t>Development of the implementation resource will</w:t>
            </w:r>
            <w:r w:rsidR="005022A7">
              <w:rPr>
                <w:sz w:val="20"/>
                <w:szCs w:val="20"/>
              </w:rPr>
              <w:t xml:space="preserve"> result in assist with decision-</w:t>
            </w:r>
            <w:r w:rsidRPr="00BB196F">
              <w:rPr>
                <w:sz w:val="20"/>
                <w:szCs w:val="20"/>
              </w:rPr>
              <w:t xml:space="preserve">making on pre-export </w:t>
            </w:r>
            <w:r w:rsidR="005022A7">
              <w:rPr>
                <w:sz w:val="20"/>
                <w:szCs w:val="20"/>
              </w:rPr>
              <w:t xml:space="preserve">and on-arrival </w:t>
            </w:r>
            <w:r w:rsidRPr="00BB196F">
              <w:rPr>
                <w:sz w:val="20"/>
                <w:szCs w:val="20"/>
              </w:rPr>
              <w:t>measures and emergency actions.</w:t>
            </w:r>
          </w:p>
          <w:p w:rsidR="000B32EC" w:rsidRPr="00F56C25" w:rsidRDefault="000B32EC" w:rsidP="00551ED4">
            <w:pPr>
              <w:autoSpaceDE w:val="0"/>
              <w:autoSpaceDN w:val="0"/>
              <w:adjustRightInd w:val="0"/>
              <w:rPr>
                <w:rFonts w:cs="Times-Roman"/>
                <w:sz w:val="18"/>
                <w:szCs w:val="18"/>
              </w:rPr>
            </w:pPr>
          </w:p>
        </w:tc>
      </w:tr>
      <w:tr w:rsidR="000B32EC" w:rsidRPr="00E86637" w:rsidTr="00551ED4">
        <w:trPr>
          <w:trHeight w:val="397"/>
          <w:jc w:val="center"/>
        </w:trPr>
        <w:tc>
          <w:tcPr>
            <w:tcW w:w="5000" w:type="pct"/>
          </w:tcPr>
          <w:p w:rsidR="000B32EC" w:rsidRDefault="00167857" w:rsidP="00167857">
            <w:pPr>
              <w:autoSpaceDE w:val="0"/>
              <w:autoSpaceDN w:val="0"/>
              <w:adjustRightInd w:val="0"/>
              <w:rPr>
                <w:sz w:val="18"/>
                <w:szCs w:val="18"/>
              </w:rPr>
            </w:pPr>
            <w:r w:rsidRPr="00F56C25">
              <w:rPr>
                <w:sz w:val="18"/>
                <w:szCs w:val="18"/>
              </w:rPr>
              <w:t>Availability of, or possibility to collect, information in support of the proposed standard or implementation resource (e.g. scientific, historical, technical information, experience).</w:t>
            </w:r>
          </w:p>
          <w:p w:rsidR="00D97918" w:rsidRDefault="00D97918" w:rsidP="00167857">
            <w:pPr>
              <w:autoSpaceDE w:val="0"/>
              <w:autoSpaceDN w:val="0"/>
              <w:adjustRightInd w:val="0"/>
              <w:rPr>
                <w:sz w:val="18"/>
                <w:szCs w:val="18"/>
              </w:rPr>
            </w:pPr>
          </w:p>
          <w:p w:rsidR="00D97918" w:rsidRDefault="00D97918" w:rsidP="00D97918">
            <w:pPr>
              <w:autoSpaceDE w:val="0"/>
              <w:autoSpaceDN w:val="0"/>
              <w:adjustRightInd w:val="0"/>
              <w:rPr>
                <w:sz w:val="20"/>
                <w:szCs w:val="20"/>
              </w:rPr>
            </w:pPr>
            <w:r w:rsidRPr="004A04CE">
              <w:rPr>
                <w:sz w:val="20"/>
                <w:szCs w:val="20"/>
              </w:rPr>
              <w:t xml:space="preserve">New Zealand has developed an internal guidance document for making risk management decisions on this topic. </w:t>
            </w:r>
            <w:proofErr w:type="gramStart"/>
            <w:r w:rsidRPr="004A04CE">
              <w:rPr>
                <w:sz w:val="20"/>
                <w:szCs w:val="20"/>
              </w:rPr>
              <w:t xml:space="preserve">The guidance document was supported by a paper presented by New Zealand at the </w:t>
            </w:r>
            <w:proofErr w:type="spellStart"/>
            <w:r w:rsidRPr="004A04CE">
              <w:rPr>
                <w:sz w:val="20"/>
                <w:szCs w:val="20"/>
              </w:rPr>
              <w:t>Phytosanitary</w:t>
            </w:r>
            <w:proofErr w:type="spellEnd"/>
            <w:r w:rsidRPr="004A04CE">
              <w:rPr>
                <w:sz w:val="20"/>
                <w:szCs w:val="20"/>
              </w:rPr>
              <w:t xml:space="preserve"> Measures Research Group (PMRG) at th</w:t>
            </w:r>
            <w:r>
              <w:rPr>
                <w:sz w:val="20"/>
                <w:szCs w:val="20"/>
              </w:rPr>
              <w:t>e Netherlands in 2017</w:t>
            </w:r>
            <w:proofErr w:type="gramEnd"/>
            <w:r>
              <w:rPr>
                <w:sz w:val="20"/>
                <w:szCs w:val="20"/>
              </w:rPr>
              <w:t>.</w:t>
            </w:r>
          </w:p>
          <w:p w:rsidR="000B32EC" w:rsidRPr="00E86637" w:rsidRDefault="000B32EC" w:rsidP="00551ED4">
            <w:pPr>
              <w:autoSpaceDE w:val="0"/>
              <w:autoSpaceDN w:val="0"/>
              <w:adjustRightInd w:val="0"/>
              <w:rPr>
                <w:rFonts w:cs="Times-Roman"/>
                <w:sz w:val="18"/>
                <w:szCs w:val="18"/>
              </w:rPr>
            </w:pPr>
          </w:p>
        </w:tc>
      </w:tr>
    </w:tbl>
    <w:p w:rsidR="000B32EC" w:rsidRDefault="000B32EC" w:rsidP="000B32EC"/>
    <w:tbl>
      <w:tblPr>
        <w:tblpPr w:leftFromText="180" w:rightFromText="180" w:vertAnchor="text" w:tblpXSpec="center" w:tblpY="1"/>
        <w:tblOverlap w:val="neve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786"/>
      </w:tblGrid>
      <w:tr w:rsidR="000B32EC" w:rsidRPr="00E86637" w:rsidTr="00FD01BE">
        <w:trPr>
          <w:trHeight w:val="388"/>
        </w:trPr>
        <w:tc>
          <w:tcPr>
            <w:tcW w:w="9786" w:type="dxa"/>
            <w:tcMar>
              <w:top w:w="28" w:type="dxa"/>
              <w:bottom w:w="57" w:type="dxa"/>
            </w:tcMar>
          </w:tcPr>
          <w:p w:rsidR="000B32EC" w:rsidRPr="00F56C25" w:rsidRDefault="000B32EC" w:rsidP="00551ED4">
            <w:pPr>
              <w:autoSpaceDE w:val="0"/>
              <w:autoSpaceDN w:val="0"/>
              <w:adjustRightInd w:val="0"/>
              <w:rPr>
                <w:rFonts w:cs="Times-Bold"/>
                <w:b/>
                <w:sz w:val="18"/>
                <w:szCs w:val="18"/>
              </w:rPr>
            </w:pPr>
            <w:r w:rsidRPr="00F56C25">
              <w:rPr>
                <w:rFonts w:cs="Times-Bold"/>
                <w:b/>
                <w:sz w:val="20"/>
                <w:szCs w:val="20"/>
              </w:rPr>
              <w:t>Supporting criteria (information may be provided, as appropriate):</w:t>
            </w:r>
          </w:p>
        </w:tc>
      </w:tr>
      <w:tr w:rsidR="000B32EC" w:rsidRPr="00E86637" w:rsidTr="00FD01BE">
        <w:trPr>
          <w:trHeight w:val="668"/>
        </w:trPr>
        <w:tc>
          <w:tcPr>
            <w:tcW w:w="9786" w:type="dxa"/>
            <w:tcMar>
              <w:top w:w="28" w:type="dxa"/>
              <w:bottom w:w="57" w:type="dxa"/>
            </w:tcMar>
          </w:tcPr>
          <w:p w:rsidR="000B32EC" w:rsidRPr="00F56C25" w:rsidRDefault="000B32EC" w:rsidP="00551ED4">
            <w:pPr>
              <w:autoSpaceDE w:val="0"/>
              <w:autoSpaceDN w:val="0"/>
              <w:adjustRightInd w:val="0"/>
              <w:rPr>
                <w:rFonts w:cs="Times-Bold"/>
                <w:b/>
                <w:bCs/>
                <w:sz w:val="18"/>
                <w:szCs w:val="18"/>
                <w:u w:val="single"/>
              </w:rPr>
            </w:pPr>
            <w:r w:rsidRPr="00F56C25">
              <w:rPr>
                <w:rFonts w:cs="Times-Bold"/>
                <w:b/>
                <w:bCs/>
                <w:sz w:val="18"/>
                <w:szCs w:val="18"/>
                <w:u w:val="single"/>
              </w:rPr>
              <w:t>Supporting criteria (Practical)</w:t>
            </w:r>
          </w:p>
          <w:p w:rsidR="00167857" w:rsidRPr="00F56C25" w:rsidRDefault="00167857" w:rsidP="00167857">
            <w:pPr>
              <w:pStyle w:val="ListParagraph"/>
              <w:numPr>
                <w:ilvl w:val="0"/>
                <w:numId w:val="6"/>
              </w:numPr>
              <w:autoSpaceDE w:val="0"/>
              <w:autoSpaceDN w:val="0"/>
              <w:adjustRightInd w:val="0"/>
              <w:rPr>
                <w:sz w:val="18"/>
                <w:szCs w:val="18"/>
              </w:rPr>
            </w:pPr>
            <w:r w:rsidRPr="00F56C25">
              <w:rPr>
                <w:sz w:val="18"/>
                <w:szCs w:val="18"/>
              </w:rPr>
              <w:t xml:space="preserve">Is there a regional standard and/or implementation resource on the same topic already available and used by NPPOs, RPPOs or international </w:t>
            </w:r>
            <w:proofErr w:type="gramStart"/>
            <w:r w:rsidRPr="00F56C25">
              <w:rPr>
                <w:sz w:val="18"/>
                <w:szCs w:val="18"/>
              </w:rPr>
              <w:t>organizations.</w:t>
            </w:r>
            <w:proofErr w:type="gramEnd"/>
          </w:p>
          <w:p w:rsidR="000B32EC" w:rsidRPr="00F56C25" w:rsidRDefault="00167857" w:rsidP="00167857">
            <w:pPr>
              <w:pStyle w:val="ListParagraph"/>
              <w:numPr>
                <w:ilvl w:val="0"/>
                <w:numId w:val="6"/>
              </w:numPr>
              <w:autoSpaceDE w:val="0"/>
              <w:autoSpaceDN w:val="0"/>
              <w:adjustRightInd w:val="0"/>
              <w:rPr>
                <w:sz w:val="18"/>
                <w:szCs w:val="18"/>
              </w:rPr>
            </w:pPr>
            <w:r w:rsidRPr="00F56C25">
              <w:rPr>
                <w:sz w:val="18"/>
                <w:szCs w:val="18"/>
              </w:rPr>
              <w:t xml:space="preserve">Availability of expertise needed to develop the proposed standard and/or implementation resource. </w:t>
            </w:r>
          </w:p>
        </w:tc>
      </w:tr>
      <w:tr w:rsidR="000B32EC" w:rsidRPr="00E86637" w:rsidTr="00FD01BE">
        <w:trPr>
          <w:trHeight w:val="869"/>
        </w:trPr>
        <w:tc>
          <w:tcPr>
            <w:tcW w:w="9786" w:type="dxa"/>
            <w:tcMar>
              <w:top w:w="28" w:type="dxa"/>
              <w:bottom w:w="57" w:type="dxa"/>
            </w:tcMar>
          </w:tcPr>
          <w:p w:rsidR="000B32EC" w:rsidRPr="00F56C25" w:rsidRDefault="000B32EC" w:rsidP="00551ED4">
            <w:pPr>
              <w:autoSpaceDE w:val="0"/>
              <w:autoSpaceDN w:val="0"/>
              <w:adjustRightInd w:val="0"/>
              <w:ind w:left="709" w:hanging="709"/>
              <w:rPr>
                <w:rFonts w:cs="Times-Bold"/>
                <w:b/>
                <w:bCs/>
                <w:sz w:val="18"/>
                <w:szCs w:val="18"/>
              </w:rPr>
            </w:pPr>
            <w:r w:rsidRPr="00F56C25">
              <w:rPr>
                <w:rFonts w:cs="Times-Bold"/>
                <w:b/>
                <w:bCs/>
                <w:sz w:val="18"/>
                <w:szCs w:val="18"/>
                <w:u w:val="single"/>
              </w:rPr>
              <w:t>Supporting criteria (Economic)</w:t>
            </w:r>
          </w:p>
          <w:p w:rsidR="00167857" w:rsidRPr="00F56C25" w:rsidRDefault="00167857" w:rsidP="00167857">
            <w:pPr>
              <w:pStyle w:val="ListParagraph"/>
              <w:numPr>
                <w:ilvl w:val="0"/>
                <w:numId w:val="8"/>
              </w:numPr>
              <w:tabs>
                <w:tab w:val="left" w:pos="720"/>
              </w:tabs>
              <w:rPr>
                <w:sz w:val="18"/>
                <w:szCs w:val="18"/>
              </w:rPr>
            </w:pPr>
            <w:r w:rsidRPr="00F56C25">
              <w:rPr>
                <w:sz w:val="18"/>
                <w:szCs w:val="18"/>
              </w:rPr>
              <w:t>Estimated value of the plants protected.</w:t>
            </w:r>
          </w:p>
          <w:p w:rsidR="000B32EC" w:rsidRPr="00F56C25" w:rsidRDefault="00167857" w:rsidP="00167857">
            <w:pPr>
              <w:pStyle w:val="ListParagraph"/>
              <w:numPr>
                <w:ilvl w:val="0"/>
                <w:numId w:val="8"/>
              </w:numPr>
              <w:tabs>
                <w:tab w:val="left" w:pos="720"/>
              </w:tabs>
              <w:rPr>
                <w:sz w:val="18"/>
                <w:szCs w:val="18"/>
              </w:rPr>
            </w:pPr>
            <w:r w:rsidRPr="00F56C25">
              <w:rPr>
                <w:sz w:val="18"/>
                <w:szCs w:val="18"/>
              </w:rPr>
              <w:t>Estimated value of trade including new trade opportunities affected by the proposed standard and/or implementation resource (e.g. volume of trade, value of trade, the percentage of Gross Domestic Product of this trade) if appropriate.</w:t>
            </w:r>
          </w:p>
        </w:tc>
      </w:tr>
      <w:tr w:rsidR="000B32EC" w:rsidRPr="00E86637" w:rsidTr="00FD01BE">
        <w:trPr>
          <w:trHeight w:val="781"/>
        </w:trPr>
        <w:tc>
          <w:tcPr>
            <w:tcW w:w="9786" w:type="dxa"/>
            <w:tcMar>
              <w:top w:w="28" w:type="dxa"/>
              <w:bottom w:w="57" w:type="dxa"/>
            </w:tcMar>
          </w:tcPr>
          <w:p w:rsidR="000B32EC" w:rsidRPr="00F56C25" w:rsidRDefault="000B32EC" w:rsidP="00551ED4">
            <w:pPr>
              <w:autoSpaceDE w:val="0"/>
              <w:autoSpaceDN w:val="0"/>
              <w:adjustRightInd w:val="0"/>
              <w:ind w:left="709" w:hanging="709"/>
              <w:rPr>
                <w:rFonts w:cs="Times-Bold"/>
                <w:b/>
                <w:bCs/>
                <w:sz w:val="18"/>
                <w:szCs w:val="18"/>
              </w:rPr>
            </w:pPr>
            <w:r w:rsidRPr="00F56C25">
              <w:rPr>
                <w:rFonts w:cs="Times-Bold"/>
                <w:b/>
                <w:bCs/>
                <w:sz w:val="18"/>
                <w:szCs w:val="18"/>
                <w:u w:val="single"/>
              </w:rPr>
              <w:t>Supporting criteria (Environmental)</w:t>
            </w:r>
          </w:p>
          <w:p w:rsidR="00167857" w:rsidRPr="00F56C25" w:rsidRDefault="00167857" w:rsidP="00167857">
            <w:pPr>
              <w:pStyle w:val="ListParagraph"/>
              <w:numPr>
                <w:ilvl w:val="0"/>
                <w:numId w:val="10"/>
              </w:numPr>
              <w:tabs>
                <w:tab w:val="left" w:pos="720"/>
              </w:tabs>
              <w:rPr>
                <w:sz w:val="18"/>
                <w:szCs w:val="18"/>
              </w:rPr>
            </w:pPr>
            <w:r w:rsidRPr="00F56C25">
              <w:rPr>
                <w:sz w:val="18"/>
                <w:szCs w:val="18"/>
              </w:rPr>
              <w:t xml:space="preserve">Utility to reduce the potential negative environmental consequences of certain </w:t>
            </w:r>
            <w:proofErr w:type="spellStart"/>
            <w:r w:rsidRPr="00F56C25">
              <w:rPr>
                <w:sz w:val="18"/>
                <w:szCs w:val="18"/>
              </w:rPr>
              <w:t>phytosanitary</w:t>
            </w:r>
            <w:proofErr w:type="spellEnd"/>
            <w:r w:rsidRPr="00F56C25">
              <w:rPr>
                <w:sz w:val="18"/>
                <w:szCs w:val="18"/>
              </w:rPr>
              <w:t xml:space="preserve"> measures, for example reduction in global emissions for the protection of the ozone layer.</w:t>
            </w:r>
          </w:p>
          <w:p w:rsidR="00167857" w:rsidRPr="00F56C25" w:rsidRDefault="00167857" w:rsidP="00167857">
            <w:pPr>
              <w:pStyle w:val="ListParagraph"/>
              <w:numPr>
                <w:ilvl w:val="0"/>
                <w:numId w:val="10"/>
              </w:numPr>
              <w:tabs>
                <w:tab w:val="left" w:pos="720"/>
              </w:tabs>
              <w:rPr>
                <w:sz w:val="18"/>
                <w:szCs w:val="18"/>
              </w:rPr>
            </w:pPr>
            <w:r w:rsidRPr="00F56C25">
              <w:rPr>
                <w:sz w:val="18"/>
                <w:szCs w:val="18"/>
              </w:rPr>
              <w:t xml:space="preserve">Utility in the management of non-indigenous </w:t>
            </w:r>
            <w:proofErr w:type="gramStart"/>
            <w:r w:rsidRPr="00F56C25">
              <w:rPr>
                <w:sz w:val="18"/>
                <w:szCs w:val="18"/>
              </w:rPr>
              <w:t>species which</w:t>
            </w:r>
            <w:proofErr w:type="gramEnd"/>
            <w:r w:rsidRPr="00F56C25">
              <w:rPr>
                <w:sz w:val="18"/>
                <w:szCs w:val="18"/>
              </w:rPr>
              <w:t xml:space="preserve"> are pests of plants (such as some invasive alien species).</w:t>
            </w:r>
          </w:p>
          <w:p w:rsidR="000B32EC" w:rsidRPr="00F56C25" w:rsidRDefault="00167857" w:rsidP="00167857">
            <w:pPr>
              <w:pStyle w:val="ListParagraph"/>
              <w:numPr>
                <w:ilvl w:val="0"/>
                <w:numId w:val="10"/>
              </w:numPr>
              <w:tabs>
                <w:tab w:val="left" w:pos="720"/>
              </w:tabs>
              <w:rPr>
                <w:sz w:val="18"/>
                <w:szCs w:val="18"/>
              </w:rPr>
            </w:pPr>
            <w:r w:rsidRPr="00F56C25">
              <w:rPr>
                <w:sz w:val="18"/>
                <w:szCs w:val="18"/>
              </w:rPr>
              <w:t>Contribution to the protection of the environment, through the protection of wild flora, and their habitats and ecosystems, and of agricultural biodiversity.</w:t>
            </w:r>
          </w:p>
        </w:tc>
      </w:tr>
      <w:tr w:rsidR="000B32EC" w:rsidRPr="00E86637" w:rsidTr="00FD01BE">
        <w:trPr>
          <w:trHeight w:val="1988"/>
        </w:trPr>
        <w:tc>
          <w:tcPr>
            <w:tcW w:w="9786" w:type="dxa"/>
            <w:tcMar>
              <w:top w:w="28" w:type="dxa"/>
              <w:bottom w:w="57" w:type="dxa"/>
            </w:tcMar>
          </w:tcPr>
          <w:p w:rsidR="000B32EC" w:rsidRPr="00F56C25" w:rsidRDefault="000B32EC" w:rsidP="00551ED4">
            <w:pPr>
              <w:autoSpaceDE w:val="0"/>
              <w:autoSpaceDN w:val="0"/>
              <w:adjustRightInd w:val="0"/>
              <w:ind w:left="709" w:hanging="709"/>
              <w:rPr>
                <w:rFonts w:cs="Times-Bold"/>
                <w:b/>
                <w:bCs/>
                <w:sz w:val="18"/>
                <w:szCs w:val="18"/>
              </w:rPr>
            </w:pPr>
            <w:r w:rsidRPr="00F56C25">
              <w:rPr>
                <w:rFonts w:cs="Times-Bold"/>
                <w:b/>
                <w:bCs/>
                <w:sz w:val="18"/>
                <w:szCs w:val="18"/>
                <w:u w:val="single"/>
              </w:rPr>
              <w:t>Supporting criteria (Strategic)</w:t>
            </w:r>
          </w:p>
          <w:p w:rsidR="00167857" w:rsidRPr="00F56C25" w:rsidRDefault="00167857" w:rsidP="00167857">
            <w:pPr>
              <w:pStyle w:val="ListParagraph"/>
              <w:numPr>
                <w:ilvl w:val="0"/>
                <w:numId w:val="12"/>
              </w:numPr>
              <w:tabs>
                <w:tab w:val="left" w:pos="720"/>
              </w:tabs>
              <w:rPr>
                <w:sz w:val="18"/>
                <w:szCs w:val="18"/>
              </w:rPr>
            </w:pPr>
            <w:r w:rsidRPr="00F56C25">
              <w:rPr>
                <w:sz w:val="18"/>
                <w:szCs w:val="18"/>
              </w:rPr>
              <w:t>Extent of support for the proposed standard and/or implementation resource (</w:t>
            </w:r>
            <w:proofErr w:type="gramStart"/>
            <w:r w:rsidRPr="00F56C25">
              <w:rPr>
                <w:sz w:val="18"/>
                <w:szCs w:val="18"/>
              </w:rPr>
              <w:t>e.g.</w:t>
            </w:r>
            <w:proofErr w:type="gramEnd"/>
            <w:r w:rsidRPr="00F56C25">
              <w:rPr>
                <w:sz w:val="18"/>
                <w:szCs w:val="18"/>
              </w:rPr>
              <w:t xml:space="preserve"> one or more NPPOs or RPPOs have requested it, or one or more RPPOs have adopted a standard on the same topic).</w:t>
            </w:r>
          </w:p>
          <w:p w:rsidR="00167857" w:rsidRPr="00F56C25" w:rsidRDefault="00167857" w:rsidP="00167857">
            <w:pPr>
              <w:pStyle w:val="ListParagraph"/>
              <w:numPr>
                <w:ilvl w:val="0"/>
                <w:numId w:val="12"/>
              </w:numPr>
              <w:tabs>
                <w:tab w:val="left" w:pos="720"/>
              </w:tabs>
              <w:rPr>
                <w:sz w:val="18"/>
                <w:szCs w:val="18"/>
              </w:rPr>
            </w:pPr>
            <w:r w:rsidRPr="00F56C25">
              <w:rPr>
                <w:sz w:val="18"/>
                <w:szCs w:val="18"/>
              </w:rPr>
              <w:t>Frequency with which the issue to be addressed, as identified in the submission emerges as a source of trade disruption (e.g. disputes or need for repeated bilateral discussions, number of times per year trade is disrupted).</w:t>
            </w:r>
          </w:p>
          <w:p w:rsidR="00167857" w:rsidRPr="00F56C25" w:rsidRDefault="00167857" w:rsidP="00167857">
            <w:pPr>
              <w:pStyle w:val="ListParagraph"/>
              <w:numPr>
                <w:ilvl w:val="0"/>
                <w:numId w:val="12"/>
              </w:numPr>
              <w:tabs>
                <w:tab w:val="left" w:pos="720"/>
              </w:tabs>
              <w:rPr>
                <w:sz w:val="18"/>
                <w:szCs w:val="18"/>
              </w:rPr>
            </w:pPr>
            <w:r w:rsidRPr="00F56C25">
              <w:rPr>
                <w:sz w:val="18"/>
                <w:szCs w:val="18"/>
              </w:rPr>
              <w:t>Relevance and utility to developing countries.</w:t>
            </w:r>
          </w:p>
          <w:p w:rsidR="00167857" w:rsidRPr="00F56C25" w:rsidRDefault="00167857" w:rsidP="00167857">
            <w:pPr>
              <w:pStyle w:val="ListParagraph"/>
              <w:numPr>
                <w:ilvl w:val="0"/>
                <w:numId w:val="12"/>
              </w:numPr>
              <w:tabs>
                <w:tab w:val="left" w:pos="720"/>
              </w:tabs>
              <w:rPr>
                <w:sz w:val="18"/>
                <w:szCs w:val="18"/>
              </w:rPr>
            </w:pPr>
            <w:r w:rsidRPr="00F56C25">
              <w:rPr>
                <w:sz w:val="18"/>
                <w:szCs w:val="18"/>
              </w:rPr>
              <w:t>Coverage (application to a wide range of countries/pests/commodities).</w:t>
            </w:r>
          </w:p>
          <w:p w:rsidR="00167857" w:rsidRPr="00F56C25" w:rsidRDefault="00167857" w:rsidP="00167857">
            <w:pPr>
              <w:pStyle w:val="ListParagraph"/>
              <w:numPr>
                <w:ilvl w:val="0"/>
                <w:numId w:val="12"/>
              </w:numPr>
              <w:tabs>
                <w:tab w:val="left" w:pos="720"/>
              </w:tabs>
              <w:rPr>
                <w:sz w:val="18"/>
                <w:szCs w:val="18"/>
              </w:rPr>
            </w:pPr>
            <w:r w:rsidRPr="00F56C25">
              <w:rPr>
                <w:sz w:val="18"/>
                <w:szCs w:val="18"/>
              </w:rPr>
              <w:t xml:space="preserve">Complements other standards and/or implementation resources (e.g. potential for the standard to </w:t>
            </w:r>
            <w:proofErr w:type="gramStart"/>
            <w:r w:rsidRPr="00F56C25">
              <w:rPr>
                <w:sz w:val="18"/>
                <w:szCs w:val="18"/>
              </w:rPr>
              <w:t>be used</w:t>
            </w:r>
            <w:proofErr w:type="gramEnd"/>
            <w:r w:rsidRPr="00F56C25">
              <w:rPr>
                <w:sz w:val="18"/>
                <w:szCs w:val="18"/>
              </w:rPr>
              <w:t xml:space="preserve"> as part of a systems approach for one pest, complement treatments for other pests).</w:t>
            </w:r>
          </w:p>
          <w:p w:rsidR="00167857" w:rsidRPr="00F56C25" w:rsidRDefault="00167857" w:rsidP="00167857">
            <w:pPr>
              <w:pStyle w:val="ListParagraph"/>
              <w:numPr>
                <w:ilvl w:val="0"/>
                <w:numId w:val="12"/>
              </w:numPr>
              <w:tabs>
                <w:tab w:val="left" w:pos="720"/>
              </w:tabs>
              <w:rPr>
                <w:sz w:val="18"/>
                <w:szCs w:val="18"/>
              </w:rPr>
            </w:pPr>
            <w:r w:rsidRPr="00F56C25">
              <w:rPr>
                <w:sz w:val="18"/>
                <w:szCs w:val="18"/>
              </w:rPr>
              <w:t>Conceptual standard and/or implementation resource to address fundamental concepts (e.g. treatment efficacy, inspection methodology).</w:t>
            </w:r>
          </w:p>
          <w:p w:rsidR="000B32EC" w:rsidRPr="00F56C25" w:rsidRDefault="00167857" w:rsidP="00167857">
            <w:pPr>
              <w:pStyle w:val="ListParagraph"/>
              <w:numPr>
                <w:ilvl w:val="0"/>
                <w:numId w:val="12"/>
              </w:numPr>
              <w:tabs>
                <w:tab w:val="left" w:pos="720"/>
              </w:tabs>
              <w:rPr>
                <w:sz w:val="18"/>
                <w:szCs w:val="18"/>
              </w:rPr>
            </w:pPr>
            <w:r w:rsidRPr="00F56C25">
              <w:rPr>
                <w:sz w:val="18"/>
                <w:szCs w:val="18"/>
              </w:rPr>
              <w:t>Urgent need for the standard and/or implementation resource.</w:t>
            </w:r>
          </w:p>
        </w:tc>
      </w:tr>
      <w:tr w:rsidR="000B32EC" w:rsidRPr="00326064" w:rsidTr="00FD01BE">
        <w:trPr>
          <w:trHeight w:val="529"/>
        </w:trPr>
        <w:tc>
          <w:tcPr>
            <w:tcW w:w="9786" w:type="dxa"/>
            <w:tcMar>
              <w:top w:w="28" w:type="dxa"/>
              <w:bottom w:w="57" w:type="dxa"/>
            </w:tcMar>
          </w:tcPr>
          <w:p w:rsidR="000B32EC" w:rsidRPr="00F56C25" w:rsidRDefault="000B32EC" w:rsidP="00551ED4">
            <w:pPr>
              <w:autoSpaceDE w:val="0"/>
              <w:autoSpaceDN w:val="0"/>
              <w:adjustRightInd w:val="0"/>
              <w:ind w:left="709" w:hanging="709"/>
              <w:rPr>
                <w:rFonts w:cs="Times-Bold"/>
                <w:b/>
                <w:bCs/>
                <w:sz w:val="18"/>
                <w:szCs w:val="18"/>
                <w:u w:val="single"/>
              </w:rPr>
            </w:pPr>
            <w:r w:rsidRPr="00F56C25">
              <w:rPr>
                <w:rFonts w:cs="Times-Bold"/>
                <w:b/>
                <w:bCs/>
                <w:sz w:val="18"/>
                <w:szCs w:val="18"/>
                <w:u w:val="single"/>
              </w:rPr>
              <w:t>Diagnostic protocols are subject to additional criteria. For proposals for DPs, please elaborate on the following criteria to help the future consideration of the subject proposed:</w:t>
            </w:r>
          </w:p>
          <w:p w:rsidR="000B32EC" w:rsidRPr="00F56C25" w:rsidRDefault="000B32EC" w:rsidP="000B32EC">
            <w:pPr>
              <w:numPr>
                <w:ilvl w:val="0"/>
                <w:numId w:val="4"/>
              </w:numPr>
              <w:tabs>
                <w:tab w:val="left" w:pos="720"/>
              </w:tabs>
              <w:rPr>
                <w:sz w:val="18"/>
                <w:szCs w:val="18"/>
              </w:rPr>
            </w:pPr>
            <w:r w:rsidRPr="00F56C25">
              <w:rPr>
                <w:sz w:val="18"/>
                <w:szCs w:val="18"/>
              </w:rPr>
              <w:t>Need for international harmonization of the diagnostic techniques for the pest (e.g. due to difficulties in diagnosis or disputes on methodology)</w:t>
            </w:r>
          </w:p>
          <w:p w:rsidR="000B32EC" w:rsidRPr="00F56C25" w:rsidRDefault="000B32EC" w:rsidP="000B32EC">
            <w:pPr>
              <w:numPr>
                <w:ilvl w:val="0"/>
                <w:numId w:val="4"/>
              </w:numPr>
              <w:tabs>
                <w:tab w:val="left" w:pos="720"/>
              </w:tabs>
              <w:rPr>
                <w:sz w:val="18"/>
                <w:szCs w:val="18"/>
              </w:rPr>
            </w:pPr>
            <w:r w:rsidRPr="00F56C25">
              <w:rPr>
                <w:sz w:val="18"/>
                <w:szCs w:val="18"/>
              </w:rPr>
              <w:t>Relevance of the diagnosis to the protection of plants including measures to limit the impact of the pest.</w:t>
            </w:r>
          </w:p>
          <w:p w:rsidR="000B32EC" w:rsidRPr="00F56C25" w:rsidRDefault="000B32EC" w:rsidP="000B32EC">
            <w:pPr>
              <w:numPr>
                <w:ilvl w:val="0"/>
                <w:numId w:val="4"/>
              </w:numPr>
              <w:tabs>
                <w:tab w:val="left" w:pos="720"/>
              </w:tabs>
              <w:rPr>
                <w:sz w:val="18"/>
                <w:szCs w:val="18"/>
              </w:rPr>
            </w:pPr>
            <w:r w:rsidRPr="00F56C25">
              <w:rPr>
                <w:sz w:val="18"/>
                <w:szCs w:val="18"/>
              </w:rPr>
              <w:t>Importance of the plants protected on the global level (e.g. relevant to many countries or of major importance to a few countries).</w:t>
            </w:r>
          </w:p>
          <w:p w:rsidR="000B32EC" w:rsidRPr="00F56C25" w:rsidRDefault="000B32EC" w:rsidP="000B32EC">
            <w:pPr>
              <w:numPr>
                <w:ilvl w:val="0"/>
                <w:numId w:val="4"/>
              </w:numPr>
              <w:tabs>
                <w:tab w:val="left" w:pos="720"/>
              </w:tabs>
              <w:rPr>
                <w:sz w:val="18"/>
                <w:szCs w:val="18"/>
              </w:rPr>
            </w:pPr>
            <w:r w:rsidRPr="00F56C25">
              <w:rPr>
                <w:sz w:val="18"/>
                <w:szCs w:val="18"/>
              </w:rPr>
              <w:t xml:space="preserve">Volume/importance of trade of the commodity that </w:t>
            </w:r>
            <w:proofErr w:type="gramStart"/>
            <w:r w:rsidRPr="00F56C25">
              <w:rPr>
                <w:sz w:val="18"/>
                <w:szCs w:val="18"/>
              </w:rPr>
              <w:t>is subjected</w:t>
            </w:r>
            <w:proofErr w:type="gramEnd"/>
            <w:r w:rsidRPr="00F56C25">
              <w:rPr>
                <w:sz w:val="18"/>
                <w:szCs w:val="18"/>
              </w:rPr>
              <w:t xml:space="preserve"> to the diagnostic procedures (e.g. relevant to many countries or of major importance to a few countries).</w:t>
            </w:r>
          </w:p>
          <w:p w:rsidR="000B32EC" w:rsidRPr="00F56C25" w:rsidRDefault="000B32EC" w:rsidP="000B32EC">
            <w:pPr>
              <w:numPr>
                <w:ilvl w:val="0"/>
                <w:numId w:val="4"/>
              </w:numPr>
              <w:tabs>
                <w:tab w:val="left" w:pos="720"/>
              </w:tabs>
              <w:rPr>
                <w:sz w:val="18"/>
                <w:szCs w:val="18"/>
              </w:rPr>
            </w:pPr>
            <w:r w:rsidRPr="00F56C25">
              <w:rPr>
                <w:sz w:val="18"/>
                <w:szCs w:val="18"/>
              </w:rPr>
              <w:lastRenderedPageBreak/>
              <w:t>Other criteria for topics as determined by CPM that are relevant to determining priorities</w:t>
            </w:r>
          </w:p>
          <w:p w:rsidR="000B32EC" w:rsidRPr="00F56C25" w:rsidRDefault="000B32EC" w:rsidP="000B32EC">
            <w:pPr>
              <w:numPr>
                <w:ilvl w:val="0"/>
                <w:numId w:val="4"/>
              </w:numPr>
              <w:tabs>
                <w:tab w:val="left" w:pos="720"/>
              </w:tabs>
              <w:rPr>
                <w:sz w:val="18"/>
                <w:szCs w:val="18"/>
              </w:rPr>
            </w:pPr>
            <w:r w:rsidRPr="00F56C25">
              <w:rPr>
                <w:sz w:val="18"/>
                <w:szCs w:val="18"/>
              </w:rPr>
              <w:t>Balance between pests of importance in different climatic zones (temperate, tropics etc.) and commodity classes.</w:t>
            </w:r>
          </w:p>
          <w:p w:rsidR="000B32EC" w:rsidRPr="00F56C25" w:rsidRDefault="000B32EC" w:rsidP="000B32EC">
            <w:pPr>
              <w:numPr>
                <w:ilvl w:val="0"/>
                <w:numId w:val="4"/>
              </w:numPr>
              <w:tabs>
                <w:tab w:val="left" w:pos="720"/>
              </w:tabs>
              <w:rPr>
                <w:sz w:val="18"/>
                <w:szCs w:val="18"/>
              </w:rPr>
            </w:pPr>
            <w:r w:rsidRPr="00F56C25">
              <w:rPr>
                <w:sz w:val="18"/>
                <w:szCs w:val="18"/>
              </w:rPr>
              <w:t>Number of labs undertaking the diagnosis.</w:t>
            </w:r>
          </w:p>
          <w:p w:rsidR="000B32EC" w:rsidRPr="00F56C25" w:rsidRDefault="000B32EC" w:rsidP="000B32EC">
            <w:pPr>
              <w:numPr>
                <w:ilvl w:val="0"/>
                <w:numId w:val="4"/>
              </w:numPr>
              <w:tabs>
                <w:tab w:val="left" w:pos="720"/>
              </w:tabs>
              <w:rPr>
                <w:sz w:val="18"/>
                <w:szCs w:val="18"/>
              </w:rPr>
            </w:pPr>
            <w:r w:rsidRPr="00F56C25">
              <w:rPr>
                <w:sz w:val="18"/>
                <w:szCs w:val="18"/>
              </w:rPr>
              <w:t>Feasibility of production of a protocol, including availability of knowledge and expertise.</w:t>
            </w:r>
          </w:p>
          <w:p w:rsidR="000B32EC" w:rsidRPr="00F56C25" w:rsidRDefault="000B32EC" w:rsidP="00551ED4">
            <w:pPr>
              <w:tabs>
                <w:tab w:val="left" w:pos="720"/>
              </w:tabs>
              <w:ind w:left="360"/>
              <w:rPr>
                <w:sz w:val="18"/>
                <w:szCs w:val="18"/>
              </w:rPr>
            </w:pPr>
          </w:p>
        </w:tc>
      </w:tr>
      <w:tr w:rsidR="00FD01BE" w:rsidRPr="00326064" w:rsidTr="00FD01BE">
        <w:trPr>
          <w:trHeight w:val="832"/>
        </w:trPr>
        <w:tc>
          <w:tcPr>
            <w:tcW w:w="9786" w:type="dxa"/>
            <w:tcMar>
              <w:top w:w="28" w:type="dxa"/>
              <w:bottom w:w="57" w:type="dxa"/>
            </w:tcMar>
          </w:tcPr>
          <w:p w:rsidR="00FD01BE" w:rsidRDefault="00FD01BE" w:rsidP="00CA5BBE">
            <w:pPr>
              <w:autoSpaceDE w:val="0"/>
              <w:autoSpaceDN w:val="0"/>
              <w:adjustRightInd w:val="0"/>
              <w:rPr>
                <w:b/>
                <w:bCs/>
                <w:sz w:val="18"/>
                <w:szCs w:val="18"/>
              </w:rPr>
            </w:pPr>
            <w:r w:rsidRPr="009E1649">
              <w:rPr>
                <w:rFonts w:cs="Times-Bold"/>
                <w:b/>
                <w:bCs/>
                <w:sz w:val="18"/>
                <w:szCs w:val="18"/>
                <w:u w:val="single"/>
              </w:rPr>
              <w:lastRenderedPageBreak/>
              <w:t>Literature review</w:t>
            </w:r>
            <w:r w:rsidRPr="009E1649">
              <w:rPr>
                <w:rStyle w:val="IPPFootnoteRedChar"/>
                <w:rFonts w:eastAsia="MS Mincho"/>
              </w:rPr>
              <w:footnoteReference w:id="3"/>
            </w:r>
            <w:r w:rsidRPr="009E1649">
              <w:rPr>
                <w:rStyle w:val="IPPFootnoteRedChar"/>
                <w:rFonts w:eastAsia="MS Mincho"/>
              </w:rPr>
              <w:t xml:space="preserve"> </w:t>
            </w:r>
            <w:r w:rsidRPr="009E1649">
              <w:rPr>
                <w:rFonts w:cs="Times-Bold"/>
                <w:sz w:val="18"/>
                <w:szCs w:val="18"/>
              </w:rPr>
              <w:t>(</w:t>
            </w:r>
            <w:r w:rsidRPr="009E1649">
              <w:rPr>
                <w:bCs/>
                <w:sz w:val="18"/>
                <w:szCs w:val="18"/>
              </w:rPr>
              <w:t xml:space="preserve">This section will provide a </w:t>
            </w:r>
            <w:r w:rsidRPr="009E1649">
              <w:rPr>
                <w:b/>
                <w:bCs/>
                <w:sz w:val="18"/>
                <w:szCs w:val="18"/>
              </w:rPr>
              <w:t>summary of the topic</w:t>
            </w:r>
            <w:r w:rsidRPr="009E1649">
              <w:rPr>
                <w:bCs/>
                <w:sz w:val="18"/>
                <w:szCs w:val="18"/>
              </w:rPr>
              <w:t xml:space="preserve"> based on scientific and technical publications, including a referenced </w:t>
            </w:r>
            <w:r w:rsidRPr="009E1649">
              <w:rPr>
                <w:b/>
                <w:bCs/>
                <w:sz w:val="18"/>
                <w:szCs w:val="18"/>
              </w:rPr>
              <w:t>list of literature reviewed</w:t>
            </w:r>
            <w:r w:rsidRPr="009E1649">
              <w:rPr>
                <w:bCs/>
                <w:sz w:val="18"/>
                <w:szCs w:val="18"/>
              </w:rPr>
              <w:t>. This will help provide the scientific basis for the content of the standard/</w:t>
            </w:r>
            <w:r w:rsidRPr="00EE39DD">
              <w:rPr>
                <w:bCs/>
                <w:sz w:val="18"/>
                <w:szCs w:val="18"/>
              </w:rPr>
              <w:t>implementation resource</w:t>
            </w:r>
            <w:r w:rsidRPr="009E1649">
              <w:rPr>
                <w:bCs/>
                <w:sz w:val="18"/>
                <w:szCs w:val="18"/>
              </w:rPr>
              <w:t xml:space="preserve"> to </w:t>
            </w:r>
            <w:proofErr w:type="gramStart"/>
            <w:r w:rsidRPr="009E1649">
              <w:rPr>
                <w:bCs/>
                <w:sz w:val="18"/>
                <w:szCs w:val="18"/>
              </w:rPr>
              <w:t>be used</w:t>
            </w:r>
            <w:proofErr w:type="gramEnd"/>
            <w:r w:rsidRPr="009E1649">
              <w:rPr>
                <w:bCs/>
                <w:sz w:val="18"/>
                <w:szCs w:val="18"/>
              </w:rPr>
              <w:t xml:space="preserve"> by the selected experts during the development of the standard/</w:t>
            </w:r>
            <w:r w:rsidRPr="00EE39DD">
              <w:rPr>
                <w:bCs/>
                <w:sz w:val="18"/>
                <w:szCs w:val="18"/>
              </w:rPr>
              <w:t>implementation resource</w:t>
            </w:r>
            <w:r w:rsidRPr="009E1649">
              <w:rPr>
                <w:bCs/>
                <w:sz w:val="18"/>
                <w:szCs w:val="18"/>
              </w:rPr>
              <w:t>)</w:t>
            </w:r>
            <w:r w:rsidRPr="009E1649">
              <w:rPr>
                <w:b/>
                <w:bCs/>
                <w:sz w:val="18"/>
                <w:szCs w:val="18"/>
              </w:rPr>
              <w:t>.</w:t>
            </w:r>
          </w:p>
          <w:bookmarkStart w:id="17" w:name="_MON_1597217481"/>
          <w:bookmarkEnd w:id="17"/>
          <w:p w:rsidR="001149FA" w:rsidRPr="00E86637" w:rsidRDefault="001149FA" w:rsidP="00CA5BBE">
            <w:pPr>
              <w:autoSpaceDE w:val="0"/>
              <w:autoSpaceDN w:val="0"/>
              <w:adjustRightInd w:val="0"/>
              <w:rPr>
                <w:rFonts w:cs="Times-Bold"/>
                <w:b/>
                <w:bCs/>
                <w:sz w:val="18"/>
                <w:szCs w:val="18"/>
                <w:u w:val="single"/>
              </w:rPr>
            </w:pPr>
            <w:r w:rsidRPr="00663901">
              <w:rPr>
                <w:rFonts w:cs="Times-Roman"/>
                <w:szCs w:val="22"/>
              </w:rPr>
              <w:object w:dxaOrig="1544" w:dyaOrig="998" w14:anchorId="0105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55pt" o:ole="">
                  <v:imagedata r:id="rId15" o:title=""/>
                </v:shape>
                <o:OLEObject Type="Embed" ProgID="Word.Document.12" ShapeID="_x0000_i1025" DrawAspect="Icon" ObjectID="_1597476282" r:id="rId16">
                  <o:FieldCodes>\s</o:FieldCodes>
                </o:OLEObject>
              </w:object>
            </w:r>
            <w:bookmarkStart w:id="18" w:name="_MON_1597217608"/>
            <w:bookmarkEnd w:id="18"/>
            <w:r w:rsidRPr="00663901">
              <w:rPr>
                <w:rFonts w:cs="Times-Roman"/>
                <w:szCs w:val="22"/>
              </w:rPr>
              <w:object w:dxaOrig="1544" w:dyaOrig="998" w14:anchorId="3536B9A0">
                <v:shape id="_x0000_i1026" type="#_x0000_t75" style="width:76.6pt;height:50.55pt" o:ole="">
                  <v:imagedata r:id="rId17" o:title=""/>
                </v:shape>
                <o:OLEObject Type="Embed" ProgID="Word.Document.12" ShapeID="_x0000_i1026" DrawAspect="Icon" ObjectID="_1597476283" r:id="rId18">
                  <o:FieldCodes>\s</o:FieldCodes>
                </o:OLEObject>
              </w:object>
            </w:r>
          </w:p>
        </w:tc>
      </w:tr>
    </w:tbl>
    <w:p w:rsidR="000B32EC" w:rsidRPr="00A86DA0" w:rsidRDefault="000B32EC" w:rsidP="000B32EC">
      <w:pPr>
        <w:tabs>
          <w:tab w:val="left" w:pos="2040"/>
          <w:tab w:val="left" w:pos="4678"/>
          <w:tab w:val="left" w:pos="5103"/>
        </w:tabs>
        <w:spacing w:before="240"/>
        <w:rPr>
          <w:sz w:val="20"/>
          <w:szCs w:val="20"/>
        </w:rPr>
      </w:pPr>
      <w:r w:rsidRPr="00A86DA0">
        <w:rPr>
          <w:b/>
          <w:sz w:val="20"/>
          <w:szCs w:val="20"/>
          <w:u w:val="single"/>
        </w:rPr>
        <w:t>Send submissions to:</w:t>
      </w:r>
      <w:r w:rsidRPr="00A86DA0">
        <w:rPr>
          <w:sz w:val="20"/>
          <w:szCs w:val="20"/>
        </w:rPr>
        <w:tab/>
      </w:r>
      <w:r>
        <w:rPr>
          <w:sz w:val="20"/>
          <w:szCs w:val="20"/>
        </w:rPr>
        <w:tab/>
      </w:r>
      <w:r>
        <w:rPr>
          <w:sz w:val="20"/>
          <w:szCs w:val="20"/>
        </w:rPr>
        <w:tab/>
      </w:r>
      <w:r>
        <w:rPr>
          <w:b/>
          <w:sz w:val="20"/>
          <w:szCs w:val="20"/>
        </w:rPr>
        <w:t>Address</w:t>
      </w:r>
      <w:r w:rsidRPr="00A86DA0">
        <w:rPr>
          <w:b/>
          <w:sz w:val="20"/>
          <w:szCs w:val="20"/>
        </w:rPr>
        <w:t>:</w:t>
      </w:r>
      <w:r w:rsidRPr="00A86DA0">
        <w:rPr>
          <w:sz w:val="20"/>
          <w:szCs w:val="20"/>
        </w:rPr>
        <w:t xml:space="preserve"> IPPC Secretariat (AG</w:t>
      </w:r>
      <w:r>
        <w:rPr>
          <w:sz w:val="20"/>
          <w:szCs w:val="20"/>
        </w:rPr>
        <w:t>DI</w:t>
      </w:r>
      <w:r w:rsidRPr="00A86DA0">
        <w:rPr>
          <w:sz w:val="20"/>
          <w:szCs w:val="20"/>
        </w:rPr>
        <w:t>)</w:t>
      </w:r>
    </w:p>
    <w:p w:rsidR="000B32EC" w:rsidRPr="00A86DA0" w:rsidRDefault="000B32EC" w:rsidP="000B32EC">
      <w:pPr>
        <w:tabs>
          <w:tab w:val="left" w:pos="2640"/>
          <w:tab w:val="left" w:pos="5103"/>
          <w:tab w:val="left" w:pos="5520"/>
        </w:tabs>
        <w:rPr>
          <w:sz w:val="20"/>
          <w:szCs w:val="20"/>
        </w:rPr>
      </w:pPr>
      <w:r w:rsidRPr="00A86DA0">
        <w:rPr>
          <w:b/>
          <w:sz w:val="20"/>
          <w:szCs w:val="20"/>
        </w:rPr>
        <w:t>E-mail:</w:t>
      </w:r>
      <w:r w:rsidRPr="00A86DA0">
        <w:rPr>
          <w:sz w:val="20"/>
          <w:szCs w:val="20"/>
        </w:rPr>
        <w:t xml:space="preserve"> </w:t>
      </w:r>
      <w:hyperlink r:id="rId19" w:history="1">
        <w:r w:rsidRPr="00A86DA0">
          <w:rPr>
            <w:rStyle w:val="Hyperlink"/>
            <w:sz w:val="20"/>
            <w:szCs w:val="20"/>
          </w:rPr>
          <w:t>ippc@fao.org</w:t>
        </w:r>
      </w:hyperlink>
      <w:r>
        <w:rPr>
          <w:sz w:val="20"/>
          <w:szCs w:val="20"/>
        </w:rPr>
        <w:tab/>
      </w:r>
      <w:r>
        <w:rPr>
          <w:sz w:val="20"/>
          <w:szCs w:val="20"/>
        </w:rPr>
        <w:tab/>
      </w:r>
      <w:r w:rsidRPr="00A86DA0">
        <w:rPr>
          <w:sz w:val="20"/>
          <w:szCs w:val="20"/>
        </w:rPr>
        <w:t>Food and Agriculture</w:t>
      </w:r>
      <w:r>
        <w:rPr>
          <w:sz w:val="20"/>
          <w:szCs w:val="20"/>
        </w:rPr>
        <w:t xml:space="preserve"> Organization of </w:t>
      </w:r>
      <w:r w:rsidRPr="00A86DA0">
        <w:rPr>
          <w:sz w:val="20"/>
          <w:szCs w:val="20"/>
        </w:rPr>
        <w:t>the UN</w:t>
      </w:r>
    </w:p>
    <w:p w:rsidR="000B32EC" w:rsidRPr="003B40D4" w:rsidRDefault="000B32EC" w:rsidP="000B32EC">
      <w:pPr>
        <w:tabs>
          <w:tab w:val="left" w:pos="2640"/>
          <w:tab w:val="left" w:pos="5103"/>
          <w:tab w:val="left" w:pos="5520"/>
        </w:tabs>
        <w:rPr>
          <w:sz w:val="20"/>
          <w:szCs w:val="20"/>
        </w:rPr>
      </w:pPr>
      <w:r>
        <w:rPr>
          <w:sz w:val="20"/>
          <w:szCs w:val="20"/>
        </w:rPr>
        <w:t xml:space="preserve">(Subject line: </w:t>
      </w:r>
      <w:r w:rsidR="009E1649">
        <w:rPr>
          <w:sz w:val="20"/>
          <w:szCs w:val="20"/>
        </w:rPr>
        <w:t>“</w:t>
      </w:r>
      <w:r>
        <w:rPr>
          <w:sz w:val="20"/>
          <w:szCs w:val="20"/>
        </w:rPr>
        <w:t xml:space="preserve">Call for </w:t>
      </w:r>
      <w:r w:rsidRPr="00D768AF">
        <w:rPr>
          <w:sz w:val="20"/>
          <w:szCs w:val="20"/>
        </w:rPr>
        <w:t xml:space="preserve">topics </w:t>
      </w:r>
      <w:r w:rsidR="009E1649">
        <w:rPr>
          <w:sz w:val="20"/>
          <w:szCs w:val="20"/>
        </w:rPr>
        <w:t>2018”)</w:t>
      </w:r>
      <w:r w:rsidRPr="00A86DA0">
        <w:rPr>
          <w:sz w:val="20"/>
          <w:szCs w:val="20"/>
        </w:rPr>
        <w:tab/>
      </w:r>
      <w:proofErr w:type="spellStart"/>
      <w:r w:rsidRPr="003B40D4">
        <w:rPr>
          <w:sz w:val="20"/>
          <w:szCs w:val="20"/>
        </w:rPr>
        <w:t>Viale</w:t>
      </w:r>
      <w:proofErr w:type="spellEnd"/>
      <w:r w:rsidRPr="003B40D4">
        <w:rPr>
          <w:sz w:val="20"/>
          <w:szCs w:val="20"/>
        </w:rPr>
        <w:t xml:space="preserve"> </w:t>
      </w:r>
      <w:proofErr w:type="spellStart"/>
      <w:r w:rsidRPr="003B40D4">
        <w:rPr>
          <w:sz w:val="20"/>
          <w:szCs w:val="20"/>
        </w:rPr>
        <w:t>delle</w:t>
      </w:r>
      <w:proofErr w:type="spellEnd"/>
      <w:r w:rsidRPr="003B40D4">
        <w:rPr>
          <w:sz w:val="20"/>
          <w:szCs w:val="20"/>
        </w:rPr>
        <w:t xml:space="preserve"> </w:t>
      </w:r>
      <w:proofErr w:type="spellStart"/>
      <w:r w:rsidRPr="003B40D4">
        <w:rPr>
          <w:sz w:val="20"/>
          <w:szCs w:val="20"/>
        </w:rPr>
        <w:t>Terme</w:t>
      </w:r>
      <w:proofErr w:type="spellEnd"/>
      <w:r w:rsidRPr="003B40D4">
        <w:rPr>
          <w:sz w:val="20"/>
          <w:szCs w:val="20"/>
        </w:rPr>
        <w:t xml:space="preserve"> di Caracalla</w:t>
      </w:r>
    </w:p>
    <w:p w:rsidR="00842047" w:rsidRDefault="000B32EC" w:rsidP="000B32EC">
      <w:pPr>
        <w:tabs>
          <w:tab w:val="left" w:pos="2640"/>
          <w:tab w:val="left" w:pos="5103"/>
          <w:tab w:val="left" w:pos="5520"/>
        </w:tabs>
      </w:pPr>
      <w:r w:rsidRPr="003B40D4">
        <w:rPr>
          <w:sz w:val="20"/>
          <w:szCs w:val="20"/>
        </w:rPr>
        <w:tab/>
      </w:r>
      <w:r w:rsidRPr="003B40D4">
        <w:rPr>
          <w:sz w:val="20"/>
          <w:szCs w:val="20"/>
        </w:rPr>
        <w:tab/>
      </w:r>
      <w:proofErr w:type="gramStart"/>
      <w:r w:rsidRPr="003B40D4">
        <w:rPr>
          <w:sz w:val="20"/>
          <w:szCs w:val="20"/>
        </w:rPr>
        <w:t>00153</w:t>
      </w:r>
      <w:proofErr w:type="gramEnd"/>
      <w:r w:rsidRPr="003B40D4">
        <w:rPr>
          <w:sz w:val="20"/>
          <w:szCs w:val="20"/>
        </w:rPr>
        <w:t xml:space="preserve"> Rome, Italy</w:t>
      </w:r>
    </w:p>
    <w:sectPr w:rsidR="00842047" w:rsidSect="00A316A7">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363" w:rsidRDefault="006A0363" w:rsidP="000B32EC">
      <w:r>
        <w:separator/>
      </w:r>
    </w:p>
  </w:endnote>
  <w:endnote w:type="continuationSeparator" w:id="0">
    <w:p w:rsidR="006A0363" w:rsidRDefault="006A0363" w:rsidP="000B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Bold">
    <w:altName w:val="Segoe Print"/>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EC" w:rsidRPr="00C6380D" w:rsidRDefault="000B32EC" w:rsidP="00B02E1C">
    <w:pPr>
      <w:pStyle w:val="IPPFooter"/>
    </w:pPr>
    <w:r w:rsidRPr="00C6380D">
      <w:t xml:space="preserve">Page </w:t>
    </w:r>
    <w:r>
      <w:fldChar w:fldCharType="begin"/>
    </w:r>
    <w:r>
      <w:instrText xml:space="preserve"> PAGE </w:instrText>
    </w:r>
    <w:r>
      <w:fldChar w:fldCharType="separate"/>
    </w:r>
    <w:r w:rsidR="00A316A7">
      <w:rPr>
        <w:noProof/>
      </w:rPr>
      <w:t>4</w:t>
    </w:r>
    <w:r>
      <w:fldChar w:fldCharType="end"/>
    </w:r>
    <w:r w:rsidRPr="00C6380D">
      <w:t xml:space="preserve"> of </w:t>
    </w:r>
    <w:r w:rsidR="00716E25">
      <w:rPr>
        <w:noProof/>
      </w:rPr>
      <w:fldChar w:fldCharType="begin"/>
    </w:r>
    <w:r w:rsidR="00716E25">
      <w:rPr>
        <w:noProof/>
      </w:rPr>
      <w:instrText xml:space="preserve"> NUMPAGES  </w:instrText>
    </w:r>
    <w:r w:rsidR="00716E25">
      <w:rPr>
        <w:noProof/>
      </w:rPr>
      <w:fldChar w:fldCharType="separate"/>
    </w:r>
    <w:r w:rsidR="00A316A7">
      <w:rPr>
        <w:noProof/>
      </w:rPr>
      <w:t>5</w:t>
    </w:r>
    <w:r w:rsidR="00716E25">
      <w:rPr>
        <w:noProof/>
      </w:rPr>
      <w:fldChar w:fldCharType="end"/>
    </w:r>
    <w:r>
      <w:tab/>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25" w:rsidRDefault="00716E25" w:rsidP="00716E25">
    <w:pPr>
      <w:pStyle w:val="IPPFooter"/>
    </w:pPr>
    <w:r>
      <w:t>International Plant Protection Convention</w:t>
    </w:r>
    <w:r>
      <w:tab/>
    </w:r>
    <w:r w:rsidRPr="00C6380D">
      <w:t xml:space="preserve">Page </w:t>
    </w:r>
    <w:r>
      <w:fldChar w:fldCharType="begin"/>
    </w:r>
    <w:r>
      <w:instrText xml:space="preserve"> PAGE </w:instrText>
    </w:r>
    <w:r>
      <w:fldChar w:fldCharType="separate"/>
    </w:r>
    <w:r w:rsidR="00A316A7">
      <w:rPr>
        <w:noProof/>
      </w:rPr>
      <w:t>5</w:t>
    </w:r>
    <w:r>
      <w:fldChar w:fldCharType="end"/>
    </w:r>
    <w:r w:rsidRPr="00C6380D">
      <w:t xml:space="preserve"> of </w:t>
    </w:r>
    <w:fldSimple w:instr=" NUMPAGES  ">
      <w:r w:rsidR="00A316A7">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25" w:rsidRDefault="00716E25" w:rsidP="00716E25">
    <w:pPr>
      <w:pStyle w:val="IPPFooter"/>
    </w:pPr>
    <w:r>
      <w:t>International Plant Protection Convention</w:t>
    </w:r>
    <w:r>
      <w:tab/>
    </w:r>
    <w:r w:rsidRPr="00C6380D">
      <w:t xml:space="preserve">Page </w:t>
    </w:r>
    <w:r>
      <w:fldChar w:fldCharType="begin"/>
    </w:r>
    <w:r>
      <w:instrText xml:space="preserve"> PAGE </w:instrText>
    </w:r>
    <w:r>
      <w:fldChar w:fldCharType="separate"/>
    </w:r>
    <w:r w:rsidR="00A316A7">
      <w:rPr>
        <w:noProof/>
      </w:rPr>
      <w:t>1</w:t>
    </w:r>
    <w:r>
      <w:fldChar w:fldCharType="end"/>
    </w:r>
    <w:r w:rsidRPr="00C6380D">
      <w:t xml:space="preserve"> of </w:t>
    </w:r>
    <w:fldSimple w:instr=" NUMPAGES  ">
      <w:r w:rsidR="00A316A7">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363" w:rsidRDefault="006A0363" w:rsidP="000B32EC">
      <w:r>
        <w:separator/>
      </w:r>
    </w:p>
  </w:footnote>
  <w:footnote w:type="continuationSeparator" w:id="0">
    <w:p w:rsidR="006A0363" w:rsidRDefault="006A0363" w:rsidP="000B32EC">
      <w:r>
        <w:continuationSeparator/>
      </w:r>
    </w:p>
  </w:footnote>
  <w:footnote w:id="1">
    <w:p w:rsidR="00E95202" w:rsidRDefault="00E95202" w:rsidP="00EE39DD">
      <w:pPr>
        <w:pStyle w:val="IPPFootnote"/>
      </w:pPr>
      <w:r>
        <w:rPr>
          <w:rStyle w:val="FootnoteReference"/>
        </w:rPr>
        <w:footnoteRef/>
      </w:r>
      <w:r>
        <w:t xml:space="preserve"> IPPC Standard Setting Procedure Manual URL: </w:t>
      </w:r>
      <w:hyperlink r:id="rId1" w:history="1">
        <w:r w:rsidRPr="00841629">
          <w:rPr>
            <w:rStyle w:val="Hyperlink"/>
            <w:sz w:val="20"/>
          </w:rPr>
          <w:t>https://www.ippc.int/en/publications/85024/</w:t>
        </w:r>
      </w:hyperlink>
      <w:r>
        <w:t xml:space="preserve"> </w:t>
      </w:r>
    </w:p>
  </w:footnote>
  <w:footnote w:id="2">
    <w:p w:rsidR="009E1649" w:rsidRDefault="009E1649" w:rsidP="00EE39DD">
      <w:pPr>
        <w:pStyle w:val="IPPFootnote"/>
      </w:pPr>
      <w:r w:rsidRPr="00EE39DD">
        <w:rPr>
          <w:rStyle w:val="FootnoteReference"/>
          <w:b/>
          <w:color w:val="FF0000"/>
        </w:rPr>
        <w:footnoteRef/>
      </w:r>
      <w:r>
        <w:t xml:space="preserve"> As agreed by CPM-13 (</w:t>
      </w:r>
      <w:r w:rsidR="00C30FAE">
        <w:t>2018</w:t>
      </w:r>
      <w:r>
        <w:t>)</w:t>
      </w:r>
    </w:p>
  </w:footnote>
  <w:footnote w:id="3">
    <w:p w:rsidR="00FD01BE" w:rsidRPr="002B67B7" w:rsidRDefault="00FD01BE" w:rsidP="000B32EC">
      <w:pPr>
        <w:pStyle w:val="IPPFootnote"/>
        <w:rPr>
          <w:lang w:val="en-US"/>
        </w:rPr>
      </w:pPr>
      <w:r w:rsidRPr="00225AF5">
        <w:rPr>
          <w:rStyle w:val="IPPFootnoteRedChar"/>
        </w:rPr>
        <w:footnoteRef/>
      </w:r>
      <w:r w:rsidRPr="00225AF5">
        <w:rPr>
          <w:rStyle w:val="IPPFootnoteRedChar"/>
        </w:rPr>
        <w:t xml:space="preserve"> </w:t>
      </w:r>
      <w:r>
        <w:t xml:space="preserve">As agreed by CPM-7 (2012) and CPM-11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25" w:rsidRPr="00E77B4C" w:rsidRDefault="00716E25" w:rsidP="00716E25">
    <w:pPr>
      <w:pStyle w:val="IPPHeader"/>
      <w:pBdr>
        <w:bottom w:val="single" w:sz="4" w:space="6" w:color="auto"/>
      </w:pBdr>
    </w:pPr>
    <w:r>
      <w:rPr>
        <w:noProof/>
      </w:rPr>
      <w:t>2018-027</w:t>
    </w:r>
    <w:r>
      <w:rPr>
        <w:noProof/>
      </w:rPr>
      <w:tab/>
    </w:r>
    <w:r>
      <w:rPr>
        <w:noProof/>
      </w:rPr>
      <w:tab/>
      <w:t xml:space="preserve"> 2018 Call for Topics: Standards and Implementation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25" w:rsidRPr="001B3508" w:rsidRDefault="00716E25" w:rsidP="00716E25">
    <w:pPr>
      <w:pStyle w:val="IPPHeader"/>
    </w:pPr>
    <w:r>
      <w:rPr>
        <w:noProof/>
      </w:rPr>
      <w:t>2018 Call for Topics: Standards and Implementation</w:t>
    </w:r>
    <w:r>
      <w:rPr>
        <w:noProof/>
      </w:rPr>
      <w:tab/>
      <w:t>2018-027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25" w:rsidRPr="009F3834" w:rsidRDefault="00716E25" w:rsidP="00716E25">
    <w:pPr>
      <w:pStyle w:val="IPPHeader"/>
      <w:ind w:left="1134"/>
    </w:pPr>
    <w:r>
      <w:rPr>
        <w:noProof/>
      </w:rPr>
      <w:drawing>
        <wp:anchor distT="0" distB="0" distL="114300" distR="114300" simplePos="0" relativeHeight="251662336" behindDoc="0" locked="0" layoutInCell="1" allowOverlap="0">
          <wp:simplePos x="0" y="0"/>
          <wp:positionH relativeFrom="page">
            <wp:posOffset>-28575</wp:posOffset>
          </wp:positionH>
          <wp:positionV relativeFrom="paragraph">
            <wp:posOffset>-530225</wp:posOffset>
          </wp:positionV>
          <wp:extent cx="7629525" cy="4635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-12700</wp:posOffset>
          </wp:positionH>
          <wp:positionV relativeFrom="paragraph">
            <wp:posOffset>3810</wp:posOffset>
          </wp:positionV>
          <wp:extent cx="632460" cy="321310"/>
          <wp:effectExtent l="0" t="0" r="0" b="2540"/>
          <wp:wrapSquare wrapText="bothSides"/>
          <wp:docPr id="4" name="Picture 4"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P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95F">
      <w:t>Internatio</w:t>
    </w:r>
    <w:r>
      <w:t>nal Plant Protection Convention</w:t>
    </w:r>
    <w:r>
      <w:tab/>
      <w:t>2018-027</w:t>
    </w:r>
    <w:r>
      <w:br/>
      <w:t>2018 Call for Topics Standards and Implementation</w:t>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561A"/>
    <w:multiLevelType w:val="multilevel"/>
    <w:tmpl w:val="D00620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B82B85"/>
    <w:multiLevelType w:val="hybridMultilevel"/>
    <w:tmpl w:val="8904BEC4"/>
    <w:lvl w:ilvl="0" w:tplc="DA1E52A6">
      <w:start w:val="1"/>
      <w:numFmt w:val="bullet"/>
      <w:lvlText w:val=""/>
      <w:lvlJc w:val="left"/>
      <w:pPr>
        <w:tabs>
          <w:tab w:val="num" w:pos="360"/>
        </w:tabs>
        <w:ind w:left="360" w:hanging="360"/>
      </w:pPr>
      <w:rPr>
        <w:rFonts w:ascii="Wingdings" w:hAnsi="Wingdings" w:hint="default"/>
      </w:rPr>
    </w:lvl>
    <w:lvl w:ilvl="1" w:tplc="426A45EC" w:tentative="1">
      <w:start w:val="1"/>
      <w:numFmt w:val="bullet"/>
      <w:lvlText w:val="o"/>
      <w:lvlJc w:val="left"/>
      <w:pPr>
        <w:tabs>
          <w:tab w:val="num" w:pos="1080"/>
        </w:tabs>
        <w:ind w:left="1080" w:hanging="360"/>
      </w:pPr>
      <w:rPr>
        <w:rFonts w:ascii="Courier New" w:hAnsi="Courier New" w:cs="Wingdings" w:hint="default"/>
      </w:rPr>
    </w:lvl>
    <w:lvl w:ilvl="2" w:tplc="F9025844" w:tentative="1">
      <w:start w:val="1"/>
      <w:numFmt w:val="bullet"/>
      <w:lvlText w:val=""/>
      <w:lvlJc w:val="left"/>
      <w:pPr>
        <w:tabs>
          <w:tab w:val="num" w:pos="1800"/>
        </w:tabs>
        <w:ind w:left="1800" w:hanging="360"/>
      </w:pPr>
      <w:rPr>
        <w:rFonts w:ascii="Wingdings" w:hAnsi="Wingdings" w:hint="default"/>
      </w:rPr>
    </w:lvl>
    <w:lvl w:ilvl="3" w:tplc="8A869868" w:tentative="1">
      <w:start w:val="1"/>
      <w:numFmt w:val="bullet"/>
      <w:lvlText w:val=""/>
      <w:lvlJc w:val="left"/>
      <w:pPr>
        <w:tabs>
          <w:tab w:val="num" w:pos="2520"/>
        </w:tabs>
        <w:ind w:left="2520" w:hanging="360"/>
      </w:pPr>
      <w:rPr>
        <w:rFonts w:ascii="Symbol" w:hAnsi="Symbol" w:hint="default"/>
      </w:rPr>
    </w:lvl>
    <w:lvl w:ilvl="4" w:tplc="74020750" w:tentative="1">
      <w:start w:val="1"/>
      <w:numFmt w:val="bullet"/>
      <w:lvlText w:val="o"/>
      <w:lvlJc w:val="left"/>
      <w:pPr>
        <w:tabs>
          <w:tab w:val="num" w:pos="3240"/>
        </w:tabs>
        <w:ind w:left="3240" w:hanging="360"/>
      </w:pPr>
      <w:rPr>
        <w:rFonts w:ascii="Courier New" w:hAnsi="Courier New" w:cs="Wingdings" w:hint="default"/>
      </w:rPr>
    </w:lvl>
    <w:lvl w:ilvl="5" w:tplc="CE16AB84" w:tentative="1">
      <w:start w:val="1"/>
      <w:numFmt w:val="bullet"/>
      <w:lvlText w:val=""/>
      <w:lvlJc w:val="left"/>
      <w:pPr>
        <w:tabs>
          <w:tab w:val="num" w:pos="3960"/>
        </w:tabs>
        <w:ind w:left="3960" w:hanging="360"/>
      </w:pPr>
      <w:rPr>
        <w:rFonts w:ascii="Wingdings" w:hAnsi="Wingdings" w:hint="default"/>
      </w:rPr>
    </w:lvl>
    <w:lvl w:ilvl="6" w:tplc="75DE4D38" w:tentative="1">
      <w:start w:val="1"/>
      <w:numFmt w:val="bullet"/>
      <w:lvlText w:val=""/>
      <w:lvlJc w:val="left"/>
      <w:pPr>
        <w:tabs>
          <w:tab w:val="num" w:pos="4680"/>
        </w:tabs>
        <w:ind w:left="4680" w:hanging="360"/>
      </w:pPr>
      <w:rPr>
        <w:rFonts w:ascii="Symbol" w:hAnsi="Symbol" w:hint="default"/>
      </w:rPr>
    </w:lvl>
    <w:lvl w:ilvl="7" w:tplc="B34E6790" w:tentative="1">
      <w:start w:val="1"/>
      <w:numFmt w:val="bullet"/>
      <w:lvlText w:val="o"/>
      <w:lvlJc w:val="left"/>
      <w:pPr>
        <w:tabs>
          <w:tab w:val="num" w:pos="5400"/>
        </w:tabs>
        <w:ind w:left="5400" w:hanging="360"/>
      </w:pPr>
      <w:rPr>
        <w:rFonts w:ascii="Courier New" w:hAnsi="Courier New" w:cs="Wingdings" w:hint="default"/>
      </w:rPr>
    </w:lvl>
    <w:lvl w:ilvl="8" w:tplc="6F766B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F05D1E"/>
    <w:multiLevelType w:val="hybridMultilevel"/>
    <w:tmpl w:val="92D8D80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A190D"/>
    <w:multiLevelType w:val="hybridMultilevel"/>
    <w:tmpl w:val="83525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51483"/>
    <w:multiLevelType w:val="hybridMultilevel"/>
    <w:tmpl w:val="A126BB1C"/>
    <w:lvl w:ilvl="0" w:tplc="F1C22160">
      <w:start w:val="1"/>
      <w:numFmt w:val="bullet"/>
      <w:lvlText w:val=""/>
      <w:lvlJc w:val="left"/>
      <w:pPr>
        <w:tabs>
          <w:tab w:val="num" w:pos="360"/>
        </w:tabs>
        <w:ind w:left="360" w:hanging="360"/>
      </w:pPr>
      <w:rPr>
        <w:rFonts w:ascii="Wingdings" w:hAnsi="Wingdings" w:hint="default"/>
      </w:rPr>
    </w:lvl>
    <w:lvl w:ilvl="1" w:tplc="E9201AA0" w:tentative="1">
      <w:start w:val="1"/>
      <w:numFmt w:val="bullet"/>
      <w:lvlText w:val="o"/>
      <w:lvlJc w:val="left"/>
      <w:pPr>
        <w:tabs>
          <w:tab w:val="num" w:pos="1080"/>
        </w:tabs>
        <w:ind w:left="1080" w:hanging="360"/>
      </w:pPr>
      <w:rPr>
        <w:rFonts w:ascii="Courier New" w:hAnsi="Courier New" w:cs="Wingdings" w:hint="default"/>
      </w:rPr>
    </w:lvl>
    <w:lvl w:ilvl="2" w:tplc="DACC5FE2" w:tentative="1">
      <w:start w:val="1"/>
      <w:numFmt w:val="bullet"/>
      <w:lvlText w:val=""/>
      <w:lvlJc w:val="left"/>
      <w:pPr>
        <w:tabs>
          <w:tab w:val="num" w:pos="1800"/>
        </w:tabs>
        <w:ind w:left="1800" w:hanging="360"/>
      </w:pPr>
      <w:rPr>
        <w:rFonts w:ascii="Wingdings" w:hAnsi="Wingdings" w:hint="default"/>
      </w:rPr>
    </w:lvl>
    <w:lvl w:ilvl="3" w:tplc="B5646324" w:tentative="1">
      <w:start w:val="1"/>
      <w:numFmt w:val="bullet"/>
      <w:lvlText w:val=""/>
      <w:lvlJc w:val="left"/>
      <w:pPr>
        <w:tabs>
          <w:tab w:val="num" w:pos="2520"/>
        </w:tabs>
        <w:ind w:left="2520" w:hanging="360"/>
      </w:pPr>
      <w:rPr>
        <w:rFonts w:ascii="Symbol" w:hAnsi="Symbol" w:hint="default"/>
      </w:rPr>
    </w:lvl>
    <w:lvl w:ilvl="4" w:tplc="FA0AF2B4" w:tentative="1">
      <w:start w:val="1"/>
      <w:numFmt w:val="bullet"/>
      <w:lvlText w:val="o"/>
      <w:lvlJc w:val="left"/>
      <w:pPr>
        <w:tabs>
          <w:tab w:val="num" w:pos="3240"/>
        </w:tabs>
        <w:ind w:left="3240" w:hanging="360"/>
      </w:pPr>
      <w:rPr>
        <w:rFonts w:ascii="Courier New" w:hAnsi="Courier New" w:cs="Wingdings" w:hint="default"/>
      </w:rPr>
    </w:lvl>
    <w:lvl w:ilvl="5" w:tplc="6BF0706C" w:tentative="1">
      <w:start w:val="1"/>
      <w:numFmt w:val="bullet"/>
      <w:lvlText w:val=""/>
      <w:lvlJc w:val="left"/>
      <w:pPr>
        <w:tabs>
          <w:tab w:val="num" w:pos="3960"/>
        </w:tabs>
        <w:ind w:left="3960" w:hanging="360"/>
      </w:pPr>
      <w:rPr>
        <w:rFonts w:ascii="Wingdings" w:hAnsi="Wingdings" w:hint="default"/>
      </w:rPr>
    </w:lvl>
    <w:lvl w:ilvl="6" w:tplc="5CD6D43E" w:tentative="1">
      <w:start w:val="1"/>
      <w:numFmt w:val="bullet"/>
      <w:lvlText w:val=""/>
      <w:lvlJc w:val="left"/>
      <w:pPr>
        <w:tabs>
          <w:tab w:val="num" w:pos="4680"/>
        </w:tabs>
        <w:ind w:left="4680" w:hanging="360"/>
      </w:pPr>
      <w:rPr>
        <w:rFonts w:ascii="Symbol" w:hAnsi="Symbol" w:hint="default"/>
      </w:rPr>
    </w:lvl>
    <w:lvl w:ilvl="7" w:tplc="07080566" w:tentative="1">
      <w:start w:val="1"/>
      <w:numFmt w:val="bullet"/>
      <w:lvlText w:val="o"/>
      <w:lvlJc w:val="left"/>
      <w:pPr>
        <w:tabs>
          <w:tab w:val="num" w:pos="5400"/>
        </w:tabs>
        <w:ind w:left="5400" w:hanging="360"/>
      </w:pPr>
      <w:rPr>
        <w:rFonts w:ascii="Courier New" w:hAnsi="Courier New" w:cs="Wingdings" w:hint="default"/>
      </w:rPr>
    </w:lvl>
    <w:lvl w:ilvl="8" w:tplc="8C3438C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594D24"/>
    <w:multiLevelType w:val="hybridMultilevel"/>
    <w:tmpl w:val="CB145ED0"/>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29258EA"/>
    <w:multiLevelType w:val="hybridMultilevel"/>
    <w:tmpl w:val="67409072"/>
    <w:lvl w:ilvl="0" w:tplc="E45C3568">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CF5BE8"/>
    <w:multiLevelType w:val="hybridMultilevel"/>
    <w:tmpl w:val="6680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501B"/>
    <w:multiLevelType w:val="hybridMultilevel"/>
    <w:tmpl w:val="A0FA0544"/>
    <w:lvl w:ilvl="0" w:tplc="8F088E38">
      <w:start w:val="5"/>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3030F9"/>
    <w:multiLevelType w:val="hybridMultilevel"/>
    <w:tmpl w:val="BAA278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697B09"/>
    <w:multiLevelType w:val="hybridMultilevel"/>
    <w:tmpl w:val="F404C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91615"/>
    <w:multiLevelType w:val="hybridMultilevel"/>
    <w:tmpl w:val="A2D0AB10"/>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070D10"/>
    <w:multiLevelType w:val="hybridMultilevel"/>
    <w:tmpl w:val="C0F61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B6D14"/>
    <w:multiLevelType w:val="hybridMultilevel"/>
    <w:tmpl w:val="BA4A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21861"/>
    <w:multiLevelType w:val="hybridMultilevel"/>
    <w:tmpl w:val="6AD02C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8156E"/>
    <w:multiLevelType w:val="hybridMultilevel"/>
    <w:tmpl w:val="A164F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72052"/>
    <w:multiLevelType w:val="multilevel"/>
    <w:tmpl w:val="0A886BB0"/>
    <w:lvl w:ilvl="0">
      <w:start w:val="5"/>
      <w:numFmt w:val="decimal"/>
      <w:lvlText w:val="%1."/>
      <w:lvlJc w:val="left"/>
      <w:pPr>
        <w:ind w:left="360" w:hanging="360"/>
      </w:pPr>
      <w:rPr>
        <w:rFonts w:hint="default"/>
        <w:u w:val="single"/>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320" w:hanging="1440"/>
      </w:pPr>
      <w:rPr>
        <w:rFonts w:hint="default"/>
        <w:u w:val="single"/>
      </w:rPr>
    </w:lvl>
  </w:abstractNum>
  <w:abstractNum w:abstractNumId="17" w15:restartNumberingAfterBreak="0">
    <w:nsid w:val="642F2C2B"/>
    <w:multiLevelType w:val="hybridMultilevel"/>
    <w:tmpl w:val="6C128D1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ED0464"/>
    <w:multiLevelType w:val="hybridMultilevel"/>
    <w:tmpl w:val="1B700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7126D"/>
    <w:multiLevelType w:val="hybridMultilevel"/>
    <w:tmpl w:val="A0101ED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A830B7"/>
    <w:multiLevelType w:val="hybridMultilevel"/>
    <w:tmpl w:val="B9D49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80454"/>
    <w:multiLevelType w:val="multilevel"/>
    <w:tmpl w:val="8EFAB0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4"/>
  </w:num>
  <w:num w:numId="3">
    <w:abstractNumId w:val="19"/>
  </w:num>
  <w:num w:numId="4">
    <w:abstractNumId w:val="11"/>
  </w:num>
  <w:num w:numId="5">
    <w:abstractNumId w:val="17"/>
  </w:num>
  <w:num w:numId="6">
    <w:abstractNumId w:val="18"/>
  </w:num>
  <w:num w:numId="7">
    <w:abstractNumId w:val="10"/>
  </w:num>
  <w:num w:numId="8">
    <w:abstractNumId w:val="13"/>
  </w:num>
  <w:num w:numId="9">
    <w:abstractNumId w:val="20"/>
  </w:num>
  <w:num w:numId="10">
    <w:abstractNumId w:val="3"/>
  </w:num>
  <w:num w:numId="11">
    <w:abstractNumId w:val="12"/>
  </w:num>
  <w:num w:numId="12">
    <w:abstractNumId w:val="15"/>
  </w:num>
  <w:num w:numId="13">
    <w:abstractNumId w:val="7"/>
  </w:num>
  <w:num w:numId="14">
    <w:abstractNumId w:val="9"/>
  </w:num>
  <w:num w:numId="15">
    <w:abstractNumId w:val="6"/>
  </w:num>
  <w:num w:numId="16">
    <w:abstractNumId w:val="0"/>
  </w:num>
  <w:num w:numId="17">
    <w:abstractNumId w:val="8"/>
  </w:num>
  <w:num w:numId="18">
    <w:abstractNumId w:val="16"/>
  </w:num>
  <w:num w:numId="19">
    <w:abstractNumId w:val="21"/>
  </w:num>
  <w:num w:numId="20">
    <w:abstractNumId w:val="2"/>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EC"/>
    <w:rsid w:val="00074A88"/>
    <w:rsid w:val="000B31FB"/>
    <w:rsid w:val="000B32EC"/>
    <w:rsid w:val="001149FA"/>
    <w:rsid w:val="00160B95"/>
    <w:rsid w:val="00167857"/>
    <w:rsid w:val="00183D3D"/>
    <w:rsid w:val="001E7364"/>
    <w:rsid w:val="001F7F84"/>
    <w:rsid w:val="002430E6"/>
    <w:rsid w:val="00257DCF"/>
    <w:rsid w:val="002613D4"/>
    <w:rsid w:val="002C4D4D"/>
    <w:rsid w:val="002E71B7"/>
    <w:rsid w:val="002F27D7"/>
    <w:rsid w:val="002F705C"/>
    <w:rsid w:val="00312C2A"/>
    <w:rsid w:val="00315FB8"/>
    <w:rsid w:val="00377343"/>
    <w:rsid w:val="003A01A8"/>
    <w:rsid w:val="003D6110"/>
    <w:rsid w:val="00427923"/>
    <w:rsid w:val="004377E7"/>
    <w:rsid w:val="0046084A"/>
    <w:rsid w:val="004613BB"/>
    <w:rsid w:val="00470E1E"/>
    <w:rsid w:val="0049535A"/>
    <w:rsid w:val="004A373D"/>
    <w:rsid w:val="004C6850"/>
    <w:rsid w:val="005022A7"/>
    <w:rsid w:val="005205CE"/>
    <w:rsid w:val="005438FB"/>
    <w:rsid w:val="00563FA2"/>
    <w:rsid w:val="005C1BD0"/>
    <w:rsid w:val="005D6636"/>
    <w:rsid w:val="005E6F6B"/>
    <w:rsid w:val="005F17DA"/>
    <w:rsid w:val="0067537B"/>
    <w:rsid w:val="006A0363"/>
    <w:rsid w:val="006B50AE"/>
    <w:rsid w:val="007075F6"/>
    <w:rsid w:val="00716E25"/>
    <w:rsid w:val="00730E9E"/>
    <w:rsid w:val="0077292D"/>
    <w:rsid w:val="007E5FE0"/>
    <w:rsid w:val="00811B8D"/>
    <w:rsid w:val="00842047"/>
    <w:rsid w:val="00875202"/>
    <w:rsid w:val="00877AAF"/>
    <w:rsid w:val="008C3E20"/>
    <w:rsid w:val="008E1E55"/>
    <w:rsid w:val="0096151C"/>
    <w:rsid w:val="009A3A5A"/>
    <w:rsid w:val="009B3464"/>
    <w:rsid w:val="009E1649"/>
    <w:rsid w:val="009F1B23"/>
    <w:rsid w:val="00A01BA0"/>
    <w:rsid w:val="00A0350E"/>
    <w:rsid w:val="00A22F56"/>
    <w:rsid w:val="00A316A7"/>
    <w:rsid w:val="00A63775"/>
    <w:rsid w:val="00B57EA1"/>
    <w:rsid w:val="00B733D5"/>
    <w:rsid w:val="00BB196F"/>
    <w:rsid w:val="00BD2002"/>
    <w:rsid w:val="00BE620B"/>
    <w:rsid w:val="00BE6D70"/>
    <w:rsid w:val="00C256EC"/>
    <w:rsid w:val="00C30FAE"/>
    <w:rsid w:val="00C43277"/>
    <w:rsid w:val="00C82B35"/>
    <w:rsid w:val="00CA63CA"/>
    <w:rsid w:val="00CB0629"/>
    <w:rsid w:val="00CC70C3"/>
    <w:rsid w:val="00CF18C9"/>
    <w:rsid w:val="00D46538"/>
    <w:rsid w:val="00D676E6"/>
    <w:rsid w:val="00D768AF"/>
    <w:rsid w:val="00D97918"/>
    <w:rsid w:val="00DA3D93"/>
    <w:rsid w:val="00DB23B5"/>
    <w:rsid w:val="00DC62EE"/>
    <w:rsid w:val="00DF090E"/>
    <w:rsid w:val="00E322D6"/>
    <w:rsid w:val="00E407A1"/>
    <w:rsid w:val="00E41772"/>
    <w:rsid w:val="00E470F7"/>
    <w:rsid w:val="00E547A2"/>
    <w:rsid w:val="00E57BC8"/>
    <w:rsid w:val="00E72A55"/>
    <w:rsid w:val="00E86637"/>
    <w:rsid w:val="00E95202"/>
    <w:rsid w:val="00E96D9B"/>
    <w:rsid w:val="00EB47FD"/>
    <w:rsid w:val="00EC1D32"/>
    <w:rsid w:val="00ED78B4"/>
    <w:rsid w:val="00EE39DD"/>
    <w:rsid w:val="00F1458C"/>
    <w:rsid w:val="00F21E55"/>
    <w:rsid w:val="00F37128"/>
    <w:rsid w:val="00F50D5F"/>
    <w:rsid w:val="00F56C25"/>
    <w:rsid w:val="00F6085C"/>
    <w:rsid w:val="00FC1907"/>
    <w:rsid w:val="00FD0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EEAFE4D-2D9C-4B4C-B5CA-1A3ED4FB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pPr>
      <w:spacing w:after="0" w:line="240" w:lineRule="auto"/>
      <w:jc w:val="both"/>
    </w:pPr>
    <w:rPr>
      <w:rFonts w:ascii="Times New Roman"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2EC"/>
    <w:rPr>
      <w:rFonts w:ascii="Times New Roman" w:hAnsi="Times New Roman"/>
      <w:color w:val="3366FF"/>
      <w:sz w:val="22"/>
      <w:u w:val="single"/>
    </w:rPr>
  </w:style>
  <w:style w:type="paragraph" w:customStyle="1" w:styleId="IPPAnnexHead">
    <w:name w:val="IPP AnnexHead"/>
    <w:basedOn w:val="IPPNormal"/>
    <w:next w:val="IPPNormal"/>
    <w:qFormat/>
    <w:rsid w:val="000B32EC"/>
    <w:pPr>
      <w:keepNext/>
      <w:tabs>
        <w:tab w:val="left" w:pos="567"/>
      </w:tabs>
      <w:spacing w:before="120"/>
      <w:jc w:val="left"/>
      <w:outlineLvl w:val="1"/>
    </w:pPr>
    <w:rPr>
      <w:b/>
      <w:sz w:val="24"/>
    </w:rPr>
  </w:style>
  <w:style w:type="paragraph" w:customStyle="1" w:styleId="IPPNormal">
    <w:name w:val="IPP Normal"/>
    <w:basedOn w:val="Normal"/>
    <w:link w:val="IPPNormalChar"/>
    <w:qFormat/>
    <w:rsid w:val="000B32EC"/>
    <w:pPr>
      <w:spacing w:after="180"/>
    </w:pPr>
    <w:rPr>
      <w:rFonts w:eastAsia="Times"/>
    </w:rPr>
  </w:style>
  <w:style w:type="paragraph" w:customStyle="1" w:styleId="IPPFootnoteRed">
    <w:name w:val="IPP Footnote Red"/>
    <w:basedOn w:val="IPPFootnote"/>
    <w:link w:val="IPPFootnoteRedChar"/>
    <w:uiPriority w:val="99"/>
    <w:qFormat/>
    <w:rsid w:val="000B32EC"/>
    <w:rPr>
      <w:b/>
      <w:bCs/>
      <w:color w:val="FF0000"/>
      <w:sz w:val="22"/>
      <w:vertAlign w:val="superscript"/>
    </w:rPr>
  </w:style>
  <w:style w:type="character" w:customStyle="1" w:styleId="IPPFootnoteRedChar">
    <w:name w:val="IPP Footnote Red Char"/>
    <w:link w:val="IPPFootnoteRed"/>
    <w:uiPriority w:val="99"/>
    <w:rsid w:val="000B32EC"/>
    <w:rPr>
      <w:rFonts w:ascii="Times New Roman" w:eastAsia="Times New Roman" w:hAnsi="Times New Roman" w:cs="Times New Roman"/>
      <w:b/>
      <w:bCs/>
      <w:color w:val="FF0000"/>
      <w:szCs w:val="24"/>
      <w:vertAlign w:val="superscript"/>
      <w:lang w:val="en-GB"/>
    </w:rPr>
  </w:style>
  <w:style w:type="character" w:customStyle="1" w:styleId="IPPNormalChar">
    <w:name w:val="IPP Normal Char"/>
    <w:link w:val="IPPNormal"/>
    <w:rsid w:val="000B32EC"/>
    <w:rPr>
      <w:rFonts w:ascii="Times New Roman" w:eastAsia="Times" w:hAnsi="Times New Roman" w:cs="Times New Roman"/>
      <w:szCs w:val="24"/>
      <w:lang w:val="en-GB"/>
    </w:rPr>
  </w:style>
  <w:style w:type="paragraph" w:customStyle="1" w:styleId="IPPFootnote">
    <w:name w:val="IPP Footnote"/>
    <w:basedOn w:val="Normal"/>
    <w:qFormat/>
    <w:rsid w:val="000B32EC"/>
    <w:pPr>
      <w:tabs>
        <w:tab w:val="left" w:pos="0"/>
        <w:tab w:val="left" w:pos="28"/>
      </w:tabs>
      <w:spacing w:after="60"/>
    </w:pPr>
    <w:rPr>
      <w:rFonts w:eastAsia="Times New Roman"/>
      <w:sz w:val="20"/>
    </w:rPr>
  </w:style>
  <w:style w:type="paragraph" w:customStyle="1" w:styleId="IPPHeader">
    <w:name w:val="IPP Header"/>
    <w:basedOn w:val="Normal"/>
    <w:qFormat/>
    <w:rsid w:val="000B32EC"/>
    <w:pPr>
      <w:pBdr>
        <w:bottom w:val="single" w:sz="4" w:space="4" w:color="auto"/>
      </w:pBdr>
      <w:tabs>
        <w:tab w:val="left" w:pos="1134"/>
        <w:tab w:val="right" w:pos="9072"/>
      </w:tabs>
      <w:spacing w:after="120"/>
      <w:jc w:val="left"/>
    </w:pPr>
    <w:rPr>
      <w:rFonts w:ascii="Arial" w:hAnsi="Arial"/>
      <w:sz w:val="18"/>
      <w:lang w:val="en-US"/>
    </w:rPr>
  </w:style>
  <w:style w:type="paragraph" w:customStyle="1" w:styleId="IPPFooter">
    <w:name w:val="IPP Footer"/>
    <w:basedOn w:val="IPPHeader"/>
    <w:next w:val="PlainText"/>
    <w:qFormat/>
    <w:rsid w:val="000B32EC"/>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semiHidden/>
    <w:unhideWhenUsed/>
    <w:rsid w:val="000B32EC"/>
    <w:rPr>
      <w:rFonts w:ascii="Consolas" w:hAnsi="Consolas"/>
      <w:sz w:val="21"/>
      <w:szCs w:val="21"/>
    </w:rPr>
  </w:style>
  <w:style w:type="character" w:customStyle="1" w:styleId="PlainTextChar">
    <w:name w:val="Plain Text Char"/>
    <w:basedOn w:val="DefaultParagraphFont"/>
    <w:link w:val="PlainText"/>
    <w:uiPriority w:val="99"/>
    <w:semiHidden/>
    <w:rsid w:val="000B32EC"/>
    <w:rPr>
      <w:rFonts w:ascii="Consolas" w:eastAsia="MS Mincho" w:hAnsi="Consolas" w:cs="Times New Roman"/>
      <w:sz w:val="21"/>
      <w:szCs w:val="21"/>
      <w:lang w:val="en-GB"/>
    </w:rPr>
  </w:style>
  <w:style w:type="paragraph" w:styleId="Header">
    <w:name w:val="header"/>
    <w:basedOn w:val="Normal"/>
    <w:link w:val="HeaderChar"/>
    <w:uiPriority w:val="99"/>
    <w:unhideWhenUsed/>
    <w:rsid w:val="006B50AE"/>
    <w:pPr>
      <w:tabs>
        <w:tab w:val="center" w:pos="4680"/>
        <w:tab w:val="right" w:pos="9360"/>
      </w:tabs>
    </w:pPr>
  </w:style>
  <w:style w:type="character" w:customStyle="1" w:styleId="HeaderChar">
    <w:name w:val="Header Char"/>
    <w:basedOn w:val="DefaultParagraphFont"/>
    <w:link w:val="Header"/>
    <w:uiPriority w:val="99"/>
    <w:rsid w:val="006B50AE"/>
    <w:rPr>
      <w:rFonts w:ascii="Times New Roman" w:eastAsia="MS Mincho" w:hAnsi="Times New Roman" w:cs="Times New Roman"/>
      <w:szCs w:val="24"/>
      <w:lang w:val="en-GB"/>
    </w:rPr>
  </w:style>
  <w:style w:type="paragraph" w:styleId="Footer">
    <w:name w:val="footer"/>
    <w:basedOn w:val="Normal"/>
    <w:link w:val="FooterChar"/>
    <w:uiPriority w:val="99"/>
    <w:unhideWhenUsed/>
    <w:rsid w:val="006B50AE"/>
    <w:pPr>
      <w:tabs>
        <w:tab w:val="center" w:pos="4680"/>
        <w:tab w:val="right" w:pos="9360"/>
      </w:tabs>
    </w:pPr>
  </w:style>
  <w:style w:type="character" w:customStyle="1" w:styleId="FooterChar">
    <w:name w:val="Footer Char"/>
    <w:basedOn w:val="DefaultParagraphFont"/>
    <w:link w:val="Footer"/>
    <w:uiPriority w:val="99"/>
    <w:rsid w:val="006B50AE"/>
    <w:rPr>
      <w:rFonts w:ascii="Times New Roman" w:eastAsia="MS Mincho" w:hAnsi="Times New Roman" w:cs="Times New Roman"/>
      <w:szCs w:val="24"/>
      <w:lang w:val="en-GB"/>
    </w:rPr>
  </w:style>
  <w:style w:type="paragraph" w:styleId="ListParagraph">
    <w:name w:val="List Paragraph"/>
    <w:basedOn w:val="Normal"/>
    <w:uiPriority w:val="34"/>
    <w:qFormat/>
    <w:rsid w:val="00167857"/>
    <w:pPr>
      <w:ind w:left="720"/>
      <w:contextualSpacing/>
    </w:pPr>
  </w:style>
  <w:style w:type="character" w:styleId="FollowedHyperlink">
    <w:name w:val="FollowedHyperlink"/>
    <w:basedOn w:val="DefaultParagraphFont"/>
    <w:uiPriority w:val="99"/>
    <w:semiHidden/>
    <w:unhideWhenUsed/>
    <w:rsid w:val="0046084A"/>
    <w:rPr>
      <w:color w:val="954F72" w:themeColor="followedHyperlink"/>
      <w:u w:val="single"/>
    </w:rPr>
  </w:style>
  <w:style w:type="paragraph" w:styleId="BalloonText">
    <w:name w:val="Balloon Text"/>
    <w:basedOn w:val="Normal"/>
    <w:link w:val="BalloonTextChar"/>
    <w:uiPriority w:val="99"/>
    <w:semiHidden/>
    <w:unhideWhenUsed/>
    <w:rsid w:val="005D6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636"/>
    <w:rPr>
      <w:rFonts w:ascii="Segoe UI" w:hAnsi="Segoe UI" w:cs="Segoe UI"/>
      <w:sz w:val="18"/>
      <w:szCs w:val="18"/>
      <w:lang w:val="en-GB"/>
    </w:rPr>
  </w:style>
  <w:style w:type="paragraph" w:styleId="Revision">
    <w:name w:val="Revision"/>
    <w:hidden/>
    <w:uiPriority w:val="99"/>
    <w:semiHidden/>
    <w:rsid w:val="00E86637"/>
    <w:pPr>
      <w:spacing w:after="0" w:line="240" w:lineRule="auto"/>
    </w:pPr>
    <w:rPr>
      <w:rFonts w:ascii="Times New Roman" w:hAnsi="Times New Roman" w:cs="Times New Roman"/>
      <w:szCs w:val="24"/>
      <w:lang w:val="en-GB"/>
    </w:rPr>
  </w:style>
  <w:style w:type="character" w:styleId="CommentReference">
    <w:name w:val="annotation reference"/>
    <w:basedOn w:val="DefaultParagraphFont"/>
    <w:uiPriority w:val="99"/>
    <w:semiHidden/>
    <w:unhideWhenUsed/>
    <w:rsid w:val="00E86637"/>
    <w:rPr>
      <w:sz w:val="16"/>
      <w:szCs w:val="16"/>
    </w:rPr>
  </w:style>
  <w:style w:type="paragraph" w:styleId="CommentText">
    <w:name w:val="annotation text"/>
    <w:basedOn w:val="Normal"/>
    <w:link w:val="CommentTextChar"/>
    <w:uiPriority w:val="99"/>
    <w:semiHidden/>
    <w:unhideWhenUsed/>
    <w:rsid w:val="00E86637"/>
    <w:rPr>
      <w:sz w:val="20"/>
      <w:szCs w:val="20"/>
    </w:rPr>
  </w:style>
  <w:style w:type="character" w:customStyle="1" w:styleId="CommentTextChar">
    <w:name w:val="Comment Text Char"/>
    <w:basedOn w:val="DefaultParagraphFont"/>
    <w:link w:val="CommentText"/>
    <w:uiPriority w:val="99"/>
    <w:semiHidden/>
    <w:rsid w:val="00E8663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86637"/>
    <w:rPr>
      <w:b/>
      <w:bCs/>
    </w:rPr>
  </w:style>
  <w:style w:type="character" w:customStyle="1" w:styleId="CommentSubjectChar">
    <w:name w:val="Comment Subject Char"/>
    <w:basedOn w:val="CommentTextChar"/>
    <w:link w:val="CommentSubject"/>
    <w:uiPriority w:val="99"/>
    <w:semiHidden/>
    <w:rsid w:val="00E86637"/>
    <w:rPr>
      <w:rFonts w:ascii="Times New Roman" w:hAnsi="Times New Roman" w:cs="Times New Roman"/>
      <w:b/>
      <w:bCs/>
      <w:sz w:val="20"/>
      <w:szCs w:val="20"/>
      <w:lang w:val="en-GB"/>
    </w:rPr>
  </w:style>
  <w:style w:type="paragraph" w:styleId="FootnoteText">
    <w:name w:val="footnote text"/>
    <w:basedOn w:val="Normal"/>
    <w:link w:val="FootnoteTextChar"/>
    <w:semiHidden/>
    <w:rsid w:val="00E86637"/>
    <w:pPr>
      <w:spacing w:before="60"/>
    </w:pPr>
    <w:rPr>
      <w:sz w:val="20"/>
    </w:rPr>
  </w:style>
  <w:style w:type="character" w:customStyle="1" w:styleId="FootnoteTextChar">
    <w:name w:val="Footnote Text Char"/>
    <w:basedOn w:val="DefaultParagraphFont"/>
    <w:link w:val="FootnoteText"/>
    <w:semiHidden/>
    <w:rsid w:val="00E86637"/>
    <w:rPr>
      <w:rFonts w:ascii="Times New Roman" w:hAnsi="Times New Roman" w:cs="Times New Roman"/>
      <w:sz w:val="20"/>
      <w:szCs w:val="24"/>
      <w:lang w:val="en-GB"/>
    </w:rPr>
  </w:style>
  <w:style w:type="character" w:styleId="FootnoteReference">
    <w:name w:val="footnote reference"/>
    <w:semiHidden/>
    <w:rsid w:val="00E86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en/publications/82439/" TargetMode="External"/><Relationship Id="rId13" Type="http://schemas.openxmlformats.org/officeDocument/2006/relationships/hyperlink" Target="https://www.ippc.int/en/core-activities/standards-setting/calls-treatments/" TargetMode="External"/><Relationship Id="rId18" Type="http://schemas.openxmlformats.org/officeDocument/2006/relationships/package" Target="embeddings/Microsoft_Word_Document1.doc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ppc.int/en/core-activities/standards-and-implementation/call-for-topics-standards-and-implementation/" TargetMode="Externa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pc@fao.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2.xml"/><Relationship Id="rId10" Type="http://schemas.openxmlformats.org/officeDocument/2006/relationships/hyperlink" Target="https://www.ippc.int/core-activities/standards-setting/list-topics-ippc-standards" TargetMode="External"/><Relationship Id="rId19" Type="http://schemas.openxmlformats.org/officeDocument/2006/relationships/hyperlink" Target="mailto:ippc@fao.org" TargetMode="External"/><Relationship Id="rId4" Type="http://schemas.openxmlformats.org/officeDocument/2006/relationships/settings" Target="settings.xml"/><Relationship Id="rId9" Type="http://schemas.openxmlformats.org/officeDocument/2006/relationships/hyperlink" Target="https://www.ippc.int/en/core-activities/standards-setting/calls-treatments/" TargetMode="External"/><Relationship Id="rId14" Type="http://schemas.openxmlformats.org/officeDocument/2006/relationships/hyperlink" Target="https://www.ippc.int/en/publications/81324/"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en/publications/8502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C21B-234E-4DE5-BFE5-23988A17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Wlodarczyk, Piotr (AGDI)</dc:creator>
  <cp:keywords/>
  <dc:description/>
  <cp:lastModifiedBy>Goritschnig, Sandra (AGDI)</cp:lastModifiedBy>
  <cp:revision>3</cp:revision>
  <cp:lastPrinted>2018-04-26T12:52:00Z</cp:lastPrinted>
  <dcterms:created xsi:type="dcterms:W3CDTF">2018-09-03T08:33:00Z</dcterms:created>
  <dcterms:modified xsi:type="dcterms:W3CDTF">2018-09-03T08:38:00Z</dcterms:modified>
</cp:coreProperties>
</file>