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6EE2B68E" w14:textId="3EC1AF8A" w:rsidR="000B32EC" w:rsidRDefault="000B32EC" w:rsidP="00EB4EA8">
      <w:pPr>
        <w:jc w:val="center"/>
      </w:pPr>
      <w:r w:rsidRPr="007075F6">
        <w:t>Nam</w:t>
      </w:r>
      <w:r w:rsidR="00EB4EA8">
        <w:t xml:space="preserve">e of Country or Organization: Canadian Food Inspection Agency – NPPO </w:t>
      </w:r>
      <w:r w:rsidR="007A7B3A">
        <w:t xml:space="preserve">of </w:t>
      </w:r>
      <w:r w:rsidR="00EB4EA8">
        <w:t>Canada</w:t>
      </w:r>
    </w:p>
    <w:p w14:paraId="162C587E" w14:textId="77777777" w:rsidR="00EB4EA8" w:rsidRPr="007075F6" w:rsidRDefault="00EB4EA8" w:rsidP="00EB4EA8">
      <w:pPr>
        <w:jc w:val="cente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2579870B"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r w:rsidR="00EB4EA8">
              <w:rPr>
                <w:sz w:val="20"/>
                <w:szCs w:val="20"/>
              </w:rPr>
              <w:t xml:space="preserve"> Steve C</w:t>
            </w:r>
            <w:r w:rsidR="007A7B3A">
              <w:rPr>
                <w:sz w:val="20"/>
                <w:szCs w:val="20"/>
              </w:rPr>
              <w:t>ô</w:t>
            </w:r>
            <w:r w:rsidR="00EB4EA8">
              <w:rPr>
                <w:sz w:val="20"/>
                <w:szCs w:val="20"/>
              </w:rPr>
              <w:t>t</w:t>
            </w:r>
            <w:r w:rsidR="007A7B3A">
              <w:rPr>
                <w:sz w:val="20"/>
                <w:szCs w:val="20"/>
              </w:rPr>
              <w:t>é</w:t>
            </w:r>
          </w:p>
          <w:p w14:paraId="5D55FFB4" w14:textId="77777777" w:rsidR="000B32EC" w:rsidRPr="00326064" w:rsidRDefault="000B32EC" w:rsidP="00551ED4"/>
        </w:tc>
      </w:tr>
      <w:tr w:rsidR="000B32EC" w:rsidRPr="000A2F77"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7B768216" w14:textId="1EB356F4" w:rsidR="000B32EC" w:rsidRPr="00326064" w:rsidRDefault="000B32EC" w:rsidP="00551ED4">
            <w:pPr>
              <w:tabs>
                <w:tab w:val="right" w:leader="dot" w:pos="9480"/>
              </w:tabs>
              <w:spacing w:before="60" w:after="60"/>
              <w:rPr>
                <w:sz w:val="20"/>
                <w:szCs w:val="20"/>
              </w:rPr>
            </w:pPr>
            <w:r w:rsidRPr="00326064">
              <w:rPr>
                <w:sz w:val="20"/>
                <w:szCs w:val="20"/>
              </w:rPr>
              <w:t>Name:</w:t>
            </w:r>
            <w:r w:rsidR="00EB4EA8">
              <w:rPr>
                <w:sz w:val="20"/>
                <w:szCs w:val="20"/>
              </w:rPr>
              <w:t xml:space="preserve"> Dominique Pelletier</w:t>
            </w:r>
          </w:p>
          <w:p w14:paraId="0C6983A7" w14:textId="0113584B"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EB4EA8">
              <w:rPr>
                <w:sz w:val="20"/>
                <w:szCs w:val="20"/>
              </w:rPr>
              <w:t xml:space="preserve"> Senior International Standards Officer</w:t>
            </w:r>
          </w:p>
          <w:p w14:paraId="4D3CF7FC" w14:textId="22E228E1" w:rsidR="00EB4EA8" w:rsidRPr="00EB4EA8" w:rsidRDefault="000B32EC" w:rsidP="00EB4EA8">
            <w:pPr>
              <w:tabs>
                <w:tab w:val="right" w:leader="dot" w:pos="9480"/>
              </w:tabs>
              <w:spacing w:before="60" w:after="60"/>
              <w:rPr>
                <w:sz w:val="20"/>
                <w:szCs w:val="20"/>
                <w:lang w:val="en-CA"/>
              </w:rPr>
            </w:pPr>
            <w:r w:rsidRPr="00326064">
              <w:rPr>
                <w:sz w:val="20"/>
                <w:szCs w:val="20"/>
              </w:rPr>
              <w:t>Mailing address:</w:t>
            </w:r>
            <w:r w:rsidR="00EB4EA8" w:rsidRPr="00EB4EA8">
              <w:rPr>
                <w:rFonts w:ascii="Helvetica" w:eastAsia="Times New Roman" w:hAnsi="Helvetica" w:cs="Helvetica"/>
                <w:color w:val="333333"/>
                <w:sz w:val="24"/>
                <w:lang w:val="en-CA" w:eastAsia="en-CA"/>
              </w:rPr>
              <w:t xml:space="preserve"> </w:t>
            </w:r>
            <w:r w:rsidR="00EB4EA8" w:rsidRPr="00EB4EA8">
              <w:rPr>
                <w:sz w:val="20"/>
                <w:szCs w:val="20"/>
                <w:lang w:val="en-CA"/>
              </w:rPr>
              <w:t>1400 Merivale Road Tower 1</w:t>
            </w:r>
            <w:r w:rsidR="00EB4EA8">
              <w:rPr>
                <w:sz w:val="20"/>
                <w:szCs w:val="20"/>
                <w:lang w:val="en-CA"/>
              </w:rPr>
              <w:t xml:space="preserve">, </w:t>
            </w:r>
            <w:r w:rsidR="00EB4EA8" w:rsidRPr="00EB4EA8">
              <w:rPr>
                <w:sz w:val="20"/>
                <w:szCs w:val="20"/>
                <w:lang w:val="en-CA"/>
              </w:rPr>
              <w:t>Ottawa, Ontario  K1A 0Y9</w:t>
            </w:r>
            <w:r w:rsidR="00EB4EA8">
              <w:rPr>
                <w:sz w:val="20"/>
                <w:szCs w:val="20"/>
                <w:lang w:val="en-CA"/>
              </w:rPr>
              <w:t xml:space="preserve"> </w:t>
            </w:r>
            <w:r w:rsidR="00EB4EA8" w:rsidRPr="00EB4EA8">
              <w:rPr>
                <w:sz w:val="20"/>
                <w:szCs w:val="20"/>
                <w:lang w:val="en-CA"/>
              </w:rPr>
              <w:t>Canada</w:t>
            </w:r>
          </w:p>
          <w:p w14:paraId="70B8A3B8" w14:textId="4F44E775" w:rsidR="000B32EC" w:rsidRPr="00326064" w:rsidRDefault="000B32EC" w:rsidP="00551ED4">
            <w:pPr>
              <w:tabs>
                <w:tab w:val="right" w:leader="dot" w:pos="9480"/>
              </w:tabs>
              <w:spacing w:before="60" w:after="60"/>
              <w:rPr>
                <w:sz w:val="20"/>
                <w:szCs w:val="20"/>
              </w:rPr>
            </w:pPr>
          </w:p>
          <w:p w14:paraId="766DAD92" w14:textId="3281DEF9" w:rsidR="000B32EC" w:rsidRPr="00F6330A" w:rsidRDefault="000B32EC" w:rsidP="00551ED4">
            <w:pPr>
              <w:tabs>
                <w:tab w:val="left" w:leader="dot" w:pos="4320"/>
                <w:tab w:val="left" w:pos="4560"/>
                <w:tab w:val="right" w:leader="dot" w:pos="9480"/>
              </w:tabs>
              <w:spacing w:before="60" w:after="60"/>
              <w:rPr>
                <w:sz w:val="20"/>
                <w:szCs w:val="20"/>
                <w:lang w:val="fr-FR"/>
              </w:rPr>
            </w:pPr>
            <w:r w:rsidRPr="00F6330A">
              <w:rPr>
                <w:sz w:val="20"/>
                <w:szCs w:val="20"/>
                <w:lang w:val="fr-FR"/>
              </w:rPr>
              <w:t>Phone:</w:t>
            </w:r>
            <w:r w:rsidR="00F6330A" w:rsidRPr="00F6330A">
              <w:rPr>
                <w:sz w:val="20"/>
                <w:szCs w:val="20"/>
                <w:lang w:val="fr-FR"/>
              </w:rPr>
              <w:t xml:space="preserve"> </w:t>
            </w:r>
            <w:r w:rsidR="00A61BAE">
              <w:rPr>
                <w:sz w:val="20"/>
                <w:szCs w:val="20"/>
                <w:lang w:val="fr-FR"/>
              </w:rPr>
              <w:t>(</w:t>
            </w:r>
            <w:r w:rsidR="00F6330A" w:rsidRPr="00F6330A">
              <w:rPr>
                <w:sz w:val="20"/>
                <w:szCs w:val="20"/>
                <w:lang w:val="fr-FR"/>
              </w:rPr>
              <w:t>613</w:t>
            </w:r>
            <w:r w:rsidR="00A61BAE">
              <w:rPr>
                <w:sz w:val="20"/>
                <w:szCs w:val="20"/>
                <w:lang w:val="fr-FR"/>
              </w:rPr>
              <w:t>)</w:t>
            </w:r>
            <w:r w:rsidR="00F6330A" w:rsidRPr="00F6330A">
              <w:rPr>
                <w:sz w:val="20"/>
                <w:szCs w:val="20"/>
                <w:lang w:val="fr-FR"/>
              </w:rPr>
              <w:t xml:space="preserve"> 773</w:t>
            </w:r>
            <w:r w:rsidR="00A61BAE">
              <w:rPr>
                <w:sz w:val="20"/>
                <w:szCs w:val="20"/>
                <w:lang w:val="fr-FR"/>
              </w:rPr>
              <w:t>-</w:t>
            </w:r>
            <w:r w:rsidR="00F6330A" w:rsidRPr="00F6330A">
              <w:rPr>
                <w:sz w:val="20"/>
                <w:szCs w:val="20"/>
                <w:lang w:val="fr-FR"/>
              </w:rPr>
              <w:t xml:space="preserve">6492                    </w:t>
            </w:r>
            <w:r w:rsidRPr="00F6330A">
              <w:rPr>
                <w:sz w:val="20"/>
                <w:szCs w:val="20"/>
                <w:lang w:val="fr-FR"/>
              </w:rPr>
              <w:t>Fax:</w:t>
            </w:r>
            <w:r w:rsidR="00A61BAE" w:rsidRPr="00A61BAE">
              <w:rPr>
                <w:lang w:val="fr-CA"/>
              </w:rPr>
              <w:t xml:space="preserve"> </w:t>
            </w:r>
            <w:r w:rsidR="00A61BAE" w:rsidRPr="00A61BAE">
              <w:rPr>
                <w:sz w:val="20"/>
                <w:szCs w:val="20"/>
                <w:lang w:val="fr-FR"/>
              </w:rPr>
              <w:t>(613) 773-5693</w:t>
            </w:r>
          </w:p>
          <w:p w14:paraId="68A8B13F" w14:textId="3C556148" w:rsidR="000B32EC" w:rsidRPr="00F6330A" w:rsidRDefault="000B32EC" w:rsidP="00A61BAE">
            <w:pPr>
              <w:tabs>
                <w:tab w:val="right" w:leader="dot" w:pos="9480"/>
              </w:tabs>
              <w:spacing w:before="60" w:after="60"/>
              <w:rPr>
                <w:sz w:val="20"/>
                <w:szCs w:val="20"/>
                <w:lang w:val="fr-FR"/>
              </w:rPr>
            </w:pPr>
            <w:r w:rsidRPr="00F6330A">
              <w:rPr>
                <w:sz w:val="20"/>
                <w:szCs w:val="20"/>
                <w:lang w:val="fr-FR"/>
              </w:rPr>
              <w:t>E-mail:</w:t>
            </w:r>
            <w:r w:rsidR="00F6330A" w:rsidRPr="00F6330A">
              <w:rPr>
                <w:sz w:val="20"/>
                <w:szCs w:val="20"/>
                <w:lang w:val="fr-FR"/>
              </w:rPr>
              <w:t xml:space="preserve"> dominique.pelletier</w:t>
            </w:r>
            <w:r w:rsidR="00A61BAE">
              <w:rPr>
                <w:sz w:val="20"/>
                <w:szCs w:val="20"/>
                <w:lang w:val="fr-FR"/>
              </w:rPr>
              <w:t>2</w:t>
            </w:r>
            <w:r w:rsidR="00F6330A" w:rsidRPr="00F6330A">
              <w:rPr>
                <w:sz w:val="20"/>
                <w:szCs w:val="20"/>
                <w:lang w:val="fr-FR"/>
              </w:rPr>
              <w:t>@canada.ca</w:t>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23CE5A9A" w:rsidR="00E96D9B" w:rsidRPr="00EE39DD" w:rsidRDefault="0067537B" w:rsidP="0067537B">
            <w:pPr>
              <w:rPr>
                <w:sz w:val="20"/>
                <w:szCs w:val="20"/>
              </w:rPr>
            </w:pPr>
            <w:r w:rsidRPr="00EE39DD">
              <w:rPr>
                <w:bCs/>
                <w:sz w:val="20"/>
                <w:szCs w:val="20"/>
              </w:rPr>
              <w:t>[__]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w:t>
            </w:r>
            <w:r w:rsidR="00F6330A" w:rsidRPr="00F6330A">
              <w:rPr>
                <w:b/>
                <w:bCs/>
                <w:sz w:val="20"/>
                <w:szCs w:val="20"/>
              </w:rPr>
              <w:t>X</w:t>
            </w:r>
            <w:r w:rsidRPr="00EE39DD">
              <w:rPr>
                <w:bCs/>
                <w:sz w:val="20"/>
                <w:szCs w:val="20"/>
              </w:rPr>
              <w:t>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lastRenderedPageBreak/>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t>A. New ISPM:</w:t>
            </w:r>
          </w:p>
          <w:p w14:paraId="6C7FB33E"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C23F80D" w14:textId="77777777"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14:paraId="2AEFC6D1"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77777777" w:rsidR="000B32EC" w:rsidRPr="00326064" w:rsidRDefault="000B32EC" w:rsidP="00551ED4">
            <w:pPr>
              <w:rPr>
                <w:bCs/>
                <w:sz w:val="20"/>
                <w:szCs w:val="20"/>
              </w:rPr>
            </w:pPr>
            <w:r w:rsidRPr="00326064">
              <w:rPr>
                <w:bCs/>
                <w:sz w:val="20"/>
                <w:szCs w:val="20"/>
              </w:rPr>
              <w:t>[__]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26A507C3"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w:t>
            </w:r>
            <w:r w:rsidRPr="003D2CD5">
              <w:rPr>
                <w:bCs/>
                <w:sz w:val="4"/>
                <w:szCs w:val="4"/>
              </w:rPr>
              <w:t>_</w:t>
            </w:r>
            <w:r w:rsidR="00F6330A" w:rsidRPr="00F6330A">
              <w:rPr>
                <w:b/>
                <w:bCs/>
                <w:sz w:val="20"/>
                <w:szCs w:val="20"/>
              </w:rPr>
              <w:t>X</w:t>
            </w:r>
            <w:r w:rsidRPr="003D2CD5">
              <w:rPr>
                <w:bCs/>
                <w:sz w:val="4"/>
                <w:szCs w:val="4"/>
              </w:rPr>
              <w:t>_</w:t>
            </w:r>
            <w:r w:rsidRPr="00EE39DD">
              <w:rPr>
                <w:bCs/>
                <w:sz w:val="20"/>
                <w:szCs w:val="20"/>
              </w:rPr>
              <w:t>]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DB9CDC"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3C35DAB8"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544C70E2" w14:textId="415D6228"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00C85809" w:rsidR="00EB47FD" w:rsidRPr="00EE39DD" w:rsidRDefault="00EB47FD" w:rsidP="00EB47FD">
            <w:pPr>
              <w:spacing w:before="120"/>
              <w:jc w:val="left"/>
              <w:rPr>
                <w:sz w:val="20"/>
                <w:szCs w:val="20"/>
              </w:rPr>
            </w:pPr>
            <w:r w:rsidRPr="00EE39DD">
              <w:rPr>
                <w:bCs/>
                <w:sz w:val="20"/>
                <w:szCs w:val="20"/>
              </w:rPr>
              <w:t>[_</w:t>
            </w:r>
            <w:r w:rsidR="002A1DED" w:rsidRPr="002A1DED">
              <w:rPr>
                <w:b/>
                <w:bCs/>
                <w:sz w:val="20"/>
                <w:szCs w:val="20"/>
              </w:rPr>
              <w:t>X</w:t>
            </w:r>
            <w:r w:rsidRPr="00EE39DD">
              <w:rPr>
                <w:bCs/>
                <w:sz w:val="20"/>
                <w:szCs w:val="20"/>
              </w:rPr>
              <w:t xml:space="preserve">_] for </w:t>
            </w:r>
            <w:r w:rsidRPr="00EE39DD">
              <w:rPr>
                <w:sz w:val="20"/>
                <w:szCs w:val="20"/>
              </w:rPr>
              <w:t>Convention articles (</w:t>
            </w:r>
            <w:r w:rsidR="002A1DED" w:rsidRPr="002A1DED">
              <w:rPr>
                <w:sz w:val="20"/>
                <w:szCs w:val="20"/>
              </w:rPr>
              <w:t>Authorization is referred to in the IPPC in Article V.2(a)</w:t>
            </w:r>
            <w:r w:rsidRPr="00EE39DD">
              <w:rPr>
                <w:sz w:val="20"/>
                <w:szCs w:val="20"/>
              </w:rPr>
              <w:t xml:space="preserve"> </w:t>
            </w:r>
          </w:p>
          <w:p w14:paraId="5FD03860" w14:textId="1AB26253" w:rsidR="00EB47FD" w:rsidRPr="00EE39DD" w:rsidRDefault="00EB47FD" w:rsidP="00EB47FD">
            <w:pPr>
              <w:spacing w:before="120"/>
              <w:jc w:val="left"/>
              <w:rPr>
                <w:sz w:val="20"/>
                <w:szCs w:val="20"/>
              </w:rPr>
            </w:pPr>
            <w:r w:rsidRPr="00EE39DD">
              <w:rPr>
                <w:bCs/>
                <w:sz w:val="20"/>
                <w:szCs w:val="20"/>
              </w:rPr>
              <w:t>[_</w:t>
            </w:r>
            <w:r w:rsidR="002A1DED" w:rsidRPr="002A1DED">
              <w:rPr>
                <w:b/>
                <w:bCs/>
                <w:sz w:val="20"/>
                <w:szCs w:val="20"/>
              </w:rPr>
              <w:t>X</w:t>
            </w:r>
            <w:r w:rsidRPr="00EE39DD">
              <w:rPr>
                <w:bCs/>
                <w:sz w:val="20"/>
                <w:szCs w:val="20"/>
              </w:rPr>
              <w:t xml:space="preserve">_] </w:t>
            </w:r>
            <w:r w:rsidRPr="000024F0">
              <w:rPr>
                <w:bCs/>
                <w:sz w:val="20"/>
                <w:szCs w:val="20"/>
              </w:rPr>
              <w:t xml:space="preserve">for </w:t>
            </w:r>
            <w:r w:rsidRPr="000024F0">
              <w:rPr>
                <w:sz w:val="20"/>
                <w:szCs w:val="20"/>
              </w:rPr>
              <w:t>ISPM (</w:t>
            </w:r>
            <w:r w:rsidR="002A1DED" w:rsidRPr="000024F0">
              <w:rPr>
                <w:bCs/>
                <w:sz w:val="20"/>
                <w:szCs w:val="20"/>
                <w:u w:val="single"/>
              </w:rPr>
              <w:t>ISPM 3</w:t>
            </w:r>
            <w:r w:rsidR="002A1DED" w:rsidRPr="000024F0">
              <w:rPr>
                <w:bCs/>
                <w:sz w:val="20"/>
                <w:szCs w:val="20"/>
              </w:rPr>
              <w:t>:2005 (</w:t>
            </w:r>
            <w:r w:rsidR="002A1DED" w:rsidRPr="000024F0">
              <w:rPr>
                <w:bCs/>
                <w:i/>
                <w:sz w:val="20"/>
                <w:szCs w:val="20"/>
              </w:rPr>
              <w:t>Guidelines for the export, shipment, import and release of biological control agents and other beneficial organisms</w:t>
            </w:r>
            <w:r w:rsidR="002A1DED" w:rsidRPr="000024F0">
              <w:rPr>
                <w:sz w:val="20"/>
                <w:szCs w:val="20"/>
              </w:rPr>
              <w:t>), ISPM 7:2011 (</w:t>
            </w:r>
            <w:r w:rsidR="002A1DED" w:rsidRPr="000024F0">
              <w:rPr>
                <w:i/>
                <w:sz w:val="20"/>
                <w:szCs w:val="20"/>
              </w:rPr>
              <w:t>Phytosanitary certification system</w:t>
            </w:r>
            <w:r w:rsidR="002A1DED" w:rsidRPr="000024F0">
              <w:rPr>
                <w:sz w:val="20"/>
                <w:szCs w:val="20"/>
              </w:rPr>
              <w:t xml:space="preserve">), </w:t>
            </w:r>
            <w:r w:rsidR="002A1DED" w:rsidRPr="000024F0">
              <w:rPr>
                <w:bCs/>
                <w:sz w:val="20"/>
                <w:szCs w:val="20"/>
                <w:u w:val="single"/>
              </w:rPr>
              <w:t>ISPM 12</w:t>
            </w:r>
            <w:r w:rsidR="002A1DED" w:rsidRPr="000024F0">
              <w:rPr>
                <w:bCs/>
                <w:sz w:val="20"/>
                <w:szCs w:val="20"/>
              </w:rPr>
              <w:t>:2011 (</w:t>
            </w:r>
            <w:r w:rsidR="002A1DED" w:rsidRPr="000024F0">
              <w:rPr>
                <w:bCs/>
                <w:i/>
                <w:sz w:val="20"/>
                <w:szCs w:val="20"/>
              </w:rPr>
              <w:t>Phytosanitary certificates</w:t>
            </w:r>
            <w:r w:rsidR="002A1DED" w:rsidRPr="000024F0">
              <w:rPr>
                <w:bCs/>
                <w:sz w:val="20"/>
                <w:szCs w:val="20"/>
              </w:rPr>
              <w:t>)</w:t>
            </w:r>
            <w:r w:rsidR="002A1DED" w:rsidRPr="000024F0">
              <w:rPr>
                <w:sz w:val="20"/>
                <w:szCs w:val="20"/>
              </w:rPr>
              <w:t xml:space="preserve">, </w:t>
            </w:r>
            <w:r w:rsidR="002A1DED" w:rsidRPr="000024F0">
              <w:rPr>
                <w:sz w:val="20"/>
                <w:szCs w:val="20"/>
                <w:u w:val="single"/>
              </w:rPr>
              <w:t>ISPM 20</w:t>
            </w:r>
            <w:r w:rsidR="002A1DED" w:rsidRPr="000024F0">
              <w:rPr>
                <w:sz w:val="20"/>
                <w:szCs w:val="20"/>
              </w:rPr>
              <w:t>:2004 (</w:t>
            </w:r>
            <w:r w:rsidR="002A1DED" w:rsidRPr="000024F0">
              <w:rPr>
                <w:i/>
                <w:sz w:val="20"/>
                <w:szCs w:val="20"/>
              </w:rPr>
              <w:t>Guidelines for a phytosanitary import regulatory system</w:t>
            </w:r>
            <w:r w:rsidR="002A1DED" w:rsidRPr="000024F0">
              <w:rPr>
                <w:sz w:val="20"/>
                <w:szCs w:val="20"/>
              </w:rPr>
              <w:t xml:space="preserve">) and </w:t>
            </w:r>
            <w:r w:rsidR="002A1DED" w:rsidRPr="000024F0">
              <w:rPr>
                <w:sz w:val="20"/>
                <w:szCs w:val="20"/>
                <w:u w:val="single"/>
              </w:rPr>
              <w:t>ISPM 23</w:t>
            </w:r>
            <w:r w:rsidR="002A1DED" w:rsidRPr="000024F0">
              <w:rPr>
                <w:sz w:val="20"/>
                <w:szCs w:val="20"/>
              </w:rPr>
              <w:t>:2005 (</w:t>
            </w:r>
            <w:r w:rsidR="002A1DED" w:rsidRPr="000024F0">
              <w:rPr>
                <w:i/>
                <w:sz w:val="20"/>
                <w:szCs w:val="20"/>
              </w:rPr>
              <w:t>Guidelines for inspection</w:t>
            </w:r>
            <w:r w:rsidR="002A1DED" w:rsidRPr="000024F0">
              <w:rPr>
                <w:sz w:val="20"/>
                <w:szCs w:val="20"/>
              </w:rPr>
              <w:t>)</w:t>
            </w:r>
            <w:r w:rsidR="00967E23" w:rsidRPr="000024F0">
              <w:rPr>
                <w:sz w:val="20"/>
                <w:szCs w:val="20"/>
              </w:rPr>
              <w:t xml:space="preserve">. </w:t>
            </w:r>
            <w:r w:rsidR="002A1DED" w:rsidRPr="000024F0">
              <w:rPr>
                <w:sz w:val="20"/>
                <w:szCs w:val="20"/>
              </w:rPr>
              <w:t xml:space="preserve">A </w:t>
            </w:r>
            <w:r w:rsidR="002A1DED" w:rsidRPr="00234DF4">
              <w:rPr>
                <w:sz w:val="20"/>
                <w:szCs w:val="20"/>
                <w:u w:val="single"/>
              </w:rPr>
              <w:t>draft ISPM</w:t>
            </w:r>
            <w:r w:rsidR="002A1DED" w:rsidRPr="000024F0">
              <w:rPr>
                <w:sz w:val="20"/>
                <w:szCs w:val="20"/>
              </w:rPr>
              <w:t xml:space="preserve"> on Authorization of entities to perform phytosanitary actions is currently under</w:t>
            </w:r>
            <w:r w:rsidR="00C421AF" w:rsidRPr="000024F0">
              <w:rPr>
                <w:sz w:val="20"/>
                <w:szCs w:val="20"/>
              </w:rPr>
              <w:t xml:space="preserve">going consultation. </w:t>
            </w:r>
            <w:r w:rsidR="002A1DED" w:rsidRPr="000024F0">
              <w:rPr>
                <w:sz w:val="20"/>
                <w:szCs w:val="20"/>
              </w:rPr>
              <w:t xml:space="preserve"> Development of guidance material </w:t>
            </w:r>
            <w:r w:rsidR="007F0118" w:rsidRPr="000024F0">
              <w:rPr>
                <w:sz w:val="20"/>
                <w:szCs w:val="20"/>
              </w:rPr>
              <w:t>on elements of authorization has been identified as a need by the Expert Working Group</w:t>
            </w:r>
            <w:r w:rsidR="00A61BAE" w:rsidRPr="000024F0">
              <w:rPr>
                <w:sz w:val="20"/>
                <w:szCs w:val="20"/>
              </w:rPr>
              <w:t xml:space="preserve"> and the S</w:t>
            </w:r>
            <w:r w:rsidR="000024F0">
              <w:rPr>
                <w:sz w:val="20"/>
                <w:szCs w:val="20"/>
              </w:rPr>
              <w:t>tandards Committee</w:t>
            </w:r>
            <w:r w:rsidR="00A61BAE" w:rsidRPr="000024F0">
              <w:rPr>
                <w:sz w:val="20"/>
                <w:szCs w:val="20"/>
              </w:rPr>
              <w:t>,</w:t>
            </w:r>
            <w:r w:rsidR="007F0118" w:rsidRPr="000024F0">
              <w:rPr>
                <w:sz w:val="20"/>
                <w:szCs w:val="20"/>
              </w:rPr>
              <w:t xml:space="preserve"> and </w:t>
            </w:r>
            <w:r w:rsidR="00C421AF" w:rsidRPr="000024F0">
              <w:rPr>
                <w:sz w:val="20"/>
                <w:szCs w:val="20"/>
              </w:rPr>
              <w:t xml:space="preserve">the need for additional </w:t>
            </w:r>
            <w:r w:rsidR="007F0118" w:rsidRPr="000024F0">
              <w:rPr>
                <w:sz w:val="20"/>
                <w:szCs w:val="20"/>
              </w:rPr>
              <w:t>guidance need</w:t>
            </w:r>
            <w:r w:rsidR="00234DF4">
              <w:rPr>
                <w:sz w:val="20"/>
                <w:szCs w:val="20"/>
              </w:rPr>
              <w:t>s</w:t>
            </w:r>
            <w:r w:rsidR="007F0118" w:rsidRPr="000024F0">
              <w:rPr>
                <w:sz w:val="20"/>
                <w:szCs w:val="20"/>
              </w:rPr>
              <w:t xml:space="preserve"> </w:t>
            </w:r>
            <w:r w:rsidR="00234DF4">
              <w:rPr>
                <w:sz w:val="20"/>
                <w:szCs w:val="20"/>
              </w:rPr>
              <w:t>are</w:t>
            </w:r>
            <w:r w:rsidR="007F0118" w:rsidRPr="000024F0">
              <w:rPr>
                <w:sz w:val="20"/>
                <w:szCs w:val="20"/>
              </w:rPr>
              <w:t xml:space="preserve"> expected to arise </w:t>
            </w:r>
            <w:r w:rsidR="00C421AF" w:rsidRPr="000024F0">
              <w:rPr>
                <w:sz w:val="20"/>
                <w:szCs w:val="20"/>
              </w:rPr>
              <w:t xml:space="preserve">during the </w:t>
            </w:r>
            <w:r w:rsidR="007F0118" w:rsidRPr="000024F0">
              <w:rPr>
                <w:sz w:val="20"/>
                <w:szCs w:val="20"/>
              </w:rPr>
              <w:t>country consultation process</w:t>
            </w:r>
            <w:r w:rsidR="00234DF4">
              <w:rPr>
                <w:sz w:val="20"/>
                <w:szCs w:val="20"/>
              </w:rPr>
              <w:t xml:space="preserve">. </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1D112D4A" w14:textId="55D5D78B" w:rsidR="006A2E26" w:rsidRDefault="006A2E26" w:rsidP="00160B95">
            <w:pPr>
              <w:tabs>
                <w:tab w:val="right" w:leader="dot" w:pos="4263"/>
                <w:tab w:val="right" w:leader="dot" w:pos="4591"/>
                <w:tab w:val="left" w:leader="dot" w:pos="9360"/>
              </w:tabs>
              <w:spacing w:before="60"/>
              <w:ind w:right="62"/>
              <w:rPr>
                <w:sz w:val="20"/>
                <w:szCs w:val="20"/>
              </w:rPr>
            </w:pPr>
            <w:r>
              <w:rPr>
                <w:sz w:val="20"/>
                <w:szCs w:val="20"/>
              </w:rPr>
              <w:t xml:space="preserve">Scope: The guide </w:t>
            </w:r>
            <w:r w:rsidR="009A0326">
              <w:rPr>
                <w:sz w:val="20"/>
                <w:szCs w:val="20"/>
              </w:rPr>
              <w:t>will</w:t>
            </w:r>
            <w:r w:rsidR="009A0326" w:rsidRPr="009A0326">
              <w:rPr>
                <w:sz w:val="20"/>
                <w:szCs w:val="20"/>
              </w:rPr>
              <w:t xml:space="preserve"> </w:t>
            </w:r>
            <w:r w:rsidR="00C421AF">
              <w:rPr>
                <w:sz w:val="20"/>
                <w:szCs w:val="20"/>
              </w:rPr>
              <w:t xml:space="preserve">increase the </w:t>
            </w:r>
            <w:r w:rsidR="009A0326" w:rsidRPr="009A0326">
              <w:rPr>
                <w:sz w:val="20"/>
                <w:szCs w:val="20"/>
              </w:rPr>
              <w:t xml:space="preserve"> understanding of the concept of authorization</w:t>
            </w:r>
            <w:r w:rsidR="00C421AF">
              <w:rPr>
                <w:sz w:val="20"/>
                <w:szCs w:val="20"/>
              </w:rPr>
              <w:t xml:space="preserve"> of entities to perform phytosanitary action </w:t>
            </w:r>
            <w:r w:rsidR="009A0326" w:rsidRPr="009A0326">
              <w:rPr>
                <w:sz w:val="20"/>
                <w:szCs w:val="20"/>
              </w:rPr>
              <w:t xml:space="preserve"> and </w:t>
            </w:r>
            <w:r w:rsidR="00C421AF">
              <w:rPr>
                <w:sz w:val="20"/>
                <w:szCs w:val="20"/>
              </w:rPr>
              <w:t xml:space="preserve">will </w:t>
            </w:r>
            <w:r w:rsidR="009A0326" w:rsidRPr="009A0326">
              <w:rPr>
                <w:sz w:val="20"/>
                <w:szCs w:val="20"/>
              </w:rPr>
              <w:t xml:space="preserve">facilitate the implementation of the ISPM on </w:t>
            </w:r>
            <w:r w:rsidR="00C421AF">
              <w:rPr>
                <w:sz w:val="20"/>
                <w:szCs w:val="20"/>
              </w:rPr>
              <w:t xml:space="preserve">this topic. </w:t>
            </w:r>
            <w:r w:rsidR="009A0326" w:rsidRPr="009A0326">
              <w:rPr>
                <w:sz w:val="20"/>
                <w:szCs w:val="20"/>
              </w:rPr>
              <w:t>.</w:t>
            </w:r>
          </w:p>
          <w:p w14:paraId="015877EE" w14:textId="77777777" w:rsidR="009A0326" w:rsidRDefault="009A0326" w:rsidP="00160B95">
            <w:pPr>
              <w:tabs>
                <w:tab w:val="right" w:leader="dot" w:pos="4263"/>
                <w:tab w:val="right" w:leader="dot" w:pos="4591"/>
                <w:tab w:val="left" w:leader="dot" w:pos="9360"/>
              </w:tabs>
              <w:spacing w:before="60"/>
              <w:ind w:right="62"/>
              <w:rPr>
                <w:sz w:val="20"/>
                <w:szCs w:val="20"/>
              </w:rPr>
            </w:pPr>
          </w:p>
          <w:p w14:paraId="39FD9890" w14:textId="6FB9BDA2" w:rsidR="009A0326" w:rsidRDefault="009A0326" w:rsidP="00160B95">
            <w:pPr>
              <w:tabs>
                <w:tab w:val="right" w:leader="dot" w:pos="4263"/>
                <w:tab w:val="right" w:leader="dot" w:pos="4591"/>
                <w:tab w:val="left" w:leader="dot" w:pos="9360"/>
              </w:tabs>
              <w:spacing w:before="60"/>
              <w:ind w:right="62"/>
              <w:rPr>
                <w:sz w:val="20"/>
                <w:szCs w:val="20"/>
              </w:rPr>
            </w:pPr>
            <w:r>
              <w:rPr>
                <w:sz w:val="20"/>
                <w:szCs w:val="20"/>
              </w:rPr>
              <w:t xml:space="preserve">Purpose: The guide will support NPPOs and entities to understand the process, </w:t>
            </w:r>
            <w:r w:rsidR="005666D9">
              <w:rPr>
                <w:sz w:val="20"/>
                <w:szCs w:val="20"/>
              </w:rPr>
              <w:t xml:space="preserve">to meet requirements and to fulfil </w:t>
            </w:r>
            <w:r>
              <w:rPr>
                <w:sz w:val="20"/>
                <w:szCs w:val="20"/>
              </w:rPr>
              <w:t>their roles and responsib</w:t>
            </w:r>
            <w:r w:rsidR="005666D9">
              <w:rPr>
                <w:sz w:val="20"/>
                <w:szCs w:val="20"/>
              </w:rPr>
              <w:t xml:space="preserve">ilities during the development and implementation of authorization programmes to carry out phytosanitary actions. </w:t>
            </w:r>
          </w:p>
          <w:p w14:paraId="5D6250BE" w14:textId="77777777" w:rsidR="005666D9" w:rsidRDefault="005666D9" w:rsidP="00160B95">
            <w:pPr>
              <w:tabs>
                <w:tab w:val="right" w:leader="dot" w:pos="4263"/>
                <w:tab w:val="right" w:leader="dot" w:pos="4591"/>
                <w:tab w:val="left" w:leader="dot" w:pos="9360"/>
              </w:tabs>
              <w:spacing w:before="60"/>
              <w:ind w:right="62"/>
              <w:rPr>
                <w:sz w:val="20"/>
                <w:szCs w:val="20"/>
              </w:rPr>
            </w:pPr>
          </w:p>
          <w:p w14:paraId="1FC08136" w14:textId="3729B595" w:rsidR="005666D9" w:rsidRDefault="005666D9" w:rsidP="00160B95">
            <w:pPr>
              <w:tabs>
                <w:tab w:val="right" w:leader="dot" w:pos="4263"/>
                <w:tab w:val="right" w:leader="dot" w:pos="4591"/>
                <w:tab w:val="left" w:leader="dot" w:pos="9360"/>
              </w:tabs>
              <w:spacing w:before="60"/>
              <w:ind w:right="62"/>
              <w:rPr>
                <w:sz w:val="20"/>
                <w:szCs w:val="20"/>
              </w:rPr>
            </w:pPr>
            <w:r>
              <w:rPr>
                <w:sz w:val="20"/>
                <w:szCs w:val="20"/>
              </w:rPr>
              <w:t xml:space="preserve">Elements to be covered by the guide: </w:t>
            </w:r>
          </w:p>
          <w:p w14:paraId="3176FD31" w14:textId="77777777" w:rsidR="00D734B1" w:rsidRPr="00D734B1" w:rsidRDefault="00274967" w:rsidP="00D734B1">
            <w:pPr>
              <w:numPr>
                <w:ilvl w:val="0"/>
                <w:numId w:val="22"/>
              </w:numPr>
              <w:tabs>
                <w:tab w:val="right" w:leader="dot" w:pos="4263"/>
                <w:tab w:val="right" w:leader="dot" w:pos="4591"/>
                <w:tab w:val="left" w:leader="dot" w:pos="9360"/>
              </w:tabs>
              <w:spacing w:before="60"/>
              <w:ind w:right="62"/>
              <w:rPr>
                <w:sz w:val="20"/>
                <w:szCs w:val="20"/>
              </w:rPr>
            </w:pPr>
            <w:r w:rsidRPr="00D734B1">
              <w:rPr>
                <w:sz w:val="20"/>
                <w:szCs w:val="20"/>
              </w:rPr>
              <w:t>development of a legal framework to enable authorization</w:t>
            </w:r>
            <w:r w:rsidR="00D734B1" w:rsidRPr="00D734B1">
              <w:rPr>
                <w:sz w:val="20"/>
                <w:szCs w:val="20"/>
              </w:rPr>
              <w:t>;</w:t>
            </w:r>
          </w:p>
          <w:p w14:paraId="3CDC0224" w14:textId="4872C4D2" w:rsidR="00D734B1" w:rsidRPr="00D734B1" w:rsidRDefault="00D734B1" w:rsidP="00D734B1">
            <w:pPr>
              <w:numPr>
                <w:ilvl w:val="0"/>
                <w:numId w:val="22"/>
              </w:numPr>
              <w:tabs>
                <w:tab w:val="right" w:leader="dot" w:pos="4263"/>
                <w:tab w:val="right" w:leader="dot" w:pos="4591"/>
                <w:tab w:val="left" w:leader="dot" w:pos="9360"/>
              </w:tabs>
              <w:spacing w:before="60"/>
              <w:ind w:right="62"/>
              <w:rPr>
                <w:sz w:val="20"/>
                <w:szCs w:val="20"/>
              </w:rPr>
            </w:pPr>
            <w:r w:rsidRPr="00D734B1">
              <w:rPr>
                <w:sz w:val="20"/>
                <w:szCs w:val="20"/>
              </w:rPr>
              <w:t xml:space="preserve">understanding and development of </w:t>
            </w:r>
            <w:r w:rsidR="00464AC1">
              <w:rPr>
                <w:sz w:val="20"/>
                <w:szCs w:val="20"/>
              </w:rPr>
              <w:t>management</w:t>
            </w:r>
            <w:r w:rsidR="00464AC1" w:rsidRPr="00D734B1">
              <w:rPr>
                <w:sz w:val="20"/>
                <w:szCs w:val="20"/>
              </w:rPr>
              <w:t xml:space="preserve"> </w:t>
            </w:r>
            <w:r w:rsidRPr="00D734B1">
              <w:rPr>
                <w:sz w:val="20"/>
                <w:szCs w:val="20"/>
              </w:rPr>
              <w:t xml:space="preserve">systems and quality </w:t>
            </w:r>
            <w:r w:rsidR="00464AC1">
              <w:rPr>
                <w:sz w:val="20"/>
                <w:szCs w:val="20"/>
              </w:rPr>
              <w:t xml:space="preserve">management </w:t>
            </w:r>
            <w:r w:rsidRPr="00D734B1">
              <w:rPr>
                <w:sz w:val="20"/>
                <w:szCs w:val="20"/>
              </w:rPr>
              <w:t>system</w:t>
            </w:r>
            <w:r w:rsidR="00CB7114">
              <w:rPr>
                <w:sz w:val="20"/>
                <w:szCs w:val="20"/>
              </w:rPr>
              <w:t>s</w:t>
            </w:r>
            <w:r w:rsidRPr="00D734B1">
              <w:rPr>
                <w:sz w:val="20"/>
                <w:szCs w:val="20"/>
              </w:rPr>
              <w:t xml:space="preserve"> manuals;</w:t>
            </w:r>
          </w:p>
          <w:p w14:paraId="5F4AE18A" w14:textId="687202C9" w:rsidR="00D734B1" w:rsidRPr="00D734B1" w:rsidRDefault="00D734B1" w:rsidP="00D734B1">
            <w:pPr>
              <w:numPr>
                <w:ilvl w:val="0"/>
                <w:numId w:val="22"/>
              </w:numPr>
              <w:tabs>
                <w:tab w:val="right" w:leader="dot" w:pos="4263"/>
                <w:tab w:val="right" w:leader="dot" w:pos="4591"/>
                <w:tab w:val="left" w:leader="dot" w:pos="9360"/>
              </w:tabs>
              <w:spacing w:before="60"/>
              <w:ind w:right="62"/>
              <w:rPr>
                <w:sz w:val="20"/>
                <w:szCs w:val="20"/>
              </w:rPr>
            </w:pPr>
            <w:r w:rsidRPr="00D734B1">
              <w:rPr>
                <w:sz w:val="20"/>
                <w:szCs w:val="20"/>
              </w:rPr>
              <w:lastRenderedPageBreak/>
              <w:t xml:space="preserve">development of </w:t>
            </w:r>
            <w:r w:rsidR="001664ED">
              <w:rPr>
                <w:sz w:val="20"/>
                <w:szCs w:val="20"/>
              </w:rPr>
              <w:t>procedures</w:t>
            </w:r>
            <w:r w:rsidR="001664ED" w:rsidRPr="00D734B1">
              <w:rPr>
                <w:sz w:val="20"/>
                <w:szCs w:val="20"/>
              </w:rPr>
              <w:t xml:space="preserve"> </w:t>
            </w:r>
            <w:r w:rsidRPr="00D734B1">
              <w:rPr>
                <w:sz w:val="20"/>
                <w:szCs w:val="20"/>
              </w:rPr>
              <w:t>and process</w:t>
            </w:r>
            <w:r w:rsidR="001664ED">
              <w:rPr>
                <w:sz w:val="20"/>
                <w:szCs w:val="20"/>
              </w:rPr>
              <w:t>es</w:t>
            </w:r>
            <w:r w:rsidRPr="00D734B1">
              <w:rPr>
                <w:sz w:val="20"/>
                <w:szCs w:val="20"/>
              </w:rPr>
              <w:t xml:space="preserve"> to authorize</w:t>
            </w:r>
            <w:r w:rsidR="00CB7114">
              <w:rPr>
                <w:sz w:val="20"/>
                <w:szCs w:val="20"/>
              </w:rPr>
              <w:t>, suspend, and reinstate</w:t>
            </w:r>
            <w:r w:rsidRPr="00D734B1">
              <w:rPr>
                <w:sz w:val="20"/>
                <w:szCs w:val="20"/>
              </w:rPr>
              <w:t xml:space="preserve"> entities to audit other entities; </w:t>
            </w:r>
          </w:p>
          <w:p w14:paraId="56BB4964" w14:textId="77777777" w:rsidR="00D734B1" w:rsidRPr="00D734B1" w:rsidRDefault="00D734B1" w:rsidP="00D734B1">
            <w:pPr>
              <w:numPr>
                <w:ilvl w:val="0"/>
                <w:numId w:val="22"/>
              </w:numPr>
              <w:tabs>
                <w:tab w:val="right" w:leader="dot" w:pos="4263"/>
                <w:tab w:val="right" w:leader="dot" w:pos="4591"/>
                <w:tab w:val="left" w:leader="dot" w:pos="9360"/>
              </w:tabs>
              <w:spacing w:before="60"/>
              <w:ind w:right="62"/>
              <w:rPr>
                <w:sz w:val="20"/>
                <w:szCs w:val="20"/>
              </w:rPr>
            </w:pPr>
            <w:r w:rsidRPr="00D734B1">
              <w:rPr>
                <w:sz w:val="20"/>
                <w:szCs w:val="20"/>
              </w:rPr>
              <w:t>supervision of authorized entities, including procedures for examination and assessment of competencies.</w:t>
            </w:r>
          </w:p>
          <w:p w14:paraId="36862235" w14:textId="7DF12DCF" w:rsidR="00D734B1" w:rsidRPr="00D734B1" w:rsidRDefault="00D734B1" w:rsidP="00160B95">
            <w:pPr>
              <w:numPr>
                <w:ilvl w:val="0"/>
                <w:numId w:val="22"/>
              </w:numPr>
              <w:tabs>
                <w:tab w:val="right" w:leader="dot" w:pos="4263"/>
                <w:tab w:val="right" w:leader="dot" w:pos="4591"/>
                <w:tab w:val="left" w:leader="dot" w:pos="9360"/>
              </w:tabs>
              <w:spacing w:before="60"/>
              <w:ind w:right="62"/>
              <w:rPr>
                <w:sz w:val="20"/>
                <w:szCs w:val="20"/>
              </w:rPr>
            </w:pPr>
            <w:r>
              <w:rPr>
                <w:sz w:val="20"/>
                <w:szCs w:val="20"/>
              </w:rPr>
              <w:t>o</w:t>
            </w:r>
            <w:r w:rsidRPr="00D734B1">
              <w:rPr>
                <w:sz w:val="20"/>
                <w:szCs w:val="20"/>
              </w:rPr>
              <w:t>ther needs expected to be identified during First and Second Consultation process.</w:t>
            </w:r>
          </w:p>
          <w:p w14:paraId="03CE5700" w14:textId="43ACF5E6" w:rsidR="00FD01BE" w:rsidRPr="005C1BD0" w:rsidRDefault="00FD01BE" w:rsidP="004377E7">
            <w:pPr>
              <w:tabs>
                <w:tab w:val="right" w:leader="dot" w:pos="4263"/>
                <w:tab w:val="right" w:leader="dot" w:pos="4591"/>
                <w:tab w:val="left" w:leader="dot" w:pos="9360"/>
              </w:tabs>
              <w:ind w:right="62"/>
              <w:jc w:val="right"/>
              <w:rPr>
                <w:b/>
                <w:sz w:val="20"/>
                <w:szCs w:val="20"/>
              </w:rPr>
            </w:pP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7075F6" w14:paraId="0BA47B85" w14:textId="77777777" w:rsidTr="00563FA2">
        <w:trPr>
          <w:trHeight w:val="828"/>
          <w:jc w:val="center"/>
        </w:trPr>
        <w:tc>
          <w:tcPr>
            <w:tcW w:w="5000" w:type="pct"/>
          </w:tcPr>
          <w:p w14:paraId="243DF3C5" w14:textId="77777777" w:rsidR="005E6F6B" w:rsidRDefault="005E6F6B" w:rsidP="00E96D9B">
            <w:pPr>
              <w:rPr>
                <w:b/>
                <w:sz w:val="20"/>
                <w:szCs w:val="20"/>
                <w:u w:val="single"/>
              </w:rPr>
            </w:pPr>
            <w:r>
              <w:rPr>
                <w:b/>
                <w:sz w:val="20"/>
                <w:szCs w:val="20"/>
                <w:u w:val="single"/>
              </w:rPr>
              <w:t>6</w:t>
            </w:r>
            <w:r w:rsidRPr="00EE39DD">
              <w:rPr>
                <w:b/>
                <w:sz w:val="20"/>
                <w:szCs w:val="20"/>
                <w:u w:val="single"/>
              </w:rPr>
              <w:t xml:space="preserve">. </w:t>
            </w:r>
            <w:r>
              <w:rPr>
                <w:b/>
                <w:sz w:val="20"/>
                <w:szCs w:val="20"/>
                <w:u w:val="single"/>
              </w:rPr>
              <w:t>Proposed title of  document</w:t>
            </w:r>
          </w:p>
          <w:p w14:paraId="306AC8C2" w14:textId="09408970" w:rsidR="005234A4" w:rsidRPr="003F5AB6" w:rsidRDefault="003F5AB6" w:rsidP="00380D0F">
            <w:pPr>
              <w:rPr>
                <w:i/>
                <w:sz w:val="24"/>
              </w:rPr>
            </w:pPr>
            <w:r>
              <w:rPr>
                <w:i/>
                <w:sz w:val="24"/>
              </w:rPr>
              <w:t xml:space="preserve">IPPC </w:t>
            </w:r>
            <w:r w:rsidR="005234A4" w:rsidRPr="003F5AB6">
              <w:rPr>
                <w:i/>
                <w:sz w:val="24"/>
              </w:rPr>
              <w:t xml:space="preserve">Guide </w:t>
            </w:r>
            <w:r w:rsidR="006A2E26">
              <w:rPr>
                <w:i/>
                <w:sz w:val="24"/>
              </w:rPr>
              <w:t>on</w:t>
            </w:r>
            <w:r w:rsidR="005234A4" w:rsidRPr="003F5AB6">
              <w:rPr>
                <w:i/>
                <w:sz w:val="24"/>
              </w:rPr>
              <w:t xml:space="preserve"> the development and implementation of programmes</w:t>
            </w:r>
            <w:r w:rsidR="001664ED">
              <w:rPr>
                <w:i/>
                <w:sz w:val="24"/>
              </w:rPr>
              <w:t xml:space="preserve"> for the authorization of entities</w:t>
            </w:r>
            <w:r w:rsidR="00511C9D">
              <w:rPr>
                <w:i/>
                <w:sz w:val="24"/>
              </w:rPr>
              <w:t xml:space="preserve"> </w:t>
            </w:r>
            <w:r w:rsidR="00511C9D" w:rsidRPr="00511C9D">
              <w:rPr>
                <w:i/>
                <w:sz w:val="24"/>
              </w:rPr>
              <w:t>to perform phytosanitary actions</w:t>
            </w: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Proposed priority  </w:t>
            </w:r>
          </w:p>
          <w:p w14:paraId="5D9756BC" w14:textId="1A7CB7DC" w:rsidR="005E6F6B" w:rsidRPr="00EE39DD" w:rsidRDefault="005E6F6B" w:rsidP="005E6F6B">
            <w:pPr>
              <w:rPr>
                <w:sz w:val="20"/>
                <w:szCs w:val="20"/>
              </w:rPr>
            </w:pPr>
            <w:r w:rsidRPr="00EE39DD">
              <w:rPr>
                <w:sz w:val="20"/>
                <w:szCs w:val="20"/>
              </w:rPr>
              <w:t xml:space="preserve"> </w:t>
            </w:r>
            <w:r w:rsidRPr="00EE39DD">
              <w:rPr>
                <w:bCs/>
                <w:sz w:val="20"/>
                <w:szCs w:val="20"/>
              </w:rPr>
              <w:t>[_</w:t>
            </w:r>
            <w:r w:rsidR="003F5AB6" w:rsidRPr="003F5AB6">
              <w:rPr>
                <w:b/>
                <w:bCs/>
                <w:sz w:val="20"/>
                <w:szCs w:val="20"/>
              </w:rPr>
              <w:t>X</w:t>
            </w:r>
            <w:r w:rsidRPr="00EE39DD">
              <w:rPr>
                <w:bCs/>
                <w:sz w:val="20"/>
                <w:szCs w:val="20"/>
              </w:rPr>
              <w:t>_]</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77777777" w:rsidR="005E6F6B" w:rsidRPr="007075F6" w:rsidRDefault="005E6F6B" w:rsidP="005E6F6B">
            <w:pPr>
              <w:rPr>
                <w:sz w:val="20"/>
                <w:szCs w:val="20"/>
              </w:rPr>
            </w:pPr>
            <w:r w:rsidRPr="00EE39DD">
              <w:rPr>
                <w:sz w:val="20"/>
                <w:szCs w:val="20"/>
              </w:rPr>
              <w:t xml:space="preserve"> Comments:</w:t>
            </w:r>
          </w:p>
          <w:p w14:paraId="6CEE5D29" w14:textId="610AD96C" w:rsidR="005E6F6B" w:rsidRPr="003F5AB6" w:rsidRDefault="003F5AB6" w:rsidP="00E96D9B">
            <w:pPr>
              <w:rPr>
                <w:sz w:val="20"/>
                <w:szCs w:val="20"/>
              </w:rPr>
            </w:pPr>
            <w:r w:rsidRPr="003F5AB6">
              <w:rPr>
                <w:sz w:val="20"/>
                <w:szCs w:val="20"/>
              </w:rPr>
              <w:t xml:space="preserve">The need is urgent as the simultaneous development of implementation resources, along with the process of consulting, refining and finalizing the draft ISPM on authorization of entities for adoption, will facilitate the implementation of </w:t>
            </w:r>
            <w:r w:rsidR="00C81080">
              <w:rPr>
                <w:sz w:val="20"/>
                <w:szCs w:val="20"/>
              </w:rPr>
              <w:t xml:space="preserve">the </w:t>
            </w:r>
            <w:r w:rsidRPr="003F5AB6">
              <w:rPr>
                <w:sz w:val="20"/>
                <w:szCs w:val="20"/>
              </w:rPr>
              <w:t>standard when it is adopted.</w:t>
            </w:r>
          </w:p>
        </w:tc>
      </w:tr>
      <w:tr w:rsidR="005E6F6B" w:rsidRPr="007075F6" w14:paraId="1151977E" w14:textId="77777777" w:rsidTr="00563FA2">
        <w:trPr>
          <w:trHeight w:val="828"/>
          <w:jc w:val="center"/>
        </w:trPr>
        <w:tc>
          <w:tcPr>
            <w:tcW w:w="5000" w:type="pct"/>
          </w:tcPr>
          <w:p w14:paraId="611E4CC3" w14:textId="77777777" w:rsidR="005E6F6B" w:rsidRDefault="005E6F6B" w:rsidP="00E96D9B">
            <w:pPr>
              <w:rPr>
                <w:b/>
                <w:sz w:val="20"/>
                <w:szCs w:val="20"/>
                <w:u w:val="single"/>
              </w:rPr>
            </w:pPr>
            <w:r w:rsidRPr="005E6F6B">
              <w:rPr>
                <w:b/>
                <w:sz w:val="20"/>
                <w:szCs w:val="20"/>
                <w:u w:val="single"/>
              </w:rPr>
              <w:t>8. Featur</w:t>
            </w:r>
            <w:r w:rsidR="00F21E55">
              <w:rPr>
                <w:b/>
                <w:sz w:val="20"/>
                <w:szCs w:val="20"/>
                <w:u w:val="single"/>
              </w:rPr>
              <w:t xml:space="preserve">ed outcome of standard/implementation resource </w:t>
            </w:r>
          </w:p>
          <w:p w14:paraId="080A61AB" w14:textId="07BADB66" w:rsidR="003F5AB6" w:rsidRPr="003F5AB6" w:rsidRDefault="003F5AB6" w:rsidP="00C81080">
            <w:pPr>
              <w:rPr>
                <w:sz w:val="20"/>
                <w:szCs w:val="20"/>
              </w:rPr>
            </w:pPr>
            <w:r>
              <w:rPr>
                <w:sz w:val="20"/>
                <w:szCs w:val="20"/>
              </w:rPr>
              <w:t xml:space="preserve">To </w:t>
            </w:r>
            <w:r w:rsidR="00C81080">
              <w:rPr>
                <w:sz w:val="20"/>
                <w:szCs w:val="20"/>
              </w:rPr>
              <w:t xml:space="preserve">increase the </w:t>
            </w:r>
            <w:r>
              <w:rPr>
                <w:sz w:val="20"/>
                <w:szCs w:val="20"/>
              </w:rPr>
              <w:t xml:space="preserve">understanding of the concept of authorization and to facilitate the implementation of the ISPM on authorization of entities to perform phytosanitary actions. </w:t>
            </w:r>
          </w:p>
        </w:tc>
      </w:tr>
      <w:tr w:rsidR="00563FA2" w:rsidRPr="007075F6" w14:paraId="7EBE22B7" w14:textId="77777777" w:rsidTr="00563FA2">
        <w:trPr>
          <w:trHeight w:val="828"/>
          <w:jc w:val="center"/>
        </w:trPr>
        <w:tc>
          <w:tcPr>
            <w:tcW w:w="5000" w:type="pct"/>
          </w:tcPr>
          <w:p w14:paraId="08B41C9B" w14:textId="4B59FF6E"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00BA1B83" w14:textId="64A6488F" w:rsidR="00563FA2" w:rsidRPr="00F11485" w:rsidRDefault="00F11485" w:rsidP="00E21030">
            <w:pPr>
              <w:rPr>
                <w:sz w:val="20"/>
                <w:szCs w:val="20"/>
              </w:rPr>
            </w:pPr>
            <w:r w:rsidRPr="00F11485">
              <w:rPr>
                <w:sz w:val="20"/>
                <w:szCs w:val="20"/>
              </w:rPr>
              <w:t xml:space="preserve">The Framework </w:t>
            </w:r>
            <w:r>
              <w:rPr>
                <w:sz w:val="20"/>
                <w:szCs w:val="20"/>
              </w:rPr>
              <w:t>currently identifies, “</w:t>
            </w:r>
            <w:r w:rsidRPr="00F11485">
              <w:rPr>
                <w:sz w:val="20"/>
                <w:szCs w:val="20"/>
              </w:rPr>
              <w:t>supervision of authorized entities, including procedures for examination and assessment of competencies</w:t>
            </w:r>
            <w:r>
              <w:rPr>
                <w:sz w:val="20"/>
                <w:szCs w:val="20"/>
              </w:rPr>
              <w:t xml:space="preserve">”, as an implementation need. Additional needs have been identified during the EWG meeting and more needs are expected to be identified during the First and Second Consultation process of the draft ISPM on authorization of entities. </w:t>
            </w:r>
          </w:p>
        </w:tc>
      </w:tr>
      <w:tr w:rsidR="00563FA2" w:rsidRPr="00326064" w14:paraId="367B04BB" w14:textId="77777777" w:rsidTr="00563FA2">
        <w:trPr>
          <w:trHeight w:val="828"/>
          <w:jc w:val="center"/>
        </w:trPr>
        <w:tc>
          <w:tcPr>
            <w:tcW w:w="5000" w:type="pct"/>
          </w:tcPr>
          <w:p w14:paraId="2933C4AA" w14:textId="77777777"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5F46B42D" w14:textId="7905D308" w:rsidR="00F11485" w:rsidRPr="00EE39DD" w:rsidRDefault="00F11485" w:rsidP="00E96D9B">
            <w:pPr>
              <w:rPr>
                <w:b/>
                <w:sz w:val="20"/>
                <w:szCs w:val="20"/>
                <w:u w:val="single"/>
              </w:rPr>
            </w:pPr>
            <w:r>
              <w:rPr>
                <w:sz w:val="20"/>
                <w:szCs w:val="20"/>
              </w:rPr>
              <w:t>T</w:t>
            </w:r>
            <w:r w:rsidRPr="00F11485">
              <w:rPr>
                <w:sz w:val="20"/>
                <w:szCs w:val="20"/>
              </w:rPr>
              <w:t>he simultaneous development of implementation resources, along with the process of consulting, refining and finalizing the draft ISPM on authorization of entities for adoption, will facilitate the implementation of standard when it is adopted.</w:t>
            </w:r>
            <w:r w:rsidR="00BC1889">
              <w:rPr>
                <w:sz w:val="20"/>
                <w:szCs w:val="20"/>
              </w:rPr>
              <w:t xml:space="preserve"> The simultaneous development of ISPM and implementation resource would be a good pilot approach. </w:t>
            </w:r>
          </w:p>
        </w:tc>
      </w:tr>
    </w:tbl>
    <w:p w14:paraId="0CBE9852" w14:textId="77777777" w:rsidR="00FD01BE" w:rsidRDefault="00FD01BE"/>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1BAAF14E" w:rsidR="000B32EC"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4DC21FBD" w14:textId="77777777" w:rsidR="00274967" w:rsidRPr="001F7521" w:rsidRDefault="00B04A55" w:rsidP="00551ED4">
            <w:pPr>
              <w:autoSpaceDE w:val="0"/>
              <w:autoSpaceDN w:val="0"/>
              <w:adjustRightInd w:val="0"/>
              <w:rPr>
                <w:rFonts w:cs="Times-Roman"/>
                <w:szCs w:val="22"/>
              </w:rPr>
            </w:pPr>
            <w:r w:rsidRPr="001F7521">
              <w:rPr>
                <w:rFonts w:cs="Times-Roman"/>
                <w:szCs w:val="22"/>
              </w:rPr>
              <w:t>The development of implementation resources, such as a guide and awareness material, will facilitate the implementation of the ISPM on “authorization of entities to perform phytosanitary action”, once it is adopted. The development of implementation resources will facilitate the understanding of the concept of authorization among all contracting parties and the implementation of key elements</w:t>
            </w:r>
            <w:r w:rsidR="00274967" w:rsidRPr="001F7521">
              <w:rPr>
                <w:rFonts w:cs="Times-Roman"/>
                <w:szCs w:val="22"/>
              </w:rPr>
              <w:t xml:space="preserve"> such as:</w:t>
            </w:r>
          </w:p>
          <w:p w14:paraId="6525712A" w14:textId="77777777" w:rsidR="00274967" w:rsidRPr="001F7521" w:rsidRDefault="00274967" w:rsidP="00274967">
            <w:pPr>
              <w:pStyle w:val="ListParagraph"/>
              <w:numPr>
                <w:ilvl w:val="0"/>
                <w:numId w:val="22"/>
              </w:numPr>
              <w:autoSpaceDE w:val="0"/>
              <w:autoSpaceDN w:val="0"/>
              <w:adjustRightInd w:val="0"/>
              <w:rPr>
                <w:rFonts w:cs="Times-Roman"/>
                <w:szCs w:val="22"/>
              </w:rPr>
            </w:pPr>
            <w:r w:rsidRPr="001F7521">
              <w:rPr>
                <w:rFonts w:cs="Times-Roman"/>
                <w:szCs w:val="22"/>
              </w:rPr>
              <w:t>development of a legal framework to enable authorization;</w:t>
            </w:r>
          </w:p>
          <w:p w14:paraId="2B775FA7" w14:textId="77777777" w:rsidR="00274967" w:rsidRPr="001F7521" w:rsidRDefault="00274967" w:rsidP="00274967">
            <w:pPr>
              <w:pStyle w:val="ListParagraph"/>
              <w:numPr>
                <w:ilvl w:val="0"/>
                <w:numId w:val="22"/>
              </w:numPr>
              <w:autoSpaceDE w:val="0"/>
              <w:autoSpaceDN w:val="0"/>
              <w:adjustRightInd w:val="0"/>
              <w:rPr>
                <w:rFonts w:cs="Times-Roman"/>
                <w:szCs w:val="22"/>
              </w:rPr>
            </w:pPr>
            <w:r w:rsidRPr="001F7521">
              <w:rPr>
                <w:rFonts w:cs="Times-Roman"/>
                <w:szCs w:val="22"/>
              </w:rPr>
              <w:t>understanding and development of quality systems and quality system manuals;</w:t>
            </w:r>
          </w:p>
          <w:p w14:paraId="61E9A553" w14:textId="28B8730A" w:rsidR="00274967" w:rsidRDefault="00274967" w:rsidP="00274967">
            <w:pPr>
              <w:pStyle w:val="ListParagraph"/>
              <w:numPr>
                <w:ilvl w:val="0"/>
                <w:numId w:val="22"/>
              </w:numPr>
              <w:autoSpaceDE w:val="0"/>
              <w:autoSpaceDN w:val="0"/>
              <w:adjustRightInd w:val="0"/>
              <w:rPr>
                <w:rFonts w:cs="Times-Roman"/>
                <w:szCs w:val="22"/>
              </w:rPr>
            </w:pPr>
            <w:r w:rsidRPr="001F7521">
              <w:rPr>
                <w:rFonts w:cs="Times-Roman"/>
                <w:szCs w:val="22"/>
              </w:rPr>
              <w:t>development of mechanisms and process to authorize e</w:t>
            </w:r>
            <w:r w:rsidR="00700C34">
              <w:rPr>
                <w:rFonts w:cs="Times-Roman"/>
                <w:szCs w:val="22"/>
              </w:rPr>
              <w:t xml:space="preserve">ntities to audit other entities; </w:t>
            </w:r>
          </w:p>
          <w:p w14:paraId="472203B3" w14:textId="63D051F0" w:rsidR="00700C34" w:rsidRDefault="00700C34" w:rsidP="00274967">
            <w:pPr>
              <w:pStyle w:val="ListParagraph"/>
              <w:numPr>
                <w:ilvl w:val="0"/>
                <w:numId w:val="22"/>
              </w:numPr>
              <w:autoSpaceDE w:val="0"/>
              <w:autoSpaceDN w:val="0"/>
              <w:adjustRightInd w:val="0"/>
              <w:rPr>
                <w:rFonts w:cs="Times-Roman"/>
                <w:szCs w:val="22"/>
              </w:rPr>
            </w:pPr>
            <w:r>
              <w:rPr>
                <w:rFonts w:cs="Times-Roman"/>
                <w:szCs w:val="22"/>
              </w:rPr>
              <w:t>s</w:t>
            </w:r>
            <w:r w:rsidRPr="00700C34">
              <w:rPr>
                <w:rFonts w:cs="Times-Roman"/>
                <w:szCs w:val="22"/>
              </w:rPr>
              <w:t xml:space="preserve">upervision of authorized </w:t>
            </w:r>
            <w:r>
              <w:rPr>
                <w:rFonts w:cs="Times-Roman"/>
                <w:szCs w:val="22"/>
              </w:rPr>
              <w:t>entities</w:t>
            </w:r>
            <w:r w:rsidRPr="00700C34">
              <w:rPr>
                <w:rFonts w:cs="Times-Roman"/>
                <w:szCs w:val="22"/>
              </w:rPr>
              <w:t>, including procedures for examination and assessment of competencies</w:t>
            </w:r>
            <w:r w:rsidR="008546EC">
              <w:rPr>
                <w:rFonts w:cs="Times-Roman"/>
                <w:szCs w:val="22"/>
              </w:rPr>
              <w:t>.</w:t>
            </w:r>
          </w:p>
          <w:p w14:paraId="18234215" w14:textId="2D39F421" w:rsidR="008546EC" w:rsidRPr="001F7521" w:rsidRDefault="00D734B1" w:rsidP="00274967">
            <w:pPr>
              <w:pStyle w:val="ListParagraph"/>
              <w:numPr>
                <w:ilvl w:val="0"/>
                <w:numId w:val="22"/>
              </w:numPr>
              <w:autoSpaceDE w:val="0"/>
              <w:autoSpaceDN w:val="0"/>
              <w:adjustRightInd w:val="0"/>
              <w:rPr>
                <w:rFonts w:cs="Times-Roman"/>
                <w:szCs w:val="22"/>
              </w:rPr>
            </w:pPr>
            <w:r>
              <w:rPr>
                <w:rFonts w:cs="Times-Roman"/>
                <w:szCs w:val="22"/>
              </w:rPr>
              <w:t>o</w:t>
            </w:r>
            <w:r w:rsidR="008546EC">
              <w:rPr>
                <w:rFonts w:cs="Times-Roman"/>
                <w:szCs w:val="22"/>
              </w:rPr>
              <w:t>ther needs expected to be identified during F</w:t>
            </w:r>
            <w:r w:rsidR="00511C9D">
              <w:rPr>
                <w:rFonts w:cs="Times-Roman"/>
                <w:szCs w:val="22"/>
              </w:rPr>
              <w:t>f</w:t>
            </w:r>
            <w:r w:rsidR="008546EC">
              <w:rPr>
                <w:rFonts w:cs="Times-Roman"/>
                <w:szCs w:val="22"/>
              </w:rPr>
              <w:t xml:space="preserve">irst and </w:t>
            </w:r>
            <w:r w:rsidR="00511C9D">
              <w:rPr>
                <w:rFonts w:cs="Times-Roman"/>
                <w:szCs w:val="22"/>
              </w:rPr>
              <w:t>s</w:t>
            </w:r>
            <w:r w:rsidR="008546EC">
              <w:rPr>
                <w:rFonts w:cs="Times-Roman"/>
                <w:szCs w:val="22"/>
              </w:rPr>
              <w:t xml:space="preserve">econd </w:t>
            </w:r>
            <w:r w:rsidR="00511C9D">
              <w:rPr>
                <w:rFonts w:cs="Times-Roman"/>
                <w:szCs w:val="22"/>
              </w:rPr>
              <w:t>c</w:t>
            </w:r>
            <w:r w:rsidR="008546EC">
              <w:rPr>
                <w:rFonts w:cs="Times-Roman"/>
                <w:szCs w:val="22"/>
              </w:rPr>
              <w:t>onsultation</w:t>
            </w:r>
            <w:r w:rsidR="00511C9D">
              <w:rPr>
                <w:rFonts w:cs="Times-Roman"/>
                <w:szCs w:val="22"/>
              </w:rPr>
              <w:t>s on the draft ISPM</w:t>
            </w:r>
            <w:r w:rsidR="008546EC">
              <w:rPr>
                <w:rFonts w:cs="Times-Roman"/>
                <w:szCs w:val="22"/>
              </w:rPr>
              <w:t>.</w:t>
            </w:r>
          </w:p>
          <w:p w14:paraId="189E7114" w14:textId="77777777" w:rsidR="00274967" w:rsidRPr="001F7521" w:rsidRDefault="00274967" w:rsidP="00274967">
            <w:pPr>
              <w:autoSpaceDE w:val="0"/>
              <w:autoSpaceDN w:val="0"/>
              <w:adjustRightInd w:val="0"/>
              <w:rPr>
                <w:rFonts w:cs="Times-Roman"/>
                <w:szCs w:val="22"/>
              </w:rPr>
            </w:pPr>
          </w:p>
          <w:p w14:paraId="52E1C5E8" w14:textId="19135F8B" w:rsidR="00B04A55" w:rsidRPr="001F7521" w:rsidRDefault="00274967" w:rsidP="00274967">
            <w:pPr>
              <w:autoSpaceDE w:val="0"/>
              <w:autoSpaceDN w:val="0"/>
              <w:adjustRightInd w:val="0"/>
              <w:rPr>
                <w:rFonts w:cs="Times-Roman"/>
                <w:szCs w:val="22"/>
              </w:rPr>
            </w:pPr>
            <w:r w:rsidRPr="001F7521">
              <w:rPr>
                <w:rFonts w:cs="Times-Roman"/>
                <w:szCs w:val="22"/>
              </w:rPr>
              <w:t>The simultaneous development of implementation resources, along with the process of consulting, refining and finalizing the draft ISPM for adoption, links directly with the purpose of the IPPC as stated in Article I.1: “</w:t>
            </w:r>
            <w:r w:rsidR="00B04A55" w:rsidRPr="001F7521">
              <w:rPr>
                <w:rFonts w:cs="Times-Roman"/>
                <w:i/>
                <w:szCs w:val="22"/>
              </w:rPr>
              <w:t xml:space="preserve">With the </w:t>
            </w:r>
            <w:r w:rsidR="00B04A55" w:rsidRPr="001F7521">
              <w:rPr>
                <w:rFonts w:cs="Times-Roman"/>
                <w:i/>
                <w:szCs w:val="22"/>
                <w:u w:val="single"/>
              </w:rPr>
              <w:t>purpose of securing common and effective action t</w:t>
            </w:r>
            <w:r w:rsidR="00B04A55" w:rsidRPr="001F7521">
              <w:rPr>
                <w:rFonts w:cs="Times-Roman"/>
                <w:i/>
                <w:szCs w:val="22"/>
              </w:rPr>
              <w:t>o prevent the spread and introduction of pests of plants and plant products, and to promote appropriate measures for their control</w:t>
            </w:r>
            <w:r w:rsidRPr="001F7521">
              <w:rPr>
                <w:rFonts w:cs="Times-Roman"/>
                <w:szCs w:val="22"/>
              </w:rPr>
              <w:t>”</w:t>
            </w:r>
          </w:p>
          <w:p w14:paraId="16C617AC" w14:textId="77777777" w:rsidR="000B32EC" w:rsidRPr="00E86637" w:rsidRDefault="000B32EC" w:rsidP="00551ED4">
            <w:pPr>
              <w:autoSpaceDE w:val="0"/>
              <w:autoSpaceDN w:val="0"/>
              <w:adjustRightInd w:val="0"/>
              <w:rPr>
                <w:rFonts w:cs="Times-Roman"/>
                <w:sz w:val="18"/>
                <w:szCs w:val="18"/>
              </w:rPr>
            </w:pPr>
          </w:p>
        </w:tc>
      </w:tr>
      <w:tr w:rsidR="000B32EC" w:rsidRPr="00E86637" w14:paraId="6D14D076" w14:textId="77777777" w:rsidTr="00551ED4">
        <w:trPr>
          <w:trHeight w:val="266"/>
          <w:jc w:val="center"/>
        </w:trPr>
        <w:tc>
          <w:tcPr>
            <w:tcW w:w="5000" w:type="pct"/>
          </w:tcPr>
          <w:p w14:paraId="79316130" w14:textId="1D065893" w:rsidR="000B32EC" w:rsidRDefault="00167857" w:rsidP="00551ED4">
            <w:pPr>
              <w:autoSpaceDE w:val="0"/>
              <w:autoSpaceDN w:val="0"/>
              <w:adjustRightInd w:val="0"/>
              <w:rPr>
                <w:rFonts w:cs="Times-Roman"/>
                <w:sz w:val="18"/>
                <w:szCs w:val="18"/>
              </w:rPr>
            </w:pPr>
            <w:r w:rsidRPr="00F56C25">
              <w:rPr>
                <w:rFonts w:cs="Times-Roman"/>
                <w:sz w:val="18"/>
                <w:szCs w:val="18"/>
              </w:rPr>
              <w:t>Linkage to IPPC Strategic Objectives (SOs) and Organizational results demonstrated.</w:t>
            </w:r>
          </w:p>
          <w:p w14:paraId="53EEBA17" w14:textId="5EF1641A" w:rsidR="006927BA" w:rsidRDefault="006927BA" w:rsidP="00551ED4">
            <w:pPr>
              <w:autoSpaceDE w:val="0"/>
              <w:autoSpaceDN w:val="0"/>
              <w:adjustRightInd w:val="0"/>
              <w:rPr>
                <w:szCs w:val="22"/>
              </w:rPr>
            </w:pPr>
            <w:r w:rsidRPr="006927BA">
              <w:rPr>
                <w:szCs w:val="22"/>
              </w:rPr>
              <w:t xml:space="preserve">With increasing volumes and diversity of trade, new and emerging market access opportunities, and decreasing human and financial resources to carry out phytosanitary regulatory programmes, NPPOs will </w:t>
            </w:r>
            <w:r w:rsidRPr="006927BA">
              <w:rPr>
                <w:szCs w:val="22"/>
              </w:rPr>
              <w:lastRenderedPageBreak/>
              <w:t>need to concentrate their efforts on reviewing existing policies to meet the changing global context and risks.</w:t>
            </w:r>
            <w:r>
              <w:rPr>
                <w:szCs w:val="22"/>
              </w:rPr>
              <w:t xml:space="preserve"> Review of existing policies would include exploring new</w:t>
            </w:r>
            <w:r w:rsidR="000A7D2C">
              <w:rPr>
                <w:szCs w:val="22"/>
              </w:rPr>
              <w:t xml:space="preserve"> and/or alternative</w:t>
            </w:r>
            <w:r>
              <w:rPr>
                <w:szCs w:val="22"/>
              </w:rPr>
              <w:t xml:space="preserve"> ways to deliver phytosanitary actions, considering the lack of NPPO resources, and authorization of entities is recognized way to achieve effective delivery of phytosanitary actions. The development of implementation resources related to elements of authorization will enable developing countries to adopt and implement the concept of authorization. As stated in the SF 2012-</w:t>
            </w:r>
            <w:r w:rsidR="00AA4554">
              <w:rPr>
                <w:szCs w:val="22"/>
              </w:rPr>
              <w:t>2019, authorization of entities enables the principle that “</w:t>
            </w:r>
            <w:r w:rsidRPr="006927BA">
              <w:rPr>
                <w:szCs w:val="22"/>
              </w:rPr>
              <w:t>private stakeholders should be more involved and accept responsibility for phytosanitary issues</w:t>
            </w:r>
            <w:r w:rsidR="00AA4554">
              <w:rPr>
                <w:szCs w:val="22"/>
              </w:rPr>
              <w:t>”</w:t>
            </w:r>
            <w:r w:rsidRPr="006927BA">
              <w:rPr>
                <w:szCs w:val="22"/>
              </w:rPr>
              <w:t>.</w:t>
            </w:r>
          </w:p>
          <w:p w14:paraId="23908B8C" w14:textId="77777777" w:rsidR="00AA4554" w:rsidRDefault="00AA4554" w:rsidP="00551ED4">
            <w:pPr>
              <w:autoSpaceDE w:val="0"/>
              <w:autoSpaceDN w:val="0"/>
              <w:adjustRightInd w:val="0"/>
              <w:rPr>
                <w:szCs w:val="22"/>
              </w:rPr>
            </w:pPr>
          </w:p>
          <w:p w14:paraId="7B4637E6" w14:textId="3E8E64E4" w:rsidR="00AA4554" w:rsidRDefault="00AA4554" w:rsidP="00551ED4">
            <w:pPr>
              <w:autoSpaceDE w:val="0"/>
              <w:autoSpaceDN w:val="0"/>
              <w:adjustRightInd w:val="0"/>
              <w:rPr>
                <w:szCs w:val="22"/>
              </w:rPr>
            </w:pPr>
            <w:r>
              <w:rPr>
                <w:szCs w:val="22"/>
              </w:rPr>
              <w:t>Development implementation resources facilitates the adoption and implementation of the concept of authorization, which directly links to Strategic Objective D (</w:t>
            </w:r>
            <w:r w:rsidRPr="00DA4D37">
              <w:rPr>
                <w:i/>
                <w:szCs w:val="22"/>
              </w:rPr>
              <w:t>develop phytosanitary capacity for members to accomplish A, B and C.</w:t>
            </w:r>
            <w:r w:rsidR="00DA4D37">
              <w:rPr>
                <w:szCs w:val="22"/>
              </w:rPr>
              <w:t xml:space="preserve">). </w:t>
            </w:r>
          </w:p>
          <w:p w14:paraId="77C14E2D" w14:textId="77777777" w:rsidR="00DA4D37" w:rsidRDefault="00DA4D37" w:rsidP="00551ED4">
            <w:pPr>
              <w:autoSpaceDE w:val="0"/>
              <w:autoSpaceDN w:val="0"/>
              <w:adjustRightInd w:val="0"/>
              <w:rPr>
                <w:szCs w:val="22"/>
              </w:rPr>
            </w:pPr>
          </w:p>
          <w:p w14:paraId="4DE0FBE6" w14:textId="4B2C8171" w:rsidR="00DA4D37" w:rsidRDefault="00DA4D37" w:rsidP="00551ED4">
            <w:pPr>
              <w:autoSpaceDE w:val="0"/>
              <w:autoSpaceDN w:val="0"/>
              <w:adjustRightInd w:val="0"/>
              <w:rPr>
                <w:szCs w:val="22"/>
              </w:rPr>
            </w:pPr>
            <w:r>
              <w:rPr>
                <w:szCs w:val="22"/>
              </w:rPr>
              <w:t>In addition, linkages to Organization Results:</w:t>
            </w:r>
          </w:p>
          <w:p w14:paraId="056EB28E" w14:textId="1B3EC16E" w:rsidR="00DA4D37" w:rsidRDefault="00DA4D37" w:rsidP="00551ED4">
            <w:pPr>
              <w:autoSpaceDE w:val="0"/>
              <w:autoSpaceDN w:val="0"/>
              <w:adjustRightInd w:val="0"/>
              <w:rPr>
                <w:i/>
                <w:szCs w:val="22"/>
              </w:rPr>
            </w:pPr>
            <w:r>
              <w:rPr>
                <w:szCs w:val="22"/>
              </w:rPr>
              <w:t xml:space="preserve">C1 - </w:t>
            </w:r>
            <w:r w:rsidRPr="00DA4D37">
              <w:rPr>
                <w:i/>
                <w:szCs w:val="22"/>
              </w:rPr>
              <w:t>Countries evaluate and upgrade their phytosanitary certification systems to take account of the revised standards.</w:t>
            </w:r>
          </w:p>
          <w:p w14:paraId="04FACDC1" w14:textId="1DBA34BA" w:rsidR="00DA4D37" w:rsidRDefault="00DA4D37" w:rsidP="00551ED4">
            <w:pPr>
              <w:autoSpaceDE w:val="0"/>
              <w:autoSpaceDN w:val="0"/>
              <w:adjustRightInd w:val="0"/>
              <w:rPr>
                <w:i/>
                <w:szCs w:val="22"/>
              </w:rPr>
            </w:pPr>
            <w:r>
              <w:rPr>
                <w:szCs w:val="22"/>
              </w:rPr>
              <w:t xml:space="preserve">D1 - </w:t>
            </w:r>
            <w:r w:rsidRPr="00DA4D37">
              <w:rPr>
                <w:i/>
                <w:szCs w:val="22"/>
              </w:rPr>
              <w:t>Developing countries are assisted in capacity development programmes by identifying their needs and priorities</w:t>
            </w:r>
            <w:r>
              <w:rPr>
                <w:i/>
                <w:szCs w:val="22"/>
              </w:rPr>
              <w:t>…..</w:t>
            </w:r>
          </w:p>
          <w:p w14:paraId="0B8589DB" w14:textId="73D7A3FE" w:rsidR="00DA4D37" w:rsidRPr="00481213" w:rsidRDefault="00481213" w:rsidP="00551ED4">
            <w:pPr>
              <w:autoSpaceDE w:val="0"/>
              <w:autoSpaceDN w:val="0"/>
              <w:adjustRightInd w:val="0"/>
              <w:rPr>
                <w:szCs w:val="22"/>
              </w:rPr>
            </w:pPr>
            <w:r>
              <w:rPr>
                <w:szCs w:val="22"/>
              </w:rPr>
              <w:t>D3 - …………</w:t>
            </w:r>
            <w:r w:rsidRPr="00481213">
              <w:t xml:space="preserve"> </w:t>
            </w:r>
            <w:r w:rsidRPr="00481213">
              <w:rPr>
                <w:i/>
                <w:szCs w:val="22"/>
              </w:rPr>
              <w:t>the implementation of the IPPC and its standards, and the challenges that members are dealing with, including problems with the implementation of standards.</w:t>
            </w:r>
          </w:p>
          <w:p w14:paraId="7A751099" w14:textId="2BF05717" w:rsidR="00DA4D37" w:rsidRPr="00DA4D37" w:rsidRDefault="00481213" w:rsidP="00551ED4">
            <w:pPr>
              <w:autoSpaceDE w:val="0"/>
              <w:autoSpaceDN w:val="0"/>
              <w:adjustRightInd w:val="0"/>
              <w:rPr>
                <w:szCs w:val="22"/>
              </w:rPr>
            </w:pPr>
            <w:r>
              <w:rPr>
                <w:szCs w:val="22"/>
              </w:rPr>
              <w:t xml:space="preserve">D4 - </w:t>
            </w:r>
            <w:r w:rsidRPr="00481213">
              <w:rPr>
                <w:i/>
                <w:szCs w:val="22"/>
              </w:rPr>
              <w:t>Information resources are made available to allow countries to improve national phytosanitary capacity.</w:t>
            </w:r>
          </w:p>
          <w:p w14:paraId="766A74EE" w14:textId="77777777" w:rsidR="000B32EC" w:rsidRPr="00E86637" w:rsidRDefault="000B32EC" w:rsidP="00551ED4">
            <w:pPr>
              <w:autoSpaceDE w:val="0"/>
              <w:autoSpaceDN w:val="0"/>
              <w:adjustRightInd w:val="0"/>
              <w:rPr>
                <w:rFonts w:cs="Times-Roman"/>
                <w:sz w:val="18"/>
                <w:szCs w:val="18"/>
              </w:rPr>
            </w:pPr>
          </w:p>
        </w:tc>
      </w:tr>
      <w:tr w:rsidR="000B32EC" w:rsidRPr="00E86637" w14:paraId="385E5870" w14:textId="77777777" w:rsidTr="00551ED4">
        <w:trPr>
          <w:trHeight w:val="283"/>
          <w:jc w:val="center"/>
        </w:trPr>
        <w:tc>
          <w:tcPr>
            <w:tcW w:w="5000" w:type="pct"/>
          </w:tcPr>
          <w:p w14:paraId="528E1E66" w14:textId="77777777" w:rsidR="000B32EC" w:rsidRPr="00F56C25" w:rsidRDefault="00167857" w:rsidP="00167857">
            <w:pPr>
              <w:rPr>
                <w:sz w:val="18"/>
                <w:szCs w:val="18"/>
              </w:rPr>
            </w:pPr>
            <w:r w:rsidRPr="00F56C25">
              <w:rPr>
                <w:sz w:val="18"/>
                <w:szCs w:val="18"/>
              </w:rPr>
              <w:lastRenderedPageBreak/>
              <w:t>Feasibility of implementation at the global level (consider ease of implementation, technical complexity, capacity of NPPO(s) to implement, relevance for more than one region).</w:t>
            </w:r>
          </w:p>
          <w:p w14:paraId="7F8CD2BB" w14:textId="77777777" w:rsidR="00167857" w:rsidRDefault="00E265CC" w:rsidP="00167857">
            <w:pPr>
              <w:rPr>
                <w:szCs w:val="22"/>
              </w:rPr>
            </w:pPr>
            <w:r>
              <w:rPr>
                <w:szCs w:val="22"/>
              </w:rPr>
              <w:t xml:space="preserve">The country consultation process is anticipated to identify additional implementation challenges, which can be addressed through the development of implementation resources and made available in time for the adoption of the standard. The implementation resources will be highly relevant to all regions, specifically to </w:t>
            </w:r>
            <w:r w:rsidR="007C3A0B">
              <w:rPr>
                <w:szCs w:val="22"/>
              </w:rPr>
              <w:t xml:space="preserve">regions with high concentration of developing countries and will enable the capacity of the developing NPPOs to understand and implement the elements of authorization. This in turn will promote their ability to export through a robust phytosanitary export system and also to develop confidence and facilitate imports certified through authorization programmes. </w:t>
            </w:r>
          </w:p>
          <w:p w14:paraId="4498E38C" w14:textId="5A97BFC1" w:rsidR="00AD7835" w:rsidRPr="00E86637" w:rsidRDefault="00AD7835" w:rsidP="00167857">
            <w:pPr>
              <w:rPr>
                <w:rFonts w:cs="Times-Bold"/>
                <w:bCs/>
                <w:sz w:val="20"/>
                <w:szCs w:val="20"/>
                <w:u w:val="single"/>
              </w:rPr>
            </w:pPr>
            <w:r w:rsidRPr="00AD7835">
              <w:rPr>
                <w:rFonts w:cs="Times-Bold"/>
                <w:bCs/>
                <w:sz w:val="20"/>
                <w:szCs w:val="20"/>
                <w:u w:val="single"/>
              </w:rPr>
              <w:t>The draft IPPC Investment Plan (with comments provided by Bureau members) identifies external project funding as the source of resources to fund development of the guidance document.  Similarly</w:t>
            </w:r>
            <w:r>
              <w:rPr>
                <w:rFonts w:cs="Times-Bold"/>
                <w:bCs/>
                <w:sz w:val="20"/>
                <w:szCs w:val="20"/>
                <w:u w:val="single"/>
              </w:rPr>
              <w:t>, external funding may be sought to support implementation (with the benefit of this dedicated guidance supporting effective use of such funds)</w:t>
            </w:r>
            <w:r w:rsidRPr="00AD7835">
              <w:rPr>
                <w:rFonts w:cs="Times-Bold"/>
                <w:bCs/>
                <w:sz w:val="20"/>
                <w:szCs w:val="20"/>
                <w:u w:val="single"/>
              </w:rPr>
              <w:t>.</w:t>
            </w:r>
          </w:p>
        </w:tc>
      </w:tr>
      <w:tr w:rsidR="000B32EC" w:rsidRPr="00E86637" w14:paraId="145ED092" w14:textId="77777777" w:rsidTr="00551ED4">
        <w:trPr>
          <w:trHeight w:val="125"/>
          <w:jc w:val="center"/>
        </w:trPr>
        <w:tc>
          <w:tcPr>
            <w:tcW w:w="5000" w:type="pct"/>
          </w:tcPr>
          <w:p w14:paraId="16738DB7" w14:textId="77777777" w:rsidR="000B32EC"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6A1074D4" w14:textId="235754A1" w:rsidR="000B32EC" w:rsidRPr="00F56C25" w:rsidRDefault="00CA35A4" w:rsidP="00AD7835">
            <w:pPr>
              <w:autoSpaceDE w:val="0"/>
              <w:autoSpaceDN w:val="0"/>
              <w:adjustRightInd w:val="0"/>
              <w:rPr>
                <w:rFonts w:cs="Times-Roman"/>
                <w:sz w:val="18"/>
                <w:szCs w:val="18"/>
              </w:rPr>
            </w:pPr>
            <w:r>
              <w:rPr>
                <w:szCs w:val="22"/>
              </w:rPr>
              <w:t xml:space="preserve">Implementation issues will </w:t>
            </w:r>
            <w:r w:rsidR="008D3006">
              <w:rPr>
                <w:szCs w:val="22"/>
              </w:rPr>
              <w:t xml:space="preserve">primarily </w:t>
            </w:r>
            <w:r>
              <w:rPr>
                <w:szCs w:val="22"/>
              </w:rPr>
              <w:t>be identified as a result from the current and second consultation periods</w:t>
            </w:r>
            <w:r w:rsidR="008D3006">
              <w:rPr>
                <w:szCs w:val="22"/>
              </w:rPr>
              <w:t xml:space="preserve"> on the draft ISPM</w:t>
            </w:r>
            <w:r w:rsidR="00E45875">
              <w:rPr>
                <w:szCs w:val="22"/>
              </w:rPr>
              <w:t>, and contracting parties that have implemented authorization programmes will be asked to identify related impediments to implementation</w:t>
            </w:r>
            <w:r>
              <w:rPr>
                <w:szCs w:val="22"/>
              </w:rPr>
              <w:t>. In addition, the need for clarification is anticipated for a number of concepts presented in the draft standard, such as the de</w:t>
            </w:r>
            <w:r w:rsidRPr="00CA35A4">
              <w:rPr>
                <w:szCs w:val="22"/>
              </w:rPr>
              <w:t>velopment of a legal fra</w:t>
            </w:r>
            <w:r>
              <w:rPr>
                <w:szCs w:val="22"/>
              </w:rPr>
              <w:t xml:space="preserve">mework </w:t>
            </w:r>
            <w:r w:rsidR="003965C5">
              <w:rPr>
                <w:szCs w:val="22"/>
              </w:rPr>
              <w:t>to enable authorization, a prop</w:t>
            </w:r>
            <w:r>
              <w:rPr>
                <w:szCs w:val="22"/>
              </w:rPr>
              <w:t>er understanding of the concepts of</w:t>
            </w:r>
            <w:r w:rsidRPr="00CA35A4">
              <w:rPr>
                <w:szCs w:val="22"/>
              </w:rPr>
              <w:t xml:space="preserve"> quality systems and </w:t>
            </w:r>
            <w:r>
              <w:rPr>
                <w:szCs w:val="22"/>
              </w:rPr>
              <w:t xml:space="preserve">the development of quality system manuals, the </w:t>
            </w:r>
            <w:r w:rsidRPr="00CA35A4">
              <w:rPr>
                <w:szCs w:val="22"/>
              </w:rPr>
              <w:t xml:space="preserve">supervision of authorized entities, including procedures for examination </w:t>
            </w:r>
            <w:r>
              <w:rPr>
                <w:szCs w:val="22"/>
              </w:rPr>
              <w:t>and assessment of competencies, etc.</w:t>
            </w:r>
          </w:p>
        </w:tc>
      </w:tr>
      <w:tr w:rsidR="000B32EC" w:rsidRPr="00E86637" w14:paraId="6FF17504" w14:textId="77777777" w:rsidTr="00551ED4">
        <w:trPr>
          <w:trHeight w:val="397"/>
          <w:jc w:val="center"/>
        </w:trPr>
        <w:tc>
          <w:tcPr>
            <w:tcW w:w="5000" w:type="pct"/>
          </w:tcPr>
          <w:p w14:paraId="14742591"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02E2EA65" w14:textId="77777777" w:rsidR="00D673C9" w:rsidRPr="00D673C9" w:rsidRDefault="00D673C9" w:rsidP="00D673C9">
            <w:pPr>
              <w:autoSpaceDE w:val="0"/>
              <w:autoSpaceDN w:val="0"/>
              <w:adjustRightInd w:val="0"/>
              <w:rPr>
                <w:szCs w:val="22"/>
              </w:rPr>
            </w:pPr>
            <w:r w:rsidRPr="00D673C9">
              <w:rPr>
                <w:szCs w:val="22"/>
              </w:rPr>
              <w:t>The development of implementation resources will facilitate the understanding of the concept of authorization among all contracting parties and the implementation of key elements such as:</w:t>
            </w:r>
          </w:p>
          <w:p w14:paraId="5646CB21" w14:textId="77777777" w:rsidR="00D673C9" w:rsidRPr="00D673C9" w:rsidRDefault="00274967" w:rsidP="00D673C9">
            <w:pPr>
              <w:numPr>
                <w:ilvl w:val="0"/>
                <w:numId w:val="22"/>
              </w:numPr>
              <w:autoSpaceDE w:val="0"/>
              <w:autoSpaceDN w:val="0"/>
              <w:adjustRightInd w:val="0"/>
              <w:rPr>
                <w:szCs w:val="22"/>
              </w:rPr>
            </w:pPr>
            <w:r w:rsidRPr="00D673C9">
              <w:rPr>
                <w:szCs w:val="22"/>
              </w:rPr>
              <w:t>development of a legal framework to enable authorization</w:t>
            </w:r>
            <w:r w:rsidR="00D673C9" w:rsidRPr="00D673C9">
              <w:rPr>
                <w:szCs w:val="22"/>
              </w:rPr>
              <w:t>;</w:t>
            </w:r>
          </w:p>
          <w:p w14:paraId="74EB9D4B" w14:textId="77777777" w:rsidR="00D673C9" w:rsidRPr="00D673C9" w:rsidRDefault="00D673C9" w:rsidP="00D673C9">
            <w:pPr>
              <w:numPr>
                <w:ilvl w:val="0"/>
                <w:numId w:val="22"/>
              </w:numPr>
              <w:autoSpaceDE w:val="0"/>
              <w:autoSpaceDN w:val="0"/>
              <w:adjustRightInd w:val="0"/>
              <w:rPr>
                <w:szCs w:val="22"/>
              </w:rPr>
            </w:pPr>
            <w:r w:rsidRPr="00D673C9">
              <w:rPr>
                <w:szCs w:val="22"/>
              </w:rPr>
              <w:t>understanding and development of quality systems and quality system manuals;</w:t>
            </w:r>
          </w:p>
          <w:p w14:paraId="0DFE31D9" w14:textId="3B394A0F" w:rsidR="00D673C9" w:rsidRDefault="00D673C9" w:rsidP="00D673C9">
            <w:pPr>
              <w:numPr>
                <w:ilvl w:val="0"/>
                <w:numId w:val="22"/>
              </w:numPr>
              <w:autoSpaceDE w:val="0"/>
              <w:autoSpaceDN w:val="0"/>
              <w:adjustRightInd w:val="0"/>
              <w:rPr>
                <w:szCs w:val="22"/>
              </w:rPr>
            </w:pPr>
            <w:r w:rsidRPr="00D673C9">
              <w:rPr>
                <w:szCs w:val="22"/>
              </w:rPr>
              <w:t>development of mechanisms and process to authorize e</w:t>
            </w:r>
            <w:r w:rsidR="008546EC">
              <w:rPr>
                <w:szCs w:val="22"/>
              </w:rPr>
              <w:t>ntities to audit other entities;</w:t>
            </w:r>
          </w:p>
          <w:p w14:paraId="1FDAF346" w14:textId="1A3CA003" w:rsidR="008546EC" w:rsidRDefault="008546EC" w:rsidP="00D673C9">
            <w:pPr>
              <w:numPr>
                <w:ilvl w:val="0"/>
                <w:numId w:val="22"/>
              </w:numPr>
              <w:autoSpaceDE w:val="0"/>
              <w:autoSpaceDN w:val="0"/>
              <w:adjustRightInd w:val="0"/>
              <w:rPr>
                <w:szCs w:val="22"/>
              </w:rPr>
            </w:pPr>
            <w:r>
              <w:rPr>
                <w:szCs w:val="22"/>
              </w:rPr>
              <w:t>s</w:t>
            </w:r>
            <w:r w:rsidRPr="008546EC">
              <w:rPr>
                <w:szCs w:val="22"/>
              </w:rPr>
              <w:t xml:space="preserve">upervision of authorized </w:t>
            </w:r>
            <w:r>
              <w:rPr>
                <w:szCs w:val="22"/>
              </w:rPr>
              <w:t>entities</w:t>
            </w:r>
            <w:r w:rsidRPr="008546EC">
              <w:rPr>
                <w:szCs w:val="22"/>
              </w:rPr>
              <w:t>, including procedures for examination and assessment of competencies</w:t>
            </w:r>
          </w:p>
          <w:p w14:paraId="28BB9326" w14:textId="77777777" w:rsidR="00D673C9" w:rsidRPr="00D673C9" w:rsidRDefault="00D673C9" w:rsidP="00D673C9">
            <w:pPr>
              <w:autoSpaceDE w:val="0"/>
              <w:autoSpaceDN w:val="0"/>
              <w:adjustRightInd w:val="0"/>
              <w:ind w:left="720"/>
              <w:rPr>
                <w:szCs w:val="22"/>
              </w:rPr>
            </w:pPr>
          </w:p>
          <w:p w14:paraId="46D1EBD0" w14:textId="59CD8E72" w:rsidR="00167857" w:rsidRPr="00D673C9" w:rsidRDefault="00D673C9" w:rsidP="00167857">
            <w:pPr>
              <w:autoSpaceDE w:val="0"/>
              <w:autoSpaceDN w:val="0"/>
              <w:adjustRightInd w:val="0"/>
              <w:rPr>
                <w:szCs w:val="22"/>
              </w:rPr>
            </w:pPr>
            <w:r>
              <w:rPr>
                <w:szCs w:val="22"/>
              </w:rPr>
              <w:t xml:space="preserve">Additional need for implementation resources relevant to authorization is expected to be identified during the </w:t>
            </w:r>
            <w:r w:rsidR="008546EC">
              <w:rPr>
                <w:szCs w:val="22"/>
              </w:rPr>
              <w:t>First and Second Consultation</w:t>
            </w:r>
            <w:r>
              <w:rPr>
                <w:szCs w:val="22"/>
              </w:rPr>
              <w:t xml:space="preserve"> process of the draft ISPM on authorization of entities to perform phytosanitary action. The draft ISPM is currently under First Consultation. </w:t>
            </w:r>
          </w:p>
          <w:p w14:paraId="7E5076FB" w14:textId="77777777" w:rsidR="000B32EC" w:rsidRPr="00E86637" w:rsidRDefault="000B32EC" w:rsidP="00551ED4">
            <w:pPr>
              <w:autoSpaceDE w:val="0"/>
              <w:autoSpaceDN w:val="0"/>
              <w:adjustRightInd w:val="0"/>
              <w:rPr>
                <w:rFonts w:cs="Times-Roman"/>
                <w:sz w:val="18"/>
                <w:szCs w:val="18"/>
              </w:rPr>
            </w:pPr>
          </w:p>
        </w:tc>
      </w:tr>
    </w:tbl>
    <w:p w14:paraId="1D2301C8" w14:textId="7B8ACDA4"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422D6782"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5D6BAB8C" w14:textId="77777777" w:rsidR="00167857"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22D34C0A" w14:textId="113993A6" w:rsidR="008546EC" w:rsidRDefault="0040482E" w:rsidP="008546EC">
            <w:pPr>
              <w:pStyle w:val="ListParagraph"/>
              <w:autoSpaceDE w:val="0"/>
              <w:autoSpaceDN w:val="0"/>
              <w:adjustRightInd w:val="0"/>
              <w:rPr>
                <w:sz w:val="18"/>
                <w:szCs w:val="18"/>
              </w:rPr>
            </w:pPr>
            <w:r>
              <w:rPr>
                <w:sz w:val="18"/>
                <w:szCs w:val="18"/>
              </w:rPr>
              <w:t>The Canadian Food Inspection Agency has programs and manuals, related to authorization:</w:t>
            </w:r>
          </w:p>
          <w:p w14:paraId="68E206D7" w14:textId="01F4B5B7" w:rsidR="0040482E" w:rsidRPr="0040482E" w:rsidRDefault="0040482E" w:rsidP="008546EC">
            <w:pPr>
              <w:pStyle w:val="ListParagraph"/>
              <w:numPr>
                <w:ilvl w:val="0"/>
                <w:numId w:val="22"/>
              </w:numPr>
              <w:autoSpaceDE w:val="0"/>
              <w:autoSpaceDN w:val="0"/>
              <w:adjustRightInd w:val="0"/>
              <w:ind w:left="993" w:hanging="284"/>
              <w:rPr>
                <w:bCs/>
                <w:i/>
                <w:sz w:val="18"/>
                <w:szCs w:val="18"/>
                <w:lang w:val="en-CA"/>
              </w:rPr>
            </w:pPr>
            <w:r>
              <w:rPr>
                <w:sz w:val="18"/>
                <w:szCs w:val="18"/>
              </w:rPr>
              <w:t xml:space="preserve">Plant Health </w:t>
            </w:r>
            <w:r w:rsidRPr="0040482E">
              <w:rPr>
                <w:sz w:val="18"/>
                <w:szCs w:val="18"/>
              </w:rPr>
              <w:t xml:space="preserve">Policy Directive - </w:t>
            </w:r>
            <w:r w:rsidRPr="0040482E">
              <w:rPr>
                <w:bCs/>
                <w:sz w:val="18"/>
                <w:szCs w:val="18"/>
                <w:lang w:val="en-CA"/>
              </w:rPr>
              <w:t>D-10-02: The Canadian Grain Sampling Program (CGSP)</w:t>
            </w:r>
          </w:p>
          <w:p w14:paraId="084CDCD5" w14:textId="0B1E2725" w:rsidR="0040482E" w:rsidRPr="0040482E" w:rsidRDefault="0040482E" w:rsidP="0040482E">
            <w:pPr>
              <w:pStyle w:val="ListParagraph"/>
              <w:numPr>
                <w:ilvl w:val="0"/>
                <w:numId w:val="22"/>
              </w:numPr>
              <w:autoSpaceDE w:val="0"/>
              <w:autoSpaceDN w:val="0"/>
              <w:adjustRightInd w:val="0"/>
              <w:ind w:left="993" w:hanging="284"/>
              <w:rPr>
                <w:bCs/>
                <w:sz w:val="18"/>
                <w:szCs w:val="18"/>
                <w:lang w:val="en-CA"/>
              </w:rPr>
            </w:pPr>
            <w:r>
              <w:rPr>
                <w:bCs/>
                <w:sz w:val="18"/>
                <w:szCs w:val="18"/>
                <w:lang w:val="en-CA"/>
              </w:rPr>
              <w:t xml:space="preserve">Plant Health Policy Directive </w:t>
            </w:r>
            <w:r w:rsidRPr="0040482E">
              <w:rPr>
                <w:lang w:val="en"/>
              </w:rPr>
              <w:t xml:space="preserve"> </w:t>
            </w:r>
            <w:r w:rsidRPr="0040482E">
              <w:rPr>
                <w:b/>
                <w:bCs/>
                <w:sz w:val="18"/>
                <w:szCs w:val="18"/>
                <w:lang w:val="en"/>
              </w:rPr>
              <w:t>D-13-01</w:t>
            </w:r>
            <w:r w:rsidRPr="0040482E">
              <w:rPr>
                <w:bCs/>
                <w:sz w:val="18"/>
                <w:szCs w:val="18"/>
                <w:lang w:val="en"/>
              </w:rPr>
              <w:t xml:space="preserve"> - Canadian Heat Treated Wood Products Certification Program (HT Program)</w:t>
            </w:r>
          </w:p>
          <w:p w14:paraId="0A454D80" w14:textId="68341A89" w:rsidR="008546EC" w:rsidRPr="007F0394" w:rsidRDefault="0040482E" w:rsidP="008546EC">
            <w:pPr>
              <w:pStyle w:val="ListParagraph"/>
              <w:numPr>
                <w:ilvl w:val="0"/>
                <w:numId w:val="22"/>
              </w:numPr>
              <w:autoSpaceDE w:val="0"/>
              <w:autoSpaceDN w:val="0"/>
              <w:adjustRightInd w:val="0"/>
              <w:ind w:left="993" w:hanging="284"/>
              <w:rPr>
                <w:sz w:val="18"/>
                <w:szCs w:val="18"/>
              </w:rPr>
            </w:pPr>
            <w:r w:rsidRPr="00F65D4B">
              <w:rPr>
                <w:bCs/>
                <w:sz w:val="18"/>
                <w:szCs w:val="18"/>
                <w:lang w:val="en"/>
              </w:rPr>
              <w:t>Quality Management System Manual for Facilities registered in the Emerald Ash Borer Approved Facility Compliance Program</w:t>
            </w:r>
          </w:p>
          <w:p w14:paraId="3CF525D3" w14:textId="3B7DDCBE" w:rsidR="00CB7114" w:rsidRPr="00F65D4B" w:rsidRDefault="00CB7114" w:rsidP="00CB7114">
            <w:pPr>
              <w:pStyle w:val="ListParagraph"/>
              <w:numPr>
                <w:ilvl w:val="0"/>
                <w:numId w:val="22"/>
              </w:numPr>
              <w:autoSpaceDE w:val="0"/>
              <w:autoSpaceDN w:val="0"/>
              <w:adjustRightInd w:val="0"/>
              <w:rPr>
                <w:sz w:val="18"/>
                <w:szCs w:val="18"/>
              </w:rPr>
            </w:pPr>
            <w:r>
              <w:rPr>
                <w:bCs/>
                <w:sz w:val="18"/>
                <w:szCs w:val="18"/>
                <w:lang w:val="en"/>
              </w:rPr>
              <w:t xml:space="preserve">Plant Health Policy Directive – D-95-08 </w:t>
            </w:r>
            <w:r w:rsidRPr="00CB7114">
              <w:rPr>
                <w:bCs/>
                <w:sz w:val="18"/>
                <w:szCs w:val="18"/>
                <w:lang w:val="en"/>
              </w:rPr>
              <w:t>Phytosanitary import requirements for fresh temperate fruits and tree nuts</w:t>
            </w:r>
          </w:p>
          <w:p w14:paraId="3F08EDA0" w14:textId="77777777" w:rsidR="00D673C9" w:rsidRPr="00F56C25" w:rsidRDefault="00D673C9" w:rsidP="00D673C9">
            <w:pPr>
              <w:pStyle w:val="ListParagraph"/>
              <w:autoSpaceDE w:val="0"/>
              <w:autoSpaceDN w:val="0"/>
              <w:adjustRightInd w:val="0"/>
              <w:rPr>
                <w:sz w:val="18"/>
                <w:szCs w:val="18"/>
              </w:rPr>
            </w:pPr>
          </w:p>
          <w:p w14:paraId="31EAE4B2" w14:textId="77777777" w:rsidR="000B32EC"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p w14:paraId="06A114F8" w14:textId="1D9D4908" w:rsidR="00F65D4B" w:rsidRPr="00F56C25" w:rsidRDefault="00F65D4B" w:rsidP="00C81080">
            <w:pPr>
              <w:pStyle w:val="ListParagraph"/>
              <w:autoSpaceDE w:val="0"/>
              <w:autoSpaceDN w:val="0"/>
              <w:adjustRightInd w:val="0"/>
              <w:rPr>
                <w:sz w:val="18"/>
                <w:szCs w:val="18"/>
              </w:rPr>
            </w:pPr>
            <w:r>
              <w:rPr>
                <w:sz w:val="18"/>
                <w:szCs w:val="18"/>
              </w:rPr>
              <w:t>Expertise is available from countries such as: Canada, United States, Netherlands, Australia, New Zealand, Argentina. Experts from these countries also participated in the development of the draft ISPM on authorization of entities</w:t>
            </w:r>
            <w:r w:rsidR="00C81080">
              <w:rPr>
                <w:sz w:val="18"/>
                <w:szCs w:val="18"/>
              </w:rPr>
              <w:t xml:space="preserve"> to preform phytosanitary actions.</w:t>
            </w:r>
            <w:r>
              <w:rPr>
                <w:sz w:val="18"/>
                <w:szCs w:val="18"/>
              </w:rPr>
              <w:t>.</w:t>
            </w:r>
          </w:p>
        </w:tc>
      </w:tr>
      <w:tr w:rsidR="000B32EC" w:rsidRPr="00E86637" w14:paraId="49A459F1" w14:textId="77777777" w:rsidTr="00FD01BE">
        <w:trPr>
          <w:trHeight w:val="869"/>
        </w:trPr>
        <w:tc>
          <w:tcPr>
            <w:tcW w:w="9786"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62A0B09D" w14:textId="685678A1" w:rsidR="000B32EC" w:rsidRPr="00F56C25" w:rsidRDefault="00167857" w:rsidP="00232269">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r w:rsidR="00D90DFB">
              <w:rPr>
                <w:sz w:val="18"/>
                <w:szCs w:val="18"/>
              </w:rPr>
              <w:t xml:space="preserve">  GD</w:t>
            </w:r>
            <w:r w:rsidR="00232269">
              <w:rPr>
                <w:sz w:val="18"/>
                <w:szCs w:val="18"/>
              </w:rPr>
              <w:t>P</w:t>
            </w:r>
            <w:r w:rsidR="00D90DFB">
              <w:rPr>
                <w:sz w:val="18"/>
                <w:szCs w:val="18"/>
              </w:rPr>
              <w:t xml:space="preserve"> and trade related to the use of third party systems and authorization of entities would be in the billions.</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D43B882" w14:textId="39FF07D6" w:rsidR="00167857" w:rsidRPr="00F56C25" w:rsidRDefault="00167857" w:rsidP="00167857">
            <w:pPr>
              <w:pStyle w:val="ListParagraph"/>
              <w:numPr>
                <w:ilvl w:val="0"/>
                <w:numId w:val="10"/>
              </w:numPr>
              <w:tabs>
                <w:tab w:val="left" w:pos="720"/>
              </w:tabs>
              <w:rPr>
                <w:sz w:val="18"/>
                <w:szCs w:val="18"/>
              </w:rPr>
            </w:pPr>
            <w:r w:rsidRPr="00F56C25">
              <w:rPr>
                <w:sz w:val="18"/>
                <w:szCs w:val="18"/>
              </w:rPr>
              <w:t xml:space="preserve">Utility in the management of </w:t>
            </w:r>
            <w:r w:rsidR="00C81080">
              <w:rPr>
                <w:sz w:val="18"/>
                <w:szCs w:val="18"/>
              </w:rPr>
              <w:t xml:space="preserve">invasive </w:t>
            </w:r>
            <w:r w:rsidRPr="00F56C25">
              <w:rPr>
                <w:sz w:val="18"/>
                <w:szCs w:val="18"/>
              </w:rPr>
              <w:t>species which are pests of plants.</w:t>
            </w:r>
          </w:p>
          <w:p w14:paraId="0A0A413A"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63C8AB79" w14:textId="77777777" w:rsidR="00167857"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64992585" w14:textId="7FD2304E" w:rsidR="00F65D4B" w:rsidRPr="00F56C25" w:rsidRDefault="00F65D4B" w:rsidP="00F65D4B">
            <w:pPr>
              <w:pStyle w:val="ListParagraph"/>
              <w:tabs>
                <w:tab w:val="left" w:pos="720"/>
              </w:tabs>
              <w:rPr>
                <w:sz w:val="18"/>
                <w:szCs w:val="18"/>
              </w:rPr>
            </w:pPr>
            <w:r>
              <w:rPr>
                <w:sz w:val="18"/>
                <w:szCs w:val="18"/>
              </w:rPr>
              <w:t xml:space="preserve">The development of implementation resources on authorization will be relevant to all regions, especially regions with high concentration of developing contracting parties. </w:t>
            </w:r>
          </w:p>
          <w:p w14:paraId="24673ED7" w14:textId="77777777" w:rsidR="00167857"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D83FEC6" w14:textId="06F37F1D" w:rsidR="009E5006" w:rsidRPr="00F56C25" w:rsidRDefault="009E5006" w:rsidP="009E5006">
            <w:pPr>
              <w:pStyle w:val="ListParagraph"/>
              <w:tabs>
                <w:tab w:val="left" w:pos="720"/>
              </w:tabs>
              <w:rPr>
                <w:sz w:val="18"/>
                <w:szCs w:val="18"/>
              </w:rPr>
            </w:pPr>
            <w:r>
              <w:rPr>
                <w:sz w:val="18"/>
                <w:szCs w:val="18"/>
              </w:rPr>
              <w:t xml:space="preserve">Development of implementation resources on authorization will facilitate the understanding of the concept, implementation of authorization programmes, and build countries’ confidence in authorization programme, which in turn will facilitate trade and prevent disruptions. </w:t>
            </w:r>
          </w:p>
          <w:p w14:paraId="27E27794" w14:textId="77777777" w:rsidR="00167857"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46604258" w14:textId="2437BFB4" w:rsidR="009E5006" w:rsidRPr="00F56C25" w:rsidRDefault="009E5006" w:rsidP="009E5006">
            <w:pPr>
              <w:pStyle w:val="ListParagraph"/>
              <w:tabs>
                <w:tab w:val="left" w:pos="720"/>
              </w:tabs>
              <w:rPr>
                <w:sz w:val="18"/>
                <w:szCs w:val="18"/>
              </w:rPr>
            </w:pPr>
            <w:r>
              <w:rPr>
                <w:sz w:val="18"/>
                <w:szCs w:val="18"/>
              </w:rPr>
              <w:t>Highly relevant to developing countries. Enhances understanding and use of authorization programmes. Addresses NPPO resource constraint issues</w:t>
            </w:r>
            <w:r w:rsidR="00C81080">
              <w:rPr>
                <w:sz w:val="18"/>
                <w:szCs w:val="18"/>
              </w:rPr>
              <w:t xml:space="preserve"> and exploring news ways to </w:t>
            </w:r>
            <w:r w:rsidR="00C42FA7">
              <w:rPr>
                <w:sz w:val="18"/>
                <w:szCs w:val="18"/>
              </w:rPr>
              <w:t>deliver phytosanitary action.</w:t>
            </w:r>
            <w:r w:rsidR="00C81080">
              <w:rPr>
                <w:sz w:val="18"/>
                <w:szCs w:val="18"/>
              </w:rPr>
              <w:t xml:space="preserve"> </w:t>
            </w:r>
            <w:r>
              <w:rPr>
                <w:sz w:val="18"/>
                <w:szCs w:val="18"/>
              </w:rPr>
              <w:t xml:space="preserve">. </w:t>
            </w:r>
          </w:p>
          <w:p w14:paraId="36122875" w14:textId="77777777" w:rsidR="00167857"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102F0798" w14:textId="6343B80E" w:rsidR="009E5006" w:rsidRPr="00F56C25" w:rsidRDefault="009E5006" w:rsidP="009E5006">
            <w:pPr>
              <w:pStyle w:val="ListParagraph"/>
              <w:tabs>
                <w:tab w:val="left" w:pos="720"/>
              </w:tabs>
              <w:rPr>
                <w:sz w:val="18"/>
                <w:szCs w:val="18"/>
              </w:rPr>
            </w:pPr>
            <w:r>
              <w:rPr>
                <w:sz w:val="18"/>
                <w:szCs w:val="18"/>
              </w:rPr>
              <w:t xml:space="preserve">Facilitates application of authorization programmes in import, domestic and export systems. </w:t>
            </w:r>
          </w:p>
          <w:p w14:paraId="71A6D31D" w14:textId="77777777" w:rsidR="00167857"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37F8E3F4" w14:textId="71C29379" w:rsidR="009E5006" w:rsidRPr="00F56C25" w:rsidRDefault="004D1B49" w:rsidP="009E5006">
            <w:pPr>
              <w:pStyle w:val="ListParagraph"/>
              <w:tabs>
                <w:tab w:val="left" w:pos="720"/>
              </w:tabs>
              <w:rPr>
                <w:sz w:val="18"/>
                <w:szCs w:val="18"/>
              </w:rPr>
            </w:pPr>
            <w:r>
              <w:rPr>
                <w:sz w:val="18"/>
                <w:szCs w:val="18"/>
              </w:rPr>
              <w:t xml:space="preserve">Facilitates the implementation of ISPM on authorization of entities, which is currently going through the consultation process. </w:t>
            </w:r>
          </w:p>
          <w:p w14:paraId="27FDEBBC" w14:textId="77777777" w:rsidR="00167857"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0A07A79" w14:textId="668BDE2E" w:rsidR="004D1B49" w:rsidRPr="00F56C25" w:rsidRDefault="004D1B49" w:rsidP="004D1B49">
            <w:pPr>
              <w:pStyle w:val="ListParagraph"/>
              <w:tabs>
                <w:tab w:val="left" w:pos="720"/>
              </w:tabs>
              <w:rPr>
                <w:sz w:val="18"/>
                <w:szCs w:val="18"/>
              </w:rPr>
            </w:pPr>
            <w:r>
              <w:rPr>
                <w:sz w:val="18"/>
                <w:szCs w:val="18"/>
              </w:rPr>
              <w:t xml:space="preserve">Addresses the concept of authorization. </w:t>
            </w:r>
          </w:p>
          <w:p w14:paraId="1ED788D1" w14:textId="77777777" w:rsidR="000B32EC"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p w14:paraId="534949DC" w14:textId="07DC7E14" w:rsidR="004D1B49" w:rsidRPr="00F56C25" w:rsidRDefault="004D1B49" w:rsidP="00C42FA7">
            <w:pPr>
              <w:pStyle w:val="ListParagraph"/>
              <w:tabs>
                <w:tab w:val="left" w:pos="720"/>
              </w:tabs>
              <w:rPr>
                <w:sz w:val="18"/>
                <w:szCs w:val="18"/>
              </w:rPr>
            </w:pPr>
            <w:r>
              <w:rPr>
                <w:sz w:val="18"/>
                <w:szCs w:val="18"/>
              </w:rPr>
              <w:t xml:space="preserve">The need is urgent as the </w:t>
            </w:r>
            <w:r w:rsidRPr="004D1B49">
              <w:rPr>
                <w:sz w:val="18"/>
                <w:szCs w:val="18"/>
              </w:rPr>
              <w:t xml:space="preserve">simultaneous development of implementation resources, along with the process of consulting, refining and finalizing the draft ISPM </w:t>
            </w:r>
            <w:r>
              <w:rPr>
                <w:sz w:val="18"/>
                <w:szCs w:val="18"/>
              </w:rPr>
              <w:t xml:space="preserve">on authorization of entities </w:t>
            </w:r>
            <w:r w:rsidRPr="004D1B49">
              <w:rPr>
                <w:sz w:val="18"/>
                <w:szCs w:val="18"/>
              </w:rPr>
              <w:t>, will facilitate the implementation of standard when it is adopted.</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lastRenderedPageBreak/>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E96FABE" w14:textId="77777777" w:rsidR="000B32EC" w:rsidRPr="00F56C25" w:rsidRDefault="000B32EC" w:rsidP="00551ED4">
            <w:pPr>
              <w:tabs>
                <w:tab w:val="left" w:pos="720"/>
              </w:tabs>
              <w:ind w:left="360"/>
              <w:rPr>
                <w:sz w:val="18"/>
                <w:szCs w:val="18"/>
              </w:rPr>
            </w:pPr>
          </w:p>
        </w:tc>
      </w:tr>
      <w:tr w:rsidR="00FD01BE" w:rsidRPr="00326064" w14:paraId="04D042B9" w14:textId="77777777" w:rsidTr="00FD01BE">
        <w:trPr>
          <w:trHeight w:val="832"/>
        </w:trPr>
        <w:tc>
          <w:tcPr>
            <w:tcW w:w="9786" w:type="dxa"/>
            <w:tcMar>
              <w:top w:w="28" w:type="dxa"/>
              <w:bottom w:w="57" w:type="dxa"/>
            </w:tcMar>
          </w:tcPr>
          <w:p w14:paraId="12B6AB24" w14:textId="2C5BF86B"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lastRenderedPageBreak/>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77777777"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830806">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1C09" w14:textId="77777777" w:rsidR="002E71B7" w:rsidRDefault="002E71B7" w:rsidP="000B32EC">
      <w:r>
        <w:separator/>
      </w:r>
    </w:p>
  </w:endnote>
  <w:endnote w:type="continuationSeparator" w:id="0">
    <w:p w14:paraId="4D70D7A8" w14:textId="77777777" w:rsidR="002E71B7" w:rsidRDefault="002E71B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80"/>
    <w:family w:val="auto"/>
    <w:notTrueType/>
    <w:pitch w:val="default"/>
    <w:sig w:usb0="00000003" w:usb1="08070000" w:usb2="00000010" w:usb3="00000000" w:csb0="0002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36AACCE8"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830806">
      <w:rPr>
        <w:noProof/>
      </w:rPr>
      <w:t>2</w:t>
    </w:r>
    <w:r>
      <w:fldChar w:fldCharType="end"/>
    </w:r>
    <w:r w:rsidRPr="00C6380D">
      <w:t xml:space="preserve"> of </w:t>
    </w:r>
    <w:r w:rsidR="00830806">
      <w:rPr>
        <w:noProof/>
      </w:rPr>
      <w:fldChar w:fldCharType="begin"/>
    </w:r>
    <w:r w:rsidR="00830806">
      <w:rPr>
        <w:noProof/>
      </w:rPr>
      <w:instrText xml:space="preserve"> NUMPAGES  </w:instrText>
    </w:r>
    <w:r w:rsidR="00830806">
      <w:rPr>
        <w:noProof/>
      </w:rPr>
      <w:fldChar w:fldCharType="separate"/>
    </w:r>
    <w:r w:rsidR="00830806">
      <w:rPr>
        <w:noProof/>
      </w:rPr>
      <w:t>6</w:t>
    </w:r>
    <w:r w:rsidR="00830806">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58AE" w14:textId="074EB9B2" w:rsidR="00830806" w:rsidRPr="00830806" w:rsidRDefault="00830806" w:rsidP="00830806">
    <w:pPr>
      <w:pBdr>
        <w:top w:val="single" w:sz="4" w:space="4" w:color="auto"/>
      </w:pBdr>
      <w:tabs>
        <w:tab w:val="right" w:pos="9072"/>
      </w:tabs>
      <w:spacing w:after="120"/>
      <w:jc w:val="right"/>
      <w:rPr>
        <w:rFonts w:ascii="Arial" w:hAnsi="Arial"/>
        <w:b/>
        <w:sz w:val="18"/>
        <w:lang w:val="en-US"/>
      </w:rPr>
    </w:pPr>
    <w:r w:rsidRPr="00830806">
      <w:rPr>
        <w:rFonts w:ascii="Arial" w:hAnsi="Arial"/>
        <w:b/>
        <w:sz w:val="18"/>
        <w:lang w:val="en-US"/>
      </w:rPr>
      <w:t>International Plant Protection Convention</w:t>
    </w:r>
    <w:r w:rsidRPr="00830806">
      <w:rPr>
        <w:rFonts w:ascii="Arial" w:hAnsi="Arial"/>
        <w:b/>
        <w:sz w:val="18"/>
        <w:lang w:val="en-US"/>
      </w:rPr>
      <w:tab/>
      <w:t xml:space="preserve">Page </w:t>
    </w:r>
    <w:r w:rsidRPr="00830806">
      <w:rPr>
        <w:rFonts w:ascii="Arial" w:hAnsi="Arial"/>
        <w:b/>
        <w:sz w:val="18"/>
        <w:lang w:val="en-US"/>
      </w:rPr>
      <w:fldChar w:fldCharType="begin"/>
    </w:r>
    <w:r w:rsidRPr="00830806">
      <w:rPr>
        <w:rFonts w:ascii="Arial" w:hAnsi="Arial"/>
        <w:b/>
        <w:sz w:val="18"/>
        <w:lang w:val="en-US"/>
      </w:rPr>
      <w:instrText xml:space="preserve"> PAGE </w:instrText>
    </w:r>
    <w:r w:rsidRPr="00830806">
      <w:rPr>
        <w:rFonts w:ascii="Arial" w:hAnsi="Arial"/>
        <w:b/>
        <w:sz w:val="18"/>
        <w:lang w:val="en-US"/>
      </w:rPr>
      <w:fldChar w:fldCharType="separate"/>
    </w:r>
    <w:r>
      <w:rPr>
        <w:rFonts w:ascii="Arial" w:hAnsi="Arial"/>
        <w:b/>
        <w:noProof/>
        <w:sz w:val="18"/>
        <w:lang w:val="en-US"/>
      </w:rPr>
      <w:t>3</w:t>
    </w:r>
    <w:r w:rsidRPr="00830806">
      <w:rPr>
        <w:rFonts w:ascii="Arial" w:hAnsi="Arial"/>
        <w:b/>
        <w:sz w:val="18"/>
        <w:lang w:val="en-US"/>
      </w:rPr>
      <w:fldChar w:fldCharType="end"/>
    </w:r>
    <w:r w:rsidRPr="00830806">
      <w:rPr>
        <w:rFonts w:ascii="Arial" w:hAnsi="Arial"/>
        <w:b/>
        <w:sz w:val="18"/>
        <w:lang w:val="en-US"/>
      </w:rPr>
      <w:t xml:space="preserve"> of </w:t>
    </w:r>
    <w:r w:rsidRPr="00830806">
      <w:rPr>
        <w:rFonts w:ascii="Arial" w:hAnsi="Arial"/>
        <w:b/>
        <w:sz w:val="18"/>
        <w:lang w:val="en-US"/>
      </w:rPr>
      <w:fldChar w:fldCharType="begin"/>
    </w:r>
    <w:r w:rsidRPr="00830806">
      <w:rPr>
        <w:rFonts w:ascii="Arial" w:hAnsi="Arial"/>
        <w:b/>
        <w:sz w:val="18"/>
        <w:lang w:val="en-US"/>
      </w:rPr>
      <w:instrText xml:space="preserve"> NUMPAGES  </w:instrText>
    </w:r>
    <w:r w:rsidRPr="00830806">
      <w:rPr>
        <w:rFonts w:ascii="Arial" w:hAnsi="Arial"/>
        <w:b/>
        <w:sz w:val="18"/>
        <w:lang w:val="en-US"/>
      </w:rPr>
      <w:fldChar w:fldCharType="separate"/>
    </w:r>
    <w:r>
      <w:rPr>
        <w:rFonts w:ascii="Arial" w:hAnsi="Arial"/>
        <w:b/>
        <w:noProof/>
        <w:sz w:val="18"/>
        <w:lang w:val="en-US"/>
      </w:rPr>
      <w:t>6</w:t>
    </w:r>
    <w:r w:rsidRPr="00830806">
      <w:rPr>
        <w:rFonts w:ascii="Arial" w:hAnsi="Arial"/>
        <w:b/>
        <w:noProof/>
        <w:sz w:val="18"/>
        <w:lang w:val="en-US"/>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F1ED" w14:textId="411E1766" w:rsidR="00830806" w:rsidRPr="00830806" w:rsidRDefault="00830806" w:rsidP="00830806">
    <w:pPr>
      <w:pBdr>
        <w:top w:val="single" w:sz="4" w:space="4" w:color="auto"/>
      </w:pBdr>
      <w:tabs>
        <w:tab w:val="right" w:pos="9072"/>
      </w:tabs>
      <w:spacing w:after="120"/>
      <w:jc w:val="right"/>
      <w:rPr>
        <w:rFonts w:ascii="Arial" w:hAnsi="Arial"/>
        <w:b/>
        <w:sz w:val="18"/>
        <w:lang w:val="en-US"/>
      </w:rPr>
    </w:pPr>
    <w:r w:rsidRPr="00830806">
      <w:rPr>
        <w:rFonts w:ascii="Arial" w:hAnsi="Arial"/>
        <w:b/>
        <w:sz w:val="18"/>
        <w:lang w:val="en-US"/>
      </w:rPr>
      <w:t>International Plant Protection Convention</w:t>
    </w:r>
    <w:r w:rsidRPr="00830806">
      <w:rPr>
        <w:rFonts w:ascii="Arial" w:hAnsi="Arial"/>
        <w:b/>
        <w:sz w:val="18"/>
        <w:lang w:val="en-US"/>
      </w:rPr>
      <w:tab/>
      <w:t xml:space="preserve">Page </w:t>
    </w:r>
    <w:r w:rsidRPr="00830806">
      <w:rPr>
        <w:rFonts w:ascii="Arial" w:hAnsi="Arial"/>
        <w:b/>
        <w:sz w:val="18"/>
        <w:lang w:val="en-US"/>
      </w:rPr>
      <w:fldChar w:fldCharType="begin"/>
    </w:r>
    <w:r w:rsidRPr="00830806">
      <w:rPr>
        <w:rFonts w:ascii="Arial" w:hAnsi="Arial"/>
        <w:b/>
        <w:sz w:val="18"/>
        <w:lang w:val="en-US"/>
      </w:rPr>
      <w:instrText xml:space="preserve"> PAGE </w:instrText>
    </w:r>
    <w:r w:rsidRPr="00830806">
      <w:rPr>
        <w:rFonts w:ascii="Arial" w:hAnsi="Arial"/>
        <w:b/>
        <w:sz w:val="18"/>
        <w:lang w:val="en-US"/>
      </w:rPr>
      <w:fldChar w:fldCharType="separate"/>
    </w:r>
    <w:r>
      <w:rPr>
        <w:rFonts w:ascii="Arial" w:hAnsi="Arial"/>
        <w:b/>
        <w:noProof/>
        <w:sz w:val="18"/>
        <w:lang w:val="en-US"/>
      </w:rPr>
      <w:t>1</w:t>
    </w:r>
    <w:r w:rsidRPr="00830806">
      <w:rPr>
        <w:rFonts w:ascii="Arial" w:hAnsi="Arial"/>
        <w:b/>
        <w:sz w:val="18"/>
        <w:lang w:val="en-US"/>
      </w:rPr>
      <w:fldChar w:fldCharType="end"/>
    </w:r>
    <w:r w:rsidRPr="00830806">
      <w:rPr>
        <w:rFonts w:ascii="Arial" w:hAnsi="Arial"/>
        <w:b/>
        <w:sz w:val="18"/>
        <w:lang w:val="en-US"/>
      </w:rPr>
      <w:t xml:space="preserve"> of </w:t>
    </w:r>
    <w:r w:rsidRPr="00830806">
      <w:rPr>
        <w:rFonts w:ascii="Arial" w:hAnsi="Arial"/>
        <w:b/>
        <w:sz w:val="18"/>
        <w:lang w:val="en-US"/>
      </w:rPr>
      <w:fldChar w:fldCharType="begin"/>
    </w:r>
    <w:r w:rsidRPr="00830806">
      <w:rPr>
        <w:rFonts w:ascii="Arial" w:hAnsi="Arial"/>
        <w:b/>
        <w:sz w:val="18"/>
        <w:lang w:val="en-US"/>
      </w:rPr>
      <w:instrText xml:space="preserve"> NUMPAGES  </w:instrText>
    </w:r>
    <w:r w:rsidRPr="00830806">
      <w:rPr>
        <w:rFonts w:ascii="Arial" w:hAnsi="Arial"/>
        <w:b/>
        <w:sz w:val="18"/>
        <w:lang w:val="en-US"/>
      </w:rPr>
      <w:fldChar w:fldCharType="separate"/>
    </w:r>
    <w:r>
      <w:rPr>
        <w:rFonts w:ascii="Arial" w:hAnsi="Arial"/>
        <w:b/>
        <w:noProof/>
        <w:sz w:val="18"/>
        <w:lang w:val="en-US"/>
      </w:rPr>
      <w:t>6</w:t>
    </w:r>
    <w:r w:rsidRPr="00830806">
      <w:rPr>
        <w:rFonts w:ascii="Arial" w:hAnsi="Arial"/>
        <w:b/>
        <w:noProof/>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6D86" w14:textId="77777777" w:rsidR="002E71B7" w:rsidRDefault="002E71B7" w:rsidP="000B32EC">
      <w:r>
        <w:separator/>
      </w:r>
    </w:p>
  </w:footnote>
  <w:footnote w:type="continuationSeparator" w:id="0">
    <w:p w14:paraId="32CCCAE0" w14:textId="77777777" w:rsidR="002E71B7" w:rsidRDefault="002E71B7"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0844" w14:textId="7A7C9D30" w:rsidR="00830806" w:rsidRPr="00830806" w:rsidRDefault="00830806" w:rsidP="00830806">
    <w:pPr>
      <w:pBdr>
        <w:bottom w:val="single" w:sz="4" w:space="6" w:color="auto"/>
      </w:pBdr>
      <w:tabs>
        <w:tab w:val="left" w:pos="1134"/>
        <w:tab w:val="right" w:pos="9072"/>
      </w:tabs>
      <w:spacing w:after="120"/>
      <w:jc w:val="left"/>
      <w:rPr>
        <w:rFonts w:ascii="Arial" w:hAnsi="Arial"/>
        <w:sz w:val="18"/>
        <w:lang w:val="en-US"/>
      </w:rPr>
    </w:pPr>
    <w:r w:rsidRPr="00830806">
      <w:rPr>
        <w:rFonts w:ascii="Arial" w:hAnsi="Arial"/>
        <w:noProof/>
        <w:sz w:val="18"/>
        <w:lang w:val="en-US"/>
      </w:rPr>
      <w:t>2018-0</w:t>
    </w:r>
    <w:r>
      <w:rPr>
        <w:rFonts w:ascii="Arial" w:hAnsi="Arial"/>
        <w:noProof/>
        <w:sz w:val="18"/>
        <w:lang w:val="en-US"/>
      </w:rPr>
      <w:t>40</w:t>
    </w:r>
    <w:r w:rsidRPr="00830806">
      <w:rPr>
        <w:rFonts w:ascii="Arial" w:hAnsi="Arial"/>
        <w:noProof/>
        <w:sz w:val="18"/>
        <w:lang w:val="en-US"/>
      </w:rPr>
      <w:tab/>
    </w:r>
    <w:r w:rsidRPr="00830806">
      <w:rPr>
        <w:rFonts w:ascii="Arial" w:hAnsi="Arial"/>
        <w:noProof/>
        <w:sz w:val="18"/>
        <w:lang w:val="en-US"/>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EECA" w14:textId="283E0ED9" w:rsidR="00830806" w:rsidRPr="00830806" w:rsidRDefault="00830806" w:rsidP="00830806">
    <w:pPr>
      <w:pBdr>
        <w:bottom w:val="single" w:sz="4" w:space="4" w:color="auto"/>
      </w:pBdr>
      <w:tabs>
        <w:tab w:val="left" w:pos="1134"/>
        <w:tab w:val="right" w:pos="9072"/>
      </w:tabs>
      <w:spacing w:after="120"/>
      <w:jc w:val="left"/>
      <w:rPr>
        <w:rFonts w:ascii="Arial" w:hAnsi="Arial"/>
        <w:sz w:val="18"/>
        <w:lang w:val="en-US"/>
      </w:rPr>
    </w:pPr>
    <w:r w:rsidRPr="00830806">
      <w:rPr>
        <w:rFonts w:ascii="Arial" w:hAnsi="Arial"/>
        <w:noProof/>
        <w:sz w:val="18"/>
        <w:lang w:val="en-US"/>
      </w:rPr>
      <w:t>2018 Call for Topics: Standards and Implementation</w:t>
    </w:r>
    <w:r w:rsidRPr="00830806">
      <w:rPr>
        <w:rFonts w:ascii="Arial" w:hAnsi="Arial"/>
        <w:noProof/>
        <w:sz w:val="18"/>
        <w:lang w:val="en-US"/>
      </w:rPr>
      <w:tab/>
      <w:t>2018-0</w:t>
    </w:r>
    <w:r>
      <w:rPr>
        <w:rFonts w:ascii="Arial" w:hAnsi="Arial"/>
        <w:noProof/>
        <w:sz w:val="18"/>
        <w:lang w:val="en-US"/>
      </w:rPr>
      <w:t>40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0FEE" w14:textId="1D5D8780" w:rsidR="00830806" w:rsidRPr="00830806" w:rsidRDefault="00830806" w:rsidP="00830806">
    <w:pPr>
      <w:pBdr>
        <w:bottom w:val="single" w:sz="4" w:space="4" w:color="auto"/>
      </w:pBdr>
      <w:tabs>
        <w:tab w:val="left" w:pos="1134"/>
        <w:tab w:val="right" w:pos="9072"/>
      </w:tabs>
      <w:spacing w:after="120"/>
      <w:ind w:left="1134"/>
      <w:jc w:val="left"/>
      <w:rPr>
        <w:rFonts w:ascii="Arial" w:hAnsi="Arial"/>
        <w:sz w:val="18"/>
        <w:lang w:val="en-US"/>
      </w:rPr>
    </w:pPr>
    <w:r w:rsidRPr="00830806">
      <w:rPr>
        <w:rFonts w:ascii="Arial" w:hAnsi="Arial"/>
        <w:noProof/>
        <w:sz w:val="18"/>
        <w:lang w:val="en-US"/>
      </w:rPr>
      <w:drawing>
        <wp:anchor distT="0" distB="0" distL="114300" distR="114300" simplePos="0" relativeHeight="251662336" behindDoc="0" locked="0" layoutInCell="1" allowOverlap="0" wp14:anchorId="4F4E08FC" wp14:editId="7FBB781F">
          <wp:simplePos x="0" y="0"/>
          <wp:positionH relativeFrom="page">
            <wp:posOffset>-28575</wp:posOffset>
          </wp:positionH>
          <wp:positionV relativeFrom="paragraph">
            <wp:posOffset>-530225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0806">
      <w:rPr>
        <w:rFonts w:ascii="Arial" w:hAnsi="Arial"/>
        <w:noProof/>
        <w:sz w:val="18"/>
        <w:lang w:val="en-US"/>
      </w:rPr>
      <w:drawing>
        <wp:anchor distT="0" distB="0" distL="114300" distR="114300" simplePos="0" relativeHeight="251661312" behindDoc="0" locked="0" layoutInCell="1" allowOverlap="1" wp14:anchorId="55FC2F87" wp14:editId="46B82808">
          <wp:simplePos x="0" y="0"/>
          <wp:positionH relativeFrom="column">
            <wp:posOffset>-12700</wp:posOffset>
          </wp:positionH>
          <wp:positionV relativeFrom="paragraph">
            <wp:posOffset>3810</wp:posOffset>
          </wp:positionV>
          <wp:extent cx="632460" cy="321310"/>
          <wp:effectExtent l="0" t="0" r="0" b="254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806">
      <w:rPr>
        <w:rFonts w:ascii="Arial" w:hAnsi="Arial"/>
        <w:sz w:val="18"/>
        <w:lang w:val="en-US"/>
      </w:rPr>
      <w:t>International Plant Protection Convention</w:t>
    </w:r>
    <w:r w:rsidRPr="00830806">
      <w:rPr>
        <w:rFonts w:ascii="Arial" w:hAnsi="Arial"/>
        <w:sz w:val="18"/>
        <w:lang w:val="en-US"/>
      </w:rPr>
      <w:tab/>
      <w:t>2018-0</w:t>
    </w:r>
    <w:r>
      <w:rPr>
        <w:rFonts w:ascii="Arial" w:hAnsi="Arial"/>
        <w:sz w:val="18"/>
        <w:lang w:val="en-US"/>
      </w:rPr>
      <w:t>40</w:t>
    </w:r>
    <w:r w:rsidRPr="00830806">
      <w:rPr>
        <w:rFonts w:ascii="Arial" w:hAnsi="Arial"/>
        <w:sz w:val="18"/>
        <w:lang w:val="en-US"/>
      </w:rPr>
      <w:br/>
      <w:t>2018 Call for Topics Standards and Implementation</w:t>
    </w:r>
    <w:r w:rsidRPr="00830806">
      <w:rPr>
        <w:rFonts w:ascii="Arial" w:hAnsi="Arial"/>
        <w:i/>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23F07"/>
    <w:multiLevelType w:val="hybridMultilevel"/>
    <w:tmpl w:val="93500700"/>
    <w:lvl w:ilvl="0" w:tplc="3026750A">
      <w:start w:val="5"/>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7"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9"/>
  </w:num>
  <w:num w:numId="4">
    <w:abstractNumId w:val="11"/>
  </w:num>
  <w:num w:numId="5">
    <w:abstractNumId w:val="17"/>
  </w:num>
  <w:num w:numId="6">
    <w:abstractNumId w:val="18"/>
  </w:num>
  <w:num w:numId="7">
    <w:abstractNumId w:val="10"/>
  </w:num>
  <w:num w:numId="8">
    <w:abstractNumId w:val="13"/>
  </w:num>
  <w:num w:numId="9">
    <w:abstractNumId w:val="20"/>
  </w:num>
  <w:num w:numId="10">
    <w:abstractNumId w:val="3"/>
  </w:num>
  <w:num w:numId="11">
    <w:abstractNumId w:val="12"/>
  </w:num>
  <w:num w:numId="12">
    <w:abstractNumId w:val="15"/>
  </w:num>
  <w:num w:numId="13">
    <w:abstractNumId w:val="6"/>
  </w:num>
  <w:num w:numId="14">
    <w:abstractNumId w:val="9"/>
  </w:num>
  <w:num w:numId="15">
    <w:abstractNumId w:val="5"/>
  </w:num>
  <w:num w:numId="16">
    <w:abstractNumId w:val="0"/>
  </w:num>
  <w:num w:numId="17">
    <w:abstractNumId w:val="8"/>
  </w:num>
  <w:num w:numId="18">
    <w:abstractNumId w:val="16"/>
  </w:num>
  <w:num w:numId="19">
    <w:abstractNumId w:val="21"/>
  </w:num>
  <w:num w:numId="20">
    <w:abstractNumId w:val="2"/>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EC"/>
    <w:rsid w:val="000024F0"/>
    <w:rsid w:val="00074A88"/>
    <w:rsid w:val="000A2F77"/>
    <w:rsid w:val="000A7D2C"/>
    <w:rsid w:val="000B31FB"/>
    <w:rsid w:val="000B32EC"/>
    <w:rsid w:val="00160B95"/>
    <w:rsid w:val="001664ED"/>
    <w:rsid w:val="00167857"/>
    <w:rsid w:val="00183D3D"/>
    <w:rsid w:val="001E7364"/>
    <w:rsid w:val="001F7521"/>
    <w:rsid w:val="001F7F84"/>
    <w:rsid w:val="00232269"/>
    <w:rsid w:val="00234DF4"/>
    <w:rsid w:val="00257DCF"/>
    <w:rsid w:val="002613D4"/>
    <w:rsid w:val="00274967"/>
    <w:rsid w:val="002A1DED"/>
    <w:rsid w:val="002C4D4D"/>
    <w:rsid w:val="002E71B7"/>
    <w:rsid w:val="002F27D7"/>
    <w:rsid w:val="002F705C"/>
    <w:rsid w:val="00312C2A"/>
    <w:rsid w:val="00315FB8"/>
    <w:rsid w:val="00377343"/>
    <w:rsid w:val="00380D0F"/>
    <w:rsid w:val="003965C5"/>
    <w:rsid w:val="003D2CD5"/>
    <w:rsid w:val="003D6110"/>
    <w:rsid w:val="003F5AB6"/>
    <w:rsid w:val="0040482E"/>
    <w:rsid w:val="00427923"/>
    <w:rsid w:val="004377E7"/>
    <w:rsid w:val="0046084A"/>
    <w:rsid w:val="004613BB"/>
    <w:rsid w:val="00464AC1"/>
    <w:rsid w:val="00470E1E"/>
    <w:rsid w:val="00481213"/>
    <w:rsid w:val="004A373D"/>
    <w:rsid w:val="004B4B9F"/>
    <w:rsid w:val="004C6850"/>
    <w:rsid w:val="004D1B49"/>
    <w:rsid w:val="00511C9D"/>
    <w:rsid w:val="005205CE"/>
    <w:rsid w:val="005234A4"/>
    <w:rsid w:val="005438FB"/>
    <w:rsid w:val="00563FA2"/>
    <w:rsid w:val="005666D9"/>
    <w:rsid w:val="005C1BD0"/>
    <w:rsid w:val="005D6636"/>
    <w:rsid w:val="005E6F6B"/>
    <w:rsid w:val="005F17DA"/>
    <w:rsid w:val="0067537B"/>
    <w:rsid w:val="006927BA"/>
    <w:rsid w:val="006A2E26"/>
    <w:rsid w:val="006B50AE"/>
    <w:rsid w:val="006E2A45"/>
    <w:rsid w:val="00700C34"/>
    <w:rsid w:val="007075F6"/>
    <w:rsid w:val="0077292D"/>
    <w:rsid w:val="007A7B3A"/>
    <w:rsid w:val="007C3A0B"/>
    <w:rsid w:val="007E5FE0"/>
    <w:rsid w:val="007F0118"/>
    <w:rsid w:val="007F0394"/>
    <w:rsid w:val="00811B8D"/>
    <w:rsid w:val="00830806"/>
    <w:rsid w:val="00834A4D"/>
    <w:rsid w:val="00842047"/>
    <w:rsid w:val="008546EC"/>
    <w:rsid w:val="00873774"/>
    <w:rsid w:val="00875202"/>
    <w:rsid w:val="008A587C"/>
    <w:rsid w:val="008C3E20"/>
    <w:rsid w:val="008D3006"/>
    <w:rsid w:val="008E1E55"/>
    <w:rsid w:val="0096151C"/>
    <w:rsid w:val="00967E23"/>
    <w:rsid w:val="009A0326"/>
    <w:rsid w:val="009A3A5A"/>
    <w:rsid w:val="009B3464"/>
    <w:rsid w:val="009E1649"/>
    <w:rsid w:val="009E3D81"/>
    <w:rsid w:val="009E5006"/>
    <w:rsid w:val="009F1B23"/>
    <w:rsid w:val="00A0350E"/>
    <w:rsid w:val="00A22F56"/>
    <w:rsid w:val="00A61BAE"/>
    <w:rsid w:val="00A63775"/>
    <w:rsid w:val="00AA4554"/>
    <w:rsid w:val="00AD7835"/>
    <w:rsid w:val="00B04A55"/>
    <w:rsid w:val="00B57EA1"/>
    <w:rsid w:val="00B733D5"/>
    <w:rsid w:val="00BC1889"/>
    <w:rsid w:val="00BD2002"/>
    <w:rsid w:val="00BE6D70"/>
    <w:rsid w:val="00C02A24"/>
    <w:rsid w:val="00C256EC"/>
    <w:rsid w:val="00C30FAE"/>
    <w:rsid w:val="00C421AF"/>
    <w:rsid w:val="00C42FA7"/>
    <w:rsid w:val="00C81080"/>
    <w:rsid w:val="00C82B35"/>
    <w:rsid w:val="00CA35A4"/>
    <w:rsid w:val="00CA63CA"/>
    <w:rsid w:val="00CB0629"/>
    <w:rsid w:val="00CB7114"/>
    <w:rsid w:val="00CC70C3"/>
    <w:rsid w:val="00D46538"/>
    <w:rsid w:val="00D673C9"/>
    <w:rsid w:val="00D676E6"/>
    <w:rsid w:val="00D734B1"/>
    <w:rsid w:val="00D768AF"/>
    <w:rsid w:val="00D90DFB"/>
    <w:rsid w:val="00DA3D93"/>
    <w:rsid w:val="00DA4D37"/>
    <w:rsid w:val="00DB23B5"/>
    <w:rsid w:val="00DC62EE"/>
    <w:rsid w:val="00E265CC"/>
    <w:rsid w:val="00E322D6"/>
    <w:rsid w:val="00E407A1"/>
    <w:rsid w:val="00E41772"/>
    <w:rsid w:val="00E45875"/>
    <w:rsid w:val="00E470F7"/>
    <w:rsid w:val="00E547A2"/>
    <w:rsid w:val="00E57BC8"/>
    <w:rsid w:val="00E72A55"/>
    <w:rsid w:val="00E86637"/>
    <w:rsid w:val="00E95202"/>
    <w:rsid w:val="00E96D9B"/>
    <w:rsid w:val="00EB47FD"/>
    <w:rsid w:val="00EB4EA8"/>
    <w:rsid w:val="00EC1D32"/>
    <w:rsid w:val="00ED78B4"/>
    <w:rsid w:val="00EE39DD"/>
    <w:rsid w:val="00F11485"/>
    <w:rsid w:val="00F1458C"/>
    <w:rsid w:val="00F21E55"/>
    <w:rsid w:val="00F37128"/>
    <w:rsid w:val="00F50D5F"/>
    <w:rsid w:val="00F56C25"/>
    <w:rsid w:val="00F6085C"/>
    <w:rsid w:val="00F6330A"/>
    <w:rsid w:val="00F65D4B"/>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CF40E49"/>
  <w15:docId w15:val="{5F8C29BB-58CD-4847-A1B9-3FC1E108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B1"/>
    <w:pPr>
      <w:spacing w:after="0" w:line="240" w:lineRule="auto"/>
      <w:jc w:val="both"/>
    </w:pPr>
    <w:rPr>
      <w:rFonts w:ascii="Times New Roman" w:hAnsi="Times New Roman" w:cs="Times New Roman"/>
      <w:szCs w:val="24"/>
      <w:lang w:val="en-GB"/>
    </w:rPr>
  </w:style>
  <w:style w:type="paragraph" w:styleId="Heading1">
    <w:name w:val="heading 1"/>
    <w:basedOn w:val="Normal"/>
    <w:next w:val="Normal"/>
    <w:link w:val="Heading1Char"/>
    <w:uiPriority w:val="9"/>
    <w:qFormat/>
    <w:rsid w:val="0040482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character" w:customStyle="1" w:styleId="Heading1Char">
    <w:name w:val="Heading 1 Char"/>
    <w:basedOn w:val="DefaultParagraphFont"/>
    <w:link w:val="Heading1"/>
    <w:uiPriority w:val="9"/>
    <w:rsid w:val="0040482E"/>
    <w:rPr>
      <w:rFonts w:asciiTheme="majorHAnsi" w:eastAsiaTheme="majorEastAsia" w:hAnsiTheme="majorHAnsi" w:cstheme="majorBidi"/>
      <w:b/>
      <w:bCs/>
      <w:color w:val="2E74B5"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07516">
      <w:bodyDiv w:val="1"/>
      <w:marLeft w:val="0"/>
      <w:marRight w:val="0"/>
      <w:marTop w:val="0"/>
      <w:marBottom w:val="0"/>
      <w:divBdr>
        <w:top w:val="none" w:sz="0" w:space="0" w:color="auto"/>
        <w:left w:val="none" w:sz="0" w:space="0" w:color="auto"/>
        <w:bottom w:val="none" w:sz="0" w:space="0" w:color="auto"/>
        <w:right w:val="none" w:sz="0" w:space="0" w:color="auto"/>
      </w:divBdr>
    </w:div>
    <w:div w:id="1553275913">
      <w:bodyDiv w:val="1"/>
      <w:marLeft w:val="0"/>
      <w:marRight w:val="0"/>
      <w:marTop w:val="0"/>
      <w:marBottom w:val="0"/>
      <w:divBdr>
        <w:top w:val="none" w:sz="0" w:space="0" w:color="auto"/>
        <w:left w:val="none" w:sz="0" w:space="0" w:color="auto"/>
        <w:bottom w:val="none" w:sz="0" w:space="0" w:color="auto"/>
        <w:right w:val="none" w:sz="0" w:space="0" w:color="auto"/>
      </w:divBdr>
    </w:div>
    <w:div w:id="1669555228">
      <w:bodyDiv w:val="1"/>
      <w:marLeft w:val="0"/>
      <w:marRight w:val="0"/>
      <w:marTop w:val="0"/>
      <w:marBottom w:val="0"/>
      <w:divBdr>
        <w:top w:val="none" w:sz="0" w:space="0" w:color="auto"/>
        <w:left w:val="none" w:sz="0" w:space="0" w:color="auto"/>
        <w:bottom w:val="none" w:sz="0" w:space="0" w:color="auto"/>
        <w:right w:val="none" w:sz="0" w:space="0" w:color="auto"/>
      </w:divBdr>
      <w:divsChild>
        <w:div w:id="950674400">
          <w:marLeft w:val="0"/>
          <w:marRight w:val="0"/>
          <w:marTop w:val="0"/>
          <w:marBottom w:val="0"/>
          <w:divBdr>
            <w:top w:val="none" w:sz="0" w:space="0" w:color="auto"/>
            <w:left w:val="none" w:sz="0" w:space="0" w:color="auto"/>
            <w:bottom w:val="none" w:sz="0" w:space="0" w:color="auto"/>
            <w:right w:val="none" w:sz="0" w:space="0" w:color="auto"/>
          </w:divBdr>
        </w:div>
        <w:div w:id="1248806393">
          <w:marLeft w:val="0"/>
          <w:marRight w:val="0"/>
          <w:marTop w:val="0"/>
          <w:marBottom w:val="0"/>
          <w:divBdr>
            <w:top w:val="none" w:sz="0" w:space="0" w:color="auto"/>
            <w:left w:val="none" w:sz="0" w:space="0" w:color="auto"/>
            <w:bottom w:val="none" w:sz="0" w:space="0" w:color="auto"/>
            <w:right w:val="none" w:sz="0" w:space="0" w:color="auto"/>
          </w:divBdr>
        </w:div>
        <w:div w:id="29171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713B-627A-4322-92F7-92C555C2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2018-09-05T16:23:00Z</cp:lastPrinted>
  <dcterms:created xsi:type="dcterms:W3CDTF">2018-09-06T06:56:00Z</dcterms:created>
  <dcterms:modified xsi:type="dcterms:W3CDTF">2018-09-06T06:56:00Z</dcterms:modified>
</cp:coreProperties>
</file>