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397" w:rsidRDefault="003F1397" w:rsidP="00AF3039">
      <w:pPr>
        <w:pStyle w:val="IPPHeadSection"/>
        <w:jc w:val="center"/>
        <w:rPr>
          <w:rStyle w:val="IPPNormalunderlined"/>
          <w:u w:val="none"/>
          <w:lang w:val="en-GB"/>
        </w:rPr>
      </w:pPr>
      <w:bookmarkStart w:id="0" w:name="_GoBack"/>
      <w:r w:rsidRPr="00C4260D">
        <w:rPr>
          <w:rStyle w:val="IPPNormalunderlined"/>
          <w:u w:val="none"/>
          <w:lang w:val="en-GB"/>
        </w:rPr>
        <w:t xml:space="preserve">Phytosanitary Capacity </w:t>
      </w:r>
      <w:r w:rsidR="002C471A" w:rsidRPr="00C4260D">
        <w:rPr>
          <w:rStyle w:val="IPPNormalunderlined"/>
          <w:u w:val="none"/>
          <w:lang w:val="en-GB"/>
        </w:rPr>
        <w:t>Evaluation Strategy for 2020-2030</w:t>
      </w:r>
    </w:p>
    <w:bookmarkEnd w:id="0"/>
    <w:p w:rsidR="004379E6" w:rsidRPr="00C52F85" w:rsidRDefault="004379E6" w:rsidP="004379E6">
      <w:pPr>
        <w:jc w:val="center"/>
        <w:rPr>
          <w:sz w:val="16"/>
          <w:szCs w:val="16"/>
          <w:lang w:val="en-US"/>
        </w:rPr>
      </w:pPr>
      <w:r w:rsidRPr="00C52F85">
        <w:rPr>
          <w:sz w:val="16"/>
          <w:szCs w:val="16"/>
          <w:lang w:val="en-US"/>
        </w:rPr>
        <w:t>(As approved by May 2019 IC, Appendix 11)</w:t>
      </w:r>
    </w:p>
    <w:p w:rsidR="000934F7" w:rsidRPr="000934F7" w:rsidRDefault="000934F7" w:rsidP="000934F7">
      <w:pPr>
        <w:pStyle w:val="IPPParagraphnumbering"/>
        <w:numPr>
          <w:ilvl w:val="0"/>
          <w:numId w:val="0"/>
        </w:numPr>
        <w:rPr>
          <w:i/>
          <w:highlight w:val="yellow"/>
          <w:lang w:val="en-US"/>
        </w:rPr>
      </w:pPr>
      <w:r w:rsidRPr="000934F7">
        <w:rPr>
          <w:rStyle w:val="IPPnormalitalics"/>
          <w:b/>
          <w:i w:val="0"/>
        </w:rPr>
        <w:t>Introduction</w:t>
      </w:r>
    </w:p>
    <w:p w:rsidR="000934F7" w:rsidRPr="004D77BF" w:rsidRDefault="000934F7" w:rsidP="000934F7">
      <w:pPr>
        <w:pStyle w:val="IPPParagraphnumbering"/>
        <w:rPr>
          <w:lang w:val="en-US"/>
        </w:rPr>
      </w:pPr>
      <w:r w:rsidRPr="004D77BF">
        <w:rPr>
          <w:lang w:val="en-US"/>
        </w:rPr>
        <w:t>The PCE originally started as a pilot project developed by New Zealand in 1999 with the aim to assist countries to develop a national plan to improve their phytosanitary system and to justify requests for technical assistance.</w:t>
      </w:r>
    </w:p>
    <w:p w:rsidR="000934F7" w:rsidRPr="00C52F85" w:rsidRDefault="000934F7" w:rsidP="000934F7">
      <w:pPr>
        <w:pStyle w:val="IPPParagraphnumbering"/>
        <w:rPr>
          <w:lang w:val="en-US"/>
        </w:rPr>
      </w:pPr>
      <w:r w:rsidRPr="004D77BF">
        <w:rPr>
          <w:lang w:val="en-US"/>
        </w:rPr>
        <w:t>In subsequent years the PCE was updated and implemented in the framework of projects, including the development of an on line version. The PCE is designed to help countries identify both strengths and weaknesses in their phytosanitary</w:t>
      </w:r>
      <w:r w:rsidRPr="00C52F85">
        <w:rPr>
          <w:lang w:val="en-US"/>
        </w:rPr>
        <w:t xml:space="preserve"> systems and to then develop a national phytosanitary capacity building strategy and prioritize actions to be taken to correct gaps. The PCE may be used to strengthen national phytosanitary systems including enhanced planning, management and leadership development, revision of phytosanitary legislation and related legal instruments, etc. Furthermore, many donors request the application of the PCE as a previous step that conditions fitness for funding projects proposals.</w:t>
      </w:r>
    </w:p>
    <w:p w:rsidR="000934F7" w:rsidRPr="00C52F85" w:rsidRDefault="000934F7" w:rsidP="000934F7">
      <w:pPr>
        <w:pStyle w:val="IPPParagraphnumbering"/>
        <w:rPr>
          <w:lang w:val="en-US"/>
        </w:rPr>
      </w:pPr>
      <w:r w:rsidRPr="00C52F85">
        <w:rPr>
          <w:lang w:val="en-US"/>
        </w:rPr>
        <w:t>As of 2019, the PCE has been implemented in over 70 countries around the World.</w:t>
      </w:r>
    </w:p>
    <w:p w:rsidR="000934F7" w:rsidRPr="000934F7" w:rsidRDefault="000934F7" w:rsidP="000934F7">
      <w:pPr>
        <w:spacing w:before="240" w:after="180"/>
        <w:rPr>
          <w:rFonts w:ascii="Times New Roman" w:eastAsia="Times" w:hAnsi="Times New Roman" w:cs="Times New Roman"/>
          <w:b/>
          <w:lang w:val="en-US"/>
        </w:rPr>
      </w:pPr>
      <w:r w:rsidRPr="000934F7">
        <w:rPr>
          <w:rFonts w:ascii="Times New Roman" w:eastAsia="Times" w:hAnsi="Times New Roman" w:cs="Times New Roman"/>
          <w:b/>
          <w:lang w:val="en-US"/>
        </w:rPr>
        <w:t>Vision</w:t>
      </w:r>
    </w:p>
    <w:p w:rsidR="000934F7" w:rsidRPr="000934F7" w:rsidRDefault="000934F7" w:rsidP="000934F7">
      <w:pPr>
        <w:pStyle w:val="IPPParagraphnumbering"/>
        <w:rPr>
          <w:lang w:val="en-US"/>
        </w:rPr>
      </w:pPr>
      <w:r w:rsidRPr="000934F7">
        <w:rPr>
          <w:lang w:val="en-US"/>
        </w:rPr>
        <w:t>Countries are empowered to continuously improve their phytosanitary systems to prevent the introduction and spread of pests.</w:t>
      </w:r>
    </w:p>
    <w:p w:rsidR="000934F7" w:rsidRPr="000934F7" w:rsidRDefault="000934F7" w:rsidP="000934F7">
      <w:pPr>
        <w:spacing w:before="240" w:after="180"/>
        <w:rPr>
          <w:rFonts w:ascii="Times New Roman" w:eastAsia="Times" w:hAnsi="Times New Roman" w:cs="Times New Roman"/>
          <w:b/>
          <w:lang w:val="en-US"/>
        </w:rPr>
      </w:pPr>
      <w:r w:rsidRPr="000934F7">
        <w:rPr>
          <w:rFonts w:ascii="Times New Roman" w:eastAsia="Times" w:hAnsi="Times New Roman" w:cs="Times New Roman"/>
          <w:b/>
          <w:lang w:val="en-US"/>
        </w:rPr>
        <w:t>Strategic objectives</w:t>
      </w:r>
    </w:p>
    <w:p w:rsidR="000934F7" w:rsidRPr="000934F7" w:rsidRDefault="000934F7" w:rsidP="000934F7">
      <w:pPr>
        <w:pStyle w:val="IPPParagraphnumbering"/>
        <w:numPr>
          <w:ilvl w:val="0"/>
          <w:numId w:val="0"/>
        </w:numPr>
        <w:rPr>
          <w:szCs w:val="22"/>
          <w:lang w:val="en-US"/>
        </w:rPr>
      </w:pPr>
      <w:r w:rsidRPr="000934F7">
        <w:rPr>
          <w:szCs w:val="22"/>
          <w:lang w:val="en-US"/>
        </w:rPr>
        <w:t xml:space="preserve">- Phytosanitary Capacity Evaluation has been widely used by member countries to understand strengths and weaknesses and develop plans to address capacity deficiencies. </w:t>
      </w:r>
    </w:p>
    <w:p w:rsidR="000934F7" w:rsidRPr="000934F7" w:rsidRDefault="000934F7" w:rsidP="000934F7">
      <w:pPr>
        <w:pStyle w:val="IPPParagraphnumbering"/>
        <w:numPr>
          <w:ilvl w:val="0"/>
          <w:numId w:val="0"/>
        </w:numPr>
        <w:rPr>
          <w:szCs w:val="22"/>
          <w:lang w:val="en-US"/>
        </w:rPr>
      </w:pPr>
      <w:r w:rsidRPr="000934F7">
        <w:rPr>
          <w:szCs w:val="22"/>
          <w:lang w:val="en-US"/>
        </w:rPr>
        <w:t>- The IPPC Secretariat is resourced to help countries access assistance to address phytosanitary capacity needs.</w:t>
      </w:r>
    </w:p>
    <w:p w:rsidR="000934F7" w:rsidRPr="000934F7" w:rsidRDefault="000934F7" w:rsidP="000934F7">
      <w:pPr>
        <w:spacing w:before="240" w:after="180"/>
        <w:rPr>
          <w:rFonts w:ascii="Times New Roman" w:eastAsia="Times" w:hAnsi="Times New Roman" w:cs="Times New Roman"/>
          <w:b/>
          <w:lang w:val="en-US"/>
        </w:rPr>
      </w:pPr>
      <w:r w:rsidRPr="000934F7">
        <w:rPr>
          <w:rFonts w:ascii="Times New Roman" w:eastAsia="Times" w:hAnsi="Times New Roman" w:cs="Times New Roman"/>
          <w:b/>
          <w:lang w:val="en-US"/>
        </w:rPr>
        <w:t>Key results</w:t>
      </w:r>
    </w:p>
    <w:p w:rsidR="000934F7" w:rsidRPr="004D77BF" w:rsidRDefault="000934F7" w:rsidP="004D77BF">
      <w:pPr>
        <w:pStyle w:val="Paragraphedeliste"/>
        <w:numPr>
          <w:ilvl w:val="0"/>
          <w:numId w:val="40"/>
        </w:numPr>
        <w:spacing w:after="180"/>
        <w:ind w:leftChars="0" w:left="284"/>
        <w:rPr>
          <w:rFonts w:ascii="Times New Roman" w:eastAsia="Times" w:hAnsi="Times New Roman" w:cs="Times New Roman"/>
          <w:sz w:val="22"/>
          <w:lang w:val="en-US"/>
        </w:rPr>
      </w:pPr>
      <w:r w:rsidRPr="004D77BF">
        <w:rPr>
          <w:rFonts w:ascii="Times New Roman" w:eastAsia="Times" w:hAnsi="Times New Roman" w:cs="Times New Roman"/>
          <w:sz w:val="22"/>
          <w:lang w:val="en-US"/>
        </w:rPr>
        <w:t>Countries, donors and development organizations are aware of the PCE and understand the benefits arising from its application;</w:t>
      </w:r>
    </w:p>
    <w:p w:rsidR="004D77BF" w:rsidRDefault="000934F7" w:rsidP="004D77BF">
      <w:pPr>
        <w:pStyle w:val="IPPParagraphnumbering"/>
        <w:numPr>
          <w:ilvl w:val="0"/>
          <w:numId w:val="40"/>
        </w:numPr>
        <w:ind w:left="284"/>
        <w:rPr>
          <w:szCs w:val="22"/>
          <w:lang w:val="en-US" w:eastAsia="nl-NL"/>
        </w:rPr>
      </w:pPr>
      <w:r w:rsidRPr="000934F7">
        <w:rPr>
          <w:szCs w:val="22"/>
          <w:lang w:val="en-US" w:eastAsia="nl-NL"/>
        </w:rPr>
        <w:t>Long-term sustainable funding is in place to support the maintenance and administration of the PCE and resources are mobilized to support the application of the PCE;</w:t>
      </w:r>
    </w:p>
    <w:p w:rsidR="004D77BF" w:rsidRDefault="000934F7" w:rsidP="004D77BF">
      <w:pPr>
        <w:pStyle w:val="IPPParagraphnumbering"/>
        <w:numPr>
          <w:ilvl w:val="0"/>
          <w:numId w:val="40"/>
        </w:numPr>
        <w:ind w:left="284"/>
        <w:rPr>
          <w:szCs w:val="22"/>
          <w:lang w:val="en-US" w:eastAsia="nl-NL"/>
        </w:rPr>
      </w:pPr>
      <w:r w:rsidRPr="004D77BF">
        <w:rPr>
          <w:szCs w:val="22"/>
          <w:lang w:val="en-US"/>
        </w:rPr>
        <w:t>The PCE software and platform are reliable, effective and easy to use;</w:t>
      </w:r>
    </w:p>
    <w:p w:rsidR="004D77BF" w:rsidRDefault="000934F7" w:rsidP="004D77BF">
      <w:pPr>
        <w:pStyle w:val="IPPParagraphnumbering"/>
        <w:numPr>
          <w:ilvl w:val="0"/>
          <w:numId w:val="40"/>
        </w:numPr>
        <w:ind w:left="284"/>
        <w:rPr>
          <w:szCs w:val="22"/>
          <w:lang w:val="en-US" w:eastAsia="nl-NL"/>
        </w:rPr>
      </w:pPr>
      <w:r w:rsidRPr="004D77BF">
        <w:rPr>
          <w:szCs w:val="22"/>
          <w:lang w:val="en-US"/>
        </w:rPr>
        <w:t xml:space="preserve">The PCE Tool is revised and updated regularly and new modules and strategic planning tools are added as needed (e.g. environmental module, implementation follow up tool); </w:t>
      </w:r>
    </w:p>
    <w:p w:rsidR="004D77BF" w:rsidRDefault="000934F7" w:rsidP="004D77BF">
      <w:pPr>
        <w:pStyle w:val="IPPParagraphnumbering"/>
        <w:numPr>
          <w:ilvl w:val="0"/>
          <w:numId w:val="40"/>
        </w:numPr>
        <w:ind w:left="284"/>
        <w:rPr>
          <w:szCs w:val="22"/>
          <w:lang w:val="en-US" w:eastAsia="nl-NL"/>
        </w:rPr>
      </w:pPr>
      <w:r w:rsidRPr="004D77BF">
        <w:rPr>
          <w:szCs w:val="22"/>
          <w:lang w:val="en-US"/>
        </w:rPr>
        <w:t>A strong network of phytosanitary expertise is available to facilitate the application of PCEs;</w:t>
      </w:r>
    </w:p>
    <w:p w:rsidR="000934F7" w:rsidRPr="004D77BF" w:rsidRDefault="000934F7" w:rsidP="004D77BF">
      <w:pPr>
        <w:pStyle w:val="IPPParagraphnumbering"/>
        <w:numPr>
          <w:ilvl w:val="0"/>
          <w:numId w:val="40"/>
        </w:numPr>
        <w:ind w:left="284"/>
        <w:rPr>
          <w:szCs w:val="22"/>
          <w:lang w:val="en-US" w:eastAsia="nl-NL"/>
        </w:rPr>
      </w:pPr>
      <w:r w:rsidRPr="004D77BF">
        <w:rPr>
          <w:szCs w:val="22"/>
          <w:lang w:val="en-US"/>
        </w:rPr>
        <w:t>The Monitoring and Evaluation framework is used to measure outcomes from the application of PCEs.</w:t>
      </w:r>
    </w:p>
    <w:p w:rsidR="00666D30" w:rsidRPr="000934F7" w:rsidRDefault="00666D30" w:rsidP="004D77BF">
      <w:pPr>
        <w:pStyle w:val="IPPParagraphnumbering"/>
        <w:numPr>
          <w:ilvl w:val="0"/>
          <w:numId w:val="0"/>
        </w:numPr>
        <w:rPr>
          <w:szCs w:val="22"/>
          <w:lang w:val="en-US"/>
        </w:rPr>
      </w:pPr>
    </w:p>
    <w:p w:rsidR="004379E6" w:rsidRPr="000934F7" w:rsidRDefault="004379E6" w:rsidP="004379E6">
      <w:pPr>
        <w:tabs>
          <w:tab w:val="left" w:pos="5229"/>
        </w:tabs>
        <w:rPr>
          <w:lang w:val="en-US"/>
        </w:rPr>
      </w:pPr>
      <w:r w:rsidRPr="000934F7">
        <w:rPr>
          <w:lang w:val="en-US"/>
        </w:rPr>
        <w:tab/>
      </w:r>
    </w:p>
    <w:p w:rsidR="008F21A0" w:rsidRPr="000934F7" w:rsidRDefault="008F21A0" w:rsidP="004379E6">
      <w:pPr>
        <w:tabs>
          <w:tab w:val="left" w:pos="5229"/>
        </w:tabs>
        <w:rPr>
          <w:lang w:val="en-US"/>
        </w:rPr>
        <w:sectPr w:rsidR="008F21A0" w:rsidRPr="000934F7" w:rsidSect="00AF3039">
          <w:headerReference w:type="even"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p>
    <w:p w:rsidR="004379E6" w:rsidRPr="00053651" w:rsidRDefault="004379E6" w:rsidP="004379E6">
      <w:pPr>
        <w:spacing w:after="180"/>
        <w:ind w:left="-482"/>
        <w:rPr>
          <w:rFonts w:ascii="Times New Roman" w:eastAsia="Times" w:hAnsi="Times New Roman" w:cs="Times New Roman"/>
          <w:b/>
          <w:i/>
          <w:lang w:val="en-US"/>
        </w:rPr>
      </w:pPr>
      <w:r w:rsidRPr="00053651">
        <w:rPr>
          <w:rFonts w:ascii="Times New Roman" w:eastAsia="Times" w:hAnsi="Times New Roman" w:cs="Times New Roman"/>
          <w:b/>
          <w:i/>
          <w:lang w:val="en-US"/>
        </w:rPr>
        <w:lastRenderedPageBreak/>
        <w:t xml:space="preserve">Key results of the PCE Strategy 2020-2030 </w:t>
      </w:r>
    </w:p>
    <w:tbl>
      <w:tblPr>
        <w:tblStyle w:val="Grilledutableau"/>
        <w:tblW w:w="12775" w:type="dxa"/>
        <w:shd w:val="clear" w:color="auto" w:fill="FFFFFF" w:themeFill="background1"/>
        <w:tblLook w:val="04A0"/>
      </w:tblPr>
      <w:tblGrid>
        <w:gridCol w:w="3193"/>
        <w:gridCol w:w="3194"/>
        <w:gridCol w:w="3194"/>
        <w:gridCol w:w="3194"/>
      </w:tblGrid>
      <w:tr w:rsidR="004379E6" w:rsidRPr="00FE49E2" w:rsidTr="003C3CAA">
        <w:tc>
          <w:tcPr>
            <w:tcW w:w="3193" w:type="dxa"/>
            <w:shd w:val="clear" w:color="auto" w:fill="FFFFFF" w:themeFill="background1"/>
          </w:tcPr>
          <w:p w:rsidR="004379E6" w:rsidRPr="00FE49E2" w:rsidRDefault="004379E6" w:rsidP="003C3CAA">
            <w:pPr>
              <w:spacing w:after="180"/>
              <w:rPr>
                <w:rFonts w:ascii="Arial" w:eastAsia="Times" w:hAnsi="Arial" w:cs="Arial"/>
                <w:b/>
              </w:rPr>
            </w:pPr>
            <w:r>
              <w:rPr>
                <w:rFonts w:ascii="Arial" w:eastAsia="Times" w:hAnsi="Arial" w:cs="Arial"/>
                <w:b/>
              </w:rPr>
              <w:t xml:space="preserve">Key </w:t>
            </w:r>
            <w:proofErr w:type="spellStart"/>
            <w:r>
              <w:rPr>
                <w:rFonts w:ascii="Arial" w:eastAsia="Times" w:hAnsi="Arial" w:cs="Arial"/>
                <w:b/>
              </w:rPr>
              <w:t>Results</w:t>
            </w:r>
            <w:proofErr w:type="spellEnd"/>
          </w:p>
        </w:tc>
        <w:tc>
          <w:tcPr>
            <w:tcW w:w="3194" w:type="dxa"/>
            <w:shd w:val="clear" w:color="auto" w:fill="FFFFFF" w:themeFill="background1"/>
          </w:tcPr>
          <w:p w:rsidR="004379E6" w:rsidRPr="00FE49E2" w:rsidRDefault="004379E6" w:rsidP="003C3CAA">
            <w:pPr>
              <w:spacing w:after="180"/>
              <w:rPr>
                <w:rFonts w:ascii="Arial" w:eastAsia="Times" w:hAnsi="Arial" w:cs="Arial"/>
              </w:rPr>
            </w:pPr>
            <w:r w:rsidRPr="00FE49E2">
              <w:rPr>
                <w:rFonts w:ascii="Arial" w:eastAsia="Times" w:hAnsi="Arial" w:cs="Arial"/>
                <w:b/>
              </w:rPr>
              <w:t>2022</w:t>
            </w:r>
          </w:p>
        </w:tc>
        <w:tc>
          <w:tcPr>
            <w:tcW w:w="3194" w:type="dxa"/>
            <w:shd w:val="clear" w:color="auto" w:fill="FFFFFF" w:themeFill="background1"/>
          </w:tcPr>
          <w:p w:rsidR="004379E6" w:rsidRPr="00FE49E2" w:rsidRDefault="004379E6" w:rsidP="003C3CAA">
            <w:pPr>
              <w:spacing w:after="180"/>
              <w:rPr>
                <w:rFonts w:ascii="Arial" w:eastAsia="Times" w:hAnsi="Arial" w:cs="Arial"/>
              </w:rPr>
            </w:pPr>
            <w:r w:rsidRPr="00FE49E2">
              <w:rPr>
                <w:rFonts w:ascii="Arial" w:eastAsia="Times" w:hAnsi="Arial" w:cs="Arial"/>
                <w:b/>
              </w:rPr>
              <w:t>2025</w:t>
            </w:r>
          </w:p>
        </w:tc>
        <w:tc>
          <w:tcPr>
            <w:tcW w:w="3194" w:type="dxa"/>
            <w:shd w:val="clear" w:color="auto" w:fill="FFFFFF" w:themeFill="background1"/>
          </w:tcPr>
          <w:p w:rsidR="004379E6" w:rsidRPr="00FE49E2" w:rsidRDefault="004379E6" w:rsidP="003C3CAA">
            <w:pPr>
              <w:spacing w:after="180"/>
              <w:rPr>
                <w:rFonts w:ascii="Arial" w:eastAsia="Times" w:hAnsi="Arial" w:cs="Arial"/>
              </w:rPr>
            </w:pPr>
            <w:r w:rsidRPr="00FE49E2">
              <w:rPr>
                <w:rFonts w:ascii="Arial" w:eastAsia="Times" w:hAnsi="Arial" w:cs="Arial"/>
                <w:b/>
              </w:rPr>
              <w:t>2030</w:t>
            </w:r>
          </w:p>
        </w:tc>
      </w:tr>
      <w:tr w:rsidR="004379E6" w:rsidRPr="00C52F85" w:rsidTr="003C3CAA">
        <w:tc>
          <w:tcPr>
            <w:tcW w:w="3193" w:type="dxa"/>
            <w:shd w:val="clear" w:color="auto" w:fill="FFFFFF" w:themeFill="background1"/>
          </w:tcPr>
          <w:p w:rsidR="004379E6" w:rsidRPr="00C52F85" w:rsidRDefault="004379E6" w:rsidP="003C3CAA">
            <w:pPr>
              <w:spacing w:after="180"/>
              <w:rPr>
                <w:rFonts w:ascii="Arial" w:eastAsia="Times" w:hAnsi="Arial" w:cs="Arial"/>
                <w:b/>
                <w:lang w:val="en-US"/>
              </w:rPr>
            </w:pPr>
            <w:r w:rsidRPr="00C52F85">
              <w:rPr>
                <w:rFonts w:ascii="Arial" w:eastAsia="Times" w:hAnsi="Arial" w:cs="Arial"/>
                <w:b/>
                <w:lang w:val="en-US"/>
              </w:rPr>
              <w:t xml:space="preserve">1. Countries, donors and development organizations are aware of the PCE and understand the benefits arising from its application </w:t>
            </w:r>
          </w:p>
          <w:p w:rsidR="004379E6" w:rsidRPr="00C52F85" w:rsidRDefault="004379E6" w:rsidP="003C3CAA">
            <w:pPr>
              <w:spacing w:after="180"/>
              <w:rPr>
                <w:rFonts w:ascii="Arial" w:eastAsia="Times" w:hAnsi="Arial" w:cs="Arial"/>
                <w:b/>
                <w:lang w:val="en-US"/>
              </w:rPr>
            </w:pPr>
          </w:p>
        </w:tc>
        <w:tc>
          <w:tcPr>
            <w:tcW w:w="3194" w:type="dxa"/>
            <w:shd w:val="clear" w:color="auto" w:fill="FFFFFF" w:themeFill="background1"/>
          </w:tcPr>
          <w:p w:rsidR="004379E6" w:rsidRPr="00C52F85" w:rsidRDefault="004379E6" w:rsidP="003C3CAA">
            <w:pPr>
              <w:spacing w:after="180"/>
              <w:rPr>
                <w:rFonts w:ascii="Arial" w:eastAsia="Times" w:hAnsi="Arial" w:cs="Arial"/>
                <w:lang w:val="en-US"/>
              </w:rPr>
            </w:pPr>
            <w:r w:rsidRPr="00C52F85">
              <w:rPr>
                <w:rFonts w:ascii="Arial" w:eastAsia="Times" w:hAnsi="Arial" w:cs="Arial"/>
                <w:lang w:val="en-US"/>
              </w:rPr>
              <w:t>A PCE communications plan is drafted.</w:t>
            </w:r>
          </w:p>
          <w:p w:rsidR="004379E6" w:rsidRPr="00C52F85" w:rsidRDefault="004379E6" w:rsidP="003C3CAA">
            <w:pPr>
              <w:spacing w:after="60"/>
              <w:rPr>
                <w:rFonts w:ascii="Arial" w:eastAsia="Times" w:hAnsi="Arial" w:cs="Arial"/>
                <w:lang w:val="en-US"/>
              </w:rPr>
            </w:pPr>
            <w:r w:rsidRPr="00FE49E2">
              <w:rPr>
                <w:rFonts w:ascii="Arial" w:eastAsia="Times" w:hAnsi="Arial" w:cs="Arial"/>
                <w:lang w:val="en-US"/>
              </w:rPr>
              <w:t xml:space="preserve">Communications products (factsheets, videos, presentations, etc.) </w:t>
            </w:r>
            <w:r w:rsidRPr="00C52F85">
              <w:rPr>
                <w:rFonts w:ascii="Arial" w:eastAsia="Times" w:hAnsi="Arial" w:cs="Arial"/>
                <w:lang w:val="en-US"/>
              </w:rPr>
              <w:t>are developed and published as per communications plan.</w:t>
            </w:r>
          </w:p>
          <w:p w:rsidR="004379E6" w:rsidRPr="00C52F85" w:rsidRDefault="004379E6" w:rsidP="003C3CAA">
            <w:pPr>
              <w:spacing w:after="60"/>
              <w:rPr>
                <w:rFonts w:ascii="Arial" w:eastAsia="Times" w:hAnsi="Arial" w:cs="Arial"/>
                <w:lang w:val="en-US"/>
              </w:rPr>
            </w:pPr>
          </w:p>
          <w:p w:rsidR="004379E6" w:rsidRPr="00C52F85" w:rsidRDefault="004379E6" w:rsidP="003C3CAA">
            <w:pPr>
              <w:spacing w:after="60"/>
              <w:rPr>
                <w:rFonts w:ascii="Arial" w:eastAsia="Times" w:hAnsi="Arial" w:cs="Arial"/>
                <w:lang w:val="en-US"/>
              </w:rPr>
            </w:pPr>
            <w:r w:rsidRPr="00C52F85">
              <w:rPr>
                <w:rFonts w:ascii="Arial" w:eastAsia="Times" w:hAnsi="Arial" w:cs="Arial"/>
                <w:lang w:val="en-US"/>
              </w:rPr>
              <w:t>An assessment is undertaken to maintain the integrity of the PCE Tool (e.g. copyright).</w:t>
            </w:r>
          </w:p>
          <w:p w:rsidR="004379E6" w:rsidRPr="00C52F85" w:rsidRDefault="004379E6" w:rsidP="003C3CAA">
            <w:pPr>
              <w:spacing w:after="60"/>
              <w:rPr>
                <w:rFonts w:ascii="Arial" w:eastAsia="Times" w:hAnsi="Arial" w:cs="Arial"/>
                <w:lang w:val="en-US"/>
              </w:rPr>
            </w:pPr>
          </w:p>
          <w:p w:rsidR="004379E6" w:rsidRPr="00C52F85" w:rsidRDefault="004379E6" w:rsidP="003C3CAA">
            <w:pPr>
              <w:spacing w:after="60"/>
              <w:rPr>
                <w:rFonts w:ascii="Arial" w:eastAsia="Times" w:hAnsi="Arial" w:cs="Arial"/>
                <w:lang w:val="en-US"/>
              </w:rPr>
            </w:pPr>
            <w:r w:rsidRPr="00C52F85">
              <w:rPr>
                <w:rFonts w:ascii="Arial" w:eastAsia="Times" w:hAnsi="Arial" w:cs="Arial"/>
                <w:lang w:val="en-US"/>
              </w:rPr>
              <w:t>A standing point is introduced to the CPM agenda for countries to report on PCE applications.</w:t>
            </w:r>
          </w:p>
          <w:p w:rsidR="004379E6" w:rsidRPr="00C52F85" w:rsidRDefault="004379E6" w:rsidP="003C3CAA">
            <w:pPr>
              <w:spacing w:after="180"/>
              <w:rPr>
                <w:rFonts w:ascii="Arial" w:eastAsia="Times" w:hAnsi="Arial" w:cs="Arial"/>
                <w:lang w:val="en-US"/>
              </w:rPr>
            </w:pPr>
          </w:p>
        </w:tc>
        <w:tc>
          <w:tcPr>
            <w:tcW w:w="3194" w:type="dxa"/>
            <w:shd w:val="clear" w:color="auto" w:fill="FFFFFF" w:themeFill="background1"/>
          </w:tcPr>
          <w:p w:rsidR="004379E6" w:rsidRPr="00C52F85" w:rsidRDefault="004379E6" w:rsidP="003C3CAA">
            <w:pPr>
              <w:spacing w:after="180"/>
              <w:rPr>
                <w:rFonts w:ascii="Arial" w:eastAsia="Times" w:hAnsi="Arial" w:cs="Arial"/>
                <w:lang w:val="en-US"/>
              </w:rPr>
            </w:pPr>
            <w:r w:rsidRPr="00C52F85">
              <w:rPr>
                <w:rFonts w:ascii="Arial" w:eastAsia="Times" w:hAnsi="Arial" w:cs="Arial"/>
                <w:lang w:val="en-US"/>
              </w:rPr>
              <w:t>Communications products (factsheets, videos, presentations, etc.) are developed and published as per communications plan.</w:t>
            </w:r>
          </w:p>
          <w:p w:rsidR="004379E6" w:rsidRPr="00C52F85" w:rsidRDefault="004379E6" w:rsidP="003C3CAA">
            <w:pPr>
              <w:spacing w:after="180"/>
              <w:rPr>
                <w:rFonts w:ascii="Arial" w:eastAsia="Times" w:hAnsi="Arial" w:cs="Arial"/>
                <w:lang w:val="en-US"/>
              </w:rPr>
            </w:pPr>
          </w:p>
          <w:p w:rsidR="004379E6" w:rsidRPr="00C52F85" w:rsidRDefault="004379E6" w:rsidP="003C3CAA">
            <w:pPr>
              <w:spacing w:after="180"/>
              <w:rPr>
                <w:rFonts w:ascii="Arial" w:eastAsia="Times" w:hAnsi="Arial" w:cs="Arial"/>
                <w:lang w:val="en-US"/>
              </w:rPr>
            </w:pPr>
          </w:p>
          <w:p w:rsidR="004379E6" w:rsidRPr="00C52F85" w:rsidRDefault="004379E6" w:rsidP="003C3CAA">
            <w:pPr>
              <w:spacing w:after="180"/>
              <w:rPr>
                <w:rFonts w:ascii="Arial" w:eastAsia="Times" w:hAnsi="Arial" w:cs="Arial"/>
                <w:lang w:val="en-US"/>
              </w:rPr>
            </w:pPr>
          </w:p>
          <w:p w:rsidR="004379E6" w:rsidRPr="00C52F85" w:rsidRDefault="004379E6" w:rsidP="003C3CAA">
            <w:pPr>
              <w:spacing w:after="180"/>
              <w:rPr>
                <w:rFonts w:ascii="Arial" w:eastAsia="Times" w:hAnsi="Arial" w:cs="Arial"/>
                <w:lang w:val="en-US"/>
              </w:rPr>
            </w:pPr>
          </w:p>
          <w:p w:rsidR="004379E6" w:rsidRPr="00C52F85" w:rsidRDefault="004379E6" w:rsidP="003C3CAA">
            <w:pPr>
              <w:spacing w:after="180"/>
              <w:rPr>
                <w:rFonts w:ascii="Arial" w:eastAsia="Times" w:hAnsi="Arial" w:cs="Arial"/>
                <w:lang w:val="en-US"/>
              </w:rPr>
            </w:pPr>
          </w:p>
          <w:p w:rsidR="004379E6" w:rsidRPr="00C52F85" w:rsidRDefault="004379E6" w:rsidP="003C3CAA">
            <w:pPr>
              <w:spacing w:after="180"/>
              <w:rPr>
                <w:rFonts w:ascii="Arial" w:eastAsia="Times" w:hAnsi="Arial" w:cs="Arial"/>
                <w:lang w:val="en-US"/>
              </w:rPr>
            </w:pPr>
            <w:r w:rsidRPr="00C52F85">
              <w:rPr>
                <w:rFonts w:ascii="Arial" w:eastAsia="Times" w:hAnsi="Arial" w:cs="Arial"/>
                <w:lang w:val="en-US"/>
              </w:rPr>
              <w:t>Annual country reporting of PCE application are held at CPM</w:t>
            </w:r>
          </w:p>
          <w:p w:rsidR="004379E6" w:rsidRPr="00C52F85" w:rsidRDefault="004379E6" w:rsidP="003C3CAA">
            <w:pPr>
              <w:spacing w:after="180"/>
              <w:rPr>
                <w:rFonts w:ascii="Arial" w:eastAsia="Times" w:hAnsi="Arial" w:cs="Arial"/>
                <w:lang w:val="en-US"/>
              </w:rPr>
            </w:pPr>
          </w:p>
        </w:tc>
        <w:tc>
          <w:tcPr>
            <w:tcW w:w="3194" w:type="dxa"/>
            <w:shd w:val="clear" w:color="auto" w:fill="FFFFFF" w:themeFill="background1"/>
          </w:tcPr>
          <w:p w:rsidR="004379E6" w:rsidRPr="00C52F85" w:rsidRDefault="004379E6" w:rsidP="003C3CAA">
            <w:pPr>
              <w:spacing w:after="60"/>
              <w:rPr>
                <w:rFonts w:ascii="Arial" w:eastAsia="Times" w:hAnsi="Arial" w:cs="Arial"/>
                <w:lang w:val="en-US"/>
              </w:rPr>
            </w:pPr>
            <w:r w:rsidRPr="00C52F85">
              <w:rPr>
                <w:rFonts w:ascii="Arial" w:eastAsia="Times" w:hAnsi="Arial" w:cs="Arial"/>
                <w:lang w:val="en-US"/>
              </w:rPr>
              <w:t>Communications products (factsheets, videos, presentations, etc.) are developed and published, as per communications plan</w:t>
            </w:r>
          </w:p>
          <w:p w:rsidR="004379E6" w:rsidRPr="00C52F85" w:rsidRDefault="004379E6" w:rsidP="003C3CAA">
            <w:pPr>
              <w:spacing w:after="60"/>
              <w:rPr>
                <w:rFonts w:ascii="Arial" w:eastAsia="Times" w:hAnsi="Arial" w:cs="Arial"/>
                <w:lang w:val="en-US"/>
              </w:rPr>
            </w:pPr>
          </w:p>
          <w:p w:rsidR="004379E6" w:rsidRPr="00C52F85" w:rsidRDefault="004379E6" w:rsidP="003C3CAA">
            <w:pPr>
              <w:spacing w:after="60"/>
              <w:rPr>
                <w:rFonts w:ascii="Arial" w:eastAsia="Times" w:hAnsi="Arial" w:cs="Arial"/>
                <w:lang w:val="en-US"/>
              </w:rPr>
            </w:pPr>
          </w:p>
          <w:p w:rsidR="004379E6" w:rsidRPr="00C52F85" w:rsidRDefault="004379E6" w:rsidP="003C3CAA">
            <w:pPr>
              <w:spacing w:after="60"/>
              <w:rPr>
                <w:rFonts w:ascii="Arial" w:eastAsia="Times" w:hAnsi="Arial" w:cs="Arial"/>
                <w:lang w:val="en-US"/>
              </w:rPr>
            </w:pPr>
          </w:p>
          <w:p w:rsidR="004379E6" w:rsidRPr="00C52F85" w:rsidRDefault="004379E6" w:rsidP="003C3CAA">
            <w:pPr>
              <w:spacing w:after="180"/>
              <w:rPr>
                <w:rFonts w:ascii="Arial" w:eastAsia="Times" w:hAnsi="Arial" w:cs="Arial"/>
                <w:lang w:val="en-US"/>
              </w:rPr>
            </w:pPr>
          </w:p>
          <w:p w:rsidR="004379E6" w:rsidRPr="00C52F85" w:rsidRDefault="004379E6" w:rsidP="003C3CAA">
            <w:pPr>
              <w:spacing w:after="180"/>
              <w:rPr>
                <w:rFonts w:ascii="Arial" w:eastAsia="Times" w:hAnsi="Arial" w:cs="Arial"/>
                <w:lang w:val="en-US"/>
              </w:rPr>
            </w:pPr>
          </w:p>
          <w:p w:rsidR="004379E6" w:rsidRPr="00C52F85" w:rsidRDefault="004379E6" w:rsidP="003C3CAA">
            <w:pPr>
              <w:spacing w:after="180"/>
              <w:rPr>
                <w:rFonts w:ascii="Arial" w:eastAsia="Times" w:hAnsi="Arial" w:cs="Arial"/>
                <w:lang w:val="en-US"/>
              </w:rPr>
            </w:pPr>
          </w:p>
          <w:p w:rsidR="004379E6" w:rsidRPr="00C52F85" w:rsidRDefault="004379E6" w:rsidP="003C3CAA">
            <w:pPr>
              <w:spacing w:after="180"/>
              <w:rPr>
                <w:rFonts w:ascii="Arial" w:eastAsia="Times" w:hAnsi="Arial" w:cs="Arial"/>
                <w:lang w:val="en-US"/>
              </w:rPr>
            </w:pPr>
            <w:r w:rsidRPr="00C52F85">
              <w:rPr>
                <w:rFonts w:ascii="Arial" w:eastAsia="Times" w:hAnsi="Arial" w:cs="Arial"/>
                <w:lang w:val="en-US"/>
              </w:rPr>
              <w:t xml:space="preserve">Annual </w:t>
            </w:r>
            <w:proofErr w:type="gramStart"/>
            <w:r w:rsidRPr="00C52F85">
              <w:rPr>
                <w:rFonts w:ascii="Arial" w:eastAsia="Times" w:hAnsi="Arial" w:cs="Arial"/>
                <w:lang w:val="en-US"/>
              </w:rPr>
              <w:t>country reporting of PCE application are</w:t>
            </w:r>
            <w:proofErr w:type="gramEnd"/>
            <w:r w:rsidRPr="00C52F85">
              <w:rPr>
                <w:rFonts w:ascii="Arial" w:eastAsia="Times" w:hAnsi="Arial" w:cs="Arial"/>
                <w:lang w:val="en-US"/>
              </w:rPr>
              <w:t xml:space="preserve"> held at CPM.</w:t>
            </w:r>
          </w:p>
          <w:p w:rsidR="004379E6" w:rsidRPr="00C52F85" w:rsidRDefault="004379E6" w:rsidP="003C3CAA">
            <w:pPr>
              <w:spacing w:after="180"/>
              <w:rPr>
                <w:rFonts w:ascii="Arial" w:eastAsia="Times" w:hAnsi="Arial" w:cs="Arial"/>
                <w:lang w:val="en-US"/>
              </w:rPr>
            </w:pPr>
          </w:p>
        </w:tc>
      </w:tr>
      <w:tr w:rsidR="004379E6" w:rsidRPr="00C52F85" w:rsidTr="003C3CAA">
        <w:tc>
          <w:tcPr>
            <w:tcW w:w="3193" w:type="dxa"/>
            <w:shd w:val="clear" w:color="auto" w:fill="FFFFFF" w:themeFill="background1"/>
          </w:tcPr>
          <w:p w:rsidR="004379E6" w:rsidRPr="00C52F85" w:rsidRDefault="004379E6" w:rsidP="003C3CAA">
            <w:pPr>
              <w:spacing w:after="180"/>
              <w:rPr>
                <w:rFonts w:ascii="Arial" w:eastAsia="Times" w:hAnsi="Arial" w:cs="Arial"/>
                <w:b/>
                <w:lang w:val="en-US"/>
              </w:rPr>
            </w:pPr>
            <w:r w:rsidRPr="00C52F85">
              <w:rPr>
                <w:rFonts w:ascii="Arial" w:eastAsia="Times" w:hAnsi="Arial" w:cs="Arial"/>
                <w:b/>
                <w:lang w:val="en-US"/>
              </w:rPr>
              <w:t xml:space="preserve">2. Long-term sustainable funding is in place to support the maintenance and administration of the PCE and resources are mobilized to support the application of the PCE </w:t>
            </w:r>
          </w:p>
          <w:p w:rsidR="004379E6" w:rsidRPr="00C52F85" w:rsidRDefault="004379E6" w:rsidP="003C3CAA">
            <w:pPr>
              <w:spacing w:after="180"/>
              <w:rPr>
                <w:rFonts w:ascii="Arial" w:eastAsia="Times" w:hAnsi="Arial" w:cs="Arial"/>
                <w:b/>
                <w:lang w:val="en-US"/>
              </w:rPr>
            </w:pPr>
          </w:p>
        </w:tc>
        <w:tc>
          <w:tcPr>
            <w:tcW w:w="3194" w:type="dxa"/>
            <w:shd w:val="clear" w:color="auto" w:fill="FFFFFF" w:themeFill="background1"/>
          </w:tcPr>
          <w:p w:rsidR="004379E6" w:rsidRPr="00C52F85" w:rsidRDefault="004379E6" w:rsidP="003C3CAA">
            <w:pPr>
              <w:spacing w:after="180"/>
              <w:rPr>
                <w:rFonts w:ascii="Arial" w:eastAsia="Times" w:hAnsi="Arial" w:cs="Arial"/>
                <w:b/>
                <w:i/>
                <w:lang w:val="en-US"/>
              </w:rPr>
            </w:pPr>
            <w:r w:rsidRPr="00C52F85">
              <w:rPr>
                <w:rFonts w:ascii="Arial" w:eastAsia="Times" w:hAnsi="Arial" w:cs="Arial"/>
                <w:lang w:val="en-US"/>
              </w:rPr>
              <w:t>The IRSS table of donors is updated.</w:t>
            </w:r>
          </w:p>
          <w:p w:rsidR="004379E6" w:rsidRPr="00C52F85" w:rsidRDefault="004379E6" w:rsidP="003C3CAA">
            <w:pPr>
              <w:spacing w:after="60"/>
              <w:rPr>
                <w:rFonts w:ascii="Arial" w:eastAsia="Times" w:hAnsi="Arial" w:cs="Arial"/>
                <w:lang w:val="en-US"/>
              </w:rPr>
            </w:pPr>
            <w:r w:rsidRPr="00C52F85">
              <w:rPr>
                <w:rFonts w:ascii="Arial" w:eastAsia="Times" w:hAnsi="Arial" w:cs="Arial"/>
                <w:lang w:val="en-US"/>
              </w:rPr>
              <w:t>A resource mobilization plan is drafted</w:t>
            </w:r>
          </w:p>
          <w:p w:rsidR="004379E6" w:rsidRPr="00C52F85" w:rsidRDefault="004379E6" w:rsidP="003C3CAA">
            <w:pPr>
              <w:spacing w:after="60"/>
              <w:rPr>
                <w:rFonts w:ascii="Arial" w:eastAsia="Times" w:hAnsi="Arial" w:cs="Arial"/>
                <w:lang w:val="en-US"/>
              </w:rPr>
            </w:pPr>
          </w:p>
          <w:p w:rsidR="004379E6" w:rsidRPr="00C52F85" w:rsidRDefault="004379E6" w:rsidP="003C3CAA">
            <w:pPr>
              <w:spacing w:after="60"/>
              <w:rPr>
                <w:rFonts w:ascii="Arial" w:eastAsia="Times" w:hAnsi="Arial" w:cs="Arial"/>
                <w:lang w:val="en-US"/>
              </w:rPr>
            </w:pPr>
            <w:r w:rsidRPr="00C52F85">
              <w:rPr>
                <w:rFonts w:ascii="Arial" w:eastAsia="Times" w:hAnsi="Arial" w:cs="Arial"/>
                <w:lang w:val="en-US"/>
              </w:rPr>
              <w:t>Mechanisms for funding PCEs is explored</w:t>
            </w:r>
          </w:p>
          <w:p w:rsidR="004379E6" w:rsidRPr="00C52F85" w:rsidRDefault="004379E6" w:rsidP="003C3CAA">
            <w:pPr>
              <w:spacing w:after="60"/>
              <w:rPr>
                <w:rFonts w:ascii="Arial" w:eastAsia="Times" w:hAnsi="Arial" w:cs="Arial"/>
                <w:lang w:val="en-US"/>
              </w:rPr>
            </w:pPr>
          </w:p>
          <w:p w:rsidR="004379E6" w:rsidRPr="00C52F85" w:rsidRDefault="004379E6" w:rsidP="003C3CAA">
            <w:pPr>
              <w:contextualSpacing/>
              <w:rPr>
                <w:rFonts w:ascii="Arial" w:hAnsi="Arial" w:cs="Arial"/>
                <w:lang w:val="en-US"/>
              </w:rPr>
            </w:pPr>
            <w:r w:rsidRPr="00C52F85">
              <w:rPr>
                <w:rFonts w:ascii="Arial" w:hAnsi="Arial" w:cs="Arial"/>
                <w:lang w:val="en-US"/>
              </w:rPr>
              <w:t>An IPPC trust fund for the application of PCEs is established</w:t>
            </w:r>
          </w:p>
          <w:p w:rsidR="004379E6" w:rsidRPr="00C52F85" w:rsidRDefault="004379E6" w:rsidP="003C3CAA">
            <w:pPr>
              <w:contextualSpacing/>
              <w:rPr>
                <w:rFonts w:ascii="Arial" w:hAnsi="Arial" w:cs="Arial"/>
                <w:lang w:val="en-US"/>
              </w:rPr>
            </w:pPr>
          </w:p>
          <w:p w:rsidR="004379E6" w:rsidRPr="00C52F85" w:rsidRDefault="004379E6" w:rsidP="003C3CAA">
            <w:pPr>
              <w:contextualSpacing/>
              <w:rPr>
                <w:rFonts w:ascii="Arial" w:hAnsi="Arial" w:cs="Arial"/>
                <w:lang w:val="en-US"/>
              </w:rPr>
            </w:pPr>
            <w:r w:rsidRPr="00C52F85">
              <w:rPr>
                <w:rFonts w:ascii="Arial" w:hAnsi="Arial" w:cs="Arial"/>
                <w:lang w:val="en-US"/>
              </w:rPr>
              <w:t xml:space="preserve">Rules of procedures for accessing the IPPC Trust Fund </w:t>
            </w:r>
            <w:r w:rsidRPr="00C52F85">
              <w:rPr>
                <w:rFonts w:ascii="Arial" w:hAnsi="Arial" w:cs="Arial"/>
                <w:lang w:val="en-US"/>
              </w:rPr>
              <w:lastRenderedPageBreak/>
              <w:t>on PCEs are established</w:t>
            </w:r>
          </w:p>
          <w:p w:rsidR="004379E6" w:rsidRPr="00C52F85" w:rsidRDefault="004379E6" w:rsidP="003C3CAA">
            <w:pPr>
              <w:contextualSpacing/>
              <w:rPr>
                <w:rFonts w:ascii="Arial" w:hAnsi="Arial" w:cs="Arial"/>
                <w:lang w:val="en-US"/>
              </w:rPr>
            </w:pPr>
          </w:p>
          <w:p w:rsidR="004379E6" w:rsidRPr="00C52F85" w:rsidRDefault="004379E6" w:rsidP="003C3CAA">
            <w:pPr>
              <w:spacing w:after="180"/>
              <w:rPr>
                <w:rFonts w:ascii="Arial" w:eastAsia="Times" w:hAnsi="Arial" w:cs="Arial"/>
                <w:lang w:val="en-US"/>
              </w:rPr>
            </w:pPr>
            <w:r w:rsidRPr="00C52F85">
              <w:rPr>
                <w:rFonts w:ascii="Arial" w:eastAsia="Times" w:hAnsi="Arial" w:cs="Arial"/>
                <w:lang w:val="en-US"/>
              </w:rPr>
              <w:t>Discussions are held with donors.</w:t>
            </w:r>
          </w:p>
          <w:p w:rsidR="004379E6" w:rsidRPr="00C52F85" w:rsidRDefault="004379E6" w:rsidP="003C3CAA">
            <w:pPr>
              <w:contextualSpacing/>
              <w:rPr>
                <w:rFonts w:ascii="Arial" w:hAnsi="Arial" w:cs="Arial"/>
                <w:b/>
                <w:lang w:val="en-US"/>
              </w:rPr>
            </w:pPr>
          </w:p>
        </w:tc>
        <w:tc>
          <w:tcPr>
            <w:tcW w:w="3194" w:type="dxa"/>
            <w:shd w:val="clear" w:color="auto" w:fill="FFFFFF" w:themeFill="background1"/>
          </w:tcPr>
          <w:p w:rsidR="004379E6" w:rsidRPr="00C52F85" w:rsidRDefault="004379E6" w:rsidP="003C3CAA">
            <w:pPr>
              <w:spacing w:after="60"/>
              <w:rPr>
                <w:rFonts w:ascii="Arial" w:eastAsia="Times" w:hAnsi="Arial" w:cs="Arial"/>
                <w:lang w:val="en-US"/>
              </w:rPr>
            </w:pPr>
            <w:r w:rsidRPr="00C52F85">
              <w:rPr>
                <w:rFonts w:ascii="Arial" w:hAnsi="Arial" w:cs="Arial"/>
                <w:lang w:val="en-US"/>
              </w:rPr>
              <w:lastRenderedPageBreak/>
              <w:t xml:space="preserve">The IRSS table of donors is </w:t>
            </w:r>
            <w:r w:rsidRPr="00C52F85">
              <w:rPr>
                <w:rFonts w:ascii="Arial" w:eastAsia="Times" w:hAnsi="Arial" w:cs="Arial"/>
                <w:lang w:val="en-US"/>
              </w:rPr>
              <w:t>updated.</w:t>
            </w:r>
          </w:p>
          <w:p w:rsidR="004379E6" w:rsidRPr="00C52F85" w:rsidRDefault="004379E6" w:rsidP="003C3CAA">
            <w:pPr>
              <w:spacing w:after="60"/>
              <w:rPr>
                <w:rFonts w:ascii="Arial" w:eastAsia="Times" w:hAnsi="Arial" w:cs="Arial"/>
                <w:lang w:val="en-US"/>
              </w:rPr>
            </w:pPr>
          </w:p>
          <w:p w:rsidR="004379E6" w:rsidRPr="00C52F85" w:rsidRDefault="004379E6" w:rsidP="003C3CAA">
            <w:pPr>
              <w:spacing w:after="60"/>
              <w:rPr>
                <w:rFonts w:ascii="Arial" w:hAnsi="Arial" w:cs="Arial"/>
                <w:lang w:val="en-US"/>
              </w:rPr>
            </w:pPr>
            <w:r w:rsidRPr="00C52F85">
              <w:rPr>
                <w:rFonts w:ascii="Arial" w:eastAsia="Times" w:hAnsi="Arial" w:cs="Arial"/>
                <w:lang w:val="en-US"/>
              </w:rPr>
              <w:t>The resource mobilization plan is implemented</w:t>
            </w:r>
            <w:r w:rsidRPr="00C52F85">
              <w:rPr>
                <w:rFonts w:ascii="Arial" w:hAnsi="Arial" w:cs="Arial"/>
                <w:lang w:val="en-US"/>
              </w:rPr>
              <w:t>.</w:t>
            </w:r>
          </w:p>
          <w:p w:rsidR="004379E6" w:rsidRPr="00C52F85" w:rsidRDefault="004379E6" w:rsidP="003C3CAA">
            <w:pPr>
              <w:spacing w:after="180"/>
              <w:rPr>
                <w:rFonts w:ascii="Arial" w:hAnsi="Arial" w:cs="Arial"/>
                <w:lang w:val="en-US"/>
              </w:rPr>
            </w:pPr>
          </w:p>
          <w:p w:rsidR="004379E6" w:rsidRPr="00C52F85" w:rsidRDefault="004379E6" w:rsidP="003C3CAA">
            <w:pPr>
              <w:spacing w:after="180"/>
              <w:rPr>
                <w:rFonts w:ascii="Arial" w:eastAsia="Times" w:hAnsi="Arial" w:cs="Arial"/>
                <w:b/>
                <w:lang w:val="en-US"/>
              </w:rPr>
            </w:pPr>
          </w:p>
        </w:tc>
        <w:tc>
          <w:tcPr>
            <w:tcW w:w="3194" w:type="dxa"/>
            <w:shd w:val="clear" w:color="auto" w:fill="FFFFFF" w:themeFill="background1"/>
          </w:tcPr>
          <w:p w:rsidR="004379E6" w:rsidRPr="00C52F85" w:rsidRDefault="004379E6" w:rsidP="003C3CAA">
            <w:pPr>
              <w:spacing w:after="60"/>
              <w:rPr>
                <w:rFonts w:ascii="Arial" w:hAnsi="Arial" w:cs="Arial"/>
                <w:lang w:val="en-US"/>
              </w:rPr>
            </w:pPr>
            <w:r w:rsidRPr="00C52F85">
              <w:rPr>
                <w:rFonts w:ascii="Arial" w:eastAsia="Times" w:hAnsi="Arial" w:cs="Arial"/>
                <w:lang w:val="en-US"/>
              </w:rPr>
              <w:t>The IRSS table of donors is updated</w:t>
            </w:r>
            <w:r w:rsidRPr="00C52F85">
              <w:rPr>
                <w:rFonts w:ascii="Arial" w:hAnsi="Arial" w:cs="Arial"/>
                <w:lang w:val="en-US"/>
              </w:rPr>
              <w:t>.</w:t>
            </w:r>
          </w:p>
          <w:p w:rsidR="004379E6" w:rsidRPr="00C52F85" w:rsidRDefault="004379E6" w:rsidP="003C3CAA">
            <w:pPr>
              <w:spacing w:after="60"/>
              <w:rPr>
                <w:rFonts w:ascii="Arial" w:hAnsi="Arial" w:cs="Arial"/>
                <w:lang w:val="en-US"/>
              </w:rPr>
            </w:pPr>
          </w:p>
          <w:p w:rsidR="004379E6" w:rsidRPr="00C52F85" w:rsidRDefault="004379E6" w:rsidP="003C3CAA">
            <w:pPr>
              <w:spacing w:after="60"/>
              <w:rPr>
                <w:rFonts w:ascii="Arial" w:hAnsi="Arial" w:cs="Arial"/>
                <w:lang w:val="en-US"/>
              </w:rPr>
            </w:pPr>
            <w:r w:rsidRPr="00C52F85">
              <w:rPr>
                <w:rFonts w:ascii="Arial" w:hAnsi="Arial" w:cs="Arial"/>
                <w:lang w:val="en-US"/>
              </w:rPr>
              <w:t>The resource mobilization plan is fully implemented.</w:t>
            </w:r>
          </w:p>
          <w:p w:rsidR="004379E6" w:rsidRPr="00C52F85" w:rsidRDefault="004379E6" w:rsidP="003C3CAA">
            <w:pPr>
              <w:spacing w:after="180"/>
              <w:rPr>
                <w:rFonts w:ascii="Arial" w:hAnsi="Arial" w:cs="Arial"/>
                <w:lang w:val="en-US"/>
              </w:rPr>
            </w:pPr>
          </w:p>
          <w:p w:rsidR="004379E6" w:rsidRPr="00C52F85" w:rsidRDefault="004379E6" w:rsidP="003C3CAA">
            <w:pPr>
              <w:spacing w:after="180"/>
              <w:rPr>
                <w:rFonts w:ascii="Arial" w:eastAsia="Times" w:hAnsi="Arial" w:cs="Arial"/>
                <w:lang w:val="en-US"/>
              </w:rPr>
            </w:pPr>
          </w:p>
        </w:tc>
      </w:tr>
      <w:tr w:rsidR="004379E6" w:rsidRPr="00C52F85" w:rsidTr="003C3CAA">
        <w:tc>
          <w:tcPr>
            <w:tcW w:w="3193" w:type="dxa"/>
            <w:shd w:val="clear" w:color="auto" w:fill="FFFFFF" w:themeFill="background1"/>
          </w:tcPr>
          <w:p w:rsidR="004379E6" w:rsidRPr="00C52F85" w:rsidRDefault="004379E6" w:rsidP="003C3CAA">
            <w:pPr>
              <w:spacing w:after="180"/>
              <w:rPr>
                <w:rFonts w:ascii="Arial" w:eastAsia="Times" w:hAnsi="Arial" w:cs="Arial"/>
                <w:b/>
                <w:lang w:val="en-US"/>
              </w:rPr>
            </w:pPr>
            <w:r w:rsidRPr="00C52F85">
              <w:rPr>
                <w:rFonts w:ascii="Arial" w:eastAsia="Times" w:hAnsi="Arial" w:cs="Arial"/>
                <w:b/>
                <w:lang w:val="en-US"/>
              </w:rPr>
              <w:lastRenderedPageBreak/>
              <w:t>3. The PCE software and platform are reliable, effective and easy to use</w:t>
            </w:r>
          </w:p>
          <w:p w:rsidR="004379E6" w:rsidRPr="00C52F85" w:rsidRDefault="004379E6" w:rsidP="003C3CAA">
            <w:pPr>
              <w:spacing w:after="180"/>
              <w:rPr>
                <w:rFonts w:ascii="Arial" w:hAnsi="Arial" w:cs="Arial"/>
                <w:b/>
                <w:lang w:val="en-US"/>
              </w:rPr>
            </w:pPr>
          </w:p>
        </w:tc>
        <w:tc>
          <w:tcPr>
            <w:tcW w:w="3194" w:type="dxa"/>
            <w:shd w:val="clear" w:color="auto" w:fill="FFFFFF" w:themeFill="background1"/>
          </w:tcPr>
          <w:p w:rsidR="004379E6" w:rsidRPr="00C52F85" w:rsidRDefault="004379E6" w:rsidP="003C3CAA">
            <w:pPr>
              <w:contextualSpacing/>
              <w:rPr>
                <w:rFonts w:ascii="Arial" w:hAnsi="Arial" w:cs="Arial"/>
                <w:lang w:val="en-US"/>
              </w:rPr>
            </w:pPr>
            <w:r w:rsidRPr="00C52F85">
              <w:rPr>
                <w:rFonts w:ascii="Arial" w:hAnsi="Arial" w:cs="Arial"/>
                <w:lang w:val="en-US"/>
              </w:rPr>
              <w:t>A study on IT solutions for the PCE is drafted.</w:t>
            </w:r>
          </w:p>
          <w:p w:rsidR="004379E6" w:rsidRPr="00C52F85" w:rsidRDefault="004379E6" w:rsidP="003C3CAA">
            <w:pPr>
              <w:contextualSpacing/>
              <w:rPr>
                <w:rFonts w:ascii="Arial" w:hAnsi="Arial" w:cs="Arial"/>
                <w:lang w:val="en-US"/>
              </w:rPr>
            </w:pPr>
          </w:p>
          <w:p w:rsidR="004379E6" w:rsidRPr="00C52F85" w:rsidRDefault="004379E6" w:rsidP="003C3CAA">
            <w:pPr>
              <w:contextualSpacing/>
              <w:rPr>
                <w:rFonts w:ascii="Arial" w:hAnsi="Arial" w:cs="Arial"/>
                <w:lang w:val="en-US"/>
              </w:rPr>
            </w:pPr>
            <w:r w:rsidRPr="00C52F85">
              <w:rPr>
                <w:rFonts w:ascii="Arial" w:hAnsi="Arial" w:cs="Arial"/>
                <w:lang w:val="en-US"/>
              </w:rPr>
              <w:t>The PCE software and platform are fully functional (i.e. stakeholders’ analysis, SWOT, problem analysis and logical framework).</w:t>
            </w:r>
          </w:p>
          <w:p w:rsidR="004379E6" w:rsidRPr="00C52F85" w:rsidRDefault="004379E6" w:rsidP="003C3CAA">
            <w:pPr>
              <w:contextualSpacing/>
              <w:rPr>
                <w:rFonts w:ascii="Arial" w:hAnsi="Arial" w:cs="Arial"/>
                <w:b/>
                <w:lang w:val="en-US"/>
              </w:rPr>
            </w:pPr>
          </w:p>
        </w:tc>
        <w:tc>
          <w:tcPr>
            <w:tcW w:w="3194" w:type="dxa"/>
            <w:shd w:val="clear" w:color="auto" w:fill="FFFFFF" w:themeFill="background1"/>
          </w:tcPr>
          <w:p w:rsidR="004379E6" w:rsidRPr="00C52F85" w:rsidRDefault="004379E6" w:rsidP="003C3CAA">
            <w:pPr>
              <w:spacing w:after="180"/>
              <w:rPr>
                <w:rFonts w:ascii="Arial" w:eastAsia="Times" w:hAnsi="Arial" w:cs="Arial"/>
                <w:b/>
                <w:lang w:val="en-US"/>
              </w:rPr>
            </w:pPr>
            <w:r w:rsidRPr="00C52F85">
              <w:rPr>
                <w:rFonts w:ascii="Arial" w:eastAsia="Times" w:hAnsi="Arial" w:cs="Arial"/>
                <w:lang w:val="en-US"/>
              </w:rPr>
              <w:t>Updates are integrated to the PCE Tool as necessary (as per 4 and 5).</w:t>
            </w:r>
          </w:p>
        </w:tc>
        <w:tc>
          <w:tcPr>
            <w:tcW w:w="3194" w:type="dxa"/>
            <w:shd w:val="clear" w:color="auto" w:fill="FFFFFF" w:themeFill="background1"/>
          </w:tcPr>
          <w:p w:rsidR="004379E6" w:rsidRPr="00C52F85" w:rsidRDefault="004379E6" w:rsidP="003C3CAA">
            <w:pPr>
              <w:spacing w:after="180"/>
              <w:rPr>
                <w:rFonts w:ascii="Arial" w:eastAsia="Times" w:hAnsi="Arial" w:cs="Arial"/>
                <w:b/>
                <w:lang w:val="en-US"/>
              </w:rPr>
            </w:pPr>
            <w:r w:rsidRPr="00C52F85">
              <w:rPr>
                <w:rFonts w:ascii="Arial" w:eastAsia="Times" w:hAnsi="Arial" w:cs="Arial"/>
                <w:lang w:val="en-US"/>
              </w:rPr>
              <w:t>Updates are integrated to the PCE Tool as necessary (as per 4 and 5).</w:t>
            </w:r>
          </w:p>
        </w:tc>
      </w:tr>
      <w:tr w:rsidR="004379E6" w:rsidRPr="00C52F85" w:rsidTr="003C3CAA">
        <w:tc>
          <w:tcPr>
            <w:tcW w:w="3193" w:type="dxa"/>
            <w:shd w:val="clear" w:color="auto" w:fill="FFFFFF" w:themeFill="background1"/>
          </w:tcPr>
          <w:p w:rsidR="004379E6" w:rsidRPr="00C52F85" w:rsidRDefault="004379E6" w:rsidP="003C3CAA">
            <w:pPr>
              <w:spacing w:after="180"/>
              <w:rPr>
                <w:rFonts w:ascii="Arial" w:eastAsia="Times" w:hAnsi="Arial" w:cs="Arial"/>
                <w:b/>
                <w:lang w:val="en-US"/>
              </w:rPr>
            </w:pPr>
            <w:r w:rsidRPr="00C52F85">
              <w:rPr>
                <w:rFonts w:ascii="Arial" w:eastAsia="Times" w:hAnsi="Arial" w:cs="Arial"/>
                <w:b/>
                <w:lang w:val="en-US"/>
              </w:rPr>
              <w:t>4. The PCE Tool is revised and updated regularly and new modules and strategic planning tools are added as needed (e.g. environmental module, implementation follow up tool)</w:t>
            </w:r>
          </w:p>
          <w:p w:rsidR="004379E6" w:rsidRPr="00C52F85" w:rsidRDefault="004379E6" w:rsidP="003C3CAA">
            <w:pPr>
              <w:spacing w:after="180"/>
              <w:rPr>
                <w:rFonts w:ascii="Arial" w:hAnsi="Arial" w:cs="Arial"/>
                <w:b/>
                <w:lang w:val="en-US"/>
              </w:rPr>
            </w:pPr>
          </w:p>
        </w:tc>
        <w:tc>
          <w:tcPr>
            <w:tcW w:w="3194" w:type="dxa"/>
            <w:shd w:val="clear" w:color="auto" w:fill="FFFFFF" w:themeFill="background1"/>
          </w:tcPr>
          <w:p w:rsidR="004379E6" w:rsidRPr="00C52F85" w:rsidRDefault="004379E6" w:rsidP="003C3CAA">
            <w:pPr>
              <w:contextualSpacing/>
              <w:rPr>
                <w:rFonts w:ascii="Arial" w:hAnsi="Arial" w:cs="Arial"/>
                <w:lang w:val="en-US"/>
              </w:rPr>
            </w:pPr>
            <w:r w:rsidRPr="00C52F85">
              <w:rPr>
                <w:rFonts w:ascii="Arial" w:hAnsi="Arial" w:cs="Arial"/>
                <w:lang w:val="en-US"/>
              </w:rPr>
              <w:t xml:space="preserve">A </w:t>
            </w:r>
            <w:r w:rsidRPr="00C52F85" w:rsidDel="005A1CAD">
              <w:rPr>
                <w:rFonts w:ascii="Arial" w:hAnsi="Arial" w:cs="Arial"/>
                <w:lang w:val="en-US"/>
              </w:rPr>
              <w:t>Baseline</w:t>
            </w:r>
            <w:r w:rsidRPr="00C52F85">
              <w:rPr>
                <w:rFonts w:ascii="Arial" w:hAnsi="Arial" w:cs="Arial"/>
                <w:lang w:val="en-US"/>
              </w:rPr>
              <w:t xml:space="preserve"> Survey is launched to get feedback from all previous PCE users on modules and strategic planning tools to be improved or added into the PCE.</w:t>
            </w:r>
          </w:p>
          <w:p w:rsidR="004379E6" w:rsidRPr="00C52F85" w:rsidRDefault="004379E6" w:rsidP="003C3CAA">
            <w:pPr>
              <w:contextualSpacing/>
              <w:rPr>
                <w:rFonts w:ascii="Arial" w:hAnsi="Arial" w:cs="Arial"/>
                <w:lang w:val="en-US"/>
              </w:rPr>
            </w:pPr>
          </w:p>
          <w:p w:rsidR="004379E6" w:rsidRPr="00C52F85" w:rsidRDefault="004379E6" w:rsidP="003C3CAA">
            <w:pPr>
              <w:contextualSpacing/>
              <w:rPr>
                <w:rFonts w:ascii="Arial" w:hAnsi="Arial" w:cs="Arial"/>
                <w:lang w:val="en-US"/>
              </w:rPr>
            </w:pPr>
            <w:r w:rsidRPr="00C52F85">
              <w:rPr>
                <w:rFonts w:ascii="Arial" w:hAnsi="Arial" w:cs="Arial"/>
                <w:lang w:val="en-US"/>
              </w:rPr>
              <w:t>Working groups or e-forums are established to revise or develop new modules and tools to address identified needs.</w:t>
            </w:r>
          </w:p>
          <w:p w:rsidR="004379E6" w:rsidRPr="00C52F85" w:rsidRDefault="004379E6" w:rsidP="003C3CAA">
            <w:pPr>
              <w:contextualSpacing/>
              <w:rPr>
                <w:rFonts w:ascii="Arial" w:hAnsi="Arial" w:cs="Arial"/>
                <w:lang w:val="en-US"/>
              </w:rPr>
            </w:pPr>
          </w:p>
          <w:p w:rsidR="004379E6" w:rsidRPr="00C52F85" w:rsidRDefault="004379E6" w:rsidP="003C3CAA">
            <w:pPr>
              <w:contextualSpacing/>
              <w:rPr>
                <w:rFonts w:ascii="Arial" w:hAnsi="Arial" w:cs="Arial"/>
                <w:lang w:val="en-US"/>
              </w:rPr>
            </w:pPr>
            <w:r w:rsidRPr="00C52F85">
              <w:rPr>
                <w:rFonts w:ascii="Arial" w:hAnsi="Arial" w:cs="Arial"/>
                <w:lang w:val="en-US"/>
              </w:rPr>
              <w:t>An action plan on modules and tools to be revised and/or added is developed.</w:t>
            </w:r>
          </w:p>
          <w:p w:rsidR="004379E6" w:rsidRPr="00C52F85" w:rsidRDefault="004379E6" w:rsidP="003C3CAA">
            <w:pPr>
              <w:contextualSpacing/>
              <w:rPr>
                <w:rFonts w:ascii="Arial" w:hAnsi="Arial" w:cs="Arial"/>
                <w:lang w:val="en-US"/>
              </w:rPr>
            </w:pPr>
          </w:p>
        </w:tc>
        <w:tc>
          <w:tcPr>
            <w:tcW w:w="3194" w:type="dxa"/>
            <w:shd w:val="clear" w:color="auto" w:fill="FFFFFF" w:themeFill="background1"/>
          </w:tcPr>
          <w:p w:rsidR="004379E6" w:rsidRPr="00C52F85" w:rsidRDefault="004379E6" w:rsidP="003C3CAA">
            <w:pPr>
              <w:contextualSpacing/>
              <w:rPr>
                <w:rFonts w:ascii="Arial" w:hAnsi="Arial" w:cs="Arial"/>
                <w:lang w:val="en-US"/>
              </w:rPr>
            </w:pPr>
            <w:r w:rsidRPr="00C52F85">
              <w:rPr>
                <w:rFonts w:ascii="Arial" w:eastAsia="Times" w:hAnsi="Arial" w:cs="Arial"/>
                <w:lang w:val="en-US"/>
              </w:rPr>
              <w:t xml:space="preserve">Routine survey of all countries that have applied the PCE during the previous calendar year is launched to get feedback on the </w:t>
            </w:r>
            <w:r w:rsidRPr="00C52F85">
              <w:rPr>
                <w:rFonts w:ascii="Arial" w:hAnsi="Arial" w:cs="Arial"/>
                <w:lang w:val="en-US"/>
              </w:rPr>
              <w:t>modules.</w:t>
            </w:r>
          </w:p>
          <w:p w:rsidR="004379E6" w:rsidRPr="00C52F85" w:rsidRDefault="004379E6" w:rsidP="003C3CAA">
            <w:pPr>
              <w:contextualSpacing/>
              <w:rPr>
                <w:rFonts w:ascii="Arial" w:hAnsi="Arial" w:cs="Arial"/>
                <w:lang w:val="en-US"/>
              </w:rPr>
            </w:pPr>
          </w:p>
          <w:p w:rsidR="004379E6" w:rsidRPr="00C52F85" w:rsidRDefault="004379E6" w:rsidP="003C3CAA">
            <w:pPr>
              <w:contextualSpacing/>
              <w:rPr>
                <w:rFonts w:ascii="Arial" w:hAnsi="Arial" w:cs="Arial"/>
                <w:lang w:val="en-US"/>
              </w:rPr>
            </w:pPr>
            <w:r w:rsidRPr="00C52F85">
              <w:rPr>
                <w:rFonts w:ascii="Arial" w:hAnsi="Arial" w:cs="Arial"/>
                <w:lang w:val="en-US"/>
              </w:rPr>
              <w:t>The action plan on modules and tools to be revised and/or added is implemented through working groups or e-forums.</w:t>
            </w:r>
          </w:p>
          <w:p w:rsidR="004379E6" w:rsidRPr="00C52F85" w:rsidRDefault="004379E6" w:rsidP="003C3CAA">
            <w:pPr>
              <w:contextualSpacing/>
              <w:rPr>
                <w:rFonts w:ascii="Arial" w:eastAsia="Times" w:hAnsi="Arial" w:cs="Arial"/>
                <w:b/>
                <w:i/>
                <w:lang w:val="en-US"/>
              </w:rPr>
            </w:pPr>
          </w:p>
        </w:tc>
        <w:tc>
          <w:tcPr>
            <w:tcW w:w="3194" w:type="dxa"/>
            <w:shd w:val="clear" w:color="auto" w:fill="FFFFFF" w:themeFill="background1"/>
          </w:tcPr>
          <w:p w:rsidR="004379E6" w:rsidRPr="00C52F85" w:rsidRDefault="004379E6" w:rsidP="003C3CAA">
            <w:pPr>
              <w:contextualSpacing/>
              <w:rPr>
                <w:rFonts w:ascii="Arial" w:hAnsi="Arial" w:cs="Arial"/>
                <w:lang w:val="en-US"/>
              </w:rPr>
            </w:pPr>
            <w:r w:rsidRPr="00C52F85">
              <w:rPr>
                <w:rFonts w:ascii="Arial" w:hAnsi="Arial" w:cs="Arial"/>
                <w:lang w:val="en-US"/>
              </w:rPr>
              <w:t xml:space="preserve">Routine survey of all countries that have applied the PCE during the previous calendar year is launched to get feedback on the modules. </w:t>
            </w:r>
          </w:p>
          <w:p w:rsidR="004379E6" w:rsidRPr="00C52F85" w:rsidRDefault="004379E6" w:rsidP="003C3CAA">
            <w:pPr>
              <w:contextualSpacing/>
              <w:rPr>
                <w:rFonts w:ascii="Arial" w:hAnsi="Arial" w:cs="Arial"/>
                <w:lang w:val="en-US"/>
              </w:rPr>
            </w:pPr>
          </w:p>
          <w:p w:rsidR="004379E6" w:rsidRPr="00C52F85" w:rsidRDefault="004379E6" w:rsidP="003C3CAA">
            <w:pPr>
              <w:contextualSpacing/>
              <w:rPr>
                <w:rFonts w:ascii="Arial" w:hAnsi="Arial" w:cs="Arial"/>
                <w:lang w:val="en-US"/>
              </w:rPr>
            </w:pPr>
            <w:r w:rsidRPr="00C52F85">
              <w:rPr>
                <w:rFonts w:ascii="Arial" w:hAnsi="Arial" w:cs="Arial"/>
                <w:lang w:val="en-US"/>
              </w:rPr>
              <w:t>The action plan on modules and tools to be revised and/or added is fully implemented through working groups or e-forums.</w:t>
            </w:r>
          </w:p>
          <w:p w:rsidR="004379E6" w:rsidRPr="00C52F85" w:rsidRDefault="004379E6" w:rsidP="003C3CAA">
            <w:pPr>
              <w:contextualSpacing/>
              <w:rPr>
                <w:rFonts w:ascii="Arial" w:eastAsia="Times" w:hAnsi="Arial" w:cs="Arial"/>
                <w:b/>
                <w:i/>
                <w:lang w:val="en-US"/>
              </w:rPr>
            </w:pPr>
          </w:p>
        </w:tc>
      </w:tr>
      <w:tr w:rsidR="004379E6" w:rsidRPr="00C52F85" w:rsidTr="003C3CAA">
        <w:tc>
          <w:tcPr>
            <w:tcW w:w="3193" w:type="dxa"/>
            <w:shd w:val="clear" w:color="auto" w:fill="FFFFFF" w:themeFill="background1"/>
          </w:tcPr>
          <w:p w:rsidR="004379E6" w:rsidRPr="00C52F85" w:rsidRDefault="004379E6" w:rsidP="003C3CAA">
            <w:pPr>
              <w:spacing w:after="160" w:line="259" w:lineRule="auto"/>
              <w:contextualSpacing/>
              <w:rPr>
                <w:rFonts w:ascii="Arial" w:hAnsi="Arial" w:cs="Arial"/>
                <w:b/>
                <w:lang w:val="en-US"/>
              </w:rPr>
            </w:pPr>
            <w:r w:rsidRPr="00C52F85">
              <w:rPr>
                <w:rFonts w:ascii="Arial" w:eastAsia="Times" w:hAnsi="Arial" w:cs="Arial"/>
                <w:b/>
                <w:lang w:val="en-US"/>
              </w:rPr>
              <w:t>5. A strong network of phytosanitary expertise is available to facilitate the application of PCEs</w:t>
            </w:r>
          </w:p>
        </w:tc>
        <w:tc>
          <w:tcPr>
            <w:tcW w:w="3194" w:type="dxa"/>
            <w:shd w:val="clear" w:color="auto" w:fill="FFFFFF" w:themeFill="background1"/>
          </w:tcPr>
          <w:p w:rsidR="004379E6" w:rsidRPr="00C52F85" w:rsidRDefault="004379E6" w:rsidP="003C3CAA">
            <w:pPr>
              <w:spacing w:after="180"/>
              <w:rPr>
                <w:rFonts w:ascii="Arial" w:eastAsia="Times" w:hAnsi="Arial" w:cs="Arial"/>
                <w:lang w:val="en-US"/>
              </w:rPr>
            </w:pPr>
            <w:r w:rsidRPr="00C52F85">
              <w:rPr>
                <w:rFonts w:ascii="Arial" w:eastAsia="Times" w:hAnsi="Arial" w:cs="Arial"/>
                <w:lang w:val="en-US"/>
              </w:rPr>
              <w:t>Five trainees who followed the initial theoretical PCE facilitators training are accredited.</w:t>
            </w:r>
          </w:p>
          <w:p w:rsidR="004379E6" w:rsidRPr="00C52F85" w:rsidRDefault="004379E6" w:rsidP="003C3CAA">
            <w:pPr>
              <w:spacing w:after="180"/>
              <w:rPr>
                <w:rFonts w:ascii="Arial" w:eastAsia="Times" w:hAnsi="Arial" w:cs="Arial"/>
                <w:lang w:val="en-US"/>
              </w:rPr>
            </w:pPr>
          </w:p>
        </w:tc>
        <w:tc>
          <w:tcPr>
            <w:tcW w:w="3194" w:type="dxa"/>
            <w:shd w:val="clear" w:color="auto" w:fill="FFFFFF" w:themeFill="background1"/>
          </w:tcPr>
          <w:p w:rsidR="004379E6" w:rsidRPr="00C52F85" w:rsidRDefault="004379E6" w:rsidP="003C3CAA">
            <w:pPr>
              <w:rPr>
                <w:rFonts w:ascii="Arial" w:eastAsia="Times" w:hAnsi="Arial" w:cs="Arial"/>
                <w:lang w:val="en-US"/>
              </w:rPr>
            </w:pPr>
            <w:r w:rsidRPr="00C52F85">
              <w:rPr>
                <w:rFonts w:ascii="Arial" w:eastAsia="Times" w:hAnsi="Arial" w:cs="Arial"/>
                <w:lang w:val="en-US"/>
              </w:rPr>
              <w:t>A training course for new PCE facilitators is set and delivered.</w:t>
            </w:r>
          </w:p>
          <w:p w:rsidR="004379E6" w:rsidRPr="00C52F85" w:rsidRDefault="004379E6" w:rsidP="003C3CAA">
            <w:pPr>
              <w:rPr>
                <w:rFonts w:ascii="Arial" w:eastAsia="Times" w:hAnsi="Arial" w:cs="Arial"/>
                <w:lang w:val="en-US"/>
              </w:rPr>
            </w:pPr>
          </w:p>
          <w:p w:rsidR="004379E6" w:rsidRPr="00C52F85" w:rsidRDefault="004379E6" w:rsidP="003C3CAA">
            <w:pPr>
              <w:rPr>
                <w:rFonts w:ascii="Arial" w:eastAsia="Times" w:hAnsi="Arial" w:cs="Arial"/>
                <w:lang w:val="en-US"/>
              </w:rPr>
            </w:pPr>
            <w:r w:rsidRPr="00C52F85">
              <w:rPr>
                <w:rFonts w:ascii="Arial" w:eastAsia="Times" w:hAnsi="Arial" w:cs="Arial"/>
                <w:lang w:val="en-US"/>
              </w:rPr>
              <w:t>Training on the updated PCE Tool is developed and delivered to current PCE facilitators (virtual or face-to-face) (as required).</w:t>
            </w:r>
          </w:p>
          <w:p w:rsidR="004379E6" w:rsidRPr="00C52F85" w:rsidRDefault="004379E6" w:rsidP="003C3CAA">
            <w:pPr>
              <w:spacing w:after="180"/>
              <w:rPr>
                <w:rFonts w:ascii="Arial" w:eastAsia="Times" w:hAnsi="Arial" w:cs="Arial"/>
                <w:lang w:val="en-US"/>
              </w:rPr>
            </w:pPr>
          </w:p>
        </w:tc>
        <w:tc>
          <w:tcPr>
            <w:tcW w:w="3194" w:type="dxa"/>
            <w:shd w:val="clear" w:color="auto" w:fill="FFFFFF" w:themeFill="background1"/>
          </w:tcPr>
          <w:p w:rsidR="004379E6" w:rsidRPr="00C52F85" w:rsidRDefault="004379E6" w:rsidP="003C3CAA">
            <w:pPr>
              <w:rPr>
                <w:rFonts w:ascii="Arial" w:eastAsia="Times" w:hAnsi="Arial" w:cs="Arial"/>
                <w:lang w:val="en-US"/>
              </w:rPr>
            </w:pPr>
            <w:r w:rsidRPr="00C52F85">
              <w:rPr>
                <w:rFonts w:ascii="Arial" w:eastAsia="Times" w:hAnsi="Arial" w:cs="Arial"/>
                <w:lang w:val="en-US"/>
              </w:rPr>
              <w:t>A training course for new PCE facilitators is set and delivered on a regular basis.</w:t>
            </w:r>
          </w:p>
          <w:p w:rsidR="004379E6" w:rsidRPr="00C52F85" w:rsidRDefault="004379E6" w:rsidP="003C3CAA">
            <w:pPr>
              <w:rPr>
                <w:rFonts w:ascii="Arial" w:eastAsia="Times" w:hAnsi="Arial" w:cs="Arial"/>
                <w:lang w:val="en-US"/>
              </w:rPr>
            </w:pPr>
          </w:p>
          <w:p w:rsidR="004379E6" w:rsidRPr="00C52F85" w:rsidRDefault="004379E6" w:rsidP="003C3CAA">
            <w:pPr>
              <w:rPr>
                <w:rFonts w:ascii="Arial" w:eastAsia="Times" w:hAnsi="Arial" w:cs="Arial"/>
                <w:lang w:val="en-US"/>
              </w:rPr>
            </w:pPr>
            <w:r w:rsidRPr="00C52F85">
              <w:rPr>
                <w:rFonts w:ascii="Arial" w:eastAsia="Times" w:hAnsi="Arial" w:cs="Arial"/>
                <w:lang w:val="en-US"/>
              </w:rPr>
              <w:t>Training on the updated PCE Tool is delivered to all current PCE facilitators (virtual or face-to-face) (as required).</w:t>
            </w:r>
          </w:p>
          <w:p w:rsidR="004379E6" w:rsidRPr="00C52F85" w:rsidRDefault="004379E6" w:rsidP="003C3CAA">
            <w:pPr>
              <w:rPr>
                <w:rFonts w:ascii="Arial" w:eastAsia="Times" w:hAnsi="Arial" w:cs="Arial"/>
                <w:lang w:val="en-US"/>
              </w:rPr>
            </w:pPr>
          </w:p>
          <w:p w:rsidR="004379E6" w:rsidRPr="00C52F85" w:rsidRDefault="004379E6" w:rsidP="003C3CAA">
            <w:pPr>
              <w:rPr>
                <w:rFonts w:ascii="Arial" w:eastAsia="Times" w:hAnsi="Arial" w:cs="Arial"/>
                <w:lang w:val="en-US"/>
              </w:rPr>
            </w:pPr>
            <w:r w:rsidRPr="00C52F85">
              <w:rPr>
                <w:rFonts w:ascii="Arial" w:eastAsia="Times" w:hAnsi="Arial" w:cs="Arial"/>
                <w:lang w:val="en-US"/>
              </w:rPr>
              <w:lastRenderedPageBreak/>
              <w:t>A functional network of PCE facilitators is in place to share experiences and advocate for the PCE.</w:t>
            </w:r>
          </w:p>
          <w:p w:rsidR="004379E6" w:rsidRPr="00C52F85" w:rsidRDefault="004379E6" w:rsidP="003C3CAA">
            <w:pPr>
              <w:contextualSpacing/>
              <w:rPr>
                <w:rFonts w:ascii="Arial" w:hAnsi="Arial" w:cs="Arial"/>
                <w:lang w:val="en-US"/>
              </w:rPr>
            </w:pPr>
          </w:p>
        </w:tc>
      </w:tr>
      <w:tr w:rsidR="004379E6" w:rsidRPr="00C52F85" w:rsidTr="003C3CAA">
        <w:tc>
          <w:tcPr>
            <w:tcW w:w="3193" w:type="dxa"/>
            <w:shd w:val="clear" w:color="auto" w:fill="FFFFFF" w:themeFill="background1"/>
          </w:tcPr>
          <w:p w:rsidR="004379E6" w:rsidRPr="00C52F85" w:rsidRDefault="004379E6" w:rsidP="003C3CAA">
            <w:pPr>
              <w:spacing w:after="180"/>
              <w:rPr>
                <w:rFonts w:ascii="Arial" w:eastAsia="Times" w:hAnsi="Arial" w:cs="Arial"/>
                <w:b/>
                <w:lang w:val="en-US"/>
              </w:rPr>
            </w:pPr>
            <w:r w:rsidRPr="00C52F85">
              <w:rPr>
                <w:rFonts w:ascii="Arial" w:eastAsia="Times" w:hAnsi="Arial" w:cs="Arial"/>
                <w:b/>
                <w:lang w:val="en-US"/>
              </w:rPr>
              <w:lastRenderedPageBreak/>
              <w:t>6. The Monitoring and Evaluation framework is used to measure outcomes from the application of PCEs</w:t>
            </w:r>
          </w:p>
          <w:p w:rsidR="004379E6" w:rsidRPr="00C52F85" w:rsidRDefault="004379E6" w:rsidP="003C3CAA">
            <w:pPr>
              <w:spacing w:after="180"/>
              <w:ind w:left="337"/>
              <w:rPr>
                <w:rFonts w:ascii="Arial" w:hAnsi="Arial" w:cs="Arial"/>
                <w:b/>
                <w:lang w:val="en-US"/>
              </w:rPr>
            </w:pPr>
          </w:p>
        </w:tc>
        <w:tc>
          <w:tcPr>
            <w:tcW w:w="3194" w:type="dxa"/>
            <w:shd w:val="clear" w:color="auto" w:fill="FFFFFF" w:themeFill="background1"/>
          </w:tcPr>
          <w:p w:rsidR="004379E6" w:rsidRPr="00C52F85" w:rsidRDefault="004379E6" w:rsidP="003C3CAA">
            <w:pPr>
              <w:rPr>
                <w:rFonts w:ascii="Arial" w:eastAsia="Times" w:hAnsi="Arial" w:cs="Arial"/>
                <w:lang w:val="en-US"/>
              </w:rPr>
            </w:pPr>
            <w:r w:rsidRPr="00C52F85">
              <w:rPr>
                <w:rFonts w:ascii="Arial" w:eastAsia="Times" w:hAnsi="Arial" w:cs="Arial"/>
                <w:lang w:val="en-US"/>
              </w:rPr>
              <w:t>The IPPC Secretariat M&amp;E framework measuring global impacts of PCE applications is developed.</w:t>
            </w:r>
          </w:p>
          <w:p w:rsidR="004379E6" w:rsidRPr="00C52F85" w:rsidRDefault="004379E6" w:rsidP="003C3CAA">
            <w:pPr>
              <w:spacing w:after="180"/>
              <w:rPr>
                <w:rFonts w:ascii="Arial" w:eastAsia="Times" w:hAnsi="Arial" w:cs="Arial"/>
                <w:lang w:val="en-US"/>
              </w:rPr>
            </w:pPr>
          </w:p>
        </w:tc>
        <w:tc>
          <w:tcPr>
            <w:tcW w:w="3194" w:type="dxa"/>
            <w:shd w:val="clear" w:color="auto" w:fill="FFFFFF" w:themeFill="background1"/>
          </w:tcPr>
          <w:p w:rsidR="004379E6" w:rsidRPr="00C52F85" w:rsidRDefault="004379E6" w:rsidP="003C3CAA">
            <w:pPr>
              <w:rPr>
                <w:rFonts w:ascii="Arial" w:eastAsia="Times" w:hAnsi="Arial" w:cs="Arial"/>
                <w:lang w:val="en-US"/>
              </w:rPr>
            </w:pPr>
            <w:r w:rsidRPr="00C52F85">
              <w:rPr>
                <w:rFonts w:ascii="Arial" w:eastAsia="Times" w:hAnsi="Arial" w:cs="Arial"/>
                <w:lang w:val="en-US"/>
              </w:rPr>
              <w:t>The M&amp;E framework is used to report on PCE applications and outcomes.</w:t>
            </w:r>
          </w:p>
        </w:tc>
        <w:tc>
          <w:tcPr>
            <w:tcW w:w="3194" w:type="dxa"/>
            <w:shd w:val="clear" w:color="auto" w:fill="FFFFFF" w:themeFill="background1"/>
          </w:tcPr>
          <w:p w:rsidR="004379E6" w:rsidRPr="00C52F85" w:rsidRDefault="004379E6" w:rsidP="003C3CAA">
            <w:pPr>
              <w:spacing w:after="180"/>
              <w:rPr>
                <w:rFonts w:ascii="Arial" w:eastAsia="Times" w:hAnsi="Arial" w:cs="Arial"/>
                <w:lang w:val="en-US"/>
              </w:rPr>
            </w:pPr>
            <w:r w:rsidRPr="00C52F85">
              <w:rPr>
                <w:rFonts w:ascii="Arial" w:eastAsia="Times" w:hAnsi="Arial" w:cs="Arial"/>
                <w:lang w:val="en-US"/>
              </w:rPr>
              <w:t>The M&amp;E framework is used to report on PCE applications and outcomes.</w:t>
            </w:r>
          </w:p>
        </w:tc>
      </w:tr>
    </w:tbl>
    <w:p w:rsidR="004379E6" w:rsidRPr="00C52F85" w:rsidRDefault="004379E6" w:rsidP="004379E6">
      <w:pPr>
        <w:rPr>
          <w:rFonts w:ascii="Calibri" w:hAnsi="Calibri" w:cs="Times New Roman"/>
          <w:b/>
          <w:i/>
          <w:lang w:val="en-US"/>
        </w:rPr>
      </w:pPr>
    </w:p>
    <w:sectPr w:rsidR="004379E6" w:rsidRPr="00C52F85" w:rsidSect="00053651">
      <w:headerReference w:type="even" r:id="rId13"/>
      <w:headerReference w:type="default" r:id="rId14"/>
      <w:footerReference w:type="even" r:id="rId15"/>
      <w:footerReference w:type="default" r:id="rId16"/>
      <w:pgSz w:w="16838" w:h="11906" w:orient="landscape"/>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1406" w:rsidRDefault="00331406" w:rsidP="007B3ECF">
      <w:r>
        <w:separator/>
      </w:r>
    </w:p>
  </w:endnote>
  <w:endnote w:type="continuationSeparator" w:id="1">
    <w:p w:rsidR="00331406" w:rsidRDefault="00331406" w:rsidP="007B3ECF">
      <w:r>
        <w:continuationSeparator/>
      </w:r>
    </w:p>
  </w:endnote>
  <w:endnote w:type="continuationNotice" w:id="2">
    <w:p w:rsidR="00331406" w:rsidRDefault="00331406" w:rsidP="00175FCC">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8064391"/>
      <w:docPartObj>
        <w:docPartGallery w:val="Page Numbers (Bottom of Page)"/>
        <w:docPartUnique/>
      </w:docPartObj>
    </w:sdtPr>
    <w:sdtContent>
      <w:sdt>
        <w:sdtPr>
          <w:id w:val="1223327676"/>
          <w:docPartObj>
            <w:docPartGallery w:val="Page Numbers (Top of Page)"/>
            <w:docPartUnique/>
          </w:docPartObj>
        </w:sdtPr>
        <w:sdtContent>
          <w:p w:rsidR="00DF7C06" w:rsidRDefault="00DF7C06" w:rsidP="00D0197C">
            <w:pPr>
              <w:pStyle w:val="IPPFooter"/>
            </w:pPr>
            <w:r>
              <w:t xml:space="preserve">Page </w:t>
            </w:r>
            <w:r w:rsidR="00CD643B">
              <w:fldChar w:fldCharType="begin"/>
            </w:r>
            <w:r>
              <w:instrText xml:space="preserve"> PAGE </w:instrText>
            </w:r>
            <w:r w:rsidR="00CD643B">
              <w:fldChar w:fldCharType="separate"/>
            </w:r>
            <w:r w:rsidR="004379E6">
              <w:rPr>
                <w:noProof/>
              </w:rPr>
              <w:t>2</w:t>
            </w:r>
            <w:r w:rsidR="00CD643B">
              <w:fldChar w:fldCharType="end"/>
            </w:r>
            <w:r>
              <w:t xml:space="preserve"> of </w:t>
            </w:r>
            <w:r w:rsidR="00CD643B">
              <w:rPr>
                <w:noProof/>
              </w:rPr>
              <w:fldChar w:fldCharType="begin"/>
            </w:r>
            <w:r>
              <w:rPr>
                <w:noProof/>
              </w:rPr>
              <w:instrText xml:space="preserve"> NUMPAGES  </w:instrText>
            </w:r>
            <w:r w:rsidR="00CD643B">
              <w:rPr>
                <w:noProof/>
              </w:rPr>
              <w:fldChar w:fldCharType="separate"/>
            </w:r>
            <w:r w:rsidR="004379E6">
              <w:rPr>
                <w:noProof/>
              </w:rPr>
              <w:t>6</w:t>
            </w:r>
            <w:r w:rsidR="00CD643B">
              <w:rPr>
                <w:noProof/>
              </w:rPr>
              <w:fldChar w:fldCharType="end"/>
            </w:r>
            <w:r>
              <w:tab/>
              <w:t xml:space="preserve">                                                                                                 International Plant Protection Convention</w:t>
            </w:r>
          </w:p>
        </w:sdtContent>
      </w:sdt>
    </w:sdtContent>
  </w:sdt>
  <w:p w:rsidR="00CD643B" w:rsidRDefault="00CD643B"/>
  <w:p w:rsidR="00CD643B" w:rsidRDefault="00CD643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C06" w:rsidRDefault="00DF7C06" w:rsidP="00D0197C">
    <w:pPr>
      <w:pStyle w:val="IPPFooter"/>
    </w:pPr>
    <w:r>
      <w:t>International Plant Protection Convention</w:t>
    </w:r>
    <w:r>
      <w:tab/>
    </w:r>
    <w:sdt>
      <w:sdtPr>
        <w:id w:val="-1531650167"/>
        <w:docPartObj>
          <w:docPartGallery w:val="Page Numbers (Bottom of Page)"/>
          <w:docPartUnique/>
        </w:docPartObj>
      </w:sdtPr>
      <w:sdtContent>
        <w:sdt>
          <w:sdtPr>
            <w:id w:val="123433701"/>
            <w:docPartObj>
              <w:docPartGallery w:val="Page Numbers (Top of Page)"/>
              <w:docPartUnique/>
            </w:docPartObj>
          </w:sdtPr>
          <w:sdtContent>
            <w:sdt>
              <w:sdtPr>
                <w:id w:val="528065149"/>
                <w:docPartObj>
                  <w:docPartGallery w:val="Page Numbers (Bottom of Page)"/>
                  <w:docPartUnique/>
                </w:docPartObj>
              </w:sdtPr>
              <w:sdtContent>
                <w:sdt>
                  <w:sdtPr>
                    <w:id w:val="-285504046"/>
                    <w:docPartObj>
                      <w:docPartGallery w:val="Page Numbers (Top of Page)"/>
                      <w:docPartUnique/>
                    </w:docPartObj>
                  </w:sdtPr>
                  <w:sdtContent>
                    <w:r>
                      <w:t xml:space="preserve">Page </w:t>
                    </w:r>
                    <w:r w:rsidR="00CD643B">
                      <w:rPr>
                        <w:bCs/>
                        <w:sz w:val="24"/>
                      </w:rPr>
                      <w:fldChar w:fldCharType="begin"/>
                    </w:r>
                    <w:r>
                      <w:rPr>
                        <w:bCs/>
                      </w:rPr>
                      <w:instrText xml:space="preserve"> PAGE </w:instrText>
                    </w:r>
                    <w:r w:rsidR="00CD643B">
                      <w:rPr>
                        <w:bCs/>
                        <w:sz w:val="24"/>
                      </w:rPr>
                      <w:fldChar w:fldCharType="separate"/>
                    </w:r>
                    <w:r w:rsidR="004D77BF">
                      <w:rPr>
                        <w:bCs/>
                        <w:noProof/>
                      </w:rPr>
                      <w:t>2</w:t>
                    </w:r>
                    <w:r w:rsidR="00CD643B">
                      <w:rPr>
                        <w:bCs/>
                        <w:sz w:val="24"/>
                      </w:rPr>
                      <w:fldChar w:fldCharType="end"/>
                    </w:r>
                    <w:r>
                      <w:t xml:space="preserve"> of </w:t>
                    </w:r>
                    <w:r w:rsidR="00CD643B">
                      <w:rPr>
                        <w:bCs/>
                        <w:sz w:val="24"/>
                      </w:rPr>
                      <w:fldChar w:fldCharType="begin"/>
                    </w:r>
                    <w:r>
                      <w:rPr>
                        <w:bCs/>
                      </w:rPr>
                      <w:instrText xml:space="preserve"> NUMPAGES  </w:instrText>
                    </w:r>
                    <w:r w:rsidR="00CD643B">
                      <w:rPr>
                        <w:bCs/>
                        <w:sz w:val="24"/>
                      </w:rPr>
                      <w:fldChar w:fldCharType="separate"/>
                    </w:r>
                    <w:r w:rsidR="004D77BF">
                      <w:rPr>
                        <w:bCs/>
                        <w:noProof/>
                      </w:rPr>
                      <w:t>4</w:t>
                    </w:r>
                    <w:r w:rsidR="00CD643B">
                      <w:rPr>
                        <w:bCs/>
                        <w:sz w:val="24"/>
                      </w:rPr>
                      <w:fldChar w:fldCharType="end"/>
                    </w:r>
                  </w:sdtContent>
                </w:sdt>
              </w:sdtContent>
            </w:sdt>
          </w:sdtContent>
        </w:sdt>
      </w:sdtContent>
    </w:sdt>
  </w:p>
  <w:p w:rsidR="001C4F1E" w:rsidRDefault="001C4F1E"/>
  <w:p w:rsidR="00CD643B" w:rsidRDefault="00CD643B"/>
  <w:p w:rsidR="00CD643B" w:rsidRDefault="00CD643B"/>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C06" w:rsidRDefault="00DF7C06" w:rsidP="00AF3039">
    <w:pPr>
      <w:pStyle w:val="IPPFooter"/>
    </w:pPr>
    <w:r>
      <w:t>International Plant protection Convention</w:t>
    </w:r>
    <w:r>
      <w:tab/>
    </w:r>
    <w:sdt>
      <w:sdtPr>
        <w:id w:val="458999517"/>
        <w:docPartObj>
          <w:docPartGallery w:val="Page Numbers (Bottom of Page)"/>
          <w:docPartUnique/>
        </w:docPartObj>
      </w:sdtPr>
      <w:sdtContent>
        <w:sdt>
          <w:sdtPr>
            <w:id w:val="2033148854"/>
            <w:docPartObj>
              <w:docPartGallery w:val="Page Numbers (Top of Page)"/>
              <w:docPartUnique/>
            </w:docPartObj>
          </w:sdtPr>
          <w:sdtContent>
            <w:sdt>
              <w:sdtPr>
                <w:id w:val="-1773237854"/>
                <w:docPartObj>
                  <w:docPartGallery w:val="Page Numbers (Bottom of Page)"/>
                  <w:docPartUnique/>
                </w:docPartObj>
              </w:sdtPr>
              <w:sdtContent>
                <w:sdt>
                  <w:sdtPr>
                    <w:id w:val="1854528475"/>
                    <w:docPartObj>
                      <w:docPartGallery w:val="Page Numbers (Top of Page)"/>
                      <w:docPartUnique/>
                    </w:docPartObj>
                  </w:sdtPr>
                  <w:sdtContent>
                    <w:r>
                      <w:t xml:space="preserve">Page </w:t>
                    </w:r>
                    <w:r w:rsidR="00CD643B">
                      <w:rPr>
                        <w:bCs/>
                        <w:sz w:val="24"/>
                      </w:rPr>
                      <w:fldChar w:fldCharType="begin"/>
                    </w:r>
                    <w:r>
                      <w:rPr>
                        <w:bCs/>
                      </w:rPr>
                      <w:instrText xml:space="preserve"> PAGE </w:instrText>
                    </w:r>
                    <w:r w:rsidR="00CD643B">
                      <w:rPr>
                        <w:bCs/>
                        <w:sz w:val="24"/>
                      </w:rPr>
                      <w:fldChar w:fldCharType="separate"/>
                    </w:r>
                    <w:r w:rsidR="0041647A">
                      <w:rPr>
                        <w:bCs/>
                        <w:noProof/>
                      </w:rPr>
                      <w:t>1</w:t>
                    </w:r>
                    <w:r w:rsidR="00CD643B">
                      <w:rPr>
                        <w:bCs/>
                        <w:sz w:val="24"/>
                      </w:rPr>
                      <w:fldChar w:fldCharType="end"/>
                    </w:r>
                    <w:r>
                      <w:t xml:space="preserve"> of </w:t>
                    </w:r>
                    <w:r w:rsidR="00CD643B">
                      <w:rPr>
                        <w:bCs/>
                        <w:sz w:val="24"/>
                      </w:rPr>
                      <w:fldChar w:fldCharType="begin"/>
                    </w:r>
                    <w:r>
                      <w:rPr>
                        <w:bCs/>
                      </w:rPr>
                      <w:instrText xml:space="preserve"> NUMPAGES  </w:instrText>
                    </w:r>
                    <w:r w:rsidR="00CD643B">
                      <w:rPr>
                        <w:bCs/>
                        <w:sz w:val="24"/>
                      </w:rPr>
                      <w:fldChar w:fldCharType="separate"/>
                    </w:r>
                    <w:r w:rsidR="0041647A">
                      <w:rPr>
                        <w:bCs/>
                        <w:noProof/>
                      </w:rPr>
                      <w:t>4</w:t>
                    </w:r>
                    <w:r w:rsidR="00CD643B">
                      <w:rPr>
                        <w:bCs/>
                        <w:sz w:val="24"/>
                      </w:rPr>
                      <w:fldChar w:fldCharType="end"/>
                    </w:r>
                  </w:sdtContent>
                </w:sdt>
              </w:sdtContent>
            </w:sdt>
          </w:sdtContent>
        </w:sdt>
      </w:sdtContent>
    </w:sdt>
  </w:p>
  <w:p w:rsidR="00CD643B" w:rsidRDefault="00053651" w:rsidP="00053651">
    <w:pPr>
      <w:tabs>
        <w:tab w:val="left" w:pos="3143"/>
      </w:tabs>
    </w:pPr>
    <w: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9E6" w:rsidRPr="0050642E" w:rsidRDefault="004379E6" w:rsidP="00D04113">
    <w:pPr>
      <w:pStyle w:val="IPPFooterLandscape"/>
    </w:pPr>
    <w:r w:rsidRPr="0050642E">
      <w:rPr>
        <w:rStyle w:val="Numrodepage"/>
        <w:bCs/>
      </w:rPr>
      <w:t xml:space="preserve">Page </w:t>
    </w:r>
    <w:r w:rsidR="00CD643B" w:rsidRPr="0050642E">
      <w:rPr>
        <w:rStyle w:val="Numrodepage"/>
        <w:b/>
        <w:bCs/>
      </w:rPr>
      <w:fldChar w:fldCharType="begin"/>
    </w:r>
    <w:r w:rsidRPr="0050642E">
      <w:rPr>
        <w:rStyle w:val="Numrodepage"/>
        <w:bCs/>
      </w:rPr>
      <w:instrText xml:space="preserve"> PAGE </w:instrText>
    </w:r>
    <w:r w:rsidR="00CD643B" w:rsidRPr="0050642E">
      <w:rPr>
        <w:rStyle w:val="Numrodepage"/>
        <w:b/>
        <w:bCs/>
      </w:rPr>
      <w:fldChar w:fldCharType="separate"/>
    </w:r>
    <w:r w:rsidR="000934F7">
      <w:rPr>
        <w:rStyle w:val="Numrodepage"/>
        <w:bCs/>
      </w:rPr>
      <w:t>4</w:t>
    </w:r>
    <w:r w:rsidR="00CD643B" w:rsidRPr="0050642E">
      <w:rPr>
        <w:rStyle w:val="Numrodepage"/>
        <w:b/>
        <w:bCs/>
      </w:rPr>
      <w:fldChar w:fldCharType="end"/>
    </w:r>
    <w:r w:rsidRPr="0050642E">
      <w:rPr>
        <w:rStyle w:val="Numrodepage"/>
        <w:bCs/>
      </w:rPr>
      <w:t xml:space="preserve"> of </w:t>
    </w:r>
    <w:r w:rsidR="00CD643B" w:rsidRPr="0050642E">
      <w:rPr>
        <w:rStyle w:val="Numrodepage"/>
        <w:b/>
        <w:bCs/>
      </w:rPr>
      <w:fldChar w:fldCharType="begin"/>
    </w:r>
    <w:r w:rsidRPr="0050642E">
      <w:rPr>
        <w:rStyle w:val="Numrodepage"/>
        <w:bCs/>
      </w:rPr>
      <w:instrText xml:space="preserve"> NUMPAGES </w:instrText>
    </w:r>
    <w:r w:rsidR="00CD643B" w:rsidRPr="0050642E">
      <w:rPr>
        <w:rStyle w:val="Numrodepage"/>
        <w:b/>
        <w:bCs/>
      </w:rPr>
      <w:fldChar w:fldCharType="separate"/>
    </w:r>
    <w:r w:rsidR="000934F7">
      <w:rPr>
        <w:rStyle w:val="Numrodepage"/>
        <w:bCs/>
      </w:rPr>
      <w:t>7</w:t>
    </w:r>
    <w:r w:rsidR="00CD643B" w:rsidRPr="0050642E">
      <w:rPr>
        <w:rStyle w:val="Numrodepage"/>
        <w:b/>
        <w:bCs/>
      </w:rPr>
      <w:fldChar w:fldCharType="end"/>
    </w:r>
    <w:r>
      <w:rPr>
        <w:rStyle w:val="Numrodepage"/>
        <w:bCs/>
      </w:rPr>
      <w:tab/>
    </w:r>
    <w:r>
      <w:t>International Plant Protection Convention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9E6" w:rsidRPr="0050642E" w:rsidRDefault="004379E6" w:rsidP="00D04113">
    <w:pPr>
      <w:pStyle w:val="IPPFooterLandscape"/>
    </w:pPr>
    <w:r>
      <w:t>International Plant Protection Convention</w:t>
    </w:r>
    <w:r w:rsidRPr="00D656B3">
      <w:tab/>
    </w:r>
    <w:r w:rsidRPr="005C4EC5">
      <w:rPr>
        <w:rStyle w:val="Numrodepage"/>
        <w:bCs/>
      </w:rPr>
      <w:t xml:space="preserve">Page </w:t>
    </w:r>
    <w:r w:rsidR="00CD643B" w:rsidRPr="005C4EC5">
      <w:rPr>
        <w:rStyle w:val="Numrodepage"/>
        <w:b/>
        <w:bCs/>
      </w:rPr>
      <w:fldChar w:fldCharType="begin"/>
    </w:r>
    <w:r w:rsidRPr="005C4EC5">
      <w:rPr>
        <w:rStyle w:val="Numrodepage"/>
        <w:bCs/>
      </w:rPr>
      <w:instrText xml:space="preserve"> PAGE </w:instrText>
    </w:r>
    <w:r w:rsidR="00CD643B" w:rsidRPr="005C4EC5">
      <w:rPr>
        <w:rStyle w:val="Numrodepage"/>
        <w:b/>
        <w:bCs/>
      </w:rPr>
      <w:fldChar w:fldCharType="separate"/>
    </w:r>
    <w:r w:rsidR="004D77BF">
      <w:rPr>
        <w:rStyle w:val="Numrodepage"/>
        <w:bCs/>
      </w:rPr>
      <w:t>2</w:t>
    </w:r>
    <w:r w:rsidR="00CD643B" w:rsidRPr="005C4EC5">
      <w:rPr>
        <w:rStyle w:val="Numrodepage"/>
        <w:b/>
        <w:bCs/>
      </w:rPr>
      <w:fldChar w:fldCharType="end"/>
    </w:r>
    <w:r w:rsidRPr="005C4EC5">
      <w:rPr>
        <w:rStyle w:val="Numrodepage"/>
        <w:bCs/>
      </w:rPr>
      <w:t xml:space="preserve"> of </w:t>
    </w:r>
    <w:r w:rsidR="00CD643B" w:rsidRPr="005C4EC5">
      <w:rPr>
        <w:rStyle w:val="Numrodepage"/>
        <w:b/>
        <w:bCs/>
      </w:rPr>
      <w:fldChar w:fldCharType="begin"/>
    </w:r>
    <w:r w:rsidRPr="005C4EC5">
      <w:rPr>
        <w:rStyle w:val="Numrodepage"/>
        <w:bCs/>
      </w:rPr>
      <w:instrText xml:space="preserve"> NUMPAGES </w:instrText>
    </w:r>
    <w:r w:rsidR="00CD643B" w:rsidRPr="005C4EC5">
      <w:rPr>
        <w:rStyle w:val="Numrodepage"/>
        <w:b/>
        <w:bCs/>
      </w:rPr>
      <w:fldChar w:fldCharType="separate"/>
    </w:r>
    <w:r w:rsidR="004D77BF">
      <w:rPr>
        <w:rStyle w:val="Numrodepage"/>
        <w:bCs/>
      </w:rPr>
      <w:t>4</w:t>
    </w:r>
    <w:r w:rsidR="00CD643B" w:rsidRPr="005C4EC5">
      <w:rPr>
        <w:rStyle w:val="Numrodepage"/>
        <w:b/>
        <w:b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1406" w:rsidRDefault="00331406" w:rsidP="007B3ECF">
      <w:r>
        <w:separator/>
      </w:r>
    </w:p>
  </w:footnote>
  <w:footnote w:type="continuationSeparator" w:id="1">
    <w:p w:rsidR="00331406" w:rsidRDefault="00331406" w:rsidP="007B3ECF">
      <w:r>
        <w:continuationSeparator/>
      </w:r>
    </w:p>
  </w:footnote>
  <w:footnote w:type="continuationNotice" w:id="2">
    <w:p w:rsidR="00331406" w:rsidRDefault="00331406" w:rsidP="00175FCC">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C06" w:rsidRPr="00C52F85" w:rsidRDefault="008F21A0" w:rsidP="00AF3039">
    <w:pPr>
      <w:pStyle w:val="IPPHeader"/>
      <w:rPr>
        <w:lang w:val="en-US"/>
      </w:rPr>
    </w:pPr>
    <w:r w:rsidRPr="00C52F85">
      <w:rPr>
        <w:lang w:val="en-US"/>
      </w:rPr>
      <w:t>25_IC_2019_May</w:t>
    </w:r>
    <w:r w:rsidR="00DF7C06" w:rsidRPr="00C52F85">
      <w:rPr>
        <w:lang w:val="en-US"/>
      </w:rPr>
      <w:tab/>
    </w:r>
    <w:r w:rsidRPr="00C52F85">
      <w:rPr>
        <w:lang w:val="en-US"/>
      </w:rPr>
      <w:t>IPPC Phytosanitary Capacity Evaluation strategy 2020-2030</w:t>
    </w:r>
  </w:p>
  <w:p w:rsidR="00CD643B" w:rsidRPr="00C52F85" w:rsidRDefault="00CD643B">
    <w:pPr>
      <w:rPr>
        <w:lang w:val="en-US"/>
      </w:rPr>
    </w:pPr>
  </w:p>
  <w:p w:rsidR="00CD643B" w:rsidRPr="00C52F85" w:rsidRDefault="00CD643B">
    <w:pPr>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4F7" w:rsidRDefault="000934F7" w:rsidP="008F21A0">
    <w:pPr>
      <w:pStyle w:val="IPPHeader"/>
      <w:rPr>
        <w:i/>
        <w:lang w:val="en-US"/>
      </w:rPr>
    </w:pPr>
    <w:r>
      <w:rPr>
        <w:noProof/>
        <w:lang w:eastAsia="fr-FR"/>
      </w:rPr>
      <w:drawing>
        <wp:anchor distT="0" distB="0" distL="114300" distR="114300" simplePos="0" relativeHeight="251664384" behindDoc="0" locked="0" layoutInCell="1" allowOverlap="1">
          <wp:simplePos x="0" y="0"/>
          <wp:positionH relativeFrom="column">
            <wp:posOffset>-12065</wp:posOffset>
          </wp:positionH>
          <wp:positionV relativeFrom="paragraph">
            <wp:posOffset>-19050</wp:posOffset>
          </wp:positionV>
          <wp:extent cx="629285" cy="320675"/>
          <wp:effectExtent l="19050" t="0" r="0" b="0"/>
          <wp:wrapSquare wrapText="bothSides"/>
          <wp:docPr id="3" name="Picture 3"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PCLogo"/>
                  <pic:cNvPicPr>
                    <a:picLocks noChangeAspect="1" noChangeArrowheads="1"/>
                  </pic:cNvPicPr>
                </pic:nvPicPr>
                <pic:blipFill>
                  <a:blip r:embed="rId1"/>
                  <a:srcRect/>
                  <a:stretch>
                    <a:fillRect/>
                  </a:stretch>
                </pic:blipFill>
                <pic:spPr bwMode="auto">
                  <a:xfrm>
                    <a:off x="0" y="0"/>
                    <a:ext cx="629285" cy="320675"/>
                  </a:xfrm>
                  <a:prstGeom prst="rect">
                    <a:avLst/>
                  </a:prstGeom>
                  <a:noFill/>
                  <a:ln w="9525">
                    <a:noFill/>
                    <a:miter lim="800000"/>
                    <a:headEnd/>
                    <a:tailEnd/>
                  </a:ln>
                </pic:spPr>
              </pic:pic>
            </a:graphicData>
          </a:graphic>
        </wp:anchor>
      </w:drawing>
    </w:r>
    <w:r w:rsidR="00DF7C06">
      <w:rPr>
        <w:noProof/>
        <w:lang w:eastAsia="fr-FR"/>
      </w:rPr>
      <w:drawing>
        <wp:anchor distT="0" distB="0" distL="114300" distR="114300" simplePos="0" relativeHeight="251666432" behindDoc="0" locked="0" layoutInCell="1" allowOverlap="0">
          <wp:simplePos x="0" y="0"/>
          <wp:positionH relativeFrom="page">
            <wp:posOffset>8389</wp:posOffset>
          </wp:positionH>
          <wp:positionV relativeFrom="paragraph">
            <wp:posOffset>-532701</wp:posOffset>
          </wp:positionV>
          <wp:extent cx="7759817" cy="471462"/>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ppc-banner-background-web-1.jp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861597" cy="477646"/>
                  </a:xfrm>
                  <a:prstGeom prst="rect">
                    <a:avLst/>
                  </a:prstGeom>
                </pic:spPr>
              </pic:pic>
            </a:graphicData>
          </a:graphic>
        </wp:anchor>
      </w:drawing>
    </w:r>
    <w:r w:rsidR="00C52F85">
      <w:rPr>
        <w:lang w:val="en-US"/>
      </w:rPr>
      <w:t xml:space="preserve">                      </w:t>
    </w:r>
    <w:r w:rsidR="00DF7C06" w:rsidRPr="00C52F85">
      <w:rPr>
        <w:lang w:val="en-US"/>
      </w:rPr>
      <w:t>International Plant Protection Convention</w:t>
    </w:r>
    <w:r w:rsidR="00C52F85" w:rsidRPr="00C52F85">
      <w:rPr>
        <w:i/>
        <w:lang w:val="en-US"/>
      </w:rPr>
      <w:t xml:space="preserve"> </w:t>
    </w:r>
  </w:p>
  <w:p w:rsidR="00CD643B" w:rsidRPr="00C52F85" w:rsidRDefault="000934F7" w:rsidP="000934F7">
    <w:pPr>
      <w:pStyle w:val="IPPHeader"/>
      <w:tabs>
        <w:tab w:val="clear" w:pos="1134"/>
        <w:tab w:val="left" w:pos="3119"/>
      </w:tabs>
      <w:ind w:left="1418" w:hanging="1418"/>
      <w:jc w:val="right"/>
      <w:rPr>
        <w:lang w:val="en-US"/>
      </w:rPr>
    </w:pPr>
    <w:r>
      <w:rPr>
        <w:i/>
        <w:lang w:val="en-US"/>
      </w:rPr>
      <w:t xml:space="preserve">                                                                                              </w:t>
    </w:r>
    <w:r w:rsidR="00C52F85" w:rsidRPr="00C52F85">
      <w:rPr>
        <w:i/>
        <w:lang w:val="en-US"/>
      </w:rPr>
      <w:t>Phytosanitary Capacity Evaluation Strategy 2020-2030</w:t>
    </w:r>
    <w:r w:rsidR="00DF7C06" w:rsidRPr="00C52F85">
      <w:rPr>
        <w:lang w:val="en-US"/>
      </w:rPr>
      <w:tab/>
    </w:r>
    <w:r w:rsidR="00C52F85">
      <w:rPr>
        <w:lang w:val="en-US"/>
      </w:rPr>
      <w:t xml:space="preserve">                                                      </w:t>
    </w:r>
    <w:r w:rsidR="00DF7C06" w:rsidRPr="00C52F85">
      <w:rPr>
        <w:i/>
        <w:lang w:val="en-US"/>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9E6" w:rsidRPr="00C52F85" w:rsidRDefault="004379E6" w:rsidP="00D04113">
    <w:pPr>
      <w:pStyle w:val="IPPHeaderlandscape"/>
      <w:rPr>
        <w:lang w:val="en-US"/>
      </w:rPr>
    </w:pPr>
    <w:r w:rsidRPr="00C52F85">
      <w:rPr>
        <w:lang w:val="en-US"/>
      </w:rPr>
      <w:t>The 4</w:t>
    </w:r>
    <w:r w:rsidRPr="00C52F85">
      <w:rPr>
        <w:vertAlign w:val="superscript"/>
        <w:lang w:val="en-US"/>
      </w:rPr>
      <w:t>th</w:t>
    </w:r>
    <w:r w:rsidRPr="00C52F85">
      <w:rPr>
        <w:lang w:val="en-US"/>
      </w:rPr>
      <w:t>Implementation and Capacity Development Committee</w:t>
    </w:r>
    <w:r w:rsidRPr="00C52F85">
      <w:rPr>
        <w:lang w:val="en-US"/>
      </w:rPr>
      <w:tab/>
      <w:t>APPENDIX 11</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9E6" w:rsidRPr="000934F7" w:rsidRDefault="004379E6" w:rsidP="000934F7">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07DAE"/>
    <w:multiLevelType w:val="multilevel"/>
    <w:tmpl w:val="378E9F34"/>
    <w:lvl w:ilvl="0">
      <w:start w:val="1"/>
      <w:numFmt w:val="decimal"/>
      <w:lvlText w:val="%1."/>
      <w:lvlJc w:val="left"/>
      <w:pPr>
        <w:ind w:left="720" w:hanging="360"/>
      </w:pPr>
      <w:rPr>
        <w:rFonts w:hint="default"/>
        <w:b w:val="0"/>
      </w:rPr>
    </w:lvl>
    <w:lvl w:ilvl="1">
      <w:start w:val="1"/>
      <w:numFmt w:val="decimal"/>
      <w:isLgl/>
      <w:lvlText w:val="%1.%2"/>
      <w:lvlJc w:val="left"/>
      <w:pPr>
        <w:ind w:left="810" w:hanging="45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4C0A6C"/>
    <w:multiLevelType w:val="multilevel"/>
    <w:tmpl w:val="06E871E4"/>
    <w:numStyleLink w:val="IPPParagraphnumberedlist"/>
  </w:abstractNum>
  <w:abstractNum w:abstractNumId="3">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19643E3E"/>
    <w:multiLevelType w:val="hybridMultilevel"/>
    <w:tmpl w:val="46440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
    <w:nsid w:val="1DD64B89"/>
    <w:multiLevelType w:val="hybridMultilevel"/>
    <w:tmpl w:val="9A2AD78E"/>
    <w:lvl w:ilvl="0" w:tplc="EE942C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660E23"/>
    <w:multiLevelType w:val="hybridMultilevel"/>
    <w:tmpl w:val="FE4C35EC"/>
    <w:lvl w:ilvl="0" w:tplc="C042272A">
      <w:start w:val="5"/>
      <w:numFmt w:val="decimal"/>
      <w:lvlText w:val="%1."/>
      <w:lvlJc w:val="left"/>
      <w:pPr>
        <w:ind w:left="720" w:hanging="360"/>
      </w:pPr>
      <w:rPr>
        <w:rFonts w:eastAsia="MS Mincho"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3849DA"/>
    <w:multiLevelType w:val="multilevel"/>
    <w:tmpl w:val="F3E2B700"/>
    <w:lvl w:ilvl="0">
      <w:start w:val="1"/>
      <w:numFmt w:val="decimal"/>
      <w:lvlText w:val="%1"/>
      <w:lvlJc w:val="left"/>
      <w:pPr>
        <w:ind w:left="480" w:hanging="480"/>
      </w:pPr>
      <w:rPr>
        <w:rFonts w:hint="default"/>
      </w:rPr>
    </w:lvl>
    <w:lvl w:ilvl="1">
      <w:start w:val="1"/>
      <w:numFmt w:val="decimal"/>
      <w:lvlText w:val="%1.%2"/>
      <w:lvlJc w:val="left"/>
      <w:pPr>
        <w:ind w:left="648" w:hanging="480"/>
      </w:pPr>
      <w:rPr>
        <w:rFonts w:hint="default"/>
      </w:rPr>
    </w:lvl>
    <w:lvl w:ilvl="2">
      <w:start w:val="1"/>
      <w:numFmt w:val="decimal"/>
      <w:lvlText w:val="%1.%2.%3"/>
      <w:lvlJc w:val="left"/>
      <w:pPr>
        <w:ind w:left="1056" w:hanging="720"/>
      </w:pPr>
      <w:rPr>
        <w:rFonts w:hint="default"/>
      </w:rPr>
    </w:lvl>
    <w:lvl w:ilvl="3">
      <w:start w:val="1"/>
      <w:numFmt w:val="decimal"/>
      <w:lvlText w:val="%1.%2.%3.%4"/>
      <w:lvlJc w:val="left"/>
      <w:pPr>
        <w:ind w:left="1224" w:hanging="720"/>
      </w:pPr>
      <w:rPr>
        <w:rFonts w:hint="default"/>
      </w:rPr>
    </w:lvl>
    <w:lvl w:ilvl="4">
      <w:start w:val="1"/>
      <w:numFmt w:val="decimal"/>
      <w:lvlText w:val="%1.%2.%3.%4.%5"/>
      <w:lvlJc w:val="left"/>
      <w:pPr>
        <w:ind w:left="1392" w:hanging="720"/>
      </w:pPr>
      <w:rPr>
        <w:rFonts w:hint="default"/>
      </w:rPr>
    </w:lvl>
    <w:lvl w:ilvl="5">
      <w:start w:val="1"/>
      <w:numFmt w:val="decimal"/>
      <w:lvlText w:val="%1.%2.%3.%4.%5.%6"/>
      <w:lvlJc w:val="left"/>
      <w:pPr>
        <w:ind w:left="1920" w:hanging="1080"/>
      </w:pPr>
      <w:rPr>
        <w:rFonts w:hint="default"/>
      </w:rPr>
    </w:lvl>
    <w:lvl w:ilvl="6">
      <w:start w:val="1"/>
      <w:numFmt w:val="decimal"/>
      <w:lvlText w:val="%1.%2.%3.%4.%5.%6.%7"/>
      <w:lvlJc w:val="left"/>
      <w:pPr>
        <w:ind w:left="2088" w:hanging="1080"/>
      </w:pPr>
      <w:rPr>
        <w:rFonts w:hint="default"/>
      </w:rPr>
    </w:lvl>
    <w:lvl w:ilvl="7">
      <w:start w:val="1"/>
      <w:numFmt w:val="decimal"/>
      <w:lvlText w:val="%1.%2.%3.%4.%5.%6.%7.%8"/>
      <w:lvlJc w:val="left"/>
      <w:pPr>
        <w:ind w:left="2616" w:hanging="1440"/>
      </w:pPr>
      <w:rPr>
        <w:rFonts w:hint="default"/>
      </w:rPr>
    </w:lvl>
    <w:lvl w:ilvl="8">
      <w:start w:val="1"/>
      <w:numFmt w:val="decimal"/>
      <w:lvlText w:val="%1.%2.%3.%4.%5.%6.%7.%8.%9"/>
      <w:lvlJc w:val="left"/>
      <w:pPr>
        <w:ind w:left="2784" w:hanging="1440"/>
      </w:pPr>
      <w:rPr>
        <w:rFonts w:hint="default"/>
      </w:rPr>
    </w:lvl>
  </w:abstractNum>
  <w:abstractNum w:abstractNumId="9">
    <w:nsid w:val="277273DE"/>
    <w:multiLevelType w:val="hybridMultilevel"/>
    <w:tmpl w:val="D5FA80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06B2FD3"/>
    <w:multiLevelType w:val="hybridMultilevel"/>
    <w:tmpl w:val="DB0036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2">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3EFA305F"/>
    <w:multiLevelType w:val="hybridMultilevel"/>
    <w:tmpl w:val="FC1C705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0FF0AED"/>
    <w:multiLevelType w:val="hybridMultilevel"/>
    <w:tmpl w:val="AFACC9DA"/>
    <w:lvl w:ilvl="0" w:tplc="040B0015">
      <w:start w:val="1"/>
      <w:numFmt w:val="upperLetter"/>
      <w:lvlText w:val="%1."/>
      <w:lvlJc w:val="left"/>
      <w:pPr>
        <w:ind w:left="72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7">
    <w:nsid w:val="5D1B1056"/>
    <w:multiLevelType w:val="multilevel"/>
    <w:tmpl w:val="06E871E4"/>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8">
    <w:nsid w:val="60806835"/>
    <w:multiLevelType w:val="hybridMultilevel"/>
    <w:tmpl w:val="88AA6BB4"/>
    <w:lvl w:ilvl="0" w:tplc="2B92FC9C">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521E3C"/>
    <w:multiLevelType w:val="hybridMultilevel"/>
    <w:tmpl w:val="5F9ECE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7F7B61"/>
    <w:multiLevelType w:val="hybridMultilevel"/>
    <w:tmpl w:val="3B4EA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2"/>
    <w:lvlOverride w:ilvl="0">
      <w:lvl w:ilvl="0">
        <w:start w:val="1"/>
        <w:numFmt w:val="decimal"/>
        <w:lvlText w:val="[%1]"/>
        <w:lvlJc w:val="left"/>
        <w:pPr>
          <w:tabs>
            <w:tab w:val="num" w:pos="0"/>
          </w:tabs>
          <w:ind w:left="0" w:hanging="482"/>
        </w:pPr>
        <w:rPr>
          <w:rFonts w:ascii="Arial" w:hAnsi="Arial" w:hint="default"/>
          <w:b w:val="0"/>
          <w:i/>
          <w:color w:val="0000FF"/>
          <w:sz w:val="16"/>
          <w:lang w:val="en-US"/>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
    <w:abstractNumId w:val="20"/>
  </w:num>
  <w:num w:numId="4">
    <w:abstractNumId w:val="3"/>
  </w:num>
  <w:num w:numId="5">
    <w:abstractNumId w:val="23"/>
  </w:num>
  <w:num w:numId="6">
    <w:abstractNumId w:val="16"/>
  </w:num>
  <w:num w:numId="7">
    <w:abstractNumId w:val="12"/>
  </w:num>
  <w:num w:numId="8">
    <w:abstractNumId w:val="24"/>
  </w:num>
  <w:num w:numId="9">
    <w:abstractNumId w:val="1"/>
  </w:num>
  <w:num w:numId="10">
    <w:abstractNumId w:val="22"/>
  </w:num>
  <w:num w:numId="11">
    <w:abstractNumId w:val="0"/>
  </w:num>
  <w:num w:numId="12">
    <w:abstractNumId w:val="8"/>
  </w:num>
  <w:num w:numId="13">
    <w:abstractNumId w:val="15"/>
  </w:num>
  <w:num w:numId="14">
    <w:abstractNumId w:val="18"/>
  </w:num>
  <w:num w:numId="15">
    <w:abstractNumId w:val="21"/>
  </w:num>
  <w:num w:numId="16">
    <w:abstractNumId w:val="6"/>
  </w:num>
  <w:num w:numId="17">
    <w:abstractNumId w:val="4"/>
  </w:num>
  <w:num w:numId="18">
    <w:abstractNumId w:val="2"/>
  </w:num>
  <w:num w:numId="19">
    <w:abstractNumId w:val="5"/>
  </w:num>
  <w:num w:numId="20">
    <w:abstractNumId w:val="14"/>
  </w:num>
  <w:num w:numId="21">
    <w:abstractNumId w:val="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2">
    <w:abstractNumId w:val="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3">
    <w:abstractNumId w:val="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4">
    <w:abstractNumId w:val="9"/>
  </w:num>
  <w:num w:numId="25">
    <w:abstractNumId w:val="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6">
    <w:abstractNumId w:val="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7">
    <w:abstractNumId w:val="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8">
    <w:abstractNumId w:val="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9">
    <w:abstractNumId w:val="7"/>
  </w:num>
  <w:num w:numId="30">
    <w:abstractNumId w:val="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1">
    <w:abstractNumId w:val="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2">
    <w:abstractNumId w:val="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3">
    <w:abstractNumId w:val="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4">
    <w:abstractNumId w:val="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5">
    <w:abstractNumId w:val="2"/>
    <w:lvlOverride w:ilvl="0">
      <w:startOverride w:val="1"/>
      <w:lvl w:ilvl="0">
        <w:start w:val="1"/>
        <w:numFmt w:val="decimal"/>
        <w:lvlText w:val="[%1]"/>
        <w:lvlJc w:val="left"/>
        <w:pPr>
          <w:tabs>
            <w:tab w:val="num" w:pos="0"/>
          </w:tabs>
          <w:ind w:left="0" w:hanging="482"/>
        </w:pPr>
        <w:rPr>
          <w:rFonts w:ascii="Arial" w:hAnsi="Arial" w:hint="default"/>
          <w:b w:val="0"/>
          <w:i/>
          <w:color w:val="0000FF"/>
          <w:sz w:val="16"/>
        </w:rPr>
      </w:lvl>
    </w:lvlOverride>
    <w:lvlOverride w:ilvl="1">
      <w:startOverride w:val="1"/>
      <w:lvl w:ilvl="1">
        <w:start w:val="1"/>
        <w:numFmt w:val="none"/>
        <w:lvlRestart w:val="0"/>
        <w:lvlText w:val=""/>
        <w:lvlJc w:val="left"/>
        <w:pPr>
          <w:tabs>
            <w:tab w:val="num" w:pos="0"/>
          </w:tabs>
          <w:ind w:left="0" w:hanging="482"/>
        </w:pPr>
        <w:rPr>
          <w:rFonts w:hint="default"/>
        </w:rPr>
      </w:lvl>
    </w:lvlOverride>
    <w:lvlOverride w:ilvl="2">
      <w:startOverride w:val="1"/>
      <w:lvl w:ilvl="2">
        <w:start w:val="1"/>
        <w:numFmt w:val="none"/>
        <w:lvlRestart w:val="0"/>
        <w:lvlText w:val=""/>
        <w:lvlJc w:val="left"/>
        <w:pPr>
          <w:tabs>
            <w:tab w:val="num" w:pos="0"/>
          </w:tabs>
          <w:ind w:left="0" w:hanging="482"/>
        </w:pPr>
        <w:rPr>
          <w:rFonts w:hint="default"/>
        </w:rPr>
      </w:lvl>
    </w:lvlOverride>
    <w:lvlOverride w:ilvl="3">
      <w:startOverride w:val="1"/>
      <w:lvl w:ilvl="3">
        <w:start w:val="1"/>
        <w:numFmt w:val="none"/>
        <w:lvlRestart w:val="0"/>
        <w:lvlText w:val=""/>
        <w:lvlJc w:val="left"/>
        <w:pPr>
          <w:tabs>
            <w:tab w:val="num" w:pos="0"/>
          </w:tabs>
          <w:ind w:left="0" w:hanging="482"/>
        </w:pPr>
        <w:rPr>
          <w:rFonts w:hint="default"/>
        </w:rPr>
      </w:lvl>
    </w:lvlOverride>
    <w:lvlOverride w:ilvl="4">
      <w:startOverride w:val="1"/>
      <w:lvl w:ilvl="4">
        <w:start w:val="1"/>
        <w:numFmt w:val="none"/>
        <w:lvlRestart w:val="0"/>
        <w:lvlText w:val=""/>
        <w:lvlJc w:val="left"/>
        <w:pPr>
          <w:tabs>
            <w:tab w:val="num" w:pos="0"/>
          </w:tabs>
          <w:ind w:left="0" w:hanging="482"/>
        </w:pPr>
        <w:rPr>
          <w:rFonts w:hint="default"/>
        </w:rPr>
      </w:lvl>
    </w:lvlOverride>
    <w:lvlOverride w:ilvl="5">
      <w:startOverride w:val="1"/>
      <w:lvl w:ilvl="5">
        <w:start w:val="1"/>
        <w:numFmt w:val="none"/>
        <w:lvlRestart w:val="0"/>
        <w:lvlText w:val=""/>
        <w:lvlJc w:val="left"/>
        <w:pPr>
          <w:tabs>
            <w:tab w:val="num" w:pos="0"/>
          </w:tabs>
          <w:ind w:left="0" w:hanging="482"/>
        </w:pPr>
        <w:rPr>
          <w:rFonts w:hint="default"/>
        </w:rPr>
      </w:lvl>
    </w:lvlOverride>
    <w:lvlOverride w:ilvl="6">
      <w:startOverride w:val="1"/>
      <w:lvl w:ilvl="6">
        <w:start w:val="1"/>
        <w:numFmt w:val="none"/>
        <w:lvlRestart w:val="0"/>
        <w:lvlText w:val=""/>
        <w:lvlJc w:val="left"/>
        <w:pPr>
          <w:tabs>
            <w:tab w:val="num" w:pos="0"/>
          </w:tabs>
          <w:ind w:left="0" w:hanging="482"/>
        </w:pPr>
        <w:rPr>
          <w:rFonts w:hint="default"/>
        </w:rPr>
      </w:lvl>
    </w:lvlOverride>
    <w:lvlOverride w:ilvl="7">
      <w:startOverride w:val="1"/>
      <w:lvl w:ilvl="7">
        <w:start w:val="1"/>
        <w:numFmt w:val="none"/>
        <w:lvlRestart w:val="0"/>
        <w:lvlText w:val=""/>
        <w:lvlJc w:val="left"/>
        <w:pPr>
          <w:tabs>
            <w:tab w:val="num" w:pos="0"/>
          </w:tabs>
          <w:ind w:left="0" w:hanging="482"/>
        </w:pPr>
        <w:rPr>
          <w:rFonts w:hint="default"/>
        </w:rPr>
      </w:lvl>
    </w:lvlOverride>
    <w:lvlOverride w:ilvl="8">
      <w:startOverride w:val="1"/>
      <w:lvl w:ilvl="8">
        <w:start w:val="1"/>
        <w:numFmt w:val="none"/>
        <w:lvlRestart w:val="0"/>
        <w:lvlText w:val=""/>
        <w:lvlJc w:val="left"/>
        <w:pPr>
          <w:tabs>
            <w:tab w:val="num" w:pos="0"/>
          </w:tabs>
          <w:ind w:left="0" w:hanging="482"/>
        </w:pPr>
        <w:rPr>
          <w:rFonts w:hint="default"/>
        </w:rPr>
      </w:lvl>
    </w:lvlOverride>
  </w:num>
  <w:num w:numId="36">
    <w:abstractNumId w:val="2"/>
    <w:lvlOverride w:ilvl="0">
      <w:startOverride w:val="1"/>
      <w:lvl w:ilvl="0">
        <w:start w:val="1"/>
        <w:numFmt w:val="decimal"/>
        <w:lvlText w:val="[%1]"/>
        <w:lvlJc w:val="left"/>
        <w:pPr>
          <w:tabs>
            <w:tab w:val="num" w:pos="0"/>
          </w:tabs>
          <w:ind w:left="0" w:hanging="482"/>
        </w:pPr>
        <w:rPr>
          <w:rFonts w:ascii="Arial" w:hAnsi="Arial" w:hint="default"/>
          <w:b w:val="0"/>
          <w:i/>
          <w:color w:val="0000FF"/>
          <w:sz w:val="16"/>
        </w:rPr>
      </w:lvl>
    </w:lvlOverride>
    <w:lvlOverride w:ilvl="1">
      <w:startOverride w:val="1"/>
      <w:lvl w:ilvl="1">
        <w:start w:val="1"/>
        <w:numFmt w:val="none"/>
        <w:lvlRestart w:val="0"/>
        <w:lvlText w:val=""/>
        <w:lvlJc w:val="left"/>
        <w:pPr>
          <w:tabs>
            <w:tab w:val="num" w:pos="0"/>
          </w:tabs>
          <w:ind w:left="0" w:hanging="482"/>
        </w:pPr>
        <w:rPr>
          <w:rFonts w:hint="default"/>
        </w:rPr>
      </w:lvl>
    </w:lvlOverride>
    <w:lvlOverride w:ilvl="2">
      <w:startOverride w:val="1"/>
      <w:lvl w:ilvl="2">
        <w:start w:val="1"/>
        <w:numFmt w:val="none"/>
        <w:lvlRestart w:val="0"/>
        <w:lvlText w:val=""/>
        <w:lvlJc w:val="left"/>
        <w:pPr>
          <w:tabs>
            <w:tab w:val="num" w:pos="0"/>
          </w:tabs>
          <w:ind w:left="0" w:hanging="482"/>
        </w:pPr>
        <w:rPr>
          <w:rFonts w:hint="default"/>
        </w:rPr>
      </w:lvl>
    </w:lvlOverride>
    <w:lvlOverride w:ilvl="3">
      <w:startOverride w:val="1"/>
      <w:lvl w:ilvl="3">
        <w:start w:val="1"/>
        <w:numFmt w:val="none"/>
        <w:lvlRestart w:val="0"/>
        <w:lvlText w:val=""/>
        <w:lvlJc w:val="left"/>
        <w:pPr>
          <w:tabs>
            <w:tab w:val="num" w:pos="0"/>
          </w:tabs>
          <w:ind w:left="0" w:hanging="482"/>
        </w:pPr>
        <w:rPr>
          <w:rFonts w:hint="default"/>
        </w:rPr>
      </w:lvl>
    </w:lvlOverride>
    <w:lvlOverride w:ilvl="4">
      <w:startOverride w:val="1"/>
      <w:lvl w:ilvl="4">
        <w:start w:val="1"/>
        <w:numFmt w:val="none"/>
        <w:lvlRestart w:val="0"/>
        <w:lvlText w:val=""/>
        <w:lvlJc w:val="left"/>
        <w:pPr>
          <w:tabs>
            <w:tab w:val="num" w:pos="0"/>
          </w:tabs>
          <w:ind w:left="0" w:hanging="482"/>
        </w:pPr>
        <w:rPr>
          <w:rFonts w:hint="default"/>
        </w:rPr>
      </w:lvl>
    </w:lvlOverride>
    <w:lvlOverride w:ilvl="5">
      <w:startOverride w:val="1"/>
      <w:lvl w:ilvl="5">
        <w:start w:val="1"/>
        <w:numFmt w:val="none"/>
        <w:lvlRestart w:val="0"/>
        <w:lvlText w:val=""/>
        <w:lvlJc w:val="left"/>
        <w:pPr>
          <w:tabs>
            <w:tab w:val="num" w:pos="0"/>
          </w:tabs>
          <w:ind w:left="0" w:hanging="482"/>
        </w:pPr>
        <w:rPr>
          <w:rFonts w:hint="default"/>
        </w:rPr>
      </w:lvl>
    </w:lvlOverride>
    <w:lvlOverride w:ilvl="6">
      <w:startOverride w:val="1"/>
      <w:lvl w:ilvl="6">
        <w:start w:val="1"/>
        <w:numFmt w:val="none"/>
        <w:lvlRestart w:val="0"/>
        <w:lvlText w:val=""/>
        <w:lvlJc w:val="left"/>
        <w:pPr>
          <w:tabs>
            <w:tab w:val="num" w:pos="0"/>
          </w:tabs>
          <w:ind w:left="0" w:hanging="482"/>
        </w:pPr>
        <w:rPr>
          <w:rFonts w:hint="default"/>
        </w:rPr>
      </w:lvl>
    </w:lvlOverride>
    <w:lvlOverride w:ilvl="7">
      <w:startOverride w:val="1"/>
      <w:lvl w:ilvl="7">
        <w:start w:val="1"/>
        <w:numFmt w:val="none"/>
        <w:lvlRestart w:val="0"/>
        <w:lvlText w:val=""/>
        <w:lvlJc w:val="left"/>
        <w:pPr>
          <w:tabs>
            <w:tab w:val="num" w:pos="0"/>
          </w:tabs>
          <w:ind w:left="0" w:hanging="482"/>
        </w:pPr>
        <w:rPr>
          <w:rFonts w:hint="default"/>
        </w:rPr>
      </w:lvl>
    </w:lvlOverride>
    <w:lvlOverride w:ilvl="8">
      <w:startOverride w:val="1"/>
      <w:lvl w:ilvl="8">
        <w:start w:val="1"/>
        <w:numFmt w:val="none"/>
        <w:lvlRestart w:val="0"/>
        <w:lvlText w:val=""/>
        <w:lvlJc w:val="left"/>
        <w:pPr>
          <w:tabs>
            <w:tab w:val="num" w:pos="0"/>
          </w:tabs>
          <w:ind w:left="0" w:hanging="482"/>
        </w:pPr>
        <w:rPr>
          <w:rFonts w:hint="default"/>
        </w:rPr>
      </w:lvl>
    </w:lvlOverride>
  </w:num>
  <w:num w:numId="37">
    <w:abstractNumId w:val="17"/>
  </w:num>
  <w:num w:numId="38">
    <w:abstractNumId w:val="10"/>
  </w:num>
  <w:num w:numId="39">
    <w:abstractNumId w:val="19"/>
  </w:num>
  <w:num w:numId="40">
    <w:abstractNumId w:val="1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linkStyles/>
  <w:defaultTabStop w:val="720"/>
  <w:hyphenationZone w:val="425"/>
  <w:drawingGridHorizontalSpacing w:val="110"/>
  <w:displayHorizontalDrawingGridEvery w:val="2"/>
  <w:characterSpacingControl w:val="doNotCompress"/>
  <w:hdrShapeDefaults>
    <o:shapedefaults v:ext="edit" spidmax="30721"/>
  </w:hdrShapeDefaults>
  <w:footnotePr>
    <w:footnote w:id="0"/>
    <w:footnote w:id="1"/>
    <w:footnote w:id="2"/>
  </w:footnotePr>
  <w:endnotePr>
    <w:endnote w:id="0"/>
    <w:endnote w:id="1"/>
    <w:endnote w:id="2"/>
  </w:endnotePr>
  <w:compat/>
  <w:rsids>
    <w:rsidRoot w:val="003F1397"/>
    <w:rsid w:val="00004963"/>
    <w:rsid w:val="000071B3"/>
    <w:rsid w:val="000105B6"/>
    <w:rsid w:val="00011ACC"/>
    <w:rsid w:val="00012339"/>
    <w:rsid w:val="000178BE"/>
    <w:rsid w:val="00021F21"/>
    <w:rsid w:val="00035778"/>
    <w:rsid w:val="0004075E"/>
    <w:rsid w:val="00045C5D"/>
    <w:rsid w:val="000521DE"/>
    <w:rsid w:val="00053193"/>
    <w:rsid w:val="00053651"/>
    <w:rsid w:val="000566FF"/>
    <w:rsid w:val="0005697C"/>
    <w:rsid w:val="00076C62"/>
    <w:rsid w:val="000806D0"/>
    <w:rsid w:val="00080824"/>
    <w:rsid w:val="0008140E"/>
    <w:rsid w:val="00086287"/>
    <w:rsid w:val="000934F7"/>
    <w:rsid w:val="000A2CC6"/>
    <w:rsid w:val="000A527A"/>
    <w:rsid w:val="000B1286"/>
    <w:rsid w:val="000B66BB"/>
    <w:rsid w:val="000B7997"/>
    <w:rsid w:val="000C532E"/>
    <w:rsid w:val="000D1BC1"/>
    <w:rsid w:val="000F32F2"/>
    <w:rsid w:val="00102E8E"/>
    <w:rsid w:val="0011224E"/>
    <w:rsid w:val="0011457A"/>
    <w:rsid w:val="001169FF"/>
    <w:rsid w:val="00116AD4"/>
    <w:rsid w:val="00123F49"/>
    <w:rsid w:val="00137932"/>
    <w:rsid w:val="0014488F"/>
    <w:rsid w:val="00154EEC"/>
    <w:rsid w:val="00164223"/>
    <w:rsid w:val="00165C7C"/>
    <w:rsid w:val="00166393"/>
    <w:rsid w:val="00167376"/>
    <w:rsid w:val="00170C15"/>
    <w:rsid w:val="00175FCC"/>
    <w:rsid w:val="00182460"/>
    <w:rsid w:val="0019687F"/>
    <w:rsid w:val="001A2C7F"/>
    <w:rsid w:val="001C4F1E"/>
    <w:rsid w:val="001C58FA"/>
    <w:rsid w:val="001D0E5A"/>
    <w:rsid w:val="001E257E"/>
    <w:rsid w:val="001E5980"/>
    <w:rsid w:val="001F1D94"/>
    <w:rsid w:val="001F2C3D"/>
    <w:rsid w:val="001F4306"/>
    <w:rsid w:val="001F437E"/>
    <w:rsid w:val="001F6C5F"/>
    <w:rsid w:val="002022C3"/>
    <w:rsid w:val="002166C7"/>
    <w:rsid w:val="0024132A"/>
    <w:rsid w:val="002448CD"/>
    <w:rsid w:val="00250FF1"/>
    <w:rsid w:val="00252E6D"/>
    <w:rsid w:val="00261F27"/>
    <w:rsid w:val="00266B09"/>
    <w:rsid w:val="00272705"/>
    <w:rsid w:val="0028152A"/>
    <w:rsid w:val="002820BB"/>
    <w:rsid w:val="00282A94"/>
    <w:rsid w:val="00282EA3"/>
    <w:rsid w:val="00291900"/>
    <w:rsid w:val="0029347A"/>
    <w:rsid w:val="002A0A29"/>
    <w:rsid w:val="002B16C1"/>
    <w:rsid w:val="002B7288"/>
    <w:rsid w:val="002C471A"/>
    <w:rsid w:val="002C5CB8"/>
    <w:rsid w:val="002C7231"/>
    <w:rsid w:val="002E293C"/>
    <w:rsid w:val="002E3B4B"/>
    <w:rsid w:val="002E53BC"/>
    <w:rsid w:val="002F2234"/>
    <w:rsid w:val="00303E59"/>
    <w:rsid w:val="003103E2"/>
    <w:rsid w:val="003140E7"/>
    <w:rsid w:val="003166C4"/>
    <w:rsid w:val="00323EE4"/>
    <w:rsid w:val="00331406"/>
    <w:rsid w:val="00333D45"/>
    <w:rsid w:val="0034056F"/>
    <w:rsid w:val="00342E05"/>
    <w:rsid w:val="00343D3D"/>
    <w:rsid w:val="00347D7A"/>
    <w:rsid w:val="00351520"/>
    <w:rsid w:val="00352B39"/>
    <w:rsid w:val="00354060"/>
    <w:rsid w:val="00356AAA"/>
    <w:rsid w:val="00371201"/>
    <w:rsid w:val="00371DF9"/>
    <w:rsid w:val="003835CF"/>
    <w:rsid w:val="003853FA"/>
    <w:rsid w:val="00392020"/>
    <w:rsid w:val="00392162"/>
    <w:rsid w:val="0039405E"/>
    <w:rsid w:val="003967DD"/>
    <w:rsid w:val="00397116"/>
    <w:rsid w:val="003A175F"/>
    <w:rsid w:val="003B00AF"/>
    <w:rsid w:val="003B2FE5"/>
    <w:rsid w:val="003B2FFD"/>
    <w:rsid w:val="003B7B93"/>
    <w:rsid w:val="003C0271"/>
    <w:rsid w:val="003D5484"/>
    <w:rsid w:val="003D5F34"/>
    <w:rsid w:val="003E0F61"/>
    <w:rsid w:val="003E1D48"/>
    <w:rsid w:val="003E70FB"/>
    <w:rsid w:val="003F1397"/>
    <w:rsid w:val="003F5001"/>
    <w:rsid w:val="003F55D2"/>
    <w:rsid w:val="003F6728"/>
    <w:rsid w:val="003F7E68"/>
    <w:rsid w:val="00403888"/>
    <w:rsid w:val="004048A6"/>
    <w:rsid w:val="0041647A"/>
    <w:rsid w:val="00416F2E"/>
    <w:rsid w:val="00422B96"/>
    <w:rsid w:val="00423EBE"/>
    <w:rsid w:val="0042717F"/>
    <w:rsid w:val="00436AD6"/>
    <w:rsid w:val="004379E6"/>
    <w:rsid w:val="00440051"/>
    <w:rsid w:val="004422CA"/>
    <w:rsid w:val="00443C3D"/>
    <w:rsid w:val="0045134C"/>
    <w:rsid w:val="00453350"/>
    <w:rsid w:val="004534E6"/>
    <w:rsid w:val="004644EA"/>
    <w:rsid w:val="00467077"/>
    <w:rsid w:val="00470C02"/>
    <w:rsid w:val="00473FEE"/>
    <w:rsid w:val="0047463A"/>
    <w:rsid w:val="00486C54"/>
    <w:rsid w:val="004874C9"/>
    <w:rsid w:val="00487808"/>
    <w:rsid w:val="0049752C"/>
    <w:rsid w:val="004A38F4"/>
    <w:rsid w:val="004A4117"/>
    <w:rsid w:val="004A4A07"/>
    <w:rsid w:val="004A7D50"/>
    <w:rsid w:val="004B0014"/>
    <w:rsid w:val="004B2B7E"/>
    <w:rsid w:val="004B665F"/>
    <w:rsid w:val="004B76A3"/>
    <w:rsid w:val="004C0DA8"/>
    <w:rsid w:val="004C43AF"/>
    <w:rsid w:val="004C4CC4"/>
    <w:rsid w:val="004C558C"/>
    <w:rsid w:val="004D77BF"/>
    <w:rsid w:val="004F47CA"/>
    <w:rsid w:val="00504BCE"/>
    <w:rsid w:val="0050634E"/>
    <w:rsid w:val="005118F7"/>
    <w:rsid w:val="00513B68"/>
    <w:rsid w:val="00513E70"/>
    <w:rsid w:val="005176C2"/>
    <w:rsid w:val="0052516E"/>
    <w:rsid w:val="00526461"/>
    <w:rsid w:val="00527410"/>
    <w:rsid w:val="005302CA"/>
    <w:rsid w:val="0053149B"/>
    <w:rsid w:val="0055017E"/>
    <w:rsid w:val="005538D4"/>
    <w:rsid w:val="005657EE"/>
    <w:rsid w:val="00566734"/>
    <w:rsid w:val="005717B2"/>
    <w:rsid w:val="005751DA"/>
    <w:rsid w:val="00575648"/>
    <w:rsid w:val="00575D8B"/>
    <w:rsid w:val="00577DBE"/>
    <w:rsid w:val="005846A9"/>
    <w:rsid w:val="0058636C"/>
    <w:rsid w:val="00586FF5"/>
    <w:rsid w:val="00594A69"/>
    <w:rsid w:val="00594F51"/>
    <w:rsid w:val="00595F69"/>
    <w:rsid w:val="005A40AB"/>
    <w:rsid w:val="005A40E7"/>
    <w:rsid w:val="005B5FE3"/>
    <w:rsid w:val="005C17F8"/>
    <w:rsid w:val="005C23B4"/>
    <w:rsid w:val="005C293C"/>
    <w:rsid w:val="005C3802"/>
    <w:rsid w:val="005D2669"/>
    <w:rsid w:val="005D37AE"/>
    <w:rsid w:val="005D37E2"/>
    <w:rsid w:val="005D69E6"/>
    <w:rsid w:val="005E2175"/>
    <w:rsid w:val="005F3D7D"/>
    <w:rsid w:val="005F3EE8"/>
    <w:rsid w:val="005F7CAD"/>
    <w:rsid w:val="00600477"/>
    <w:rsid w:val="00602837"/>
    <w:rsid w:val="006029EA"/>
    <w:rsid w:val="00607B19"/>
    <w:rsid w:val="00624E23"/>
    <w:rsid w:val="006353C9"/>
    <w:rsid w:val="00647D49"/>
    <w:rsid w:val="0066030A"/>
    <w:rsid w:val="00665DA5"/>
    <w:rsid w:val="00666D30"/>
    <w:rsid w:val="006816FD"/>
    <w:rsid w:val="006875CD"/>
    <w:rsid w:val="00692E50"/>
    <w:rsid w:val="006A13D6"/>
    <w:rsid w:val="006A6A93"/>
    <w:rsid w:val="006A6AFD"/>
    <w:rsid w:val="006B30A8"/>
    <w:rsid w:val="006B5690"/>
    <w:rsid w:val="006B58FC"/>
    <w:rsid w:val="006C7606"/>
    <w:rsid w:val="006D17F3"/>
    <w:rsid w:val="006D6C03"/>
    <w:rsid w:val="006F379C"/>
    <w:rsid w:val="006F6E44"/>
    <w:rsid w:val="00700DEF"/>
    <w:rsid w:val="00702F21"/>
    <w:rsid w:val="00704DEF"/>
    <w:rsid w:val="00710F8E"/>
    <w:rsid w:val="0071132B"/>
    <w:rsid w:val="007216C3"/>
    <w:rsid w:val="00721EFD"/>
    <w:rsid w:val="0072272C"/>
    <w:rsid w:val="007244BC"/>
    <w:rsid w:val="00732571"/>
    <w:rsid w:val="00734BCE"/>
    <w:rsid w:val="00734EA8"/>
    <w:rsid w:val="007405E3"/>
    <w:rsid w:val="007428FA"/>
    <w:rsid w:val="00742C8C"/>
    <w:rsid w:val="0074509B"/>
    <w:rsid w:val="007502FF"/>
    <w:rsid w:val="00750B7A"/>
    <w:rsid w:val="00757E34"/>
    <w:rsid w:val="00760939"/>
    <w:rsid w:val="00766D86"/>
    <w:rsid w:val="00767C54"/>
    <w:rsid w:val="00772F34"/>
    <w:rsid w:val="00782FF4"/>
    <w:rsid w:val="00784EBF"/>
    <w:rsid w:val="0078617C"/>
    <w:rsid w:val="00791491"/>
    <w:rsid w:val="00793417"/>
    <w:rsid w:val="007A2B0B"/>
    <w:rsid w:val="007B3178"/>
    <w:rsid w:val="007B3ECF"/>
    <w:rsid w:val="007B40D1"/>
    <w:rsid w:val="007B6529"/>
    <w:rsid w:val="007C0AC7"/>
    <w:rsid w:val="007C656B"/>
    <w:rsid w:val="007C7962"/>
    <w:rsid w:val="007E33F5"/>
    <w:rsid w:val="007F2BB0"/>
    <w:rsid w:val="00810CE1"/>
    <w:rsid w:val="00811D2E"/>
    <w:rsid w:val="008230BD"/>
    <w:rsid w:val="008234C2"/>
    <w:rsid w:val="00823C57"/>
    <w:rsid w:val="0083289F"/>
    <w:rsid w:val="00835F63"/>
    <w:rsid w:val="0083714F"/>
    <w:rsid w:val="0084041A"/>
    <w:rsid w:val="008447BC"/>
    <w:rsid w:val="00847D38"/>
    <w:rsid w:val="0085140D"/>
    <w:rsid w:val="00855FE2"/>
    <w:rsid w:val="00867F91"/>
    <w:rsid w:val="008705ED"/>
    <w:rsid w:val="00870A93"/>
    <w:rsid w:val="0087190C"/>
    <w:rsid w:val="0087388D"/>
    <w:rsid w:val="00875B58"/>
    <w:rsid w:val="00875FB3"/>
    <w:rsid w:val="0087752B"/>
    <w:rsid w:val="00881D1C"/>
    <w:rsid w:val="00885FD9"/>
    <w:rsid w:val="008907EA"/>
    <w:rsid w:val="008A226D"/>
    <w:rsid w:val="008A34CA"/>
    <w:rsid w:val="008B3CE1"/>
    <w:rsid w:val="008C4EF9"/>
    <w:rsid w:val="008E03EE"/>
    <w:rsid w:val="008E1D36"/>
    <w:rsid w:val="008F21A0"/>
    <w:rsid w:val="008F2B7B"/>
    <w:rsid w:val="008F44CB"/>
    <w:rsid w:val="008F4AEA"/>
    <w:rsid w:val="0090036E"/>
    <w:rsid w:val="009014EE"/>
    <w:rsid w:val="0091426A"/>
    <w:rsid w:val="00926EB0"/>
    <w:rsid w:val="00932BDE"/>
    <w:rsid w:val="0093547F"/>
    <w:rsid w:val="009428F4"/>
    <w:rsid w:val="00943A38"/>
    <w:rsid w:val="00946A18"/>
    <w:rsid w:val="009473DF"/>
    <w:rsid w:val="00957259"/>
    <w:rsid w:val="00960B60"/>
    <w:rsid w:val="00963CC0"/>
    <w:rsid w:val="009648D8"/>
    <w:rsid w:val="00970083"/>
    <w:rsid w:val="00972C11"/>
    <w:rsid w:val="009732CE"/>
    <w:rsid w:val="00973CC7"/>
    <w:rsid w:val="0097404A"/>
    <w:rsid w:val="009824BD"/>
    <w:rsid w:val="00983D74"/>
    <w:rsid w:val="009902D8"/>
    <w:rsid w:val="009913A2"/>
    <w:rsid w:val="009927AC"/>
    <w:rsid w:val="00994907"/>
    <w:rsid w:val="009A5142"/>
    <w:rsid w:val="009A7E96"/>
    <w:rsid w:val="009B5234"/>
    <w:rsid w:val="009B77C0"/>
    <w:rsid w:val="009D6E5D"/>
    <w:rsid w:val="00A04DFC"/>
    <w:rsid w:val="00A069B4"/>
    <w:rsid w:val="00A06A95"/>
    <w:rsid w:val="00A077BD"/>
    <w:rsid w:val="00A07F00"/>
    <w:rsid w:val="00A127DD"/>
    <w:rsid w:val="00A31448"/>
    <w:rsid w:val="00A3466C"/>
    <w:rsid w:val="00A350CB"/>
    <w:rsid w:val="00A350D3"/>
    <w:rsid w:val="00A35B8F"/>
    <w:rsid w:val="00A43847"/>
    <w:rsid w:val="00A44B98"/>
    <w:rsid w:val="00A45F2E"/>
    <w:rsid w:val="00A7429D"/>
    <w:rsid w:val="00A767F6"/>
    <w:rsid w:val="00A80414"/>
    <w:rsid w:val="00A80D19"/>
    <w:rsid w:val="00A81E1E"/>
    <w:rsid w:val="00A84D8E"/>
    <w:rsid w:val="00A87BF9"/>
    <w:rsid w:val="00A87C2F"/>
    <w:rsid w:val="00A973AD"/>
    <w:rsid w:val="00AA0C18"/>
    <w:rsid w:val="00AA0DE0"/>
    <w:rsid w:val="00AA19C5"/>
    <w:rsid w:val="00AA24E7"/>
    <w:rsid w:val="00AB0088"/>
    <w:rsid w:val="00AB1509"/>
    <w:rsid w:val="00AB2593"/>
    <w:rsid w:val="00AC1523"/>
    <w:rsid w:val="00AC2BD6"/>
    <w:rsid w:val="00AC3532"/>
    <w:rsid w:val="00AC4518"/>
    <w:rsid w:val="00AD3D1A"/>
    <w:rsid w:val="00AD7FD1"/>
    <w:rsid w:val="00AF3039"/>
    <w:rsid w:val="00B0280E"/>
    <w:rsid w:val="00B06143"/>
    <w:rsid w:val="00B13BA3"/>
    <w:rsid w:val="00B16E5C"/>
    <w:rsid w:val="00B1766A"/>
    <w:rsid w:val="00B2321D"/>
    <w:rsid w:val="00B243DE"/>
    <w:rsid w:val="00B25451"/>
    <w:rsid w:val="00B27134"/>
    <w:rsid w:val="00B313ED"/>
    <w:rsid w:val="00B332D0"/>
    <w:rsid w:val="00B33B95"/>
    <w:rsid w:val="00B4148D"/>
    <w:rsid w:val="00B457E6"/>
    <w:rsid w:val="00B45FFC"/>
    <w:rsid w:val="00B50815"/>
    <w:rsid w:val="00B5605B"/>
    <w:rsid w:val="00B61E17"/>
    <w:rsid w:val="00B70EAD"/>
    <w:rsid w:val="00B75F3A"/>
    <w:rsid w:val="00B77B18"/>
    <w:rsid w:val="00B77EE3"/>
    <w:rsid w:val="00B85821"/>
    <w:rsid w:val="00BA45CE"/>
    <w:rsid w:val="00BA5779"/>
    <w:rsid w:val="00BB1F7E"/>
    <w:rsid w:val="00BB2B7F"/>
    <w:rsid w:val="00BB2B95"/>
    <w:rsid w:val="00BB2E18"/>
    <w:rsid w:val="00BB4F1D"/>
    <w:rsid w:val="00BB5B7A"/>
    <w:rsid w:val="00BC7BED"/>
    <w:rsid w:val="00BD0905"/>
    <w:rsid w:val="00BD5478"/>
    <w:rsid w:val="00BD7D3D"/>
    <w:rsid w:val="00BE6C5B"/>
    <w:rsid w:val="00BF3FBE"/>
    <w:rsid w:val="00BF5EF1"/>
    <w:rsid w:val="00BF71F7"/>
    <w:rsid w:val="00BF728A"/>
    <w:rsid w:val="00C00189"/>
    <w:rsid w:val="00C00C96"/>
    <w:rsid w:val="00C025F0"/>
    <w:rsid w:val="00C1064C"/>
    <w:rsid w:val="00C1479B"/>
    <w:rsid w:val="00C24D44"/>
    <w:rsid w:val="00C30E70"/>
    <w:rsid w:val="00C35B7F"/>
    <w:rsid w:val="00C40555"/>
    <w:rsid w:val="00C4078E"/>
    <w:rsid w:val="00C422A6"/>
    <w:rsid w:val="00C4260D"/>
    <w:rsid w:val="00C4572E"/>
    <w:rsid w:val="00C50CC8"/>
    <w:rsid w:val="00C52F85"/>
    <w:rsid w:val="00C533C7"/>
    <w:rsid w:val="00C54E0F"/>
    <w:rsid w:val="00C572F3"/>
    <w:rsid w:val="00C61E94"/>
    <w:rsid w:val="00C62108"/>
    <w:rsid w:val="00C63E33"/>
    <w:rsid w:val="00C741D4"/>
    <w:rsid w:val="00C74900"/>
    <w:rsid w:val="00C7643E"/>
    <w:rsid w:val="00C7686E"/>
    <w:rsid w:val="00C77570"/>
    <w:rsid w:val="00C82ECB"/>
    <w:rsid w:val="00C83AF1"/>
    <w:rsid w:val="00C91509"/>
    <w:rsid w:val="00C92465"/>
    <w:rsid w:val="00C930AC"/>
    <w:rsid w:val="00C93BF1"/>
    <w:rsid w:val="00CA3872"/>
    <w:rsid w:val="00CB60D9"/>
    <w:rsid w:val="00CB76FD"/>
    <w:rsid w:val="00CC61C4"/>
    <w:rsid w:val="00CD0262"/>
    <w:rsid w:val="00CD098F"/>
    <w:rsid w:val="00CD643B"/>
    <w:rsid w:val="00CE40B9"/>
    <w:rsid w:val="00CE5D61"/>
    <w:rsid w:val="00CF18A2"/>
    <w:rsid w:val="00CF5985"/>
    <w:rsid w:val="00CF6042"/>
    <w:rsid w:val="00D0197C"/>
    <w:rsid w:val="00D0789D"/>
    <w:rsid w:val="00D10885"/>
    <w:rsid w:val="00D12406"/>
    <w:rsid w:val="00D1667C"/>
    <w:rsid w:val="00D2664A"/>
    <w:rsid w:val="00D301BC"/>
    <w:rsid w:val="00D346CC"/>
    <w:rsid w:val="00D3472A"/>
    <w:rsid w:val="00D354E3"/>
    <w:rsid w:val="00D44C54"/>
    <w:rsid w:val="00D51D3C"/>
    <w:rsid w:val="00D61B5C"/>
    <w:rsid w:val="00D6261D"/>
    <w:rsid w:val="00D63EFF"/>
    <w:rsid w:val="00D71A0B"/>
    <w:rsid w:val="00D82262"/>
    <w:rsid w:val="00D90FBB"/>
    <w:rsid w:val="00D95C55"/>
    <w:rsid w:val="00DA256A"/>
    <w:rsid w:val="00DA3239"/>
    <w:rsid w:val="00DA5CD5"/>
    <w:rsid w:val="00DB3263"/>
    <w:rsid w:val="00DB5621"/>
    <w:rsid w:val="00DB75C4"/>
    <w:rsid w:val="00DD3411"/>
    <w:rsid w:val="00DE1893"/>
    <w:rsid w:val="00DE2B4A"/>
    <w:rsid w:val="00DF7353"/>
    <w:rsid w:val="00DF7703"/>
    <w:rsid w:val="00DF7988"/>
    <w:rsid w:val="00DF7C06"/>
    <w:rsid w:val="00E00BCF"/>
    <w:rsid w:val="00E01DBB"/>
    <w:rsid w:val="00E1329A"/>
    <w:rsid w:val="00E17876"/>
    <w:rsid w:val="00E25444"/>
    <w:rsid w:val="00E27E2D"/>
    <w:rsid w:val="00E30819"/>
    <w:rsid w:val="00E37422"/>
    <w:rsid w:val="00E37FB2"/>
    <w:rsid w:val="00E52323"/>
    <w:rsid w:val="00E525A0"/>
    <w:rsid w:val="00E534A9"/>
    <w:rsid w:val="00E718F2"/>
    <w:rsid w:val="00E82F9B"/>
    <w:rsid w:val="00E86BAC"/>
    <w:rsid w:val="00E91CF3"/>
    <w:rsid w:val="00E9262E"/>
    <w:rsid w:val="00E9406D"/>
    <w:rsid w:val="00EA469F"/>
    <w:rsid w:val="00EB0C48"/>
    <w:rsid w:val="00EB14B9"/>
    <w:rsid w:val="00EB39B4"/>
    <w:rsid w:val="00EC59D1"/>
    <w:rsid w:val="00EC5CF3"/>
    <w:rsid w:val="00ED0B88"/>
    <w:rsid w:val="00ED753F"/>
    <w:rsid w:val="00ED7D2C"/>
    <w:rsid w:val="00EE49C4"/>
    <w:rsid w:val="00EE5890"/>
    <w:rsid w:val="00EF49C8"/>
    <w:rsid w:val="00F0602A"/>
    <w:rsid w:val="00F11C68"/>
    <w:rsid w:val="00F1359C"/>
    <w:rsid w:val="00F41FC8"/>
    <w:rsid w:val="00F55665"/>
    <w:rsid w:val="00F5688A"/>
    <w:rsid w:val="00F571CD"/>
    <w:rsid w:val="00F619AE"/>
    <w:rsid w:val="00F629C4"/>
    <w:rsid w:val="00F648D6"/>
    <w:rsid w:val="00F65A4B"/>
    <w:rsid w:val="00F73698"/>
    <w:rsid w:val="00F7404D"/>
    <w:rsid w:val="00F766C7"/>
    <w:rsid w:val="00F802A8"/>
    <w:rsid w:val="00F931F2"/>
    <w:rsid w:val="00FA2B0A"/>
    <w:rsid w:val="00FB0ADE"/>
    <w:rsid w:val="00FB28C4"/>
    <w:rsid w:val="00FB641B"/>
    <w:rsid w:val="00FC1955"/>
    <w:rsid w:val="00FC1D04"/>
    <w:rsid w:val="00FC3449"/>
    <w:rsid w:val="00FD52CD"/>
    <w:rsid w:val="00FE153E"/>
    <w:rsid w:val="00FE49E2"/>
    <w:rsid w:val="00FF5DC2"/>
    <w:rsid w:val="00FF675C"/>
    <w:rsid w:val="00FF739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F85"/>
    <w:rPr>
      <w:lang w:val="fr-FR"/>
    </w:rPr>
  </w:style>
  <w:style w:type="paragraph" w:styleId="Titre1">
    <w:name w:val="heading 1"/>
    <w:basedOn w:val="Normal"/>
    <w:next w:val="Normal"/>
    <w:link w:val="Titre1Car"/>
    <w:qFormat/>
    <w:rsid w:val="0074509B"/>
    <w:pPr>
      <w:keepNext/>
      <w:overflowPunct w:val="0"/>
      <w:autoSpaceDE w:val="0"/>
      <w:autoSpaceDN w:val="0"/>
      <w:adjustRightInd w:val="0"/>
      <w:textAlignment w:val="baseline"/>
      <w:outlineLvl w:val="0"/>
    </w:pPr>
    <w:rPr>
      <w:b/>
      <w:bCs/>
    </w:rPr>
  </w:style>
  <w:style w:type="paragraph" w:styleId="Titre2">
    <w:name w:val="heading 2"/>
    <w:basedOn w:val="Normal"/>
    <w:next w:val="Normal"/>
    <w:link w:val="Titre2Car"/>
    <w:qFormat/>
    <w:rsid w:val="0074509B"/>
    <w:pPr>
      <w:keepNext/>
      <w:spacing w:before="240" w:after="60"/>
      <w:outlineLvl w:val="1"/>
    </w:pPr>
    <w:rPr>
      <w:rFonts w:ascii="Calibri" w:hAnsi="Calibri"/>
      <w:b/>
      <w:bCs/>
      <w:i/>
      <w:iCs/>
      <w:sz w:val="28"/>
      <w:szCs w:val="28"/>
    </w:rPr>
  </w:style>
  <w:style w:type="paragraph" w:styleId="Titre3">
    <w:name w:val="heading 3"/>
    <w:basedOn w:val="Normal"/>
    <w:next w:val="Normal"/>
    <w:link w:val="Titre3Car"/>
    <w:qFormat/>
    <w:rsid w:val="0074509B"/>
    <w:pPr>
      <w:keepNext/>
      <w:spacing w:before="240" w:after="60"/>
      <w:outlineLvl w:val="2"/>
    </w:pPr>
    <w:rPr>
      <w:rFonts w:ascii="Calibri" w:hAnsi="Calibri"/>
      <w:b/>
      <w:bCs/>
      <w:sz w:val="26"/>
      <w:szCs w:val="26"/>
    </w:rPr>
  </w:style>
  <w:style w:type="character" w:default="1" w:styleId="Policepardfaut">
    <w:name w:val="Default Paragraph Font"/>
    <w:uiPriority w:val="1"/>
    <w:semiHidden/>
    <w:unhideWhenUsed/>
    <w:rsid w:val="00C52F85"/>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rsid w:val="00C52F85"/>
  </w:style>
  <w:style w:type="paragraph" w:styleId="Paragraphedeliste">
    <w:name w:val="List Paragraph"/>
    <w:basedOn w:val="Normal"/>
    <w:uiPriority w:val="34"/>
    <w:qFormat/>
    <w:rsid w:val="0074509B"/>
    <w:pPr>
      <w:spacing w:line="240" w:lineRule="atLeast"/>
      <w:ind w:leftChars="400" w:left="800"/>
    </w:pPr>
    <w:rPr>
      <w:rFonts w:ascii="Verdana" w:eastAsia="Times New Roman" w:hAnsi="Verdana"/>
      <w:sz w:val="20"/>
      <w:lang w:val="nl-NL" w:eastAsia="nl-NL"/>
    </w:rPr>
  </w:style>
  <w:style w:type="character" w:customStyle="1" w:styleId="IPPNormalunderlined">
    <w:name w:val="IPP Normal underlined"/>
    <w:basedOn w:val="Policepardfaut"/>
    <w:rsid w:val="0074509B"/>
    <w:rPr>
      <w:rFonts w:ascii="Times New Roman" w:hAnsi="Times New Roman"/>
      <w:sz w:val="22"/>
      <w:u w:val="single"/>
      <w:lang w:val="en-US"/>
    </w:rPr>
  </w:style>
  <w:style w:type="numbering" w:customStyle="1" w:styleId="IPPParagraphnumberedlist">
    <w:name w:val="IPP Paragraph numbered list"/>
    <w:rsid w:val="0074509B"/>
    <w:pPr>
      <w:numPr>
        <w:numId w:val="1"/>
      </w:numPr>
    </w:pPr>
  </w:style>
  <w:style w:type="paragraph" w:customStyle="1" w:styleId="IPPParagraphnumbering">
    <w:name w:val="IPP Paragraph numbering"/>
    <w:basedOn w:val="IPPNormal"/>
    <w:qFormat/>
    <w:rsid w:val="00DF7353"/>
    <w:pPr>
      <w:numPr>
        <w:numId w:val="37"/>
      </w:numPr>
      <w:spacing w:line="240" w:lineRule="auto"/>
      <w:jc w:val="both"/>
    </w:pPr>
    <w:rPr>
      <w:rFonts w:ascii="Times New Roman" w:hAnsi="Times New Roman" w:cs="Times New Roman"/>
      <w:szCs w:val="24"/>
    </w:rPr>
  </w:style>
  <w:style w:type="character" w:customStyle="1" w:styleId="IPPnormalitalics">
    <w:name w:val="IPP normal italics"/>
    <w:basedOn w:val="Policepardfaut"/>
    <w:rsid w:val="0074509B"/>
    <w:rPr>
      <w:rFonts w:ascii="Times New Roman" w:hAnsi="Times New Roman"/>
      <w:i/>
      <w:sz w:val="22"/>
      <w:lang w:val="en-US"/>
    </w:rPr>
  </w:style>
  <w:style w:type="paragraph" w:styleId="Notedebasdepage">
    <w:name w:val="footnote text"/>
    <w:basedOn w:val="Normal"/>
    <w:link w:val="NotedebasdepageCar"/>
    <w:semiHidden/>
    <w:rsid w:val="0074509B"/>
    <w:pPr>
      <w:spacing w:before="60"/>
    </w:pPr>
    <w:rPr>
      <w:sz w:val="20"/>
    </w:rPr>
  </w:style>
  <w:style w:type="character" w:customStyle="1" w:styleId="NotedebasdepageCar">
    <w:name w:val="Note de bas de page Car"/>
    <w:basedOn w:val="Policepardfaut"/>
    <w:link w:val="Notedebasdepage"/>
    <w:semiHidden/>
    <w:rsid w:val="0074509B"/>
    <w:rPr>
      <w:rFonts w:ascii="Times New Roman" w:eastAsia="MS Mincho" w:hAnsi="Times New Roman" w:cs="Times New Roman"/>
      <w:sz w:val="20"/>
      <w:szCs w:val="24"/>
      <w:lang w:val="en-GB"/>
    </w:rPr>
  </w:style>
  <w:style w:type="character" w:styleId="Appelnotedebasdep">
    <w:name w:val="footnote reference"/>
    <w:basedOn w:val="Policepardfaut"/>
    <w:semiHidden/>
    <w:rsid w:val="0074509B"/>
    <w:rPr>
      <w:vertAlign w:val="superscript"/>
    </w:rPr>
  </w:style>
  <w:style w:type="character" w:styleId="Lienhypertexte">
    <w:name w:val="Hyperlink"/>
    <w:basedOn w:val="Policepardfaut"/>
    <w:uiPriority w:val="99"/>
    <w:unhideWhenUsed/>
    <w:rsid w:val="007B3ECF"/>
    <w:rPr>
      <w:color w:val="0563C1" w:themeColor="hyperlink"/>
      <w:u w:val="single"/>
    </w:rPr>
  </w:style>
  <w:style w:type="character" w:styleId="Marquedecommentaire">
    <w:name w:val="annotation reference"/>
    <w:basedOn w:val="Policepardfaut"/>
    <w:uiPriority w:val="99"/>
    <w:semiHidden/>
    <w:unhideWhenUsed/>
    <w:rsid w:val="00EB14B9"/>
    <w:rPr>
      <w:sz w:val="16"/>
      <w:szCs w:val="16"/>
    </w:rPr>
  </w:style>
  <w:style w:type="paragraph" w:styleId="Commentaire">
    <w:name w:val="annotation text"/>
    <w:basedOn w:val="Normal"/>
    <w:link w:val="CommentaireCar"/>
    <w:uiPriority w:val="99"/>
    <w:semiHidden/>
    <w:unhideWhenUsed/>
    <w:rsid w:val="00EB14B9"/>
    <w:rPr>
      <w:sz w:val="20"/>
      <w:szCs w:val="20"/>
    </w:rPr>
  </w:style>
  <w:style w:type="character" w:customStyle="1" w:styleId="CommentaireCar">
    <w:name w:val="Commentaire Car"/>
    <w:basedOn w:val="Policepardfaut"/>
    <w:link w:val="Commentaire"/>
    <w:uiPriority w:val="99"/>
    <w:semiHidden/>
    <w:rsid w:val="00EB14B9"/>
    <w:rPr>
      <w:rFonts w:ascii="Times New Roman" w:eastAsia="MS Mincho" w:hAnsi="Times New Roman"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EB14B9"/>
    <w:rPr>
      <w:b/>
      <w:bCs/>
    </w:rPr>
  </w:style>
  <w:style w:type="character" w:customStyle="1" w:styleId="ObjetducommentaireCar">
    <w:name w:val="Objet du commentaire Car"/>
    <w:basedOn w:val="CommentaireCar"/>
    <w:link w:val="Objetducommentaire"/>
    <w:uiPriority w:val="99"/>
    <w:semiHidden/>
    <w:rsid w:val="00EB14B9"/>
    <w:rPr>
      <w:rFonts w:ascii="Times New Roman" w:eastAsia="MS Mincho" w:hAnsi="Times New Roman" w:cs="Times New Roman"/>
      <w:b/>
      <w:bCs/>
      <w:sz w:val="20"/>
      <w:szCs w:val="20"/>
      <w:lang w:val="en-GB"/>
    </w:rPr>
  </w:style>
  <w:style w:type="paragraph" w:styleId="Textedebulles">
    <w:name w:val="Balloon Text"/>
    <w:basedOn w:val="Normal"/>
    <w:link w:val="TextedebullesCar"/>
    <w:rsid w:val="0074509B"/>
    <w:rPr>
      <w:rFonts w:ascii="Tahoma" w:hAnsi="Tahoma" w:cs="Tahoma"/>
      <w:sz w:val="16"/>
      <w:szCs w:val="16"/>
    </w:rPr>
  </w:style>
  <w:style w:type="character" w:customStyle="1" w:styleId="TextedebullesCar">
    <w:name w:val="Texte de bulles Car"/>
    <w:basedOn w:val="Policepardfaut"/>
    <w:link w:val="Textedebulles"/>
    <w:rsid w:val="0074509B"/>
    <w:rPr>
      <w:rFonts w:ascii="Tahoma" w:eastAsia="MS Mincho" w:hAnsi="Tahoma" w:cs="Tahoma"/>
      <w:sz w:val="16"/>
      <w:szCs w:val="16"/>
      <w:lang w:val="en-GB"/>
    </w:rPr>
  </w:style>
  <w:style w:type="table" w:styleId="Grilledutableau">
    <w:name w:val="Table Grid"/>
    <w:basedOn w:val="TableauNormal"/>
    <w:rsid w:val="0074509B"/>
    <w:pPr>
      <w:spacing w:after="0" w:line="240" w:lineRule="auto"/>
    </w:pPr>
    <w:rPr>
      <w:rFonts w:ascii="Cambria" w:eastAsia="MS Mincho" w:hAnsi="Cambria" w:cs="Times New Roman"/>
      <w:sz w:val="20"/>
      <w:szCs w:val="20"/>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75FCC"/>
    <w:pPr>
      <w:spacing w:before="100" w:beforeAutospacing="1" w:after="100" w:afterAutospacing="1"/>
    </w:pPr>
    <w:rPr>
      <w:rFonts w:eastAsia="Times New Roman"/>
      <w:sz w:val="24"/>
    </w:rPr>
  </w:style>
  <w:style w:type="paragraph" w:styleId="Rvision">
    <w:name w:val="Revision"/>
    <w:hidden/>
    <w:uiPriority w:val="99"/>
    <w:semiHidden/>
    <w:rsid w:val="00D90FBB"/>
    <w:pPr>
      <w:spacing w:after="0" w:line="240" w:lineRule="auto"/>
    </w:pPr>
    <w:rPr>
      <w:rFonts w:ascii="Times New Roman" w:eastAsia="MS Mincho" w:hAnsi="Times New Roman" w:cs="Times New Roman"/>
      <w:szCs w:val="24"/>
      <w:lang w:val="en-GB"/>
    </w:rPr>
  </w:style>
  <w:style w:type="character" w:styleId="Lienhypertextesuivivisit">
    <w:name w:val="FollowedHyperlink"/>
    <w:basedOn w:val="Policepardfaut"/>
    <w:uiPriority w:val="99"/>
    <w:semiHidden/>
    <w:unhideWhenUsed/>
    <w:rsid w:val="00DE1893"/>
    <w:rPr>
      <w:color w:val="954F72" w:themeColor="followedHyperlink"/>
      <w:u w:val="single"/>
    </w:rPr>
  </w:style>
  <w:style w:type="character" w:customStyle="1" w:styleId="Titre1Car">
    <w:name w:val="Titre 1 Car"/>
    <w:basedOn w:val="Policepardfaut"/>
    <w:link w:val="Titre1"/>
    <w:rsid w:val="0074509B"/>
    <w:rPr>
      <w:rFonts w:ascii="Times New Roman" w:eastAsia="MS Mincho" w:hAnsi="Times New Roman" w:cs="Times New Roman"/>
      <w:b/>
      <w:bCs/>
      <w:szCs w:val="24"/>
      <w:lang w:val="en-GB"/>
    </w:rPr>
  </w:style>
  <w:style w:type="character" w:customStyle="1" w:styleId="Titre2Car">
    <w:name w:val="Titre 2 Car"/>
    <w:basedOn w:val="Policepardfaut"/>
    <w:link w:val="Titre2"/>
    <w:rsid w:val="0074509B"/>
    <w:rPr>
      <w:rFonts w:ascii="Calibri" w:eastAsia="MS Mincho" w:hAnsi="Calibri" w:cs="Times New Roman"/>
      <w:b/>
      <w:bCs/>
      <w:i/>
      <w:iCs/>
      <w:sz w:val="28"/>
      <w:szCs w:val="28"/>
      <w:lang w:val="en-GB"/>
    </w:rPr>
  </w:style>
  <w:style w:type="character" w:customStyle="1" w:styleId="Titre3Car">
    <w:name w:val="Titre 3 Car"/>
    <w:basedOn w:val="Policepardfaut"/>
    <w:link w:val="Titre3"/>
    <w:rsid w:val="0074509B"/>
    <w:rPr>
      <w:rFonts w:ascii="Calibri" w:eastAsia="MS Mincho" w:hAnsi="Calibri" w:cs="Times New Roman"/>
      <w:b/>
      <w:bCs/>
      <w:sz w:val="26"/>
      <w:szCs w:val="26"/>
      <w:lang w:val="en-GB"/>
    </w:rPr>
  </w:style>
  <w:style w:type="paragraph" w:customStyle="1" w:styleId="Style">
    <w:name w:val="Style"/>
    <w:basedOn w:val="Pieddepage"/>
    <w:autoRedefine/>
    <w:qFormat/>
    <w:rsid w:val="00DF7353"/>
    <w:pPr>
      <w:pBdr>
        <w:top w:val="single" w:sz="4" w:space="1" w:color="auto"/>
      </w:pBdr>
      <w:tabs>
        <w:tab w:val="clear" w:pos="4680"/>
        <w:tab w:val="clear" w:pos="9360"/>
        <w:tab w:val="right" w:pos="9072"/>
      </w:tabs>
      <w:spacing w:after="120" w:line="240" w:lineRule="auto"/>
    </w:pPr>
    <w:rPr>
      <w:rFonts w:ascii="Arial" w:eastAsia="Times" w:hAnsi="Arial" w:cs="Times New Roman"/>
      <w:sz w:val="18"/>
      <w:szCs w:val="24"/>
      <w:lang w:val="es-ES_tradnl" w:eastAsia="en-GB"/>
    </w:rPr>
  </w:style>
  <w:style w:type="paragraph" w:styleId="Pieddepage">
    <w:name w:val="footer"/>
    <w:basedOn w:val="Normal"/>
    <w:link w:val="PieddepageCar"/>
    <w:rsid w:val="0074509B"/>
    <w:pPr>
      <w:tabs>
        <w:tab w:val="center" w:pos="4680"/>
        <w:tab w:val="right" w:pos="9360"/>
      </w:tabs>
    </w:pPr>
  </w:style>
  <w:style w:type="character" w:customStyle="1" w:styleId="PieddepageCar">
    <w:name w:val="Pied de page Car"/>
    <w:basedOn w:val="Policepardfaut"/>
    <w:link w:val="Pieddepage"/>
    <w:rsid w:val="0074509B"/>
    <w:rPr>
      <w:rFonts w:ascii="Times New Roman" w:eastAsia="MS Mincho" w:hAnsi="Times New Roman" w:cs="Times New Roman"/>
      <w:szCs w:val="24"/>
      <w:lang w:val="en-GB"/>
    </w:rPr>
  </w:style>
  <w:style w:type="character" w:styleId="Numrodepage">
    <w:name w:val="page number"/>
    <w:rsid w:val="0074509B"/>
    <w:rPr>
      <w:rFonts w:ascii="Arial" w:hAnsi="Arial"/>
      <w:b/>
      <w:sz w:val="18"/>
    </w:rPr>
  </w:style>
  <w:style w:type="paragraph" w:customStyle="1" w:styleId="IPPArialFootnote">
    <w:name w:val="IPP Arial Footnote"/>
    <w:basedOn w:val="IPPArialTable"/>
    <w:qFormat/>
    <w:rsid w:val="0074509B"/>
    <w:pPr>
      <w:tabs>
        <w:tab w:val="left" w:pos="28"/>
      </w:tabs>
      <w:ind w:left="284" w:hanging="284"/>
    </w:pPr>
    <w:rPr>
      <w:sz w:val="16"/>
    </w:rPr>
  </w:style>
  <w:style w:type="paragraph" w:customStyle="1" w:styleId="IPPContentsHead">
    <w:name w:val="IPP ContentsHead"/>
    <w:basedOn w:val="IPPSubhead"/>
    <w:next w:val="IPPNormal"/>
    <w:qFormat/>
    <w:rsid w:val="0074509B"/>
    <w:pPr>
      <w:spacing w:after="240"/>
    </w:pPr>
    <w:rPr>
      <w:sz w:val="24"/>
    </w:rPr>
  </w:style>
  <w:style w:type="paragraph" w:customStyle="1" w:styleId="IPPBullet2">
    <w:name w:val="IPP Bullet2"/>
    <w:basedOn w:val="IPPNormal"/>
    <w:next w:val="IPPBullet1"/>
    <w:qFormat/>
    <w:rsid w:val="00DF7353"/>
    <w:pPr>
      <w:numPr>
        <w:numId w:val="5"/>
      </w:numPr>
      <w:tabs>
        <w:tab w:val="left" w:pos="1134"/>
      </w:tabs>
      <w:spacing w:after="60" w:line="240" w:lineRule="auto"/>
      <w:ind w:left="1134" w:hanging="567"/>
      <w:jc w:val="both"/>
    </w:pPr>
    <w:rPr>
      <w:rFonts w:ascii="Times New Roman" w:hAnsi="Times New Roman" w:cs="Times New Roman"/>
      <w:szCs w:val="24"/>
    </w:rPr>
  </w:style>
  <w:style w:type="paragraph" w:customStyle="1" w:styleId="IPPQuote">
    <w:name w:val="IPP Quote"/>
    <w:basedOn w:val="IPPNormal"/>
    <w:qFormat/>
    <w:rsid w:val="0074509B"/>
    <w:pPr>
      <w:ind w:left="851" w:right="851"/>
    </w:pPr>
    <w:rPr>
      <w:sz w:val="18"/>
    </w:rPr>
  </w:style>
  <w:style w:type="paragraph" w:customStyle="1" w:styleId="IPPNormal">
    <w:name w:val="IPP Normal"/>
    <w:basedOn w:val="Normal"/>
    <w:qFormat/>
    <w:rsid w:val="0074509B"/>
    <w:pPr>
      <w:spacing w:after="180"/>
    </w:pPr>
    <w:rPr>
      <w:rFonts w:eastAsia="Times"/>
    </w:rPr>
  </w:style>
  <w:style w:type="paragraph" w:customStyle="1" w:styleId="IPPIndentClose">
    <w:name w:val="IPP Indent Close"/>
    <w:basedOn w:val="IPPNormal"/>
    <w:qFormat/>
    <w:rsid w:val="0074509B"/>
    <w:pPr>
      <w:tabs>
        <w:tab w:val="left" w:pos="2835"/>
      </w:tabs>
      <w:spacing w:after="60"/>
      <w:ind w:left="567"/>
    </w:pPr>
  </w:style>
  <w:style w:type="paragraph" w:customStyle="1" w:styleId="IPPIndent">
    <w:name w:val="IPP Indent"/>
    <w:basedOn w:val="IPPIndentClose"/>
    <w:qFormat/>
    <w:rsid w:val="0074509B"/>
    <w:pPr>
      <w:spacing w:after="180"/>
    </w:pPr>
  </w:style>
  <w:style w:type="paragraph" w:customStyle="1" w:styleId="IPPFootnote">
    <w:name w:val="IPP Footnote"/>
    <w:basedOn w:val="IPPArialFootnote"/>
    <w:qFormat/>
    <w:rsid w:val="0074509B"/>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74509B"/>
    <w:pPr>
      <w:keepNext/>
      <w:tabs>
        <w:tab w:val="left" w:pos="567"/>
      </w:tabs>
      <w:spacing w:before="120" w:after="120"/>
      <w:ind w:left="567" w:hanging="567"/>
    </w:pPr>
    <w:rPr>
      <w:b/>
      <w:i/>
    </w:rPr>
  </w:style>
  <w:style w:type="character" w:customStyle="1" w:styleId="IPPNormalbold">
    <w:name w:val="IPP Normal bold"/>
    <w:basedOn w:val="TextebrutCar"/>
    <w:rsid w:val="0074509B"/>
    <w:rPr>
      <w:rFonts w:ascii="Times New Roman" w:eastAsia="Times" w:hAnsi="Times New Roman" w:cs="Times New Roman"/>
      <w:b/>
      <w:sz w:val="22"/>
      <w:szCs w:val="21"/>
      <w:lang w:val="en-AU"/>
    </w:rPr>
  </w:style>
  <w:style w:type="paragraph" w:customStyle="1" w:styleId="IPPHeadSection">
    <w:name w:val="IPP HeadSection"/>
    <w:basedOn w:val="Normal"/>
    <w:next w:val="Normal"/>
    <w:qFormat/>
    <w:rsid w:val="00DF7353"/>
    <w:pPr>
      <w:keepNext/>
      <w:tabs>
        <w:tab w:val="left" w:pos="851"/>
      </w:tabs>
      <w:spacing w:before="360" w:after="120" w:line="240" w:lineRule="auto"/>
      <w:ind w:left="851" w:hanging="851"/>
      <w:jc w:val="both"/>
      <w:outlineLvl w:val="0"/>
    </w:pPr>
    <w:rPr>
      <w:rFonts w:ascii="Times New Roman" w:eastAsia="Times" w:hAnsi="Times New Roman" w:cs="Times New Roman"/>
      <w:b/>
      <w:bCs/>
      <w:caps/>
      <w:sz w:val="24"/>
    </w:rPr>
  </w:style>
  <w:style w:type="paragraph" w:customStyle="1" w:styleId="IPPHeading1">
    <w:name w:val="IPP Heading1"/>
    <w:basedOn w:val="IPPNormal"/>
    <w:next w:val="IPPNormal"/>
    <w:qFormat/>
    <w:rsid w:val="00DF7353"/>
    <w:pPr>
      <w:keepNext/>
      <w:tabs>
        <w:tab w:val="left" w:pos="567"/>
      </w:tabs>
      <w:spacing w:before="240" w:after="120" w:line="240" w:lineRule="auto"/>
      <w:ind w:left="567" w:hanging="567"/>
      <w:outlineLvl w:val="1"/>
    </w:pPr>
    <w:rPr>
      <w:rFonts w:ascii="Times New Roman" w:hAnsi="Times New Roman" w:cs="Times New Roman"/>
      <w:b/>
      <w:sz w:val="24"/>
    </w:rPr>
  </w:style>
  <w:style w:type="paragraph" w:customStyle="1" w:styleId="IPPSubhead">
    <w:name w:val="IPP Subhead"/>
    <w:basedOn w:val="Normal"/>
    <w:qFormat/>
    <w:rsid w:val="00DF7353"/>
    <w:pPr>
      <w:keepNext/>
      <w:spacing w:after="0" w:line="240" w:lineRule="auto"/>
      <w:ind w:left="567" w:hanging="567"/>
    </w:pPr>
    <w:rPr>
      <w:rFonts w:ascii="Times New Roman" w:eastAsia="MS Mincho" w:hAnsi="Times New Roman" w:cs="Times New Roman"/>
      <w:b/>
      <w:bCs/>
      <w:iCs/>
    </w:rPr>
  </w:style>
  <w:style w:type="paragraph" w:customStyle="1" w:styleId="IPPBullet1">
    <w:name w:val="IPP Bullet1"/>
    <w:basedOn w:val="IPPBullet1Last"/>
    <w:qFormat/>
    <w:rsid w:val="00DF7353"/>
    <w:pPr>
      <w:numPr>
        <w:numId w:val="10"/>
      </w:numPr>
      <w:spacing w:after="60"/>
      <w:ind w:left="567" w:hanging="567"/>
    </w:pPr>
  </w:style>
  <w:style w:type="paragraph" w:customStyle="1" w:styleId="IPPBullet1Last">
    <w:name w:val="IPP Bullet1Last"/>
    <w:basedOn w:val="IPPNormal"/>
    <w:next w:val="IPPNormal"/>
    <w:autoRedefine/>
    <w:qFormat/>
    <w:rsid w:val="00DF7353"/>
    <w:pPr>
      <w:numPr>
        <w:numId w:val="6"/>
      </w:numPr>
      <w:spacing w:line="240" w:lineRule="auto"/>
      <w:jc w:val="both"/>
    </w:pPr>
    <w:rPr>
      <w:rFonts w:ascii="Times New Roman" w:hAnsi="Times New Roman" w:cs="Times New Roman"/>
      <w:szCs w:val="24"/>
    </w:rPr>
  </w:style>
  <w:style w:type="character" w:customStyle="1" w:styleId="IPPNormalstrikethrough">
    <w:name w:val="IPP Normal strikethrough"/>
    <w:rsid w:val="0074509B"/>
    <w:rPr>
      <w:rFonts w:ascii="Times New Roman" w:hAnsi="Times New Roman"/>
      <w:strike/>
      <w:dstrike w:val="0"/>
      <w:sz w:val="22"/>
    </w:rPr>
  </w:style>
  <w:style w:type="paragraph" w:customStyle="1" w:styleId="IPPTitle16pt">
    <w:name w:val="IPP Title16pt"/>
    <w:basedOn w:val="Normal"/>
    <w:qFormat/>
    <w:rsid w:val="0074509B"/>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74509B"/>
    <w:pPr>
      <w:spacing w:after="360"/>
      <w:jc w:val="center"/>
    </w:pPr>
    <w:rPr>
      <w:rFonts w:ascii="Arial" w:hAnsi="Arial" w:cs="Arial"/>
      <w:b/>
      <w:bCs/>
      <w:sz w:val="36"/>
      <w:szCs w:val="36"/>
    </w:rPr>
  </w:style>
  <w:style w:type="paragraph" w:customStyle="1" w:styleId="IPPHeader">
    <w:name w:val="IPP Header"/>
    <w:basedOn w:val="Normal"/>
    <w:qFormat/>
    <w:rsid w:val="00DF7353"/>
    <w:pPr>
      <w:pBdr>
        <w:bottom w:val="single" w:sz="4" w:space="4" w:color="auto"/>
      </w:pBdr>
      <w:tabs>
        <w:tab w:val="left" w:pos="1134"/>
        <w:tab w:val="right" w:pos="9072"/>
      </w:tabs>
      <w:spacing w:after="120" w:line="240" w:lineRule="auto"/>
    </w:pPr>
    <w:rPr>
      <w:rFonts w:ascii="Arial" w:eastAsia="MS Mincho" w:hAnsi="Arial" w:cs="Times New Roman"/>
      <w:sz w:val="18"/>
      <w:szCs w:val="24"/>
    </w:rPr>
  </w:style>
  <w:style w:type="paragraph" w:customStyle="1" w:styleId="IPPAnnexHead">
    <w:name w:val="IPP AnnexHead"/>
    <w:basedOn w:val="IPPNormal"/>
    <w:next w:val="IPPNormal"/>
    <w:qFormat/>
    <w:rsid w:val="00DF7353"/>
    <w:pPr>
      <w:keepNext/>
      <w:tabs>
        <w:tab w:val="left" w:pos="567"/>
      </w:tabs>
      <w:spacing w:before="120" w:line="240" w:lineRule="auto"/>
      <w:outlineLvl w:val="1"/>
    </w:pPr>
    <w:rPr>
      <w:rFonts w:ascii="Times New Roman" w:hAnsi="Times New Roman" w:cs="Times New Roman"/>
      <w:b/>
      <w:sz w:val="24"/>
      <w:szCs w:val="24"/>
    </w:rPr>
  </w:style>
  <w:style w:type="paragraph" w:customStyle="1" w:styleId="IPPNormalCloseSpace">
    <w:name w:val="IPP NormalCloseSpace"/>
    <w:basedOn w:val="Normal"/>
    <w:qFormat/>
    <w:rsid w:val="0074509B"/>
    <w:pPr>
      <w:keepNext/>
      <w:spacing w:after="60"/>
    </w:pPr>
  </w:style>
  <w:style w:type="paragraph" w:customStyle="1" w:styleId="IPPHeading2">
    <w:name w:val="IPP Heading2"/>
    <w:basedOn w:val="IPPNormal"/>
    <w:next w:val="IPPNormal"/>
    <w:qFormat/>
    <w:rsid w:val="00DF7353"/>
    <w:pPr>
      <w:keepNext/>
      <w:tabs>
        <w:tab w:val="left" w:pos="567"/>
      </w:tabs>
      <w:spacing w:before="120" w:after="120" w:line="240" w:lineRule="auto"/>
      <w:ind w:left="567" w:hanging="567"/>
      <w:outlineLvl w:val="2"/>
    </w:pPr>
    <w:rPr>
      <w:rFonts w:ascii="Times New Roman" w:hAnsi="Times New Roman" w:cs="Times New Roman"/>
      <w:b/>
      <w:sz w:val="24"/>
      <w:szCs w:val="24"/>
    </w:rPr>
  </w:style>
  <w:style w:type="paragraph" w:customStyle="1" w:styleId="IPPFooter">
    <w:name w:val="IPP Footer"/>
    <w:basedOn w:val="IPPHeader"/>
    <w:next w:val="Textebrut"/>
    <w:qFormat/>
    <w:rsid w:val="0074509B"/>
    <w:pPr>
      <w:pBdr>
        <w:top w:val="single" w:sz="4" w:space="4" w:color="auto"/>
        <w:bottom w:val="none" w:sz="0" w:space="0" w:color="auto"/>
      </w:pBdr>
      <w:tabs>
        <w:tab w:val="clear" w:pos="1134"/>
      </w:tabs>
      <w:jc w:val="right"/>
    </w:pPr>
    <w:rPr>
      <w:b/>
    </w:rPr>
  </w:style>
  <w:style w:type="paragraph" w:styleId="TM1">
    <w:name w:val="toc 1"/>
    <w:basedOn w:val="IPPNormalCloseSpace"/>
    <w:next w:val="Normal"/>
    <w:autoRedefine/>
    <w:uiPriority w:val="39"/>
    <w:rsid w:val="0074509B"/>
    <w:pPr>
      <w:tabs>
        <w:tab w:val="right" w:leader="dot" w:pos="9072"/>
      </w:tabs>
      <w:spacing w:before="240"/>
      <w:ind w:left="567" w:hanging="567"/>
    </w:pPr>
  </w:style>
  <w:style w:type="paragraph" w:styleId="TM2">
    <w:name w:val="toc 2"/>
    <w:basedOn w:val="TM1"/>
    <w:next w:val="Normal"/>
    <w:autoRedefine/>
    <w:uiPriority w:val="39"/>
    <w:rsid w:val="0074509B"/>
    <w:pPr>
      <w:keepNext w:val="0"/>
      <w:tabs>
        <w:tab w:val="left" w:pos="425"/>
      </w:tabs>
      <w:spacing w:before="120" w:after="0"/>
      <w:ind w:left="425" w:right="284" w:hanging="425"/>
    </w:pPr>
  </w:style>
  <w:style w:type="paragraph" w:styleId="TM3">
    <w:name w:val="toc 3"/>
    <w:basedOn w:val="TM2"/>
    <w:next w:val="Normal"/>
    <w:autoRedefine/>
    <w:uiPriority w:val="39"/>
    <w:rsid w:val="0074509B"/>
    <w:pPr>
      <w:tabs>
        <w:tab w:val="left" w:pos="1276"/>
      </w:tabs>
      <w:spacing w:before="60"/>
      <w:ind w:left="1276" w:hanging="851"/>
    </w:pPr>
    <w:rPr>
      <w:rFonts w:eastAsia="Times"/>
    </w:rPr>
  </w:style>
  <w:style w:type="paragraph" w:styleId="TM4">
    <w:name w:val="toc 4"/>
    <w:basedOn w:val="Normal"/>
    <w:next w:val="Normal"/>
    <w:autoRedefine/>
    <w:uiPriority w:val="39"/>
    <w:rsid w:val="0074509B"/>
    <w:pPr>
      <w:spacing w:after="120"/>
      <w:ind w:left="660"/>
    </w:pPr>
    <w:rPr>
      <w:rFonts w:eastAsia="Times"/>
      <w:lang w:val="en-AU"/>
    </w:rPr>
  </w:style>
  <w:style w:type="paragraph" w:styleId="TM5">
    <w:name w:val="toc 5"/>
    <w:basedOn w:val="Normal"/>
    <w:next w:val="Normal"/>
    <w:autoRedefine/>
    <w:uiPriority w:val="39"/>
    <w:rsid w:val="0074509B"/>
    <w:pPr>
      <w:spacing w:after="120"/>
      <w:ind w:left="880"/>
    </w:pPr>
    <w:rPr>
      <w:rFonts w:eastAsia="Times"/>
      <w:lang w:val="en-AU"/>
    </w:rPr>
  </w:style>
  <w:style w:type="paragraph" w:styleId="TM6">
    <w:name w:val="toc 6"/>
    <w:basedOn w:val="Normal"/>
    <w:next w:val="Normal"/>
    <w:autoRedefine/>
    <w:uiPriority w:val="39"/>
    <w:rsid w:val="0074509B"/>
    <w:pPr>
      <w:spacing w:after="120"/>
      <w:ind w:left="1100"/>
    </w:pPr>
    <w:rPr>
      <w:rFonts w:eastAsia="Times"/>
      <w:lang w:val="en-AU"/>
    </w:rPr>
  </w:style>
  <w:style w:type="paragraph" w:styleId="TM7">
    <w:name w:val="toc 7"/>
    <w:basedOn w:val="Normal"/>
    <w:next w:val="Normal"/>
    <w:autoRedefine/>
    <w:uiPriority w:val="39"/>
    <w:rsid w:val="0074509B"/>
    <w:pPr>
      <w:spacing w:after="120"/>
      <w:ind w:left="1320"/>
    </w:pPr>
    <w:rPr>
      <w:rFonts w:eastAsia="Times"/>
      <w:lang w:val="en-AU"/>
    </w:rPr>
  </w:style>
  <w:style w:type="paragraph" w:styleId="TM8">
    <w:name w:val="toc 8"/>
    <w:basedOn w:val="Normal"/>
    <w:next w:val="Normal"/>
    <w:autoRedefine/>
    <w:uiPriority w:val="39"/>
    <w:rsid w:val="0074509B"/>
    <w:pPr>
      <w:spacing w:after="120"/>
      <w:ind w:left="1540"/>
    </w:pPr>
    <w:rPr>
      <w:rFonts w:eastAsia="Times"/>
      <w:lang w:val="en-AU"/>
    </w:rPr>
  </w:style>
  <w:style w:type="paragraph" w:styleId="TM9">
    <w:name w:val="toc 9"/>
    <w:basedOn w:val="Normal"/>
    <w:next w:val="Normal"/>
    <w:autoRedefine/>
    <w:uiPriority w:val="39"/>
    <w:rsid w:val="0074509B"/>
    <w:pPr>
      <w:spacing w:after="120"/>
      <w:ind w:left="1760"/>
    </w:pPr>
    <w:rPr>
      <w:rFonts w:eastAsia="Times"/>
      <w:lang w:val="en-AU"/>
    </w:rPr>
  </w:style>
  <w:style w:type="paragraph" w:customStyle="1" w:styleId="IPPReferences">
    <w:name w:val="IPP References"/>
    <w:basedOn w:val="IPPNormal"/>
    <w:qFormat/>
    <w:rsid w:val="0074509B"/>
    <w:pPr>
      <w:spacing w:after="60"/>
      <w:ind w:left="567" w:hanging="567"/>
    </w:pPr>
  </w:style>
  <w:style w:type="paragraph" w:customStyle="1" w:styleId="IPPArial">
    <w:name w:val="IPP Arial"/>
    <w:basedOn w:val="IPPNormal"/>
    <w:qFormat/>
    <w:rsid w:val="0074509B"/>
    <w:pPr>
      <w:spacing w:after="0"/>
    </w:pPr>
    <w:rPr>
      <w:rFonts w:ascii="Arial" w:hAnsi="Arial"/>
      <w:sz w:val="18"/>
    </w:rPr>
  </w:style>
  <w:style w:type="paragraph" w:customStyle="1" w:styleId="IPPArialTable">
    <w:name w:val="IPP Arial Table"/>
    <w:basedOn w:val="IPPArial"/>
    <w:qFormat/>
    <w:rsid w:val="00DF7353"/>
    <w:pPr>
      <w:spacing w:before="60" w:after="60" w:line="240" w:lineRule="auto"/>
    </w:pPr>
    <w:rPr>
      <w:rFonts w:cs="Times New Roman"/>
      <w:szCs w:val="24"/>
    </w:rPr>
  </w:style>
  <w:style w:type="paragraph" w:customStyle="1" w:styleId="IPPHeaderlandscape">
    <w:name w:val="IPP Header landscape"/>
    <w:basedOn w:val="IPPHeader"/>
    <w:qFormat/>
    <w:rsid w:val="0074509B"/>
    <w:pPr>
      <w:pBdr>
        <w:bottom w:val="single" w:sz="4" w:space="1" w:color="auto"/>
      </w:pBdr>
      <w:tabs>
        <w:tab w:val="clear" w:pos="9072"/>
        <w:tab w:val="right" w:pos="14034"/>
      </w:tabs>
      <w:spacing w:after="0"/>
      <w:ind w:right="-32"/>
    </w:pPr>
    <w:rPr>
      <w:noProof/>
    </w:rPr>
  </w:style>
  <w:style w:type="paragraph" w:styleId="Textebrut">
    <w:name w:val="Plain Text"/>
    <w:basedOn w:val="Normal"/>
    <w:link w:val="TextebrutCar"/>
    <w:uiPriority w:val="99"/>
    <w:unhideWhenUsed/>
    <w:rsid w:val="00DF7353"/>
    <w:pPr>
      <w:spacing w:after="0" w:line="240" w:lineRule="auto"/>
    </w:pPr>
    <w:rPr>
      <w:rFonts w:ascii="Courier" w:eastAsia="Times" w:hAnsi="Courier" w:cs="Times New Roman"/>
      <w:sz w:val="21"/>
      <w:szCs w:val="21"/>
      <w:lang w:val="en-AU"/>
    </w:rPr>
  </w:style>
  <w:style w:type="character" w:customStyle="1" w:styleId="TextebrutCar">
    <w:name w:val="Texte brut Car"/>
    <w:basedOn w:val="Policepardfaut"/>
    <w:link w:val="Textebrut"/>
    <w:uiPriority w:val="99"/>
    <w:rsid w:val="0074509B"/>
    <w:rPr>
      <w:rFonts w:ascii="Courier" w:eastAsia="Times" w:hAnsi="Courier" w:cs="Times New Roman"/>
      <w:sz w:val="21"/>
      <w:szCs w:val="21"/>
      <w:lang w:val="en-AU"/>
    </w:rPr>
  </w:style>
  <w:style w:type="paragraph" w:customStyle="1" w:styleId="IPPLetterList">
    <w:name w:val="IPP LetterList"/>
    <w:basedOn w:val="IPPBullet2"/>
    <w:qFormat/>
    <w:rsid w:val="00DF7353"/>
    <w:pPr>
      <w:numPr>
        <w:numId w:val="3"/>
      </w:numPr>
      <w:jc w:val="left"/>
    </w:pPr>
  </w:style>
  <w:style w:type="paragraph" w:customStyle="1" w:styleId="IPPLetterListIndent">
    <w:name w:val="IPP LetterList Indent"/>
    <w:basedOn w:val="IPPLetterList"/>
    <w:qFormat/>
    <w:rsid w:val="00DF7353"/>
    <w:pPr>
      <w:numPr>
        <w:numId w:val="4"/>
      </w:numPr>
    </w:pPr>
  </w:style>
  <w:style w:type="paragraph" w:customStyle="1" w:styleId="IPPFooterLandscape">
    <w:name w:val="IPP Footer Landscape"/>
    <w:basedOn w:val="IPPHeaderlandscape"/>
    <w:qFormat/>
    <w:rsid w:val="0074509B"/>
    <w:pPr>
      <w:pBdr>
        <w:top w:val="single" w:sz="4" w:space="1" w:color="auto"/>
        <w:bottom w:val="none" w:sz="0" w:space="0" w:color="auto"/>
      </w:pBdr>
      <w:jc w:val="right"/>
    </w:pPr>
    <w:rPr>
      <w:b/>
    </w:rPr>
  </w:style>
  <w:style w:type="paragraph" w:customStyle="1" w:styleId="IPPSubheadSpace">
    <w:name w:val="IPP Subhead Space"/>
    <w:basedOn w:val="IPPSubhead"/>
    <w:qFormat/>
    <w:rsid w:val="0074509B"/>
    <w:pPr>
      <w:tabs>
        <w:tab w:val="left" w:pos="567"/>
      </w:tabs>
      <w:spacing w:before="60" w:after="60"/>
    </w:pPr>
  </w:style>
  <w:style w:type="paragraph" w:customStyle="1" w:styleId="IPPSubheadSpaceAfter">
    <w:name w:val="IPP Subhead SpaceAfter"/>
    <w:basedOn w:val="IPPSubhead"/>
    <w:qFormat/>
    <w:rsid w:val="0074509B"/>
    <w:pPr>
      <w:spacing w:after="60"/>
    </w:pPr>
  </w:style>
  <w:style w:type="paragraph" w:customStyle="1" w:styleId="IPPHdg1Num">
    <w:name w:val="IPP Hdg1Num"/>
    <w:basedOn w:val="IPPHeading1"/>
    <w:next w:val="IPPNormal"/>
    <w:qFormat/>
    <w:rsid w:val="00DF7353"/>
    <w:pPr>
      <w:numPr>
        <w:numId w:val="7"/>
      </w:numPr>
    </w:pPr>
  </w:style>
  <w:style w:type="paragraph" w:customStyle="1" w:styleId="IPPHdg2Num">
    <w:name w:val="IPP Hdg2Num"/>
    <w:basedOn w:val="IPPHeading2"/>
    <w:next w:val="IPPNormal"/>
    <w:qFormat/>
    <w:rsid w:val="0074509B"/>
    <w:pPr>
      <w:numPr>
        <w:ilvl w:val="1"/>
        <w:numId w:val="8"/>
      </w:numPr>
    </w:pPr>
  </w:style>
  <w:style w:type="paragraph" w:customStyle="1" w:styleId="IPPNumberedList">
    <w:name w:val="IPP NumberedList"/>
    <w:basedOn w:val="IPPBullet1"/>
    <w:qFormat/>
    <w:rsid w:val="00DF7353"/>
    <w:pPr>
      <w:numPr>
        <w:numId w:val="9"/>
      </w:numPr>
    </w:pPr>
  </w:style>
  <w:style w:type="paragraph" w:styleId="En-tte">
    <w:name w:val="header"/>
    <w:basedOn w:val="Normal"/>
    <w:link w:val="En-tteCar"/>
    <w:uiPriority w:val="99"/>
    <w:rsid w:val="0074509B"/>
    <w:pPr>
      <w:tabs>
        <w:tab w:val="center" w:pos="4680"/>
        <w:tab w:val="right" w:pos="9360"/>
      </w:tabs>
    </w:pPr>
  </w:style>
  <w:style w:type="character" w:customStyle="1" w:styleId="En-tteCar">
    <w:name w:val="En-tête Car"/>
    <w:basedOn w:val="Policepardfaut"/>
    <w:link w:val="En-tte"/>
    <w:uiPriority w:val="99"/>
    <w:rsid w:val="0074509B"/>
    <w:rPr>
      <w:rFonts w:ascii="Times New Roman" w:eastAsia="MS Mincho" w:hAnsi="Times New Roman" w:cs="Times New Roman"/>
      <w:szCs w:val="24"/>
      <w:lang w:val="en-GB"/>
    </w:rPr>
  </w:style>
  <w:style w:type="character" w:styleId="lev">
    <w:name w:val="Strong"/>
    <w:basedOn w:val="Policepardfaut"/>
    <w:qFormat/>
    <w:rsid w:val="0074509B"/>
    <w:rPr>
      <w:b/>
      <w:bCs/>
    </w:rPr>
  </w:style>
  <w:style w:type="paragraph" w:customStyle="1" w:styleId="IPPParagraphnumberingclose">
    <w:name w:val="IPP Paragraph numbering close"/>
    <w:basedOn w:val="IPPParagraphnumbering"/>
    <w:qFormat/>
    <w:rsid w:val="0074509B"/>
    <w:pPr>
      <w:keepNext/>
      <w:spacing w:after="60"/>
    </w:pPr>
  </w:style>
  <w:style w:type="paragraph" w:customStyle="1" w:styleId="IPPNumberedListLast">
    <w:name w:val="IPP NumberedListLast"/>
    <w:basedOn w:val="IPPNumberedList"/>
    <w:qFormat/>
    <w:rsid w:val="0074509B"/>
    <w:pPr>
      <w:spacing w:after="180"/>
    </w:pPr>
  </w:style>
  <w:style w:type="paragraph" w:styleId="Notedefin">
    <w:name w:val="endnote text"/>
    <w:basedOn w:val="Normal"/>
    <w:link w:val="NotedefinCar"/>
    <w:uiPriority w:val="99"/>
    <w:semiHidden/>
    <w:unhideWhenUsed/>
    <w:rsid w:val="005846A9"/>
    <w:rPr>
      <w:sz w:val="20"/>
      <w:szCs w:val="20"/>
    </w:rPr>
  </w:style>
  <w:style w:type="character" w:customStyle="1" w:styleId="NotedefinCar">
    <w:name w:val="Note de fin Car"/>
    <w:basedOn w:val="Policepardfaut"/>
    <w:link w:val="Notedefin"/>
    <w:uiPriority w:val="99"/>
    <w:semiHidden/>
    <w:rsid w:val="005846A9"/>
    <w:rPr>
      <w:rFonts w:ascii="Times New Roman" w:eastAsia="MS Mincho" w:hAnsi="Times New Roman" w:cs="Times New Roman"/>
      <w:sz w:val="20"/>
      <w:szCs w:val="20"/>
      <w:lang w:val="en-GB"/>
    </w:rPr>
  </w:style>
  <w:style w:type="character" w:styleId="Appeldenotedefin">
    <w:name w:val="endnote reference"/>
    <w:basedOn w:val="Policepardfaut"/>
    <w:uiPriority w:val="99"/>
    <w:semiHidden/>
    <w:unhideWhenUsed/>
    <w:rsid w:val="005846A9"/>
    <w:rPr>
      <w:vertAlign w:val="superscript"/>
    </w:rPr>
  </w:style>
  <w:style w:type="character" w:styleId="Accentuation">
    <w:name w:val="Emphasis"/>
    <w:basedOn w:val="Policepardfaut"/>
    <w:uiPriority w:val="20"/>
    <w:qFormat/>
    <w:rsid w:val="003A175F"/>
    <w:rPr>
      <w:i/>
      <w:iCs/>
    </w:rPr>
  </w:style>
  <w:style w:type="paragraph" w:customStyle="1" w:styleId="Default">
    <w:name w:val="Default"/>
    <w:rsid w:val="00EE589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90579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07F05-49CB-4603-BE8B-FAF62D44D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975</Words>
  <Characters>5368</Characters>
  <Application>Microsoft Office Word</Application>
  <DocSecurity>0</DocSecurity>
  <Lines>44</Lines>
  <Paragraphs>12</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FAO of the UN</Company>
  <LinksUpToDate>false</LinksUpToDate>
  <CharactersWithSpaces>6331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Brunel, Sarah (AGDI)</dc:creator>
  <cp:lastModifiedBy>freeman</cp:lastModifiedBy>
  <cp:revision>2</cp:revision>
  <cp:lastPrinted>2019-05-08T16:37:00Z</cp:lastPrinted>
  <dcterms:created xsi:type="dcterms:W3CDTF">2019-10-13T19:29:00Z</dcterms:created>
  <dcterms:modified xsi:type="dcterms:W3CDTF">2019-10-13T19:29:00Z</dcterms:modified>
</cp:coreProperties>
</file>