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46" w:rsidRDefault="00A23D46" w:rsidP="003E2FD6">
      <w:pPr>
        <w:pStyle w:val="IPPHeadSection"/>
        <w:jc w:val="center"/>
        <w:rPr>
          <w:lang w:eastAsia="en-AU"/>
        </w:rPr>
      </w:pPr>
      <w:r>
        <w:rPr>
          <w:lang w:eastAsia="en-AU"/>
        </w:rPr>
        <w:t>Faw Global AcTion Technical Committee</w:t>
      </w:r>
    </w:p>
    <w:p w:rsidR="00A23D46" w:rsidRDefault="00A23D46" w:rsidP="003E2FD6">
      <w:pPr>
        <w:pStyle w:val="IPPHeadSection"/>
        <w:jc w:val="center"/>
        <w:rPr>
          <w:lang w:eastAsia="en-AU"/>
        </w:rPr>
      </w:pPr>
      <w:r>
        <w:rPr>
          <w:lang w:eastAsia="en-AU"/>
        </w:rPr>
        <w:t>Technical working group (TWG)</w:t>
      </w:r>
    </w:p>
    <w:p w:rsidR="00A23D46" w:rsidRPr="00A33032" w:rsidRDefault="007F3B6D" w:rsidP="003E2FD6">
      <w:pPr>
        <w:pStyle w:val="IPPHeadSection"/>
        <w:jc w:val="center"/>
        <w:rPr>
          <w:lang w:eastAsia="en-AU"/>
        </w:rPr>
      </w:pPr>
      <w:r>
        <w:rPr>
          <w:lang w:eastAsia="en-AU"/>
        </w:rPr>
        <w:t>Quarantine and Phytosanitary in Relation to Trade</w:t>
      </w:r>
    </w:p>
    <w:p w:rsidR="00A33032" w:rsidRPr="00A33032" w:rsidRDefault="000445E7" w:rsidP="003E2FD6">
      <w:pPr>
        <w:pStyle w:val="IPPHeadSection"/>
        <w:jc w:val="center"/>
        <w:rPr>
          <w:lang w:eastAsia="en-AU"/>
        </w:rPr>
      </w:pPr>
      <w:r>
        <w:rPr>
          <w:lang w:eastAsia="en-AU"/>
        </w:rPr>
        <w:t>Briefing Paper</w:t>
      </w:r>
    </w:p>
    <w:p w:rsidR="00C259FF" w:rsidRDefault="000445E7" w:rsidP="003E2FD6">
      <w:pPr>
        <w:pStyle w:val="IPPHeading1"/>
      </w:pPr>
      <w:r>
        <w:t>Overview</w:t>
      </w:r>
    </w:p>
    <w:p w:rsidR="000445E7" w:rsidRPr="008F3303" w:rsidRDefault="005B6156" w:rsidP="003E2FD6">
      <w:pPr>
        <w:pStyle w:val="IPPParagraphnumbering"/>
      </w:pPr>
      <w:r w:rsidRPr="005B6156">
        <w:t xml:space="preserve">The spread of invasive inspect pests is becoming an increasing problem for agriculture globally (Tek Tay </w:t>
      </w:r>
      <w:r w:rsidR="00450EA9">
        <w:t xml:space="preserve">et al. </w:t>
      </w:r>
      <w:r w:rsidRPr="005B6156">
        <w:t>2019). The Fall Armyworm (</w:t>
      </w:r>
      <w:r w:rsidRPr="005B6156">
        <w:rPr>
          <w:i/>
        </w:rPr>
        <w:t>Spodoptera frugiperda</w:t>
      </w:r>
      <w:r w:rsidRPr="005B6156">
        <w:t>)</w:t>
      </w:r>
      <w:r>
        <w:t xml:space="preserve"> has become a pest of major economic and food security significance across many countries and regions, and is threatening to expand its range into the Near East and North-Africa, South Pacific and European regions to become a truly global threat. Global trade has emerged as a significant factor in the spread of the Fall Armyworm (FAW), highlighting the importance of globally harmonised phytosanitary measures and protocols to assist plant protection agencies implement prevention, preparedness and containment measures to </w:t>
      </w:r>
      <w:r w:rsidR="00C259FF" w:rsidRPr="005B6156">
        <w:t xml:space="preserve">reduce </w:t>
      </w:r>
      <w:r>
        <w:t xml:space="preserve">the </w:t>
      </w:r>
      <w:r w:rsidR="00C259FF" w:rsidRPr="005B6156">
        <w:t xml:space="preserve">risks </w:t>
      </w:r>
      <w:r>
        <w:t xml:space="preserve">associated with the establishment and spread of </w:t>
      </w:r>
      <w:r w:rsidR="00C259FF" w:rsidRPr="005B6156">
        <w:t>FAW.</w:t>
      </w:r>
    </w:p>
    <w:p w:rsidR="00A33032" w:rsidRPr="008F3303" w:rsidRDefault="005B6156" w:rsidP="003E2FD6">
      <w:pPr>
        <w:pStyle w:val="IPPParagraphnumbering"/>
      </w:pPr>
      <w:r>
        <w:t xml:space="preserve">Fall Armyworm </w:t>
      </w:r>
      <w:r w:rsidRPr="008F3303">
        <w:t>has had a devastating impact on the food productio</w:t>
      </w:r>
      <w:r>
        <w:t>n, food security and phytosanitary</w:t>
      </w:r>
      <w:r w:rsidRPr="008F3303">
        <w:t xml:space="preserve"> systems around the world, and </w:t>
      </w:r>
      <w:r>
        <w:t>t</w:t>
      </w:r>
      <w:r w:rsidRPr="008F3303">
        <w:t xml:space="preserve">he Technical Working Group (TWG) on </w:t>
      </w:r>
      <w:r w:rsidRPr="008F3303">
        <w:rPr>
          <w:i/>
        </w:rPr>
        <w:t xml:space="preserve">Phytosanitary and Quarantine in Relation to Trade </w:t>
      </w:r>
      <w:proofErr w:type="gramStart"/>
      <w:r w:rsidRPr="008F3303">
        <w:t>has been established</w:t>
      </w:r>
      <w:proofErr w:type="gramEnd"/>
      <w:r w:rsidRPr="008F3303">
        <w:t xml:space="preserve"> </w:t>
      </w:r>
      <w:r>
        <w:t xml:space="preserve">to </w:t>
      </w:r>
      <w:r w:rsidR="00A2117C">
        <w:t xml:space="preserve">deliver the third objective of the </w:t>
      </w:r>
      <w:r w:rsidR="00A2117C" w:rsidRPr="00A2117C">
        <w:rPr>
          <w:i/>
        </w:rPr>
        <w:t>Global Action for Fall Armyworm Control</w:t>
      </w:r>
      <w:r w:rsidR="00A2117C">
        <w:t>. This ob</w:t>
      </w:r>
      <w:r w:rsidR="00450EA9">
        <w:t xml:space="preserve">jective will focus on </w:t>
      </w:r>
      <w:r w:rsidR="00A2117C">
        <w:t xml:space="preserve">preventing the spread of FAW to new areas by </w:t>
      </w:r>
      <w:r w:rsidRPr="008F3303">
        <w:t>support</w:t>
      </w:r>
      <w:r w:rsidR="00A2117C">
        <w:t>ing</w:t>
      </w:r>
      <w:r w:rsidRPr="008F3303">
        <w:t xml:space="preserve"> national and regional </w:t>
      </w:r>
      <w:r w:rsidR="00A2117C">
        <w:t>quarantine</w:t>
      </w:r>
      <w:r w:rsidRPr="008F3303">
        <w:t xml:space="preserve"> and plant protection organisations within the Near East </w:t>
      </w:r>
      <w:r>
        <w:t>and North-</w:t>
      </w:r>
      <w:r w:rsidRPr="008F3303">
        <w:t>Africa</w:t>
      </w:r>
      <w:r>
        <w:t>, South Pacific and Europe</w:t>
      </w:r>
      <w:r w:rsidRPr="008F3303">
        <w:t xml:space="preserve"> Regions in </w:t>
      </w:r>
      <w:r w:rsidR="00450EA9">
        <w:t xml:space="preserve">strengthening their </w:t>
      </w:r>
      <w:r w:rsidRPr="008F3303">
        <w:t>preve</w:t>
      </w:r>
      <w:r w:rsidR="00450EA9">
        <w:t xml:space="preserve">ntion, preparedness and </w:t>
      </w:r>
      <w:r w:rsidR="002B1737">
        <w:t>response</w:t>
      </w:r>
      <w:r w:rsidR="00450EA9">
        <w:t xml:space="preserve"> systems.</w:t>
      </w:r>
    </w:p>
    <w:p w:rsidR="00450EA9" w:rsidRPr="003E2FD6" w:rsidRDefault="0059144A" w:rsidP="003E2FD6">
      <w:pPr>
        <w:pStyle w:val="IPPParagraphnumbering"/>
      </w:pPr>
      <w:r>
        <w:t xml:space="preserve">The </w:t>
      </w:r>
      <w:r w:rsidR="006A0F79" w:rsidRPr="008F3303">
        <w:t xml:space="preserve">TWG </w:t>
      </w:r>
      <w:r>
        <w:t xml:space="preserve">will </w:t>
      </w:r>
      <w:r w:rsidR="00A33032" w:rsidRPr="008F3303">
        <w:t>dra</w:t>
      </w:r>
      <w:r w:rsidR="006A0F79" w:rsidRPr="008F3303">
        <w:t xml:space="preserve">w upon technical expertise and professional networks </w:t>
      </w:r>
      <w:r w:rsidR="00A33032" w:rsidRPr="008F3303">
        <w:t xml:space="preserve">with key </w:t>
      </w:r>
      <w:r w:rsidR="008C5EEA" w:rsidRPr="008F3303">
        <w:t xml:space="preserve">plant protection, </w:t>
      </w:r>
      <w:r w:rsidR="00A33032" w:rsidRPr="008F3303">
        <w:t>biosecurity</w:t>
      </w:r>
      <w:r w:rsidR="008C5EEA" w:rsidRPr="008F3303">
        <w:t xml:space="preserve"> and scientific </w:t>
      </w:r>
      <w:r w:rsidR="00A33032" w:rsidRPr="008F3303">
        <w:t>specialists around the world.  Given the current restrictions in travel associated wit</w:t>
      </w:r>
      <w:r w:rsidR="006A0F79" w:rsidRPr="008F3303">
        <w:t>h COVID 19, these professional and t</w:t>
      </w:r>
      <w:r w:rsidR="00A33032" w:rsidRPr="008F3303">
        <w:t>rus</w:t>
      </w:r>
      <w:r w:rsidR="006A0F79" w:rsidRPr="008F3303">
        <w:t>ted relationships amongst</w:t>
      </w:r>
      <w:r w:rsidR="00A33032" w:rsidRPr="008F3303">
        <w:t xml:space="preserve"> biosecurity</w:t>
      </w:r>
      <w:r w:rsidR="006A0F79" w:rsidRPr="008F3303">
        <w:t xml:space="preserve">, plant protection, scientific, industry and international trade related </w:t>
      </w:r>
      <w:r w:rsidR="00A33032" w:rsidRPr="008F3303">
        <w:t>agencies will be essential.</w:t>
      </w:r>
    </w:p>
    <w:p w:rsidR="00450EA9" w:rsidRPr="003E2FD6" w:rsidRDefault="00450EA9" w:rsidP="003E2FD6">
      <w:pPr>
        <w:pStyle w:val="IPPHeading1"/>
      </w:pPr>
      <w:r w:rsidRPr="003E2FD6">
        <w:t>FAW Prevention and Preparedness</w:t>
      </w:r>
    </w:p>
    <w:p w:rsidR="006B3278" w:rsidRDefault="006B3278" w:rsidP="003E2FD6">
      <w:pPr>
        <w:pStyle w:val="IPPParagraphnumbering"/>
      </w:pPr>
      <w:r>
        <w:t xml:space="preserve">FAW is primarily a pest of maize but has a wide host range and the larvae can feed on over 300 plant species, including sugarcane, rice, sorghum, cereal crops, fruit and vegetable crops (Nagoshi et al. 2018). FAW </w:t>
      </w:r>
      <w:proofErr w:type="gramStart"/>
      <w:r>
        <w:t>is known</w:t>
      </w:r>
      <w:proofErr w:type="gramEnd"/>
      <w:r>
        <w:t xml:space="preserve"> for its ability to naturally disperse and migrate long distances (over 300km) and, with its potential to contaminate certain commodities in trade, can rapidly expand its </w:t>
      </w:r>
      <w:r w:rsidR="002B1737">
        <w:t xml:space="preserve">distribution </w:t>
      </w:r>
      <w:r>
        <w:t xml:space="preserve">range.  </w:t>
      </w:r>
    </w:p>
    <w:p w:rsidR="006B3278" w:rsidRDefault="00450EA9" w:rsidP="003E2FD6">
      <w:pPr>
        <w:pStyle w:val="IPPParagraphnumbering"/>
      </w:pPr>
      <w:r>
        <w:t xml:space="preserve">The success of FAW prevention and preparedness measures relies on countries and regions having ability to monitor changes in the global distribution of FAW, and having </w:t>
      </w:r>
      <w:r w:rsidR="002173B0">
        <w:t xml:space="preserve">the </w:t>
      </w:r>
      <w:r>
        <w:t xml:space="preserve">capability to assess the risk posed by the pest through pest risk analysis and pathway vulnerability assessments. </w:t>
      </w:r>
    </w:p>
    <w:p w:rsidR="006B3278" w:rsidRDefault="006B3278" w:rsidP="003E2FD6">
      <w:pPr>
        <w:pStyle w:val="IPPParagraphnumbering"/>
      </w:pPr>
      <w:r>
        <w:t xml:space="preserve">Identifying crucial drivers of species introductions such as specific human-assisted and natural pathways is critical to determining the level of risk. Pathway and importation risk assessment involves conducting detailed pathway analyse that uses interception data, coupled with pathway specific trade volumes and information about which countries the pest is known to have established in (Yemshanov et al. 2011). </w:t>
      </w:r>
    </w:p>
    <w:p w:rsidR="002173B0" w:rsidRDefault="00450EA9" w:rsidP="003E2FD6">
      <w:pPr>
        <w:pStyle w:val="IPPParagraphnumbering"/>
      </w:pPr>
      <w:r>
        <w:t xml:space="preserve">Regulated (trade) pathways into countries and regions still free from FAW should be assessed for </w:t>
      </w:r>
      <w:proofErr w:type="gramStart"/>
      <w:r>
        <w:t>high risk</w:t>
      </w:r>
      <w:proofErr w:type="gramEnd"/>
      <w:r>
        <w:t xml:space="preserve"> commodities (such as cut flowers, fruit, vegetables and nursery stock) and phytosanitary measures such as pre-export fumigation, inspection and phytosanitary certification should be applied to mitigate the risk of FAW larvae being transported</w:t>
      </w:r>
      <w:r w:rsidR="002173B0">
        <w:t xml:space="preserve">. It is important that strict quarantine and biosecurity controls </w:t>
      </w:r>
      <w:r w:rsidR="002173B0">
        <w:lastRenderedPageBreak/>
        <w:t xml:space="preserve">and inspection procedures </w:t>
      </w:r>
      <w:proofErr w:type="gramStart"/>
      <w:r w:rsidR="002173B0">
        <w:t>are</w:t>
      </w:r>
      <w:proofErr w:type="gramEnd"/>
      <w:r w:rsidR="002173B0">
        <w:t xml:space="preserve"> maintained to ensure any FAW interceptions are identified and treated, and details of the interception are formally recorded and reported back to the National Plant Protection Organisation (NPPO) in the country to investigate the no-compliance incident and rectify the phytosanitary breach. </w:t>
      </w:r>
    </w:p>
    <w:p w:rsidR="002173B0" w:rsidRDefault="006B3278" w:rsidP="003E2FD6">
      <w:pPr>
        <w:pStyle w:val="IPPParagraphnumbering"/>
      </w:pPr>
      <w:r>
        <w:t xml:space="preserve">Much of the FAW movement between countries and regions now appear to have resulted through long-distance natural dispersal pathways and/or seasonal migrations (Cock et al. 2017; Jeger et al 2017). Whilst it is difficult to prevent and mitigate these natural </w:t>
      </w:r>
      <w:r w:rsidR="002B1737">
        <w:t>pathway incursions</w:t>
      </w:r>
      <w:r>
        <w:t>, it is important to establish and maintain preparedness measures to effectively detect and respond to the emerging threat from FAW.</w:t>
      </w:r>
    </w:p>
    <w:p w:rsidR="00810072" w:rsidRPr="003E2FD6" w:rsidRDefault="00450EA9" w:rsidP="003E2FD6">
      <w:pPr>
        <w:pStyle w:val="IPPParagraphnumbering"/>
      </w:pPr>
      <w:proofErr w:type="gramStart"/>
      <w:r>
        <w:t xml:space="preserve">The key objectives of </w:t>
      </w:r>
      <w:r w:rsidR="006B3278">
        <w:t xml:space="preserve">a regional and national </w:t>
      </w:r>
      <w:r>
        <w:t>FAW pre</w:t>
      </w:r>
      <w:r w:rsidR="006B3278">
        <w:t>vention and preparedness capability should be to ensure regulated pathways effectively manage the FAW risk, provide early warning of FAW in near neighbouring regions and countries, provide early detection in high risk or vulnerable locations, understand the biology, potential impact and distribution of the FAW at a country and regional level, strengthen surveillance, preparedness and response capability in high risk or vulnerable locations, raise industry and stakeholder awareness, and build national and regional capability to respond and manage FAW prior to its detection in major production areas.</w:t>
      </w:r>
      <w:proofErr w:type="gramEnd"/>
      <w:r w:rsidR="006B3278">
        <w:t xml:space="preserve">  </w:t>
      </w:r>
    </w:p>
    <w:p w:rsidR="006B3278" w:rsidRPr="006B3278" w:rsidRDefault="006B3278" w:rsidP="003E2FD6">
      <w:pPr>
        <w:pStyle w:val="IPPHeading1"/>
      </w:pPr>
      <w:r>
        <w:t xml:space="preserve">FAW </w:t>
      </w:r>
      <w:r w:rsidRPr="006B3278">
        <w:t>Pest Risk Assessment</w:t>
      </w:r>
    </w:p>
    <w:p w:rsidR="006B3278" w:rsidRDefault="006B3278" w:rsidP="003E2FD6">
      <w:pPr>
        <w:pStyle w:val="IPPParagraphnumbering"/>
      </w:pPr>
      <w:r>
        <w:t xml:space="preserve">The likelihood entry of FAW is pathway dependant. Due to the polyphagy of FAW and the number of countries that it is now know to occur, there are many combinations of host plants and countries of origin that could potentially provide a pathway to facilitate entry into the </w:t>
      </w:r>
      <w:r w:rsidRPr="008F3303">
        <w:rPr>
          <w:rFonts w:eastAsia="Times New Roman" w:cs="Times New Roman"/>
        </w:rPr>
        <w:t>un</w:t>
      </w:r>
      <w:r>
        <w:rPr>
          <w:rFonts w:eastAsia="Times New Roman" w:cs="Times New Roman"/>
        </w:rPr>
        <w:t>-</w:t>
      </w:r>
      <w:r w:rsidRPr="008F3303">
        <w:rPr>
          <w:rFonts w:eastAsia="Times New Roman" w:cs="Times New Roman"/>
        </w:rPr>
        <w:t xml:space="preserve">infested regions </w:t>
      </w:r>
      <w:r>
        <w:rPr>
          <w:rFonts w:eastAsia="Times New Roman" w:cs="Times New Roman"/>
        </w:rPr>
        <w:t xml:space="preserve">and countries </w:t>
      </w:r>
      <w:r w:rsidRPr="008F3303">
        <w:rPr>
          <w:rFonts w:eastAsia="Times New Roman" w:cs="Times New Roman"/>
        </w:rPr>
        <w:t xml:space="preserve">of Near East </w:t>
      </w:r>
      <w:r>
        <w:rPr>
          <w:rFonts w:eastAsia="Times New Roman" w:cs="Times New Roman"/>
        </w:rPr>
        <w:t xml:space="preserve">and </w:t>
      </w:r>
      <w:proofErr w:type="gramStart"/>
      <w:r>
        <w:rPr>
          <w:rFonts w:eastAsia="Times New Roman" w:cs="Times New Roman"/>
        </w:rPr>
        <w:t>North-</w:t>
      </w:r>
      <w:r w:rsidRPr="008F3303">
        <w:rPr>
          <w:rFonts w:eastAsia="Times New Roman" w:cs="Times New Roman"/>
        </w:rPr>
        <w:t>Africa</w:t>
      </w:r>
      <w:proofErr w:type="gramEnd"/>
      <w:r w:rsidRPr="008F3303">
        <w:rPr>
          <w:rFonts w:eastAsia="Times New Roman" w:cs="Times New Roman"/>
        </w:rPr>
        <w:t>, South Pacific and Europe.</w:t>
      </w:r>
      <w:r>
        <w:t xml:space="preserve"> </w:t>
      </w:r>
    </w:p>
    <w:p w:rsidR="006B3278" w:rsidRDefault="006B3278" w:rsidP="003E2FD6">
      <w:pPr>
        <w:pStyle w:val="IPPParagraphnumbering"/>
      </w:pPr>
      <w:r>
        <w:t>Important factors that need to be taken into consideration when conducting a pest risk assessment for FAW include the likelihood of importation (FAW is regularly intercepted on cut flowers and fresh produce but rarely intercepted on hitchhiker pathways such as aircraft surfaces and shipping containers), the likelihood of distribution (through both natural and regulated pathways), the likelihood of establishment (host availability and distribution and climate suitability), and the likelihood of spread (adults of FAW are capable of travelling long distances across oceans and land masses)</w:t>
      </w:r>
    </w:p>
    <w:p w:rsidR="006B3278" w:rsidRDefault="006B3278" w:rsidP="003E2FD6">
      <w:pPr>
        <w:pStyle w:val="IPPParagraphnumbering"/>
      </w:pPr>
      <w:r>
        <w:t xml:space="preserve">It is therefore important to assess the overall likelihood (indicative) of entry, establishment and spread. The overall likelihood that FAW will enter the </w:t>
      </w:r>
      <w:r w:rsidRPr="008F3303">
        <w:rPr>
          <w:rFonts w:eastAsia="Times New Roman" w:cs="Times New Roman"/>
        </w:rPr>
        <w:t xml:space="preserve">Near East </w:t>
      </w:r>
      <w:r>
        <w:rPr>
          <w:rFonts w:eastAsia="Times New Roman" w:cs="Times New Roman"/>
        </w:rPr>
        <w:t>and North-</w:t>
      </w:r>
      <w:r w:rsidRPr="008F3303">
        <w:rPr>
          <w:rFonts w:eastAsia="Times New Roman" w:cs="Times New Roman"/>
        </w:rPr>
        <w:t>Africa, South Pacific and Europe</w:t>
      </w:r>
      <w:r>
        <w:rPr>
          <w:rFonts w:eastAsia="Times New Roman" w:cs="Times New Roman"/>
        </w:rPr>
        <w:t xml:space="preserve"> regions on a plant import or natural pathway, naturally disperse (to a susceptible host), and establish </w:t>
      </w:r>
      <w:r w:rsidR="000F148E">
        <w:rPr>
          <w:rFonts w:eastAsia="Times New Roman" w:cs="Times New Roman"/>
        </w:rPr>
        <w:t xml:space="preserve">remains </w:t>
      </w:r>
      <w:r>
        <w:rPr>
          <w:rFonts w:eastAsia="Times New Roman" w:cs="Times New Roman"/>
        </w:rPr>
        <w:t xml:space="preserve">high but will need to be </w:t>
      </w:r>
      <w:r w:rsidR="000F148E">
        <w:rPr>
          <w:rFonts w:eastAsia="Times New Roman" w:cs="Times New Roman"/>
        </w:rPr>
        <w:t xml:space="preserve">continually </w:t>
      </w:r>
      <w:r>
        <w:rPr>
          <w:rFonts w:eastAsia="Times New Roman" w:cs="Times New Roman"/>
        </w:rPr>
        <w:t>assessed at a regional and country level</w:t>
      </w:r>
      <w:r w:rsidR="000F148E">
        <w:rPr>
          <w:rFonts w:eastAsia="Times New Roman" w:cs="Times New Roman"/>
        </w:rPr>
        <w:t>.</w:t>
      </w:r>
    </w:p>
    <w:p w:rsidR="00810072" w:rsidRDefault="00810072" w:rsidP="00E866B6">
      <w:pPr>
        <w:contextualSpacing/>
        <w:rPr>
          <w:rFonts w:asciiTheme="majorHAnsi" w:hAnsiTheme="majorHAnsi"/>
          <w:bCs/>
          <w:sz w:val="24"/>
        </w:rPr>
      </w:pPr>
    </w:p>
    <w:p w:rsidR="000E15EE" w:rsidRPr="003E2FD6" w:rsidRDefault="000E15EE" w:rsidP="00E866B6">
      <w:pPr>
        <w:contextualSpacing/>
        <w:rPr>
          <w:rFonts w:eastAsia="Times"/>
          <w:b/>
          <w:sz w:val="24"/>
          <w:szCs w:val="22"/>
        </w:rPr>
      </w:pPr>
      <w:r w:rsidRPr="003E2FD6">
        <w:rPr>
          <w:rFonts w:eastAsia="Times"/>
          <w:b/>
          <w:sz w:val="24"/>
          <w:szCs w:val="22"/>
        </w:rPr>
        <w:t>FAW Pathway Vulnerability Assessment</w:t>
      </w:r>
    </w:p>
    <w:p w:rsidR="000E15EE" w:rsidRDefault="000E15EE" w:rsidP="003E2FD6">
      <w:pPr>
        <w:pStyle w:val="IPPParagraphnumbering"/>
        <w:spacing w:before="240"/>
      </w:pPr>
      <w:r>
        <w:t xml:space="preserve">Pathway vulnerability assessment tools may also be used to assess the areas of vulnerability (where and what) in a FAW pathway, and the actions that may be taken to address or mitigate the identified vulnerabilities. Pathway vulnerability assessments are generally comprised of six key components. </w:t>
      </w:r>
      <w:proofErr w:type="gramStart"/>
      <w:r>
        <w:t xml:space="preserve">These include </w:t>
      </w:r>
      <w:r w:rsidRPr="000E15EE">
        <w:rPr>
          <w:b/>
        </w:rPr>
        <w:t>pest biology</w:t>
      </w:r>
      <w:r>
        <w:t xml:space="preserve"> (pest family, scientific name, common name, commodity/host, spread mechanism, control mechanism), </w:t>
      </w:r>
      <w:r w:rsidRPr="000E15EE">
        <w:rPr>
          <w:b/>
        </w:rPr>
        <w:t>pest distribution</w:t>
      </w:r>
      <w:r>
        <w:t xml:space="preserve"> (pest status in country, countries where the pest is present), </w:t>
      </w:r>
      <w:r w:rsidRPr="000E15EE">
        <w:rPr>
          <w:b/>
        </w:rPr>
        <w:t>pre-border</w:t>
      </w:r>
      <w:r>
        <w:t xml:space="preserve"> (offshore surveillance programs, offshore pest management programs), </w:t>
      </w:r>
      <w:r w:rsidRPr="000E15EE">
        <w:rPr>
          <w:b/>
        </w:rPr>
        <w:t>border</w:t>
      </w:r>
      <w:r>
        <w:t xml:space="preserve"> (relevant commodity import conditions, border detection records), </w:t>
      </w:r>
      <w:r w:rsidRPr="000E15EE">
        <w:rPr>
          <w:b/>
        </w:rPr>
        <w:t>post border</w:t>
      </w:r>
      <w:r>
        <w:t xml:space="preserve"> (industry/community priority, diagnostic protocols and resources, diagnostic capability, onshore surveillance programs, surveillance protocols and resources, notifiable pest, onshore detection records, establishment and spread potential, contingency plan, availability of measures), and </w:t>
      </w:r>
      <w:r w:rsidRPr="000E15EE">
        <w:rPr>
          <w:b/>
        </w:rPr>
        <w:t xml:space="preserve">export </w:t>
      </w:r>
      <w:r>
        <w:t>(phytosanitary certification, assessment of export trade).</w:t>
      </w:r>
      <w:proofErr w:type="gramEnd"/>
    </w:p>
    <w:p w:rsidR="000E15EE" w:rsidRDefault="000E15EE" w:rsidP="00E866B6">
      <w:pPr>
        <w:contextualSpacing/>
        <w:rPr>
          <w:rFonts w:asciiTheme="majorHAnsi" w:hAnsiTheme="majorHAnsi"/>
          <w:bCs/>
          <w:sz w:val="24"/>
        </w:rPr>
      </w:pPr>
    </w:p>
    <w:p w:rsidR="003E2FD6" w:rsidRDefault="003E2FD6" w:rsidP="00E866B6">
      <w:pPr>
        <w:contextualSpacing/>
        <w:rPr>
          <w:rFonts w:asciiTheme="majorHAnsi" w:hAnsiTheme="majorHAnsi"/>
          <w:bCs/>
          <w:sz w:val="24"/>
        </w:rPr>
      </w:pPr>
    </w:p>
    <w:p w:rsidR="003E2FD6" w:rsidRDefault="003E2FD6" w:rsidP="00E866B6">
      <w:pPr>
        <w:contextualSpacing/>
        <w:rPr>
          <w:rFonts w:asciiTheme="majorHAnsi" w:hAnsiTheme="majorHAnsi"/>
          <w:bCs/>
          <w:sz w:val="24"/>
        </w:rPr>
      </w:pPr>
    </w:p>
    <w:p w:rsidR="003E2FD6" w:rsidRDefault="003E2FD6" w:rsidP="00E866B6">
      <w:pPr>
        <w:contextualSpacing/>
        <w:rPr>
          <w:rFonts w:asciiTheme="majorHAnsi" w:hAnsiTheme="majorHAnsi"/>
          <w:bCs/>
          <w:sz w:val="24"/>
        </w:rPr>
      </w:pPr>
    </w:p>
    <w:p w:rsidR="00810072" w:rsidRPr="003E2FD6" w:rsidRDefault="00810072" w:rsidP="00E866B6">
      <w:pPr>
        <w:contextualSpacing/>
        <w:rPr>
          <w:rFonts w:eastAsia="Times"/>
          <w:b/>
          <w:sz w:val="24"/>
          <w:szCs w:val="22"/>
        </w:rPr>
      </w:pPr>
      <w:r w:rsidRPr="003E2FD6">
        <w:rPr>
          <w:rFonts w:eastAsia="Times"/>
          <w:b/>
          <w:sz w:val="24"/>
          <w:szCs w:val="22"/>
        </w:rPr>
        <w:lastRenderedPageBreak/>
        <w:t xml:space="preserve">FAW Response and Contingency Planning </w:t>
      </w:r>
    </w:p>
    <w:p w:rsidR="00DB2622" w:rsidRPr="003E2FD6" w:rsidRDefault="00DB2622" w:rsidP="003E2FD6">
      <w:pPr>
        <w:pStyle w:val="IPPParagraphnumbering"/>
        <w:spacing w:before="240"/>
      </w:pPr>
      <w:r>
        <w:t xml:space="preserve">The success of FAW preparedness and response measures relies on countries and regions having contingency and response plans developed, endorsed and resourced well in advance of a FAW detection. FAW </w:t>
      </w:r>
      <w:r w:rsidR="007A11CB">
        <w:t>contingency plan</w:t>
      </w:r>
      <w:r>
        <w:t>s</w:t>
      </w:r>
      <w:r w:rsidR="007A11CB">
        <w:t xml:space="preserve"> </w:t>
      </w:r>
      <w:r>
        <w:t>should provide</w:t>
      </w:r>
      <w:r w:rsidR="007A11CB">
        <w:t xml:space="preserve"> guidance for steps to be undertaken and considered when developing a response plan for FAW. </w:t>
      </w:r>
      <w:r>
        <w:t xml:space="preserve">Regional and National </w:t>
      </w:r>
      <w:r w:rsidR="007A11CB">
        <w:t>FAW contingency plan</w:t>
      </w:r>
      <w:r>
        <w:t>s</w:t>
      </w:r>
      <w:r w:rsidR="007A11CB">
        <w:t xml:space="preserve"> should include an assessment on pest biology, establishment risks, dispersal capacity (including native plant host range), potential plant industry impacts, available control measures, management options, awareness and extension products, risk reduction options (to reduce the risk of an incursion) and surveillance and monitoring protocols.</w:t>
      </w:r>
      <w:r>
        <w:t xml:space="preserve"> </w:t>
      </w:r>
    </w:p>
    <w:p w:rsidR="00DB2622" w:rsidRPr="003E2FD6" w:rsidRDefault="00DB2622" w:rsidP="00DB2622">
      <w:pPr>
        <w:rPr>
          <w:rFonts w:eastAsia="Times"/>
          <w:b/>
          <w:sz w:val="24"/>
          <w:szCs w:val="22"/>
        </w:rPr>
      </w:pPr>
      <w:r w:rsidRPr="003E2FD6">
        <w:rPr>
          <w:rFonts w:eastAsia="Times"/>
          <w:b/>
          <w:sz w:val="24"/>
          <w:szCs w:val="22"/>
        </w:rPr>
        <w:t>FAW Domestic Trade Considerations</w:t>
      </w:r>
    </w:p>
    <w:p w:rsidR="00C31FD4" w:rsidRPr="003E2FD6" w:rsidRDefault="00DB2622" w:rsidP="003E2FD6">
      <w:pPr>
        <w:pStyle w:val="IPPParagraphnumbering"/>
        <w:spacing w:before="240"/>
        <w:rPr>
          <w:b/>
        </w:rPr>
      </w:pPr>
      <w:r>
        <w:t xml:space="preserve">When </w:t>
      </w:r>
      <w:r w:rsidR="006854BB" w:rsidRPr="006854BB">
        <w:t xml:space="preserve">FAW </w:t>
      </w:r>
      <w:proofErr w:type="gramStart"/>
      <w:r w:rsidR="006854BB" w:rsidRPr="006854BB">
        <w:t>is detected</w:t>
      </w:r>
      <w:proofErr w:type="gramEnd"/>
      <w:r w:rsidR="006854BB" w:rsidRPr="006854BB">
        <w:t xml:space="preserve"> in a country, it is initially likely to be restricted to a particular area (natural pathway point of entry). National quarantine and biosecurity measures would need to be enforced to prevent the movement of plant material out of the incursion area and this would have an economic impact on the plant industry or business. Nationally, countries should have internal or domestic quarantine and phytosanitary restrictions for pests of concern for their </w:t>
      </w:r>
      <w:r w:rsidRPr="006854BB">
        <w:t>jurisdictions</w:t>
      </w:r>
      <w:r w:rsidR="006854BB" w:rsidRPr="006854BB">
        <w:t xml:space="preserve">. It is recommended that a national ‘intergovernmental’ body be established between these </w:t>
      </w:r>
      <w:r w:rsidRPr="006854BB">
        <w:t>jurisdictional</w:t>
      </w:r>
      <w:r w:rsidR="006854BB" w:rsidRPr="006854BB">
        <w:t xml:space="preserve"> authorities to ensure that the development of domestic market access conditions for FAW host plants and plant products within that country are technically justified, coordinated</w:t>
      </w:r>
      <w:r>
        <w:t xml:space="preserve"> and harmonised, and consistent. </w:t>
      </w:r>
      <w:r w:rsidR="006854BB" w:rsidRPr="006854BB">
        <w:t>When F</w:t>
      </w:r>
      <w:r>
        <w:t xml:space="preserve">AW is introduced to an area </w:t>
      </w:r>
      <w:r w:rsidR="006854BB" w:rsidRPr="006854BB">
        <w:t xml:space="preserve">the outbreak is restricted to the detection area, the other </w:t>
      </w:r>
      <w:r w:rsidRPr="006854BB">
        <w:t>jurisdictions</w:t>
      </w:r>
      <w:r w:rsidR="006854BB" w:rsidRPr="006854BB">
        <w:t xml:space="preserve"> where the FAW has not been found may restrict intra- and inter- province movement of infested commodities to prevent the </w:t>
      </w:r>
      <w:proofErr w:type="gramStart"/>
      <w:r w:rsidR="006854BB" w:rsidRPr="006854BB">
        <w:t>pest’</w:t>
      </w:r>
      <w:r w:rsidR="00C31FD4">
        <w:t>s</w:t>
      </w:r>
      <w:proofErr w:type="gramEnd"/>
      <w:r w:rsidR="00C31FD4">
        <w:t xml:space="preserve"> spread.</w:t>
      </w:r>
    </w:p>
    <w:p w:rsidR="005B6156" w:rsidRPr="003E2FD6" w:rsidRDefault="000F148E" w:rsidP="000F148E">
      <w:pPr>
        <w:rPr>
          <w:rFonts w:eastAsia="Times"/>
          <w:b/>
          <w:sz w:val="24"/>
          <w:szCs w:val="22"/>
        </w:rPr>
      </w:pPr>
      <w:r w:rsidRPr="003E2FD6">
        <w:rPr>
          <w:rFonts w:eastAsia="Times"/>
          <w:b/>
          <w:sz w:val="24"/>
          <w:szCs w:val="22"/>
        </w:rPr>
        <w:t xml:space="preserve">Proposed </w:t>
      </w:r>
      <w:r w:rsidR="005B6156" w:rsidRPr="003E2FD6">
        <w:rPr>
          <w:rFonts w:eastAsia="Times"/>
          <w:b/>
          <w:sz w:val="24"/>
          <w:szCs w:val="22"/>
        </w:rPr>
        <w:t xml:space="preserve">Priorities </w:t>
      </w:r>
      <w:r w:rsidR="0059144A" w:rsidRPr="003E2FD6">
        <w:rPr>
          <w:rFonts w:eastAsia="Times"/>
          <w:b/>
          <w:sz w:val="24"/>
          <w:szCs w:val="22"/>
        </w:rPr>
        <w:t xml:space="preserve">for the </w:t>
      </w:r>
      <w:r w:rsidRPr="003E2FD6">
        <w:rPr>
          <w:rFonts w:eastAsia="Times"/>
          <w:b/>
          <w:sz w:val="24"/>
          <w:szCs w:val="22"/>
        </w:rPr>
        <w:t>Technical Working Group</w:t>
      </w:r>
    </w:p>
    <w:p w:rsidR="00D81B63" w:rsidRPr="008F3303" w:rsidRDefault="00D81B63" w:rsidP="003E2FD6">
      <w:pPr>
        <w:pStyle w:val="IPPParagraphnumbering"/>
        <w:spacing w:before="240"/>
      </w:pPr>
      <w:r w:rsidRPr="008F3303">
        <w:t>The overall aim of the</w:t>
      </w:r>
      <w:r w:rsidR="000A32A7" w:rsidRPr="008F3303">
        <w:rPr>
          <w:rFonts w:eastAsia="Times New Roman" w:cs="Times New Roman"/>
        </w:rPr>
        <w:t xml:space="preserve"> TWG on </w:t>
      </w:r>
      <w:r w:rsidR="000A32A7" w:rsidRPr="008F3303">
        <w:rPr>
          <w:rFonts w:eastAsia="Times New Roman" w:cs="Times New Roman"/>
          <w:i/>
        </w:rPr>
        <w:t>Phytosanitary and Quarantine in Relation to Trade</w:t>
      </w:r>
      <w:r w:rsidR="006A0F79" w:rsidRPr="008F3303">
        <w:t xml:space="preserve"> will be to</w:t>
      </w:r>
      <w:r w:rsidR="0059144A">
        <w:t xml:space="preserve"> provide phytosanitary and quarantine related </w:t>
      </w:r>
      <w:r w:rsidR="00EB51E8">
        <w:t>technical advice</w:t>
      </w:r>
      <w:r w:rsidR="00A2117C">
        <w:t xml:space="preserve"> on FAW</w:t>
      </w:r>
      <w:r w:rsidRPr="008F3303">
        <w:t xml:space="preserve"> </w:t>
      </w:r>
      <w:r w:rsidR="000A32A7" w:rsidRPr="008F3303">
        <w:t xml:space="preserve">prevention, preparedness and containment to </w:t>
      </w:r>
      <w:r w:rsidR="0059144A">
        <w:t xml:space="preserve">countries and regional plant protection organisations (RPPO’s) within the </w:t>
      </w:r>
      <w:r w:rsidR="0059144A" w:rsidRPr="008F3303">
        <w:rPr>
          <w:rFonts w:eastAsia="Times New Roman" w:cs="Times New Roman"/>
        </w:rPr>
        <w:t xml:space="preserve">Near East </w:t>
      </w:r>
      <w:r w:rsidR="0059144A">
        <w:rPr>
          <w:rFonts w:eastAsia="Times New Roman" w:cs="Times New Roman"/>
        </w:rPr>
        <w:t>and North-</w:t>
      </w:r>
      <w:r w:rsidR="0059144A" w:rsidRPr="008F3303">
        <w:rPr>
          <w:rFonts w:eastAsia="Times New Roman" w:cs="Times New Roman"/>
        </w:rPr>
        <w:t>Africa</w:t>
      </w:r>
      <w:r w:rsidR="0059144A">
        <w:rPr>
          <w:rFonts w:eastAsia="Times New Roman" w:cs="Times New Roman"/>
        </w:rPr>
        <w:t>, South Pacific and Europe</w:t>
      </w:r>
      <w:r w:rsidR="0059144A" w:rsidRPr="008F3303">
        <w:rPr>
          <w:rFonts w:eastAsia="Times New Roman" w:cs="Times New Roman"/>
        </w:rPr>
        <w:t xml:space="preserve"> </w:t>
      </w:r>
      <w:r w:rsidR="00A2117C">
        <w:rPr>
          <w:rFonts w:eastAsia="Times New Roman" w:cs="Times New Roman"/>
        </w:rPr>
        <w:t xml:space="preserve">Regions, with a particular focus on FAW pathway and importation risk analysis and prioritisation, FAW early warning and detection monitoring and surveillance, FAW response and contingency planning, and domestic FAW phytosanitary measures. </w:t>
      </w:r>
    </w:p>
    <w:p w:rsidR="00E866B6" w:rsidRDefault="000A32A7" w:rsidP="003E2FD6">
      <w:pPr>
        <w:pStyle w:val="IPPParagraphnumbering"/>
        <w:rPr>
          <w:bCs/>
        </w:rPr>
      </w:pPr>
      <w:r w:rsidRPr="008F3303">
        <w:rPr>
          <w:bCs/>
        </w:rPr>
        <w:t>The</w:t>
      </w:r>
      <w:r w:rsidR="00E866B6" w:rsidRPr="008F3303">
        <w:rPr>
          <w:bCs/>
        </w:rPr>
        <w:t xml:space="preserve"> </w:t>
      </w:r>
      <w:r w:rsidRPr="008F3303">
        <w:rPr>
          <w:rFonts w:eastAsia="Times New Roman" w:cs="Times New Roman"/>
        </w:rPr>
        <w:t xml:space="preserve">TWG </w:t>
      </w:r>
      <w:r w:rsidR="00E866B6" w:rsidRPr="008F3303">
        <w:rPr>
          <w:bCs/>
        </w:rPr>
        <w:t xml:space="preserve">will </w:t>
      </w:r>
      <w:r w:rsidRPr="008F3303">
        <w:rPr>
          <w:bCs/>
        </w:rPr>
        <w:t xml:space="preserve">also </w:t>
      </w:r>
      <w:r w:rsidR="00E866B6" w:rsidRPr="008F3303">
        <w:rPr>
          <w:bCs/>
        </w:rPr>
        <w:t xml:space="preserve">seek to review </w:t>
      </w:r>
      <w:r w:rsidR="0059144A">
        <w:rPr>
          <w:bCs/>
        </w:rPr>
        <w:t>and assess the plant quarantine and FAW</w:t>
      </w:r>
      <w:r w:rsidR="00E866B6" w:rsidRPr="008F3303">
        <w:rPr>
          <w:bCs/>
        </w:rPr>
        <w:t xml:space="preserve"> prep</w:t>
      </w:r>
      <w:r w:rsidR="0059144A">
        <w:rPr>
          <w:bCs/>
        </w:rPr>
        <w:t xml:space="preserve">aredness and response </w:t>
      </w:r>
      <w:r w:rsidRPr="008F3303">
        <w:rPr>
          <w:bCs/>
        </w:rPr>
        <w:t xml:space="preserve">capabilities of the </w:t>
      </w:r>
      <w:r w:rsidR="0059144A">
        <w:rPr>
          <w:bCs/>
        </w:rPr>
        <w:t xml:space="preserve">RPPO’s and national quarantine and plant protection agencies. </w:t>
      </w:r>
      <w:r w:rsidRPr="008F3303">
        <w:rPr>
          <w:bCs/>
        </w:rPr>
        <w:t>These reviews and assessments</w:t>
      </w:r>
      <w:r w:rsidR="00E866B6" w:rsidRPr="008F3303">
        <w:rPr>
          <w:bCs/>
        </w:rPr>
        <w:t xml:space="preserve"> will seek to provide a suite of recommendations and actions to further strengthen the scientific and technical preparedness and response capability of regional biosecurity agencies</w:t>
      </w:r>
      <w:r w:rsidRPr="008F3303">
        <w:rPr>
          <w:bCs/>
        </w:rPr>
        <w:t xml:space="preserve"> </w:t>
      </w:r>
      <w:r w:rsidR="00E866B6" w:rsidRPr="008F3303">
        <w:rPr>
          <w:bCs/>
        </w:rPr>
        <w:t>to respond a</w:t>
      </w:r>
      <w:r w:rsidRPr="008F3303">
        <w:rPr>
          <w:bCs/>
        </w:rPr>
        <w:t>nd manage FAW</w:t>
      </w:r>
      <w:r w:rsidR="00E866B6" w:rsidRPr="008F3303">
        <w:rPr>
          <w:bCs/>
        </w:rPr>
        <w:t xml:space="preserve">, and in doing so, contribute to the regional harmonisation of biosecurity preparedness </w:t>
      </w:r>
      <w:r w:rsidR="000F6283" w:rsidRPr="008F3303">
        <w:rPr>
          <w:bCs/>
        </w:rPr>
        <w:t xml:space="preserve">and emergency response measures, This work </w:t>
      </w:r>
      <w:r w:rsidR="00E866B6" w:rsidRPr="008F3303">
        <w:rPr>
          <w:bCs/>
        </w:rPr>
        <w:t xml:space="preserve">will also contribute to greater consistency and harmonisation of plant biosecurity and pest response measures across </w:t>
      </w:r>
      <w:r w:rsidR="000F6283" w:rsidRPr="008F3303">
        <w:rPr>
          <w:bCs/>
        </w:rPr>
        <w:t xml:space="preserve">the </w:t>
      </w:r>
      <w:r w:rsidR="000F6283" w:rsidRPr="008F3303">
        <w:rPr>
          <w:rFonts w:eastAsia="Times New Roman" w:cs="Times New Roman"/>
        </w:rPr>
        <w:t xml:space="preserve">Near East </w:t>
      </w:r>
      <w:r w:rsidR="000445E7">
        <w:rPr>
          <w:rFonts w:eastAsia="Times New Roman" w:cs="Times New Roman"/>
        </w:rPr>
        <w:t>and North-</w:t>
      </w:r>
      <w:r w:rsidR="000F6283" w:rsidRPr="008F3303">
        <w:rPr>
          <w:rFonts w:eastAsia="Times New Roman" w:cs="Times New Roman"/>
        </w:rPr>
        <w:t xml:space="preserve">Africa, South </w:t>
      </w:r>
      <w:r w:rsidR="000445E7">
        <w:rPr>
          <w:rFonts w:eastAsia="Times New Roman" w:cs="Times New Roman"/>
        </w:rPr>
        <w:t xml:space="preserve">West </w:t>
      </w:r>
      <w:r w:rsidR="000F6283" w:rsidRPr="008F3303">
        <w:rPr>
          <w:rFonts w:eastAsia="Times New Roman" w:cs="Times New Roman"/>
        </w:rPr>
        <w:t xml:space="preserve">Pacific and European Region </w:t>
      </w:r>
      <w:r w:rsidR="000F6283" w:rsidRPr="008F3303">
        <w:rPr>
          <w:bCs/>
        </w:rPr>
        <w:t xml:space="preserve">countries and support </w:t>
      </w:r>
      <w:r w:rsidR="00E866B6" w:rsidRPr="008F3303">
        <w:rPr>
          <w:bCs/>
        </w:rPr>
        <w:t>regional network</w:t>
      </w:r>
      <w:r w:rsidR="000F6283" w:rsidRPr="008F3303">
        <w:rPr>
          <w:bCs/>
        </w:rPr>
        <w:t>s</w:t>
      </w:r>
      <w:r w:rsidR="00E866B6" w:rsidRPr="008F3303">
        <w:rPr>
          <w:bCs/>
        </w:rPr>
        <w:t xml:space="preserve"> of biosecurity and plant protection specialists and stakeholders.</w:t>
      </w:r>
    </w:p>
    <w:p w:rsidR="0059144A" w:rsidRPr="008F3303" w:rsidRDefault="0059144A" w:rsidP="00DB2622">
      <w:pPr>
        <w:rPr>
          <w:rFonts w:asciiTheme="majorHAnsi" w:eastAsia="Times New Roman" w:hAnsiTheme="majorHAnsi" w:cs="Times New Roman"/>
          <w:sz w:val="24"/>
        </w:rPr>
      </w:pPr>
    </w:p>
    <w:p w:rsidR="008F3303" w:rsidRDefault="00975C56" w:rsidP="00DB2622">
      <w:pPr>
        <w:rPr>
          <w:rFonts w:eastAsia="Times"/>
          <w:b/>
          <w:sz w:val="24"/>
          <w:szCs w:val="22"/>
        </w:rPr>
      </w:pPr>
      <w:r w:rsidRPr="003E2FD6">
        <w:rPr>
          <w:rFonts w:eastAsia="Times"/>
          <w:b/>
          <w:sz w:val="24"/>
          <w:szCs w:val="22"/>
        </w:rPr>
        <w:t xml:space="preserve">Proposed </w:t>
      </w:r>
      <w:r w:rsidR="00EE3462" w:rsidRPr="003E2FD6">
        <w:rPr>
          <w:rFonts w:eastAsia="Times"/>
          <w:b/>
          <w:sz w:val="24"/>
          <w:szCs w:val="22"/>
        </w:rPr>
        <w:t xml:space="preserve">Outputs from the </w:t>
      </w:r>
      <w:r w:rsidR="008F3303" w:rsidRPr="003E2FD6">
        <w:rPr>
          <w:rFonts w:eastAsia="Times"/>
          <w:b/>
          <w:sz w:val="24"/>
          <w:szCs w:val="22"/>
        </w:rPr>
        <w:t xml:space="preserve">Technical Working Group </w:t>
      </w:r>
      <w:r w:rsidR="00EE3462" w:rsidRPr="003E2FD6">
        <w:rPr>
          <w:rFonts w:eastAsia="Times"/>
          <w:b/>
          <w:sz w:val="24"/>
          <w:szCs w:val="22"/>
        </w:rPr>
        <w:t>(Short Term)</w:t>
      </w:r>
    </w:p>
    <w:p w:rsidR="003E2FD6" w:rsidRPr="003E2FD6" w:rsidRDefault="003E2FD6" w:rsidP="00DB2622">
      <w:pPr>
        <w:rPr>
          <w:rFonts w:eastAsia="Times"/>
          <w:b/>
          <w:sz w:val="24"/>
          <w:szCs w:val="22"/>
        </w:rPr>
      </w:pPr>
    </w:p>
    <w:p w:rsidR="00EE3462" w:rsidRPr="003E2FD6" w:rsidRDefault="00EE3462" w:rsidP="003E2FD6">
      <w:pPr>
        <w:pStyle w:val="IPPBullet1Last"/>
        <w:rPr>
          <w:rFonts w:cstheme="minorHAnsi"/>
        </w:rPr>
      </w:pPr>
      <w:r w:rsidRPr="00975C56">
        <w:t xml:space="preserve">The TWG on </w:t>
      </w:r>
      <w:r w:rsidRPr="00975C56">
        <w:rPr>
          <w:i/>
        </w:rPr>
        <w:t>Phytosanitary and Quarantine in Relation to Trade</w:t>
      </w:r>
      <w:r w:rsidRPr="00975C56">
        <w:rPr>
          <w:rFonts w:cstheme="minorHAnsi"/>
        </w:rPr>
        <w:t xml:space="preserve"> </w:t>
      </w:r>
      <w:r w:rsidRPr="00975C56">
        <w:t>will provide technical</w:t>
      </w:r>
      <w:r>
        <w:t xml:space="preserve"> advice (specific to FAW prevention, </w:t>
      </w:r>
      <w:r w:rsidRPr="00975C56">
        <w:t>preparedness and emerge</w:t>
      </w:r>
      <w:r>
        <w:t xml:space="preserve">ncy response operations) to the </w:t>
      </w:r>
      <w:r w:rsidRPr="00165306">
        <w:rPr>
          <w:i/>
        </w:rPr>
        <w:t>FAW Global Action Technical Committee</w:t>
      </w:r>
      <w:r>
        <w:t xml:space="preserve"> and RPPO leads </w:t>
      </w:r>
      <w:r w:rsidRPr="00975C56">
        <w:t xml:space="preserve">of the Near East </w:t>
      </w:r>
      <w:r>
        <w:t xml:space="preserve">and </w:t>
      </w:r>
      <w:proofErr w:type="gramStart"/>
      <w:r>
        <w:t>North-</w:t>
      </w:r>
      <w:r w:rsidRPr="00975C56">
        <w:t>Africa</w:t>
      </w:r>
      <w:proofErr w:type="gramEnd"/>
      <w:r w:rsidRPr="00975C56">
        <w:t>, South Pacific and Europe regions.</w:t>
      </w:r>
    </w:p>
    <w:p w:rsidR="00EE3462" w:rsidRPr="003E2FD6" w:rsidRDefault="00EE3462" w:rsidP="003E2FD6">
      <w:pPr>
        <w:pStyle w:val="IPPBullet1Last"/>
        <w:rPr>
          <w:rFonts w:cstheme="minorHAnsi"/>
        </w:rPr>
      </w:pPr>
      <w:r w:rsidRPr="00975C56">
        <w:t xml:space="preserve">The TWG </w:t>
      </w:r>
      <w:r>
        <w:t>will establish and maintain</w:t>
      </w:r>
      <w:r w:rsidRPr="002B00A9">
        <w:t xml:space="preserve"> linkages and collaboration with other relevant areas within FAO, IPPC, RPPO’s, International Trade Organisations and other agencies as required.</w:t>
      </w:r>
    </w:p>
    <w:p w:rsidR="00EE3462" w:rsidRPr="00EE3462" w:rsidRDefault="00EE3462" w:rsidP="003E2FD6">
      <w:pPr>
        <w:pStyle w:val="IPPBullet1Last"/>
      </w:pPr>
      <w:r>
        <w:lastRenderedPageBreak/>
        <w:t>The TWG</w:t>
      </w:r>
      <w:r w:rsidR="008F3303" w:rsidRPr="00EE3462">
        <w:rPr>
          <w:rFonts w:cstheme="minorHAnsi"/>
        </w:rPr>
        <w:t xml:space="preserve"> </w:t>
      </w:r>
      <w:r w:rsidR="008F3303" w:rsidRPr="00EE3462">
        <w:t>will develop a brief project plan (including timings</w:t>
      </w:r>
      <w:r>
        <w:t xml:space="preserve"> and budget) of proposed TWG outcomes, objectives, milestones and deliverables.</w:t>
      </w:r>
      <w:r w:rsidR="008F3303" w:rsidRPr="00EE3462">
        <w:t xml:space="preserve"> </w:t>
      </w:r>
    </w:p>
    <w:p w:rsidR="00975C56" w:rsidRPr="003E2FD6" w:rsidRDefault="008F3303" w:rsidP="003E2FD6">
      <w:pPr>
        <w:pStyle w:val="IPPBullet1Last"/>
      </w:pPr>
      <w:r w:rsidRPr="00975C56">
        <w:t>T</w:t>
      </w:r>
      <w:r w:rsidR="00EE3462">
        <w:t xml:space="preserve">he TWG </w:t>
      </w:r>
      <w:r w:rsidR="00E866B6" w:rsidRPr="00975C56">
        <w:t>will conduct</w:t>
      </w:r>
      <w:r w:rsidR="00975C56" w:rsidRPr="00975C56">
        <w:t xml:space="preserve"> and </w:t>
      </w:r>
      <w:r w:rsidRPr="00975C56">
        <w:t>compile</w:t>
      </w:r>
      <w:r w:rsidR="00E866B6" w:rsidRPr="00975C56">
        <w:t xml:space="preserve"> a </w:t>
      </w:r>
      <w:r w:rsidR="00EE3462">
        <w:t xml:space="preserve">scoping study </w:t>
      </w:r>
      <w:r w:rsidR="00E866B6" w:rsidRPr="00975C56">
        <w:t xml:space="preserve">for </w:t>
      </w:r>
      <w:r w:rsidR="00EE3462">
        <w:t xml:space="preserve">a review and evaluation of </w:t>
      </w:r>
      <w:r w:rsidR="00E866B6" w:rsidRPr="00975C56">
        <w:t xml:space="preserve">current </w:t>
      </w:r>
      <w:r w:rsidRPr="00975C56">
        <w:t>FAW</w:t>
      </w:r>
      <w:r w:rsidR="00EE3462">
        <w:t xml:space="preserve"> prevention,</w:t>
      </w:r>
      <w:r w:rsidR="00165306">
        <w:t xml:space="preserve"> </w:t>
      </w:r>
      <w:r w:rsidRPr="00975C56">
        <w:t xml:space="preserve">preparedness </w:t>
      </w:r>
      <w:r w:rsidR="00EE3462">
        <w:t xml:space="preserve">and response readiness of the RPPO’s of the </w:t>
      </w:r>
      <w:r w:rsidRPr="00975C56">
        <w:t xml:space="preserve">Near East </w:t>
      </w:r>
      <w:r w:rsidR="00EE3462">
        <w:t>and North-</w:t>
      </w:r>
      <w:r w:rsidRPr="00975C56">
        <w:t xml:space="preserve">Africa, </w:t>
      </w:r>
      <w:r w:rsidR="00EE3462">
        <w:t xml:space="preserve">South Pacific and Europe. This scoping study </w:t>
      </w:r>
      <w:proofErr w:type="gramStart"/>
      <w:r w:rsidR="00EE3462">
        <w:t>may then be expanded</w:t>
      </w:r>
      <w:proofErr w:type="gramEnd"/>
      <w:r w:rsidR="00EE3462">
        <w:t xml:space="preserve"> to include countries and NPPO’s within these regions. </w:t>
      </w:r>
    </w:p>
    <w:p w:rsidR="00975C56" w:rsidRPr="003E2FD6" w:rsidRDefault="00975C56" w:rsidP="003E2FD6">
      <w:pPr>
        <w:pStyle w:val="IPPBullet1Last"/>
      </w:pPr>
      <w:r w:rsidRPr="00975C56">
        <w:t xml:space="preserve">The TWG </w:t>
      </w:r>
      <w:r w:rsidR="00E866B6" w:rsidRPr="00975C56">
        <w:t xml:space="preserve">will conduct ‘remote and virtual’ review and assessment activities with key plant biosecurity and scientific stakeholders (interviews, meetings, surveys, desktop analysis, literature reviews) relating to the scientific and technical preparedness and response capacity and capabilities of </w:t>
      </w:r>
      <w:r w:rsidRPr="00975C56">
        <w:t xml:space="preserve">the Near East </w:t>
      </w:r>
      <w:r w:rsidR="00EE3462">
        <w:t xml:space="preserve">and </w:t>
      </w:r>
      <w:proofErr w:type="gramStart"/>
      <w:r w:rsidR="00EE3462">
        <w:t>North-</w:t>
      </w:r>
      <w:r w:rsidRPr="00975C56">
        <w:t>Africa</w:t>
      </w:r>
      <w:proofErr w:type="gramEnd"/>
      <w:r w:rsidRPr="00975C56">
        <w:t>, South Pacific and Europe regions.</w:t>
      </w:r>
    </w:p>
    <w:p w:rsidR="00EB51E8" w:rsidRPr="00EE3462" w:rsidRDefault="00975C56" w:rsidP="003E2FD6">
      <w:pPr>
        <w:pStyle w:val="IPPBullet1Last"/>
      </w:pPr>
      <w:r w:rsidRPr="00975C56">
        <w:t xml:space="preserve">The TWG </w:t>
      </w:r>
      <w:r w:rsidR="00E866B6" w:rsidRPr="00975C56">
        <w:t>will actively pa</w:t>
      </w:r>
      <w:r w:rsidR="00EE3462">
        <w:t>rticipate in regular quarantine and phytosanitary</w:t>
      </w:r>
      <w:r w:rsidR="00E866B6" w:rsidRPr="00975C56">
        <w:t xml:space="preserve"> preparedness and response meetings and teleconferences (pest task force meetings, </w:t>
      </w:r>
      <w:r w:rsidR="002B00A9">
        <w:t xml:space="preserve">regional and </w:t>
      </w:r>
      <w:r w:rsidR="00E866B6" w:rsidRPr="00975C56">
        <w:t xml:space="preserve">country response coordination meetings, and technical working group meetings) with </w:t>
      </w:r>
      <w:r w:rsidR="00EE3462">
        <w:rPr>
          <w:rStyle w:val="Strong"/>
          <w:rFonts w:asciiTheme="majorHAnsi" w:hAnsiTheme="majorHAnsi"/>
          <w:b w:val="0"/>
        </w:rPr>
        <w:t xml:space="preserve">key regional FAW and plant protection stakeholders </w:t>
      </w:r>
      <w:r w:rsidR="00EE3462" w:rsidRPr="00975C56">
        <w:t xml:space="preserve">of the Near East </w:t>
      </w:r>
      <w:r w:rsidR="00EE3462">
        <w:t xml:space="preserve">and </w:t>
      </w:r>
      <w:proofErr w:type="gramStart"/>
      <w:r w:rsidR="00EE3462">
        <w:t>North-</w:t>
      </w:r>
      <w:r w:rsidR="00EE3462" w:rsidRPr="00975C56">
        <w:t>Africa</w:t>
      </w:r>
      <w:proofErr w:type="gramEnd"/>
      <w:r w:rsidR="00EE3462" w:rsidRPr="00975C56">
        <w:t>, South Pacific and Europe regions.</w:t>
      </w:r>
    </w:p>
    <w:p w:rsidR="00A33032" w:rsidRPr="008F3303" w:rsidRDefault="00A33032" w:rsidP="002B00A9">
      <w:pPr>
        <w:contextualSpacing/>
        <w:rPr>
          <w:rFonts w:asciiTheme="majorHAnsi" w:eastAsia="Times New Roman" w:hAnsiTheme="majorHAnsi" w:cs="Calibri Light"/>
          <w:b/>
          <w:sz w:val="24"/>
        </w:rPr>
      </w:pPr>
    </w:p>
    <w:p w:rsidR="00664384" w:rsidRPr="003E2FD6" w:rsidRDefault="00EE3462" w:rsidP="000F148E">
      <w:pPr>
        <w:rPr>
          <w:rFonts w:eastAsia="Times"/>
          <w:b/>
          <w:sz w:val="24"/>
          <w:szCs w:val="22"/>
        </w:rPr>
      </w:pPr>
      <w:r w:rsidRPr="003E2FD6">
        <w:rPr>
          <w:rFonts w:eastAsia="Times"/>
          <w:b/>
          <w:sz w:val="24"/>
          <w:szCs w:val="22"/>
        </w:rPr>
        <w:t>Proposed Outputs from the Technical Working Group (Medium/Long Term)</w:t>
      </w:r>
    </w:p>
    <w:p w:rsidR="00664384" w:rsidRPr="003E2FD6" w:rsidRDefault="00EE3462" w:rsidP="003E2FD6">
      <w:pPr>
        <w:pStyle w:val="IPPBullet1Last"/>
      </w:pPr>
      <w:r w:rsidRPr="003E2FD6">
        <w:t>The TWG will p</w:t>
      </w:r>
      <w:r w:rsidR="00EB51E8" w:rsidRPr="003E2FD6">
        <w:t xml:space="preserve">rovide technical advice in the development of technical training materials and courses for regional and national trainers </w:t>
      </w:r>
      <w:r w:rsidR="00FC1350" w:rsidRPr="003E2FD6">
        <w:t xml:space="preserve">on </w:t>
      </w:r>
      <w:r w:rsidR="00EB51E8" w:rsidRPr="003E2FD6">
        <w:t xml:space="preserve">the use and implementation of </w:t>
      </w:r>
      <w:r w:rsidR="00FC1350" w:rsidRPr="003E2FD6">
        <w:t xml:space="preserve">early </w:t>
      </w:r>
      <w:r w:rsidR="00664384" w:rsidRPr="003E2FD6">
        <w:t xml:space="preserve">warning systems such as FAMEWS in the Near East </w:t>
      </w:r>
      <w:r w:rsidR="00EB51E8" w:rsidRPr="003E2FD6">
        <w:t xml:space="preserve">and </w:t>
      </w:r>
      <w:proofErr w:type="gramStart"/>
      <w:r w:rsidR="00EB51E8" w:rsidRPr="003E2FD6">
        <w:t>North-</w:t>
      </w:r>
      <w:r w:rsidR="00664384" w:rsidRPr="003E2FD6">
        <w:t>Africa</w:t>
      </w:r>
      <w:proofErr w:type="gramEnd"/>
      <w:r w:rsidR="00664384" w:rsidRPr="003E2FD6">
        <w:t>, South Pacific and Europe regions.</w:t>
      </w:r>
    </w:p>
    <w:p w:rsidR="00664384" w:rsidRPr="003E2FD6" w:rsidRDefault="00EE3462" w:rsidP="003E2FD6">
      <w:pPr>
        <w:pStyle w:val="IPPBullet1Last"/>
      </w:pPr>
      <w:r w:rsidRPr="003E2FD6">
        <w:t>The TWG will p</w:t>
      </w:r>
      <w:r w:rsidR="00EB51E8" w:rsidRPr="003E2FD6">
        <w:t xml:space="preserve">rovide technical advice in the development of technical training materials and courses for regional and national trainers </w:t>
      </w:r>
      <w:r w:rsidR="00FC1350" w:rsidRPr="003E2FD6">
        <w:t xml:space="preserve">to </w:t>
      </w:r>
      <w:r w:rsidR="00252BDE" w:rsidRPr="003E2FD6">
        <w:t xml:space="preserve">deliver and </w:t>
      </w:r>
      <w:r w:rsidR="00664384" w:rsidRPr="003E2FD6">
        <w:t xml:space="preserve">promote ‘best practice’ </w:t>
      </w:r>
      <w:r w:rsidR="00FC1350" w:rsidRPr="003E2FD6">
        <w:t xml:space="preserve">guidance on the prevention of FAW (including </w:t>
      </w:r>
      <w:r w:rsidR="00EB51E8" w:rsidRPr="003E2FD6">
        <w:t xml:space="preserve">quarantine </w:t>
      </w:r>
      <w:r w:rsidR="00FC1350" w:rsidRPr="003E2FD6">
        <w:t>border control</w:t>
      </w:r>
      <w:r w:rsidR="00664384" w:rsidRPr="003E2FD6">
        <w:t>s</w:t>
      </w:r>
      <w:r w:rsidR="00EB51E8" w:rsidRPr="003E2FD6">
        <w:t>, import inspections</w:t>
      </w:r>
      <w:r w:rsidR="00664384" w:rsidRPr="003E2FD6">
        <w:t xml:space="preserve"> and </w:t>
      </w:r>
      <w:r w:rsidR="00EB51E8" w:rsidRPr="003E2FD6">
        <w:t xml:space="preserve">phytosanitary </w:t>
      </w:r>
      <w:r w:rsidR="00664384" w:rsidRPr="003E2FD6">
        <w:t>measures</w:t>
      </w:r>
      <w:r w:rsidR="00FC1350" w:rsidRPr="003E2FD6">
        <w:t xml:space="preserve">). </w:t>
      </w:r>
    </w:p>
    <w:p w:rsidR="00664384" w:rsidRPr="003E2FD6" w:rsidRDefault="00EE3462" w:rsidP="003E2FD6">
      <w:pPr>
        <w:pStyle w:val="IPPBullet1Last"/>
      </w:pPr>
      <w:r w:rsidRPr="003E2FD6">
        <w:t>The TWG will p</w:t>
      </w:r>
      <w:r w:rsidR="00EB51E8" w:rsidRPr="003E2FD6">
        <w:t xml:space="preserve">rovide technical advice in the development of technical training materials and courses for regional and national trainers </w:t>
      </w:r>
      <w:r w:rsidR="00252BDE" w:rsidRPr="003E2FD6">
        <w:t xml:space="preserve">to deliver and promote ‘best practice’ guidance on the </w:t>
      </w:r>
      <w:r w:rsidR="00EB51E8" w:rsidRPr="003E2FD6">
        <w:t xml:space="preserve">national </w:t>
      </w:r>
      <w:r w:rsidR="00252BDE" w:rsidRPr="003E2FD6">
        <w:t>preparedness</w:t>
      </w:r>
      <w:r w:rsidR="00EB51E8" w:rsidRPr="003E2FD6">
        <w:t>, contingency planning</w:t>
      </w:r>
      <w:r w:rsidR="00252BDE" w:rsidRPr="003E2FD6">
        <w:t xml:space="preserve"> and rapid response</w:t>
      </w:r>
      <w:r w:rsidR="00FC1350" w:rsidRPr="003E2FD6">
        <w:t xml:space="preserve"> of FAW. </w:t>
      </w:r>
    </w:p>
    <w:p w:rsidR="00664384" w:rsidRPr="003E2FD6" w:rsidRDefault="00EE3462" w:rsidP="003E2FD6">
      <w:pPr>
        <w:pStyle w:val="IPPBullet1Last"/>
      </w:pPr>
      <w:r w:rsidRPr="003E2FD6">
        <w:t>The TWG will p</w:t>
      </w:r>
      <w:r w:rsidR="00EB51E8" w:rsidRPr="003E2FD6">
        <w:t xml:space="preserve">rovide technical advice in the development of technical training materials and courses for regional and national trainers </w:t>
      </w:r>
      <w:r w:rsidR="00FC1350" w:rsidRPr="003E2FD6">
        <w:t xml:space="preserve">on pest risk assessment for FAW and </w:t>
      </w:r>
      <w:r w:rsidR="00252BDE" w:rsidRPr="003E2FD6">
        <w:t xml:space="preserve">support/facilitate the formal inclusion </w:t>
      </w:r>
      <w:r w:rsidR="00FC1350" w:rsidRPr="003E2FD6">
        <w:t xml:space="preserve">of FAW as a regulated quarantine pest in the countries with PSE and IPPC support. </w:t>
      </w:r>
    </w:p>
    <w:p w:rsidR="00664384" w:rsidRPr="003E2FD6" w:rsidRDefault="00EE3462" w:rsidP="003E2FD6">
      <w:pPr>
        <w:pStyle w:val="IPPBullet1Last"/>
      </w:pPr>
      <w:r w:rsidRPr="003E2FD6">
        <w:t>The TWG will p</w:t>
      </w:r>
      <w:r w:rsidR="00EB51E8" w:rsidRPr="003E2FD6">
        <w:t>rovide technical advice in the development</w:t>
      </w:r>
      <w:r w:rsidR="00FC1350" w:rsidRPr="003E2FD6">
        <w:t xml:space="preserve"> </w:t>
      </w:r>
      <w:r w:rsidR="00EB51E8" w:rsidRPr="003E2FD6">
        <w:t xml:space="preserve">of </w:t>
      </w:r>
      <w:r w:rsidR="00252BDE" w:rsidRPr="003E2FD6">
        <w:t xml:space="preserve">technical </w:t>
      </w:r>
      <w:r w:rsidR="00FC1350" w:rsidRPr="003E2FD6">
        <w:t>train</w:t>
      </w:r>
      <w:r w:rsidR="00252BDE" w:rsidRPr="003E2FD6">
        <w:t xml:space="preserve">ing </w:t>
      </w:r>
      <w:r w:rsidR="00EB51E8" w:rsidRPr="003E2FD6">
        <w:t xml:space="preserve">materials and </w:t>
      </w:r>
      <w:r w:rsidR="00252BDE" w:rsidRPr="003E2FD6">
        <w:t xml:space="preserve">courses for </w:t>
      </w:r>
      <w:r w:rsidR="00EB51E8" w:rsidRPr="003E2FD6">
        <w:t xml:space="preserve">regional and national </w:t>
      </w:r>
      <w:r w:rsidR="00252BDE" w:rsidRPr="003E2FD6">
        <w:t xml:space="preserve">trainers on FAW biosecurity and phytosanitary surveillance, </w:t>
      </w:r>
      <w:r w:rsidR="00FC1350" w:rsidRPr="003E2FD6">
        <w:t>inspection</w:t>
      </w:r>
      <w:r w:rsidR="00252BDE" w:rsidRPr="003E2FD6">
        <w:t>, and treatment</w:t>
      </w:r>
      <w:r w:rsidR="00EB51E8" w:rsidRPr="003E2FD6">
        <w:t>.</w:t>
      </w:r>
    </w:p>
    <w:p w:rsidR="00FC1350" w:rsidRPr="003E2FD6" w:rsidRDefault="00EE3462" w:rsidP="003E2FD6">
      <w:pPr>
        <w:pStyle w:val="IPPBullet1Last"/>
      </w:pPr>
      <w:r w:rsidRPr="003E2FD6">
        <w:t>The TWG will p</w:t>
      </w:r>
      <w:r w:rsidR="00EB51E8" w:rsidRPr="003E2FD6">
        <w:t>rovide technical advice in the development of</w:t>
      </w:r>
      <w:r w:rsidR="00252BDE" w:rsidRPr="003E2FD6">
        <w:t xml:space="preserve"> technical </w:t>
      </w:r>
      <w:r w:rsidR="00FC1350" w:rsidRPr="003E2FD6">
        <w:t xml:space="preserve">training </w:t>
      </w:r>
      <w:r w:rsidR="00EB51E8" w:rsidRPr="003E2FD6">
        <w:t xml:space="preserve">materials and </w:t>
      </w:r>
      <w:r w:rsidR="00FC1350" w:rsidRPr="003E2FD6">
        <w:t xml:space="preserve">courses for </w:t>
      </w:r>
      <w:r w:rsidR="00EB51E8" w:rsidRPr="003E2FD6">
        <w:t>regional and national trainers</w:t>
      </w:r>
      <w:r w:rsidR="00FC1350" w:rsidRPr="003E2FD6">
        <w:t xml:space="preserve"> on pest outbreak and alert syste</w:t>
      </w:r>
      <w:r w:rsidR="00EB51E8" w:rsidRPr="003E2FD6">
        <w:t>m for FAW</w:t>
      </w:r>
      <w:r w:rsidR="00FC1350" w:rsidRPr="003E2FD6">
        <w:t xml:space="preserve">. </w:t>
      </w:r>
    </w:p>
    <w:p w:rsidR="00A33032" w:rsidRPr="003E2FD6" w:rsidRDefault="00EE3462" w:rsidP="003E2FD6">
      <w:pPr>
        <w:pStyle w:val="IPPBullet1Last"/>
      </w:pPr>
      <w:r w:rsidRPr="003E2FD6">
        <w:t>The TWG will p</w:t>
      </w:r>
      <w:r w:rsidR="00EB51E8" w:rsidRPr="003E2FD6">
        <w:t xml:space="preserve">rovide technical advice in the development of </w:t>
      </w:r>
      <w:r w:rsidR="00252BDE" w:rsidRPr="003E2FD6">
        <w:t xml:space="preserve">technical </w:t>
      </w:r>
      <w:r w:rsidR="00FC1350" w:rsidRPr="003E2FD6">
        <w:t xml:space="preserve">training </w:t>
      </w:r>
      <w:r w:rsidR="00EB51E8" w:rsidRPr="003E2FD6">
        <w:t xml:space="preserve">materials and courses </w:t>
      </w:r>
      <w:r w:rsidR="00FC1350" w:rsidRPr="003E2FD6">
        <w:t xml:space="preserve">for </w:t>
      </w:r>
      <w:r w:rsidR="00252BDE" w:rsidRPr="003E2FD6">
        <w:t xml:space="preserve">FAW </w:t>
      </w:r>
      <w:r w:rsidR="00EB51E8" w:rsidRPr="003E2FD6">
        <w:t xml:space="preserve">pathway vulnerability assessments, and </w:t>
      </w:r>
      <w:r w:rsidR="00252BDE" w:rsidRPr="003E2FD6">
        <w:t xml:space="preserve">pest risk assessment </w:t>
      </w:r>
      <w:r w:rsidR="00EB51E8" w:rsidRPr="003E2FD6">
        <w:t xml:space="preserve">for priority FAW </w:t>
      </w:r>
      <w:r w:rsidR="00252BDE" w:rsidRPr="003E2FD6">
        <w:t>commodities and pathways.</w:t>
      </w:r>
    </w:p>
    <w:p w:rsidR="002F48D6" w:rsidRDefault="002F48D6" w:rsidP="002F48D6">
      <w:pPr>
        <w:contextualSpacing/>
        <w:rPr>
          <w:rFonts w:asciiTheme="majorHAnsi" w:eastAsia="Times New Roman" w:hAnsiTheme="majorHAnsi" w:cs="Times New Roman"/>
          <w:sz w:val="24"/>
        </w:rPr>
      </w:pPr>
    </w:p>
    <w:p w:rsidR="005B6156" w:rsidRPr="00670754" w:rsidRDefault="005B6156" w:rsidP="00EB51E8">
      <w:pPr>
        <w:pStyle w:val="Bullet2"/>
        <w:numPr>
          <w:ilvl w:val="0"/>
          <w:numId w:val="0"/>
        </w:numPr>
        <w:ind w:left="1134" w:hanging="567"/>
        <w:rPr>
          <w:rFonts w:asciiTheme="majorHAnsi" w:eastAsiaTheme="minorHAnsi" w:hAnsiTheme="majorHAnsi"/>
          <w:lang w:val="en-GB"/>
        </w:rPr>
      </w:pPr>
    </w:p>
    <w:p w:rsidR="00A2117C" w:rsidRDefault="00A2117C" w:rsidP="005B6156">
      <w:pPr>
        <w:contextualSpacing/>
        <w:rPr>
          <w:rFonts w:asciiTheme="majorHAnsi" w:eastAsia="Times New Roman" w:hAnsiTheme="majorHAnsi" w:cs="Times New Roman"/>
          <w:b/>
          <w:sz w:val="24"/>
        </w:rPr>
      </w:pPr>
    </w:p>
    <w:p w:rsidR="002F48D6" w:rsidRPr="00165306" w:rsidRDefault="002F48D6" w:rsidP="00EE3462">
      <w:pPr>
        <w:pStyle w:val="Bullet2"/>
        <w:numPr>
          <w:ilvl w:val="0"/>
          <w:numId w:val="0"/>
        </w:numPr>
        <w:ind w:left="1134" w:hanging="567"/>
        <w:rPr>
          <w:rFonts w:asciiTheme="majorHAnsi" w:eastAsiaTheme="minorHAnsi" w:hAnsiTheme="majorHAnsi"/>
          <w:lang w:val="en-GB"/>
        </w:rPr>
      </w:pPr>
    </w:p>
    <w:sectPr w:rsidR="002F48D6" w:rsidRPr="00165306" w:rsidSect="003E2F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1B" w:rsidRDefault="0045321B" w:rsidP="003E2FD6">
      <w:r>
        <w:separator/>
      </w:r>
    </w:p>
  </w:endnote>
  <w:endnote w:type="continuationSeparator" w:id="0">
    <w:p w:rsidR="0045321B" w:rsidRDefault="0045321B" w:rsidP="003E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D6" w:rsidRDefault="00EF7C56" w:rsidP="00EF7C56">
    <w:pPr>
      <w:pStyle w:val="IPPArial"/>
      <w:pBdr>
        <w:top w:val="single" w:sz="4" w:space="1" w:color="auto"/>
      </w:pBdr>
      <w:tabs>
        <w:tab w:val="right" w:pos="9498"/>
      </w:tabs>
    </w:pPr>
    <w:r w:rsidRPr="00275C75">
      <w:rPr>
        <w:rStyle w:val="PageNumber"/>
      </w:rPr>
      <w:t xml:space="preserve">Page </w:t>
    </w:r>
    <w:r w:rsidRPr="00275C75">
      <w:rPr>
        <w:rStyle w:val="PageNumber"/>
      </w:rPr>
      <w:fldChar w:fldCharType="begin"/>
    </w:r>
    <w:r w:rsidRPr="00275C75">
      <w:rPr>
        <w:rStyle w:val="PageNumber"/>
      </w:rPr>
      <w:instrText xml:space="preserve"> PAGE </w:instrText>
    </w:r>
    <w:r w:rsidRPr="00275C75">
      <w:rPr>
        <w:rStyle w:val="PageNumber"/>
      </w:rPr>
      <w:fldChar w:fldCharType="separate"/>
    </w:r>
    <w:r>
      <w:rPr>
        <w:rStyle w:val="PageNumber"/>
        <w:noProof/>
      </w:rPr>
      <w:t>2</w:t>
    </w:r>
    <w:r w:rsidRPr="00275C75">
      <w:rPr>
        <w:rStyle w:val="PageNumber"/>
      </w:rPr>
      <w:fldChar w:fldCharType="end"/>
    </w:r>
    <w:r w:rsidRPr="00275C75">
      <w:rPr>
        <w:rStyle w:val="PageNumber"/>
      </w:rPr>
      <w:t xml:space="preserve"> of </w:t>
    </w:r>
    <w:r w:rsidRPr="00275C75">
      <w:rPr>
        <w:rStyle w:val="PageNumber"/>
      </w:rPr>
      <w:fldChar w:fldCharType="begin"/>
    </w:r>
    <w:r w:rsidRPr="00275C75">
      <w:rPr>
        <w:rStyle w:val="PageNumber"/>
      </w:rPr>
      <w:instrText xml:space="preserve"> NUMPAGES </w:instrText>
    </w:r>
    <w:r w:rsidRPr="00275C75">
      <w:rPr>
        <w:rStyle w:val="PageNumber"/>
      </w:rPr>
      <w:fldChar w:fldCharType="separate"/>
    </w:r>
    <w:r>
      <w:rPr>
        <w:rStyle w:val="PageNumber"/>
        <w:noProof/>
      </w:rPr>
      <w:t>4</w:t>
    </w:r>
    <w:r w:rsidRPr="00275C75">
      <w:rPr>
        <w:rStyle w:val="PageNumber"/>
      </w:rPr>
      <w:fldChar w:fldCharType="end"/>
    </w:r>
    <w:r>
      <w:rPr>
        <w:rStyle w:val="PageNumber"/>
      </w:rPr>
      <w:t xml:space="preserve"> </w:t>
    </w:r>
    <w:r>
      <w:rPr>
        <w:rStyle w:val="PageNumber"/>
      </w:rPr>
      <w:tab/>
      <w:t xml:space="preserve">International </w:t>
    </w:r>
    <w:r w:rsidRPr="00181B0C">
      <w:rPr>
        <w:rStyle w:val="PageNumber"/>
      </w:rPr>
      <w:t>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D6" w:rsidRPr="003E2FD6" w:rsidRDefault="003E2FD6" w:rsidP="003E2FD6">
    <w:pPr>
      <w:pStyle w:val="IPPFooter"/>
      <w:rPr>
        <w:b w:val="0"/>
        <w:bCs/>
      </w:rPr>
    </w:pPr>
    <w:r w:rsidRPr="00A62A0E">
      <w:t>International Plant Protection Convention</w:t>
    </w:r>
    <w:r w:rsidRPr="00A62A0E">
      <w:tab/>
    </w:r>
    <w:r w:rsidRPr="003E2FD6">
      <w:rPr>
        <w:rStyle w:val="PageNumber"/>
        <w:b/>
        <w:bCs/>
      </w:rPr>
      <w:t xml:space="preserve">Page </w:t>
    </w:r>
    <w:r w:rsidRPr="003E2FD6">
      <w:rPr>
        <w:rStyle w:val="PageNumber"/>
        <w:b/>
        <w:bCs/>
      </w:rPr>
      <w:fldChar w:fldCharType="begin"/>
    </w:r>
    <w:r w:rsidRPr="003E2FD6">
      <w:rPr>
        <w:rStyle w:val="PageNumber"/>
        <w:b/>
        <w:bCs/>
      </w:rPr>
      <w:instrText xml:space="preserve"> PAGE </w:instrText>
    </w:r>
    <w:r w:rsidRPr="003E2FD6">
      <w:rPr>
        <w:rStyle w:val="PageNumber"/>
        <w:b/>
        <w:bCs/>
      </w:rPr>
      <w:fldChar w:fldCharType="separate"/>
    </w:r>
    <w:r w:rsidR="00EF7C56">
      <w:rPr>
        <w:rStyle w:val="PageNumber"/>
        <w:b/>
        <w:bCs/>
        <w:noProof/>
      </w:rPr>
      <w:t>3</w:t>
    </w:r>
    <w:r w:rsidRPr="003E2FD6">
      <w:rPr>
        <w:rStyle w:val="PageNumber"/>
        <w:b/>
        <w:bCs/>
      </w:rPr>
      <w:fldChar w:fldCharType="end"/>
    </w:r>
    <w:r w:rsidRPr="003E2FD6">
      <w:rPr>
        <w:rStyle w:val="PageNumber"/>
        <w:b/>
        <w:bCs/>
      </w:rPr>
      <w:t xml:space="preserve"> of </w:t>
    </w:r>
    <w:r w:rsidRPr="003E2FD6">
      <w:rPr>
        <w:rStyle w:val="PageNumber"/>
        <w:b/>
        <w:bCs/>
      </w:rPr>
      <w:fldChar w:fldCharType="begin"/>
    </w:r>
    <w:r w:rsidRPr="003E2FD6">
      <w:rPr>
        <w:rStyle w:val="PageNumber"/>
        <w:b/>
        <w:bCs/>
      </w:rPr>
      <w:instrText xml:space="preserve"> NUMPAGES </w:instrText>
    </w:r>
    <w:r w:rsidRPr="003E2FD6">
      <w:rPr>
        <w:rStyle w:val="PageNumber"/>
        <w:b/>
        <w:bCs/>
      </w:rPr>
      <w:fldChar w:fldCharType="separate"/>
    </w:r>
    <w:r w:rsidR="00EF7C56">
      <w:rPr>
        <w:rStyle w:val="PageNumber"/>
        <w:b/>
        <w:bCs/>
        <w:noProof/>
      </w:rPr>
      <w:t>4</w:t>
    </w:r>
    <w:r w:rsidRPr="003E2FD6">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D6" w:rsidRPr="003E2FD6" w:rsidRDefault="003E2FD6" w:rsidP="003E2FD6">
    <w:pPr>
      <w:pStyle w:val="IPPFooter"/>
      <w:rPr>
        <w:b w:val="0"/>
        <w:bCs/>
      </w:rPr>
    </w:pPr>
    <w:r w:rsidRPr="00A62A0E">
      <w:t>International Plant Protection Convention</w:t>
    </w:r>
    <w:r w:rsidRPr="00A62A0E">
      <w:tab/>
    </w:r>
    <w:r w:rsidRPr="003E2FD6">
      <w:rPr>
        <w:rStyle w:val="PageNumber"/>
        <w:b/>
        <w:bCs/>
      </w:rPr>
      <w:t xml:space="preserve">Page </w:t>
    </w:r>
    <w:r w:rsidRPr="003E2FD6">
      <w:rPr>
        <w:rStyle w:val="PageNumber"/>
        <w:b/>
        <w:bCs/>
      </w:rPr>
      <w:fldChar w:fldCharType="begin"/>
    </w:r>
    <w:r w:rsidRPr="003E2FD6">
      <w:rPr>
        <w:rStyle w:val="PageNumber"/>
        <w:b/>
        <w:bCs/>
      </w:rPr>
      <w:instrText xml:space="preserve"> PAGE </w:instrText>
    </w:r>
    <w:r w:rsidRPr="003E2FD6">
      <w:rPr>
        <w:rStyle w:val="PageNumber"/>
        <w:b/>
        <w:bCs/>
      </w:rPr>
      <w:fldChar w:fldCharType="separate"/>
    </w:r>
    <w:r w:rsidR="00EF7C56">
      <w:rPr>
        <w:rStyle w:val="PageNumber"/>
        <w:b/>
        <w:bCs/>
        <w:noProof/>
      </w:rPr>
      <w:t>1</w:t>
    </w:r>
    <w:r w:rsidRPr="003E2FD6">
      <w:rPr>
        <w:rStyle w:val="PageNumber"/>
        <w:b/>
        <w:bCs/>
      </w:rPr>
      <w:fldChar w:fldCharType="end"/>
    </w:r>
    <w:r w:rsidRPr="003E2FD6">
      <w:rPr>
        <w:rStyle w:val="PageNumber"/>
        <w:b/>
        <w:bCs/>
      </w:rPr>
      <w:t xml:space="preserve"> of </w:t>
    </w:r>
    <w:r w:rsidRPr="003E2FD6">
      <w:rPr>
        <w:rStyle w:val="PageNumber"/>
        <w:b/>
        <w:bCs/>
      </w:rPr>
      <w:fldChar w:fldCharType="begin"/>
    </w:r>
    <w:r w:rsidRPr="003E2FD6">
      <w:rPr>
        <w:rStyle w:val="PageNumber"/>
        <w:b/>
        <w:bCs/>
      </w:rPr>
      <w:instrText xml:space="preserve"> NUMPAGES </w:instrText>
    </w:r>
    <w:r w:rsidRPr="003E2FD6">
      <w:rPr>
        <w:rStyle w:val="PageNumber"/>
        <w:b/>
        <w:bCs/>
      </w:rPr>
      <w:fldChar w:fldCharType="separate"/>
    </w:r>
    <w:r w:rsidR="00EF7C56">
      <w:rPr>
        <w:rStyle w:val="PageNumber"/>
        <w:b/>
        <w:bCs/>
        <w:noProof/>
      </w:rPr>
      <w:t>4</w:t>
    </w:r>
    <w:r w:rsidRPr="003E2FD6">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1B" w:rsidRDefault="0045321B" w:rsidP="003E2FD6">
      <w:r>
        <w:separator/>
      </w:r>
    </w:p>
  </w:footnote>
  <w:footnote w:type="continuationSeparator" w:id="0">
    <w:p w:rsidR="0045321B" w:rsidRDefault="0045321B" w:rsidP="003E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D6" w:rsidRPr="00EF7C56" w:rsidRDefault="00EF7C56" w:rsidP="00EF7C56">
    <w:pPr>
      <w:pStyle w:val="IPPHeader"/>
      <w:tabs>
        <w:tab w:val="clear" w:pos="9072"/>
        <w:tab w:val="right" w:pos="9638"/>
      </w:tabs>
      <w:spacing w:after="0"/>
    </w:pPr>
    <w:r w:rsidRPr="00EF7C56">
      <w:rPr>
        <w:iCs/>
      </w:rPr>
      <w:t>FAO/IPPC TWG briefing paper</w:t>
    </w:r>
    <w:r>
      <w:rPr>
        <w:iCs/>
      </w:rPr>
      <w:t xml:space="preserve"> </w:t>
    </w:r>
    <w:r>
      <w:rPr>
        <w:iCs/>
      </w:rPr>
      <w:tab/>
    </w:r>
    <w:bookmarkStart w:id="0" w:name="_GoBack"/>
    <w:bookmarkEnd w:id="0"/>
    <w:r>
      <w:rPr>
        <w:rFonts w:eastAsia="Times" w:cs="Arial"/>
        <w:szCs w:val="18"/>
      </w:rPr>
      <w:t>08_GA-TWG_2020_Tel_Jul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56" w:rsidRPr="00EF7C56" w:rsidRDefault="00EF7C56" w:rsidP="00EF7C56">
    <w:pPr>
      <w:pStyle w:val="IPPHeader"/>
      <w:tabs>
        <w:tab w:val="clear" w:pos="9072"/>
        <w:tab w:val="right" w:pos="9638"/>
      </w:tabs>
      <w:spacing w:after="0"/>
    </w:pPr>
    <w:r>
      <w:rPr>
        <w:rFonts w:eastAsia="Times" w:cs="Arial"/>
        <w:szCs w:val="18"/>
      </w:rPr>
      <w:t>08_GA-TWG_2020_Tel_Jul</w:t>
    </w:r>
    <w:r>
      <w:rPr>
        <w:rFonts w:eastAsia="Times" w:cs="Arial"/>
        <w:szCs w:val="18"/>
      </w:rPr>
      <w:tab/>
    </w:r>
    <w:r w:rsidRPr="00EF7C56">
      <w:rPr>
        <w:iCs/>
      </w:rPr>
      <w:t>FAO/IPPC TWG briefing paper</w:t>
    </w:r>
  </w:p>
  <w:p w:rsidR="003E2FD6" w:rsidRPr="00EF7C56" w:rsidRDefault="003E2FD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D6" w:rsidRPr="0029695F" w:rsidRDefault="003E2FD6" w:rsidP="003E2FD6">
    <w:pPr>
      <w:pStyle w:val="IPPHeader"/>
    </w:pPr>
    <w:r>
      <w:rPr>
        <w:noProof/>
      </w:rPr>
      <w:drawing>
        <wp:anchor distT="0" distB="0" distL="114300" distR="114300" simplePos="0" relativeHeight="251659264" behindDoc="0" locked="0" layoutInCell="1" allowOverlap="1" wp14:anchorId="67D60FD7" wp14:editId="1A2A895E">
          <wp:simplePos x="0" y="0"/>
          <wp:positionH relativeFrom="column">
            <wp:posOffset>-428977</wp:posOffset>
          </wp:positionH>
          <wp:positionV relativeFrom="paragraph">
            <wp:posOffset>-41558</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6CE4A1F4" wp14:editId="1A26006F">
          <wp:simplePos x="0" y="0"/>
          <wp:positionH relativeFrom="page">
            <wp:posOffset>0</wp:posOffset>
          </wp:positionH>
          <wp:positionV relativeFrom="paragraph">
            <wp:posOffset>-541655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rPr>
        <w:rFonts w:eastAsia="Times" w:cs="Arial"/>
        <w:szCs w:val="18"/>
      </w:rPr>
      <w:t>08</w:t>
    </w:r>
    <w:r w:rsidRPr="00502C69">
      <w:rPr>
        <w:rFonts w:eastAsia="Times" w:cs="Arial"/>
        <w:szCs w:val="18"/>
      </w:rPr>
      <w:t>_ GA-TWG _2020_Tel_Jul</w:t>
    </w:r>
    <w:r>
      <w:br/>
    </w:r>
    <w:r w:rsidRPr="003E2FD6">
      <w:rPr>
        <w:i/>
        <w:iCs/>
      </w:rPr>
      <w:t>FAO/IPPC TWG</w:t>
    </w:r>
    <w:r>
      <w:rPr>
        <w:i/>
        <w:iCs/>
      </w:rPr>
      <w:t xml:space="preserve"> </w:t>
    </w:r>
    <w:r w:rsidRPr="003E2FD6">
      <w:rPr>
        <w:i/>
        <w:iCs/>
      </w:rPr>
      <w:t>briefing</w:t>
    </w:r>
    <w:r>
      <w:rPr>
        <w:i/>
        <w:iCs/>
      </w:rPr>
      <w:t xml:space="preserve"> </w:t>
    </w:r>
    <w:r w:rsidRPr="003E2FD6">
      <w:rPr>
        <w:i/>
        <w:iCs/>
      </w:rPr>
      <w:t>paper</w:t>
    </w:r>
    <w:r w:rsidRPr="0029695F">
      <w:rPr>
        <w:i/>
        <w:iCs/>
      </w:rPr>
      <w:tab/>
      <w:t xml:space="preserve">Agenda item: </w:t>
    </w:r>
    <w:r>
      <w:rPr>
        <w:i/>
        <w:iCs/>
      </w:rPr>
      <w:t>9</w:t>
    </w:r>
    <w:r>
      <w:rPr>
        <w:i/>
        <w:iCs/>
      </w:rPr>
      <w:t>.1</w:t>
    </w:r>
  </w:p>
  <w:p w:rsidR="003E2FD6" w:rsidRPr="003E2FD6" w:rsidRDefault="003E2FD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A80"/>
    <w:multiLevelType w:val="hybridMultilevel"/>
    <w:tmpl w:val="9CA8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130D4"/>
    <w:multiLevelType w:val="hybridMultilevel"/>
    <w:tmpl w:val="A7AC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71486A"/>
    <w:multiLevelType w:val="hybridMultilevel"/>
    <w:tmpl w:val="80A81E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1FF71B2"/>
    <w:multiLevelType w:val="hybridMultilevel"/>
    <w:tmpl w:val="38C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2AC2028"/>
    <w:multiLevelType w:val="hybridMultilevel"/>
    <w:tmpl w:val="9A72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A4A76"/>
    <w:multiLevelType w:val="hybridMultilevel"/>
    <w:tmpl w:val="CE32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70DB9"/>
    <w:multiLevelType w:val="hybridMultilevel"/>
    <w:tmpl w:val="FC445A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BA545E"/>
    <w:multiLevelType w:val="hybridMultilevel"/>
    <w:tmpl w:val="B89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842FD5"/>
    <w:multiLevelType w:val="hybridMultilevel"/>
    <w:tmpl w:val="58BA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F7458"/>
    <w:multiLevelType w:val="multilevel"/>
    <w:tmpl w:val="06E871E4"/>
    <w:numStyleLink w:val="IPPParagraphnumberedlist"/>
  </w:abstractNum>
  <w:abstractNum w:abstractNumId="18" w15:restartNumberingAfterBreak="0">
    <w:nsid w:val="53A776E5"/>
    <w:multiLevelType w:val="hybridMultilevel"/>
    <w:tmpl w:val="E7D80310"/>
    <w:lvl w:ilvl="0" w:tplc="E638B6E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54567"/>
    <w:multiLevelType w:val="hybridMultilevel"/>
    <w:tmpl w:val="7046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E7A07"/>
    <w:multiLevelType w:val="hybridMultilevel"/>
    <w:tmpl w:val="984AEE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6"/>
  </w:num>
  <w:num w:numId="3">
    <w:abstractNumId w:val="4"/>
  </w:num>
  <w:num w:numId="4">
    <w:abstractNumId w:val="8"/>
  </w:num>
  <w:num w:numId="5">
    <w:abstractNumId w:val="2"/>
  </w:num>
  <w:num w:numId="6">
    <w:abstractNumId w:val="16"/>
  </w:num>
  <w:num w:numId="7">
    <w:abstractNumId w:val="22"/>
  </w:num>
  <w:num w:numId="8">
    <w:abstractNumId w:val="20"/>
  </w:num>
  <w:num w:numId="9">
    <w:abstractNumId w:val="10"/>
  </w:num>
  <w:num w:numId="10">
    <w:abstractNumId w:val="14"/>
  </w:num>
  <w:num w:numId="11">
    <w:abstractNumId w:val="11"/>
  </w:num>
  <w:num w:numId="12">
    <w:abstractNumId w:val="1"/>
  </w:num>
  <w:num w:numId="13">
    <w:abstractNumId w:val="19"/>
  </w:num>
  <w:num w:numId="14">
    <w:abstractNumId w:val="5"/>
  </w:num>
  <w:num w:numId="15">
    <w:abstractNumId w:val="3"/>
  </w:num>
  <w:num w:numId="16">
    <w:abstractNumId w:val="9"/>
  </w:num>
  <w:num w:numId="17">
    <w:abstractNumId w:val="23"/>
  </w:num>
  <w:num w:numId="18">
    <w:abstractNumId w:val="18"/>
  </w:num>
  <w:num w:numId="19">
    <w:abstractNumId w:val="13"/>
  </w:num>
  <w:num w:numId="20">
    <w:abstractNumId w:val="24"/>
  </w:num>
  <w:num w:numId="21">
    <w:abstractNumId w:val="7"/>
  </w:num>
  <w:num w:numId="2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num>
  <w:num w:numId="29">
    <w:abstractNumId w:val="15"/>
  </w:num>
  <w:num w:numId="30">
    <w:abstractNumId w:val="21"/>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2"/>
    <w:rsid w:val="000445E7"/>
    <w:rsid w:val="00081051"/>
    <w:rsid w:val="000A32A7"/>
    <w:rsid w:val="000E15EE"/>
    <w:rsid w:val="000F148E"/>
    <w:rsid w:val="000F6283"/>
    <w:rsid w:val="00165306"/>
    <w:rsid w:val="0017345F"/>
    <w:rsid w:val="001A7DFA"/>
    <w:rsid w:val="002173B0"/>
    <w:rsid w:val="002179D4"/>
    <w:rsid w:val="00252BDE"/>
    <w:rsid w:val="002A5E86"/>
    <w:rsid w:val="002B00A9"/>
    <w:rsid w:val="002B1737"/>
    <w:rsid w:val="002F48D6"/>
    <w:rsid w:val="0030681C"/>
    <w:rsid w:val="003E2FD6"/>
    <w:rsid w:val="00450EA9"/>
    <w:rsid w:val="0045321B"/>
    <w:rsid w:val="00500E1A"/>
    <w:rsid w:val="005406E9"/>
    <w:rsid w:val="0059144A"/>
    <w:rsid w:val="005B6156"/>
    <w:rsid w:val="005D6C89"/>
    <w:rsid w:val="00621735"/>
    <w:rsid w:val="00664384"/>
    <w:rsid w:val="00670754"/>
    <w:rsid w:val="006854BB"/>
    <w:rsid w:val="006A0F79"/>
    <w:rsid w:val="006B3278"/>
    <w:rsid w:val="007108BE"/>
    <w:rsid w:val="007A11CB"/>
    <w:rsid w:val="007F3B6D"/>
    <w:rsid w:val="00810072"/>
    <w:rsid w:val="00854B98"/>
    <w:rsid w:val="008C5EEA"/>
    <w:rsid w:val="008F3303"/>
    <w:rsid w:val="00975C56"/>
    <w:rsid w:val="009B3785"/>
    <w:rsid w:val="00A2117C"/>
    <w:rsid w:val="00A23D46"/>
    <w:rsid w:val="00A33032"/>
    <w:rsid w:val="00C259FF"/>
    <w:rsid w:val="00C31FD4"/>
    <w:rsid w:val="00D81B63"/>
    <w:rsid w:val="00DB2622"/>
    <w:rsid w:val="00E866B6"/>
    <w:rsid w:val="00E91F4B"/>
    <w:rsid w:val="00EB51E8"/>
    <w:rsid w:val="00EE3462"/>
    <w:rsid w:val="00EF7C56"/>
    <w:rsid w:val="00FC13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D909"/>
  <w15:chartTrackingRefBased/>
  <w15:docId w15:val="{6FF6A16C-FD86-408D-8DE3-4A589F8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D6"/>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E2FD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E2FD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E2FD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E2F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2FD6"/>
  </w:style>
  <w:style w:type="table" w:styleId="TableGrid">
    <w:name w:val="Table Grid"/>
    <w:basedOn w:val="TableNormal"/>
    <w:rsid w:val="003E2FD6"/>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E2FD6"/>
    <w:rPr>
      <w:b/>
      <w:bCs/>
    </w:rPr>
  </w:style>
  <w:style w:type="paragraph" w:customStyle="1" w:styleId="Bullet1">
    <w:name w:val="Bullet 1"/>
    <w:basedOn w:val="ListParagraph"/>
    <w:qFormat/>
    <w:rsid w:val="00E866B6"/>
    <w:pPr>
      <w:numPr>
        <w:numId w:val="2"/>
      </w:numPr>
      <w:tabs>
        <w:tab w:val="clear" w:pos="567"/>
        <w:tab w:val="num" w:pos="360"/>
      </w:tabs>
      <w:ind w:left="720" w:firstLine="0"/>
    </w:pPr>
    <w:rPr>
      <w:rFonts w:asciiTheme="minorHAnsi" w:hAnsiTheme="minorHAnsi"/>
    </w:rPr>
  </w:style>
  <w:style w:type="paragraph" w:customStyle="1" w:styleId="Bullet2">
    <w:name w:val="Bullet 2"/>
    <w:basedOn w:val="Bullet1"/>
    <w:qFormat/>
    <w:rsid w:val="00E866B6"/>
    <w:pPr>
      <w:numPr>
        <w:ilvl w:val="1"/>
      </w:numPr>
      <w:tabs>
        <w:tab w:val="clear" w:pos="1134"/>
        <w:tab w:val="num" w:pos="360"/>
      </w:tabs>
    </w:pPr>
  </w:style>
  <w:style w:type="paragraph" w:customStyle="1" w:styleId="Bullet3">
    <w:name w:val="Bullet 3"/>
    <w:basedOn w:val="Bullet2"/>
    <w:qFormat/>
    <w:rsid w:val="00E866B6"/>
    <w:pPr>
      <w:numPr>
        <w:ilvl w:val="2"/>
      </w:numPr>
      <w:tabs>
        <w:tab w:val="clear" w:pos="1701"/>
        <w:tab w:val="num" w:pos="360"/>
      </w:tabs>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3E2FD6"/>
    <w:pPr>
      <w:spacing w:line="240" w:lineRule="atLeast"/>
      <w:ind w:leftChars="400" w:left="800"/>
    </w:pPr>
    <w:rPr>
      <w:rFonts w:ascii="Verdana" w:eastAsia="Times New Roman" w:hAnsi="Verdana"/>
      <w:sz w:val="20"/>
      <w:lang w:val="nl-NL" w:eastAsia="nl-NL"/>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E866B6"/>
    <w:rPr>
      <w:rFonts w:ascii="Verdana" w:eastAsia="Times New Roman" w:hAnsi="Verdana"/>
      <w:sz w:val="20"/>
      <w:szCs w:val="24"/>
      <w:lang w:val="nl-NL" w:eastAsia="nl-NL"/>
    </w:rPr>
  </w:style>
  <w:style w:type="paragraph" w:styleId="Header">
    <w:name w:val="header"/>
    <w:basedOn w:val="Normal"/>
    <w:link w:val="HeaderChar"/>
    <w:rsid w:val="003E2FD6"/>
    <w:pPr>
      <w:tabs>
        <w:tab w:val="center" w:pos="4680"/>
        <w:tab w:val="right" w:pos="9360"/>
      </w:tabs>
    </w:pPr>
  </w:style>
  <w:style w:type="character" w:customStyle="1" w:styleId="HeaderChar">
    <w:name w:val="Header Char"/>
    <w:basedOn w:val="DefaultParagraphFont"/>
    <w:link w:val="Header"/>
    <w:rsid w:val="003E2FD6"/>
    <w:rPr>
      <w:rFonts w:ascii="Times New Roman" w:eastAsia="MS Mincho" w:hAnsi="Times New Roman"/>
      <w:szCs w:val="24"/>
      <w:lang w:val="en-GB" w:eastAsia="zh-CN"/>
    </w:rPr>
  </w:style>
  <w:style w:type="paragraph" w:styleId="Footer">
    <w:name w:val="footer"/>
    <w:basedOn w:val="Normal"/>
    <w:link w:val="FooterChar"/>
    <w:rsid w:val="003E2FD6"/>
    <w:pPr>
      <w:tabs>
        <w:tab w:val="center" w:pos="4680"/>
        <w:tab w:val="right" w:pos="9360"/>
      </w:tabs>
    </w:pPr>
  </w:style>
  <w:style w:type="character" w:customStyle="1" w:styleId="FooterChar">
    <w:name w:val="Footer Char"/>
    <w:basedOn w:val="DefaultParagraphFont"/>
    <w:link w:val="Footer"/>
    <w:rsid w:val="003E2FD6"/>
    <w:rPr>
      <w:rFonts w:ascii="Times New Roman" w:eastAsia="MS Mincho" w:hAnsi="Times New Roman"/>
      <w:szCs w:val="24"/>
      <w:lang w:val="en-GB" w:eastAsia="zh-CN"/>
    </w:rPr>
  </w:style>
  <w:style w:type="paragraph" w:customStyle="1" w:styleId="IPPHeader">
    <w:name w:val="IPP Header"/>
    <w:basedOn w:val="Normal"/>
    <w:qFormat/>
    <w:rsid w:val="003E2FD6"/>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3E2FD6"/>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E2FD6"/>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E2FD6"/>
    <w:rPr>
      <w:rFonts w:ascii="Calibri" w:eastAsia="MS Mincho" w:hAnsi="Calibri"/>
      <w:b/>
      <w:bCs/>
      <w:sz w:val="26"/>
      <w:szCs w:val="26"/>
      <w:lang w:val="en-GB" w:eastAsia="zh-CN"/>
    </w:rPr>
  </w:style>
  <w:style w:type="paragraph" w:styleId="FootnoteText">
    <w:name w:val="footnote text"/>
    <w:basedOn w:val="Normal"/>
    <w:link w:val="FootnoteTextChar"/>
    <w:semiHidden/>
    <w:rsid w:val="003E2FD6"/>
    <w:pPr>
      <w:spacing w:before="60"/>
    </w:pPr>
    <w:rPr>
      <w:sz w:val="20"/>
    </w:rPr>
  </w:style>
  <w:style w:type="character" w:customStyle="1" w:styleId="FootnoteTextChar">
    <w:name w:val="Footnote Text Char"/>
    <w:basedOn w:val="DefaultParagraphFont"/>
    <w:link w:val="FootnoteText"/>
    <w:semiHidden/>
    <w:rsid w:val="003E2FD6"/>
    <w:rPr>
      <w:rFonts w:ascii="Times New Roman" w:eastAsia="MS Mincho" w:hAnsi="Times New Roman"/>
      <w:sz w:val="20"/>
      <w:szCs w:val="24"/>
      <w:lang w:val="en-GB" w:eastAsia="zh-CN"/>
    </w:rPr>
  </w:style>
  <w:style w:type="character" w:styleId="FootnoteReference">
    <w:name w:val="footnote reference"/>
    <w:basedOn w:val="DefaultParagraphFont"/>
    <w:semiHidden/>
    <w:rsid w:val="003E2FD6"/>
    <w:rPr>
      <w:vertAlign w:val="superscript"/>
    </w:rPr>
  </w:style>
  <w:style w:type="paragraph" w:customStyle="1" w:styleId="Style">
    <w:name w:val="Style"/>
    <w:basedOn w:val="Footer"/>
    <w:autoRedefine/>
    <w:qFormat/>
    <w:rsid w:val="003E2FD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E2FD6"/>
    <w:rPr>
      <w:rFonts w:ascii="Arial" w:hAnsi="Arial"/>
      <w:b/>
      <w:sz w:val="18"/>
    </w:rPr>
  </w:style>
  <w:style w:type="paragraph" w:customStyle="1" w:styleId="IPPArialFootnote">
    <w:name w:val="IPP Arial Footnote"/>
    <w:basedOn w:val="IPPArialTable"/>
    <w:qFormat/>
    <w:rsid w:val="003E2FD6"/>
    <w:pPr>
      <w:tabs>
        <w:tab w:val="left" w:pos="28"/>
      </w:tabs>
      <w:ind w:left="284" w:hanging="284"/>
    </w:pPr>
    <w:rPr>
      <w:sz w:val="16"/>
    </w:rPr>
  </w:style>
  <w:style w:type="paragraph" w:customStyle="1" w:styleId="IPPContentsHead">
    <w:name w:val="IPP ContentsHead"/>
    <w:basedOn w:val="IPPSubhead"/>
    <w:next w:val="IPPNormal"/>
    <w:qFormat/>
    <w:rsid w:val="003E2FD6"/>
    <w:pPr>
      <w:spacing w:after="240"/>
    </w:pPr>
    <w:rPr>
      <w:sz w:val="24"/>
    </w:rPr>
  </w:style>
  <w:style w:type="paragraph" w:styleId="BalloonText">
    <w:name w:val="Balloon Text"/>
    <w:basedOn w:val="Normal"/>
    <w:link w:val="BalloonTextChar"/>
    <w:rsid w:val="003E2FD6"/>
    <w:rPr>
      <w:rFonts w:ascii="Tahoma" w:hAnsi="Tahoma" w:cs="Tahoma"/>
      <w:sz w:val="16"/>
      <w:szCs w:val="16"/>
    </w:rPr>
  </w:style>
  <w:style w:type="character" w:customStyle="1" w:styleId="BalloonTextChar">
    <w:name w:val="Balloon Text Char"/>
    <w:basedOn w:val="DefaultParagraphFont"/>
    <w:link w:val="BalloonText"/>
    <w:rsid w:val="003E2FD6"/>
    <w:rPr>
      <w:rFonts w:ascii="Tahoma" w:eastAsia="MS Mincho" w:hAnsi="Tahoma" w:cs="Tahoma"/>
      <w:sz w:val="16"/>
      <w:szCs w:val="16"/>
      <w:lang w:val="en-GB" w:eastAsia="zh-CN"/>
    </w:rPr>
  </w:style>
  <w:style w:type="paragraph" w:customStyle="1" w:styleId="IPPBullet2">
    <w:name w:val="IPP Bullet2"/>
    <w:basedOn w:val="IPPNormal"/>
    <w:next w:val="IPPBullet1"/>
    <w:qFormat/>
    <w:rsid w:val="003E2FD6"/>
    <w:pPr>
      <w:numPr>
        <w:numId w:val="17"/>
      </w:numPr>
      <w:tabs>
        <w:tab w:val="left" w:pos="1134"/>
      </w:tabs>
      <w:spacing w:after="60"/>
    </w:pPr>
  </w:style>
  <w:style w:type="paragraph" w:customStyle="1" w:styleId="IPPQuote">
    <w:name w:val="IPP Quote"/>
    <w:basedOn w:val="IPPNormal"/>
    <w:qFormat/>
    <w:rsid w:val="003E2FD6"/>
    <w:pPr>
      <w:ind w:left="851" w:right="851"/>
    </w:pPr>
    <w:rPr>
      <w:sz w:val="18"/>
    </w:rPr>
  </w:style>
  <w:style w:type="paragraph" w:customStyle="1" w:styleId="IPPNormal">
    <w:name w:val="IPP Normal"/>
    <w:basedOn w:val="Normal"/>
    <w:link w:val="IPPNormalChar"/>
    <w:qFormat/>
    <w:rsid w:val="003E2FD6"/>
    <w:pPr>
      <w:spacing w:after="180"/>
    </w:pPr>
    <w:rPr>
      <w:rFonts w:eastAsia="Times"/>
    </w:rPr>
  </w:style>
  <w:style w:type="paragraph" w:customStyle="1" w:styleId="IPPIndentClose">
    <w:name w:val="IPP Indent Close"/>
    <w:basedOn w:val="IPPNormal"/>
    <w:qFormat/>
    <w:rsid w:val="003E2FD6"/>
    <w:pPr>
      <w:tabs>
        <w:tab w:val="left" w:pos="2835"/>
      </w:tabs>
      <w:spacing w:after="60"/>
      <w:ind w:left="567"/>
    </w:pPr>
  </w:style>
  <w:style w:type="paragraph" w:customStyle="1" w:styleId="IPPIndent">
    <w:name w:val="IPP Indent"/>
    <w:basedOn w:val="IPPIndentClose"/>
    <w:qFormat/>
    <w:rsid w:val="003E2FD6"/>
    <w:pPr>
      <w:spacing w:after="180"/>
    </w:pPr>
  </w:style>
  <w:style w:type="paragraph" w:customStyle="1" w:styleId="IPPFootnote">
    <w:name w:val="IPP Footnote"/>
    <w:basedOn w:val="IPPArialFootnote"/>
    <w:qFormat/>
    <w:rsid w:val="003E2FD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E2FD6"/>
    <w:pPr>
      <w:keepNext/>
      <w:tabs>
        <w:tab w:val="left" w:pos="567"/>
      </w:tabs>
      <w:spacing w:before="120" w:after="120"/>
      <w:ind w:left="567" w:hanging="567"/>
    </w:pPr>
    <w:rPr>
      <w:b/>
      <w:i/>
    </w:rPr>
  </w:style>
  <w:style w:type="character" w:customStyle="1" w:styleId="IPPnormalitalics">
    <w:name w:val="IPP normal italics"/>
    <w:basedOn w:val="DefaultParagraphFont"/>
    <w:rsid w:val="003E2FD6"/>
    <w:rPr>
      <w:rFonts w:ascii="Times New Roman" w:hAnsi="Times New Roman"/>
      <w:i/>
      <w:sz w:val="22"/>
      <w:lang w:val="en-US"/>
    </w:rPr>
  </w:style>
  <w:style w:type="character" w:customStyle="1" w:styleId="IPPNormalbold">
    <w:name w:val="IPP Normal bold"/>
    <w:basedOn w:val="PlainTextChar"/>
    <w:rsid w:val="003E2FD6"/>
    <w:rPr>
      <w:rFonts w:ascii="Times New Roman" w:eastAsia="Times" w:hAnsi="Times New Roman"/>
      <w:b/>
      <w:sz w:val="22"/>
      <w:szCs w:val="21"/>
      <w:lang w:eastAsia="zh-CN"/>
    </w:rPr>
  </w:style>
  <w:style w:type="paragraph" w:customStyle="1" w:styleId="IPPHeadSection">
    <w:name w:val="IPP HeadSection"/>
    <w:basedOn w:val="Normal"/>
    <w:next w:val="Normal"/>
    <w:qFormat/>
    <w:rsid w:val="003E2FD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E2FD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E2FD6"/>
    <w:pPr>
      <w:keepNext/>
      <w:ind w:left="567" w:hanging="567"/>
      <w:jc w:val="left"/>
    </w:pPr>
    <w:rPr>
      <w:b/>
      <w:bCs/>
      <w:iCs/>
      <w:szCs w:val="22"/>
    </w:rPr>
  </w:style>
  <w:style w:type="character" w:customStyle="1" w:styleId="IPPNormalunderlined">
    <w:name w:val="IPP Normal underlined"/>
    <w:basedOn w:val="DefaultParagraphFont"/>
    <w:rsid w:val="003E2FD6"/>
    <w:rPr>
      <w:rFonts w:ascii="Times New Roman" w:hAnsi="Times New Roman"/>
      <w:sz w:val="22"/>
      <w:u w:val="single"/>
      <w:lang w:val="en-US"/>
    </w:rPr>
  </w:style>
  <w:style w:type="paragraph" w:customStyle="1" w:styleId="IPPBullet1">
    <w:name w:val="IPP Bullet1"/>
    <w:basedOn w:val="IPPBullet1Last"/>
    <w:qFormat/>
    <w:rsid w:val="003E2FD6"/>
    <w:pPr>
      <w:numPr>
        <w:numId w:val="30"/>
      </w:numPr>
      <w:spacing w:after="60"/>
    </w:pPr>
    <w:rPr>
      <w:lang w:val="en-US"/>
    </w:rPr>
  </w:style>
  <w:style w:type="paragraph" w:customStyle="1" w:styleId="IPPBullet1Last">
    <w:name w:val="IPP Bullet1Last"/>
    <w:basedOn w:val="IPPNormal"/>
    <w:next w:val="IPPNormal"/>
    <w:autoRedefine/>
    <w:qFormat/>
    <w:rsid w:val="003E2FD6"/>
    <w:pPr>
      <w:numPr>
        <w:numId w:val="18"/>
      </w:numPr>
      <w:spacing w:before="240"/>
    </w:pPr>
  </w:style>
  <w:style w:type="character" w:customStyle="1" w:styleId="IPPNormalstrikethrough">
    <w:name w:val="IPP Normal strikethrough"/>
    <w:rsid w:val="003E2FD6"/>
    <w:rPr>
      <w:rFonts w:ascii="Times New Roman" w:hAnsi="Times New Roman"/>
      <w:strike/>
      <w:dstrike w:val="0"/>
      <w:sz w:val="22"/>
    </w:rPr>
  </w:style>
  <w:style w:type="paragraph" w:customStyle="1" w:styleId="IPPTitle16pt">
    <w:name w:val="IPP Title16pt"/>
    <w:basedOn w:val="Normal"/>
    <w:qFormat/>
    <w:rsid w:val="003E2FD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E2FD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E2FD6"/>
    <w:pPr>
      <w:keepNext/>
      <w:tabs>
        <w:tab w:val="left" w:pos="567"/>
      </w:tabs>
      <w:spacing w:before="120"/>
      <w:jc w:val="left"/>
      <w:outlineLvl w:val="1"/>
    </w:pPr>
    <w:rPr>
      <w:b/>
      <w:sz w:val="24"/>
    </w:rPr>
  </w:style>
  <w:style w:type="numbering" w:customStyle="1" w:styleId="IPPParagraphnumberedlist">
    <w:name w:val="IPP Paragraph numbered list"/>
    <w:rsid w:val="003E2FD6"/>
    <w:pPr>
      <w:numPr>
        <w:numId w:val="16"/>
      </w:numPr>
    </w:pPr>
  </w:style>
  <w:style w:type="paragraph" w:customStyle="1" w:styleId="IPPNormalCloseSpace">
    <w:name w:val="IPP NormalCloseSpace"/>
    <w:basedOn w:val="Normal"/>
    <w:qFormat/>
    <w:rsid w:val="003E2FD6"/>
    <w:pPr>
      <w:keepNext/>
      <w:spacing w:after="60"/>
    </w:pPr>
  </w:style>
  <w:style w:type="paragraph" w:customStyle="1" w:styleId="IPPHeading2">
    <w:name w:val="IPP Heading2"/>
    <w:basedOn w:val="IPPNormal"/>
    <w:next w:val="IPPNormal"/>
    <w:qFormat/>
    <w:rsid w:val="003E2FD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E2FD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E2FD6"/>
    <w:pPr>
      <w:tabs>
        <w:tab w:val="right" w:leader="dot" w:pos="9072"/>
      </w:tabs>
      <w:spacing w:before="240"/>
      <w:ind w:left="567" w:hanging="567"/>
    </w:pPr>
  </w:style>
  <w:style w:type="paragraph" w:styleId="TOC2">
    <w:name w:val="toc 2"/>
    <w:basedOn w:val="TOC1"/>
    <w:next w:val="Normal"/>
    <w:autoRedefine/>
    <w:uiPriority w:val="39"/>
    <w:rsid w:val="003E2FD6"/>
    <w:pPr>
      <w:keepNext w:val="0"/>
      <w:tabs>
        <w:tab w:val="left" w:pos="425"/>
      </w:tabs>
      <w:spacing w:before="120" w:after="0"/>
      <w:ind w:left="425" w:right="284" w:hanging="425"/>
    </w:pPr>
  </w:style>
  <w:style w:type="paragraph" w:styleId="TOC3">
    <w:name w:val="toc 3"/>
    <w:basedOn w:val="TOC2"/>
    <w:next w:val="Normal"/>
    <w:autoRedefine/>
    <w:uiPriority w:val="39"/>
    <w:rsid w:val="003E2FD6"/>
    <w:pPr>
      <w:tabs>
        <w:tab w:val="left" w:pos="1276"/>
      </w:tabs>
      <w:spacing w:before="60"/>
      <w:ind w:left="1276" w:hanging="851"/>
    </w:pPr>
    <w:rPr>
      <w:rFonts w:eastAsia="Times"/>
    </w:rPr>
  </w:style>
  <w:style w:type="paragraph" w:styleId="TOC4">
    <w:name w:val="toc 4"/>
    <w:basedOn w:val="Normal"/>
    <w:next w:val="Normal"/>
    <w:autoRedefine/>
    <w:uiPriority w:val="39"/>
    <w:rsid w:val="003E2FD6"/>
    <w:pPr>
      <w:spacing w:after="120"/>
      <w:ind w:left="660"/>
    </w:pPr>
    <w:rPr>
      <w:rFonts w:eastAsia="Times"/>
      <w:lang w:val="en-AU"/>
    </w:rPr>
  </w:style>
  <w:style w:type="paragraph" w:styleId="TOC5">
    <w:name w:val="toc 5"/>
    <w:basedOn w:val="Normal"/>
    <w:next w:val="Normal"/>
    <w:autoRedefine/>
    <w:uiPriority w:val="39"/>
    <w:rsid w:val="003E2FD6"/>
    <w:pPr>
      <w:spacing w:after="120"/>
      <w:ind w:left="880"/>
    </w:pPr>
    <w:rPr>
      <w:rFonts w:eastAsia="Times"/>
      <w:lang w:val="en-AU"/>
    </w:rPr>
  </w:style>
  <w:style w:type="paragraph" w:styleId="TOC6">
    <w:name w:val="toc 6"/>
    <w:basedOn w:val="Normal"/>
    <w:next w:val="Normal"/>
    <w:autoRedefine/>
    <w:uiPriority w:val="39"/>
    <w:rsid w:val="003E2FD6"/>
    <w:pPr>
      <w:spacing w:after="120"/>
      <w:ind w:left="1100"/>
    </w:pPr>
    <w:rPr>
      <w:rFonts w:eastAsia="Times"/>
      <w:lang w:val="en-AU"/>
    </w:rPr>
  </w:style>
  <w:style w:type="paragraph" w:styleId="TOC7">
    <w:name w:val="toc 7"/>
    <w:basedOn w:val="Normal"/>
    <w:next w:val="Normal"/>
    <w:autoRedefine/>
    <w:uiPriority w:val="39"/>
    <w:rsid w:val="003E2FD6"/>
    <w:pPr>
      <w:spacing w:after="120"/>
      <w:ind w:left="1320"/>
    </w:pPr>
    <w:rPr>
      <w:rFonts w:eastAsia="Times"/>
      <w:lang w:val="en-AU"/>
    </w:rPr>
  </w:style>
  <w:style w:type="paragraph" w:styleId="TOC8">
    <w:name w:val="toc 8"/>
    <w:basedOn w:val="Normal"/>
    <w:next w:val="Normal"/>
    <w:autoRedefine/>
    <w:uiPriority w:val="39"/>
    <w:rsid w:val="003E2FD6"/>
    <w:pPr>
      <w:spacing w:after="120"/>
      <w:ind w:left="1540"/>
    </w:pPr>
    <w:rPr>
      <w:rFonts w:eastAsia="Times"/>
      <w:lang w:val="en-AU"/>
    </w:rPr>
  </w:style>
  <w:style w:type="paragraph" w:styleId="TOC9">
    <w:name w:val="toc 9"/>
    <w:basedOn w:val="Normal"/>
    <w:next w:val="Normal"/>
    <w:autoRedefine/>
    <w:uiPriority w:val="39"/>
    <w:rsid w:val="003E2FD6"/>
    <w:pPr>
      <w:spacing w:after="120"/>
      <w:ind w:left="1760"/>
    </w:pPr>
    <w:rPr>
      <w:rFonts w:eastAsia="Times"/>
      <w:lang w:val="en-AU"/>
    </w:rPr>
  </w:style>
  <w:style w:type="paragraph" w:customStyle="1" w:styleId="IPPReferences">
    <w:name w:val="IPP References"/>
    <w:basedOn w:val="IPPNormal"/>
    <w:qFormat/>
    <w:rsid w:val="003E2FD6"/>
    <w:pPr>
      <w:spacing w:after="60"/>
      <w:ind w:left="567" w:hanging="567"/>
    </w:pPr>
  </w:style>
  <w:style w:type="paragraph" w:customStyle="1" w:styleId="IPPArial">
    <w:name w:val="IPP Arial"/>
    <w:basedOn w:val="IPPNormal"/>
    <w:qFormat/>
    <w:rsid w:val="003E2FD6"/>
    <w:pPr>
      <w:spacing w:after="0"/>
    </w:pPr>
    <w:rPr>
      <w:rFonts w:ascii="Arial" w:hAnsi="Arial"/>
      <w:sz w:val="18"/>
    </w:rPr>
  </w:style>
  <w:style w:type="paragraph" w:customStyle="1" w:styleId="IPPArialTable">
    <w:name w:val="IPP Arial Table"/>
    <w:basedOn w:val="IPPArial"/>
    <w:qFormat/>
    <w:rsid w:val="003E2FD6"/>
    <w:pPr>
      <w:spacing w:before="60" w:after="60"/>
      <w:jc w:val="left"/>
    </w:pPr>
  </w:style>
  <w:style w:type="paragraph" w:customStyle="1" w:styleId="IPPHeaderlandscape">
    <w:name w:val="IPP Header landscape"/>
    <w:basedOn w:val="IPPHeader"/>
    <w:qFormat/>
    <w:rsid w:val="003E2FD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E2FD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E2FD6"/>
    <w:rPr>
      <w:rFonts w:ascii="Courier" w:eastAsia="Times" w:hAnsi="Courier"/>
      <w:sz w:val="21"/>
      <w:szCs w:val="21"/>
      <w:lang w:eastAsia="zh-CN"/>
    </w:rPr>
  </w:style>
  <w:style w:type="paragraph" w:customStyle="1" w:styleId="IPPLetterList">
    <w:name w:val="IPP LetterList"/>
    <w:basedOn w:val="IPPBullet2"/>
    <w:qFormat/>
    <w:rsid w:val="003E2FD6"/>
    <w:pPr>
      <w:numPr>
        <w:numId w:val="13"/>
      </w:numPr>
      <w:jc w:val="left"/>
    </w:pPr>
  </w:style>
  <w:style w:type="paragraph" w:customStyle="1" w:styleId="IPPLetterListIndent">
    <w:name w:val="IPP LetterList Indent"/>
    <w:basedOn w:val="IPPLetterList"/>
    <w:qFormat/>
    <w:rsid w:val="003E2FD6"/>
    <w:pPr>
      <w:numPr>
        <w:numId w:val="14"/>
      </w:numPr>
    </w:pPr>
  </w:style>
  <w:style w:type="paragraph" w:customStyle="1" w:styleId="IPPFooterLandscape">
    <w:name w:val="IPP Footer Landscape"/>
    <w:basedOn w:val="IPPHeaderlandscape"/>
    <w:qFormat/>
    <w:rsid w:val="003E2FD6"/>
    <w:pPr>
      <w:pBdr>
        <w:top w:val="single" w:sz="4" w:space="1" w:color="auto"/>
        <w:bottom w:val="none" w:sz="0" w:space="0" w:color="auto"/>
      </w:pBdr>
      <w:jc w:val="right"/>
    </w:pPr>
    <w:rPr>
      <w:b/>
    </w:rPr>
  </w:style>
  <w:style w:type="paragraph" w:customStyle="1" w:styleId="IPPSubheadSpace">
    <w:name w:val="IPP Subhead Space"/>
    <w:basedOn w:val="IPPSubhead"/>
    <w:qFormat/>
    <w:rsid w:val="003E2FD6"/>
    <w:pPr>
      <w:tabs>
        <w:tab w:val="left" w:pos="567"/>
      </w:tabs>
      <w:spacing w:before="60" w:after="60"/>
    </w:pPr>
  </w:style>
  <w:style w:type="paragraph" w:customStyle="1" w:styleId="IPPSubheadSpaceAfter">
    <w:name w:val="IPP Subhead SpaceAfter"/>
    <w:basedOn w:val="IPPSubhead"/>
    <w:qFormat/>
    <w:rsid w:val="003E2FD6"/>
    <w:pPr>
      <w:spacing w:after="60"/>
    </w:pPr>
  </w:style>
  <w:style w:type="paragraph" w:customStyle="1" w:styleId="IPPHdg1Num">
    <w:name w:val="IPP Hdg1Num"/>
    <w:basedOn w:val="IPPHeading1"/>
    <w:next w:val="IPPNormal"/>
    <w:qFormat/>
    <w:rsid w:val="003E2FD6"/>
    <w:pPr>
      <w:numPr>
        <w:numId w:val="19"/>
      </w:numPr>
    </w:pPr>
  </w:style>
  <w:style w:type="paragraph" w:customStyle="1" w:styleId="IPPHdg2Num">
    <w:name w:val="IPP Hdg2Num"/>
    <w:basedOn w:val="IPPHeading2"/>
    <w:next w:val="IPPNormal"/>
    <w:qFormat/>
    <w:rsid w:val="003E2FD6"/>
    <w:pPr>
      <w:numPr>
        <w:ilvl w:val="1"/>
        <w:numId w:val="20"/>
      </w:numPr>
    </w:pPr>
  </w:style>
  <w:style w:type="paragraph" w:customStyle="1" w:styleId="IPPNumberedList">
    <w:name w:val="IPP NumberedList"/>
    <w:basedOn w:val="IPPBullet1"/>
    <w:qFormat/>
    <w:rsid w:val="003E2FD6"/>
    <w:pPr>
      <w:tabs>
        <w:tab w:val="num" w:pos="567"/>
      </w:tabs>
      <w:ind w:left="567" w:hanging="567"/>
    </w:pPr>
  </w:style>
  <w:style w:type="paragraph" w:customStyle="1" w:styleId="IPPParagraphnumbering">
    <w:name w:val="IPP Paragraph numbering"/>
    <w:basedOn w:val="IPPNormal"/>
    <w:qFormat/>
    <w:rsid w:val="003E2FD6"/>
    <w:pPr>
      <w:numPr>
        <w:numId w:val="33"/>
      </w:numPr>
    </w:pPr>
    <w:rPr>
      <w:lang w:val="en-US"/>
    </w:rPr>
  </w:style>
  <w:style w:type="paragraph" w:customStyle="1" w:styleId="IPPParagraphnumberingclose">
    <w:name w:val="IPP Paragraph numbering close"/>
    <w:basedOn w:val="IPPParagraphnumbering"/>
    <w:qFormat/>
    <w:rsid w:val="003E2FD6"/>
    <w:pPr>
      <w:keepNext/>
      <w:numPr>
        <w:numId w:val="0"/>
      </w:numPr>
      <w:spacing w:after="60"/>
    </w:pPr>
  </w:style>
  <w:style w:type="paragraph" w:customStyle="1" w:styleId="IPPNumberedListLast">
    <w:name w:val="IPP NumberedListLast"/>
    <w:basedOn w:val="IPPNumberedList"/>
    <w:qFormat/>
    <w:rsid w:val="003E2FD6"/>
    <w:pPr>
      <w:numPr>
        <w:numId w:val="0"/>
      </w:numPr>
      <w:spacing w:after="180"/>
    </w:pPr>
  </w:style>
  <w:style w:type="paragraph" w:customStyle="1" w:styleId="IPPPargraphnumbering">
    <w:name w:val="IPP Pargraph numbering"/>
    <w:basedOn w:val="IPPNormal"/>
    <w:qFormat/>
    <w:rsid w:val="003E2FD6"/>
    <w:pPr>
      <w:tabs>
        <w:tab w:val="num" w:pos="360"/>
      </w:tabs>
    </w:pPr>
    <w:rPr>
      <w:rFonts w:cs="Times New Roman"/>
      <w:lang w:val="en-US"/>
    </w:rPr>
  </w:style>
  <w:style w:type="character" w:customStyle="1" w:styleId="IPPNormalChar">
    <w:name w:val="IPP Normal Char"/>
    <w:link w:val="IPPNormal"/>
    <w:rsid w:val="003E2FD6"/>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11</TotalTime>
  <Pages>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dc:creator>
  <cp:keywords/>
  <dc:description/>
  <cp:lastModifiedBy>Czerwien, Ewa (NSPI)</cp:lastModifiedBy>
  <cp:revision>3</cp:revision>
  <dcterms:created xsi:type="dcterms:W3CDTF">2020-07-24T12:41:00Z</dcterms:created>
  <dcterms:modified xsi:type="dcterms:W3CDTF">2020-07-29T09:25:00Z</dcterms:modified>
</cp:coreProperties>
</file>