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F5F68" w14:textId="10499C6B" w:rsidR="001D1025" w:rsidRDefault="001D1025" w:rsidP="001D1025">
      <w:pPr>
        <w:pStyle w:val="IPPHeading1"/>
        <w:jc w:val="center"/>
        <w:rPr>
          <w:bCs/>
          <w:caps/>
        </w:rPr>
      </w:pPr>
      <w:r w:rsidRPr="001D1025">
        <w:rPr>
          <w:bCs/>
          <w:caps/>
        </w:rPr>
        <w:t>Commodity- and pathway- specific ISPMs</w:t>
      </w:r>
    </w:p>
    <w:p w14:paraId="730269EB" w14:textId="6D713B62" w:rsidR="001D1025" w:rsidRDefault="001D1025" w:rsidP="001D1025">
      <w:pPr>
        <w:pStyle w:val="IPPHeading1"/>
        <w:jc w:val="center"/>
      </w:pPr>
      <w:r w:rsidRPr="001D1025">
        <w:t>Commodity Standards: A New Zealand Perspective</w:t>
      </w:r>
    </w:p>
    <w:p w14:paraId="2C000E3F" w14:textId="4B36845D" w:rsidR="00394BE4" w:rsidRPr="003D17FA" w:rsidRDefault="00394BE4" w:rsidP="003D17FA">
      <w:pPr>
        <w:pStyle w:val="IPPNormal"/>
        <w:ind w:left="880"/>
        <w:jc w:val="center"/>
        <w:rPr>
          <w:i/>
        </w:rPr>
      </w:pPr>
      <w:r>
        <w:rPr>
          <w:i/>
        </w:rPr>
        <w:t>Prepared by New Zealand</w:t>
      </w:r>
      <w:bookmarkStart w:id="0" w:name="_GoBack"/>
      <w:bookmarkEnd w:id="0"/>
    </w:p>
    <w:p w14:paraId="12EF90BC" w14:textId="44299C73" w:rsidR="001D1025" w:rsidRPr="00062E29" w:rsidRDefault="00394BE4" w:rsidP="00394BE4">
      <w:pPr>
        <w:pStyle w:val="IPPHeading1"/>
      </w:pPr>
      <w:r>
        <w:t>1.</w:t>
      </w:r>
      <w:r>
        <w:tab/>
      </w:r>
      <w:r w:rsidR="001D1025" w:rsidRPr="00062E29">
        <w:t>Introduction</w:t>
      </w:r>
    </w:p>
    <w:p w14:paraId="2C4EBDB4" w14:textId="77777777" w:rsidR="001D1025" w:rsidRDefault="001D1025" w:rsidP="001D1025">
      <w:pPr>
        <w:rPr>
          <w:rFonts w:cs="Calibri"/>
        </w:rPr>
      </w:pPr>
    </w:p>
    <w:p w14:paraId="0B904295" w14:textId="6711AE0B" w:rsidR="001D1025" w:rsidRPr="001D1025" w:rsidRDefault="001D1025" w:rsidP="00394BE4">
      <w:pPr>
        <w:pStyle w:val="IPPParagraphnumbering"/>
        <w:rPr>
          <w:rFonts w:cs="Times New Roman"/>
        </w:rPr>
      </w:pPr>
      <w:r w:rsidRPr="001D1025">
        <w:rPr>
          <w:rFonts w:cs="Times New Roman"/>
        </w:rPr>
        <w:t>New Zealand is encouraged by the ongoing discussion and development of Commodity Standards in the IPPC. This paper discusses the opportunities and challenges from a New Zealand perspective in the form of “frequently asked questions”.</w:t>
      </w:r>
    </w:p>
    <w:p w14:paraId="38571024" w14:textId="77777777" w:rsidR="001D1025" w:rsidRPr="001D1025" w:rsidRDefault="001D1025" w:rsidP="00394BE4">
      <w:pPr>
        <w:pStyle w:val="IPPParagraphnumbering"/>
        <w:rPr>
          <w:rFonts w:cs="Times New Roman"/>
        </w:rPr>
      </w:pPr>
      <w:r w:rsidRPr="001D1025">
        <w:rPr>
          <w:rFonts w:cs="Times New Roman"/>
        </w:rPr>
        <w:t>The concept of ‘Commodity Standards’ has been proposed to safeguard agriculture and facilitate safe trade.  The value of the concept was recognised by Contracting Parties and incorporated in the IPPC Strategic Framework 2020-2030. Focus groups and a side session at CPM 14 developed the concept. A draft concept standard (CPM 2020/18 attachment 01) and terms of refence for the Technical Panel for Commodity Standards (CPM 2020/18 attachment 02) have been developed.</w:t>
      </w:r>
    </w:p>
    <w:p w14:paraId="7F130FE3" w14:textId="77777777" w:rsidR="001D1025" w:rsidRPr="001D1025" w:rsidRDefault="001D1025" w:rsidP="00394BE4">
      <w:pPr>
        <w:pStyle w:val="IPPParagraphnumbering"/>
        <w:rPr>
          <w:rFonts w:cs="Times New Roman"/>
        </w:rPr>
      </w:pPr>
      <w:r w:rsidRPr="001D1025">
        <w:rPr>
          <w:rFonts w:cs="Times New Roman"/>
        </w:rPr>
        <w:t xml:space="preserve">Now that the concept has been progressed to the draft ISPM stage, there is an opportunity for Contracting Parties to review and reflect on the purpose and principles that should guide the future direction of Commodity Standards, and the benefits that would result from their implementation. </w:t>
      </w:r>
    </w:p>
    <w:p w14:paraId="19557D5D" w14:textId="77777777" w:rsidR="001D1025" w:rsidRPr="0013700F" w:rsidRDefault="001D1025" w:rsidP="00394BE4">
      <w:pPr>
        <w:pStyle w:val="IPPParagraphnumbering"/>
        <w:rPr>
          <w:rFonts w:cs="Calibri"/>
        </w:rPr>
      </w:pPr>
      <w:r w:rsidRPr="001D1025">
        <w:rPr>
          <w:rFonts w:cs="Times New Roman"/>
        </w:rPr>
        <w:t>Commodity Standards present a new direction and challenge for the IPPC. However, from New Zealand’s point of view this new direction also provides huge opportunities for the IPPC, especially in supporting developing</w:t>
      </w:r>
      <w:r w:rsidRPr="0013700F">
        <w:rPr>
          <w:rFonts w:cs="Calibri"/>
        </w:rPr>
        <w:t xml:space="preserve"> country trade aspirations, and to make the IPPC even more relevant in the post-Covid world.</w:t>
      </w:r>
    </w:p>
    <w:p w14:paraId="7FB72309" w14:textId="0A7161F3" w:rsidR="001D1025" w:rsidRPr="00394BE4" w:rsidRDefault="00394BE4" w:rsidP="00394BE4">
      <w:pPr>
        <w:pStyle w:val="IPPHeading1"/>
      </w:pPr>
      <w:r>
        <w:t>2.</w:t>
      </w:r>
      <w:r>
        <w:tab/>
      </w:r>
      <w:r w:rsidR="001D1025" w:rsidRPr="00394BE4">
        <w:t>What will be included in a commodity standard?</w:t>
      </w:r>
    </w:p>
    <w:p w14:paraId="2FC810B3" w14:textId="77777777" w:rsidR="001D1025" w:rsidRPr="00151661" w:rsidRDefault="001D1025" w:rsidP="00394BE4">
      <w:pPr>
        <w:pStyle w:val="IPPParagraphnumbering"/>
        <w:rPr>
          <w:rFonts w:cs="Times New Roman"/>
        </w:rPr>
      </w:pPr>
      <w:r w:rsidRPr="00151661">
        <w:rPr>
          <w:rFonts w:cs="Times New Roman"/>
        </w:rPr>
        <w:t>A commodity standard will identify an internationally traded commodity that meets the defined scope, identify major pests that are associated with the traded commodity, and identify measures being used by Contracting Parties to manage those pests. A commodity standard will provide pest risk management options for major pests associated with a commodity. These options will be endorsed for global use. Countries will retain their sovereign right to set the conditions for the safe import of goods. They will remain free to negotiate measures for pests of concern not covered by the commodity standard.</w:t>
      </w:r>
    </w:p>
    <w:p w14:paraId="29356364" w14:textId="77777777" w:rsidR="001D1025" w:rsidRPr="00151661" w:rsidRDefault="001D1025" w:rsidP="00394BE4">
      <w:pPr>
        <w:pStyle w:val="IPPParagraphnumbering"/>
        <w:rPr>
          <w:rFonts w:cs="Times New Roman"/>
        </w:rPr>
      </w:pPr>
      <w:r w:rsidRPr="00151661">
        <w:rPr>
          <w:rFonts w:cs="Times New Roman"/>
        </w:rPr>
        <w:t>Contracting Parties are not required to adopt measures contained in Contracting Parties and are free to negotiate alternative measures bilaterally.  However, Contracting Parties should recognise the options listed in the commodity standard unless technical justification can be provided that identifies the measure is unsuitable for the trading partners (e.g. unsafe).  Such technical information should also be passed to the Technical Panel for Commodity Standards (TPCS) so that the inclusion of that measure in the commodity standard can be reviewed.</w:t>
      </w:r>
    </w:p>
    <w:p w14:paraId="0032CE4C" w14:textId="79173075" w:rsidR="001D1025" w:rsidRPr="00151661" w:rsidRDefault="00394BE4" w:rsidP="00394BE4">
      <w:pPr>
        <w:pStyle w:val="IPPHeading1"/>
        <w:rPr>
          <w:rFonts w:cs="Calibri"/>
          <w:bCs/>
        </w:rPr>
      </w:pPr>
      <w:r>
        <w:rPr>
          <w:rFonts w:cs="Calibri"/>
          <w:bCs/>
        </w:rPr>
        <w:t>3.</w:t>
      </w:r>
      <w:r>
        <w:rPr>
          <w:rFonts w:cs="Calibri"/>
          <w:bCs/>
        </w:rPr>
        <w:tab/>
      </w:r>
      <w:r w:rsidR="001D1025" w:rsidRPr="00151661">
        <w:rPr>
          <w:rFonts w:cs="Calibri"/>
          <w:bCs/>
        </w:rPr>
        <w:t>What are the benefits?</w:t>
      </w:r>
    </w:p>
    <w:p w14:paraId="3820DA5B" w14:textId="77777777" w:rsidR="001D1025" w:rsidRPr="00151661" w:rsidRDefault="001D1025" w:rsidP="00394BE4">
      <w:pPr>
        <w:pStyle w:val="IPPParagraphnumbering"/>
        <w:rPr>
          <w:rFonts w:cs="Times New Roman"/>
        </w:rPr>
      </w:pPr>
      <w:r w:rsidRPr="00151661">
        <w:rPr>
          <w:rFonts w:cs="Times New Roman"/>
        </w:rPr>
        <w:t xml:space="preserve">Several significant benefits have been identified for commodity standards including that they will harmonize phytosanitary measures, promote the equivalency of measures, and optimize resources by avoiding the duplication of requirements. The first working group on commodity standards recognised that with declining national resources to conduct pest risk analysis, import monitoring and inspection, or to implement costly eradication or management programs for newly introduced pests, there will be an increasing need to rely on international standards to help prevent the introduction and spread of pests. </w:t>
      </w:r>
    </w:p>
    <w:p w14:paraId="5F6596FF" w14:textId="77777777" w:rsidR="001D1025" w:rsidRPr="0013700F" w:rsidRDefault="001D1025" w:rsidP="00394BE4">
      <w:pPr>
        <w:pStyle w:val="IPPParagraphnumbering"/>
        <w:rPr>
          <w:rFonts w:cs="Calibri"/>
          <w:color w:val="1B1E24"/>
        </w:rPr>
      </w:pPr>
      <w:r w:rsidRPr="00151661">
        <w:rPr>
          <w:rFonts w:cs="Times New Roman"/>
        </w:rPr>
        <w:lastRenderedPageBreak/>
        <w:t>Comprehensive technical information is not always available for existing measures used in international trade, even though these measures are accepted by some trading partners. Such comprehensive information, when available</w:t>
      </w:r>
      <w:r w:rsidRPr="0013700F">
        <w:rPr>
          <w:rFonts w:cs="Calibri"/>
        </w:rPr>
        <w:t xml:space="preserve">, is now and will continue to be, used to develop </w:t>
      </w:r>
      <w:r>
        <w:rPr>
          <w:rFonts w:cs="Calibri"/>
        </w:rPr>
        <w:t xml:space="preserve">treatment </w:t>
      </w:r>
      <w:r w:rsidRPr="0013700F">
        <w:rPr>
          <w:rFonts w:cs="Calibri"/>
        </w:rPr>
        <w:t xml:space="preserve">ISPMs in the traditional way. However recognising measures which are currently </w:t>
      </w:r>
      <w:r>
        <w:rPr>
          <w:rFonts w:cs="Calibri"/>
        </w:rPr>
        <w:t xml:space="preserve">in use but not </w:t>
      </w:r>
      <w:r w:rsidRPr="0013700F">
        <w:rPr>
          <w:rFonts w:cs="Calibri"/>
        </w:rPr>
        <w:t xml:space="preserve">supported by comprehensive technical information </w:t>
      </w:r>
      <w:r w:rsidRPr="0013700F">
        <w:rPr>
          <w:rFonts w:cs="Calibri"/>
          <w:color w:val="1B1E24"/>
        </w:rPr>
        <w:t>will help to</w:t>
      </w:r>
      <w:r w:rsidRPr="0013700F">
        <w:rPr>
          <w:rFonts w:cs="Calibri"/>
          <w:b/>
          <w:bCs/>
          <w:color w:val="1B1E24"/>
        </w:rPr>
        <w:t> </w:t>
      </w:r>
      <w:r w:rsidRPr="0013700F">
        <w:rPr>
          <w:rStyle w:val="Strong"/>
          <w:rFonts w:cs="Calibri"/>
          <w:color w:val="1B1E24"/>
        </w:rPr>
        <w:t>expedite market access negotiations, enhance phytosanitary security</w:t>
      </w:r>
      <w:r w:rsidRPr="0013700F">
        <w:rPr>
          <w:rFonts w:cs="Calibri"/>
          <w:b/>
          <w:bCs/>
          <w:color w:val="1B1E24"/>
        </w:rPr>
        <w:t> </w:t>
      </w:r>
      <w:r w:rsidRPr="0013700F">
        <w:rPr>
          <w:rFonts w:cs="Calibri"/>
          <w:color w:val="1B1E24"/>
        </w:rPr>
        <w:t>and achieve several strategic goals of the IPPC and FAO. Further, recognising these measures may support developing countries by helping them effectively manage risks and introducing new international trade opportunities by simplifying trade and market access negotiations.</w:t>
      </w:r>
    </w:p>
    <w:p w14:paraId="575E96DE" w14:textId="0B1BAA07" w:rsidR="001D1025" w:rsidRPr="00151661" w:rsidRDefault="00394BE4" w:rsidP="00394BE4">
      <w:pPr>
        <w:pStyle w:val="IPPHeading1"/>
        <w:rPr>
          <w:rFonts w:cs="Calibri"/>
          <w:bCs/>
        </w:rPr>
      </w:pPr>
      <w:r>
        <w:rPr>
          <w:rFonts w:cs="Calibri"/>
          <w:bCs/>
        </w:rPr>
        <w:t>4.</w:t>
      </w:r>
      <w:r>
        <w:rPr>
          <w:rFonts w:cs="Calibri"/>
          <w:bCs/>
        </w:rPr>
        <w:tab/>
      </w:r>
      <w:r w:rsidR="001D1025" w:rsidRPr="00151661">
        <w:rPr>
          <w:rFonts w:cs="Calibri"/>
          <w:bCs/>
        </w:rPr>
        <w:t>What are the main challenges for the IPPC?</w:t>
      </w:r>
    </w:p>
    <w:p w14:paraId="62CEA181" w14:textId="77777777" w:rsidR="001D1025" w:rsidRPr="00151661" w:rsidRDefault="001D1025" w:rsidP="00394BE4">
      <w:pPr>
        <w:pStyle w:val="IPPParagraphnumbering"/>
        <w:rPr>
          <w:rStyle w:val="Strong"/>
          <w:b w:val="0"/>
          <w:color w:val="1B1E24"/>
        </w:rPr>
      </w:pPr>
      <w:r w:rsidRPr="00151661">
        <w:rPr>
          <w:rStyle w:val="Strong"/>
          <w:b w:val="0"/>
          <w:color w:val="1B1E24"/>
        </w:rPr>
        <w:t xml:space="preserve">Traditionally the IPPC has developed concept standards (e.g. PRA, phytosanitary certificates, </w:t>
      </w:r>
      <w:r w:rsidRPr="00151661">
        <w:rPr>
          <w:rStyle w:val="Strong"/>
          <w:rFonts w:cs="Calibri"/>
          <w:b w:val="0"/>
          <w:color w:val="1B1E24"/>
        </w:rPr>
        <w:t>surveillance), and diagnostic protocols and treatment standards relevant to individual pests. The diagnostic protocols and treatment standards are developed based on detailed technical information to support</w:t>
      </w:r>
      <w:r w:rsidRPr="00151661">
        <w:rPr>
          <w:rStyle w:val="Strong"/>
          <w:b w:val="0"/>
          <w:color w:val="1B1E24"/>
        </w:rPr>
        <w:t xml:space="preserve"> their adoption.  These standards provide support for NPPOs operating domestically, and when importing or exporting plant commodities.</w:t>
      </w:r>
    </w:p>
    <w:p w14:paraId="2C16D06B" w14:textId="77777777" w:rsidR="001D1025" w:rsidRPr="0013700F" w:rsidRDefault="001D1025" w:rsidP="00394BE4">
      <w:pPr>
        <w:pStyle w:val="IPPParagraphnumbering"/>
        <w:rPr>
          <w:rFonts w:cs="Calibri"/>
        </w:rPr>
      </w:pPr>
      <w:r w:rsidRPr="00151661">
        <w:rPr>
          <w:rStyle w:val="Strong"/>
          <w:b w:val="0"/>
          <w:color w:val="1B1E24"/>
        </w:rPr>
        <w:t xml:space="preserve">Conversely, </w:t>
      </w:r>
      <w:r w:rsidRPr="00151661">
        <w:rPr>
          <w:rStyle w:val="Strong"/>
          <w:b w:val="0"/>
        </w:rPr>
        <w:t xml:space="preserve">commodity standards </w:t>
      </w:r>
      <w:r w:rsidRPr="00151661">
        <w:rPr>
          <w:rStyle w:val="Strong"/>
          <w:b w:val="0"/>
          <w:color w:val="1B1E24"/>
        </w:rPr>
        <w:t xml:space="preserve">focus on the commodity being traded internationally, and on the pests and measures appropriate for that commodity. As such, these standards enter the delicate world of bilateral negotiations between trading partners. There is no doubt that the IPPC must tread carefully, however, in developing </w:t>
      </w:r>
      <w:r w:rsidRPr="00151661">
        <w:rPr>
          <w:rStyle w:val="Strong"/>
          <w:b w:val="0"/>
        </w:rPr>
        <w:t xml:space="preserve">commodity standards </w:t>
      </w:r>
      <w:r w:rsidRPr="00151661">
        <w:rPr>
          <w:rStyle w:val="Strong"/>
          <w:b w:val="0"/>
          <w:color w:val="1B1E24"/>
        </w:rPr>
        <w:t>the IPPC can provide real and practical support for trading partners in these</w:t>
      </w:r>
      <w:r w:rsidRPr="0013700F">
        <w:rPr>
          <w:rFonts w:cs="Calibri"/>
        </w:rPr>
        <w:t xml:space="preserve"> negotiations. This is especially important for developing countries who rarely have the resources necessary to develop the technical information necessary to support proposed measures.</w:t>
      </w:r>
    </w:p>
    <w:p w14:paraId="02466AB2" w14:textId="66DD1F1A" w:rsidR="001D1025" w:rsidRPr="00151661" w:rsidRDefault="00394BE4" w:rsidP="00394BE4">
      <w:pPr>
        <w:pStyle w:val="IPPHeading1"/>
        <w:rPr>
          <w:rFonts w:cs="Calibri"/>
          <w:bCs/>
        </w:rPr>
      </w:pPr>
      <w:r>
        <w:rPr>
          <w:rFonts w:cs="Calibri"/>
          <w:bCs/>
        </w:rPr>
        <w:t>5.</w:t>
      </w:r>
      <w:r>
        <w:rPr>
          <w:rFonts w:cs="Calibri"/>
          <w:bCs/>
        </w:rPr>
        <w:tab/>
      </w:r>
      <w:r w:rsidR="001D1025" w:rsidRPr="00151661">
        <w:rPr>
          <w:rFonts w:cs="Calibri"/>
          <w:bCs/>
        </w:rPr>
        <w:t xml:space="preserve">What obligations do Commodity Standards impose on Contracting Parties? </w:t>
      </w:r>
    </w:p>
    <w:p w14:paraId="6277EFA0" w14:textId="77777777" w:rsidR="001D1025" w:rsidRPr="00151661" w:rsidRDefault="001D1025" w:rsidP="00394BE4">
      <w:pPr>
        <w:pStyle w:val="IPPParagraphnumbering"/>
        <w:rPr>
          <w:rStyle w:val="Strong"/>
          <w:b w:val="0"/>
        </w:rPr>
      </w:pPr>
      <w:r w:rsidRPr="00151661">
        <w:rPr>
          <w:rStyle w:val="Strong"/>
          <w:b w:val="0"/>
        </w:rPr>
        <w:t>Commodity standards do not impose additional obligations on Contracting Parties, over and above those already imposed through being a signatory to the IPPC. As a Contracting Party we have an obligation to use ISPMs unless technical information identifies it would be unsuitable to do so.</w:t>
      </w:r>
    </w:p>
    <w:p w14:paraId="2E30B97A" w14:textId="77777777" w:rsidR="001D1025" w:rsidRPr="00151661" w:rsidRDefault="001D1025" w:rsidP="00394BE4">
      <w:pPr>
        <w:pStyle w:val="IPPParagraphnumbering"/>
        <w:rPr>
          <w:rStyle w:val="Strong"/>
          <w:b w:val="0"/>
        </w:rPr>
      </w:pPr>
      <w:r w:rsidRPr="00151661">
        <w:rPr>
          <w:rStyle w:val="Strong"/>
          <w:b w:val="0"/>
        </w:rPr>
        <w:t>The same obligation applies to commodity standards. As a commodity standard identifies pests associated with a commodity, and measures used to manage those pests, Contracting Parties should consider those measures for inclusion in a bilateral arrangement unless technical information suggest it is unsuitable to do so. Also, in line with current obligations, Contracting Parties should inform the TPCS whenever technical information demonstrates that a measure in a commodity standard is unsuitable.</w:t>
      </w:r>
    </w:p>
    <w:p w14:paraId="1E483A77" w14:textId="77777777" w:rsidR="001D1025" w:rsidRPr="00151661" w:rsidRDefault="001D1025" w:rsidP="00394BE4">
      <w:pPr>
        <w:pStyle w:val="IPPParagraphnumbering"/>
        <w:rPr>
          <w:rStyle w:val="Strong"/>
          <w:b w:val="0"/>
        </w:rPr>
      </w:pPr>
      <w:r w:rsidRPr="00151661">
        <w:rPr>
          <w:rStyle w:val="Strong"/>
          <w:b w:val="0"/>
        </w:rPr>
        <w:t>Also, in line with current obligations, Contracting Parties are free to negotiate alternative measures that are considered equally effective in managing pests, including quarantine pests that may not be included in the commodity standard</w:t>
      </w:r>
    </w:p>
    <w:p w14:paraId="53F7A319" w14:textId="1D1D807C" w:rsidR="001D1025" w:rsidRPr="00151661" w:rsidRDefault="00394BE4" w:rsidP="00394BE4">
      <w:pPr>
        <w:pStyle w:val="IPPHeading1"/>
        <w:rPr>
          <w:rFonts w:cs="Calibri"/>
          <w:bCs/>
        </w:rPr>
      </w:pPr>
      <w:r>
        <w:rPr>
          <w:rFonts w:cs="Calibri"/>
          <w:bCs/>
        </w:rPr>
        <w:t>6.</w:t>
      </w:r>
      <w:r>
        <w:rPr>
          <w:rFonts w:cs="Calibri"/>
          <w:bCs/>
        </w:rPr>
        <w:tab/>
      </w:r>
      <w:r w:rsidR="001D1025" w:rsidRPr="00151661">
        <w:rPr>
          <w:rFonts w:cs="Calibri"/>
          <w:bCs/>
        </w:rPr>
        <w:t>Do Commodity Standards avoid the need for PRA?</w:t>
      </w:r>
    </w:p>
    <w:p w14:paraId="5E38D4F1" w14:textId="77777777" w:rsidR="001D1025" w:rsidRPr="00151661" w:rsidRDefault="001D1025" w:rsidP="00394BE4">
      <w:pPr>
        <w:pStyle w:val="IPPParagraphnumbering"/>
        <w:rPr>
          <w:rStyle w:val="Strong"/>
          <w:b w:val="0"/>
        </w:rPr>
      </w:pPr>
      <w:r w:rsidRPr="00151661">
        <w:rPr>
          <w:rStyle w:val="Strong"/>
          <w:b w:val="0"/>
        </w:rPr>
        <w:t>No. PRA is an obligation on all Contracting Parties to ensure measures are required only for regulated pests. The pests listed in a commodity standard are not the basis for regulation; this can only be achieved through PRA. However, the pest list provides information that should be considered by the Contracting Parties when conducting PRA.</w:t>
      </w:r>
    </w:p>
    <w:p w14:paraId="454DF9BE" w14:textId="77777777" w:rsidR="001D1025" w:rsidRPr="00151661" w:rsidRDefault="001D1025" w:rsidP="00394BE4">
      <w:pPr>
        <w:pStyle w:val="IPPParagraphnumbering"/>
        <w:rPr>
          <w:rStyle w:val="Strong"/>
          <w:b w:val="0"/>
        </w:rPr>
      </w:pPr>
      <w:r w:rsidRPr="00151661">
        <w:rPr>
          <w:rStyle w:val="Strong"/>
          <w:b w:val="0"/>
        </w:rPr>
        <w:t>PRA is also used to identify options for managing pests. The development of Commodity Standards may shorten the PRA process, and provide support for developing countries when measures are identified in the standard.  The development of measures is often a major obstacle because of a lack of technical information, and the resources necessary to develop this information.</w:t>
      </w:r>
    </w:p>
    <w:p w14:paraId="5B72BFD8" w14:textId="0F518398" w:rsidR="001D1025" w:rsidRPr="00151661" w:rsidRDefault="00394BE4" w:rsidP="00394BE4">
      <w:pPr>
        <w:pStyle w:val="IPPHeading1"/>
        <w:rPr>
          <w:rFonts w:cs="Calibri"/>
          <w:bCs/>
        </w:rPr>
      </w:pPr>
      <w:r>
        <w:rPr>
          <w:rFonts w:cs="Calibri"/>
          <w:bCs/>
        </w:rPr>
        <w:t>7.</w:t>
      </w:r>
      <w:r>
        <w:rPr>
          <w:rFonts w:cs="Calibri"/>
          <w:bCs/>
        </w:rPr>
        <w:tab/>
      </w:r>
      <w:r w:rsidR="001D1025" w:rsidRPr="00151661">
        <w:rPr>
          <w:rFonts w:cs="Calibri"/>
          <w:bCs/>
        </w:rPr>
        <w:t>Are the pests listed in a Commodity Standard considered quarantine pests?</w:t>
      </w:r>
    </w:p>
    <w:p w14:paraId="5C36A8CB" w14:textId="77777777" w:rsidR="001D1025" w:rsidRPr="00151661" w:rsidRDefault="001D1025" w:rsidP="00394BE4">
      <w:pPr>
        <w:pStyle w:val="IPPParagraphnumbering"/>
        <w:rPr>
          <w:rFonts w:cs="Times New Roman"/>
          <w:color w:val="1B1E24"/>
          <w:szCs w:val="22"/>
        </w:rPr>
      </w:pPr>
      <w:r w:rsidRPr="00151661">
        <w:rPr>
          <w:rFonts w:cs="Times New Roman"/>
          <w:color w:val="1B1E24"/>
          <w:szCs w:val="22"/>
        </w:rPr>
        <w:t xml:space="preserve">No. The identification of quarantine pests can only be achieved through PRA, because the quarantine status is specific to the PRA area. However, because the pests listed in a </w:t>
      </w:r>
      <w:r w:rsidRPr="00151661">
        <w:rPr>
          <w:rFonts w:cs="Times New Roman"/>
          <w:color w:val="1B1E24"/>
          <w:szCs w:val="22"/>
          <w:shd w:val="clear" w:color="auto" w:fill="FFFFFF"/>
        </w:rPr>
        <w:t xml:space="preserve">commodity standard </w:t>
      </w:r>
      <w:r w:rsidRPr="00151661">
        <w:rPr>
          <w:rFonts w:cs="Times New Roman"/>
          <w:color w:val="1B1E24"/>
          <w:szCs w:val="22"/>
        </w:rPr>
        <w:t xml:space="preserve">have been identified as being associated with the traded commodity, the list may be useful in shortening the time taken to conduct PRA. </w:t>
      </w:r>
    </w:p>
    <w:p w14:paraId="37F66018" w14:textId="0301F841" w:rsidR="001D1025" w:rsidRPr="00151661" w:rsidRDefault="00394BE4" w:rsidP="00394BE4">
      <w:pPr>
        <w:pStyle w:val="IPPHeading1"/>
        <w:rPr>
          <w:rFonts w:cs="Calibri"/>
          <w:bCs/>
        </w:rPr>
      </w:pPr>
      <w:r>
        <w:rPr>
          <w:rFonts w:cs="Calibri"/>
          <w:bCs/>
        </w:rPr>
        <w:t>8.</w:t>
      </w:r>
      <w:r>
        <w:rPr>
          <w:rFonts w:cs="Calibri"/>
          <w:bCs/>
        </w:rPr>
        <w:tab/>
      </w:r>
      <w:r w:rsidR="001D1025" w:rsidRPr="00151661">
        <w:rPr>
          <w:rFonts w:cs="Calibri"/>
          <w:bCs/>
        </w:rPr>
        <w:t>Should Contracting Parties adopt measures listed in a Commodity Standard?</w:t>
      </w:r>
    </w:p>
    <w:p w14:paraId="01D1453A" w14:textId="77777777" w:rsidR="001D1025" w:rsidRPr="00151661" w:rsidRDefault="001D1025" w:rsidP="00394BE4">
      <w:pPr>
        <w:pStyle w:val="IPPParagraphnumbering"/>
        <w:rPr>
          <w:rFonts w:cs="Times New Roman"/>
          <w:color w:val="1B1E24"/>
          <w:szCs w:val="22"/>
        </w:rPr>
      </w:pPr>
      <w:r w:rsidRPr="00151661">
        <w:rPr>
          <w:rFonts w:cs="Times New Roman"/>
          <w:color w:val="1B1E24"/>
          <w:szCs w:val="22"/>
        </w:rPr>
        <w:t xml:space="preserve">No. Measures listed in </w:t>
      </w:r>
      <w:r w:rsidRPr="00151661">
        <w:rPr>
          <w:rFonts w:cs="Times New Roman"/>
          <w:color w:val="1B1E24"/>
          <w:szCs w:val="22"/>
          <w:shd w:val="clear" w:color="auto" w:fill="FFFFFF"/>
        </w:rPr>
        <w:t xml:space="preserve">commodity standard </w:t>
      </w:r>
      <w:r w:rsidRPr="00151661">
        <w:rPr>
          <w:rFonts w:cs="Times New Roman"/>
          <w:color w:val="1B1E24"/>
          <w:szCs w:val="22"/>
        </w:rPr>
        <w:t xml:space="preserve">are options for Contracting Parties to consider when negotiating a bilateral arrangement. Alternative measures including those not listed in the </w:t>
      </w:r>
      <w:r w:rsidRPr="00151661">
        <w:rPr>
          <w:rFonts w:cs="Times New Roman"/>
          <w:color w:val="1B1E24"/>
          <w:szCs w:val="22"/>
          <w:shd w:val="clear" w:color="auto" w:fill="FFFFFF"/>
        </w:rPr>
        <w:t>commodity standards</w:t>
      </w:r>
      <w:r w:rsidRPr="00151661">
        <w:rPr>
          <w:rFonts w:cs="Times New Roman"/>
          <w:color w:val="1B1E24"/>
          <w:szCs w:val="22"/>
        </w:rPr>
        <w:t xml:space="preserve"> may be used with technical justification. However, in the absence of alternatives, one or more of the measures should be considered unless technical information indicates it is unsuitable to do so. </w:t>
      </w:r>
    </w:p>
    <w:p w14:paraId="545960A4" w14:textId="77777777" w:rsidR="001D1025" w:rsidRPr="00151661" w:rsidRDefault="001D1025" w:rsidP="00394BE4">
      <w:pPr>
        <w:pStyle w:val="IPPParagraphnumbering"/>
        <w:rPr>
          <w:rFonts w:cs="Times New Roman"/>
          <w:color w:val="1B1E24"/>
          <w:szCs w:val="22"/>
        </w:rPr>
      </w:pPr>
      <w:r w:rsidRPr="00151661">
        <w:rPr>
          <w:rFonts w:cs="Times New Roman"/>
          <w:color w:val="1B1E24"/>
          <w:szCs w:val="22"/>
        </w:rPr>
        <w:t xml:space="preserve">Where an alternative measure is agreed between trading parties, the measure should be submitted to the TPCS for inclusion in the </w:t>
      </w:r>
      <w:r w:rsidRPr="00151661">
        <w:rPr>
          <w:rFonts w:cs="Times New Roman"/>
          <w:color w:val="1B1E24"/>
          <w:szCs w:val="22"/>
          <w:shd w:val="clear" w:color="auto" w:fill="FFFFFF"/>
        </w:rPr>
        <w:t>commodity standards</w:t>
      </w:r>
      <w:r w:rsidRPr="00151661">
        <w:rPr>
          <w:rFonts w:cs="Times New Roman"/>
          <w:color w:val="1B1E24"/>
          <w:szCs w:val="22"/>
        </w:rPr>
        <w:t>.  Where a measure included in a Commodity Standard is demonstrated through technical information to be unsuitable, the data should be submitted to the TPCS for consideration.</w:t>
      </w:r>
    </w:p>
    <w:p w14:paraId="03DD519F" w14:textId="5980125B" w:rsidR="001D1025" w:rsidRPr="00151661" w:rsidRDefault="00394BE4" w:rsidP="00394BE4">
      <w:pPr>
        <w:pStyle w:val="IPPHeading1"/>
        <w:rPr>
          <w:rFonts w:cs="Calibri"/>
          <w:bCs/>
        </w:rPr>
      </w:pPr>
      <w:r>
        <w:rPr>
          <w:rFonts w:cs="Calibri"/>
          <w:bCs/>
        </w:rPr>
        <w:t>9.</w:t>
      </w:r>
      <w:r>
        <w:rPr>
          <w:rFonts w:cs="Calibri"/>
          <w:bCs/>
        </w:rPr>
        <w:tab/>
      </w:r>
      <w:r w:rsidR="001D1025" w:rsidRPr="00151661">
        <w:rPr>
          <w:rFonts w:cs="Calibri"/>
          <w:bCs/>
        </w:rPr>
        <w:t>What information will be used to support the identification of measures in a Commodity Standard?</w:t>
      </w:r>
    </w:p>
    <w:p w14:paraId="5C90E34D" w14:textId="77777777" w:rsidR="001D1025" w:rsidRPr="00151661" w:rsidRDefault="001D1025" w:rsidP="00394BE4">
      <w:pPr>
        <w:pStyle w:val="IPPParagraphnumbering"/>
        <w:rPr>
          <w:rFonts w:cs="Times New Roman"/>
          <w:szCs w:val="22"/>
        </w:rPr>
      </w:pPr>
      <w:r w:rsidRPr="00151661">
        <w:rPr>
          <w:rFonts w:cs="Times New Roman"/>
          <w:color w:val="1B1E24"/>
          <w:szCs w:val="22"/>
          <w:shd w:val="clear" w:color="auto" w:fill="FFFFFF"/>
        </w:rPr>
        <w:t>Some</w:t>
      </w:r>
      <w:r w:rsidRPr="00151661">
        <w:rPr>
          <w:rFonts w:cs="Times New Roman"/>
          <w:szCs w:val="22"/>
        </w:rPr>
        <w:t xml:space="preserve"> measures (e.g. treatments) have technical data available to identify the efficacy of the measure. These data should be presented to the TPPT for consideration as an annex under ISPM 28. </w:t>
      </w:r>
    </w:p>
    <w:p w14:paraId="3D6CF70F" w14:textId="77777777" w:rsidR="001D1025" w:rsidRPr="00151661" w:rsidRDefault="001D1025" w:rsidP="00394BE4">
      <w:pPr>
        <w:pStyle w:val="IPPParagraphnumbering"/>
        <w:rPr>
          <w:rFonts w:cs="Times New Roman"/>
          <w:szCs w:val="22"/>
        </w:rPr>
      </w:pPr>
      <w:r w:rsidRPr="00151661">
        <w:rPr>
          <w:rFonts w:cs="Times New Roman"/>
          <w:szCs w:val="22"/>
        </w:rPr>
        <w:t xml:space="preserve">Other measures, including those accepted by at least one contracting party (and hence in operation between at least two contracting parties), may not have the same level of technical data to support its evaluation, but is nonetheless accepted as effective in managing pests. Such measures may be considered by the TPCS for inclusion in </w:t>
      </w:r>
      <w:r w:rsidRPr="00151661">
        <w:rPr>
          <w:rFonts w:cs="Times New Roman"/>
          <w:color w:val="1B1E24"/>
          <w:szCs w:val="22"/>
          <w:shd w:val="clear" w:color="auto" w:fill="FFFFFF"/>
        </w:rPr>
        <w:t>commodity standard</w:t>
      </w:r>
      <w:r w:rsidRPr="00151661">
        <w:rPr>
          <w:rFonts w:cs="Times New Roman"/>
          <w:szCs w:val="22"/>
        </w:rPr>
        <w:t xml:space="preserve">. The draft concept standard proposes information that may be used in this consideration includes: </w:t>
      </w:r>
    </w:p>
    <w:p w14:paraId="184EDE7B" w14:textId="2803F422" w:rsidR="001D1025" w:rsidRPr="00151661" w:rsidRDefault="002C4C69" w:rsidP="002C4C69">
      <w:pPr>
        <w:pStyle w:val="IPPNormal"/>
        <w:ind w:firstLine="720"/>
      </w:pPr>
      <w:r>
        <w:t>-</w:t>
      </w:r>
      <w:r w:rsidR="001D1025" w:rsidRPr="00151661">
        <w:t>Experience from use in trade indicates that the measure is effective;</w:t>
      </w:r>
    </w:p>
    <w:p w14:paraId="24B9DAF8" w14:textId="77777777" w:rsidR="001D1025" w:rsidRPr="002C4C69" w:rsidRDefault="001D1025" w:rsidP="002C4C69">
      <w:pPr>
        <w:pStyle w:val="IPPLetterList"/>
        <w:numPr>
          <w:ilvl w:val="0"/>
          <w:numId w:val="47"/>
        </w:numPr>
        <w:tabs>
          <w:tab w:val="clear" w:pos="1134"/>
        </w:tabs>
        <w:ind w:left="1980" w:hanging="630"/>
      </w:pPr>
      <w:r w:rsidRPr="002C4C69">
        <w:t>interception data indicate that the measure is effective</w:t>
      </w:r>
    </w:p>
    <w:p w14:paraId="09121E1C" w14:textId="77777777" w:rsidR="001D1025" w:rsidRPr="002C4C69" w:rsidRDefault="001D1025" w:rsidP="002C4C69">
      <w:pPr>
        <w:pStyle w:val="IPPLetterList"/>
        <w:numPr>
          <w:ilvl w:val="0"/>
          <w:numId w:val="47"/>
        </w:numPr>
        <w:tabs>
          <w:tab w:val="clear" w:pos="1134"/>
        </w:tabs>
        <w:ind w:left="1980" w:hanging="630"/>
      </w:pPr>
      <w:r w:rsidRPr="002C4C69">
        <w:t>the measure is, or has been, used extensively</w:t>
      </w:r>
    </w:p>
    <w:p w14:paraId="1719CCA0" w14:textId="20950B46" w:rsidR="001D1025" w:rsidRPr="002C4C69" w:rsidRDefault="001D1025" w:rsidP="002C4C69">
      <w:pPr>
        <w:pStyle w:val="IPPLetterList"/>
        <w:numPr>
          <w:ilvl w:val="0"/>
          <w:numId w:val="47"/>
        </w:numPr>
        <w:tabs>
          <w:tab w:val="clear" w:pos="1134"/>
        </w:tabs>
        <w:ind w:left="1980" w:hanging="630"/>
      </w:pPr>
      <w:r w:rsidRPr="002C4C69">
        <w:t xml:space="preserve">the measure has been successfully used to </w:t>
      </w:r>
      <w:r w:rsidR="002C4C69" w:rsidRPr="002C4C69">
        <w:t>manage non-compliant consignmen</w:t>
      </w:r>
      <w:r w:rsidRPr="002C4C69">
        <w:t>s</w:t>
      </w:r>
    </w:p>
    <w:p w14:paraId="53CBCF4B" w14:textId="1C673E2F" w:rsidR="001D1025" w:rsidRDefault="001D1025" w:rsidP="002C4C69">
      <w:pPr>
        <w:pStyle w:val="IPPLetterList"/>
        <w:numPr>
          <w:ilvl w:val="0"/>
          <w:numId w:val="47"/>
        </w:numPr>
        <w:tabs>
          <w:tab w:val="clear" w:pos="1134"/>
        </w:tabs>
        <w:ind w:left="1980" w:hanging="630"/>
        <w:rPr>
          <w:szCs w:val="22"/>
        </w:rPr>
      </w:pPr>
      <w:r w:rsidRPr="002C4C69">
        <w:t>information</w:t>
      </w:r>
      <w:r w:rsidRPr="00151661">
        <w:rPr>
          <w:rFonts w:cs="Times New Roman"/>
          <w:szCs w:val="22"/>
        </w:rPr>
        <w:t xml:space="preserve"> from plant health certification schemes indicate that the measure is effective. </w:t>
      </w:r>
    </w:p>
    <w:p w14:paraId="4CDC60CA" w14:textId="5155A6F8" w:rsidR="001D1025" w:rsidRPr="00151661" w:rsidRDefault="001D1025" w:rsidP="002C4C69">
      <w:pPr>
        <w:pStyle w:val="IPPNormal"/>
        <w:numPr>
          <w:ilvl w:val="0"/>
          <w:numId w:val="26"/>
        </w:numPr>
        <w:rPr>
          <w:rFonts w:cs="Times New Roman"/>
          <w:szCs w:val="22"/>
        </w:rPr>
      </w:pPr>
      <w:r w:rsidRPr="00151661">
        <w:rPr>
          <w:rFonts w:cs="Times New Roman"/>
          <w:szCs w:val="22"/>
        </w:rPr>
        <w:t>Experience from domestic use indicates that the measure is effective;</w:t>
      </w:r>
    </w:p>
    <w:p w14:paraId="3D79F87B" w14:textId="77777777" w:rsidR="001D1025" w:rsidRPr="002C4C69" w:rsidRDefault="001D1025" w:rsidP="002C4C69">
      <w:pPr>
        <w:pStyle w:val="IPPLetterList"/>
        <w:numPr>
          <w:ilvl w:val="0"/>
          <w:numId w:val="47"/>
        </w:numPr>
        <w:tabs>
          <w:tab w:val="clear" w:pos="1134"/>
        </w:tabs>
        <w:ind w:left="1980" w:hanging="630"/>
      </w:pPr>
      <w:r w:rsidRPr="002C4C69">
        <w:t>the measure has been used extensively in relation to domestic movement of commodities</w:t>
      </w:r>
    </w:p>
    <w:p w14:paraId="0B3E4B06" w14:textId="77777777" w:rsidR="001D1025" w:rsidRPr="002C4C69" w:rsidRDefault="001D1025" w:rsidP="002C4C69">
      <w:pPr>
        <w:pStyle w:val="IPPLetterList"/>
        <w:numPr>
          <w:ilvl w:val="0"/>
          <w:numId w:val="47"/>
        </w:numPr>
        <w:tabs>
          <w:tab w:val="clear" w:pos="1134"/>
        </w:tabs>
        <w:ind w:left="1980" w:hanging="630"/>
      </w:pPr>
      <w:r w:rsidRPr="002C4C69">
        <w:t xml:space="preserve">the measure has been used successfully in outbreak management and suppression </w:t>
      </w:r>
      <w:r w:rsidRPr="002C4C69">
        <w:sym w:font="Symbol" w:char="F0D7"/>
      </w:r>
      <w:r w:rsidRPr="002C4C69">
        <w:t xml:space="preserve"> results from eradication programmes indicate that the measure is effective</w:t>
      </w:r>
    </w:p>
    <w:p w14:paraId="6FD0CB77" w14:textId="77777777" w:rsidR="001D1025" w:rsidRPr="002C4C69" w:rsidRDefault="001D1025" w:rsidP="002C4C69">
      <w:pPr>
        <w:pStyle w:val="IPPLetterList"/>
        <w:numPr>
          <w:ilvl w:val="0"/>
          <w:numId w:val="47"/>
        </w:numPr>
        <w:tabs>
          <w:tab w:val="clear" w:pos="1134"/>
        </w:tabs>
        <w:ind w:left="1980" w:hanging="630"/>
      </w:pPr>
      <w:r w:rsidRPr="002C4C69">
        <w:t>information from plant health certification schemes indicate that the measure is effective</w:t>
      </w:r>
    </w:p>
    <w:p w14:paraId="381A8D77" w14:textId="77777777" w:rsidR="001D1025" w:rsidRPr="002C4C69" w:rsidRDefault="001D1025" w:rsidP="002C4C69">
      <w:pPr>
        <w:pStyle w:val="IPPLetterList"/>
        <w:numPr>
          <w:ilvl w:val="0"/>
          <w:numId w:val="47"/>
        </w:numPr>
        <w:tabs>
          <w:tab w:val="clear" w:pos="1134"/>
        </w:tabs>
        <w:ind w:left="1980" w:hanging="630"/>
      </w:pPr>
      <w:r w:rsidRPr="002C4C69">
        <w:t>best management practices for the measure are available.</w:t>
      </w:r>
    </w:p>
    <w:p w14:paraId="6DB1E42C" w14:textId="77777777" w:rsidR="001D1025" w:rsidRPr="00151661" w:rsidRDefault="001D1025" w:rsidP="002C4C69">
      <w:pPr>
        <w:pStyle w:val="IPPNormal"/>
        <w:numPr>
          <w:ilvl w:val="0"/>
          <w:numId w:val="26"/>
        </w:numPr>
        <w:rPr>
          <w:rFonts w:cs="Times New Roman"/>
          <w:szCs w:val="22"/>
        </w:rPr>
      </w:pPr>
      <w:r w:rsidRPr="00151661">
        <w:rPr>
          <w:rFonts w:cs="Times New Roman"/>
          <w:szCs w:val="22"/>
        </w:rPr>
        <w:t>Experimental evidence indicates that the measure is effective:</w:t>
      </w:r>
    </w:p>
    <w:p w14:paraId="5C8B52EF" w14:textId="77777777" w:rsidR="001D1025" w:rsidRPr="00151661" w:rsidRDefault="001D1025" w:rsidP="002C4C69">
      <w:pPr>
        <w:pStyle w:val="IPPLetterList"/>
        <w:numPr>
          <w:ilvl w:val="0"/>
          <w:numId w:val="47"/>
        </w:numPr>
        <w:tabs>
          <w:tab w:val="clear" w:pos="1134"/>
        </w:tabs>
        <w:ind w:left="1980" w:hanging="630"/>
        <w:rPr>
          <w:rFonts w:cs="Times New Roman"/>
          <w:szCs w:val="22"/>
        </w:rPr>
      </w:pPr>
      <w:r w:rsidRPr="002C4C69">
        <w:t>private</w:t>
      </w:r>
      <w:r w:rsidRPr="00151661">
        <w:rPr>
          <w:rFonts w:cs="Times New Roman"/>
          <w:szCs w:val="22"/>
        </w:rPr>
        <w:t xml:space="preserve"> or public sector research indicates that the measure is effective. </w:t>
      </w:r>
    </w:p>
    <w:p w14:paraId="67F98AD7" w14:textId="77777777" w:rsidR="001D1025" w:rsidRPr="00151661" w:rsidRDefault="001D1025" w:rsidP="002C4C69">
      <w:pPr>
        <w:pStyle w:val="IPPNormal"/>
        <w:numPr>
          <w:ilvl w:val="0"/>
          <w:numId w:val="26"/>
        </w:numPr>
        <w:rPr>
          <w:rFonts w:cs="Times New Roman"/>
          <w:szCs w:val="22"/>
        </w:rPr>
      </w:pPr>
      <w:r w:rsidRPr="00151661">
        <w:rPr>
          <w:rFonts w:cs="Times New Roman"/>
          <w:szCs w:val="22"/>
        </w:rPr>
        <w:t>Information from PRAs (pest risk management options) or, where applicable, from another comparable examination and evaluation of available scientific information, indicates that the measure is effective.</w:t>
      </w:r>
    </w:p>
    <w:p w14:paraId="6B504926" w14:textId="77777777" w:rsidR="001D1025" w:rsidRPr="00151661" w:rsidRDefault="001D1025" w:rsidP="002C4C69">
      <w:pPr>
        <w:pStyle w:val="IPPNormal"/>
        <w:numPr>
          <w:ilvl w:val="0"/>
          <w:numId w:val="26"/>
        </w:numPr>
        <w:rPr>
          <w:rFonts w:cs="Times New Roman"/>
          <w:szCs w:val="22"/>
        </w:rPr>
      </w:pPr>
      <w:r w:rsidRPr="00151661">
        <w:rPr>
          <w:rFonts w:cs="Times New Roman"/>
          <w:szCs w:val="22"/>
        </w:rPr>
        <w:t>Adopted ISPMs exist that are relevant to the pests or commodities.</w:t>
      </w:r>
    </w:p>
    <w:p w14:paraId="021317FE" w14:textId="77777777" w:rsidR="001D1025" w:rsidRPr="00151661" w:rsidRDefault="001D1025" w:rsidP="002C4C69">
      <w:pPr>
        <w:pStyle w:val="IPPNormal"/>
        <w:numPr>
          <w:ilvl w:val="0"/>
          <w:numId w:val="26"/>
        </w:numPr>
        <w:rPr>
          <w:rFonts w:cs="Times New Roman"/>
          <w:szCs w:val="22"/>
        </w:rPr>
      </w:pPr>
      <w:r w:rsidRPr="00151661">
        <w:rPr>
          <w:rFonts w:cs="Times New Roman"/>
          <w:szCs w:val="22"/>
        </w:rPr>
        <w:t>Regional standards exist that are relevant to the pests or commodities</w:t>
      </w:r>
    </w:p>
    <w:p w14:paraId="318C0F04" w14:textId="6CC28E81" w:rsidR="001D1025" w:rsidRPr="00151661" w:rsidRDefault="00394BE4" w:rsidP="00394BE4">
      <w:pPr>
        <w:pStyle w:val="IPPHeading1"/>
        <w:rPr>
          <w:rFonts w:cs="Calibri"/>
          <w:bCs/>
        </w:rPr>
      </w:pPr>
      <w:r>
        <w:rPr>
          <w:rFonts w:cs="Calibri"/>
          <w:bCs/>
        </w:rPr>
        <w:t>10.</w:t>
      </w:r>
      <w:r>
        <w:rPr>
          <w:rFonts w:cs="Calibri"/>
          <w:bCs/>
        </w:rPr>
        <w:tab/>
      </w:r>
      <w:r w:rsidR="001D1025" w:rsidRPr="00151661">
        <w:rPr>
          <w:rFonts w:cs="Calibri"/>
          <w:bCs/>
        </w:rPr>
        <w:t>Conclusion</w:t>
      </w:r>
    </w:p>
    <w:p w14:paraId="6528D895" w14:textId="77777777" w:rsidR="001D1025" w:rsidRPr="00151661" w:rsidRDefault="001D1025" w:rsidP="00394BE4">
      <w:pPr>
        <w:pStyle w:val="IPPParagraphnumbering"/>
        <w:rPr>
          <w:rFonts w:cs="Times New Roman"/>
          <w:szCs w:val="22"/>
        </w:rPr>
      </w:pPr>
      <w:r w:rsidRPr="00151661">
        <w:rPr>
          <w:rFonts w:cs="Times New Roman"/>
          <w:szCs w:val="22"/>
        </w:rPr>
        <w:t>Although there may be many questions around how Commodity Standards will be used, New Zealand encourages Contracting Parties to support the adoption of the concept standard and the formation of the Technical Panel for Commodity Standards when presented to CPM.  In New Zealand’s view commodity standards have the potential to significantly benefit developing countries and facilitate trade among all contracting parties.  Commodity Standards will also reduce the resources required to conduct PRA and identify suitable phytosanitary measures for bilateral agreement.  New Zealand commends the Asia and Pacific Plant Protection Commission for the development and adoption of a Regional Standard on Phytosanitary Measures for fresh mango fruit for human consumption to facilitate safe trade in the region.  We understand that as soon as the concept standard is adopted as an ISPM the regional standard will be submitted for consideration and further development as an ISPM commodity standard.</w:t>
      </w:r>
    </w:p>
    <w:p w14:paraId="6B09AB96" w14:textId="7EFDE82B" w:rsidR="001D1025" w:rsidRPr="00151661" w:rsidRDefault="00394BE4" w:rsidP="00394BE4">
      <w:pPr>
        <w:pStyle w:val="IPPHeading1"/>
        <w:rPr>
          <w:rFonts w:cs="Calibri"/>
          <w:bCs/>
        </w:rPr>
      </w:pPr>
      <w:r>
        <w:rPr>
          <w:rFonts w:cs="Calibri"/>
          <w:bCs/>
        </w:rPr>
        <w:t>11.</w:t>
      </w:r>
      <w:r>
        <w:rPr>
          <w:rFonts w:cs="Calibri"/>
          <w:bCs/>
        </w:rPr>
        <w:tab/>
      </w:r>
      <w:r w:rsidR="001D1025" w:rsidRPr="00151661">
        <w:rPr>
          <w:rFonts w:cs="Calibri"/>
          <w:bCs/>
        </w:rPr>
        <w:t>Recommendations</w:t>
      </w:r>
    </w:p>
    <w:p w14:paraId="6D088310" w14:textId="77777777" w:rsidR="001D1025" w:rsidRPr="00151661" w:rsidRDefault="001D1025" w:rsidP="00151661">
      <w:pPr>
        <w:pStyle w:val="IPPParagraphnumbering"/>
        <w:jc w:val="left"/>
        <w:rPr>
          <w:rFonts w:cs="Times New Roman"/>
          <w:szCs w:val="22"/>
        </w:rPr>
      </w:pPr>
      <w:r w:rsidRPr="00151661">
        <w:rPr>
          <w:rFonts w:cs="Times New Roman"/>
          <w:szCs w:val="22"/>
        </w:rPr>
        <w:t>New Zealand invites SPG to:</w:t>
      </w:r>
    </w:p>
    <w:p w14:paraId="7A98FA77" w14:textId="2120DF60" w:rsidR="001D1025" w:rsidRPr="00151661" w:rsidRDefault="001D1025" w:rsidP="00151661">
      <w:pPr>
        <w:pStyle w:val="IPPParagraphnumbering"/>
        <w:numPr>
          <w:ilvl w:val="0"/>
          <w:numId w:val="24"/>
        </w:numPr>
        <w:ind w:left="284" w:hanging="284"/>
        <w:jc w:val="left"/>
        <w:rPr>
          <w:rFonts w:cs="Times New Roman"/>
          <w:i/>
          <w:lang w:val="en-GB"/>
        </w:rPr>
      </w:pPr>
      <w:r w:rsidRPr="00151661">
        <w:rPr>
          <w:rFonts w:cs="Times New Roman"/>
          <w:i/>
          <w:lang w:val="en-GB"/>
        </w:rPr>
        <w:t xml:space="preserve">Note </w:t>
      </w:r>
      <w:r w:rsidRPr="00151661">
        <w:rPr>
          <w:rFonts w:cs="Times New Roman"/>
          <w:lang w:val="en-GB"/>
        </w:rPr>
        <w:t>the significant benefits that contracting parties can anticipate as Commodity Standards are developed and adopted</w:t>
      </w:r>
      <w:r w:rsidRPr="00151661">
        <w:rPr>
          <w:rFonts w:cs="Times New Roman"/>
          <w:i/>
          <w:lang w:val="en-GB"/>
        </w:rPr>
        <w:t>.</w:t>
      </w:r>
    </w:p>
    <w:p w14:paraId="59CD9899" w14:textId="6F4E9356" w:rsidR="001D1025" w:rsidRPr="00151661" w:rsidRDefault="001D1025" w:rsidP="00151661">
      <w:pPr>
        <w:pStyle w:val="IPPParagraphnumbering"/>
        <w:numPr>
          <w:ilvl w:val="0"/>
          <w:numId w:val="24"/>
        </w:numPr>
        <w:ind w:left="284" w:hanging="284"/>
        <w:jc w:val="left"/>
        <w:rPr>
          <w:rFonts w:cs="Times New Roman"/>
          <w:i/>
          <w:lang w:val="en-GB"/>
        </w:rPr>
      </w:pPr>
      <w:r w:rsidRPr="00151661">
        <w:rPr>
          <w:rFonts w:cs="Times New Roman"/>
          <w:i/>
          <w:lang w:val="en-GB"/>
        </w:rPr>
        <w:t xml:space="preserve">Discuss </w:t>
      </w:r>
      <w:r w:rsidRPr="00151661">
        <w:rPr>
          <w:rFonts w:cs="Times New Roman"/>
          <w:lang w:val="en-GB"/>
        </w:rPr>
        <w:t>whether RPPOs are considering develop commodity standards in advance of the concept standard being adopted as an ISPM, and identify commodities that should be a priority for development at a regional or global level</w:t>
      </w:r>
      <w:r w:rsidRPr="00151661">
        <w:rPr>
          <w:rFonts w:cs="Times New Roman"/>
          <w:i/>
          <w:lang w:val="en-GB"/>
        </w:rPr>
        <w:t>.</w:t>
      </w:r>
    </w:p>
    <w:p w14:paraId="3F63F8AE" w14:textId="37780B49" w:rsidR="001D1025" w:rsidRPr="00151661" w:rsidRDefault="001D1025" w:rsidP="00151661">
      <w:pPr>
        <w:pStyle w:val="IPPParagraphnumbering"/>
        <w:numPr>
          <w:ilvl w:val="0"/>
          <w:numId w:val="24"/>
        </w:numPr>
        <w:ind w:left="284" w:hanging="284"/>
        <w:jc w:val="left"/>
        <w:rPr>
          <w:rFonts w:asciiTheme="minorHAnsi" w:hAnsiTheme="minorHAnsi"/>
          <w:szCs w:val="22"/>
        </w:rPr>
      </w:pPr>
      <w:r w:rsidRPr="00151661">
        <w:rPr>
          <w:rFonts w:cs="Times New Roman"/>
          <w:i/>
          <w:lang w:val="en-GB"/>
        </w:rPr>
        <w:t>Agree</w:t>
      </w:r>
      <w:r w:rsidR="00151661">
        <w:rPr>
          <w:rFonts w:cs="Times New Roman"/>
          <w:i/>
          <w:lang w:val="en-GB"/>
        </w:rPr>
        <w:t xml:space="preserve"> </w:t>
      </w:r>
      <w:r w:rsidRPr="00151661">
        <w:rPr>
          <w:rFonts w:cs="Times New Roman"/>
          <w:lang w:val="en-GB"/>
        </w:rPr>
        <w:t xml:space="preserve">SPG supports </w:t>
      </w:r>
      <w:r w:rsidRPr="002C4C69">
        <w:rPr>
          <w:rFonts w:cs="Times New Roman"/>
          <w:szCs w:val="22"/>
        </w:rPr>
        <w:t>in principle the concept ISPM and the development of Commodity Standards.</w:t>
      </w:r>
      <w:r w:rsidRPr="00151661">
        <w:rPr>
          <w:rFonts w:asciiTheme="minorHAnsi" w:hAnsiTheme="minorHAnsi"/>
          <w:szCs w:val="22"/>
        </w:rPr>
        <w:t xml:space="preserve"> </w:t>
      </w:r>
    </w:p>
    <w:sectPr w:rsidR="001D1025" w:rsidRPr="00151661" w:rsidSect="003877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06DF" w14:textId="77777777" w:rsidR="002011D8" w:rsidRDefault="002011D8" w:rsidP="00EB349A">
      <w:r>
        <w:separator/>
      </w:r>
    </w:p>
  </w:endnote>
  <w:endnote w:type="continuationSeparator" w:id="0">
    <w:p w14:paraId="066C4E72" w14:textId="77777777" w:rsidR="002011D8" w:rsidRDefault="002011D8" w:rsidP="00E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0610" w14:textId="72F7EA11" w:rsidR="00387754" w:rsidRPr="00A62A0E" w:rsidRDefault="00387754" w:rsidP="00387754">
    <w:pPr>
      <w:pStyle w:val="IPPFooter"/>
      <w:tabs>
        <w:tab w:val="clear" w:pos="9072"/>
        <w:tab w:val="right" w:pos="9360"/>
      </w:tabs>
      <w:jc w:val="left"/>
    </w:pP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3D17FA">
      <w:rPr>
        <w:rStyle w:val="PageNumber"/>
        <w:b/>
        <w:noProof/>
      </w:rPr>
      <w:t>4</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3D17FA">
      <w:rPr>
        <w:rStyle w:val="PageNumber"/>
        <w:b/>
        <w:noProof/>
      </w:rPr>
      <w:t>4</w:t>
    </w:r>
    <w:r w:rsidRPr="00387754">
      <w:rPr>
        <w:rStyle w:val="PageNumber"/>
        <w:b/>
      </w:rPr>
      <w:fldChar w:fldCharType="end"/>
    </w:r>
    <w:r>
      <w:tab/>
    </w:r>
    <w:r w:rsidRPr="00A62A0E">
      <w:t>International Plant Protection Convention</w:t>
    </w:r>
    <w:r w:rsidRPr="002043C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E480" w14:textId="3A8C8279"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3D17FA">
      <w:rPr>
        <w:rStyle w:val="PageNumber"/>
        <w:b/>
        <w:noProof/>
      </w:rPr>
      <w:t>3</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3D17FA">
      <w:rPr>
        <w:rStyle w:val="PageNumber"/>
        <w:b/>
        <w:noProof/>
      </w:rPr>
      <w:t>4</w:t>
    </w:r>
    <w:r w:rsidRPr="00387754">
      <w:rPr>
        <w:rStyle w:val="PageNumber"/>
        <w:b/>
      </w:rPr>
      <w:fldChar w:fldCharType="end"/>
    </w:r>
    <w:r w:rsidRPr="002043CC">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06FF" w14:textId="429BE342"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2011D8">
      <w:rPr>
        <w:rStyle w:val="PageNumber"/>
        <w:b/>
        <w:noProof/>
      </w:rPr>
      <w:t>1</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2011D8">
      <w:rPr>
        <w:rStyle w:val="PageNumber"/>
        <w:b/>
        <w:noProof/>
      </w:rPr>
      <w:t>1</w:t>
    </w:r>
    <w:r w:rsidRPr="0038775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E3BC" w14:textId="77777777" w:rsidR="002011D8" w:rsidRDefault="002011D8" w:rsidP="00EB349A">
      <w:r>
        <w:separator/>
      </w:r>
    </w:p>
  </w:footnote>
  <w:footnote w:type="continuationSeparator" w:id="0">
    <w:p w14:paraId="44764CC9" w14:textId="77777777" w:rsidR="002011D8" w:rsidRDefault="002011D8" w:rsidP="00EB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72FA" w14:textId="217A6B35" w:rsidR="00387754" w:rsidRDefault="00151661" w:rsidP="00387754">
    <w:pPr>
      <w:pStyle w:val="IPPHeader"/>
      <w:tabs>
        <w:tab w:val="clear" w:pos="9072"/>
        <w:tab w:val="right" w:pos="9360"/>
      </w:tabs>
    </w:pPr>
    <w:r>
      <w:t>10</w:t>
    </w:r>
    <w:r w:rsidR="00A774E5">
      <w:t>_SPG_2020_Oct</w:t>
    </w:r>
    <w:r w:rsidR="00387754">
      <w:tab/>
    </w:r>
    <w:r w:rsidRPr="00151661">
      <w:t>Commodity- and pathway- specific ISPMs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7108" w14:textId="32CF0E2E" w:rsidR="00387754" w:rsidRDefault="00151661" w:rsidP="00387754">
    <w:pPr>
      <w:pStyle w:val="IPPHeader"/>
      <w:tabs>
        <w:tab w:val="clear" w:pos="9072"/>
        <w:tab w:val="right" w:pos="9360"/>
      </w:tabs>
    </w:pPr>
    <w:r w:rsidRPr="00151661">
      <w:t>Commodity- and pathway- specific ISPMs</w:t>
    </w:r>
    <w:r w:rsidR="00B36DCB">
      <w:tab/>
    </w:r>
    <w:r>
      <w:t>10</w:t>
    </w:r>
    <w:r w:rsidR="00A774E5">
      <w:t>_SPG_2020_Oct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9384" w14:textId="780BDC69" w:rsidR="00387754" w:rsidRPr="00FE6905" w:rsidRDefault="00387754" w:rsidP="00387754">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55016AD9" wp14:editId="05C899ED">
          <wp:simplePos x="0" y="0"/>
          <wp:positionH relativeFrom="margin">
            <wp:posOffset>-8255</wp:posOffset>
          </wp:positionH>
          <wp:positionV relativeFrom="margin">
            <wp:posOffset>-493395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0288" behindDoc="0" locked="0" layoutInCell="1" allowOverlap="1" wp14:anchorId="18D3D70D" wp14:editId="13F87FF8">
          <wp:simplePos x="0" y="0"/>
          <wp:positionH relativeFrom="column">
            <wp:posOffset>-920750</wp:posOffset>
          </wp:positionH>
          <wp:positionV relativeFrom="paragraph">
            <wp:posOffset>-552450</wp:posOffset>
          </wp:positionV>
          <wp:extent cx="8064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64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1D1025">
      <w:t>10</w:t>
    </w:r>
    <w:r>
      <w:t>_SPG_2</w:t>
    </w:r>
    <w:r w:rsidR="00B36DCB">
      <w:t>020</w:t>
    </w:r>
    <w:r>
      <w:t>_Oct</w:t>
    </w:r>
  </w:p>
  <w:p w14:paraId="53CC05A5" w14:textId="431F345F" w:rsidR="00387754" w:rsidRPr="0071226A" w:rsidRDefault="00387754" w:rsidP="00387754">
    <w:pPr>
      <w:pStyle w:val="IPPHeader"/>
      <w:tabs>
        <w:tab w:val="clear" w:pos="9072"/>
        <w:tab w:val="right" w:pos="9360"/>
      </w:tabs>
      <w:rPr>
        <w:i/>
      </w:rPr>
    </w:pPr>
    <w:r w:rsidRPr="00606019">
      <w:tab/>
    </w:r>
    <w:r w:rsidR="001D1025" w:rsidRPr="001D1025">
      <w:rPr>
        <w:i/>
      </w:rPr>
      <w:t>Commodity- and pathway- specific ISPMs</w:t>
    </w:r>
    <w:r w:rsidRPr="00606019">
      <w:rPr>
        <w:i/>
      </w:rPr>
      <w:tab/>
    </w:r>
    <w:r>
      <w:rPr>
        <w:i/>
      </w:rPr>
      <w:t>Agenda item: 0</w:t>
    </w:r>
    <w:r w:rsidR="001D1025">
      <w:rPr>
        <w:i/>
      </w:rPr>
      <w:t>4</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811"/>
    <w:multiLevelType w:val="hybridMultilevel"/>
    <w:tmpl w:val="4EE04068"/>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60B50"/>
    <w:multiLevelType w:val="hybridMultilevel"/>
    <w:tmpl w:val="EFB6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6D3220A"/>
    <w:multiLevelType w:val="hybridMultilevel"/>
    <w:tmpl w:val="D194B6B8"/>
    <w:lvl w:ilvl="0" w:tplc="7834F76E">
      <w:start w:val="1"/>
      <w:numFmt w:val="bullet"/>
      <w:lvlText w:val="-"/>
      <w:lvlJc w:val="left"/>
      <w:pPr>
        <w:ind w:left="720" w:hanging="360"/>
      </w:pPr>
      <w:rPr>
        <w:rFonts w:ascii="Courier New" w:hAnsi="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510F23"/>
    <w:multiLevelType w:val="hybridMultilevel"/>
    <w:tmpl w:val="9E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D13B9E"/>
    <w:multiLevelType w:val="hybridMultilevel"/>
    <w:tmpl w:val="969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71A03"/>
    <w:multiLevelType w:val="hybridMultilevel"/>
    <w:tmpl w:val="A7362B4A"/>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111252"/>
    <w:multiLevelType w:val="hybridMultilevel"/>
    <w:tmpl w:val="29F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DB47BBD"/>
    <w:multiLevelType w:val="hybridMultilevel"/>
    <w:tmpl w:val="A7362B4A"/>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14D2198"/>
    <w:multiLevelType w:val="hybridMultilevel"/>
    <w:tmpl w:val="06E269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13199"/>
    <w:multiLevelType w:val="hybridMultilevel"/>
    <w:tmpl w:val="1374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6085A"/>
    <w:multiLevelType w:val="hybridMultilevel"/>
    <w:tmpl w:val="0E90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55FF6"/>
    <w:multiLevelType w:val="hybridMultilevel"/>
    <w:tmpl w:val="66E6E22A"/>
    <w:lvl w:ilvl="0" w:tplc="04090001">
      <w:start w:val="1"/>
      <w:numFmt w:val="bullet"/>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92D2C"/>
    <w:multiLevelType w:val="hybridMultilevel"/>
    <w:tmpl w:val="5C8CC0B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A94445"/>
    <w:multiLevelType w:val="multilevel"/>
    <w:tmpl w:val="CD7EF0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5"/>
  </w:num>
  <w:num w:numId="4">
    <w:abstractNumId w:val="2"/>
  </w:num>
  <w:num w:numId="5">
    <w:abstractNumId w:val="17"/>
  </w:num>
  <w:num w:numId="6">
    <w:abstractNumId w:val="9"/>
  </w:num>
  <w:num w:numId="7">
    <w:abstractNumId w:val="7"/>
  </w:num>
  <w:num w:numId="8">
    <w:abstractNumId w:val="0"/>
  </w:num>
  <w:num w:numId="9">
    <w:abstractNumId w:val="10"/>
  </w:num>
  <w:num w:numId="10">
    <w:abstractNumId w:val="25"/>
  </w:num>
  <w:num w:numId="11">
    <w:abstractNumId w:val="23"/>
  </w:num>
  <w:num w:numId="12">
    <w:abstractNumId w:val="20"/>
  </w:num>
  <w:num w:numId="13">
    <w:abstractNumId w:val="11"/>
  </w:num>
  <w:num w:numId="14">
    <w:abstractNumId w:val="18"/>
  </w:num>
  <w:num w:numId="15">
    <w:abstractNumId w:val="3"/>
  </w:num>
  <w:num w:numId="16">
    <w:abstractNumId w:val="22"/>
  </w:num>
  <w:num w:numId="17">
    <w:abstractNumId w:val="14"/>
  </w:num>
  <w:num w:numId="18">
    <w:abstractNumId w:val="12"/>
  </w:num>
  <w:num w:numId="19">
    <w:abstractNumId w:val="24"/>
  </w:num>
  <w:num w:numId="20">
    <w:abstractNumId w:val="5"/>
  </w:num>
  <w:num w:numId="21">
    <w:abstractNumId w:val="1"/>
  </w:num>
  <w:num w:numId="22">
    <w:abstractNumId w:val="13"/>
  </w:num>
  <w:num w:numId="23">
    <w:abstractNumId w:val="19"/>
  </w:num>
  <w:num w:numId="24">
    <w:abstractNumId w:val="16"/>
  </w:num>
  <w:num w:numId="25">
    <w:abstractNumId w:val="19"/>
  </w:num>
  <w:num w:numId="26">
    <w:abstractNumId w:val="6"/>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4"/>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1"/>
  </w:num>
  <w:num w:numId="48">
    <w:abstractNumId w:val="1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hyphenationZone w:val="283"/>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A"/>
    <w:rsid w:val="00000A7D"/>
    <w:rsid w:val="00002C39"/>
    <w:rsid w:val="00016154"/>
    <w:rsid w:val="00050CFE"/>
    <w:rsid w:val="00061064"/>
    <w:rsid w:val="00063A87"/>
    <w:rsid w:val="00094044"/>
    <w:rsid w:val="000C71F8"/>
    <w:rsid w:val="000D2B34"/>
    <w:rsid w:val="000F17FD"/>
    <w:rsid w:val="000F321D"/>
    <w:rsid w:val="0010379C"/>
    <w:rsid w:val="00126E70"/>
    <w:rsid w:val="001372A4"/>
    <w:rsid w:val="00150919"/>
    <w:rsid w:val="00151661"/>
    <w:rsid w:val="001538C9"/>
    <w:rsid w:val="00155993"/>
    <w:rsid w:val="0015608C"/>
    <w:rsid w:val="00157B42"/>
    <w:rsid w:val="001629DF"/>
    <w:rsid w:val="00197F18"/>
    <w:rsid w:val="001B5ECE"/>
    <w:rsid w:val="001C532B"/>
    <w:rsid w:val="001D1025"/>
    <w:rsid w:val="001E55E4"/>
    <w:rsid w:val="001F28FF"/>
    <w:rsid w:val="002011D8"/>
    <w:rsid w:val="002033E4"/>
    <w:rsid w:val="0022305F"/>
    <w:rsid w:val="00231807"/>
    <w:rsid w:val="00234199"/>
    <w:rsid w:val="00253524"/>
    <w:rsid w:val="00272B60"/>
    <w:rsid w:val="00285444"/>
    <w:rsid w:val="002C4C69"/>
    <w:rsid w:val="00325434"/>
    <w:rsid w:val="00334576"/>
    <w:rsid w:val="0037766C"/>
    <w:rsid w:val="0038139B"/>
    <w:rsid w:val="00387754"/>
    <w:rsid w:val="00394BE4"/>
    <w:rsid w:val="003D17FA"/>
    <w:rsid w:val="003F46B6"/>
    <w:rsid w:val="003F61E4"/>
    <w:rsid w:val="00402214"/>
    <w:rsid w:val="004142E6"/>
    <w:rsid w:val="00421F63"/>
    <w:rsid w:val="0043434A"/>
    <w:rsid w:val="004573E8"/>
    <w:rsid w:val="00461D40"/>
    <w:rsid w:val="00462E83"/>
    <w:rsid w:val="004765B6"/>
    <w:rsid w:val="004855B7"/>
    <w:rsid w:val="0049546C"/>
    <w:rsid w:val="004A5F75"/>
    <w:rsid w:val="004D2E16"/>
    <w:rsid w:val="004E6F1E"/>
    <w:rsid w:val="004E77E3"/>
    <w:rsid w:val="00502EF5"/>
    <w:rsid w:val="00512C33"/>
    <w:rsid w:val="005233D0"/>
    <w:rsid w:val="00536724"/>
    <w:rsid w:val="00566F7C"/>
    <w:rsid w:val="005823BE"/>
    <w:rsid w:val="005906B0"/>
    <w:rsid w:val="005D127E"/>
    <w:rsid w:val="00620358"/>
    <w:rsid w:val="00625D34"/>
    <w:rsid w:val="00695E08"/>
    <w:rsid w:val="006972CA"/>
    <w:rsid w:val="006A7EBD"/>
    <w:rsid w:val="006B5AF3"/>
    <w:rsid w:val="006C7CA7"/>
    <w:rsid w:val="006D629A"/>
    <w:rsid w:val="006D7CC1"/>
    <w:rsid w:val="006F24C5"/>
    <w:rsid w:val="00700CBC"/>
    <w:rsid w:val="00726ED2"/>
    <w:rsid w:val="0072796E"/>
    <w:rsid w:val="007305E2"/>
    <w:rsid w:val="00744D17"/>
    <w:rsid w:val="00762E94"/>
    <w:rsid w:val="0076749D"/>
    <w:rsid w:val="00770133"/>
    <w:rsid w:val="00774F76"/>
    <w:rsid w:val="007942B3"/>
    <w:rsid w:val="00797E3D"/>
    <w:rsid w:val="007A5812"/>
    <w:rsid w:val="007B4B88"/>
    <w:rsid w:val="007C00FA"/>
    <w:rsid w:val="007C07D0"/>
    <w:rsid w:val="007E63BC"/>
    <w:rsid w:val="007E65FB"/>
    <w:rsid w:val="007F2511"/>
    <w:rsid w:val="008159CC"/>
    <w:rsid w:val="00834AFB"/>
    <w:rsid w:val="00836425"/>
    <w:rsid w:val="0085523B"/>
    <w:rsid w:val="0088776D"/>
    <w:rsid w:val="008914AA"/>
    <w:rsid w:val="008C0511"/>
    <w:rsid w:val="008D3B29"/>
    <w:rsid w:val="008F1EA6"/>
    <w:rsid w:val="008F339F"/>
    <w:rsid w:val="00900E16"/>
    <w:rsid w:val="00934EE2"/>
    <w:rsid w:val="009827FF"/>
    <w:rsid w:val="00986BCD"/>
    <w:rsid w:val="009D1302"/>
    <w:rsid w:val="009F1242"/>
    <w:rsid w:val="00A05A32"/>
    <w:rsid w:val="00A15B78"/>
    <w:rsid w:val="00A264D5"/>
    <w:rsid w:val="00A417CD"/>
    <w:rsid w:val="00A44476"/>
    <w:rsid w:val="00A52BDA"/>
    <w:rsid w:val="00A53036"/>
    <w:rsid w:val="00A5458C"/>
    <w:rsid w:val="00A60055"/>
    <w:rsid w:val="00A642C5"/>
    <w:rsid w:val="00A76682"/>
    <w:rsid w:val="00A774E5"/>
    <w:rsid w:val="00A82C96"/>
    <w:rsid w:val="00A865F3"/>
    <w:rsid w:val="00A9622B"/>
    <w:rsid w:val="00AA5BEF"/>
    <w:rsid w:val="00AB0CB0"/>
    <w:rsid w:val="00AB292C"/>
    <w:rsid w:val="00AB7415"/>
    <w:rsid w:val="00AC7783"/>
    <w:rsid w:val="00AE4CC5"/>
    <w:rsid w:val="00AF2A0F"/>
    <w:rsid w:val="00B05660"/>
    <w:rsid w:val="00B13486"/>
    <w:rsid w:val="00B1778F"/>
    <w:rsid w:val="00B26AF5"/>
    <w:rsid w:val="00B36DCB"/>
    <w:rsid w:val="00B57400"/>
    <w:rsid w:val="00B65557"/>
    <w:rsid w:val="00B65FED"/>
    <w:rsid w:val="00B729B4"/>
    <w:rsid w:val="00B72CCD"/>
    <w:rsid w:val="00B730C2"/>
    <w:rsid w:val="00B73415"/>
    <w:rsid w:val="00B820FF"/>
    <w:rsid w:val="00B8237B"/>
    <w:rsid w:val="00BA6420"/>
    <w:rsid w:val="00BA7FF4"/>
    <w:rsid w:val="00BC3E1B"/>
    <w:rsid w:val="00BC7ADB"/>
    <w:rsid w:val="00BD033F"/>
    <w:rsid w:val="00BD7D80"/>
    <w:rsid w:val="00C15FE7"/>
    <w:rsid w:val="00C4074B"/>
    <w:rsid w:val="00C43F62"/>
    <w:rsid w:val="00C61B2D"/>
    <w:rsid w:val="00C649D7"/>
    <w:rsid w:val="00C65B5A"/>
    <w:rsid w:val="00CA48B7"/>
    <w:rsid w:val="00CB2B03"/>
    <w:rsid w:val="00CB7ADC"/>
    <w:rsid w:val="00CD3772"/>
    <w:rsid w:val="00CF53D3"/>
    <w:rsid w:val="00D234CC"/>
    <w:rsid w:val="00D23F32"/>
    <w:rsid w:val="00D265F9"/>
    <w:rsid w:val="00D3019D"/>
    <w:rsid w:val="00D4735F"/>
    <w:rsid w:val="00D55907"/>
    <w:rsid w:val="00D7289F"/>
    <w:rsid w:val="00D850F2"/>
    <w:rsid w:val="00D8630D"/>
    <w:rsid w:val="00D92DAB"/>
    <w:rsid w:val="00D93663"/>
    <w:rsid w:val="00DF26CD"/>
    <w:rsid w:val="00E056DE"/>
    <w:rsid w:val="00E15FB0"/>
    <w:rsid w:val="00E20B7B"/>
    <w:rsid w:val="00E249AA"/>
    <w:rsid w:val="00E25D7B"/>
    <w:rsid w:val="00E3156F"/>
    <w:rsid w:val="00E36200"/>
    <w:rsid w:val="00E42191"/>
    <w:rsid w:val="00E6474C"/>
    <w:rsid w:val="00E876A8"/>
    <w:rsid w:val="00EA3968"/>
    <w:rsid w:val="00EB349A"/>
    <w:rsid w:val="00EF2C2C"/>
    <w:rsid w:val="00F54FFD"/>
    <w:rsid w:val="00F8610A"/>
    <w:rsid w:val="00FB1C74"/>
    <w:rsid w:val="00FD648A"/>
    <w:rsid w:val="00FD6964"/>
    <w:rsid w:val="00FD6DE1"/>
    <w:rsid w:val="00FD7B3A"/>
    <w:rsid w:val="00FE3EC4"/>
    <w:rsid w:val="00FF7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278A"/>
  <w15:docId w15:val="{D053A380-A060-4A5A-A6A9-D98C3F4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F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D17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D17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D17F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D17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7FA"/>
  </w:style>
  <w:style w:type="character" w:styleId="Hyperlink">
    <w:name w:val="Hyperlink"/>
    <w:basedOn w:val="DefaultParagraphFont"/>
    <w:uiPriority w:val="99"/>
    <w:unhideWhenUsed/>
    <w:rsid w:val="00934EE2"/>
    <w:rPr>
      <w:color w:val="0000FF"/>
      <w:u w:val="single"/>
    </w:rPr>
  </w:style>
  <w:style w:type="paragraph" w:styleId="ListParagraph">
    <w:name w:val="List Paragraph"/>
    <w:basedOn w:val="Normal"/>
    <w:uiPriority w:val="34"/>
    <w:qFormat/>
    <w:rsid w:val="003D17FA"/>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C61B2D"/>
    <w:rPr>
      <w:color w:val="954F72" w:themeColor="followedHyperlink"/>
      <w:u w:val="single"/>
    </w:rPr>
  </w:style>
  <w:style w:type="character" w:styleId="CommentReference">
    <w:name w:val="annotation reference"/>
    <w:basedOn w:val="DefaultParagraphFont"/>
    <w:uiPriority w:val="99"/>
    <w:semiHidden/>
    <w:unhideWhenUsed/>
    <w:rsid w:val="00C61B2D"/>
    <w:rPr>
      <w:sz w:val="16"/>
      <w:szCs w:val="16"/>
    </w:rPr>
  </w:style>
  <w:style w:type="paragraph" w:styleId="CommentText">
    <w:name w:val="annotation text"/>
    <w:basedOn w:val="Normal"/>
    <w:link w:val="CommentTextChar"/>
    <w:uiPriority w:val="99"/>
    <w:semiHidden/>
    <w:unhideWhenUsed/>
    <w:rsid w:val="00C61B2D"/>
    <w:rPr>
      <w:sz w:val="20"/>
      <w:szCs w:val="20"/>
    </w:rPr>
  </w:style>
  <w:style w:type="character" w:customStyle="1" w:styleId="CommentTextChar">
    <w:name w:val="Comment Text Char"/>
    <w:basedOn w:val="DefaultParagraphFont"/>
    <w:link w:val="CommentText"/>
    <w:uiPriority w:val="99"/>
    <w:semiHidden/>
    <w:rsid w:val="00C61B2D"/>
    <w:rPr>
      <w:sz w:val="20"/>
      <w:szCs w:val="20"/>
    </w:rPr>
  </w:style>
  <w:style w:type="paragraph" w:styleId="CommentSubject">
    <w:name w:val="annotation subject"/>
    <w:basedOn w:val="CommentText"/>
    <w:next w:val="CommentText"/>
    <w:link w:val="CommentSubjectChar"/>
    <w:uiPriority w:val="99"/>
    <w:semiHidden/>
    <w:unhideWhenUsed/>
    <w:rsid w:val="00C61B2D"/>
    <w:rPr>
      <w:b/>
      <w:bCs/>
    </w:rPr>
  </w:style>
  <w:style w:type="character" w:customStyle="1" w:styleId="CommentSubjectChar">
    <w:name w:val="Comment Subject Char"/>
    <w:basedOn w:val="CommentTextChar"/>
    <w:link w:val="CommentSubject"/>
    <w:uiPriority w:val="99"/>
    <w:semiHidden/>
    <w:rsid w:val="00C61B2D"/>
    <w:rPr>
      <w:b/>
      <w:bCs/>
      <w:sz w:val="20"/>
      <w:szCs w:val="20"/>
    </w:rPr>
  </w:style>
  <w:style w:type="paragraph" w:styleId="BalloonText">
    <w:name w:val="Balloon Text"/>
    <w:basedOn w:val="Normal"/>
    <w:link w:val="BalloonTextChar"/>
    <w:rsid w:val="003D17FA"/>
    <w:rPr>
      <w:rFonts w:ascii="Tahoma" w:hAnsi="Tahoma" w:cs="Tahoma"/>
      <w:sz w:val="16"/>
      <w:szCs w:val="16"/>
    </w:rPr>
  </w:style>
  <w:style w:type="character" w:customStyle="1" w:styleId="BalloonTextChar">
    <w:name w:val="Balloon Text Char"/>
    <w:basedOn w:val="DefaultParagraphFont"/>
    <w:link w:val="BalloonText"/>
    <w:rsid w:val="003D17FA"/>
    <w:rPr>
      <w:rFonts w:ascii="Tahoma" w:eastAsia="MS Mincho" w:hAnsi="Tahoma" w:cs="Tahoma"/>
      <w:sz w:val="16"/>
      <w:szCs w:val="16"/>
      <w:lang w:val="en-GB" w:eastAsia="zh-CN"/>
    </w:rPr>
  </w:style>
  <w:style w:type="numbering" w:customStyle="1" w:styleId="IPPParagraphnumberedlist">
    <w:name w:val="IPP Paragraph numbered list"/>
    <w:rsid w:val="003D17FA"/>
    <w:pPr>
      <w:numPr>
        <w:numId w:val="1"/>
      </w:numPr>
    </w:pPr>
  </w:style>
  <w:style w:type="paragraph" w:customStyle="1" w:styleId="IPPParagraphnumbering">
    <w:name w:val="IPP Paragraph numbering"/>
    <w:basedOn w:val="IPPNormal"/>
    <w:qFormat/>
    <w:rsid w:val="003D17FA"/>
    <w:pPr>
      <w:numPr>
        <w:numId w:val="2"/>
      </w:numPr>
    </w:pPr>
    <w:rPr>
      <w:lang w:val="en-US"/>
    </w:rPr>
  </w:style>
  <w:style w:type="paragraph" w:customStyle="1" w:styleId="IPPHeading3">
    <w:name w:val="IPP Heading3"/>
    <w:basedOn w:val="IPPNormal"/>
    <w:qFormat/>
    <w:rsid w:val="003D17FA"/>
    <w:pPr>
      <w:keepNext/>
      <w:tabs>
        <w:tab w:val="left" w:pos="567"/>
      </w:tabs>
      <w:spacing w:before="120" w:after="120"/>
      <w:ind w:left="567" w:hanging="567"/>
    </w:pPr>
    <w:rPr>
      <w:b/>
      <w:i/>
    </w:rPr>
  </w:style>
  <w:style w:type="paragraph" w:customStyle="1" w:styleId="IPPHeading2">
    <w:name w:val="IPP Heading2"/>
    <w:basedOn w:val="IPPNormal"/>
    <w:next w:val="IPPNormal"/>
    <w:qFormat/>
    <w:rsid w:val="003D17FA"/>
    <w:pPr>
      <w:keepNext/>
      <w:tabs>
        <w:tab w:val="left" w:pos="567"/>
      </w:tabs>
      <w:spacing w:before="120" w:after="120"/>
      <w:ind w:left="567" w:hanging="567"/>
      <w:jc w:val="left"/>
      <w:outlineLvl w:val="2"/>
    </w:pPr>
    <w:rPr>
      <w:b/>
      <w:sz w:val="24"/>
    </w:rPr>
  </w:style>
  <w:style w:type="table" w:styleId="TableGrid">
    <w:name w:val="Table Grid"/>
    <w:basedOn w:val="TableNormal"/>
    <w:rsid w:val="003D17F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17FA"/>
    <w:pPr>
      <w:spacing w:before="60"/>
    </w:pPr>
    <w:rPr>
      <w:sz w:val="20"/>
    </w:rPr>
  </w:style>
  <w:style w:type="character" w:customStyle="1" w:styleId="FootnoteTextChar">
    <w:name w:val="Footnote Text Char"/>
    <w:basedOn w:val="DefaultParagraphFont"/>
    <w:link w:val="FootnoteText"/>
    <w:semiHidden/>
    <w:rsid w:val="003D17FA"/>
    <w:rPr>
      <w:rFonts w:ascii="Times New Roman" w:eastAsia="MS Mincho" w:hAnsi="Times New Roman"/>
      <w:sz w:val="20"/>
      <w:szCs w:val="24"/>
      <w:lang w:val="en-GB" w:eastAsia="zh-CN"/>
    </w:rPr>
  </w:style>
  <w:style w:type="character" w:styleId="FootnoteReference">
    <w:name w:val="footnote reference"/>
    <w:basedOn w:val="DefaultParagraphFont"/>
    <w:semiHidden/>
    <w:rsid w:val="003D17FA"/>
    <w:rPr>
      <w:vertAlign w:val="superscript"/>
    </w:rPr>
  </w:style>
  <w:style w:type="paragraph" w:styleId="Revision">
    <w:name w:val="Revision"/>
    <w:hidden/>
    <w:uiPriority w:val="99"/>
    <w:semiHidden/>
    <w:rsid w:val="00CB2B03"/>
    <w:pPr>
      <w:spacing w:after="0" w:line="240" w:lineRule="auto"/>
    </w:pPr>
  </w:style>
  <w:style w:type="character" w:customStyle="1" w:styleId="Heading1Char">
    <w:name w:val="Heading 1 Char"/>
    <w:basedOn w:val="DefaultParagraphFont"/>
    <w:link w:val="Heading1"/>
    <w:rsid w:val="003D17F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D17F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D17FA"/>
    <w:rPr>
      <w:rFonts w:ascii="Calibri" w:eastAsia="MS Mincho" w:hAnsi="Calibri"/>
      <w:b/>
      <w:bCs/>
      <w:sz w:val="26"/>
      <w:szCs w:val="26"/>
      <w:lang w:val="en-GB" w:eastAsia="zh-CN"/>
    </w:rPr>
  </w:style>
  <w:style w:type="paragraph" w:customStyle="1" w:styleId="Style">
    <w:name w:val="Style"/>
    <w:basedOn w:val="Footer"/>
    <w:autoRedefine/>
    <w:qFormat/>
    <w:rsid w:val="003D17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3D17FA"/>
    <w:pPr>
      <w:tabs>
        <w:tab w:val="center" w:pos="4680"/>
        <w:tab w:val="right" w:pos="9360"/>
      </w:tabs>
    </w:pPr>
  </w:style>
  <w:style w:type="character" w:customStyle="1" w:styleId="FooterChar">
    <w:name w:val="Footer Char"/>
    <w:basedOn w:val="DefaultParagraphFont"/>
    <w:link w:val="Footer"/>
    <w:rsid w:val="003D17FA"/>
    <w:rPr>
      <w:rFonts w:ascii="Times New Roman" w:eastAsia="MS Mincho" w:hAnsi="Times New Roman"/>
      <w:szCs w:val="24"/>
      <w:lang w:val="en-GB" w:eastAsia="zh-CN"/>
    </w:rPr>
  </w:style>
  <w:style w:type="character" w:styleId="PageNumber">
    <w:name w:val="page number"/>
    <w:rsid w:val="003D17FA"/>
    <w:rPr>
      <w:rFonts w:ascii="Arial" w:hAnsi="Arial"/>
      <w:b/>
      <w:sz w:val="18"/>
    </w:rPr>
  </w:style>
  <w:style w:type="paragraph" w:customStyle="1" w:styleId="IPPArialFootnote">
    <w:name w:val="IPP Arial Footnote"/>
    <w:basedOn w:val="IPPArialTable"/>
    <w:qFormat/>
    <w:rsid w:val="003D17FA"/>
    <w:pPr>
      <w:tabs>
        <w:tab w:val="left" w:pos="28"/>
      </w:tabs>
      <w:ind w:left="284" w:hanging="284"/>
    </w:pPr>
    <w:rPr>
      <w:sz w:val="16"/>
    </w:rPr>
  </w:style>
  <w:style w:type="paragraph" w:customStyle="1" w:styleId="IPPContentsHead">
    <w:name w:val="IPP ContentsHead"/>
    <w:basedOn w:val="IPPSubhead"/>
    <w:next w:val="IPPNormal"/>
    <w:qFormat/>
    <w:rsid w:val="003D17FA"/>
    <w:pPr>
      <w:spacing w:after="240"/>
    </w:pPr>
    <w:rPr>
      <w:sz w:val="24"/>
    </w:rPr>
  </w:style>
  <w:style w:type="paragraph" w:customStyle="1" w:styleId="IPPBullet2">
    <w:name w:val="IPP Bullet2"/>
    <w:basedOn w:val="IPPNormal"/>
    <w:next w:val="IPPBullet1"/>
    <w:qFormat/>
    <w:rsid w:val="003D17FA"/>
    <w:pPr>
      <w:numPr>
        <w:numId w:val="16"/>
      </w:numPr>
      <w:tabs>
        <w:tab w:val="left" w:pos="1134"/>
      </w:tabs>
      <w:spacing w:after="60"/>
    </w:pPr>
  </w:style>
  <w:style w:type="paragraph" w:customStyle="1" w:styleId="IPPQuote">
    <w:name w:val="IPP Quote"/>
    <w:basedOn w:val="IPPNormal"/>
    <w:qFormat/>
    <w:rsid w:val="003D17FA"/>
    <w:pPr>
      <w:ind w:left="851" w:right="851"/>
    </w:pPr>
    <w:rPr>
      <w:sz w:val="18"/>
    </w:rPr>
  </w:style>
  <w:style w:type="paragraph" w:customStyle="1" w:styleId="IPPNormal">
    <w:name w:val="IPP Normal"/>
    <w:basedOn w:val="Normal"/>
    <w:link w:val="IPPNormalChar"/>
    <w:qFormat/>
    <w:rsid w:val="003D17FA"/>
    <w:pPr>
      <w:spacing w:after="180"/>
    </w:pPr>
    <w:rPr>
      <w:rFonts w:eastAsia="Times"/>
    </w:rPr>
  </w:style>
  <w:style w:type="paragraph" w:customStyle="1" w:styleId="IPPIndentClose">
    <w:name w:val="IPP Indent Close"/>
    <w:basedOn w:val="IPPNormal"/>
    <w:qFormat/>
    <w:rsid w:val="003D17FA"/>
    <w:pPr>
      <w:tabs>
        <w:tab w:val="left" w:pos="2835"/>
      </w:tabs>
      <w:spacing w:after="60"/>
      <w:ind w:left="567"/>
    </w:pPr>
  </w:style>
  <w:style w:type="paragraph" w:customStyle="1" w:styleId="IPPIndent">
    <w:name w:val="IPP Indent"/>
    <w:basedOn w:val="IPPIndentClose"/>
    <w:qFormat/>
    <w:rsid w:val="003D17FA"/>
    <w:pPr>
      <w:spacing w:after="180"/>
    </w:pPr>
  </w:style>
  <w:style w:type="paragraph" w:customStyle="1" w:styleId="IPPFootnote">
    <w:name w:val="IPP Footnote"/>
    <w:basedOn w:val="IPPArialFootnote"/>
    <w:qFormat/>
    <w:rsid w:val="003D17FA"/>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3D17FA"/>
    <w:rPr>
      <w:rFonts w:ascii="Times New Roman" w:hAnsi="Times New Roman"/>
      <w:i/>
      <w:sz w:val="22"/>
      <w:lang w:val="en-US"/>
    </w:rPr>
  </w:style>
  <w:style w:type="character" w:customStyle="1" w:styleId="IPPNormalbold">
    <w:name w:val="IPP Normal bold"/>
    <w:basedOn w:val="PlainTextChar"/>
    <w:rsid w:val="003D17F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D17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D17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D17FA"/>
    <w:pPr>
      <w:keepNext/>
      <w:ind w:left="567" w:hanging="567"/>
      <w:jc w:val="left"/>
    </w:pPr>
    <w:rPr>
      <w:b/>
      <w:bCs/>
      <w:iCs/>
      <w:szCs w:val="22"/>
    </w:rPr>
  </w:style>
  <w:style w:type="character" w:customStyle="1" w:styleId="IPPNormalunderlined">
    <w:name w:val="IPP Normal underlined"/>
    <w:basedOn w:val="DefaultParagraphFont"/>
    <w:rsid w:val="003D17FA"/>
    <w:rPr>
      <w:rFonts w:ascii="Times New Roman" w:hAnsi="Times New Roman"/>
      <w:sz w:val="22"/>
      <w:u w:val="single"/>
      <w:lang w:val="en-US"/>
    </w:rPr>
  </w:style>
  <w:style w:type="paragraph" w:customStyle="1" w:styleId="IPPBullet1">
    <w:name w:val="IPP Bullet1"/>
    <w:basedOn w:val="IPPBullet1Last"/>
    <w:qFormat/>
    <w:rsid w:val="003D17FA"/>
    <w:pPr>
      <w:numPr>
        <w:numId w:val="23"/>
      </w:numPr>
      <w:spacing w:after="60"/>
    </w:pPr>
    <w:rPr>
      <w:lang w:val="en-US"/>
    </w:rPr>
  </w:style>
  <w:style w:type="paragraph" w:customStyle="1" w:styleId="IPPBullet1Last">
    <w:name w:val="IPP Bullet1Last"/>
    <w:basedOn w:val="IPPNormal"/>
    <w:next w:val="IPPNormal"/>
    <w:autoRedefine/>
    <w:qFormat/>
    <w:rsid w:val="003D17FA"/>
    <w:pPr>
      <w:numPr>
        <w:numId w:val="17"/>
      </w:numPr>
    </w:pPr>
  </w:style>
  <w:style w:type="character" w:customStyle="1" w:styleId="IPPNormalstrikethrough">
    <w:name w:val="IPP Normal strikethrough"/>
    <w:rsid w:val="003D17FA"/>
    <w:rPr>
      <w:rFonts w:ascii="Times New Roman" w:hAnsi="Times New Roman"/>
      <w:strike/>
      <w:dstrike w:val="0"/>
      <w:sz w:val="22"/>
    </w:rPr>
  </w:style>
  <w:style w:type="paragraph" w:customStyle="1" w:styleId="IPPTitle16pt">
    <w:name w:val="IPP Title16pt"/>
    <w:basedOn w:val="Normal"/>
    <w:qFormat/>
    <w:rsid w:val="003D17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D17FA"/>
    <w:pPr>
      <w:spacing w:after="360"/>
      <w:jc w:val="center"/>
    </w:pPr>
    <w:rPr>
      <w:rFonts w:ascii="Arial" w:hAnsi="Arial" w:cs="Arial"/>
      <w:b/>
      <w:bCs/>
      <w:sz w:val="36"/>
      <w:szCs w:val="36"/>
    </w:rPr>
  </w:style>
  <w:style w:type="paragraph" w:customStyle="1" w:styleId="IPPHeader">
    <w:name w:val="IPP Header"/>
    <w:basedOn w:val="Normal"/>
    <w:qFormat/>
    <w:rsid w:val="003D17F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D17FA"/>
    <w:pPr>
      <w:keepNext/>
      <w:tabs>
        <w:tab w:val="left" w:pos="567"/>
      </w:tabs>
      <w:spacing w:before="120"/>
      <w:jc w:val="left"/>
      <w:outlineLvl w:val="1"/>
    </w:pPr>
    <w:rPr>
      <w:b/>
      <w:sz w:val="24"/>
    </w:rPr>
  </w:style>
  <w:style w:type="paragraph" w:customStyle="1" w:styleId="IPPNormalCloseSpace">
    <w:name w:val="IPP NormalCloseSpace"/>
    <w:basedOn w:val="Normal"/>
    <w:qFormat/>
    <w:rsid w:val="003D17FA"/>
    <w:pPr>
      <w:keepNext/>
      <w:spacing w:after="60"/>
    </w:pPr>
  </w:style>
  <w:style w:type="paragraph" w:customStyle="1" w:styleId="IPPFooter">
    <w:name w:val="IPP Footer"/>
    <w:basedOn w:val="IPPHeader"/>
    <w:next w:val="PlainText"/>
    <w:qFormat/>
    <w:rsid w:val="003D17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D17FA"/>
    <w:pPr>
      <w:tabs>
        <w:tab w:val="right" w:leader="dot" w:pos="9072"/>
      </w:tabs>
      <w:spacing w:before="240"/>
      <w:ind w:left="567" w:hanging="567"/>
    </w:pPr>
  </w:style>
  <w:style w:type="paragraph" w:styleId="TOC2">
    <w:name w:val="toc 2"/>
    <w:basedOn w:val="TOC1"/>
    <w:next w:val="Normal"/>
    <w:autoRedefine/>
    <w:uiPriority w:val="39"/>
    <w:rsid w:val="003D17FA"/>
    <w:pPr>
      <w:keepNext w:val="0"/>
      <w:tabs>
        <w:tab w:val="left" w:pos="425"/>
      </w:tabs>
      <w:spacing w:before="120" w:after="0"/>
      <w:ind w:left="425" w:right="284" w:hanging="425"/>
    </w:pPr>
  </w:style>
  <w:style w:type="paragraph" w:styleId="TOC3">
    <w:name w:val="toc 3"/>
    <w:basedOn w:val="TOC2"/>
    <w:next w:val="Normal"/>
    <w:autoRedefine/>
    <w:uiPriority w:val="39"/>
    <w:rsid w:val="003D17FA"/>
    <w:pPr>
      <w:tabs>
        <w:tab w:val="left" w:pos="1276"/>
      </w:tabs>
      <w:spacing w:before="60"/>
      <w:ind w:left="1276" w:hanging="851"/>
    </w:pPr>
    <w:rPr>
      <w:rFonts w:eastAsia="Times"/>
    </w:rPr>
  </w:style>
  <w:style w:type="paragraph" w:styleId="TOC4">
    <w:name w:val="toc 4"/>
    <w:basedOn w:val="Normal"/>
    <w:next w:val="Normal"/>
    <w:autoRedefine/>
    <w:uiPriority w:val="39"/>
    <w:rsid w:val="003D17FA"/>
    <w:pPr>
      <w:spacing w:after="120"/>
      <w:ind w:left="660"/>
    </w:pPr>
    <w:rPr>
      <w:rFonts w:eastAsia="Times"/>
      <w:lang w:val="en-AU"/>
    </w:rPr>
  </w:style>
  <w:style w:type="paragraph" w:styleId="TOC5">
    <w:name w:val="toc 5"/>
    <w:basedOn w:val="Normal"/>
    <w:next w:val="Normal"/>
    <w:autoRedefine/>
    <w:uiPriority w:val="39"/>
    <w:rsid w:val="003D17FA"/>
    <w:pPr>
      <w:spacing w:after="120"/>
      <w:ind w:left="880"/>
    </w:pPr>
    <w:rPr>
      <w:rFonts w:eastAsia="Times"/>
      <w:lang w:val="en-AU"/>
    </w:rPr>
  </w:style>
  <w:style w:type="paragraph" w:styleId="TOC6">
    <w:name w:val="toc 6"/>
    <w:basedOn w:val="Normal"/>
    <w:next w:val="Normal"/>
    <w:autoRedefine/>
    <w:uiPriority w:val="39"/>
    <w:rsid w:val="003D17FA"/>
    <w:pPr>
      <w:spacing w:after="120"/>
      <w:ind w:left="1100"/>
    </w:pPr>
    <w:rPr>
      <w:rFonts w:eastAsia="Times"/>
      <w:lang w:val="en-AU"/>
    </w:rPr>
  </w:style>
  <w:style w:type="paragraph" w:styleId="TOC7">
    <w:name w:val="toc 7"/>
    <w:basedOn w:val="Normal"/>
    <w:next w:val="Normal"/>
    <w:autoRedefine/>
    <w:uiPriority w:val="39"/>
    <w:rsid w:val="003D17FA"/>
    <w:pPr>
      <w:spacing w:after="120"/>
      <w:ind w:left="1320"/>
    </w:pPr>
    <w:rPr>
      <w:rFonts w:eastAsia="Times"/>
      <w:lang w:val="en-AU"/>
    </w:rPr>
  </w:style>
  <w:style w:type="paragraph" w:styleId="TOC8">
    <w:name w:val="toc 8"/>
    <w:basedOn w:val="Normal"/>
    <w:next w:val="Normal"/>
    <w:autoRedefine/>
    <w:uiPriority w:val="39"/>
    <w:rsid w:val="003D17FA"/>
    <w:pPr>
      <w:spacing w:after="120"/>
      <w:ind w:left="1540"/>
    </w:pPr>
    <w:rPr>
      <w:rFonts w:eastAsia="Times"/>
      <w:lang w:val="en-AU"/>
    </w:rPr>
  </w:style>
  <w:style w:type="paragraph" w:styleId="TOC9">
    <w:name w:val="toc 9"/>
    <w:basedOn w:val="Normal"/>
    <w:next w:val="Normal"/>
    <w:autoRedefine/>
    <w:uiPriority w:val="39"/>
    <w:rsid w:val="003D17FA"/>
    <w:pPr>
      <w:spacing w:after="120"/>
      <w:ind w:left="1760"/>
    </w:pPr>
    <w:rPr>
      <w:rFonts w:eastAsia="Times"/>
      <w:lang w:val="en-AU"/>
    </w:rPr>
  </w:style>
  <w:style w:type="paragraph" w:customStyle="1" w:styleId="IPPReferences">
    <w:name w:val="IPP References"/>
    <w:basedOn w:val="IPPNormal"/>
    <w:qFormat/>
    <w:rsid w:val="003D17FA"/>
    <w:pPr>
      <w:spacing w:after="60"/>
      <w:ind w:left="567" w:hanging="567"/>
    </w:pPr>
  </w:style>
  <w:style w:type="paragraph" w:customStyle="1" w:styleId="IPPArial">
    <w:name w:val="IPP Arial"/>
    <w:basedOn w:val="IPPNormal"/>
    <w:qFormat/>
    <w:rsid w:val="003D17FA"/>
    <w:pPr>
      <w:spacing w:after="0"/>
    </w:pPr>
    <w:rPr>
      <w:rFonts w:ascii="Arial" w:hAnsi="Arial"/>
      <w:sz w:val="18"/>
    </w:rPr>
  </w:style>
  <w:style w:type="paragraph" w:customStyle="1" w:styleId="IPPArialTable">
    <w:name w:val="IPP Arial Table"/>
    <w:basedOn w:val="IPPArial"/>
    <w:qFormat/>
    <w:rsid w:val="003D17FA"/>
    <w:pPr>
      <w:spacing w:before="60" w:after="60"/>
      <w:jc w:val="left"/>
    </w:pPr>
  </w:style>
  <w:style w:type="paragraph" w:customStyle="1" w:styleId="IPPHeaderlandscape">
    <w:name w:val="IPP Header landscape"/>
    <w:basedOn w:val="IPPHeader"/>
    <w:qFormat/>
    <w:rsid w:val="003D17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D17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D17FA"/>
    <w:rPr>
      <w:rFonts w:ascii="Courier" w:eastAsia="Times" w:hAnsi="Courier"/>
      <w:sz w:val="21"/>
      <w:szCs w:val="21"/>
      <w:lang w:val="en-AU" w:eastAsia="zh-CN"/>
    </w:rPr>
  </w:style>
  <w:style w:type="paragraph" w:customStyle="1" w:styleId="IPPLetterList">
    <w:name w:val="IPP LetterList"/>
    <w:basedOn w:val="IPPBullet2"/>
    <w:qFormat/>
    <w:rsid w:val="003D17FA"/>
    <w:pPr>
      <w:numPr>
        <w:numId w:val="14"/>
      </w:numPr>
      <w:jc w:val="left"/>
    </w:pPr>
  </w:style>
  <w:style w:type="paragraph" w:customStyle="1" w:styleId="IPPLetterListIndent">
    <w:name w:val="IPP LetterList Indent"/>
    <w:basedOn w:val="IPPLetterList"/>
    <w:qFormat/>
    <w:rsid w:val="003D17FA"/>
    <w:pPr>
      <w:numPr>
        <w:numId w:val="15"/>
      </w:numPr>
    </w:pPr>
  </w:style>
  <w:style w:type="paragraph" w:customStyle="1" w:styleId="IPPFooterLandscape">
    <w:name w:val="IPP Footer Landscape"/>
    <w:basedOn w:val="IPPHeaderlandscape"/>
    <w:qFormat/>
    <w:rsid w:val="003D17FA"/>
    <w:pPr>
      <w:pBdr>
        <w:top w:val="single" w:sz="4" w:space="1" w:color="auto"/>
        <w:bottom w:val="none" w:sz="0" w:space="0" w:color="auto"/>
      </w:pBdr>
      <w:jc w:val="right"/>
    </w:pPr>
    <w:rPr>
      <w:b/>
    </w:rPr>
  </w:style>
  <w:style w:type="paragraph" w:customStyle="1" w:styleId="IPPSubheadSpace">
    <w:name w:val="IPP Subhead Space"/>
    <w:basedOn w:val="IPPSubhead"/>
    <w:qFormat/>
    <w:rsid w:val="003D17FA"/>
    <w:pPr>
      <w:tabs>
        <w:tab w:val="left" w:pos="567"/>
      </w:tabs>
      <w:spacing w:before="60" w:after="60"/>
    </w:pPr>
  </w:style>
  <w:style w:type="paragraph" w:customStyle="1" w:styleId="IPPSubheadSpaceAfter">
    <w:name w:val="IPP Subhead SpaceAfter"/>
    <w:basedOn w:val="IPPSubhead"/>
    <w:qFormat/>
    <w:rsid w:val="003D17FA"/>
    <w:pPr>
      <w:spacing w:after="60"/>
    </w:pPr>
  </w:style>
  <w:style w:type="paragraph" w:customStyle="1" w:styleId="IPPHdg1Num">
    <w:name w:val="IPP Hdg1Num"/>
    <w:basedOn w:val="IPPHeading1"/>
    <w:next w:val="IPPNormal"/>
    <w:qFormat/>
    <w:rsid w:val="003D17FA"/>
    <w:pPr>
      <w:numPr>
        <w:numId w:val="18"/>
      </w:numPr>
    </w:pPr>
  </w:style>
  <w:style w:type="paragraph" w:customStyle="1" w:styleId="IPPHdg2Num">
    <w:name w:val="IPP Hdg2Num"/>
    <w:basedOn w:val="IPPHeading2"/>
    <w:next w:val="IPPNormal"/>
    <w:qFormat/>
    <w:rsid w:val="003D17FA"/>
    <w:pPr>
      <w:numPr>
        <w:ilvl w:val="1"/>
        <w:numId w:val="19"/>
      </w:numPr>
    </w:pPr>
  </w:style>
  <w:style w:type="paragraph" w:customStyle="1" w:styleId="IPPNumberedList">
    <w:name w:val="IPP NumberedList"/>
    <w:basedOn w:val="IPPBullet1"/>
    <w:qFormat/>
    <w:rsid w:val="003D17FA"/>
    <w:pPr>
      <w:numPr>
        <w:numId w:val="21"/>
      </w:numPr>
    </w:pPr>
  </w:style>
  <w:style w:type="paragraph" w:styleId="Header">
    <w:name w:val="header"/>
    <w:basedOn w:val="Normal"/>
    <w:link w:val="HeaderChar"/>
    <w:rsid w:val="003D17FA"/>
    <w:pPr>
      <w:tabs>
        <w:tab w:val="center" w:pos="4680"/>
        <w:tab w:val="right" w:pos="9360"/>
      </w:tabs>
    </w:pPr>
  </w:style>
  <w:style w:type="character" w:customStyle="1" w:styleId="HeaderChar">
    <w:name w:val="Header Char"/>
    <w:basedOn w:val="DefaultParagraphFont"/>
    <w:link w:val="Header"/>
    <w:rsid w:val="003D17FA"/>
    <w:rPr>
      <w:rFonts w:ascii="Times New Roman" w:eastAsia="MS Mincho" w:hAnsi="Times New Roman"/>
      <w:szCs w:val="24"/>
      <w:lang w:val="en-GB" w:eastAsia="zh-CN"/>
    </w:rPr>
  </w:style>
  <w:style w:type="character" w:styleId="Strong">
    <w:name w:val="Strong"/>
    <w:basedOn w:val="DefaultParagraphFont"/>
    <w:qFormat/>
    <w:rsid w:val="003D17FA"/>
    <w:rPr>
      <w:b/>
      <w:bCs/>
    </w:rPr>
  </w:style>
  <w:style w:type="paragraph" w:customStyle="1" w:styleId="IPPParagraphnumberingclose">
    <w:name w:val="IPP Paragraph numbering close"/>
    <w:basedOn w:val="IPPParagraphnumbering"/>
    <w:qFormat/>
    <w:rsid w:val="003D17FA"/>
    <w:pPr>
      <w:keepNext/>
      <w:numPr>
        <w:numId w:val="0"/>
      </w:numPr>
      <w:spacing w:after="60"/>
    </w:pPr>
  </w:style>
  <w:style w:type="paragraph" w:customStyle="1" w:styleId="IPPNumberedListLast">
    <w:name w:val="IPP NumberedListLast"/>
    <w:basedOn w:val="IPPNumberedList"/>
    <w:qFormat/>
    <w:rsid w:val="003D17FA"/>
    <w:pPr>
      <w:numPr>
        <w:numId w:val="0"/>
      </w:numPr>
      <w:spacing w:after="180"/>
    </w:pPr>
  </w:style>
  <w:style w:type="paragraph" w:customStyle="1" w:styleId="IPPPargraphnumbering">
    <w:name w:val="IPP Pargraph numbering"/>
    <w:basedOn w:val="IPPNormal"/>
    <w:qFormat/>
    <w:rsid w:val="003D17FA"/>
    <w:pPr>
      <w:tabs>
        <w:tab w:val="num" w:pos="360"/>
      </w:tabs>
    </w:pPr>
    <w:rPr>
      <w:rFonts w:cs="Times New Roman"/>
      <w:lang w:val="en-US"/>
    </w:rPr>
  </w:style>
  <w:style w:type="character" w:customStyle="1" w:styleId="IPPNormalChar">
    <w:name w:val="IPP Normal Char"/>
    <w:link w:val="IPPNormal"/>
    <w:rsid w:val="003D17FA"/>
    <w:rPr>
      <w:rFonts w:ascii="Times New Roman" w:eastAsia="Times" w:hAnsi="Times New Roman"/>
      <w:szCs w:val="24"/>
      <w:lang w:val="en-GB" w:eastAsia="zh-CN"/>
    </w:rPr>
  </w:style>
  <w:style w:type="paragraph" w:styleId="NormalWeb">
    <w:name w:val="Normal (Web)"/>
    <w:basedOn w:val="Normal"/>
    <w:uiPriority w:val="99"/>
    <w:unhideWhenUsed/>
    <w:rsid w:val="001D1025"/>
    <w:pPr>
      <w:spacing w:before="100" w:beforeAutospacing="1" w:after="100" w:afterAutospacing="1"/>
      <w:jc w:val="left"/>
    </w:pPr>
    <w:rPr>
      <w:rFonts w:eastAsia="Times New Roman" w:cs="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DE49-A162-4541-88BB-4D363807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1752</Words>
  <Characters>9991</Characters>
  <Application>Microsoft Office Word</Application>
  <DocSecurity>0</DocSecurity>
  <Lines>83</Lines>
  <Paragraphs>23</Paragraphs>
  <ScaleCrop>false</ScaleCrop>
  <HeadingPairs>
    <vt:vector size="6" baseType="variant">
      <vt:variant>
        <vt:lpstr>Title</vt:lpstr>
      </vt:variant>
      <vt:variant>
        <vt:i4>1</vt:i4>
      </vt:variant>
      <vt:variant>
        <vt:lpstr>Headings</vt:lpstr>
      </vt:variant>
      <vt:variant>
        <vt:i4>13</vt:i4>
      </vt:variant>
      <vt:variant>
        <vt:lpstr>Titolo</vt:lpstr>
      </vt:variant>
      <vt:variant>
        <vt:i4>1</vt:i4>
      </vt:variant>
    </vt:vector>
  </HeadingPairs>
  <TitlesOfParts>
    <vt:vector size="15" baseType="lpstr">
      <vt:lpstr/>
      <vt:lpstr>    Commodity- and pathway- specific ISPMs</vt:lpstr>
      <vt:lpstr>    Commodity Standards: A New Zealand Perspective</vt:lpstr>
      <vt:lpstr>    1.	Introduction</vt:lpstr>
      <vt:lpstr>    2.	What will be included in a commodity standard?</vt:lpstr>
      <vt:lpstr>    3.	What are the benefits?</vt:lpstr>
      <vt:lpstr>    4.	What are the main challenges for the IPPC?</vt:lpstr>
      <vt:lpstr>    5.	What obligations do Commodity Standards impose on Contracting Parties? </vt:lpstr>
      <vt:lpstr>    6.	Do Commodity Standards avoid the need for PRA?</vt:lpstr>
      <vt:lpstr>    7.	Are the pests listed in a Commodity Standard considered quarantine pests?</vt:lpstr>
      <vt:lpstr>    8.	Should Contracting Parties adopt measures listed in a Commodity Standard?</vt:lpstr>
      <vt:lpstr>    9.	What information will be used to support the identification of measures in a </vt:lpstr>
      <vt:lpstr>    10.	Conclusion</vt:lpstr>
      <vt:lpstr>    11.	Recommendations</vt:lpstr>
      <vt:lpstr/>
    </vt:vector>
  </TitlesOfParts>
  <Company>FAO of the UN</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(AGDD)</cp:lastModifiedBy>
  <cp:revision>3</cp:revision>
  <cp:lastPrinted>2020-09-23T15:33:00Z</cp:lastPrinted>
  <dcterms:created xsi:type="dcterms:W3CDTF">2020-09-26T20:32:00Z</dcterms:created>
  <dcterms:modified xsi:type="dcterms:W3CDTF">2020-09-26T20:33:00Z</dcterms:modified>
</cp:coreProperties>
</file>