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C3" w:rsidRDefault="00D24969">
      <w:pPr>
        <w:jc w:val="center"/>
      </w:pPr>
      <w:bookmarkStart w:id="0" w:name="_GoBack"/>
      <w:bookmarkEnd w:id="0"/>
      <w:r>
        <w:rPr>
          <w:rStyle w:val="PleaseReviewParagraphId"/>
          <w:noProof/>
          <w:sz w:val="20"/>
        </w:rPr>
        <w:t>[PleaseReview document review. Review title: 2020 First Consultation: Draft Specification: Annex to ISPM 38 (International movement of seeds) (2018-009). Document title: 2018-009_DraftSpec_RevISPM38_En_2020-04-27.docx]</w:t>
      </w:r>
    </w:p>
    <w:p w:rsidR="008E2FC3" w:rsidRDefault="00D24969">
      <w:pPr>
        <w:pStyle w:val="IPPHeading1"/>
      </w:pPr>
      <w:r>
        <w:rPr>
          <w:rStyle w:val="PleaseReviewParagraphId"/>
          <w:b w:val="0"/>
        </w:rPr>
        <w:t>[1]</w:t>
      </w:r>
      <w:r>
        <w:t xml:space="preserve">DRAFT SPECIFICATION FOR ISPM: Annex </w:t>
      </w:r>
      <w:r>
        <w:rPr>
          <w:i/>
          <w:iCs/>
        </w:rPr>
        <w:t>Design and use of systems approaches for phytosanitary certification of seeds</w:t>
      </w:r>
      <w:r>
        <w:t xml:space="preserve"> (2018-009) to ISPM 38</w:t>
      </w:r>
    </w:p>
    <w:p w:rsidR="008E2FC3" w:rsidRDefault="00D24969">
      <w:pPr>
        <w:pStyle w:val="IPPSubheadSpace"/>
        <w:spacing w:before="240"/>
        <w:ind w:left="0" w:firstLine="0"/>
      </w:pPr>
      <w:r>
        <w:rPr>
          <w:rStyle w:val="PleaseReviewParagraphId"/>
          <w:b w:val="0"/>
        </w:rPr>
        <w:t>[2]</w:t>
      </w:r>
      <w: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E2FC3">
        <w:trPr>
          <w:trHeight w:val="286"/>
        </w:trPr>
        <w:tc>
          <w:tcPr>
            <w:tcW w:w="9039" w:type="dxa"/>
            <w:gridSpan w:val="2"/>
          </w:tcPr>
          <w:p w:rsidR="008E2FC3" w:rsidRDefault="00D24969">
            <w:pPr>
              <w:pStyle w:val="IPPArialTable"/>
            </w:pPr>
            <w:r>
              <w:rPr>
                <w:rStyle w:val="PleaseReviewParagraphId"/>
              </w:rPr>
              <w:t>[3]</w:t>
            </w:r>
            <w:r>
              <w:t>This is not an official part of the specification and it will be modified by the IPPC Secretariat after approval</w:t>
            </w:r>
          </w:p>
        </w:tc>
      </w:tr>
      <w:tr w:rsidR="008E2FC3">
        <w:trPr>
          <w:trHeight w:val="286"/>
        </w:trPr>
        <w:tc>
          <w:tcPr>
            <w:tcW w:w="2273" w:type="dxa"/>
          </w:tcPr>
          <w:p w:rsidR="008E2FC3" w:rsidRDefault="00D24969">
            <w:pPr>
              <w:pStyle w:val="IPPArialTable"/>
              <w:rPr>
                <w:b/>
                <w:bCs/>
              </w:rPr>
            </w:pPr>
            <w:r>
              <w:rPr>
                <w:rStyle w:val="PleaseReviewParagraphId"/>
              </w:rPr>
              <w:t>[4]</w:t>
            </w:r>
            <w:r>
              <w:rPr>
                <w:b/>
                <w:bCs/>
              </w:rPr>
              <w:t>Date of this document</w:t>
            </w:r>
          </w:p>
        </w:tc>
        <w:tc>
          <w:tcPr>
            <w:tcW w:w="6766" w:type="dxa"/>
          </w:tcPr>
          <w:p w:rsidR="008E2FC3" w:rsidRDefault="00D24969">
            <w:pPr>
              <w:pStyle w:val="IPPArialTable"/>
            </w:pPr>
            <w:r>
              <w:rPr>
                <w:rStyle w:val="PleaseReviewParagraphId"/>
              </w:rPr>
              <w:t>[5]</w:t>
            </w:r>
            <w:r>
              <w:t>2020-03-13</w:t>
            </w:r>
          </w:p>
        </w:tc>
      </w:tr>
      <w:tr w:rsidR="008E2FC3">
        <w:trPr>
          <w:trHeight w:val="286"/>
        </w:trPr>
        <w:tc>
          <w:tcPr>
            <w:tcW w:w="2273" w:type="dxa"/>
          </w:tcPr>
          <w:p w:rsidR="008E2FC3" w:rsidRDefault="00D24969">
            <w:pPr>
              <w:pStyle w:val="IPPArialTable"/>
              <w:rPr>
                <w:b/>
                <w:bCs/>
              </w:rPr>
            </w:pPr>
            <w:r>
              <w:rPr>
                <w:rStyle w:val="PleaseReviewParagraphId"/>
              </w:rPr>
              <w:t>[6]</w:t>
            </w:r>
            <w:r>
              <w:rPr>
                <w:b/>
                <w:bCs/>
              </w:rPr>
              <w:t>Document category</w:t>
            </w:r>
          </w:p>
        </w:tc>
        <w:tc>
          <w:tcPr>
            <w:tcW w:w="6766" w:type="dxa"/>
          </w:tcPr>
          <w:p w:rsidR="008E2FC3" w:rsidRDefault="00D24969">
            <w:pPr>
              <w:pStyle w:val="IPPArialTable"/>
              <w:rPr>
                <w:color w:val="0070C0"/>
              </w:rPr>
            </w:pPr>
            <w:r>
              <w:rPr>
                <w:rStyle w:val="PleaseReviewParagraphId"/>
              </w:rPr>
              <w:t>[7]</w:t>
            </w:r>
            <w:r>
              <w:t>Draft specification for an annex to an ISPM</w:t>
            </w:r>
          </w:p>
        </w:tc>
      </w:tr>
      <w:tr w:rsidR="008E2FC3">
        <w:trPr>
          <w:trHeight w:val="299"/>
        </w:trPr>
        <w:tc>
          <w:tcPr>
            <w:tcW w:w="2273" w:type="dxa"/>
          </w:tcPr>
          <w:p w:rsidR="008E2FC3" w:rsidRDefault="00D24969">
            <w:pPr>
              <w:pStyle w:val="IPPArialTable"/>
              <w:rPr>
                <w:b/>
                <w:bCs/>
              </w:rPr>
            </w:pPr>
            <w:r>
              <w:rPr>
                <w:rStyle w:val="PleaseReviewParagraphId"/>
              </w:rPr>
              <w:t>[8]</w:t>
            </w:r>
            <w:r>
              <w:rPr>
                <w:b/>
                <w:bCs/>
              </w:rPr>
              <w:t>Current document stage</w:t>
            </w:r>
          </w:p>
        </w:tc>
        <w:tc>
          <w:tcPr>
            <w:tcW w:w="6766" w:type="dxa"/>
          </w:tcPr>
          <w:p w:rsidR="008E2FC3" w:rsidRDefault="00D24969">
            <w:pPr>
              <w:pStyle w:val="IPPArialTable"/>
              <w:rPr>
                <w:color w:val="0070C0"/>
              </w:rPr>
            </w:pPr>
            <w:r>
              <w:rPr>
                <w:rStyle w:val="PleaseReviewParagraphId"/>
              </w:rPr>
              <w:t>[9]</w:t>
            </w:r>
            <w:r>
              <w:rPr>
                <w:i/>
                <w:iCs/>
              </w:rPr>
              <w:t>To</w:t>
            </w:r>
            <w:r>
              <w:t xml:space="preserve"> first consultation</w:t>
            </w:r>
          </w:p>
        </w:tc>
      </w:tr>
      <w:tr w:rsidR="008E2FC3">
        <w:trPr>
          <w:trHeight w:val="491"/>
        </w:trPr>
        <w:tc>
          <w:tcPr>
            <w:tcW w:w="2273" w:type="dxa"/>
          </w:tcPr>
          <w:p w:rsidR="008E2FC3" w:rsidRDefault="00D24969">
            <w:pPr>
              <w:pStyle w:val="IPPArialTable"/>
              <w:rPr>
                <w:b/>
                <w:bCs/>
              </w:rPr>
            </w:pPr>
            <w:r>
              <w:rPr>
                <w:rStyle w:val="PleaseReviewParagraphId"/>
              </w:rPr>
              <w:t>[10]</w:t>
            </w:r>
            <w:r>
              <w:rPr>
                <w:b/>
                <w:bCs/>
              </w:rPr>
              <w:t>Major stages</w:t>
            </w:r>
          </w:p>
        </w:tc>
        <w:tc>
          <w:tcPr>
            <w:tcW w:w="6766" w:type="dxa"/>
          </w:tcPr>
          <w:p w:rsidR="008E2FC3" w:rsidRDefault="00D24969">
            <w:pPr>
              <w:pStyle w:val="IPPArialTable"/>
            </w:pPr>
            <w:r>
              <w:rPr>
                <w:rStyle w:val="PleaseReviewParagraphId"/>
              </w:rPr>
              <w:t>[11]</w:t>
            </w:r>
            <w:r>
              <w:t xml:space="preserve">2018-08 Topic proposed. </w:t>
            </w:r>
          </w:p>
          <w:p w:rsidR="008E2FC3" w:rsidRDefault="00D24969">
            <w:pPr>
              <w:pStyle w:val="IPPArialTable"/>
            </w:pPr>
            <w:r>
              <w:rPr>
                <w:rStyle w:val="PleaseReviewParagraphId"/>
              </w:rPr>
              <w:t>[12]</w:t>
            </w:r>
            <w:r>
              <w:t>2019-10/2019-11/2019-01 Task Force on Topics, SC and Implementation and Capacity Development Committee recommended topic to be added to the SC work programme.</w:t>
            </w:r>
          </w:p>
          <w:p w:rsidR="008E2FC3" w:rsidRDefault="00D24969">
            <w:pPr>
              <w:pStyle w:val="IPPArialTable"/>
            </w:pPr>
            <w:r>
              <w:rPr>
                <w:rStyle w:val="PleaseReviewParagraphId"/>
              </w:rPr>
              <w:t>[13]</w:t>
            </w:r>
            <w:r>
              <w:t xml:space="preserve">2019-04 CPM-14 (2019) </w:t>
            </w:r>
            <w:r>
              <w:rPr>
                <w:rFonts w:cs="Arial"/>
              </w:rPr>
              <w:t xml:space="preserve">added topic </w:t>
            </w:r>
            <w:r>
              <w:rPr>
                <w:rFonts w:cs="Arial"/>
                <w:bCs/>
                <w:i/>
              </w:rPr>
              <w:t>Design and use of systems approaches for phytosanitary certification of seeds (Annex to ISPM 38)</w:t>
            </w:r>
            <w:r>
              <w:rPr>
                <w:rFonts w:cs="Arial"/>
                <w:bCs/>
                <w:iCs/>
              </w:rPr>
              <w:t>,</w:t>
            </w:r>
            <w:r>
              <w:rPr>
                <w:rFonts w:cs="Arial"/>
                <w:bCs/>
                <w:i/>
              </w:rPr>
              <w:t xml:space="preserve"> </w:t>
            </w:r>
            <w:r>
              <w:t>priority 1.</w:t>
            </w:r>
          </w:p>
          <w:p w:rsidR="008E2FC3" w:rsidRDefault="00D24969">
            <w:pPr>
              <w:pStyle w:val="IPPArialTable"/>
            </w:pPr>
            <w:r>
              <w:rPr>
                <w:rStyle w:val="PleaseReviewParagraphId"/>
              </w:rPr>
              <w:t>[14]</w:t>
            </w:r>
            <w:r>
              <w:t>2019-08 Steward revised the draft specification.</w:t>
            </w:r>
          </w:p>
          <w:p w:rsidR="008E2FC3" w:rsidRDefault="00D24969">
            <w:pPr>
              <w:pStyle w:val="IPPArialTable"/>
              <w:rPr>
                <w:color w:val="0070C0"/>
              </w:rPr>
            </w:pPr>
            <w:r>
              <w:rPr>
                <w:rStyle w:val="PleaseReviewParagraphId"/>
              </w:rPr>
              <w:t>[15]</w:t>
            </w:r>
            <w:r>
              <w:t>2020-01 SC reviewed via e-forum and Steward revised the draft.</w:t>
            </w:r>
          </w:p>
        </w:tc>
      </w:tr>
      <w:tr w:rsidR="008E2FC3">
        <w:trPr>
          <w:trHeight w:val="491"/>
        </w:trPr>
        <w:tc>
          <w:tcPr>
            <w:tcW w:w="2273" w:type="dxa"/>
          </w:tcPr>
          <w:p w:rsidR="008E2FC3" w:rsidRDefault="00D24969">
            <w:pPr>
              <w:pStyle w:val="IPPArialTable"/>
              <w:rPr>
                <w:b/>
                <w:bCs/>
              </w:rPr>
            </w:pPr>
            <w:r>
              <w:rPr>
                <w:rStyle w:val="PleaseReviewParagraphId"/>
              </w:rPr>
              <w:t>[16]</w:t>
            </w:r>
            <w:r>
              <w:rPr>
                <w:b/>
                <w:bCs/>
              </w:rPr>
              <w:t>Steward history</w:t>
            </w:r>
          </w:p>
        </w:tc>
        <w:tc>
          <w:tcPr>
            <w:tcW w:w="6766" w:type="dxa"/>
          </w:tcPr>
          <w:p w:rsidR="008E2FC3" w:rsidRDefault="00D24969">
            <w:pPr>
              <w:pStyle w:val="IPPArialTable"/>
            </w:pPr>
            <w:r>
              <w:rPr>
                <w:rStyle w:val="PleaseReviewParagraphId"/>
              </w:rPr>
              <w:t>[17]</w:t>
            </w:r>
            <w:r>
              <w:t>2019-05 Ms Marina ZLOTINA (US, Lead Steward)</w:t>
            </w:r>
          </w:p>
          <w:p w:rsidR="008E2FC3" w:rsidRDefault="00D24969">
            <w:pPr>
              <w:pStyle w:val="IPPArialTable"/>
            </w:pPr>
            <w:r>
              <w:rPr>
                <w:rStyle w:val="PleaseReviewParagraphId"/>
              </w:rPr>
              <w:t>[18]</w:t>
            </w:r>
            <w:r>
              <w:t>2019-05 Mr Hernando Morera-GONZÁLEZ (CR, Assistant Steward)</w:t>
            </w:r>
          </w:p>
        </w:tc>
      </w:tr>
      <w:tr w:rsidR="008E2FC3">
        <w:trPr>
          <w:trHeight w:val="491"/>
        </w:trPr>
        <w:tc>
          <w:tcPr>
            <w:tcW w:w="2273" w:type="dxa"/>
          </w:tcPr>
          <w:p w:rsidR="008E2FC3" w:rsidRDefault="00D24969">
            <w:pPr>
              <w:pStyle w:val="IPPArialTable"/>
              <w:rPr>
                <w:b/>
                <w:bCs/>
              </w:rPr>
            </w:pPr>
            <w:r>
              <w:rPr>
                <w:rStyle w:val="PleaseReviewParagraphId"/>
              </w:rPr>
              <w:t>[19]</w:t>
            </w:r>
            <w:r>
              <w:rPr>
                <w:b/>
                <w:bCs/>
              </w:rPr>
              <w:t>Notes</w:t>
            </w:r>
          </w:p>
        </w:tc>
        <w:tc>
          <w:tcPr>
            <w:tcW w:w="6766" w:type="dxa"/>
          </w:tcPr>
          <w:p w:rsidR="008E2FC3" w:rsidRDefault="00D24969">
            <w:pPr>
              <w:pStyle w:val="IPPArialTable"/>
              <w:rPr>
                <w:color w:val="0070C0"/>
              </w:rPr>
            </w:pPr>
            <w:r>
              <w:rPr>
                <w:rStyle w:val="PleaseReviewParagraphId"/>
              </w:rPr>
              <w:t>[20]</w:t>
            </w:r>
            <w:r>
              <w:t>2020-03 Edited</w:t>
            </w:r>
          </w:p>
        </w:tc>
      </w:tr>
    </w:tbl>
    <w:p w:rsidR="008E2FC3" w:rsidRDefault="00D24969">
      <w:r>
        <w:rPr>
          <w:rStyle w:val="PleaseReviewParagraphId"/>
        </w:rPr>
        <w:t>[21]</w:t>
      </w:r>
    </w:p>
    <w:p w:rsidR="008E2FC3" w:rsidRDefault="00D24969">
      <w:pPr>
        <w:pStyle w:val="IPPSubheadSpace"/>
      </w:pPr>
      <w:r>
        <w:rPr>
          <w:rStyle w:val="PleaseReviewParagraphId"/>
          <w:b w:val="0"/>
        </w:rPr>
        <w:t>[22]</w:t>
      </w:r>
      <w:r>
        <w:t>Title</w:t>
      </w:r>
    </w:p>
    <w:p w:rsidR="008E2FC3" w:rsidRDefault="00D24969">
      <w:pPr>
        <w:pStyle w:val="IPPParagraphnumbering"/>
        <w:numPr>
          <w:ilvl w:val="0"/>
          <w:numId w:val="0"/>
        </w:numPr>
        <w:rPr>
          <w:lang w:val="en-GB"/>
        </w:rPr>
      </w:pPr>
      <w:r>
        <w:rPr>
          <w:rStyle w:val="PleaseReviewParagraphId"/>
        </w:rPr>
        <w:t>[23]</w:t>
      </w:r>
      <w:r>
        <w:rPr>
          <w:lang w:val="en-GB"/>
        </w:rPr>
        <w:t xml:space="preserve">Annex </w:t>
      </w:r>
      <w:r>
        <w:rPr>
          <w:i/>
          <w:iCs/>
          <w:lang w:val="en-GB"/>
        </w:rPr>
        <w:t>Design and use of systems approaches for phytosanitary certification of seeds</w:t>
      </w:r>
      <w:r>
        <w:rPr>
          <w:lang w:val="en-GB"/>
        </w:rPr>
        <w:t xml:space="preserve"> (2018-009) to ISPM 38 (</w:t>
      </w:r>
      <w:r>
        <w:rPr>
          <w:i/>
          <w:lang w:val="en-GB"/>
        </w:rPr>
        <w:t>International movement of seeds</w:t>
      </w:r>
      <w:r>
        <w:rPr>
          <w:lang w:val="en-GB"/>
        </w:rPr>
        <w:t>).</w:t>
      </w:r>
    </w:p>
    <w:p w:rsidR="008E2FC3" w:rsidRDefault="00D24969">
      <w:pPr>
        <w:pStyle w:val="IPPSubheadSpace"/>
      </w:pPr>
      <w:r>
        <w:rPr>
          <w:rStyle w:val="PleaseReviewParagraphId"/>
          <w:b w:val="0"/>
        </w:rPr>
        <w:t>[24]</w:t>
      </w:r>
      <w:r>
        <w:t>Reason for the annex to the standard</w:t>
      </w:r>
    </w:p>
    <w:p w:rsidR="008E2FC3" w:rsidRDefault="00D24969">
      <w:pPr>
        <w:pStyle w:val="IPPParagraphnumbering"/>
        <w:numPr>
          <w:ilvl w:val="0"/>
          <w:numId w:val="0"/>
        </w:numPr>
        <w:rPr>
          <w:b/>
          <w:bCs/>
          <w:iCs/>
          <w:lang w:val="en-GB"/>
        </w:rPr>
      </w:pPr>
      <w:r>
        <w:rPr>
          <w:rStyle w:val="PleaseReviewParagraphId"/>
        </w:rPr>
        <w:t>[25]</w:t>
      </w:r>
      <w:r>
        <w:rPr>
          <w:lang w:val="en-GB"/>
        </w:rPr>
        <w:t xml:space="preserve">As they seek to implement ISPM 38, national plant protection organizations (NPPOs) and the worldwide seed industry are currently exploring the use of systems approaches to manage the pest risk associated with the international movement of seed. A systems approach could include standardized industry practices and quality systems that contribute to a reduction in the pest risk associated with seeds.  Quality systems that are approved by NPPOs could comprise systems approaches and be an efficient alternative to consignment-by-consignment phytosanitary certification of seeds. An annex to ISPM 38 could provide a harmonized framework for developing systems approaches and provide guidance to NPPOs on recognition and audit of systems. </w:t>
      </w:r>
    </w:p>
    <w:p w:rsidR="008E2FC3" w:rsidRDefault="00D24969">
      <w:pPr>
        <w:pStyle w:val="IPPSubheadSpace"/>
      </w:pPr>
      <w:r>
        <w:rPr>
          <w:rStyle w:val="PleaseReviewParagraphId"/>
          <w:b w:val="0"/>
        </w:rPr>
        <w:t>[26]</w:t>
      </w:r>
      <w:r>
        <w:t xml:space="preserve">Scope </w:t>
      </w:r>
    </w:p>
    <w:p w:rsidR="008E2FC3" w:rsidRDefault="00D24969">
      <w:pPr>
        <w:pStyle w:val="IPPParagraphnumbering"/>
        <w:numPr>
          <w:ilvl w:val="0"/>
          <w:numId w:val="0"/>
        </w:numPr>
        <w:rPr>
          <w:lang w:val="en-GB"/>
        </w:rPr>
      </w:pPr>
      <w:r>
        <w:rPr>
          <w:rStyle w:val="PleaseReviewParagraphId"/>
        </w:rPr>
        <w:t>[27]</w:t>
      </w:r>
      <w:r>
        <w:rPr>
          <w:lang w:val="en-GB"/>
        </w:rPr>
        <w:t>The proposed annex should apply to any seeds moving internationally in trade or as breeder lots. The annex should provide a general framework of risk management measures, including existing pest management practices used in the seed industry in combination with quality assurance systems, that incorporates defined audit and verification procedures for consistent implementation of the system. The annex should also define a harmonized system for NPPOs to accredit compliance with the systems approach. This accreditation could be recognized by NPPOs as the basis for phytosanitary certification and would provide an alternative to the existing certification of seeds.</w:t>
      </w:r>
    </w:p>
    <w:p w:rsidR="008E2FC3" w:rsidRDefault="00D24969">
      <w:pPr>
        <w:pStyle w:val="IPPSubheadSpace"/>
      </w:pPr>
      <w:r>
        <w:rPr>
          <w:rStyle w:val="PleaseReviewParagraphId"/>
          <w:b w:val="0"/>
        </w:rPr>
        <w:t>[28]</w:t>
      </w:r>
      <w:r>
        <w:t>Purpose</w:t>
      </w:r>
    </w:p>
    <w:p w:rsidR="008E2FC3" w:rsidRDefault="00D24969">
      <w:pPr>
        <w:pStyle w:val="IPPParagraphnumbering"/>
        <w:numPr>
          <w:ilvl w:val="0"/>
          <w:numId w:val="0"/>
        </w:numPr>
        <w:rPr>
          <w:lang w:val="en-GB"/>
        </w:rPr>
      </w:pPr>
      <w:r>
        <w:rPr>
          <w:rStyle w:val="PleaseReviewParagraphId"/>
        </w:rPr>
        <w:t>[29]</w:t>
      </w:r>
      <w:r>
        <w:rPr>
          <w:lang w:val="en-GB"/>
        </w:rPr>
        <w:t xml:space="preserve">Despite strenuous efforts over several decades by NPPOs and industry bodies to harmonize phytosanitary import requirements and encourage regional and international seed trade, there are still </w:t>
      </w:r>
      <w:r>
        <w:rPr>
          <w:lang w:val="en-GB"/>
        </w:rPr>
        <w:lastRenderedPageBreak/>
        <w:t>considerable differences in seed laws and regulations. These differences prevent seed from moving easily between countries. The global market for seeds, worth more than USD 60 billion in 2017, is disrupted on a daily basis by seed lots being stopped at a border. This annex will provide an opportunity to harmonize phytosanitary import requirements for seeds and will offer an alternative option for recognizing measures that minimize the pest risk associated with seeds in international trade.</w:t>
      </w:r>
    </w:p>
    <w:p w:rsidR="008E2FC3" w:rsidRDefault="00D24969">
      <w:pPr>
        <w:pStyle w:val="IPPSubheadSpace"/>
      </w:pPr>
      <w:r>
        <w:rPr>
          <w:rStyle w:val="PleaseReviewParagraphId"/>
          <w:b w:val="0"/>
        </w:rPr>
        <w:t>[30]</w:t>
      </w:r>
      <w:r>
        <w:t>Tasks</w:t>
      </w:r>
    </w:p>
    <w:p w:rsidR="008E2FC3" w:rsidRDefault="00D24969">
      <w:pPr>
        <w:pStyle w:val="IPPParagraphnumberingclose"/>
        <w:numPr>
          <w:ilvl w:val="0"/>
          <w:numId w:val="0"/>
        </w:numPr>
      </w:pPr>
      <w:r>
        <w:rPr>
          <w:rStyle w:val="PleaseReviewParagraphId"/>
        </w:rPr>
        <w:t>[31]</w:t>
      </w:r>
      <w:r>
        <w:t>The expert working group (EWG) should undertake the following tasks:</w:t>
      </w:r>
    </w:p>
    <w:p w:rsidR="008E2FC3" w:rsidRDefault="00D24969">
      <w:pPr>
        <w:pStyle w:val="IPPNumberedList"/>
        <w:rPr>
          <w:lang w:val="en-GB"/>
        </w:rPr>
      </w:pPr>
      <w:r>
        <w:rPr>
          <w:rStyle w:val="PleaseReviewParagraphId"/>
        </w:rPr>
        <w:t>[32]</w:t>
      </w:r>
      <w:r>
        <w:rPr>
          <w:lang w:val="en-GB"/>
        </w:rPr>
        <w:t>Consider existing relevant standards (e.g. ISPM 14, ISPM 38, NAPPO (2014)).</w:t>
      </w:r>
    </w:p>
    <w:p w:rsidR="008E2FC3" w:rsidRDefault="00D24969">
      <w:pPr>
        <w:pStyle w:val="IPPNumberedList"/>
        <w:rPr>
          <w:lang w:val="en-GB"/>
        </w:rPr>
      </w:pPr>
      <w:r>
        <w:rPr>
          <w:rStyle w:val="PleaseReviewParagraphId"/>
        </w:rPr>
        <w:t>[33]</w:t>
      </w:r>
      <w:r>
        <w:rPr>
          <w:lang w:val="en-GB"/>
        </w:rPr>
        <w:t>Review existing phytosanitary import requirements from different countries for importation of seeds and harmonized regional guidance, if such is available.</w:t>
      </w:r>
    </w:p>
    <w:p w:rsidR="008E2FC3" w:rsidRDefault="00D24969">
      <w:pPr>
        <w:pStyle w:val="IPPNumberedList"/>
        <w:rPr>
          <w:lang w:val="en-GB"/>
        </w:rPr>
      </w:pPr>
      <w:r>
        <w:rPr>
          <w:rStyle w:val="PleaseReviewParagraphId"/>
        </w:rPr>
        <w:t>[34]</w:t>
      </w:r>
      <w:r>
        <w:rPr>
          <w:lang w:val="en-GB"/>
        </w:rPr>
        <w:t xml:space="preserve">Review existing systems approaches and quality management systems for seed (e.g. </w:t>
      </w:r>
      <w:r>
        <w:rPr>
          <w:i/>
          <w:iCs/>
          <w:lang w:val="en-GB"/>
        </w:rPr>
        <w:t xml:space="preserve">The guide to seed quality management </w:t>
      </w:r>
      <w:r>
        <w:rPr>
          <w:lang w:val="en-GB"/>
        </w:rPr>
        <w:t>(ASTA, n.d.), Good Seed and Plant Practices (GSPP), the Regulatory Framework for Seed Health (ReFreSH) of the United States Department of Agriculture, the Disease Prevention Program (DPP)) and other commodity sectors (e.g. the Biosecure Hazard Analysis and Critical Control Point (HACCP) approach, the Systems Approach for Nursery Certification (SANC) of the National Plant Board (covering 50 U.S. states, Puerto Rico and Guam)).</w:t>
      </w:r>
    </w:p>
    <w:p w:rsidR="008E2FC3" w:rsidRDefault="00D24969">
      <w:pPr>
        <w:pStyle w:val="IPPNumberedList"/>
        <w:rPr>
          <w:lang w:val="en-GB"/>
        </w:rPr>
      </w:pPr>
      <w:r>
        <w:rPr>
          <w:rStyle w:val="PleaseReviewParagraphId"/>
        </w:rPr>
        <w:t>[35]</w:t>
      </w:r>
      <w:r>
        <w:rPr>
          <w:lang w:val="en-GB"/>
        </w:rPr>
        <w:t>Examine existing seed production practices that can contribute to pest risk reduction and result in clean seeds that are free from known and emerging seed-borne or seed-transmitted pests.</w:t>
      </w:r>
    </w:p>
    <w:p w:rsidR="008E2FC3" w:rsidRDefault="00D24969">
      <w:pPr>
        <w:pStyle w:val="IPPNumberedList"/>
        <w:rPr>
          <w:lang w:val="en-GB"/>
        </w:rPr>
      </w:pPr>
      <w:r>
        <w:rPr>
          <w:rStyle w:val="PleaseReviewParagraphId"/>
        </w:rPr>
        <w:t>[36]</w:t>
      </w:r>
      <w:r>
        <w:rPr>
          <w:lang w:val="en-GB"/>
        </w:rPr>
        <w:t>Define the general requirements of a systems approach for seeds as informed by the information gathered in tasks 1–4.</w:t>
      </w:r>
    </w:p>
    <w:p w:rsidR="008E2FC3" w:rsidRDefault="00D24969">
      <w:pPr>
        <w:pStyle w:val="IPPNumberedList"/>
        <w:rPr>
          <w:lang w:val="en-GB"/>
        </w:rPr>
      </w:pPr>
      <w:r>
        <w:rPr>
          <w:rStyle w:val="PleaseReviewParagraphId"/>
        </w:rPr>
        <w:t>[37]</w:t>
      </w:r>
      <w:r>
        <w:rPr>
          <w:lang w:val="en-GB"/>
        </w:rPr>
        <w:t>Describe a procedure to document the requirements of the systems and their application that includes defined audits and verification.</w:t>
      </w:r>
    </w:p>
    <w:p w:rsidR="008E2FC3" w:rsidRDefault="00D24969">
      <w:pPr>
        <w:pStyle w:val="IPPNumberedList"/>
        <w:rPr>
          <w:lang w:val="en-GB"/>
        </w:rPr>
      </w:pPr>
      <w:r>
        <w:rPr>
          <w:rStyle w:val="PleaseReviewParagraphId"/>
        </w:rPr>
        <w:t>[38]</w:t>
      </w:r>
      <w:r>
        <w:rPr>
          <w:lang w:val="en-GB"/>
        </w:rPr>
        <w:t>Consider whether the annex could affect in a specific way (positively or negatively) the protection of biodiversity and the environment. If this is the case, the impact should be identified, addressed and clarified in the draft annex.</w:t>
      </w:r>
    </w:p>
    <w:p w:rsidR="008E2FC3" w:rsidRDefault="00D24969">
      <w:pPr>
        <w:pStyle w:val="IPPNumberedList"/>
        <w:rPr>
          <w:lang w:val="en-GB"/>
        </w:rPr>
      </w:pPr>
      <w:r>
        <w:rPr>
          <w:rStyle w:val="PleaseReviewParagraphId"/>
        </w:rPr>
        <w:t>[39]</w:t>
      </w:r>
      <w:r>
        <w:rPr>
          <w:lang w:val="en-GB"/>
        </w:rPr>
        <w:t>Consider implementation of the annex by contracting parties and identify potential operational and technical implementation issues. Provide information and possible recommendations on these issues to the Standards Committee.</w:t>
      </w:r>
    </w:p>
    <w:p w:rsidR="008E2FC3" w:rsidRDefault="00D24969">
      <w:pPr>
        <w:pStyle w:val="IPPSubheadSpace"/>
      </w:pPr>
      <w:r>
        <w:rPr>
          <w:rStyle w:val="PleaseReviewParagraphId"/>
          <w:b w:val="0"/>
        </w:rPr>
        <w:t>[40]</w:t>
      </w:r>
      <w:r>
        <w:t>Provision of resources</w:t>
      </w:r>
      <w:r>
        <w:rPr>
          <w:color w:val="76923C"/>
        </w:rPr>
        <w:t xml:space="preserve"> </w:t>
      </w:r>
    </w:p>
    <w:p w:rsidR="008E2FC3" w:rsidRDefault="00D24969">
      <w:pPr>
        <w:pStyle w:val="IPPParagraphnumbering"/>
        <w:numPr>
          <w:ilvl w:val="0"/>
          <w:numId w:val="0"/>
        </w:numPr>
        <w:rPr>
          <w:lang w:val="en-GB"/>
        </w:rPr>
      </w:pPr>
      <w:r>
        <w:rPr>
          <w:rStyle w:val="PleaseReviewParagraphId"/>
        </w:rPr>
        <w:t>[41]</w:t>
      </w:r>
      <w:r>
        <w:rPr>
          <w:lang w:val="en-GB"/>
        </w:rPr>
        <w:t xml:space="preserve">Funding for the meeting may be provided from sources other than the regular programme of the IPPC (FAO). As recommended by ICPM-2 (1999), whenever possible, those participating in standard setting activities voluntarily fund their travel and subsistence to attend meetings. Participants may request financial assistance, with the understanding that resources are limited and the priority for financial assistance is given to developing country participants. Please refer to the </w:t>
      </w:r>
      <w:r>
        <w:rPr>
          <w:i/>
          <w:iCs/>
          <w:lang w:val="en-GB"/>
        </w:rPr>
        <w:t>Criteria used for prioritizing participants to receive travel assistance to attend meetings organized by the IPPC Secretariat</w:t>
      </w:r>
      <w:r>
        <w:rPr>
          <w:lang w:val="en-GB"/>
        </w:rPr>
        <w:t xml:space="preserve"> posted on the International Phytosanitary Portal (IPP) (see </w:t>
      </w:r>
      <w:hyperlink r:id="rId8" w:history="1">
        <w:r>
          <w:rPr>
            <w:rStyle w:val="Hyperlink"/>
          </w:rPr>
          <w:t>https://www.ippc.int/en/core-activities/</w:t>
        </w:r>
      </w:hyperlink>
      <w:r>
        <w:rPr>
          <w:lang w:val="en-GB"/>
        </w:rPr>
        <w:t>).</w:t>
      </w:r>
    </w:p>
    <w:p w:rsidR="008E2FC3" w:rsidRDefault="00D24969">
      <w:pPr>
        <w:pStyle w:val="IPPSubheadSpace"/>
      </w:pPr>
      <w:r>
        <w:rPr>
          <w:rStyle w:val="PleaseReviewParagraphId"/>
          <w:b w:val="0"/>
        </w:rPr>
        <w:t>[42]</w:t>
      </w:r>
      <w:r>
        <w:t>Collaborator</w:t>
      </w:r>
    </w:p>
    <w:p w:rsidR="008E2FC3" w:rsidRDefault="00D24969">
      <w:pPr>
        <w:pStyle w:val="IPPParagraphnumbering"/>
        <w:numPr>
          <w:ilvl w:val="0"/>
          <w:numId w:val="0"/>
        </w:numPr>
        <w:rPr>
          <w:lang w:val="en-GB"/>
        </w:rPr>
      </w:pPr>
      <w:r>
        <w:rPr>
          <w:rStyle w:val="PleaseReviewParagraphId"/>
        </w:rPr>
        <w:t>[43]</w:t>
      </w:r>
      <w:r>
        <w:rPr>
          <w:lang w:val="en-GB"/>
        </w:rPr>
        <w:t>To be determined.</w:t>
      </w:r>
    </w:p>
    <w:p w:rsidR="008E2FC3" w:rsidRDefault="00D24969">
      <w:pPr>
        <w:pStyle w:val="IPPSubheadSpace"/>
      </w:pPr>
      <w:r>
        <w:rPr>
          <w:rStyle w:val="PleaseReviewParagraphId"/>
          <w:b w:val="0"/>
        </w:rPr>
        <w:t>[44]</w:t>
      </w:r>
      <w:r>
        <w:t>Steward</w:t>
      </w:r>
    </w:p>
    <w:p w:rsidR="008E2FC3" w:rsidRDefault="00D24969">
      <w:pPr>
        <w:pStyle w:val="IPPParagraphnumbering"/>
        <w:numPr>
          <w:ilvl w:val="0"/>
          <w:numId w:val="0"/>
        </w:numPr>
        <w:rPr>
          <w:lang w:val="en-GB"/>
        </w:rPr>
      </w:pPr>
      <w:r>
        <w:rPr>
          <w:rStyle w:val="PleaseReviewParagraphId"/>
        </w:rPr>
        <w:t>[45]</w:t>
      </w:r>
      <w:r>
        <w:rPr>
          <w:lang w:val="en-GB"/>
        </w:rPr>
        <w:t xml:space="preserve">Please refer to the </w:t>
      </w:r>
      <w:r>
        <w:rPr>
          <w:i/>
          <w:iCs/>
          <w:lang w:val="en-GB"/>
        </w:rPr>
        <w:t>List of topics for IPPC standards</w:t>
      </w:r>
      <w:r>
        <w:rPr>
          <w:lang w:val="en-GB"/>
        </w:rPr>
        <w:t xml:space="preserve"> posted on the IPP (see </w:t>
      </w:r>
      <w:hyperlink r:id="rId9" w:history="1">
        <w:r>
          <w:rPr>
            <w:rStyle w:val="Hyperlink"/>
            <w:lang w:val="en-GB"/>
          </w:rPr>
          <w:t>https://www.ippc.int/core-activities/standards-setting/list-topics-ippc-standards</w:t>
        </w:r>
      </w:hyperlink>
      <w:r>
        <w:rPr>
          <w:lang w:val="en-GB"/>
        </w:rPr>
        <w:t>).</w:t>
      </w:r>
    </w:p>
    <w:p w:rsidR="008E2FC3" w:rsidRDefault="00D24969">
      <w:pPr>
        <w:pStyle w:val="IPPSubheadSpace"/>
      </w:pPr>
      <w:r>
        <w:rPr>
          <w:rStyle w:val="PleaseReviewParagraphId"/>
          <w:b w:val="0"/>
        </w:rPr>
        <w:t>[46]</w:t>
      </w:r>
      <w:r>
        <w:t xml:space="preserve">Expertise </w:t>
      </w:r>
    </w:p>
    <w:p w:rsidR="008E2FC3" w:rsidRDefault="00D24969">
      <w:pPr>
        <w:pStyle w:val="IPPParagraphnumbering"/>
        <w:numPr>
          <w:ilvl w:val="0"/>
          <w:numId w:val="0"/>
        </w:numPr>
        <w:rPr>
          <w:lang w:val="en-GB"/>
        </w:rPr>
      </w:pPr>
      <w:r>
        <w:rPr>
          <w:rStyle w:val="PleaseReviewParagraphId"/>
        </w:rPr>
        <w:t>[47]</w:t>
      </w:r>
      <w:r>
        <w:rPr>
          <w:lang w:val="en-GB"/>
        </w:rPr>
        <w:t xml:space="preserve">Experts with a wide knowledge and experience in one or more of the following areas: the development or implementation of phytosanitary measures to manage the pest risk associated with the production, processing and international movement of seeds, pest risk analysis, seed testing and storage, and use of integrated measures in systems approaches. The EWG should include at least one person with knowledge of existing international guidance related to the international movement of seed; at least one </w:t>
      </w:r>
      <w:r>
        <w:rPr>
          <w:lang w:val="en-GB"/>
        </w:rPr>
        <w:lastRenderedPageBreak/>
        <w:t>person knowledgeable in quality management systems and auditing for compliance; at least one person knowledgeable in seed pathology; and at least one person knowledgeable in operational industry seed-quality management, including seed production, processing and testing.</w:t>
      </w:r>
    </w:p>
    <w:p w:rsidR="008E2FC3" w:rsidRDefault="00D24969">
      <w:pPr>
        <w:pStyle w:val="IPPSubheadSpace"/>
      </w:pPr>
      <w:r>
        <w:rPr>
          <w:rStyle w:val="PleaseReviewParagraphId"/>
          <w:b w:val="0"/>
        </w:rPr>
        <w:t>[48]</w:t>
      </w:r>
      <w:r>
        <w:t>Participants</w:t>
      </w:r>
    </w:p>
    <w:p w:rsidR="008E2FC3" w:rsidRDefault="00D24969">
      <w:pPr>
        <w:pStyle w:val="IPPParagraphnumbering"/>
        <w:numPr>
          <w:ilvl w:val="0"/>
          <w:numId w:val="0"/>
        </w:numPr>
        <w:rPr>
          <w:lang w:val="en-GB"/>
        </w:rPr>
      </w:pPr>
      <w:r>
        <w:rPr>
          <w:rStyle w:val="PleaseReviewParagraphId"/>
        </w:rPr>
        <w:t>[49]</w:t>
      </w:r>
      <w:r>
        <w:rPr>
          <w:lang w:val="en-GB"/>
        </w:rPr>
        <w:t>Five to seven experts.</w:t>
      </w:r>
    </w:p>
    <w:p w:rsidR="008E2FC3" w:rsidRDefault="00D24969">
      <w:pPr>
        <w:pStyle w:val="IPPSubheadSpace"/>
        <w:rPr>
          <w:color w:val="0070C0"/>
        </w:rPr>
      </w:pPr>
      <w:r>
        <w:rPr>
          <w:rStyle w:val="PleaseReviewParagraphId"/>
          <w:b w:val="0"/>
        </w:rPr>
        <w:t>[50]</w:t>
      </w:r>
      <w:r>
        <w:t>References</w:t>
      </w:r>
    </w:p>
    <w:p w:rsidR="008E2FC3" w:rsidRDefault="00D24969">
      <w:pPr>
        <w:pStyle w:val="IPPParagraphnumbering"/>
        <w:numPr>
          <w:ilvl w:val="0"/>
          <w:numId w:val="0"/>
        </w:numPr>
        <w:rPr>
          <w:lang w:val="en-GB"/>
        </w:rPr>
      </w:pPr>
      <w:r>
        <w:rPr>
          <w:rStyle w:val="PleaseReviewParagraphId"/>
        </w:rPr>
        <w:t>[51]</w:t>
      </w:r>
      <w:r>
        <w:rPr>
          <w:lang w:val="en-GB"/>
        </w:rPr>
        <w:t>The IPPC, relevant ISPMs and other national, regional and international standards and agreements as may be applicable to the tasks, and discussion papers submitted in relation to this work.</w:t>
      </w:r>
    </w:p>
    <w:p w:rsidR="008E2FC3" w:rsidRDefault="00D24969">
      <w:pPr>
        <w:pStyle w:val="IPPReferences"/>
        <w:rPr>
          <w:b/>
        </w:rPr>
      </w:pPr>
      <w:r>
        <w:rPr>
          <w:rStyle w:val="PleaseReviewParagraphId"/>
        </w:rPr>
        <w:t>[52]</w:t>
      </w:r>
      <w:r>
        <w:rPr>
          <w:b/>
        </w:rPr>
        <w:t>ASTA</w:t>
      </w:r>
      <w:r>
        <w:rPr>
          <w:bCs/>
        </w:rPr>
        <w:t xml:space="preserve"> (American Seed Trade Association). n.d. The guide to seed quality management. Available at </w:t>
      </w:r>
      <w:r>
        <w:rPr>
          <w:b/>
        </w:rPr>
        <w:t xml:space="preserve"> </w:t>
      </w:r>
      <w:hyperlink r:id="rId10" w:history="1">
        <w:r>
          <w:rPr>
            <w:rStyle w:val="Hyperlink"/>
          </w:rPr>
          <w:t>https://www.betterseed.org/the-guide-to-seed-quality-management/</w:t>
        </w:r>
      </w:hyperlink>
      <w:r>
        <w:t xml:space="preserve"> (last accessed 10 March 2020).</w:t>
      </w:r>
    </w:p>
    <w:p w:rsidR="008E2FC3" w:rsidRDefault="00D24969">
      <w:pPr>
        <w:pStyle w:val="IPPReferences"/>
      </w:pPr>
      <w:r>
        <w:rPr>
          <w:rStyle w:val="PleaseReviewParagraphId"/>
        </w:rPr>
        <w:t>[53]</w:t>
      </w:r>
      <w:r>
        <w:rPr>
          <w:b/>
        </w:rPr>
        <w:t xml:space="preserve">ISPM 2. </w:t>
      </w:r>
      <w:r>
        <w:t xml:space="preserve">2016. </w:t>
      </w:r>
      <w:r>
        <w:rPr>
          <w:i/>
        </w:rPr>
        <w:t>Framework for pest risk analysis</w:t>
      </w:r>
      <w:r>
        <w:t xml:space="preserve">. Rome, IPPC Secretariat, FAO. </w:t>
      </w:r>
    </w:p>
    <w:p w:rsidR="008E2FC3" w:rsidRDefault="00D24969">
      <w:pPr>
        <w:pStyle w:val="IPPReferences"/>
      </w:pPr>
      <w:r>
        <w:rPr>
          <w:rStyle w:val="PleaseReviewParagraphId"/>
        </w:rPr>
        <w:t>[54]</w:t>
      </w:r>
      <w:r>
        <w:rPr>
          <w:b/>
        </w:rPr>
        <w:t>ISPM 5</w:t>
      </w:r>
      <w:r>
        <w:rPr>
          <w:b/>
          <w:bCs/>
        </w:rPr>
        <w:t>.</w:t>
      </w:r>
      <w:r>
        <w:t xml:space="preserve"> 2018</w:t>
      </w:r>
      <w:r>
        <w:rPr>
          <w:bCs/>
        </w:rPr>
        <w:t>.</w:t>
      </w:r>
      <w:r>
        <w:rPr>
          <w:b/>
        </w:rPr>
        <w:t xml:space="preserve"> </w:t>
      </w:r>
      <w:r>
        <w:rPr>
          <w:i/>
        </w:rPr>
        <w:t>Glossary of phytosanitary terms</w:t>
      </w:r>
      <w:r>
        <w:t xml:space="preserve">. Rome, IPPC Secretariat, FAO. </w:t>
      </w:r>
    </w:p>
    <w:p w:rsidR="008E2FC3" w:rsidRDefault="00D24969">
      <w:pPr>
        <w:pStyle w:val="IPPReferences"/>
      </w:pPr>
      <w:r>
        <w:rPr>
          <w:rStyle w:val="PleaseReviewParagraphId"/>
        </w:rPr>
        <w:t>[55]</w:t>
      </w:r>
      <w:r>
        <w:rPr>
          <w:b/>
        </w:rPr>
        <w:t xml:space="preserve">ISPM 10. </w:t>
      </w:r>
      <w:r>
        <w:t xml:space="preserve">2016. </w:t>
      </w:r>
      <w:r>
        <w:rPr>
          <w:i/>
        </w:rPr>
        <w:t>Requirements for the establishment of pest free places of production and pest free production sites.</w:t>
      </w:r>
      <w:r>
        <w:t xml:space="preserve"> Rome, IPPC Secretariat, FAO. </w:t>
      </w:r>
    </w:p>
    <w:p w:rsidR="008E2FC3" w:rsidRDefault="00D24969">
      <w:pPr>
        <w:pStyle w:val="IPPReferences"/>
      </w:pPr>
      <w:r>
        <w:rPr>
          <w:rStyle w:val="PleaseReviewParagraphId"/>
        </w:rPr>
        <w:t>[56]</w:t>
      </w:r>
      <w:r>
        <w:rPr>
          <w:b/>
        </w:rPr>
        <w:t xml:space="preserve">ISPM 11. </w:t>
      </w:r>
      <w:r>
        <w:t xml:space="preserve">2017. </w:t>
      </w:r>
      <w:r>
        <w:rPr>
          <w:i/>
        </w:rPr>
        <w:t>Pest risk</w:t>
      </w:r>
      <w:r>
        <w:t xml:space="preserve"> </w:t>
      </w:r>
      <w:r>
        <w:rPr>
          <w:i/>
        </w:rPr>
        <w:t>analysis for quarantine pests</w:t>
      </w:r>
      <w:r>
        <w:t xml:space="preserve">. Rome, IPPC Secretariat, FAO. </w:t>
      </w:r>
    </w:p>
    <w:p w:rsidR="008E2FC3" w:rsidRDefault="00D24969">
      <w:pPr>
        <w:pStyle w:val="IPPReferences"/>
      </w:pPr>
      <w:r>
        <w:rPr>
          <w:rStyle w:val="PleaseReviewParagraphId"/>
        </w:rPr>
        <w:t>[57]</w:t>
      </w:r>
      <w:r>
        <w:rPr>
          <w:b/>
        </w:rPr>
        <w:t xml:space="preserve">ISPM 12. </w:t>
      </w:r>
      <w:r>
        <w:t xml:space="preserve">2017. </w:t>
      </w:r>
      <w:r>
        <w:rPr>
          <w:i/>
        </w:rPr>
        <w:t>Phytosanitary certificates</w:t>
      </w:r>
      <w:r>
        <w:t xml:space="preserve">. Rome, IPPC Secretariat, FAO. </w:t>
      </w:r>
    </w:p>
    <w:p w:rsidR="008E2FC3" w:rsidRDefault="00D24969">
      <w:pPr>
        <w:pStyle w:val="IPPReferences"/>
      </w:pPr>
      <w:r>
        <w:rPr>
          <w:rStyle w:val="PleaseReviewParagraphId"/>
        </w:rPr>
        <w:t>[58]</w:t>
      </w:r>
      <w:r>
        <w:rPr>
          <w:b/>
        </w:rPr>
        <w:t xml:space="preserve">ISPM 14. </w:t>
      </w:r>
      <w:r>
        <w:t xml:space="preserve">2017. </w:t>
      </w:r>
      <w:r>
        <w:rPr>
          <w:i/>
        </w:rPr>
        <w:t>The use of integrated measures in a systems approach for pest risk management</w:t>
      </w:r>
      <w:r>
        <w:t>. Rome, IPPC Secretariat, FAO.</w:t>
      </w:r>
    </w:p>
    <w:p w:rsidR="008E2FC3" w:rsidRDefault="00D24969">
      <w:pPr>
        <w:pStyle w:val="IPPReferences"/>
      </w:pPr>
      <w:r>
        <w:rPr>
          <w:rStyle w:val="PleaseReviewParagraphId"/>
        </w:rPr>
        <w:t>[59]</w:t>
      </w:r>
      <w:r>
        <w:rPr>
          <w:b/>
        </w:rPr>
        <w:t xml:space="preserve">ISPM 20. </w:t>
      </w:r>
      <w:r>
        <w:t xml:space="preserve">2018. </w:t>
      </w:r>
      <w:r>
        <w:rPr>
          <w:i/>
        </w:rPr>
        <w:t>Guidelines for a phytosanitary import regulatory system.</w:t>
      </w:r>
      <w:r>
        <w:t xml:space="preserve"> Rome, IPPC Secretariat, FAO. </w:t>
      </w:r>
    </w:p>
    <w:p w:rsidR="008E2FC3" w:rsidRDefault="00D24969">
      <w:pPr>
        <w:pStyle w:val="IPPReferences"/>
      </w:pPr>
      <w:r>
        <w:rPr>
          <w:rStyle w:val="PleaseReviewParagraphId"/>
        </w:rPr>
        <w:t>[60]</w:t>
      </w:r>
      <w:r>
        <w:rPr>
          <w:b/>
        </w:rPr>
        <w:t xml:space="preserve">ISPM 23. </w:t>
      </w:r>
      <w:r>
        <w:t xml:space="preserve">2016. </w:t>
      </w:r>
      <w:r>
        <w:rPr>
          <w:i/>
        </w:rPr>
        <w:t>Guidelines for inspection</w:t>
      </w:r>
      <w:r>
        <w:t xml:space="preserve">. Rome, IPPC Secretariat, FAO. </w:t>
      </w:r>
    </w:p>
    <w:p w:rsidR="008E2FC3" w:rsidRDefault="00D24969">
      <w:pPr>
        <w:pStyle w:val="IPPReferences"/>
      </w:pPr>
      <w:r>
        <w:rPr>
          <w:rStyle w:val="PleaseReviewParagraphId"/>
        </w:rPr>
        <w:t>[61]</w:t>
      </w:r>
      <w:r>
        <w:rPr>
          <w:b/>
        </w:rPr>
        <w:t>ISPM 27</w:t>
      </w:r>
      <w:r>
        <w:rPr>
          <w:b/>
          <w:bCs/>
        </w:rPr>
        <w:t>.</w:t>
      </w:r>
      <w:r>
        <w:t xml:space="preserve"> 2016. </w:t>
      </w:r>
      <w:r>
        <w:rPr>
          <w:i/>
        </w:rPr>
        <w:t>Diagnostic protocols for regulated pests</w:t>
      </w:r>
      <w:r>
        <w:t xml:space="preserve">. Rome, IPPC Secretariat, FAO. </w:t>
      </w:r>
    </w:p>
    <w:p w:rsidR="008E2FC3" w:rsidRDefault="00D24969">
      <w:pPr>
        <w:pStyle w:val="IPPReferences"/>
      </w:pPr>
      <w:r>
        <w:rPr>
          <w:rStyle w:val="PleaseReviewParagraphId"/>
        </w:rPr>
        <w:t>[62]</w:t>
      </w:r>
      <w:r>
        <w:rPr>
          <w:b/>
        </w:rPr>
        <w:t xml:space="preserve">ISPM 31. </w:t>
      </w:r>
      <w:r>
        <w:t xml:space="preserve">2016. </w:t>
      </w:r>
      <w:r>
        <w:rPr>
          <w:i/>
        </w:rPr>
        <w:t>Methodologies for sampling of consignments</w:t>
      </w:r>
      <w:r>
        <w:t xml:space="preserve">. Rome, IPPC Secretariat, FAO. </w:t>
      </w:r>
    </w:p>
    <w:p w:rsidR="008E2FC3" w:rsidRDefault="00D24969">
      <w:pPr>
        <w:pStyle w:val="IPPReferences"/>
      </w:pPr>
      <w:r>
        <w:rPr>
          <w:rStyle w:val="PleaseReviewParagraphId"/>
        </w:rPr>
        <w:t>[63]</w:t>
      </w:r>
      <w:r>
        <w:rPr>
          <w:b/>
        </w:rPr>
        <w:t xml:space="preserve">ISPM 32. </w:t>
      </w:r>
      <w:r>
        <w:t xml:space="preserve">2016. </w:t>
      </w:r>
      <w:r>
        <w:rPr>
          <w:i/>
        </w:rPr>
        <w:t>Categorization of commodities according to their pest risk.</w:t>
      </w:r>
      <w:r>
        <w:t xml:space="preserve"> Rome, IPPC Secretariat, FAO. </w:t>
      </w:r>
    </w:p>
    <w:p w:rsidR="008E2FC3" w:rsidRDefault="00D24969">
      <w:pPr>
        <w:pStyle w:val="IPPReferences"/>
      </w:pPr>
      <w:r>
        <w:rPr>
          <w:rStyle w:val="PleaseReviewParagraphId"/>
        </w:rPr>
        <w:t>[64]</w:t>
      </w:r>
      <w:r>
        <w:rPr>
          <w:b/>
        </w:rPr>
        <w:t xml:space="preserve">ISPM 38. </w:t>
      </w:r>
      <w:r>
        <w:t xml:space="preserve">2018. </w:t>
      </w:r>
      <w:r>
        <w:rPr>
          <w:i/>
        </w:rPr>
        <w:t>International movement of seeds</w:t>
      </w:r>
      <w:r>
        <w:t xml:space="preserve">. Rome, IPPC Secretariat, FAO. </w:t>
      </w:r>
    </w:p>
    <w:p w:rsidR="008E2FC3" w:rsidRDefault="00D24969">
      <w:pPr>
        <w:pStyle w:val="IPPReferences"/>
        <w:spacing w:after="180"/>
      </w:pPr>
      <w:r>
        <w:rPr>
          <w:rStyle w:val="PleaseReviewParagraphId"/>
        </w:rPr>
        <w:t>[65]</w:t>
      </w:r>
      <w:r>
        <w:rPr>
          <w:b/>
        </w:rPr>
        <w:t>NAPPO</w:t>
      </w:r>
      <w:r>
        <w:rPr>
          <w:bCs/>
        </w:rPr>
        <w:t xml:space="preserve"> (North American Plant Protection Organization).</w:t>
      </w:r>
      <w:r>
        <w:rPr>
          <w:b/>
        </w:rPr>
        <w:t xml:space="preserve"> </w:t>
      </w:r>
      <w:r>
        <w:t xml:space="preserve">2014. </w:t>
      </w:r>
      <w:r>
        <w:rPr>
          <w:i/>
          <w:iCs/>
        </w:rPr>
        <w:t>Principles of pest risk management for the import of commodities</w:t>
      </w:r>
      <w:r>
        <w:t>. Regional Standard for Phytosanitary Measures (RSPM) 40. Ottawa, NAPPO. 28 pp.</w:t>
      </w:r>
    </w:p>
    <w:p w:rsidR="008E2FC3" w:rsidRDefault="00D24969">
      <w:pPr>
        <w:pStyle w:val="IPPSubheadSpace"/>
      </w:pPr>
      <w:r>
        <w:rPr>
          <w:rStyle w:val="PleaseReviewParagraphId"/>
          <w:b w:val="0"/>
        </w:rPr>
        <w:t>[66]</w:t>
      </w:r>
      <w:r>
        <w:t>Discussion papers</w:t>
      </w:r>
    </w:p>
    <w:p w:rsidR="008E2FC3" w:rsidRDefault="00D24969">
      <w:r>
        <w:rPr>
          <w:rStyle w:val="PleaseReviewParagraphId"/>
        </w:rPr>
        <w:t>[67]</w:t>
      </w:r>
      <w:r>
        <w:t>Participants</w:t>
      </w:r>
      <w:r>
        <w:rPr>
          <w:lang w:eastAsia="ja-JP"/>
        </w:rPr>
        <w:t xml:space="preserve"> and interested parties are encouraged to submit </w:t>
      </w:r>
      <w:r>
        <w:t>discussion</w:t>
      </w:r>
      <w:r>
        <w:rPr>
          <w:lang w:eastAsia="ja-JP"/>
        </w:rPr>
        <w:t xml:space="preserve"> papers to the IPPC Secretariat (</w:t>
      </w:r>
      <w:hyperlink r:id="rId11" w:history="1">
        <w:r>
          <w:rPr>
            <w:rStyle w:val="Hyperlink"/>
            <w:lang w:val="en-US"/>
          </w:rPr>
          <w:t>ippc@fao.org</w:t>
        </w:r>
      </w:hyperlink>
      <w:r>
        <w:rPr>
          <w:lang w:eastAsia="ja-JP"/>
        </w:rPr>
        <w:t>) for consideration by the EWG</w:t>
      </w:r>
      <w:r>
        <w:t>.</w:t>
      </w:r>
    </w:p>
    <w:sectPr w:rsidR="008E2FC3">
      <w:footerReference w:type="default" r:id="rId12"/>
      <w:pgSz w:w="11906" w:h="16838" w:code="9"/>
      <w:pgMar w:top="1555" w:right="1411" w:bottom="1411" w:left="1411" w:header="720" w:footer="720" w:gutter="0"/>
      <w:cols w:space="720"/>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0F15B" w16cid:durableId="2210D180"/>
  <w16cid:commentId w16cid:paraId="085023CC" w16cid:durableId="2210D60C"/>
  <w16cid:commentId w16cid:paraId="7B4F22B8" w16cid:durableId="2213760A"/>
  <w16cid:commentId w16cid:paraId="473E2724" w16cid:durableId="22149E15"/>
  <w16cid:commentId w16cid:paraId="57648376" w16cid:durableId="2214C6D6"/>
  <w16cid:commentId w16cid:paraId="4942EDBA" w16cid:durableId="2216425D"/>
  <w16cid:commentId w16cid:paraId="31098296" w16cid:durableId="22162416"/>
  <w16cid:commentId w16cid:paraId="362A4559" w16cid:durableId="2214C789"/>
  <w16cid:commentId w16cid:paraId="129E4A4F" w16cid:durableId="22163C43"/>
  <w16cid:commentId w16cid:paraId="6DAD05A6" w16cid:durableId="22163723"/>
  <w16cid:commentId w16cid:paraId="67C0EEF8" w16cid:durableId="22163A1C"/>
  <w16cid:commentId w16cid:paraId="1DE355D6" w16cid:durableId="22164314"/>
  <w16cid:commentId w16cid:paraId="69915BEB" w16cid:durableId="221643C1"/>
  <w16cid:commentId w16cid:paraId="03B9439C" w16cid:durableId="2216277C"/>
  <w16cid:commentId w16cid:paraId="42634775" w16cid:durableId="2214C830"/>
  <w16cid:commentId w16cid:paraId="061B9500" w16cid:durableId="2214FBFC"/>
  <w16cid:commentId w16cid:paraId="232A5840" w16cid:durableId="2214C981"/>
  <w16cid:commentId w16cid:paraId="26EE41D6" w16cid:durableId="2210D9AF"/>
  <w16cid:commentId w16cid:paraId="3CC3032A" w16cid:durableId="22120248"/>
  <w16cid:commentId w16cid:paraId="0F133315" w16cid:durableId="221203D2"/>
  <w16cid:commentId w16cid:paraId="116C48AA" w16cid:durableId="2212042A"/>
  <w16cid:commentId w16cid:paraId="7C7146B0" w16cid:durableId="22120318"/>
  <w16cid:commentId w16cid:paraId="1205BA0E" w16cid:durableId="2214CA1E"/>
  <w16cid:commentId w16cid:paraId="2DC2CAD2" w16cid:durableId="22163608"/>
  <w16cid:commentId w16cid:paraId="6CD044DE" w16cid:durableId="22163FA4"/>
  <w16cid:commentId w16cid:paraId="29B39D4D" w16cid:durableId="22164003"/>
  <w16cid:commentId w16cid:paraId="4C7A14D6" w16cid:durableId="2212181E"/>
  <w16cid:commentId w16cid:paraId="5388CFD9" w16cid:durableId="2210E0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1B9" w:rsidRDefault="002071B9">
      <w:r>
        <w:rPr>
          <w:rStyle w:val="PleaseReviewParagraphId"/>
        </w:rPr>
        <w:t>[]</w:t>
      </w:r>
      <w:r>
        <w:separator/>
      </w:r>
    </w:p>
  </w:endnote>
  <w:endnote w:type="continuationSeparator" w:id="0">
    <w:p w:rsidR="002071B9" w:rsidRDefault="002071B9">
      <w:r>
        <w:rPr>
          <w:rStyle w:val="PleaseReviewParagraphId"/>
        </w:rPr>
        <w:t>[]</w:t>
      </w:r>
      <w:r>
        <w:continuationSeparator/>
      </w:r>
    </w:p>
  </w:endnote>
  <w:endnote w:type="continuationNotice" w:id="1">
    <w:p w:rsidR="002071B9" w:rsidRDefault="002071B9">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FC3" w:rsidRDefault="00D24969">
    <w:pPr>
      <w:pStyle w:val="Footer"/>
      <w:jc w:val="right"/>
    </w:pPr>
    <w:r>
      <w:rPr>
        <w:rStyle w:val="PleaseReviewParagraphId"/>
      </w:rPr>
      <w:t>[68]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1B9" w:rsidRDefault="002071B9">
      <w:r>
        <w:rPr>
          <w:rStyle w:val="PleaseReviewParagraphId"/>
        </w:rPr>
        <w:t>[]</w:t>
      </w:r>
      <w:r>
        <w:separator/>
      </w:r>
    </w:p>
  </w:footnote>
  <w:footnote w:type="continuationSeparator" w:id="0">
    <w:p w:rsidR="002071B9" w:rsidRDefault="002071B9">
      <w:r>
        <w:rPr>
          <w:rStyle w:val="PleaseReviewParagraphId"/>
        </w:rPr>
        <w:t>[]</w:t>
      </w:r>
      <w:r>
        <w:continuationSeparator/>
      </w:r>
    </w:p>
  </w:footnote>
  <w:footnote w:type="continuationNotice" w:id="1">
    <w:p w:rsidR="002071B9" w:rsidRDefault="002071B9">
      <w:r>
        <w:rPr>
          <w:rStyle w:val="PleaseReviewParagraph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E71FF"/>
    <w:multiLevelType w:val="multilevel"/>
    <w:tmpl w:val="0A408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lvlText w:val="Appendix %1"/>
      <w:lvlJc w:val="left"/>
      <w:pPr>
        <w:ind w:left="964" w:hanging="964"/>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
  </w:num>
  <w:num w:numId="3">
    <w:abstractNumId w:val="11"/>
  </w:num>
  <w:num w:numId="4">
    <w:abstractNumId w:val="21"/>
  </w:num>
  <w:num w:numId="5">
    <w:abstractNumId w:val="15"/>
  </w:num>
  <w:num w:numId="6">
    <w:abstractNumId w:val="12"/>
  </w:num>
  <w:num w:numId="7">
    <w:abstractNumId w:val="22"/>
  </w:num>
  <w:num w:numId="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
  </w:num>
  <w:num w:numId="10">
    <w:abstractNumId w:val="19"/>
  </w:num>
  <w:num w:numId="11">
    <w:abstractNumId w:val="16"/>
  </w:num>
  <w:num w:numId="12">
    <w:abstractNumId w:val="14"/>
  </w:num>
  <w:num w:numId="13">
    <w:abstractNumId w:val="5"/>
  </w:num>
  <w:num w:numId="14">
    <w:abstractNumId w:val="7"/>
  </w:num>
  <w:num w:numId="15">
    <w:abstractNumId w:val="0"/>
  </w:num>
  <w:num w:numId="16">
    <w:abstractNumId w:val="9"/>
  </w:num>
  <w:num w:numId="17">
    <w:abstractNumId w:val="20"/>
  </w:num>
  <w:num w:numId="18">
    <w:abstractNumId w:val="10"/>
  </w:num>
  <w:num w:numId="19">
    <w:abstractNumId w:val="17"/>
  </w:num>
  <w:num w:numId="20">
    <w:abstractNumId w:va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AF2"/>
    <w:rsid w:val="00001FBC"/>
    <w:rsid w:val="00005748"/>
    <w:rsid w:val="0001585F"/>
    <w:rsid w:val="00020DD0"/>
    <w:rsid w:val="000214B5"/>
    <w:rsid w:val="00026FFE"/>
    <w:rsid w:val="00035BEA"/>
    <w:rsid w:val="00045E0D"/>
    <w:rsid w:val="0004790A"/>
    <w:rsid w:val="00053964"/>
    <w:rsid w:val="00063CA4"/>
    <w:rsid w:val="00074A88"/>
    <w:rsid w:val="00075698"/>
    <w:rsid w:val="000770DD"/>
    <w:rsid w:val="00091A31"/>
    <w:rsid w:val="000931C2"/>
    <w:rsid w:val="000A2F4B"/>
    <w:rsid w:val="000A6AE7"/>
    <w:rsid w:val="000B06DC"/>
    <w:rsid w:val="000B31FB"/>
    <w:rsid w:val="000B32EC"/>
    <w:rsid w:val="000D1D92"/>
    <w:rsid w:val="000D6C25"/>
    <w:rsid w:val="000E51CF"/>
    <w:rsid w:val="000F1734"/>
    <w:rsid w:val="00106B22"/>
    <w:rsid w:val="001133E9"/>
    <w:rsid w:val="00113E86"/>
    <w:rsid w:val="001141F1"/>
    <w:rsid w:val="00121155"/>
    <w:rsid w:val="00143601"/>
    <w:rsid w:val="00155952"/>
    <w:rsid w:val="00160B95"/>
    <w:rsid w:val="00163EE7"/>
    <w:rsid w:val="00167857"/>
    <w:rsid w:val="0017269C"/>
    <w:rsid w:val="0017531C"/>
    <w:rsid w:val="00175C2A"/>
    <w:rsid w:val="0017613D"/>
    <w:rsid w:val="00181E61"/>
    <w:rsid w:val="00183D3D"/>
    <w:rsid w:val="00186E9D"/>
    <w:rsid w:val="001A53B7"/>
    <w:rsid w:val="001B1F32"/>
    <w:rsid w:val="001B227A"/>
    <w:rsid w:val="001B2BCE"/>
    <w:rsid w:val="001B351B"/>
    <w:rsid w:val="001B56B6"/>
    <w:rsid w:val="001B5A8A"/>
    <w:rsid w:val="001C24DE"/>
    <w:rsid w:val="001D03B8"/>
    <w:rsid w:val="001D15DA"/>
    <w:rsid w:val="001D6DBF"/>
    <w:rsid w:val="001E3275"/>
    <w:rsid w:val="001E3A9D"/>
    <w:rsid w:val="001E4A36"/>
    <w:rsid w:val="001E57E9"/>
    <w:rsid w:val="001E7182"/>
    <w:rsid w:val="001E7364"/>
    <w:rsid w:val="001F378C"/>
    <w:rsid w:val="001F421E"/>
    <w:rsid w:val="001F7504"/>
    <w:rsid w:val="001F7F84"/>
    <w:rsid w:val="00203A85"/>
    <w:rsid w:val="00206366"/>
    <w:rsid w:val="002067CF"/>
    <w:rsid w:val="002071B9"/>
    <w:rsid w:val="00210696"/>
    <w:rsid w:val="00216204"/>
    <w:rsid w:val="00220799"/>
    <w:rsid w:val="002242E9"/>
    <w:rsid w:val="0023111E"/>
    <w:rsid w:val="00247083"/>
    <w:rsid w:val="00247E09"/>
    <w:rsid w:val="00250E3C"/>
    <w:rsid w:val="00257DCF"/>
    <w:rsid w:val="002613D4"/>
    <w:rsid w:val="00266D5E"/>
    <w:rsid w:val="0028361D"/>
    <w:rsid w:val="002A0580"/>
    <w:rsid w:val="002A0B51"/>
    <w:rsid w:val="002A3164"/>
    <w:rsid w:val="002A4777"/>
    <w:rsid w:val="002B0379"/>
    <w:rsid w:val="002B28A6"/>
    <w:rsid w:val="002B2FC2"/>
    <w:rsid w:val="002B4943"/>
    <w:rsid w:val="002B5B86"/>
    <w:rsid w:val="002C4969"/>
    <w:rsid w:val="002C4D4D"/>
    <w:rsid w:val="002C6823"/>
    <w:rsid w:val="002C7B2A"/>
    <w:rsid w:val="002D6DE6"/>
    <w:rsid w:val="002E71B7"/>
    <w:rsid w:val="002F0B33"/>
    <w:rsid w:val="002F0B8A"/>
    <w:rsid w:val="002F27D7"/>
    <w:rsid w:val="002F3F4A"/>
    <w:rsid w:val="002F63F3"/>
    <w:rsid w:val="002F660C"/>
    <w:rsid w:val="002F6E33"/>
    <w:rsid w:val="002F705C"/>
    <w:rsid w:val="00302E9F"/>
    <w:rsid w:val="003039E4"/>
    <w:rsid w:val="00304944"/>
    <w:rsid w:val="00312C2A"/>
    <w:rsid w:val="00312D2D"/>
    <w:rsid w:val="003157CC"/>
    <w:rsid w:val="00315FB8"/>
    <w:rsid w:val="00317972"/>
    <w:rsid w:val="00323F14"/>
    <w:rsid w:val="003279DF"/>
    <w:rsid w:val="00334DD8"/>
    <w:rsid w:val="00337063"/>
    <w:rsid w:val="00342DE7"/>
    <w:rsid w:val="003458FE"/>
    <w:rsid w:val="00347C73"/>
    <w:rsid w:val="00363593"/>
    <w:rsid w:val="00364DEB"/>
    <w:rsid w:val="00364FB6"/>
    <w:rsid w:val="003654EE"/>
    <w:rsid w:val="00365B9D"/>
    <w:rsid w:val="003711BC"/>
    <w:rsid w:val="003717C2"/>
    <w:rsid w:val="00371FA6"/>
    <w:rsid w:val="003771B6"/>
    <w:rsid w:val="00377343"/>
    <w:rsid w:val="00383241"/>
    <w:rsid w:val="00384E14"/>
    <w:rsid w:val="003862D2"/>
    <w:rsid w:val="003910FC"/>
    <w:rsid w:val="003950E4"/>
    <w:rsid w:val="003A0E5C"/>
    <w:rsid w:val="003A1A91"/>
    <w:rsid w:val="003B1FC9"/>
    <w:rsid w:val="003B20F1"/>
    <w:rsid w:val="003D3FEC"/>
    <w:rsid w:val="003D6110"/>
    <w:rsid w:val="003D7576"/>
    <w:rsid w:val="0041584E"/>
    <w:rsid w:val="00417C92"/>
    <w:rsid w:val="004233B4"/>
    <w:rsid w:val="00427923"/>
    <w:rsid w:val="00436E73"/>
    <w:rsid w:val="004377E7"/>
    <w:rsid w:val="004421EA"/>
    <w:rsid w:val="00442264"/>
    <w:rsid w:val="00454B27"/>
    <w:rsid w:val="00457449"/>
    <w:rsid w:val="0046084A"/>
    <w:rsid w:val="004613BB"/>
    <w:rsid w:val="00463858"/>
    <w:rsid w:val="00464F9D"/>
    <w:rsid w:val="00466E6C"/>
    <w:rsid w:val="00470E1E"/>
    <w:rsid w:val="004936E7"/>
    <w:rsid w:val="004A27DE"/>
    <w:rsid w:val="004A373D"/>
    <w:rsid w:val="004B689F"/>
    <w:rsid w:val="004B6B5C"/>
    <w:rsid w:val="004C6850"/>
    <w:rsid w:val="004D33C3"/>
    <w:rsid w:val="004D42C9"/>
    <w:rsid w:val="004D6C20"/>
    <w:rsid w:val="004E6CE0"/>
    <w:rsid w:val="00503F0B"/>
    <w:rsid w:val="00506938"/>
    <w:rsid w:val="00506AF7"/>
    <w:rsid w:val="00510816"/>
    <w:rsid w:val="00515D1C"/>
    <w:rsid w:val="005205CE"/>
    <w:rsid w:val="0052152A"/>
    <w:rsid w:val="005279D9"/>
    <w:rsid w:val="005438FB"/>
    <w:rsid w:val="00546AD8"/>
    <w:rsid w:val="00551F3A"/>
    <w:rsid w:val="00553296"/>
    <w:rsid w:val="00554031"/>
    <w:rsid w:val="00563FA2"/>
    <w:rsid w:val="00573E74"/>
    <w:rsid w:val="0058269A"/>
    <w:rsid w:val="005915A4"/>
    <w:rsid w:val="005A0C64"/>
    <w:rsid w:val="005A1C0E"/>
    <w:rsid w:val="005A31C7"/>
    <w:rsid w:val="005A630F"/>
    <w:rsid w:val="005B4EAF"/>
    <w:rsid w:val="005C1BD0"/>
    <w:rsid w:val="005C2B88"/>
    <w:rsid w:val="005D3AB4"/>
    <w:rsid w:val="005D3E96"/>
    <w:rsid w:val="005D5199"/>
    <w:rsid w:val="005D6636"/>
    <w:rsid w:val="005E0BDE"/>
    <w:rsid w:val="005E6F6B"/>
    <w:rsid w:val="005F169C"/>
    <w:rsid w:val="005F17DA"/>
    <w:rsid w:val="005F334E"/>
    <w:rsid w:val="005F6755"/>
    <w:rsid w:val="005F71AD"/>
    <w:rsid w:val="00600ED3"/>
    <w:rsid w:val="00603489"/>
    <w:rsid w:val="00605507"/>
    <w:rsid w:val="00606F5F"/>
    <w:rsid w:val="006166BF"/>
    <w:rsid w:val="00623976"/>
    <w:rsid w:val="006276E8"/>
    <w:rsid w:val="006438AB"/>
    <w:rsid w:val="0065675C"/>
    <w:rsid w:val="00657468"/>
    <w:rsid w:val="0067537B"/>
    <w:rsid w:val="00675AF3"/>
    <w:rsid w:val="00676AC2"/>
    <w:rsid w:val="00691AF6"/>
    <w:rsid w:val="006A1747"/>
    <w:rsid w:val="006A2D6D"/>
    <w:rsid w:val="006A6242"/>
    <w:rsid w:val="006A6B49"/>
    <w:rsid w:val="006B1D06"/>
    <w:rsid w:val="006B50AE"/>
    <w:rsid w:val="006B5821"/>
    <w:rsid w:val="006B7A5A"/>
    <w:rsid w:val="006C21FC"/>
    <w:rsid w:val="006C27BA"/>
    <w:rsid w:val="006C2A00"/>
    <w:rsid w:val="006C2E49"/>
    <w:rsid w:val="006C567F"/>
    <w:rsid w:val="006D100B"/>
    <w:rsid w:val="006D725C"/>
    <w:rsid w:val="006E2C95"/>
    <w:rsid w:val="006F4E75"/>
    <w:rsid w:val="006F4F29"/>
    <w:rsid w:val="006F659F"/>
    <w:rsid w:val="006F6E5D"/>
    <w:rsid w:val="00703EF5"/>
    <w:rsid w:val="0070601B"/>
    <w:rsid w:val="007075F6"/>
    <w:rsid w:val="00712E4F"/>
    <w:rsid w:val="00716EC9"/>
    <w:rsid w:val="007228A8"/>
    <w:rsid w:val="007228CD"/>
    <w:rsid w:val="00730ADA"/>
    <w:rsid w:val="00731606"/>
    <w:rsid w:val="0073679E"/>
    <w:rsid w:val="0074142D"/>
    <w:rsid w:val="007417FC"/>
    <w:rsid w:val="00743B80"/>
    <w:rsid w:val="00755588"/>
    <w:rsid w:val="00760E9A"/>
    <w:rsid w:val="00764047"/>
    <w:rsid w:val="00770443"/>
    <w:rsid w:val="0077292D"/>
    <w:rsid w:val="0078264B"/>
    <w:rsid w:val="00782959"/>
    <w:rsid w:val="0078689D"/>
    <w:rsid w:val="007873EA"/>
    <w:rsid w:val="007A3577"/>
    <w:rsid w:val="007B2389"/>
    <w:rsid w:val="007B2F20"/>
    <w:rsid w:val="007C168C"/>
    <w:rsid w:val="007D0F34"/>
    <w:rsid w:val="007D2C97"/>
    <w:rsid w:val="007E5631"/>
    <w:rsid w:val="007E5FE0"/>
    <w:rsid w:val="007F27DC"/>
    <w:rsid w:val="00800243"/>
    <w:rsid w:val="008032C8"/>
    <w:rsid w:val="00811B8D"/>
    <w:rsid w:val="00812EC7"/>
    <w:rsid w:val="00816C21"/>
    <w:rsid w:val="00821CB1"/>
    <w:rsid w:val="00826C30"/>
    <w:rsid w:val="00827448"/>
    <w:rsid w:val="00834564"/>
    <w:rsid w:val="00842047"/>
    <w:rsid w:val="008464C2"/>
    <w:rsid w:val="008622FF"/>
    <w:rsid w:val="0087399B"/>
    <w:rsid w:val="00875202"/>
    <w:rsid w:val="0087685A"/>
    <w:rsid w:val="008778BC"/>
    <w:rsid w:val="00895E33"/>
    <w:rsid w:val="00897416"/>
    <w:rsid w:val="00897515"/>
    <w:rsid w:val="008A1214"/>
    <w:rsid w:val="008A1799"/>
    <w:rsid w:val="008A1D96"/>
    <w:rsid w:val="008A24EA"/>
    <w:rsid w:val="008A42B1"/>
    <w:rsid w:val="008A501B"/>
    <w:rsid w:val="008B01D5"/>
    <w:rsid w:val="008B13CB"/>
    <w:rsid w:val="008C0604"/>
    <w:rsid w:val="008C2B1F"/>
    <w:rsid w:val="008C331F"/>
    <w:rsid w:val="008C3E20"/>
    <w:rsid w:val="008E1E55"/>
    <w:rsid w:val="008E2FC3"/>
    <w:rsid w:val="008E507F"/>
    <w:rsid w:val="008F26E6"/>
    <w:rsid w:val="008F62B1"/>
    <w:rsid w:val="008F6683"/>
    <w:rsid w:val="008F7EE8"/>
    <w:rsid w:val="009019AD"/>
    <w:rsid w:val="0090237C"/>
    <w:rsid w:val="00905D6E"/>
    <w:rsid w:val="009109F3"/>
    <w:rsid w:val="00914459"/>
    <w:rsid w:val="00920FFE"/>
    <w:rsid w:val="00923C0B"/>
    <w:rsid w:val="00924B88"/>
    <w:rsid w:val="0092609B"/>
    <w:rsid w:val="00926E65"/>
    <w:rsid w:val="0093028F"/>
    <w:rsid w:val="009321D1"/>
    <w:rsid w:val="00933E70"/>
    <w:rsid w:val="00943041"/>
    <w:rsid w:val="00943935"/>
    <w:rsid w:val="009528DC"/>
    <w:rsid w:val="009545EA"/>
    <w:rsid w:val="00956E2D"/>
    <w:rsid w:val="0096151C"/>
    <w:rsid w:val="0096776E"/>
    <w:rsid w:val="009719B7"/>
    <w:rsid w:val="0097249B"/>
    <w:rsid w:val="0097412E"/>
    <w:rsid w:val="00974B2A"/>
    <w:rsid w:val="009761BF"/>
    <w:rsid w:val="00984D84"/>
    <w:rsid w:val="009918CB"/>
    <w:rsid w:val="009A0115"/>
    <w:rsid w:val="009A0543"/>
    <w:rsid w:val="009A2407"/>
    <w:rsid w:val="009A3A5A"/>
    <w:rsid w:val="009A4AC5"/>
    <w:rsid w:val="009A73B3"/>
    <w:rsid w:val="009B18B8"/>
    <w:rsid w:val="009B3464"/>
    <w:rsid w:val="009C00E2"/>
    <w:rsid w:val="009C14E6"/>
    <w:rsid w:val="009C44C3"/>
    <w:rsid w:val="009D5E3B"/>
    <w:rsid w:val="009E0EBF"/>
    <w:rsid w:val="009E1649"/>
    <w:rsid w:val="009F1B23"/>
    <w:rsid w:val="00A0350E"/>
    <w:rsid w:val="00A11613"/>
    <w:rsid w:val="00A15992"/>
    <w:rsid w:val="00A22F56"/>
    <w:rsid w:val="00A24DCF"/>
    <w:rsid w:val="00A34B7D"/>
    <w:rsid w:val="00A34BA5"/>
    <w:rsid w:val="00A44981"/>
    <w:rsid w:val="00A5526E"/>
    <w:rsid w:val="00A56146"/>
    <w:rsid w:val="00A568E5"/>
    <w:rsid w:val="00A5695C"/>
    <w:rsid w:val="00A61346"/>
    <w:rsid w:val="00A63775"/>
    <w:rsid w:val="00A67534"/>
    <w:rsid w:val="00A71C64"/>
    <w:rsid w:val="00A84119"/>
    <w:rsid w:val="00A86372"/>
    <w:rsid w:val="00A91E83"/>
    <w:rsid w:val="00A92A9E"/>
    <w:rsid w:val="00A96961"/>
    <w:rsid w:val="00A9699B"/>
    <w:rsid w:val="00AA20E7"/>
    <w:rsid w:val="00AB372E"/>
    <w:rsid w:val="00AB5650"/>
    <w:rsid w:val="00AC300F"/>
    <w:rsid w:val="00AC332E"/>
    <w:rsid w:val="00AC5185"/>
    <w:rsid w:val="00AD3646"/>
    <w:rsid w:val="00AF68E3"/>
    <w:rsid w:val="00B06682"/>
    <w:rsid w:val="00B15977"/>
    <w:rsid w:val="00B16DDB"/>
    <w:rsid w:val="00B22448"/>
    <w:rsid w:val="00B2441D"/>
    <w:rsid w:val="00B37567"/>
    <w:rsid w:val="00B421A0"/>
    <w:rsid w:val="00B425D1"/>
    <w:rsid w:val="00B460C3"/>
    <w:rsid w:val="00B55AE9"/>
    <w:rsid w:val="00B57EA1"/>
    <w:rsid w:val="00B733D5"/>
    <w:rsid w:val="00B749BC"/>
    <w:rsid w:val="00B80E03"/>
    <w:rsid w:val="00B81262"/>
    <w:rsid w:val="00B81CF9"/>
    <w:rsid w:val="00B84DFA"/>
    <w:rsid w:val="00BB1A0F"/>
    <w:rsid w:val="00BB3E51"/>
    <w:rsid w:val="00BB53B7"/>
    <w:rsid w:val="00BB5D2D"/>
    <w:rsid w:val="00BC32B2"/>
    <w:rsid w:val="00BC564C"/>
    <w:rsid w:val="00BC7E27"/>
    <w:rsid w:val="00BD2002"/>
    <w:rsid w:val="00BE2EF1"/>
    <w:rsid w:val="00BE39A4"/>
    <w:rsid w:val="00BE5876"/>
    <w:rsid w:val="00BE5BA2"/>
    <w:rsid w:val="00BE5E2C"/>
    <w:rsid w:val="00BE6544"/>
    <w:rsid w:val="00BE6D70"/>
    <w:rsid w:val="00BF46B5"/>
    <w:rsid w:val="00BF4ADB"/>
    <w:rsid w:val="00C0053F"/>
    <w:rsid w:val="00C03005"/>
    <w:rsid w:val="00C0492D"/>
    <w:rsid w:val="00C152E4"/>
    <w:rsid w:val="00C1534B"/>
    <w:rsid w:val="00C23B1D"/>
    <w:rsid w:val="00C2541E"/>
    <w:rsid w:val="00C256EC"/>
    <w:rsid w:val="00C25B3E"/>
    <w:rsid w:val="00C306B2"/>
    <w:rsid w:val="00C30FAE"/>
    <w:rsid w:val="00C40A67"/>
    <w:rsid w:val="00C42A12"/>
    <w:rsid w:val="00C43BE5"/>
    <w:rsid w:val="00C463BA"/>
    <w:rsid w:val="00C46AB3"/>
    <w:rsid w:val="00C47EF5"/>
    <w:rsid w:val="00C53200"/>
    <w:rsid w:val="00C75284"/>
    <w:rsid w:val="00C82B35"/>
    <w:rsid w:val="00C8492A"/>
    <w:rsid w:val="00C86D29"/>
    <w:rsid w:val="00C90B22"/>
    <w:rsid w:val="00CA2001"/>
    <w:rsid w:val="00CA5512"/>
    <w:rsid w:val="00CA63CA"/>
    <w:rsid w:val="00CB0629"/>
    <w:rsid w:val="00CB1444"/>
    <w:rsid w:val="00CB1A53"/>
    <w:rsid w:val="00CB4FE7"/>
    <w:rsid w:val="00CC2B0C"/>
    <w:rsid w:val="00CC70C3"/>
    <w:rsid w:val="00CD00B0"/>
    <w:rsid w:val="00CE7F54"/>
    <w:rsid w:val="00CF190C"/>
    <w:rsid w:val="00CF5BA4"/>
    <w:rsid w:val="00D041BD"/>
    <w:rsid w:val="00D04BC2"/>
    <w:rsid w:val="00D101A0"/>
    <w:rsid w:val="00D11324"/>
    <w:rsid w:val="00D11E38"/>
    <w:rsid w:val="00D20F8A"/>
    <w:rsid w:val="00D23217"/>
    <w:rsid w:val="00D23AEA"/>
    <w:rsid w:val="00D24969"/>
    <w:rsid w:val="00D25786"/>
    <w:rsid w:val="00D27A5B"/>
    <w:rsid w:val="00D27CE7"/>
    <w:rsid w:val="00D30207"/>
    <w:rsid w:val="00D33224"/>
    <w:rsid w:val="00D46538"/>
    <w:rsid w:val="00D626F6"/>
    <w:rsid w:val="00D64A4F"/>
    <w:rsid w:val="00D676E6"/>
    <w:rsid w:val="00D768AF"/>
    <w:rsid w:val="00D76922"/>
    <w:rsid w:val="00D83008"/>
    <w:rsid w:val="00D90833"/>
    <w:rsid w:val="00D92A29"/>
    <w:rsid w:val="00D93FF4"/>
    <w:rsid w:val="00DA0004"/>
    <w:rsid w:val="00DA1D04"/>
    <w:rsid w:val="00DA3D93"/>
    <w:rsid w:val="00DA7E2E"/>
    <w:rsid w:val="00DB232A"/>
    <w:rsid w:val="00DB23B5"/>
    <w:rsid w:val="00DB7D29"/>
    <w:rsid w:val="00DC20B2"/>
    <w:rsid w:val="00DC236B"/>
    <w:rsid w:val="00DC62EE"/>
    <w:rsid w:val="00DD5060"/>
    <w:rsid w:val="00DD6C35"/>
    <w:rsid w:val="00DE5EB7"/>
    <w:rsid w:val="00DF0CA5"/>
    <w:rsid w:val="00DF131F"/>
    <w:rsid w:val="00E12D51"/>
    <w:rsid w:val="00E2627D"/>
    <w:rsid w:val="00E312C9"/>
    <w:rsid w:val="00E31BBA"/>
    <w:rsid w:val="00E322D6"/>
    <w:rsid w:val="00E33A68"/>
    <w:rsid w:val="00E407A1"/>
    <w:rsid w:val="00E41772"/>
    <w:rsid w:val="00E44197"/>
    <w:rsid w:val="00E44976"/>
    <w:rsid w:val="00E44D67"/>
    <w:rsid w:val="00E44DF6"/>
    <w:rsid w:val="00E45582"/>
    <w:rsid w:val="00E470F7"/>
    <w:rsid w:val="00E47223"/>
    <w:rsid w:val="00E51302"/>
    <w:rsid w:val="00E52909"/>
    <w:rsid w:val="00E547A2"/>
    <w:rsid w:val="00E555E0"/>
    <w:rsid w:val="00E57BC8"/>
    <w:rsid w:val="00E603B7"/>
    <w:rsid w:val="00E60D9C"/>
    <w:rsid w:val="00E627FD"/>
    <w:rsid w:val="00E66C6D"/>
    <w:rsid w:val="00E67D8B"/>
    <w:rsid w:val="00E70B9A"/>
    <w:rsid w:val="00E72A55"/>
    <w:rsid w:val="00E86637"/>
    <w:rsid w:val="00E877BD"/>
    <w:rsid w:val="00E90551"/>
    <w:rsid w:val="00E95202"/>
    <w:rsid w:val="00E95D8A"/>
    <w:rsid w:val="00E96715"/>
    <w:rsid w:val="00E96D9B"/>
    <w:rsid w:val="00EA1D71"/>
    <w:rsid w:val="00EA4E2E"/>
    <w:rsid w:val="00EB47FD"/>
    <w:rsid w:val="00EB53F5"/>
    <w:rsid w:val="00EB63D2"/>
    <w:rsid w:val="00EC175D"/>
    <w:rsid w:val="00EC1D32"/>
    <w:rsid w:val="00EC4316"/>
    <w:rsid w:val="00ED208A"/>
    <w:rsid w:val="00ED78B4"/>
    <w:rsid w:val="00EE2AAB"/>
    <w:rsid w:val="00EE39DD"/>
    <w:rsid w:val="00EE5C27"/>
    <w:rsid w:val="00EF0123"/>
    <w:rsid w:val="00EF5154"/>
    <w:rsid w:val="00F0519F"/>
    <w:rsid w:val="00F07233"/>
    <w:rsid w:val="00F1458C"/>
    <w:rsid w:val="00F1693B"/>
    <w:rsid w:val="00F17371"/>
    <w:rsid w:val="00F21E55"/>
    <w:rsid w:val="00F22D38"/>
    <w:rsid w:val="00F31B3C"/>
    <w:rsid w:val="00F333C0"/>
    <w:rsid w:val="00F3343B"/>
    <w:rsid w:val="00F37128"/>
    <w:rsid w:val="00F50341"/>
    <w:rsid w:val="00F50D5F"/>
    <w:rsid w:val="00F51174"/>
    <w:rsid w:val="00F5289C"/>
    <w:rsid w:val="00F56C25"/>
    <w:rsid w:val="00F6085C"/>
    <w:rsid w:val="00F65913"/>
    <w:rsid w:val="00F67D8D"/>
    <w:rsid w:val="00F75A75"/>
    <w:rsid w:val="00F75A8F"/>
    <w:rsid w:val="00F80ED2"/>
    <w:rsid w:val="00F81F64"/>
    <w:rsid w:val="00F926F2"/>
    <w:rsid w:val="00F93D8B"/>
    <w:rsid w:val="00F96470"/>
    <w:rsid w:val="00FA057D"/>
    <w:rsid w:val="00FA3318"/>
    <w:rsid w:val="00FA3EC7"/>
    <w:rsid w:val="00FC1907"/>
    <w:rsid w:val="00FC2FDB"/>
    <w:rsid w:val="00FC6EAA"/>
    <w:rsid w:val="00FD01BE"/>
    <w:rsid w:val="00FD3239"/>
    <w:rsid w:val="00FE6274"/>
    <w:rsid w:val="00FF1C50"/>
    <w:rsid w:val="00FF5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5E66B-3021-45CA-ADF9-6CC51FA9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165788"/>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Pr>
      <w:rFonts w:ascii="Times New Roman" w:eastAsia="Times" w:hAnsi="Times New Roman" w:cs="Times New Roman"/>
      <w:szCs w:val="24"/>
      <w:lang w:val="en-GB"/>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n-GB"/>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Revision">
    <w:name w:val="Revision"/>
    <w:hidden/>
    <w:uiPriority w:val="99"/>
    <w:semiHidden/>
    <w:pPr>
      <w:spacing w:after="0" w:line="240" w:lineRule="auto"/>
    </w:pPr>
    <w:rPr>
      <w:rFonts w:ascii="Cambria" w:eastAsiaTheme="minorEastAsia" w:hAnsi="Cambria" w:cs="Times New Roman"/>
      <w:lang w:val="en-AU"/>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Heading1Char">
    <w:name w:val="Heading 1 Char"/>
    <w:basedOn w:val="DefaultParagraphFont"/>
    <w:link w:val="Heading1"/>
    <w:rPr>
      <w:rFonts w:ascii="Times New Roman" w:hAnsi="Times New Roman" w:cs="Times New Roman"/>
      <w:b/>
      <w:bCs/>
      <w:szCs w:val="24"/>
      <w:lang w:val="en-GB"/>
    </w:rPr>
  </w:style>
  <w:style w:type="character" w:customStyle="1" w:styleId="Heading2Char">
    <w:name w:val="Heading 2 Char"/>
    <w:basedOn w:val="DefaultParagraphFont"/>
    <w:link w:val="Heading2"/>
    <w:rPr>
      <w:rFonts w:ascii="Calibri" w:hAnsi="Calibri" w:cs="Times New Roman"/>
      <w:b/>
      <w:bCs/>
      <w:i/>
      <w:iCs/>
      <w:sz w:val="28"/>
      <w:szCs w:val="28"/>
      <w:lang w:val="en-GB"/>
    </w:rPr>
  </w:style>
  <w:style w:type="character" w:customStyle="1" w:styleId="Heading3Char">
    <w:name w:val="Heading 3 Char"/>
    <w:basedOn w:val="DefaultParagraphFont"/>
    <w:link w:val="Heading3"/>
    <w:rPr>
      <w:rFonts w:ascii="Calibri" w:hAnsi="Calibri" w:cs="Times New Roman"/>
      <w:b/>
      <w:bCs/>
      <w:sz w:val="26"/>
      <w:szCs w:val="26"/>
      <w:lang w:val="en-GB"/>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8"/>
      </w:numPr>
    </w:pPr>
    <w:rPr>
      <w:lang w:val="en-U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Heading4Char">
    <w:name w:val="Heading 4 Char"/>
    <w:basedOn w:val="DefaultParagraphFont"/>
    <w:link w:val="Heading4"/>
    <w:uiPriority w:val="5"/>
    <w:rPr>
      <w:rFonts w:eastAsiaTheme="minorEastAsia"/>
      <w:b/>
      <w:sz w:val="28"/>
      <w:lang w:eastAsia="ja-JP"/>
    </w:rPr>
  </w:style>
  <w:style w:type="character" w:customStyle="1" w:styleId="Heading5Char">
    <w:name w:val="Heading 5 Char"/>
    <w:basedOn w:val="DefaultParagraphFont"/>
    <w:link w:val="Heading5"/>
    <w:uiPriority w:val="9"/>
    <w:rPr>
      <w:rFonts w:eastAsiaTheme="majorEastAsia" w:cstheme="majorBidi"/>
      <w:b/>
      <w:i/>
      <w:sz w:val="24"/>
    </w:rPr>
  </w:style>
  <w:style w:type="numbering" w:customStyle="1" w:styleId="List1">
    <w:name w:val="List1"/>
    <w:basedOn w:val="NoList"/>
    <w:uiPriority w:val="99"/>
    <w:pPr>
      <w:numPr>
        <w:numId w:val="11"/>
      </w:numPr>
    </w:p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16"/>
      </w:numPr>
      <w:spacing w:after="120"/>
    </w:pPr>
  </w:style>
  <w:style w:type="paragraph" w:styleId="ListNumber">
    <w:name w:val="List Number"/>
    <w:basedOn w:val="Normal"/>
    <w:uiPriority w:val="9"/>
    <w:qFormat/>
    <w:pPr>
      <w:numPr>
        <w:numId w:val="18"/>
      </w:numPr>
      <w:spacing w:after="120"/>
    </w:pPr>
  </w:style>
  <w:style w:type="paragraph" w:styleId="ListBullet2">
    <w:name w:val="List Bullet 2"/>
    <w:basedOn w:val="Normal"/>
    <w:uiPriority w:val="8"/>
    <w:qFormat/>
    <w:pPr>
      <w:numPr>
        <w:ilvl w:val="1"/>
        <w:numId w:val="16"/>
      </w:numPr>
      <w:spacing w:after="120"/>
      <w:contextualSpacing/>
    </w:pPr>
  </w:style>
  <w:style w:type="paragraph" w:styleId="ListNumber2">
    <w:name w:val="List Number 2"/>
    <w:uiPriority w:val="10"/>
    <w:qFormat/>
    <w:pPr>
      <w:numPr>
        <w:ilvl w:val="1"/>
        <w:numId w:val="18"/>
      </w:numPr>
      <w:spacing w:before="120" w:after="120" w:line="264" w:lineRule="auto"/>
    </w:pPr>
    <w:rPr>
      <w:rFonts w:ascii="Cambria" w:eastAsia="Times New Roman" w:hAnsi="Cambria" w:cs="Times New Roman"/>
      <w:szCs w:val="24"/>
      <w:lang w:val="en-AU"/>
    </w:rPr>
  </w:style>
  <w:style w:type="paragraph" w:styleId="ListNumber3">
    <w:name w:val="List Number 3"/>
    <w:uiPriority w:val="11"/>
    <w:qFormat/>
    <w:pPr>
      <w:numPr>
        <w:ilvl w:val="2"/>
        <w:numId w:val="18"/>
      </w:numPr>
      <w:spacing w:before="120" w:after="120" w:line="264" w:lineRule="auto"/>
    </w:pPr>
    <w:rPr>
      <w:rFonts w:ascii="Cambria" w:eastAsia="Times New Roman" w:hAnsi="Cambria" w:cs="Times New Roman"/>
      <w:szCs w:val="24"/>
      <w:lang w:val="en-AU"/>
    </w:rPr>
  </w:style>
  <w:style w:type="paragraph" w:customStyle="1" w:styleId="DisseminationLimitingMarker">
    <w:name w:val="Dissemination Limiting Marker"/>
    <w:next w:val="Normal"/>
    <w:uiPriority w:val="27"/>
    <w:pPr>
      <w:tabs>
        <w:tab w:val="center" w:pos="4820"/>
      </w:tabs>
      <w:spacing w:after="0" w:line="240" w:lineRule="auto"/>
      <w:jc w:val="center"/>
    </w:pPr>
    <w:rPr>
      <w:rFonts w:ascii="Calibri" w:eastAsiaTheme="minorEastAsia" w:hAnsi="Calibri" w:cs="Times New Roman"/>
      <w:b/>
      <w:color w:val="FF0000"/>
      <w:sz w:val="36"/>
      <w:szCs w:val="36"/>
      <w:lang w:val="en-AU"/>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rPr>
  </w:style>
  <w:style w:type="character" w:customStyle="1" w:styleId="QuoteChar">
    <w:name w:val="Quote Char"/>
    <w:basedOn w:val="DefaultParagraphFont"/>
    <w:link w:val="Quote"/>
    <w:uiPriority w:val="18"/>
    <w:rPr>
      <w:rFonts w:eastAsia="Times New Roman"/>
      <w:iCs/>
      <w:color w:val="000000"/>
      <w:sz w:val="20"/>
      <w:szCs w:val="24"/>
    </w:rPr>
  </w:style>
  <w:style w:type="paragraph" w:styleId="TOCHeading">
    <w:name w:val="TOC Heading"/>
    <w:next w:val="Normal"/>
    <w:uiPriority w:val="39"/>
    <w:qFormat/>
    <w:pPr>
      <w:pageBreakBefore/>
      <w:spacing w:before="480" w:after="0" w:line="276" w:lineRule="auto"/>
    </w:pPr>
    <w:rPr>
      <w:rFonts w:ascii="Calibri" w:eastAsiaTheme="minorEastAsia" w:hAnsi="Calibri"/>
      <w:bCs/>
      <w:color w:val="000000"/>
      <w:sz w:val="56"/>
      <w:szCs w:val="28"/>
      <w:lang w:val="en-AU"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19"/>
      </w:numPr>
    </w:pPr>
  </w:style>
  <w:style w:type="paragraph" w:customStyle="1" w:styleId="Preliminarycontentheading">
    <w:name w:val="Preliminary content heading"/>
    <w:link w:val="PreliminarycontentheadingChar"/>
    <w:uiPriority w:val="28"/>
    <w:qFormat/>
    <w:pPr>
      <w:pageBreakBefore/>
      <w:spacing w:after="0" w:line="240" w:lineRule="auto"/>
    </w:pPr>
    <w:rPr>
      <w:rFonts w:ascii="Calibri" w:eastAsia="Times New Roman" w:hAnsi="Calibri" w:cs="Times New Roman"/>
      <w:bCs/>
      <w:color w:val="000000"/>
      <w:sz w:val="56"/>
      <w:szCs w:val="28"/>
      <w:lang w:val="en-AU" w:eastAsia="ja-JP"/>
    </w:rPr>
  </w:style>
  <w:style w:type="character" w:customStyle="1" w:styleId="PreliminarycontentheadingChar">
    <w:name w:val="Preliminary content heading Char"/>
    <w:basedOn w:val="DefaultParagraphFont"/>
    <w:link w:val="Preliminarycontentheading"/>
    <w:uiPriority w:val="28"/>
    <w:rPr>
      <w:rFonts w:ascii="Calibri" w:eastAsia="Times New Roman" w:hAnsi="Calibri" w:cs="Times New Roman"/>
      <w:bCs/>
      <w:color w:val="000000"/>
      <w:sz w:val="56"/>
      <w:szCs w:val="28"/>
      <w:lang w:val="en-AU" w:eastAsia="ja-JP"/>
    </w:rPr>
  </w:style>
  <w:style w:type="paragraph" w:customStyle="1" w:styleId="BoxTextBullet">
    <w:name w:val="Box Text Bullet"/>
    <w:basedOn w:val="BoxText"/>
    <w:uiPriority w:val="21"/>
    <w:qFormat/>
    <w:pPr>
      <w:numPr>
        <w:numId w:val="12"/>
      </w:numPr>
      <w:tabs>
        <w:tab w:val="left" w:pos="227"/>
      </w:tabs>
    </w:pPr>
  </w:style>
  <w:style w:type="paragraph" w:customStyle="1" w:styleId="TableBullet">
    <w:name w:val="Table Bullet"/>
    <w:basedOn w:val="TableText"/>
    <w:uiPriority w:val="15"/>
    <w:qFormat/>
    <w:pPr>
      <w:numPr>
        <w:numId w:val="1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spacing w:after="240" w:line="240" w:lineRule="auto"/>
      <w:ind w:left="964" w:hanging="964"/>
    </w:pPr>
    <w:rPr>
      <w:rFonts w:eastAsia="Times New Roman" w:cs="Times New Roman"/>
      <w:b/>
      <w:bCs/>
      <w:sz w:val="56"/>
      <w:szCs w:val="24"/>
      <w:lang w:val="en-AU"/>
    </w:rPr>
  </w:style>
  <w:style w:type="paragraph" w:styleId="TableofFigures">
    <w:name w:val="table of figures"/>
    <w:basedOn w:val="Normal"/>
    <w:next w:val="Normal"/>
    <w:uiPriority w:val="99"/>
    <w:unhideWhenUsed/>
  </w:style>
  <w:style w:type="numbering" w:customStyle="1" w:styleId="Appendix">
    <w:name w:val="Appendix"/>
    <w:uiPriority w:val="99"/>
    <w:pPr>
      <w:numPr>
        <w:numId w:val="20"/>
      </w:numPr>
    </w:pPr>
  </w:style>
  <w:style w:type="numbering" w:customStyle="1" w:styleId="ListBullets">
    <w:name w:val="ListBullets"/>
    <w:uiPriority w:val="99"/>
    <w:pPr>
      <w:numPr>
        <w:numId w:val="14"/>
      </w:numPr>
    </w:pPr>
  </w:style>
  <w:style w:type="paragraph" w:styleId="ListBullet4">
    <w:name w:val="List Bullet 4"/>
    <w:basedOn w:val="Normal"/>
    <w:uiPriority w:val="99"/>
    <w:unhideWhenUsed/>
    <w:pPr>
      <w:numPr>
        <w:numId w:val="15"/>
      </w:numPr>
      <w:contextualSpacing/>
    </w:pPr>
  </w:style>
  <w:style w:type="paragraph" w:styleId="ListBullet3">
    <w:name w:val="List Bullet 3"/>
    <w:basedOn w:val="Normal"/>
    <w:uiPriority w:val="99"/>
    <w:unhideWhenUsed/>
    <w:pPr>
      <w:numPr>
        <w:ilvl w:val="2"/>
        <w:numId w:val="16"/>
      </w:numPr>
      <w:contextualSpacing/>
    </w:pPr>
  </w:style>
  <w:style w:type="numbering" w:customStyle="1" w:styleId="ListNumbers">
    <w:name w:val="ListNumbers"/>
    <w:uiPriority w:val="99"/>
    <w:pPr>
      <w:numPr>
        <w:numId w:val="17"/>
      </w:numPr>
    </w:pPr>
  </w:style>
  <w:style w:type="paragraph" w:customStyle="1" w:styleId="Picture">
    <w:name w:val="Picture"/>
    <w:qFormat/>
    <w:pPr>
      <w:spacing w:after="0" w:line="240" w:lineRule="auto"/>
    </w:pPr>
    <w:rPr>
      <w:rFonts w:ascii="Calibri" w:eastAsiaTheme="minorEastAsia" w:hAnsi="Calibri"/>
      <w:bCs/>
      <w:color w:val="000000"/>
      <w:szCs w:val="28"/>
      <w:lang w:val="en-AU"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Theme="minorHAns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Theme="minorHAnsi"/>
      <w:sz w:val="28"/>
      <w:szCs w:val="28"/>
    </w:rPr>
  </w:style>
  <w:style w:type="paragraph" w:customStyle="1" w:styleId="AppendixHeading2">
    <w:name w:val="Appendix Heading 2"/>
    <w:qFormat/>
    <w:pPr>
      <w:spacing w:after="0" w:line="240" w:lineRule="auto"/>
      <w:ind w:left="567" w:hanging="567"/>
    </w:pPr>
    <w:rPr>
      <w:rFonts w:eastAsia="Times New Roman" w:cs="Times New Roman"/>
      <w:b/>
      <w:bCs/>
      <w:sz w:val="32"/>
      <w:szCs w:val="24"/>
      <w:lang w:val="en-AU"/>
    </w:rPr>
  </w:style>
  <w:style w:type="paragraph" w:customStyle="1" w:styleId="AppendixHeading3">
    <w:name w:val="Appendix Heading 3"/>
    <w:qFormat/>
    <w:pPr>
      <w:keepNext/>
      <w:tabs>
        <w:tab w:val="num" w:pos="1077"/>
      </w:tabs>
      <w:spacing w:before="240" w:after="0" w:line="240" w:lineRule="auto"/>
      <w:ind w:left="1077" w:hanging="1077"/>
    </w:pPr>
    <w:rPr>
      <w:rFonts w:ascii="Cambria" w:eastAsia="Times New Roman" w:hAnsi="Cambria" w:cs="Times New Roman"/>
      <w:b/>
      <w:sz w:val="24"/>
      <w:szCs w:val="24"/>
      <w:lang w:bidi="en-US"/>
    </w:rPr>
  </w:style>
  <w:style w:type="paragraph" w:customStyle="1" w:styleId="AppendixHeading4">
    <w:name w:val="Appendix Heading 4"/>
    <w:qFormat/>
    <w:pPr>
      <w:keepNext/>
      <w:tabs>
        <w:tab w:val="num" w:pos="1077"/>
      </w:tabs>
      <w:spacing w:after="120" w:line="240" w:lineRule="auto"/>
      <w:ind w:left="1077" w:hanging="1077"/>
    </w:pPr>
    <w:rPr>
      <w:rFonts w:ascii="Calibri" w:eastAsia="Times New Roman" w:hAnsi="Calibri" w:cs="Times New Roman"/>
      <w:b/>
      <w:szCs w:val="24"/>
      <w:lang w:bidi="en-US"/>
    </w:rPr>
  </w:style>
  <w:style w:type="paragraph" w:customStyle="1" w:styleId="Endmattercontentheading">
    <w:name w:val="Endmatter content heading"/>
    <w:basedOn w:val="Preliminarycontentheading"/>
    <w:qFormat/>
  </w:style>
  <w:style w:type="character" w:customStyle="1" w:styleId="fontstyle01">
    <w:name w:val="fontstyle01"/>
    <w:basedOn w:val="DefaultParagraphFont"/>
    <w:rPr>
      <w:rFonts w:ascii="TimesNewRomanPS-BoldMT" w:hAnsi="TimesNewRomanPS-BoldMT" w:hint="default"/>
      <w:b/>
      <w:bCs/>
      <w:i w:val="0"/>
      <w:iCs w:val="0"/>
      <w:color w:val="000000"/>
      <w:sz w:val="22"/>
      <w:szCs w:val="22"/>
    </w:rPr>
  </w:style>
  <w:style w:type="character" w:customStyle="1" w:styleId="fontstyle21">
    <w:name w:val="fontstyle21"/>
    <w:basedOn w:val="DefaultParagraphFont"/>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Pr>
      <w:rFonts w:ascii="TimesNewRomanPS-ItalicMT" w:hAnsi="TimesNewRomanPS-ItalicMT" w:hint="default"/>
      <w:b w:val="0"/>
      <w:bCs w:val="0"/>
      <w:i/>
      <w:iCs/>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753">
      <w:bodyDiv w:val="1"/>
      <w:marLeft w:val="0"/>
      <w:marRight w:val="0"/>
      <w:marTop w:val="0"/>
      <w:marBottom w:val="0"/>
      <w:divBdr>
        <w:top w:val="none" w:sz="0" w:space="0" w:color="auto"/>
        <w:left w:val="none" w:sz="0" w:space="0" w:color="auto"/>
        <w:bottom w:val="none" w:sz="0" w:space="0" w:color="auto"/>
        <w:right w:val="none" w:sz="0" w:space="0" w:color="auto"/>
      </w:divBdr>
    </w:div>
    <w:div w:id="307904422">
      <w:bodyDiv w:val="1"/>
      <w:marLeft w:val="0"/>
      <w:marRight w:val="0"/>
      <w:marTop w:val="0"/>
      <w:marBottom w:val="0"/>
      <w:divBdr>
        <w:top w:val="none" w:sz="0" w:space="0" w:color="auto"/>
        <w:left w:val="none" w:sz="0" w:space="0" w:color="auto"/>
        <w:bottom w:val="none" w:sz="0" w:space="0" w:color="auto"/>
        <w:right w:val="none" w:sz="0" w:space="0" w:color="auto"/>
      </w:divBdr>
    </w:div>
    <w:div w:id="1221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0" Type="http://schemas.openxmlformats.org/officeDocument/2006/relationships/hyperlink" Target="https://www.betterseed.org/the-guide-to-seed-quality-management/" TargetMode="External"/><Relationship Id="rId4" Type="http://schemas.openxmlformats.org/officeDocument/2006/relationships/settings" Target="settings.xml"/><Relationship Id="rId9" Type="http://schemas.openxmlformats.org/officeDocument/2006/relationships/hyperlink" Target="https://www.ippc.int/core-activities/standards-setting/list-topics-ippc-standard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BCDB1BA-5080-47E3-B6FC-C7D9BE50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1407</Words>
  <Characters>8024</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(NSPI)</cp:lastModifiedBy>
  <cp:revision>2</cp:revision>
  <cp:lastPrinted>2018-08-16T18:39:00Z</cp:lastPrinted>
  <dcterms:created xsi:type="dcterms:W3CDTF">2020-09-10T07:08:00Z</dcterms:created>
  <dcterms:modified xsi:type="dcterms:W3CDTF">2020-09-10T07:08:00Z</dcterms:modified>
</cp:coreProperties>
</file>