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22" w:rsidRDefault="001F0EE5">
      <w:pPr>
        <w:jc w:val="center"/>
      </w:pPr>
      <w:r>
        <w:rPr>
          <w:rStyle w:val="PleaseReviewParagraphId"/>
          <w:noProof/>
          <w:sz w:val="20"/>
        </w:rPr>
        <w:t xml:space="preserve">[PleaseReview document review. Review title: 2021 Second Consultation: 2019 &amp; 2020 Amendments of ISPM 5 (1994-001). Document title: </w:t>
      </w:r>
      <w:r>
        <w:rPr>
          <w:rStyle w:val="PleaseReviewParagraphId"/>
          <w:noProof/>
          <w:sz w:val="20"/>
        </w:rPr>
        <w:t>1994-001_Draft_2019_2020_Amendments_to_ISPM5_2021-06-15.docx]</w:t>
      </w:r>
    </w:p>
    <w:p w:rsidR="00EF4522" w:rsidRDefault="001F0EE5">
      <w:pPr>
        <w:pStyle w:val="IPPHeadSection"/>
        <w:jc w:val="center"/>
      </w:pPr>
      <w:bookmarkStart w:id="0" w:name="_GoBack"/>
      <w:bookmarkEnd w:id="0"/>
      <w:r>
        <w:rPr>
          <w:rStyle w:val="PleaseReviewParagraphId"/>
          <w:b w:val="0"/>
        </w:rPr>
        <w:t>[1]</w:t>
      </w:r>
      <w:r>
        <w:t xml:space="preserve">Draft 2019 and 2020 Amendments to ISPM 5: </w:t>
      </w:r>
      <w:r>
        <w:br/>
      </w:r>
      <w:r>
        <w:rPr>
          <w:i/>
        </w:rPr>
        <w:t xml:space="preserve">Glossary of phytosanitary terms </w:t>
      </w:r>
      <w:r>
        <w:t>(1994-001)</w:t>
      </w:r>
    </w:p>
    <w:p w:rsidR="00EF4522" w:rsidRDefault="001F0EE5">
      <w:pPr>
        <w:pStyle w:val="IPPNormal"/>
        <w:tabs>
          <w:tab w:val="left" w:pos="2078"/>
        </w:tabs>
        <w:spacing w:after="120"/>
        <w:rPr>
          <w:rFonts w:ascii="Arial" w:hAnsi="Arial" w:cs="Arial"/>
          <w:sz w:val="18"/>
          <w:szCs w:val="18"/>
        </w:rPr>
      </w:pPr>
      <w:r>
        <w:rPr>
          <w:rStyle w:val="PleaseReviewParagraphId"/>
        </w:rPr>
        <w:t>[2]</w:t>
      </w:r>
      <w:r>
        <w:rPr>
          <w:rFonts w:ascii="Arial" w:hAnsi="Arial" w:cs="Arial"/>
          <w:b/>
          <w:bCs/>
          <w:sz w:val="18"/>
          <w:szCs w:val="18"/>
        </w:rPr>
        <w:t>Publication history</w:t>
      </w:r>
      <w:r>
        <w:rPr>
          <w:rFonts w:ascii="Arial" w:hAnsi="Arial" w:cs="Arial"/>
          <w:sz w:val="18"/>
          <w:szCs w:val="18"/>
        </w:rPr>
        <w:t xml:space="preserve"> </w:t>
      </w:r>
    </w:p>
    <w:p w:rsidR="00EF4522" w:rsidRDefault="001F0EE5">
      <w:pPr>
        <w:pStyle w:val="IPPNormal"/>
        <w:tabs>
          <w:tab w:val="left" w:pos="2078"/>
        </w:tabs>
        <w:rPr>
          <w:rFonts w:ascii="Arial" w:hAnsi="Arial" w:cs="Arial"/>
          <w:i/>
          <w:iCs/>
          <w:sz w:val="18"/>
          <w:szCs w:val="18"/>
        </w:rPr>
      </w:pPr>
      <w:r>
        <w:rPr>
          <w:rStyle w:val="PleaseReviewParagraphId"/>
        </w:rPr>
        <w:t>[3]</w:t>
      </w:r>
      <w:r>
        <w:rPr>
          <w:rFonts w:ascii="Arial" w:hAnsi="Arial" w:cs="Arial"/>
          <w:i/>
          <w:iCs/>
          <w:sz w:val="18"/>
          <w:szCs w:val="18"/>
        </w:rPr>
        <w:t>(This is not an official part of the standard)</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58"/>
        <w:gridCol w:w="6697"/>
      </w:tblGrid>
      <w:tr w:rsidR="00EF4522">
        <w:trPr>
          <w:tblCellSpacing w:w="0" w:type="dxa"/>
          <w:jc w:val="center"/>
        </w:trPr>
        <w:tc>
          <w:tcPr>
            <w:tcW w:w="2347" w:type="dxa"/>
            <w:tcBorders>
              <w:top w:val="outset" w:sz="6" w:space="0" w:color="00000A"/>
              <w:bottom w:val="outset" w:sz="6" w:space="0" w:color="00000A"/>
              <w:right w:val="outset" w:sz="6" w:space="0" w:color="00000A"/>
            </w:tcBorders>
          </w:tcPr>
          <w:p w:rsidR="00EF4522" w:rsidRDefault="001F0EE5">
            <w:pPr>
              <w:pStyle w:val="NormalWeb"/>
              <w:spacing w:before="58" w:beforeAutospacing="0"/>
              <w:rPr>
                <w:rFonts w:ascii="Arial" w:hAnsi="Arial" w:cs="Arial"/>
                <w:sz w:val="18"/>
                <w:szCs w:val="18"/>
              </w:rPr>
            </w:pPr>
            <w:r>
              <w:rPr>
                <w:rStyle w:val="PleaseReviewParagraphId"/>
              </w:rPr>
              <w:t>[4]</w:t>
            </w:r>
            <w:r>
              <w:rPr>
                <w:rFonts w:ascii="Arial" w:hAnsi="Arial" w:cs="Arial"/>
                <w:b/>
                <w:bCs/>
                <w:sz w:val="18"/>
                <w:szCs w:val="18"/>
              </w:rPr>
              <w:t xml:space="preserve">Date of this document </w:t>
            </w:r>
          </w:p>
        </w:tc>
        <w:tc>
          <w:tcPr>
            <w:tcW w:w="6664" w:type="dxa"/>
            <w:tcBorders>
              <w:top w:val="outset" w:sz="6" w:space="0" w:color="00000A"/>
              <w:left w:val="outset" w:sz="6" w:space="0" w:color="00000A"/>
              <w:bottom w:val="outset" w:sz="6" w:space="0" w:color="00000A"/>
            </w:tcBorders>
          </w:tcPr>
          <w:p w:rsidR="00EF4522" w:rsidRDefault="001F0EE5">
            <w:pPr>
              <w:pStyle w:val="NormalWeb"/>
              <w:spacing w:before="58" w:beforeAutospacing="0"/>
              <w:rPr>
                <w:rFonts w:ascii="Arial" w:hAnsi="Arial" w:cs="Arial"/>
                <w:sz w:val="18"/>
                <w:szCs w:val="18"/>
              </w:rPr>
            </w:pPr>
            <w:r>
              <w:rPr>
                <w:rStyle w:val="PleaseReviewParagraphId"/>
              </w:rPr>
              <w:t>[5]</w:t>
            </w:r>
            <w:r>
              <w:rPr>
                <w:rFonts w:ascii="Arial" w:hAnsi="Arial" w:cs="Arial"/>
                <w:sz w:val="18"/>
                <w:szCs w:val="18"/>
              </w:rPr>
              <w:t>20</w:t>
            </w:r>
            <w:r>
              <w:rPr>
                <w:rFonts w:ascii="Arial" w:hAnsi="Arial" w:cs="Arial"/>
                <w:sz w:val="18"/>
                <w:szCs w:val="18"/>
              </w:rPr>
              <w:t>21-06-15</w:t>
            </w:r>
          </w:p>
        </w:tc>
      </w:tr>
      <w:tr w:rsidR="00EF4522">
        <w:trPr>
          <w:tblCellSpacing w:w="0" w:type="dxa"/>
          <w:jc w:val="center"/>
        </w:trPr>
        <w:tc>
          <w:tcPr>
            <w:tcW w:w="2347" w:type="dxa"/>
            <w:tcBorders>
              <w:top w:val="outset" w:sz="6" w:space="0" w:color="00000A"/>
              <w:bottom w:val="outset" w:sz="6" w:space="0" w:color="00000A"/>
              <w:right w:val="outset" w:sz="6" w:space="0" w:color="00000A"/>
            </w:tcBorders>
          </w:tcPr>
          <w:p w:rsidR="00EF4522" w:rsidRDefault="001F0EE5">
            <w:pPr>
              <w:pStyle w:val="NormalWeb"/>
              <w:spacing w:before="58" w:beforeAutospacing="0"/>
              <w:rPr>
                <w:rFonts w:ascii="Arial" w:hAnsi="Arial" w:cs="Arial"/>
                <w:sz w:val="18"/>
                <w:szCs w:val="18"/>
              </w:rPr>
            </w:pPr>
            <w:r>
              <w:rPr>
                <w:rStyle w:val="PleaseReviewParagraphId"/>
              </w:rPr>
              <w:t>[6]</w:t>
            </w:r>
            <w:r>
              <w:rPr>
                <w:rFonts w:ascii="Arial" w:hAnsi="Arial" w:cs="Arial"/>
                <w:b/>
                <w:bCs/>
                <w:sz w:val="18"/>
                <w:szCs w:val="18"/>
              </w:rPr>
              <w:t xml:space="preserve">Document category </w:t>
            </w:r>
          </w:p>
        </w:tc>
        <w:tc>
          <w:tcPr>
            <w:tcW w:w="6664" w:type="dxa"/>
            <w:tcBorders>
              <w:top w:val="outset" w:sz="6" w:space="0" w:color="00000A"/>
              <w:left w:val="outset" w:sz="6" w:space="0" w:color="00000A"/>
              <w:bottom w:val="outset" w:sz="6" w:space="0" w:color="00000A"/>
            </w:tcBorders>
          </w:tcPr>
          <w:p w:rsidR="00EF4522" w:rsidRDefault="001F0EE5">
            <w:pPr>
              <w:pStyle w:val="NormalWeb"/>
              <w:spacing w:before="58" w:beforeAutospacing="0"/>
              <w:rPr>
                <w:rFonts w:ascii="Arial" w:hAnsi="Arial" w:cs="Arial"/>
                <w:sz w:val="18"/>
                <w:szCs w:val="18"/>
              </w:rPr>
            </w:pPr>
            <w:r>
              <w:rPr>
                <w:rStyle w:val="PleaseReviewParagraphId"/>
              </w:rPr>
              <w:t>[7]</w:t>
            </w:r>
            <w:r>
              <w:rPr>
                <w:rFonts w:ascii="Arial" w:hAnsi="Arial" w:cs="Arial"/>
                <w:sz w:val="18"/>
                <w:szCs w:val="18"/>
              </w:rPr>
              <w:t xml:space="preserve">Draft 2019 and 2020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rsidR="00EF4522">
        <w:trPr>
          <w:tblCellSpacing w:w="0" w:type="dxa"/>
          <w:jc w:val="center"/>
        </w:trPr>
        <w:tc>
          <w:tcPr>
            <w:tcW w:w="2347" w:type="dxa"/>
            <w:tcBorders>
              <w:top w:val="outset" w:sz="6" w:space="0" w:color="00000A"/>
              <w:bottom w:val="outset" w:sz="6" w:space="0" w:color="00000A"/>
              <w:right w:val="outset" w:sz="6" w:space="0" w:color="00000A"/>
            </w:tcBorders>
          </w:tcPr>
          <w:p w:rsidR="00EF4522" w:rsidRDefault="001F0EE5">
            <w:pPr>
              <w:pStyle w:val="NormalWeb"/>
              <w:spacing w:before="58" w:beforeAutospacing="0"/>
              <w:rPr>
                <w:rFonts w:ascii="Arial" w:hAnsi="Arial" w:cs="Arial"/>
                <w:sz w:val="18"/>
                <w:szCs w:val="18"/>
              </w:rPr>
            </w:pPr>
            <w:r>
              <w:rPr>
                <w:rStyle w:val="PleaseReviewParagraphId"/>
              </w:rPr>
              <w:t>[8]</w:t>
            </w:r>
            <w:r>
              <w:rPr>
                <w:rFonts w:ascii="Arial" w:hAnsi="Arial" w:cs="Arial"/>
                <w:b/>
                <w:bCs/>
                <w:sz w:val="18"/>
                <w:szCs w:val="18"/>
              </w:rPr>
              <w:t xml:space="preserve">Current document stage </w:t>
            </w:r>
          </w:p>
        </w:tc>
        <w:tc>
          <w:tcPr>
            <w:tcW w:w="6664" w:type="dxa"/>
            <w:tcBorders>
              <w:top w:val="outset" w:sz="6" w:space="0" w:color="00000A"/>
              <w:left w:val="outset" w:sz="6" w:space="0" w:color="00000A"/>
              <w:bottom w:val="outset" w:sz="6" w:space="0" w:color="00000A"/>
            </w:tcBorders>
          </w:tcPr>
          <w:p w:rsidR="00EF4522" w:rsidRDefault="001F0EE5">
            <w:pPr>
              <w:pStyle w:val="NormalWeb"/>
              <w:spacing w:before="58" w:beforeAutospacing="0"/>
              <w:rPr>
                <w:rFonts w:ascii="Arial" w:hAnsi="Arial" w:cs="Arial"/>
                <w:sz w:val="18"/>
                <w:szCs w:val="18"/>
              </w:rPr>
            </w:pPr>
            <w:r>
              <w:rPr>
                <w:rStyle w:val="PleaseReviewParagraphId"/>
              </w:rPr>
              <w:t>[9]</w:t>
            </w:r>
            <w:r>
              <w:rPr>
                <w:rFonts w:ascii="Arial" w:hAnsi="Arial" w:cs="Arial"/>
                <w:i/>
                <w:sz w:val="18"/>
                <w:szCs w:val="18"/>
              </w:rPr>
              <w:t>To</w:t>
            </w:r>
            <w:r>
              <w:rPr>
                <w:rFonts w:ascii="Arial" w:hAnsi="Arial" w:cs="Arial"/>
                <w:sz w:val="18"/>
                <w:szCs w:val="18"/>
              </w:rPr>
              <w:t xml:space="preserve"> second consultation </w:t>
            </w:r>
          </w:p>
        </w:tc>
      </w:tr>
      <w:tr w:rsidR="00EF4522">
        <w:trPr>
          <w:tblCellSpacing w:w="0" w:type="dxa"/>
          <w:jc w:val="center"/>
        </w:trPr>
        <w:tc>
          <w:tcPr>
            <w:tcW w:w="2347" w:type="dxa"/>
            <w:tcBorders>
              <w:top w:val="outset" w:sz="6" w:space="0" w:color="00000A"/>
              <w:bottom w:val="outset" w:sz="6" w:space="0" w:color="00000A"/>
              <w:right w:val="outset" w:sz="6" w:space="0" w:color="00000A"/>
            </w:tcBorders>
          </w:tcPr>
          <w:p w:rsidR="00EF4522" w:rsidRDefault="001F0EE5">
            <w:pPr>
              <w:pStyle w:val="NormalWeb"/>
              <w:spacing w:before="58" w:beforeAutospacing="0"/>
              <w:rPr>
                <w:rFonts w:ascii="Arial" w:hAnsi="Arial" w:cs="Arial"/>
                <w:sz w:val="18"/>
                <w:szCs w:val="18"/>
              </w:rPr>
            </w:pPr>
            <w:r>
              <w:rPr>
                <w:rStyle w:val="PleaseReviewParagraphId"/>
              </w:rPr>
              <w:t>[10]</w:t>
            </w:r>
            <w:r>
              <w:rPr>
                <w:rFonts w:ascii="Arial" w:hAnsi="Arial" w:cs="Arial"/>
                <w:b/>
                <w:bCs/>
                <w:sz w:val="18"/>
                <w:szCs w:val="18"/>
              </w:rPr>
              <w:t xml:space="preserve">Major stages </w:t>
            </w:r>
          </w:p>
        </w:tc>
        <w:tc>
          <w:tcPr>
            <w:tcW w:w="6664" w:type="dxa"/>
            <w:tcBorders>
              <w:top w:val="outset" w:sz="6" w:space="0" w:color="00000A"/>
              <w:left w:val="outset" w:sz="6" w:space="0" w:color="00000A"/>
              <w:bottom w:val="outset" w:sz="6" w:space="0" w:color="00000A"/>
            </w:tcBorders>
          </w:tcPr>
          <w:p w:rsidR="00EF4522" w:rsidRDefault="001F0EE5">
            <w:pPr>
              <w:pStyle w:val="NormalWeb"/>
              <w:spacing w:before="58" w:beforeAutospacing="0" w:after="58" w:afterAutospacing="0"/>
              <w:rPr>
                <w:rFonts w:ascii="Arial" w:hAnsi="Arial" w:cs="Arial"/>
                <w:sz w:val="18"/>
                <w:szCs w:val="18"/>
              </w:rPr>
            </w:pPr>
            <w:r>
              <w:rPr>
                <w:rStyle w:val="PleaseReviewParagraphId"/>
              </w:rPr>
              <w:t>[11]</w:t>
            </w:r>
            <w:r>
              <w:rPr>
                <w:rFonts w:ascii="Arial" w:hAnsi="Arial" w:cs="Arial"/>
                <w:sz w:val="18"/>
                <w:szCs w:val="18"/>
              </w:rPr>
              <w:t xml:space="preserve">CEPM (1994) added topic: 1994-001, Amendments to ISPM 5: Glossary of phytosanitary terms </w:t>
            </w:r>
          </w:p>
          <w:p w:rsidR="00EF4522" w:rsidRDefault="001F0EE5">
            <w:pPr>
              <w:pStyle w:val="NormalWeb"/>
              <w:spacing w:before="29" w:beforeAutospacing="0" w:after="29" w:afterAutospacing="0"/>
              <w:rPr>
                <w:rFonts w:ascii="Arial" w:hAnsi="Arial" w:cs="Arial"/>
                <w:sz w:val="18"/>
                <w:szCs w:val="18"/>
              </w:rPr>
            </w:pPr>
            <w:r>
              <w:rPr>
                <w:rStyle w:val="PleaseReviewParagraphId"/>
              </w:rPr>
              <w:t>[12]</w:t>
            </w:r>
            <w:r>
              <w:rPr>
                <w:rFonts w:ascii="Arial" w:hAnsi="Arial" w:cs="Arial"/>
                <w:sz w:val="18"/>
                <w:szCs w:val="18"/>
              </w:rPr>
              <w:t xml:space="preserve">2006-05 Standards Committee (SC) approved specification TP5 </w:t>
            </w:r>
          </w:p>
          <w:p w:rsidR="00EF4522" w:rsidRDefault="001F0EE5">
            <w:pPr>
              <w:pStyle w:val="NormalWeb"/>
              <w:spacing w:before="29" w:beforeAutospacing="0" w:after="29" w:afterAutospacing="0"/>
              <w:rPr>
                <w:rFonts w:ascii="Arial" w:hAnsi="Arial" w:cs="Arial"/>
                <w:sz w:val="18"/>
                <w:szCs w:val="18"/>
              </w:rPr>
            </w:pPr>
            <w:r>
              <w:rPr>
                <w:rStyle w:val="PleaseReviewParagraphId"/>
              </w:rPr>
              <w:t>[13]</w:t>
            </w:r>
            <w:r>
              <w:rPr>
                <w:rFonts w:ascii="Arial" w:hAnsi="Arial" w:cs="Arial"/>
                <w:sz w:val="18"/>
                <w:szCs w:val="18"/>
              </w:rPr>
              <w:t xml:space="preserve">2012-10 Technical Panel for the Glossary (TPG) revised specification </w:t>
            </w:r>
          </w:p>
          <w:p w:rsidR="00EF4522" w:rsidRDefault="001F0EE5">
            <w:pPr>
              <w:pStyle w:val="NormalWeb"/>
              <w:spacing w:before="29" w:beforeAutospacing="0" w:after="29" w:afterAutospacing="0"/>
              <w:rPr>
                <w:rFonts w:ascii="Arial" w:hAnsi="Arial" w:cs="Arial"/>
                <w:sz w:val="18"/>
                <w:szCs w:val="18"/>
              </w:rPr>
            </w:pPr>
            <w:r>
              <w:rPr>
                <w:rStyle w:val="PleaseReviewParagraphId"/>
              </w:rPr>
              <w:t>[14]</w:t>
            </w:r>
            <w:r>
              <w:rPr>
                <w:rFonts w:ascii="Arial" w:hAnsi="Arial" w:cs="Arial"/>
                <w:sz w:val="18"/>
                <w:szCs w:val="18"/>
              </w:rPr>
              <w:t xml:space="preserve">2012-11 SC revised and approved revised specification, revoking Specification 1 </w:t>
            </w:r>
          </w:p>
          <w:p w:rsidR="00EF4522" w:rsidRDefault="001F0EE5">
            <w:pPr>
              <w:pStyle w:val="NormalWeb"/>
              <w:spacing w:before="58" w:beforeAutospacing="0" w:after="58" w:afterAutospacing="0"/>
              <w:rPr>
                <w:rFonts w:ascii="Arial" w:hAnsi="Arial" w:cs="Arial"/>
                <w:sz w:val="18"/>
                <w:szCs w:val="18"/>
              </w:rPr>
            </w:pPr>
            <w:r>
              <w:rPr>
                <w:rStyle w:val="PleaseReviewParagraphId"/>
              </w:rPr>
              <w:t>[15]</w:t>
            </w:r>
            <w:r>
              <w:rPr>
                <w:rFonts w:ascii="Arial" w:hAnsi="Arial" w:cs="Arial"/>
                <w:sz w:val="18"/>
                <w:szCs w:val="18"/>
              </w:rPr>
              <w:t>2018-12 TPG drafted text on “detection survey” as 2019 amendments</w:t>
            </w:r>
          </w:p>
          <w:p w:rsidR="00EF4522" w:rsidRDefault="001F0EE5">
            <w:pPr>
              <w:pStyle w:val="NormalWeb"/>
              <w:spacing w:before="58" w:beforeAutospacing="0" w:after="58" w:afterAutospacing="0"/>
              <w:rPr>
                <w:rFonts w:ascii="Arial" w:hAnsi="Arial" w:cs="Arial"/>
                <w:sz w:val="18"/>
                <w:szCs w:val="18"/>
              </w:rPr>
            </w:pPr>
            <w:r>
              <w:rPr>
                <w:rStyle w:val="PleaseReviewParagraphId"/>
              </w:rPr>
              <w:t>[16]</w:t>
            </w:r>
            <w:r>
              <w:rPr>
                <w:rFonts w:ascii="Arial" w:hAnsi="Arial" w:cs="Arial"/>
                <w:sz w:val="18"/>
                <w:szCs w:val="18"/>
              </w:rPr>
              <w:t>2019-05 SC approved 2019 amendments to first consultation and they are included below</w:t>
            </w:r>
          </w:p>
          <w:p w:rsidR="00EF4522" w:rsidRDefault="001F0EE5">
            <w:pPr>
              <w:pStyle w:val="NormalWeb"/>
              <w:spacing w:before="58" w:beforeAutospacing="0" w:after="58" w:afterAutospacing="0"/>
              <w:rPr>
                <w:rFonts w:ascii="Arial" w:hAnsi="Arial" w:cs="Arial"/>
                <w:sz w:val="18"/>
                <w:szCs w:val="18"/>
              </w:rPr>
            </w:pPr>
            <w:r>
              <w:rPr>
                <w:rStyle w:val="PleaseReviewParagraphId"/>
              </w:rPr>
              <w:t>[17]</w:t>
            </w:r>
            <w:r>
              <w:rPr>
                <w:rFonts w:ascii="Arial" w:hAnsi="Arial" w:cs="Arial"/>
                <w:sz w:val="18"/>
                <w:szCs w:val="18"/>
              </w:rPr>
              <w:t>2019-11 TPG</w:t>
            </w:r>
            <w:r>
              <w:rPr>
                <w:rFonts w:ascii="Arial" w:hAnsi="Arial" w:cs="Arial"/>
                <w:sz w:val="18"/>
                <w:szCs w:val="18"/>
              </w:rPr>
              <w:t xml:space="preserve"> proposed 2020 amendments below</w:t>
            </w:r>
          </w:p>
          <w:p w:rsidR="00EF4522" w:rsidRDefault="001F0EE5">
            <w:pPr>
              <w:pStyle w:val="NormalWeb"/>
              <w:spacing w:before="58" w:beforeAutospacing="0" w:after="58" w:afterAutospacing="0"/>
              <w:rPr>
                <w:rFonts w:ascii="Arial" w:hAnsi="Arial" w:cs="Arial"/>
                <w:sz w:val="18"/>
                <w:szCs w:val="18"/>
              </w:rPr>
            </w:pPr>
            <w:r>
              <w:rPr>
                <w:rStyle w:val="PleaseReviewParagraphId"/>
              </w:rPr>
              <w:t>[18]</w:t>
            </w:r>
            <w:r>
              <w:rPr>
                <w:rFonts w:ascii="Arial" w:hAnsi="Arial" w:cs="Arial"/>
                <w:sz w:val="18"/>
                <w:szCs w:val="18"/>
              </w:rPr>
              <w:t>2020-04 SC revised the 2020 amendments via the Online Comment System (to replace the cancelled 2020-05 SC meeting) and approved the 2020 amendments for first consultation via e-decision (2020_eSC_May_17).</w:t>
            </w:r>
          </w:p>
          <w:p w:rsidR="00EF4522" w:rsidRDefault="001F0EE5">
            <w:pPr>
              <w:pStyle w:val="NormalWeb"/>
              <w:spacing w:before="58" w:beforeAutospacing="0" w:after="58" w:afterAutospacing="0"/>
              <w:rPr>
                <w:rFonts w:ascii="Arial" w:hAnsi="Arial" w:cs="Arial"/>
                <w:sz w:val="18"/>
                <w:szCs w:val="18"/>
              </w:rPr>
            </w:pPr>
            <w:r>
              <w:rPr>
                <w:rStyle w:val="PleaseReviewParagraphId"/>
              </w:rPr>
              <w:t>[19]</w:t>
            </w:r>
            <w:r>
              <w:rPr>
                <w:rFonts w:ascii="Arial" w:hAnsi="Arial" w:cs="Arial"/>
                <w:sz w:val="18"/>
                <w:szCs w:val="18"/>
              </w:rPr>
              <w:t xml:space="preserve">2020-12-16 </w:t>
            </w:r>
            <w:r>
              <w:rPr>
                <w:rFonts w:ascii="Arial" w:hAnsi="Arial" w:cs="Arial"/>
                <w:sz w:val="18"/>
                <w:szCs w:val="18"/>
              </w:rPr>
              <w:t xml:space="preserve">TPG reviewed countries’ comments and proposed the amendments as included below for SC-7 consideration. </w:t>
            </w:r>
            <w:r>
              <w:rPr>
                <w:rFonts w:ascii="Arial" w:hAnsi="Arial" w:cs="Arial"/>
                <w:i/>
                <w:sz w:val="18"/>
                <w:szCs w:val="18"/>
              </w:rPr>
              <w:t>Note:</w:t>
            </w:r>
            <w:r>
              <w:rPr>
                <w:rFonts w:ascii="Arial" w:hAnsi="Arial" w:cs="Arial"/>
                <w:sz w:val="18"/>
                <w:szCs w:val="18"/>
              </w:rPr>
              <w:t xml:space="preserve"> Further TPG elaboration on the term and definition of </w:t>
            </w:r>
            <w:r>
              <w:rPr>
                <w:rFonts w:ascii="Arial" w:hAnsi="Arial" w:cs="Arial"/>
                <w:i/>
                <w:sz w:val="18"/>
                <w:szCs w:val="18"/>
              </w:rPr>
              <w:t>Clearance (of a consignment)</w:t>
            </w:r>
            <w:r>
              <w:rPr>
                <w:rFonts w:ascii="Arial" w:hAnsi="Arial" w:cs="Arial"/>
                <w:sz w:val="18"/>
                <w:szCs w:val="18"/>
              </w:rPr>
              <w:t xml:space="preserve"> has been postponed.</w:t>
            </w:r>
          </w:p>
          <w:p w:rsidR="00EF4522" w:rsidRDefault="001F0EE5">
            <w:pPr>
              <w:pStyle w:val="NormalWeb"/>
              <w:spacing w:before="58" w:beforeAutospacing="0" w:after="58" w:afterAutospacing="0"/>
              <w:rPr>
                <w:rFonts w:ascii="Arial" w:hAnsi="Arial" w:cs="Arial"/>
                <w:sz w:val="18"/>
                <w:szCs w:val="18"/>
              </w:rPr>
            </w:pPr>
            <w:r>
              <w:rPr>
                <w:rStyle w:val="PleaseReviewParagraphId"/>
              </w:rPr>
              <w:t>[20]</w:t>
            </w:r>
            <w:r>
              <w:rPr>
                <w:rFonts w:ascii="Arial" w:hAnsi="Arial" w:cs="Arial"/>
                <w:sz w:val="18"/>
                <w:szCs w:val="18"/>
              </w:rPr>
              <w:t xml:space="preserve">2021-05 SC-7 reviewed the 2019 and 2020 </w:t>
            </w:r>
            <w:r>
              <w:rPr>
                <w:rFonts w:ascii="Arial" w:hAnsi="Arial" w:cs="Arial"/>
                <w:sz w:val="18"/>
                <w:szCs w:val="18"/>
              </w:rPr>
              <w:t>amendments via the Online Comment System and approved at its virtual meeting for the second consultation.</w:t>
            </w:r>
          </w:p>
        </w:tc>
      </w:tr>
      <w:tr w:rsidR="00EF4522">
        <w:trPr>
          <w:tblCellSpacing w:w="0" w:type="dxa"/>
          <w:jc w:val="center"/>
        </w:trPr>
        <w:tc>
          <w:tcPr>
            <w:tcW w:w="2347" w:type="dxa"/>
            <w:tcBorders>
              <w:top w:val="outset" w:sz="6" w:space="0" w:color="00000A"/>
              <w:bottom w:val="outset" w:sz="6" w:space="0" w:color="00000A"/>
              <w:right w:val="outset" w:sz="6" w:space="0" w:color="00000A"/>
            </w:tcBorders>
          </w:tcPr>
          <w:p w:rsidR="00EF4522" w:rsidRDefault="001F0EE5">
            <w:pPr>
              <w:pStyle w:val="NormalWeb"/>
              <w:spacing w:before="58" w:beforeAutospacing="0"/>
              <w:rPr>
                <w:rFonts w:ascii="Arial" w:hAnsi="Arial" w:cs="Arial"/>
                <w:sz w:val="18"/>
                <w:szCs w:val="18"/>
              </w:rPr>
            </w:pPr>
            <w:r>
              <w:rPr>
                <w:rStyle w:val="PleaseReviewParagraphId"/>
              </w:rPr>
              <w:t>[21]</w:t>
            </w:r>
            <w:r>
              <w:rPr>
                <w:rFonts w:ascii="Arial" w:hAnsi="Arial" w:cs="Arial"/>
                <w:b/>
                <w:bCs/>
                <w:sz w:val="18"/>
                <w:szCs w:val="18"/>
              </w:rPr>
              <w:t>Notes</w:t>
            </w:r>
            <w:r>
              <w:rPr>
                <w:rFonts w:ascii="Arial" w:hAnsi="Arial" w:cs="Arial"/>
                <w:sz w:val="18"/>
                <w:szCs w:val="18"/>
              </w:rPr>
              <w:t xml:space="preserve"> </w:t>
            </w:r>
          </w:p>
        </w:tc>
        <w:tc>
          <w:tcPr>
            <w:tcW w:w="6664" w:type="dxa"/>
            <w:tcBorders>
              <w:top w:val="outset" w:sz="6" w:space="0" w:color="00000A"/>
              <w:left w:val="outset" w:sz="6" w:space="0" w:color="00000A"/>
              <w:bottom w:val="outset" w:sz="6" w:space="0" w:color="00000A"/>
            </w:tcBorders>
          </w:tcPr>
          <w:p w:rsidR="00EF4522" w:rsidRDefault="001F0EE5">
            <w:pPr>
              <w:pStyle w:val="IPPNormal"/>
              <w:rPr>
                <w:rFonts w:ascii="Arial" w:hAnsi="Arial" w:cs="Arial"/>
                <w:sz w:val="18"/>
                <w:szCs w:val="18"/>
              </w:rPr>
            </w:pPr>
            <w:r>
              <w:rPr>
                <w:rStyle w:val="PleaseReviewParagraphId"/>
              </w:rPr>
              <w:t>[22]</w:t>
            </w:r>
            <w:r>
              <w:rPr>
                <w:rFonts w:ascii="Arial" w:eastAsia="MS Mincho" w:hAnsi="Arial" w:cs="Arial"/>
                <w:sz w:val="18"/>
                <w:szCs w:val="18"/>
              </w:rPr>
              <w:t>Note to Secretariat formatting this paper: formatting in definitions and explanations (strikethrough, bold, italics) needs to remain.</w:t>
            </w:r>
          </w:p>
        </w:tc>
      </w:tr>
    </w:tbl>
    <w:p w:rsidR="00EF4522" w:rsidRDefault="001F0EE5">
      <w:pPr>
        <w:pStyle w:val="IPPHeading1"/>
        <w:spacing w:before="480"/>
        <w:rPr>
          <w:szCs w:val="24"/>
        </w:rPr>
      </w:pPr>
      <w:r>
        <w:rPr>
          <w:rStyle w:val="PleaseReviewParagraphId"/>
          <w:b w:val="0"/>
        </w:rPr>
        <w:t>[23]</w:t>
      </w:r>
      <w:r>
        <w:rPr>
          <w:szCs w:val="24"/>
        </w:rPr>
        <w:t>1. DELETIONS</w:t>
      </w:r>
    </w:p>
    <w:p w:rsidR="00EF4522" w:rsidRDefault="001F0EE5">
      <w:pPr>
        <w:pStyle w:val="IPPParagraphnumbering"/>
        <w:numPr>
          <w:ilvl w:val="0"/>
          <w:numId w:val="0"/>
        </w:numPr>
        <w:spacing w:before="180"/>
        <w:rPr>
          <w:b/>
          <w:lang w:val="en-GB"/>
        </w:rPr>
      </w:pPr>
      <w:r>
        <w:rPr>
          <w:rStyle w:val="PleaseReviewParagraphId"/>
        </w:rPr>
        <w:t>[24]</w:t>
      </w:r>
      <w:r>
        <w:rPr>
          <w:b/>
          <w:lang w:val="en-GB"/>
        </w:rPr>
        <w:t>1.1 “incidence” (2018-010)</w:t>
      </w:r>
    </w:p>
    <w:p w:rsidR="00EF4522" w:rsidRDefault="001F0EE5">
      <w:pPr>
        <w:pStyle w:val="IPPParagraphnumbering"/>
        <w:numPr>
          <w:ilvl w:val="0"/>
          <w:numId w:val="0"/>
        </w:numPr>
      </w:pPr>
      <w:r>
        <w:rPr>
          <w:rStyle w:val="PleaseReviewParagraphId"/>
        </w:rPr>
        <w:t>[25]</w:t>
      </w:r>
      <w:r>
        <w:t xml:space="preserve">A topic was submitted during the 2018 Call for topics for standards and implementation to revise the definition of the term “incidence” and define the term “prevalence”, as their meaning can be confused </w:t>
      </w:r>
      <w:r>
        <w:t xml:space="preserve">in human and animal epidemiological context versus phytosanitary context. </w:t>
      </w:r>
    </w:p>
    <w:p w:rsidR="00EF4522" w:rsidRDefault="001F0EE5">
      <w:pPr>
        <w:pStyle w:val="IPPParagraphnumbering"/>
        <w:numPr>
          <w:ilvl w:val="0"/>
          <w:numId w:val="0"/>
        </w:numPr>
      </w:pPr>
      <w:r>
        <w:rPr>
          <w:rStyle w:val="PleaseReviewParagraphId"/>
        </w:rPr>
        <w:t>[26]</w:t>
      </w:r>
      <w:r>
        <w:t>The Standards Committee (SC) at its November 2018 meeting discussed the recommendation of the Task Force on Topics (TFT) and noted that the terms “incidence” and “prevalence” ha</w:t>
      </w:r>
      <w:r>
        <w:t>d been discussed in depth previously. Only “incidence” is defined in the Glossary and instead of revising that definition and defining “prevalence”, the SC proposed to delete “incidence” from the Glossary and to use the terms “incidence” and “prevalence” i</w:t>
      </w:r>
      <w:r>
        <w:t xml:space="preserve">n their </w:t>
      </w:r>
      <w:r>
        <w:lastRenderedPageBreak/>
        <w:t xml:space="preserve">common dictionary sense in ISPMs. The SC therefore added the term “incidence” to the </w:t>
      </w:r>
      <w:r>
        <w:rPr>
          <w:i/>
        </w:rPr>
        <w:t>List of topics for IPPC standards</w:t>
      </w:r>
      <w:r>
        <w:t xml:space="preserve"> and requested the Technical Panel for the Glossary (TPG) consider deleting it from the Glossary. </w:t>
      </w:r>
    </w:p>
    <w:p w:rsidR="00EF4522" w:rsidRDefault="001F0EE5">
      <w:pPr>
        <w:pStyle w:val="IPPParagraphnumbering"/>
        <w:numPr>
          <w:ilvl w:val="0"/>
          <w:numId w:val="0"/>
        </w:numPr>
        <w:rPr>
          <w:rStyle w:val="PleaseReviewParagraphId"/>
        </w:rPr>
      </w:pPr>
      <w:r>
        <w:rPr>
          <w:rStyle w:val="PleaseReviewParagraphId"/>
        </w:rPr>
        <w:t>[27]</w:t>
      </w:r>
      <w:r>
        <w:t>At its November 2019 meetin</w:t>
      </w:r>
      <w:r>
        <w:t>g, the TPG analyzed previous work carried out by the TPG and decisions of SC and CPM since 1995, with regard to the term “incidence” and the linked Glossary terms “area of low pest prevalence” and “tolerance level”. The TPG recalled that the initial intent</w:t>
      </w:r>
      <w:r>
        <w:t>ion had been to define the term “prevalence” but, following a lengthy process of consideration and consultation on the terms “prevalence”, “incidence” and “tolerance”, the term and definition of “incidence” (as well as of “tolerance level”) had finally bee</w:t>
      </w:r>
      <w:r>
        <w:t>n adopted in 2009 and included in the Glossary rather than “prevalence”. The TPG discussed all relative merits of retaining “incidence” in the Glossary, replacing it by “prevalence”, or having both terms in the Glossary.</w:t>
      </w:r>
      <w:r>
        <w:rPr>
          <w:rStyle w:val="PleaseReviewParagraphId"/>
        </w:rPr>
        <w:t xml:space="preserve"> </w:t>
      </w:r>
    </w:p>
    <w:p w:rsidR="00EF4522" w:rsidRDefault="001F0EE5">
      <w:pPr>
        <w:pStyle w:val="IPPParagraphnumbering"/>
        <w:numPr>
          <w:ilvl w:val="0"/>
          <w:numId w:val="0"/>
        </w:numPr>
      </w:pPr>
      <w:r>
        <w:rPr>
          <w:rStyle w:val="PleaseReviewParagraphId"/>
        </w:rPr>
        <w:t>[28]</w:t>
      </w:r>
      <w:r>
        <w:t>Considering the extensive past</w:t>
      </w:r>
      <w:r>
        <w:t xml:space="preserve"> discussions on the possible definitions of the terms “prevalence” and “incidence” and the divergent points of view expressed, the TPG confirmed that it is unlikely that an agreement could be reached on a revised Glossary definition of “incidence” and a ne</w:t>
      </w:r>
      <w:r>
        <w:t>w Glossary definition of “prevalence”. Recognizing the pragmatic direction set out by the SC, the TPG therefore agreed to propose that the term “incidence” be deleted from the Glossary, with no ink amendments to the definition of “tolerance level” (which r</w:t>
      </w:r>
      <w:r>
        <w:t>efers to “incidence”), and that the words “incidence” and “prevalence” be used in ISPMs with their general, dictionary meaning.</w:t>
      </w:r>
    </w:p>
    <w:p w:rsidR="00EF4522" w:rsidRDefault="001F0EE5">
      <w:pPr>
        <w:pStyle w:val="IPPParagraphnumbering"/>
        <w:keepNext/>
        <w:numPr>
          <w:ilvl w:val="0"/>
          <w:numId w:val="0"/>
        </w:numPr>
        <w:spacing w:after="60"/>
      </w:pPr>
      <w:r>
        <w:rPr>
          <w:rStyle w:val="PleaseReviewParagraphId"/>
        </w:rPr>
        <w:t>[29]</w:t>
      </w:r>
      <w:r>
        <w:t>The following explanatory points may be considered when reviewing the proposal for the deletion of the term “incidence (of a</w:t>
      </w:r>
      <w:r>
        <w:t xml:space="preserve"> pest)”: </w:t>
      </w:r>
    </w:p>
    <w:p w:rsidR="00EF4522" w:rsidRDefault="001F0EE5">
      <w:pPr>
        <w:pStyle w:val="IPPParagraphnumbering"/>
        <w:numPr>
          <w:ilvl w:val="0"/>
          <w:numId w:val="15"/>
        </w:numPr>
        <w:spacing w:before="180"/>
        <w:rPr>
          <w:lang w:val="en-GB"/>
        </w:rPr>
      </w:pPr>
      <w:r>
        <w:rPr>
          <w:rStyle w:val="PleaseReviewParagraphId"/>
        </w:rPr>
        <w:t>[30]</w:t>
      </w:r>
      <w:r>
        <w:rPr>
          <w:lang w:val="en-GB"/>
        </w:rPr>
        <w:t xml:space="preserve">The current Glossary definition of “incidence”, although fitting well with the use of the term in plant protection, corresponds to the epidemiological definition of “prevalence” as used in human and animal health. For example, </w:t>
      </w:r>
      <w:r>
        <w:rPr>
          <w:i/>
          <w:lang w:val="en-GB"/>
        </w:rPr>
        <w:t>TERMIUM Plus</w:t>
      </w:r>
      <w:r>
        <w:rPr>
          <w:lang w:val="en-GB"/>
        </w:rPr>
        <w:t xml:space="preserve"> defines the two terms as following for the subject field “Statistics; Epidemiology; General Medicine, Hygiene and Health”:</w:t>
      </w:r>
    </w:p>
    <w:p w:rsidR="00EF4522" w:rsidRDefault="001F0EE5">
      <w:pPr>
        <w:pStyle w:val="IPPParagraphnumbering"/>
        <w:numPr>
          <w:ilvl w:val="0"/>
          <w:numId w:val="30"/>
        </w:numPr>
        <w:spacing w:before="180"/>
        <w:rPr>
          <w:lang w:val="en-GB"/>
        </w:rPr>
      </w:pPr>
      <w:r>
        <w:rPr>
          <w:rStyle w:val="PleaseReviewParagraphId"/>
        </w:rPr>
        <w:t>[31]</w:t>
      </w:r>
      <w:r>
        <w:rPr>
          <w:u w:val="single"/>
          <w:lang w:val="en-GB"/>
        </w:rPr>
        <w:t>incidence:</w:t>
      </w:r>
      <w:r>
        <w:rPr>
          <w:lang w:val="en-GB"/>
        </w:rPr>
        <w:t xml:space="preserve"> The number of new cases of a disease or condition in a population at risk over a given period, usually one year;</w:t>
      </w:r>
      <w:r>
        <w:rPr>
          <w:u w:val="single"/>
          <w:lang w:val="en-GB"/>
        </w:rPr>
        <w:t xml:space="preserve"> </w:t>
      </w:r>
    </w:p>
    <w:p w:rsidR="00EF4522" w:rsidRDefault="001F0EE5">
      <w:pPr>
        <w:pStyle w:val="IPPParagraphnumbering"/>
        <w:numPr>
          <w:ilvl w:val="0"/>
          <w:numId w:val="30"/>
        </w:numPr>
        <w:spacing w:before="180"/>
        <w:rPr>
          <w:lang w:val="en-GB"/>
        </w:rPr>
      </w:pPr>
      <w:r>
        <w:rPr>
          <w:rStyle w:val="PleaseReviewParagraphId"/>
        </w:rPr>
        <w:t>[32</w:t>
      </w:r>
      <w:r>
        <w:rPr>
          <w:rStyle w:val="PleaseReviewParagraphId"/>
        </w:rPr>
        <w:t>]</w:t>
      </w:r>
      <w:r>
        <w:rPr>
          <w:u w:val="single"/>
          <w:lang w:val="en-GB"/>
        </w:rPr>
        <w:t>prevalence:</w:t>
      </w:r>
      <w:r>
        <w:rPr>
          <w:lang w:val="en-GB"/>
        </w:rPr>
        <w:t xml:space="preserve"> The number of people in a population with a specific disease or condition at a given time, usually expressed as a proportion of the number of affected people to the total population;</w:t>
      </w:r>
    </w:p>
    <w:p w:rsidR="00EF4522" w:rsidRDefault="001F0EE5">
      <w:pPr>
        <w:pStyle w:val="IPPParagraphnumbering"/>
        <w:numPr>
          <w:ilvl w:val="0"/>
          <w:numId w:val="15"/>
        </w:numPr>
        <w:spacing w:before="180"/>
      </w:pPr>
      <w:r>
        <w:rPr>
          <w:rStyle w:val="PleaseReviewParagraphId"/>
        </w:rPr>
        <w:t>[33]</w:t>
      </w:r>
      <w:r>
        <w:rPr>
          <w:szCs w:val="24"/>
        </w:rPr>
        <w:t>The general meaning of “incidence” in conventional dicti</w:t>
      </w:r>
      <w:r>
        <w:rPr>
          <w:szCs w:val="24"/>
        </w:rPr>
        <w:t xml:space="preserve">onaries is consistent with its Glossary definition that simply makes the term more specific to plant protection; </w:t>
      </w:r>
    </w:p>
    <w:p w:rsidR="00EF4522" w:rsidRDefault="001F0EE5">
      <w:pPr>
        <w:pStyle w:val="IPPParagraphnumbering"/>
        <w:numPr>
          <w:ilvl w:val="0"/>
          <w:numId w:val="15"/>
        </w:numPr>
        <w:spacing w:before="180"/>
      </w:pPr>
      <w:r>
        <w:rPr>
          <w:rStyle w:val="PleaseReviewParagraphId"/>
        </w:rPr>
        <w:t>[34]</w:t>
      </w:r>
      <w:r>
        <w:rPr>
          <w:lang w:val="en-GB"/>
        </w:rPr>
        <w:t xml:space="preserve">It is therefore proposed that the term “incidence” be removed from the Glossary, and the terms “prevalence” and “incidence” used in their </w:t>
      </w:r>
      <w:r>
        <w:rPr>
          <w:lang w:val="en-GB"/>
        </w:rPr>
        <w:t xml:space="preserve">common dictionary sense. </w:t>
      </w:r>
    </w:p>
    <w:p w:rsidR="00EF4522" w:rsidRDefault="001F0EE5">
      <w:pPr>
        <w:pStyle w:val="IPPParagraphnumbering"/>
        <w:keepNext/>
        <w:numPr>
          <w:ilvl w:val="0"/>
          <w:numId w:val="0"/>
        </w:numPr>
        <w:spacing w:after="60"/>
        <w:rPr>
          <w:b/>
          <w:i/>
        </w:rPr>
      </w:pPr>
      <w:r>
        <w:rPr>
          <w:rStyle w:val="PleaseReviewParagraphId"/>
        </w:rPr>
        <w:t>[35]</w:t>
      </w:r>
      <w:r>
        <w:rPr>
          <w:b/>
          <w:i/>
        </w:rPr>
        <w:t>Proposed deletion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3"/>
        <w:gridCol w:w="6838"/>
      </w:tblGrid>
      <w:tr w:rsidR="00EF4522">
        <w:tc>
          <w:tcPr>
            <w:tcW w:w="2172" w:type="dxa"/>
          </w:tcPr>
          <w:p w:rsidR="00EF4522" w:rsidRDefault="001F0EE5">
            <w:pPr>
              <w:autoSpaceDE w:val="0"/>
              <w:autoSpaceDN w:val="0"/>
              <w:adjustRightInd w:val="0"/>
              <w:spacing w:after="160" w:line="259" w:lineRule="auto"/>
              <w:jc w:val="left"/>
              <w:rPr>
                <w:rFonts w:eastAsia="Times New Roman"/>
                <w:color w:val="000000"/>
                <w:sz w:val="24"/>
                <w:lang w:eastAsia="zh-CN"/>
              </w:rPr>
            </w:pPr>
            <w:r>
              <w:rPr>
                <w:rStyle w:val="PleaseReviewParagraphId"/>
              </w:rPr>
              <w:t>[36]</w:t>
            </w:r>
            <w:r>
              <w:rPr>
                <w:rFonts w:eastAsia="Times New Roman"/>
                <w:b/>
                <w:bCs/>
                <w:color w:val="000000"/>
                <w:sz w:val="24"/>
                <w:lang w:eastAsia="zh-CN"/>
              </w:rPr>
              <w:t xml:space="preserve">incidence </w:t>
            </w:r>
            <w:r>
              <w:rPr>
                <w:rFonts w:eastAsia="Times New Roman"/>
                <w:bCs/>
                <w:color w:val="000000"/>
                <w:sz w:val="24"/>
                <w:lang w:eastAsia="zh-CN"/>
              </w:rPr>
              <w:t>(of a</w:t>
            </w:r>
            <w:r>
              <w:rPr>
                <w:rFonts w:eastAsia="Times New Roman"/>
                <w:b/>
                <w:bCs/>
                <w:color w:val="000000"/>
                <w:sz w:val="24"/>
                <w:lang w:eastAsia="zh-CN"/>
              </w:rPr>
              <w:t xml:space="preserve"> pest</w:t>
            </w:r>
            <w:r>
              <w:rPr>
                <w:rFonts w:eastAsia="Times New Roman"/>
                <w:bCs/>
                <w:color w:val="000000"/>
                <w:sz w:val="24"/>
                <w:lang w:eastAsia="zh-CN"/>
              </w:rPr>
              <w:t>)</w:t>
            </w:r>
          </w:p>
        </w:tc>
        <w:tc>
          <w:tcPr>
            <w:tcW w:w="6970" w:type="dxa"/>
          </w:tcPr>
          <w:p w:rsidR="00EF4522" w:rsidRDefault="001F0EE5">
            <w:pPr>
              <w:autoSpaceDE w:val="0"/>
              <w:autoSpaceDN w:val="0"/>
              <w:adjustRightInd w:val="0"/>
              <w:spacing w:after="120" w:line="259" w:lineRule="auto"/>
              <w:jc w:val="left"/>
              <w:rPr>
                <w:rFonts w:eastAsia="Times New Roman"/>
                <w:color w:val="000000"/>
                <w:sz w:val="24"/>
                <w:lang w:eastAsia="zh-CN"/>
              </w:rPr>
            </w:pPr>
            <w:r>
              <w:rPr>
                <w:rStyle w:val="PleaseReviewParagraphId"/>
              </w:rPr>
              <w:t>[37]</w:t>
            </w:r>
            <w:r>
              <w:rPr>
                <w:rFonts w:eastAsia="Times New Roman"/>
                <w:color w:val="000000"/>
                <w:sz w:val="24"/>
                <w:lang w:eastAsia="zh-CN"/>
              </w:rPr>
              <w:t xml:space="preserve">Proportion or number of units in which a </w:t>
            </w:r>
            <w:r>
              <w:rPr>
                <w:rFonts w:eastAsia="Times New Roman"/>
                <w:b/>
                <w:color w:val="000000"/>
                <w:sz w:val="24"/>
                <w:lang w:eastAsia="zh-CN"/>
              </w:rPr>
              <w:t>pest</w:t>
            </w:r>
            <w:r>
              <w:rPr>
                <w:rFonts w:eastAsia="Times New Roman"/>
                <w:color w:val="000000"/>
                <w:sz w:val="24"/>
                <w:lang w:eastAsia="zh-CN"/>
              </w:rPr>
              <w:t xml:space="preserve"> is present in a sample, </w:t>
            </w:r>
            <w:r>
              <w:rPr>
                <w:rFonts w:eastAsia="Times New Roman"/>
                <w:b/>
                <w:color w:val="000000"/>
                <w:sz w:val="24"/>
                <w:lang w:eastAsia="zh-CN"/>
              </w:rPr>
              <w:t>consignment</w:t>
            </w:r>
            <w:r>
              <w:rPr>
                <w:rFonts w:eastAsia="Times New Roman"/>
                <w:color w:val="000000"/>
                <w:sz w:val="24"/>
                <w:lang w:eastAsia="zh-CN"/>
              </w:rPr>
              <w:t xml:space="preserve">, </w:t>
            </w:r>
            <w:r>
              <w:rPr>
                <w:rFonts w:eastAsia="Times New Roman"/>
                <w:b/>
                <w:color w:val="000000"/>
                <w:sz w:val="24"/>
                <w:lang w:eastAsia="zh-CN"/>
              </w:rPr>
              <w:t>field</w:t>
            </w:r>
            <w:r>
              <w:rPr>
                <w:rFonts w:eastAsia="Times New Roman"/>
                <w:color w:val="000000"/>
                <w:sz w:val="24"/>
                <w:lang w:eastAsia="zh-CN"/>
              </w:rPr>
              <w:t xml:space="preserve"> or other defined population [CPM, 2009]</w:t>
            </w:r>
          </w:p>
        </w:tc>
      </w:tr>
    </w:tbl>
    <w:p w:rsidR="00EF4522" w:rsidRDefault="001F0EE5">
      <w:pPr>
        <w:pStyle w:val="IPPHeading1"/>
        <w:spacing w:before="480"/>
      </w:pPr>
      <w:r>
        <w:rPr>
          <w:rStyle w:val="PleaseReviewParagraphId"/>
          <w:b w:val="0"/>
        </w:rPr>
        <w:lastRenderedPageBreak/>
        <w:t>[38]</w:t>
      </w:r>
      <w:r>
        <w:rPr>
          <w:sz w:val="22"/>
        </w:rPr>
        <w:t>2.</w:t>
      </w:r>
      <w:r>
        <w:rPr>
          <w:sz w:val="22"/>
        </w:rPr>
        <w:tab/>
      </w:r>
      <w:r>
        <w:t>REVISIONS</w:t>
      </w:r>
    </w:p>
    <w:p w:rsidR="00EF4522" w:rsidRDefault="001F0EE5">
      <w:pPr>
        <w:pStyle w:val="IPPHeading2"/>
        <w:rPr>
          <w:szCs w:val="22"/>
        </w:rPr>
      </w:pPr>
      <w:r>
        <w:rPr>
          <w:rStyle w:val="PleaseReviewParagraphId"/>
          <w:b w:val="0"/>
        </w:rPr>
        <w:t>[39]</w:t>
      </w:r>
      <w:r>
        <w:rPr>
          <w:sz w:val="22"/>
          <w:szCs w:val="22"/>
        </w:rPr>
        <w:t>2.1</w:t>
      </w:r>
      <w:r>
        <w:rPr>
          <w:sz w:val="22"/>
          <w:szCs w:val="22"/>
        </w:rPr>
        <w:tab/>
      </w:r>
      <w:r>
        <w:rPr>
          <w:szCs w:val="22"/>
        </w:rPr>
        <w:t xml:space="preserve">“emergency action” </w:t>
      </w:r>
      <w:r>
        <w:rPr>
          <w:szCs w:val="22"/>
        </w:rPr>
        <w:t>(2018-044)</w:t>
      </w:r>
    </w:p>
    <w:p w:rsidR="00EF4522" w:rsidRDefault="001F0EE5">
      <w:pPr>
        <w:pStyle w:val="IPPParagraphnumbering"/>
        <w:numPr>
          <w:ilvl w:val="0"/>
          <w:numId w:val="0"/>
        </w:numPr>
      </w:pPr>
      <w:r>
        <w:rPr>
          <w:rStyle w:val="PleaseReviewParagraphId"/>
        </w:rPr>
        <w:t>[40]</w:t>
      </w:r>
      <w:r>
        <w:rPr>
          <w:szCs w:val="24"/>
        </w:rPr>
        <w:t>At its December 2018 meeting, the TPG, while considering the comments received from first consultation on the proposed revised definition of the term “treatment” (2017-008), discussed how the term “emergency action” would apply for a new, no</w:t>
      </w:r>
      <w:r>
        <w:rPr>
          <w:szCs w:val="24"/>
        </w:rPr>
        <w:t xml:space="preserve">n-yet regulated, pest discovered for instance in an imported consignment. </w:t>
      </w:r>
    </w:p>
    <w:p w:rsidR="00EF4522" w:rsidRDefault="001F0EE5">
      <w:pPr>
        <w:pStyle w:val="IPPParagraphnumbering"/>
        <w:numPr>
          <w:ilvl w:val="0"/>
          <w:numId w:val="0"/>
        </w:numPr>
      </w:pPr>
      <w:r>
        <w:rPr>
          <w:rStyle w:val="PleaseReviewParagraphId"/>
        </w:rPr>
        <w:t>[41]</w:t>
      </w:r>
      <w:r>
        <w:t xml:space="preserve">The TPG had considered it appropriate that such situations could be managed by the </w:t>
      </w:r>
      <w:r>
        <w:rPr>
          <w:lang w:val="en-GB"/>
        </w:rPr>
        <w:t>national plant protection organisations (</w:t>
      </w:r>
      <w:r>
        <w:t xml:space="preserve">NPPO) taking “emergency action” but had noted that, since the definition of “emergency action” refers back to “phytosanitary action” and therefore to the implementation of a “phytosanitary measure”, it currently applies only to regulated pests. </w:t>
      </w:r>
    </w:p>
    <w:p w:rsidR="00EF4522" w:rsidRDefault="001F0EE5">
      <w:pPr>
        <w:pStyle w:val="IPPParagraphnumbering"/>
        <w:numPr>
          <w:ilvl w:val="0"/>
          <w:numId w:val="0"/>
        </w:numPr>
      </w:pPr>
      <w:r>
        <w:rPr>
          <w:rStyle w:val="PleaseReviewParagraphId"/>
        </w:rPr>
        <w:t>[42]</w:t>
      </w:r>
      <w:r>
        <w:t>Recall</w:t>
      </w:r>
      <w:r>
        <w:t>ing that Article VII.6 of the IPPC states that “nothing in this Article shall prevent any contracting party from taking appropriate emergency action on the detection of a pest posing a potential threat to its territories or the report of such a detection”,</w:t>
      </w:r>
      <w:r>
        <w:t xml:space="preserve"> the TPG had considered that the text of the Convention justifies NPPOs taking action on any pest posing “a potential threat”, including non-regulated pests. The TPG had therefore concluded that the definition of “emergency action” probably needed to be re</w:t>
      </w:r>
      <w:r>
        <w:t xml:space="preserve">vised to cover non-regulated pests and in May 2019 the SC had agreed to add this term to the </w:t>
      </w:r>
      <w:r>
        <w:rPr>
          <w:i/>
        </w:rPr>
        <w:t>List of topics for IPPC standards</w:t>
      </w:r>
      <w:r>
        <w:t>.</w:t>
      </w:r>
    </w:p>
    <w:p w:rsidR="00EF4522" w:rsidRDefault="001F0EE5">
      <w:pPr>
        <w:pStyle w:val="IPPParagraphnumbering"/>
        <w:numPr>
          <w:ilvl w:val="0"/>
          <w:numId w:val="0"/>
        </w:numPr>
        <w:rPr>
          <w:lang w:val="en-GB"/>
        </w:rPr>
      </w:pPr>
      <w:r>
        <w:rPr>
          <w:rStyle w:val="PleaseReviewParagraphId"/>
        </w:rPr>
        <w:t>[43]</w:t>
      </w:r>
      <w:r>
        <w:rPr>
          <w:lang w:val="en-GB"/>
        </w:rPr>
        <w:t>At its November 2019 meeting, the TPG analysed the use of the terms “emergency action” and “phytosanitary action” in adopted</w:t>
      </w:r>
      <w:r>
        <w:rPr>
          <w:lang w:val="en-GB"/>
        </w:rPr>
        <w:t xml:space="preserve"> ISPMs, and proposed a revised definition of “emergency action”” that went for the first consultation July through September 2020. In reviewing comments received from that consultation, the TPG at its December 2020 meeting produced a revised proposal which</w:t>
      </w:r>
      <w:r>
        <w:rPr>
          <w:lang w:val="en-GB"/>
        </w:rPr>
        <w:t xml:space="preserve"> was amended by the SC-7 in May 2021 and is presented below.</w:t>
      </w:r>
    </w:p>
    <w:p w:rsidR="00EF4522" w:rsidRDefault="001F0EE5">
      <w:pPr>
        <w:pStyle w:val="IPPParagraphnumbering"/>
        <w:numPr>
          <w:ilvl w:val="0"/>
          <w:numId w:val="0"/>
        </w:numPr>
        <w:rPr>
          <w:lang w:val="en-GB"/>
        </w:rPr>
      </w:pPr>
      <w:r>
        <w:rPr>
          <w:rStyle w:val="PleaseReviewParagraphId"/>
        </w:rPr>
        <w:t>[44]</w:t>
      </w:r>
      <w:r>
        <w:rPr>
          <w:lang w:val="en-GB"/>
        </w:rPr>
        <w:t xml:space="preserve">The following explanatory points may be considered when reviewing the proposal for the revision of the definition of “emergency action”: </w:t>
      </w:r>
    </w:p>
    <w:p w:rsidR="00EF4522" w:rsidRDefault="001F0EE5">
      <w:pPr>
        <w:pStyle w:val="IPPParagraphnumbering"/>
        <w:numPr>
          <w:ilvl w:val="0"/>
          <w:numId w:val="15"/>
        </w:numPr>
        <w:spacing w:before="180"/>
        <w:rPr>
          <w:lang w:val="en-GB"/>
        </w:rPr>
      </w:pPr>
      <w:r>
        <w:rPr>
          <w:rStyle w:val="PleaseReviewParagraphId"/>
        </w:rPr>
        <w:t>[45]</w:t>
      </w:r>
      <w:r>
        <w:rPr>
          <w:lang w:val="en-GB"/>
        </w:rPr>
        <w:t>There is a need for replacing “phytosanitary” wit</w:t>
      </w:r>
      <w:r>
        <w:rPr>
          <w:lang w:val="en-GB"/>
        </w:rPr>
        <w:t>h “official” in the current wording “phytosanitary action”, to clarify that an emergency action can target both regulated and non-regulated pests, and at the same time retain the notion that any emergency action should be taken under the authority of the N</w:t>
      </w:r>
      <w:r>
        <w:rPr>
          <w:lang w:val="en-GB"/>
        </w:rPr>
        <w:t>PPO;</w:t>
      </w:r>
    </w:p>
    <w:p w:rsidR="00EF4522" w:rsidRDefault="001F0EE5">
      <w:pPr>
        <w:pStyle w:val="IPPParagraphnumbering"/>
        <w:numPr>
          <w:ilvl w:val="0"/>
          <w:numId w:val="15"/>
        </w:numPr>
        <w:spacing w:before="180"/>
        <w:rPr>
          <w:lang w:val="en-GB"/>
        </w:rPr>
      </w:pPr>
      <w:r>
        <w:rPr>
          <w:rStyle w:val="PleaseReviewParagraphId"/>
        </w:rPr>
        <w:t>[46]</w:t>
      </w:r>
      <w:r>
        <w:rPr>
          <w:lang w:val="en-GB"/>
        </w:rPr>
        <w:t>In the definition, replacing “action” with “operation” is proposed for consistency with the definition of “phytosanitary action”, being “an official operation, such as inspection, testing, surveillance or treatment, undertaken to implement phytosa</w:t>
      </w:r>
      <w:r>
        <w:rPr>
          <w:lang w:val="en-GB"/>
        </w:rPr>
        <w:t>nitary measures”;</w:t>
      </w:r>
    </w:p>
    <w:p w:rsidR="00EF4522" w:rsidRDefault="001F0EE5">
      <w:pPr>
        <w:pStyle w:val="IPPParagraphnumbering"/>
        <w:numPr>
          <w:ilvl w:val="0"/>
          <w:numId w:val="15"/>
        </w:numPr>
        <w:spacing w:before="180"/>
        <w:rPr>
          <w:lang w:val="en-GB"/>
        </w:rPr>
      </w:pPr>
      <w:r>
        <w:rPr>
          <w:rStyle w:val="PleaseReviewParagraphId"/>
        </w:rPr>
        <w:t>[47]</w:t>
      </w:r>
      <w:r>
        <w:rPr>
          <w:lang w:val="en-GB"/>
        </w:rPr>
        <w:t xml:space="preserve">With the word “phytosanitary” being replaced by “official”, wording is being added to explicitly state the purpose of an emergency action, namely “to prevent the entry, establishment or spread of a pest”; it is noted that a pest in </w:t>
      </w:r>
      <w:r>
        <w:rPr>
          <w:lang w:val="en-GB"/>
        </w:rPr>
        <w:t>question may be a regulated or a non-regulated pest, in consistency also with the change from “phytosanitary” to “official” (about the operation);</w:t>
      </w:r>
    </w:p>
    <w:p w:rsidR="00EF4522" w:rsidRDefault="001F0EE5">
      <w:pPr>
        <w:pStyle w:val="IPPParagraphnumbering"/>
        <w:numPr>
          <w:ilvl w:val="0"/>
          <w:numId w:val="15"/>
        </w:numPr>
        <w:spacing w:before="180"/>
        <w:rPr>
          <w:lang w:val="en-GB"/>
        </w:rPr>
      </w:pPr>
      <w:r>
        <w:rPr>
          <w:rStyle w:val="PleaseReviewParagraphId"/>
        </w:rPr>
        <w:t>[48]</w:t>
      </w:r>
      <w:r>
        <w:rPr>
          <w:lang w:val="en-GB"/>
        </w:rPr>
        <w:t xml:space="preserve">To distinctly characterize the situation in which an emergency action may be undertaken, </w:t>
      </w:r>
    </w:p>
    <w:p w:rsidR="00EF4522" w:rsidRDefault="001F0EE5">
      <w:pPr>
        <w:pStyle w:val="IPPParagraphnumbering"/>
        <w:numPr>
          <w:ilvl w:val="1"/>
          <w:numId w:val="15"/>
        </w:numPr>
        <w:spacing w:before="180"/>
        <w:rPr>
          <w:lang w:val="en-GB"/>
        </w:rPr>
      </w:pPr>
      <w:r>
        <w:rPr>
          <w:rStyle w:val="PleaseReviewParagraphId"/>
        </w:rPr>
        <w:t>[49]</w:t>
      </w:r>
      <w:r>
        <w:rPr>
          <w:lang w:val="en-GB"/>
        </w:rPr>
        <w:t>the word “p</w:t>
      </w:r>
      <w:r>
        <w:rPr>
          <w:lang w:val="en-GB"/>
        </w:rPr>
        <w:t>hytosanitary” (about the situation) has been removed to avoid any confusion with situations where a “phytosanitary action” may be undertaken, and</w:t>
      </w:r>
    </w:p>
    <w:p w:rsidR="00EF4522" w:rsidRDefault="001F0EE5">
      <w:pPr>
        <w:pStyle w:val="IPPParagraphnumbering"/>
        <w:numPr>
          <w:ilvl w:val="1"/>
          <w:numId w:val="15"/>
        </w:numPr>
        <w:spacing w:before="180"/>
        <w:rPr>
          <w:lang w:val="en-GB"/>
        </w:rPr>
      </w:pPr>
      <w:r>
        <w:rPr>
          <w:rStyle w:val="PleaseReviewParagraphId"/>
        </w:rPr>
        <w:lastRenderedPageBreak/>
        <w:t>[50]</w:t>
      </w:r>
      <w:r>
        <w:rPr>
          <w:lang w:val="en-GB"/>
        </w:rPr>
        <w:t>the phrase “not addressed by existing phytosanitary measures” has been added, thereby clearly distinguishi</w:t>
      </w:r>
      <w:r>
        <w:rPr>
          <w:lang w:val="en-GB"/>
        </w:rPr>
        <w:t xml:space="preserve">ng the situation triggering an “emergency action” from the situation triggering a “phytosanitary action”, where, according to its definition, operations are undertaken to implement (existing) phytosanitary measures. </w:t>
      </w:r>
    </w:p>
    <w:p w:rsidR="00EF4522" w:rsidRDefault="001F0EE5">
      <w:pPr>
        <w:pStyle w:val="IPPParagraphnumbering"/>
        <w:numPr>
          <w:ilvl w:val="0"/>
          <w:numId w:val="15"/>
        </w:numPr>
        <w:spacing w:before="180"/>
        <w:rPr>
          <w:lang w:val="en-GB"/>
        </w:rPr>
      </w:pPr>
      <w:r>
        <w:rPr>
          <w:rStyle w:val="PleaseReviewParagraphId"/>
        </w:rPr>
        <w:t>[51]</w:t>
      </w:r>
      <w:r>
        <w:rPr>
          <w:lang w:val="en-GB"/>
        </w:rPr>
        <w:t>Thus</w:t>
      </w:r>
      <w:r>
        <w:rPr>
          <w:rStyle w:val="PleaseReviewParagraphId"/>
          <w:rFonts w:ascii="Times New Roman" w:hAnsi="Times New Roman"/>
          <w:sz w:val="24"/>
          <w:szCs w:val="24"/>
        </w:rPr>
        <w:t xml:space="preserve"> </w:t>
      </w:r>
      <w:r>
        <w:rPr>
          <w:lang w:val="en-GB"/>
        </w:rPr>
        <w:t>with the revision the distinct</w:t>
      </w:r>
      <w:r>
        <w:rPr>
          <w:lang w:val="en-GB"/>
        </w:rPr>
        <w:t>ion is clarified as to how the terms “phytosanitary action” and “emergency action” should be used appropriately, namely:</w:t>
      </w:r>
    </w:p>
    <w:p w:rsidR="00EF4522" w:rsidRDefault="001F0EE5">
      <w:pPr>
        <w:pStyle w:val="IPPParagraphnumbering"/>
        <w:numPr>
          <w:ilvl w:val="1"/>
          <w:numId w:val="15"/>
        </w:numPr>
        <w:spacing w:before="180"/>
        <w:rPr>
          <w:lang w:val="en-GB"/>
        </w:rPr>
      </w:pPr>
      <w:r>
        <w:rPr>
          <w:rStyle w:val="PleaseReviewParagraphId"/>
        </w:rPr>
        <w:t>[52]</w:t>
      </w:r>
      <w:r>
        <w:rPr>
          <w:lang w:val="en-GB"/>
        </w:rPr>
        <w:t xml:space="preserve">the term “phytosanitary action” for operations undertaken to implement phytosanitary measures (e.g. in case of non-compliance of a </w:t>
      </w:r>
      <w:r>
        <w:rPr>
          <w:lang w:val="en-GB"/>
        </w:rPr>
        <w:t>consignment with phytosanitary import requirements);</w:t>
      </w:r>
    </w:p>
    <w:p w:rsidR="00EF4522" w:rsidRDefault="001F0EE5">
      <w:pPr>
        <w:pStyle w:val="IPPParagraphnumbering"/>
        <w:numPr>
          <w:ilvl w:val="1"/>
          <w:numId w:val="15"/>
        </w:numPr>
        <w:spacing w:before="180"/>
        <w:rPr>
          <w:lang w:val="en-GB"/>
        </w:rPr>
      </w:pPr>
      <w:r>
        <w:rPr>
          <w:rStyle w:val="PleaseReviewParagraphId"/>
        </w:rPr>
        <w:t>[53]</w:t>
      </w:r>
      <w:r>
        <w:rPr>
          <w:lang w:val="en-GB"/>
        </w:rPr>
        <w:t xml:space="preserve">the term “emergency action” for operations undertaken in new or unexpected situations not addressed by existing phytosanitary measures, such as the detection in an imported consignment of a pest not </w:t>
      </w:r>
      <w:r>
        <w:rPr>
          <w:lang w:val="en-GB"/>
        </w:rPr>
        <w:t>previously assessed</w:t>
      </w:r>
      <w:r>
        <w:t>, or not regulated for that particular host or pathway, or the detection in an area of a pest that needs to be prevented from establishing or spreading following its recent entry. Thus, the two concepts are disjunctive, the one not being</w:t>
      </w:r>
      <w:r>
        <w:t xml:space="preserve"> a subset of the other</w:t>
      </w:r>
      <w:r>
        <w:rPr>
          <w:lang w:val="en-GB"/>
        </w:rPr>
        <w:t>.</w:t>
      </w:r>
    </w:p>
    <w:p w:rsidR="00EF4522" w:rsidRDefault="001F0EE5">
      <w:pPr>
        <w:pStyle w:val="IPPParagraphnumbering"/>
        <w:numPr>
          <w:ilvl w:val="0"/>
          <w:numId w:val="15"/>
        </w:numPr>
        <w:spacing w:before="180"/>
        <w:rPr>
          <w:lang w:val="en-GB"/>
        </w:rPr>
      </w:pPr>
      <w:r>
        <w:rPr>
          <w:rStyle w:val="PleaseReviewParagraphId"/>
        </w:rPr>
        <w:t>[54]</w:t>
      </w:r>
      <w:r>
        <w:rPr>
          <w:lang w:val="en-GB"/>
        </w:rPr>
        <w:t>The proposed revision of the definition adequately reflects the disjunctive use of the terms “emergency action” and “phytosanitary action” in adopted ISPMs.</w:t>
      </w:r>
    </w:p>
    <w:p w:rsidR="00EF4522" w:rsidRDefault="001F0EE5">
      <w:pPr>
        <w:pStyle w:val="IPPParagraphnumbering"/>
        <w:keepNext/>
        <w:numPr>
          <w:ilvl w:val="0"/>
          <w:numId w:val="0"/>
        </w:numPr>
        <w:rPr>
          <w:b/>
          <w:bCs/>
          <w:i/>
          <w:iCs/>
          <w:szCs w:val="22"/>
        </w:rPr>
      </w:pPr>
      <w:r>
        <w:rPr>
          <w:rStyle w:val="PleaseReviewParagraphId"/>
        </w:rPr>
        <w:t>[55]</w:t>
      </w:r>
      <w:r>
        <w:rPr>
          <w:b/>
          <w:bCs/>
          <w:i/>
          <w:iCs/>
          <w:szCs w:val="22"/>
        </w:rPr>
        <w:t xml:space="preserve">Current definition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gridCol w:w="6835"/>
      </w:tblGrid>
      <w:tr w:rsidR="00EF4522">
        <w:tc>
          <w:tcPr>
            <w:tcW w:w="2172" w:type="dxa"/>
          </w:tcPr>
          <w:p w:rsidR="00EF4522" w:rsidRDefault="001F0EE5">
            <w:pPr>
              <w:autoSpaceDE w:val="0"/>
              <w:autoSpaceDN w:val="0"/>
              <w:adjustRightInd w:val="0"/>
              <w:rPr>
                <w:rFonts w:eastAsia="Times New Roman"/>
                <w:color w:val="000000"/>
                <w:sz w:val="24"/>
                <w:lang w:eastAsia="zh-CN"/>
              </w:rPr>
            </w:pPr>
            <w:r>
              <w:rPr>
                <w:rStyle w:val="PleaseReviewParagraphId"/>
              </w:rPr>
              <w:t>[56]</w:t>
            </w:r>
            <w:r>
              <w:rPr>
                <w:rFonts w:eastAsia="Times New Roman"/>
                <w:b/>
                <w:bCs/>
                <w:color w:val="000000"/>
                <w:sz w:val="24"/>
                <w:lang w:eastAsia="zh-CN"/>
              </w:rPr>
              <w:t>emergency action</w:t>
            </w:r>
          </w:p>
        </w:tc>
        <w:tc>
          <w:tcPr>
            <w:tcW w:w="6970" w:type="dxa"/>
          </w:tcPr>
          <w:p w:rsidR="00EF4522" w:rsidRDefault="001F0EE5">
            <w:pPr>
              <w:autoSpaceDE w:val="0"/>
              <w:autoSpaceDN w:val="0"/>
              <w:adjustRightInd w:val="0"/>
              <w:spacing w:after="120"/>
              <w:rPr>
                <w:rFonts w:eastAsia="Times New Roman"/>
                <w:color w:val="000000"/>
                <w:sz w:val="24"/>
                <w:lang w:eastAsia="zh-CN"/>
              </w:rPr>
            </w:pPr>
            <w:r>
              <w:rPr>
                <w:rStyle w:val="PleaseReviewParagraphId"/>
              </w:rPr>
              <w:t>[57]</w:t>
            </w:r>
            <w:r>
              <w:rPr>
                <w:rFonts w:eastAsia="Times New Roman"/>
                <w:color w:val="000000"/>
                <w:sz w:val="24"/>
                <w:lang w:eastAsia="zh-CN"/>
              </w:rPr>
              <w:t xml:space="preserve">A prompt </w:t>
            </w:r>
            <w:r>
              <w:rPr>
                <w:rFonts w:eastAsia="Times New Roman"/>
                <w:b/>
                <w:bCs/>
                <w:color w:val="000000"/>
                <w:sz w:val="24"/>
                <w:lang w:eastAsia="zh-CN"/>
              </w:rPr>
              <w:t>phytosanitary</w:t>
            </w:r>
            <w:r>
              <w:rPr>
                <w:rFonts w:eastAsia="Times New Roman"/>
                <w:b/>
                <w:bCs/>
                <w:color w:val="000000"/>
                <w:sz w:val="24"/>
                <w:lang w:eastAsia="zh-CN"/>
              </w:rPr>
              <w:t xml:space="preserve"> action </w:t>
            </w:r>
            <w:r>
              <w:rPr>
                <w:rFonts w:eastAsia="Times New Roman"/>
                <w:color w:val="000000"/>
                <w:sz w:val="24"/>
                <w:lang w:eastAsia="zh-CN"/>
              </w:rPr>
              <w:t>undertaken in a new or unexpected phytosanitary situation [ICPM, 2001]</w:t>
            </w:r>
          </w:p>
        </w:tc>
      </w:tr>
    </w:tbl>
    <w:p w:rsidR="00EF4522" w:rsidRDefault="001F0EE5">
      <w:pPr>
        <w:pStyle w:val="IPPParagraphnumbering"/>
        <w:numPr>
          <w:ilvl w:val="0"/>
          <w:numId w:val="0"/>
        </w:numPr>
        <w:spacing w:before="180"/>
        <w:rPr>
          <w:b/>
          <w:bCs/>
          <w:i/>
          <w:iCs/>
          <w:szCs w:val="22"/>
        </w:rPr>
      </w:pPr>
      <w:r>
        <w:rPr>
          <w:rStyle w:val="PleaseReviewParagraphId"/>
        </w:rPr>
        <w:t>[58]</w:t>
      </w:r>
      <w:r>
        <w:rPr>
          <w:b/>
          <w:bCs/>
          <w:i/>
          <w:iCs/>
          <w:szCs w:val="22"/>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6846"/>
      </w:tblGrid>
      <w:tr w:rsidR="00EF4522">
        <w:tc>
          <w:tcPr>
            <w:tcW w:w="2164" w:type="dxa"/>
          </w:tcPr>
          <w:p w:rsidR="00EF4522" w:rsidRDefault="001F0EE5">
            <w:pPr>
              <w:rPr>
                <w:rFonts w:eastAsia="Times New Roman"/>
                <w:b/>
                <w:sz w:val="24"/>
              </w:rPr>
            </w:pPr>
            <w:r>
              <w:rPr>
                <w:rStyle w:val="PleaseReviewParagraphId"/>
              </w:rPr>
              <w:t>[59]</w:t>
            </w:r>
            <w:r>
              <w:rPr>
                <w:rFonts w:eastAsia="Times New Roman"/>
                <w:b/>
                <w:bCs/>
                <w:sz w:val="24"/>
              </w:rPr>
              <w:t>emergency action</w:t>
            </w:r>
          </w:p>
        </w:tc>
        <w:tc>
          <w:tcPr>
            <w:tcW w:w="6976" w:type="dxa"/>
          </w:tcPr>
          <w:p w:rsidR="00EF4522" w:rsidRDefault="001F0EE5">
            <w:pPr>
              <w:spacing w:after="180"/>
              <w:ind w:right="851"/>
              <w:rPr>
                <w:rFonts w:eastAsia="Times New Roman"/>
                <w:sz w:val="24"/>
                <w:u w:val="single"/>
              </w:rPr>
            </w:pPr>
            <w:r>
              <w:rPr>
                <w:rStyle w:val="PleaseReviewParagraphId"/>
              </w:rPr>
              <w:t>[60]</w:t>
            </w:r>
            <w:r>
              <w:rPr>
                <w:sz w:val="24"/>
              </w:rPr>
              <w:t xml:space="preserve">A prompt </w:t>
            </w:r>
            <w:r>
              <w:rPr>
                <w:b/>
                <w:bCs/>
                <w:strike/>
                <w:sz w:val="24"/>
              </w:rPr>
              <w:t>phytosanitary</w:t>
            </w:r>
            <w:r>
              <w:rPr>
                <w:b/>
                <w:bCs/>
                <w:sz w:val="24"/>
              </w:rPr>
              <w:t xml:space="preserve"> </w:t>
            </w:r>
            <w:r>
              <w:rPr>
                <w:b/>
                <w:bCs/>
                <w:sz w:val="24"/>
                <w:u w:val="single"/>
              </w:rPr>
              <w:t>official</w:t>
            </w:r>
            <w:r>
              <w:rPr>
                <w:sz w:val="24"/>
              </w:rPr>
              <w:t xml:space="preserve"> </w:t>
            </w:r>
            <w:r>
              <w:rPr>
                <w:b/>
                <w:bCs/>
                <w:strike/>
                <w:sz w:val="24"/>
              </w:rPr>
              <w:t>action</w:t>
            </w:r>
            <w:r>
              <w:rPr>
                <w:sz w:val="24"/>
              </w:rPr>
              <w:t xml:space="preserve"> </w:t>
            </w:r>
            <w:r>
              <w:rPr>
                <w:sz w:val="24"/>
                <w:u w:val="single"/>
              </w:rPr>
              <w:t>operation</w:t>
            </w:r>
            <w:r>
              <w:rPr>
                <w:sz w:val="24"/>
              </w:rPr>
              <w:t xml:space="preserve"> undertaken </w:t>
            </w:r>
            <w:r>
              <w:rPr>
                <w:sz w:val="24"/>
                <w:u w:val="single"/>
              </w:rPr>
              <w:t xml:space="preserve">to prevent the </w:t>
            </w:r>
            <w:r>
              <w:rPr>
                <w:b/>
                <w:bCs/>
                <w:sz w:val="24"/>
                <w:u w:val="single"/>
              </w:rPr>
              <w:t>entry</w:t>
            </w:r>
            <w:r>
              <w:rPr>
                <w:sz w:val="24"/>
                <w:u w:val="single"/>
              </w:rPr>
              <w:t xml:space="preserve">, </w:t>
            </w:r>
            <w:r>
              <w:rPr>
                <w:b/>
                <w:bCs/>
                <w:sz w:val="24"/>
                <w:u w:val="single"/>
              </w:rPr>
              <w:t xml:space="preserve">establishment </w:t>
            </w:r>
            <w:r>
              <w:rPr>
                <w:sz w:val="24"/>
                <w:u w:val="single"/>
              </w:rPr>
              <w:t>or</w:t>
            </w:r>
            <w:r>
              <w:rPr>
                <w:b/>
                <w:bCs/>
                <w:sz w:val="24"/>
                <w:u w:val="single"/>
              </w:rPr>
              <w:t xml:space="preserve"> spread</w:t>
            </w:r>
            <w:r>
              <w:rPr>
                <w:sz w:val="24"/>
                <w:u w:val="single"/>
              </w:rPr>
              <w:t xml:space="preserve"> of a </w:t>
            </w:r>
            <w:r>
              <w:rPr>
                <w:b/>
                <w:bCs/>
                <w:sz w:val="24"/>
                <w:u w:val="single"/>
              </w:rPr>
              <w:t>pest</w:t>
            </w:r>
            <w:r>
              <w:rPr>
                <w:sz w:val="24"/>
              </w:rPr>
              <w:t xml:space="preserve"> in a new or unexpected </w:t>
            </w:r>
            <w:r>
              <w:rPr>
                <w:strike/>
                <w:sz w:val="24"/>
              </w:rPr>
              <w:t>phytosanitary</w:t>
            </w:r>
            <w:r>
              <w:rPr>
                <w:sz w:val="24"/>
              </w:rPr>
              <w:t xml:space="preserve"> situation </w:t>
            </w:r>
            <w:r>
              <w:rPr>
                <w:sz w:val="24"/>
                <w:u w:val="single"/>
              </w:rPr>
              <w:t>not addressed by</w:t>
            </w:r>
            <w:r>
              <w:rPr>
                <w:b/>
                <w:bCs/>
                <w:sz w:val="24"/>
                <w:u w:val="single"/>
              </w:rPr>
              <w:t xml:space="preserve"> </w:t>
            </w:r>
            <w:r>
              <w:rPr>
                <w:sz w:val="24"/>
                <w:u w:val="single"/>
              </w:rPr>
              <w:t>existing</w:t>
            </w:r>
            <w:r>
              <w:rPr>
                <w:b/>
                <w:bCs/>
                <w:sz w:val="24"/>
                <w:u w:val="single"/>
              </w:rPr>
              <w:t xml:space="preserve"> phytosanitary measures</w:t>
            </w:r>
          </w:p>
        </w:tc>
      </w:tr>
    </w:tbl>
    <w:p w:rsidR="00EF4522" w:rsidRDefault="001F0EE5">
      <w:pPr>
        <w:pStyle w:val="IPPHeading2"/>
        <w:keepLines/>
        <w:spacing w:before="240"/>
        <w:ind w:left="0" w:firstLine="0"/>
        <w:rPr>
          <w:szCs w:val="24"/>
        </w:rPr>
      </w:pPr>
      <w:r>
        <w:rPr>
          <w:rStyle w:val="PleaseReviewParagraphId"/>
          <w:b w:val="0"/>
        </w:rPr>
        <w:t>[61]</w:t>
      </w:r>
      <w:r>
        <w:rPr>
          <w:szCs w:val="24"/>
        </w:rPr>
        <w:t>2.2 “detection survey” (consequential to 2015-013 “survey”)</w:t>
      </w:r>
    </w:p>
    <w:p w:rsidR="00EF4522" w:rsidRDefault="001F0EE5">
      <w:pPr>
        <w:keepNext/>
        <w:keepLines/>
        <w:spacing w:after="180"/>
        <w:rPr>
          <w:sz w:val="24"/>
        </w:rPr>
      </w:pPr>
      <w:r>
        <w:rPr>
          <w:rStyle w:val="PleaseReviewParagraphId"/>
        </w:rPr>
        <w:t>[62]</w:t>
      </w:r>
      <w:r>
        <w:rPr>
          <w:sz w:val="24"/>
        </w:rPr>
        <w:t>The Glossary term “survey” was added to the List of Topics for IPPC Standards by the SC in</w:t>
      </w:r>
      <w:r>
        <w:rPr>
          <w:sz w:val="24"/>
        </w:rPr>
        <w:t xml:space="preserve"> May 2013, for the TPG to consider whether the concept of “absence” should be included in its definition. TPG proposed to the draft 2017 Amendments a revision to the definition of “survey”, in accordance with the draft revision of ISPM 6 (</w:t>
      </w:r>
      <w:r>
        <w:rPr>
          <w:i/>
          <w:sz w:val="24"/>
        </w:rPr>
        <w:t>Surveillance</w:t>
      </w:r>
      <w:r>
        <w:rPr>
          <w:sz w:val="24"/>
        </w:rPr>
        <w:t>), th</w:t>
      </w:r>
      <w:r>
        <w:rPr>
          <w:sz w:val="24"/>
        </w:rPr>
        <w:t xml:space="preserve">e use of the term in other ISPMs and the three types of surveys defined in the Glossary. During their review of first consultation comments, SC-7 in May 2018 noted that “absence” of a pest is not included in the definition of “detection survey”, and asked </w:t>
      </w:r>
      <w:r>
        <w:rPr>
          <w:sz w:val="24"/>
        </w:rPr>
        <w:t>the TPG to consider whether that definition should be amended to include “or absence”. Notably, the revised definition of “survey” to include “absence” was adopted by the CPM in 2019.</w:t>
      </w:r>
    </w:p>
    <w:p w:rsidR="00EF4522" w:rsidRDefault="001F0EE5">
      <w:pPr>
        <w:pStyle w:val="IPPParagraphnumbering"/>
        <w:numPr>
          <w:ilvl w:val="0"/>
          <w:numId w:val="0"/>
        </w:numPr>
      </w:pPr>
      <w:r>
        <w:rPr>
          <w:rStyle w:val="PleaseReviewParagraphId"/>
        </w:rPr>
        <w:t>[63]</w:t>
      </w:r>
      <w:r>
        <w:t>The TPG discussed the term “detection survey” in their December 2018</w:t>
      </w:r>
      <w:r>
        <w:t xml:space="preserve"> meeting </w:t>
      </w:r>
      <w:r>
        <w:rPr>
          <w:lang w:val="en-GB"/>
        </w:rPr>
        <w:t>and proposed a revised definition that went for the first consultation July through September 2020. In reviewing comments received from that consultation, the TPG at its December 2020 meeting produced the revised proposal as presented below</w:t>
      </w:r>
      <w:r>
        <w:t xml:space="preserve">. </w:t>
      </w:r>
    </w:p>
    <w:p w:rsidR="00EF4522" w:rsidRDefault="001F0EE5">
      <w:pPr>
        <w:pStyle w:val="IPPParagraphnumbering"/>
        <w:numPr>
          <w:ilvl w:val="0"/>
          <w:numId w:val="0"/>
        </w:numPr>
      </w:pPr>
      <w:r>
        <w:rPr>
          <w:rStyle w:val="PleaseReviewParagraphId"/>
        </w:rPr>
        <w:lastRenderedPageBreak/>
        <w:t>[64]</w:t>
      </w:r>
      <w:r>
        <w:t>The following explanatory points may be considered when reviewing the proposal for the revision of the definition:</w:t>
      </w:r>
    </w:p>
    <w:p w:rsidR="00EF4522" w:rsidRDefault="001F0EE5">
      <w:pPr>
        <w:pStyle w:val="IPPParagraphnumbering"/>
        <w:numPr>
          <w:ilvl w:val="0"/>
          <w:numId w:val="15"/>
        </w:numPr>
        <w:spacing w:before="180"/>
        <w:rPr>
          <w:lang w:val="en-GB"/>
        </w:rPr>
      </w:pPr>
      <w:r>
        <w:rPr>
          <w:rStyle w:val="PleaseReviewParagraphId"/>
        </w:rPr>
        <w:t>[65]</w:t>
      </w:r>
      <w:r>
        <w:rPr>
          <w:lang w:val="en-GB"/>
        </w:rPr>
        <w:t xml:space="preserve">“Detection survey” is used in several instances throughout ISPMs when referring to determining or verifying absence of a pest. </w:t>
      </w:r>
    </w:p>
    <w:p w:rsidR="00EF4522" w:rsidRDefault="001F0EE5">
      <w:pPr>
        <w:pStyle w:val="IPPParagraphnumbering"/>
        <w:numPr>
          <w:ilvl w:val="0"/>
          <w:numId w:val="15"/>
        </w:numPr>
        <w:spacing w:before="180"/>
        <w:rPr>
          <w:lang w:val="en-GB"/>
        </w:rPr>
      </w:pPr>
      <w:r>
        <w:rPr>
          <w:rStyle w:val="PleaseReviewParagraphId"/>
        </w:rPr>
        <w:t>[66]</w:t>
      </w:r>
      <w:r>
        <w:rPr>
          <w:lang w:val="en-GB"/>
        </w:rPr>
        <w:t>The o</w:t>
      </w:r>
      <w:r>
        <w:rPr>
          <w:lang w:val="en-GB"/>
        </w:rPr>
        <w:t>bjective of a detection survey is to determine whether a pest is present, meaning that presence and absence are equally possible outcomes of a detection survey and it can thus be used to determine that a pest is absent.</w:t>
      </w:r>
    </w:p>
    <w:p w:rsidR="00EF4522" w:rsidRDefault="001F0EE5">
      <w:pPr>
        <w:pStyle w:val="IPPParagraphnumbering"/>
        <w:numPr>
          <w:ilvl w:val="0"/>
          <w:numId w:val="15"/>
        </w:numPr>
        <w:spacing w:before="180"/>
        <w:rPr>
          <w:lang w:val="en-GB"/>
        </w:rPr>
      </w:pPr>
      <w:r>
        <w:rPr>
          <w:rStyle w:val="PleaseReviewParagraphId"/>
        </w:rPr>
        <w:t>[67]</w:t>
      </w:r>
      <w:r>
        <w:rPr>
          <w:lang w:val="en-GB"/>
        </w:rPr>
        <w:t>“If” in the definition already e</w:t>
      </w:r>
      <w:r>
        <w:rPr>
          <w:lang w:val="en-GB"/>
        </w:rPr>
        <w:t xml:space="preserve">xpresses the concept of absence, but without being as explicit as in the definitions of “survey”, “delimiting survey” and “surveillance”. As the wording “the presence or absence” should be used consistently, it is suggested to replace the conditional “if” </w:t>
      </w:r>
      <w:r>
        <w:rPr>
          <w:lang w:val="en-GB"/>
        </w:rPr>
        <w:t xml:space="preserve">by the addition of “or absence” and insert “the” before “presence or absence”. </w:t>
      </w:r>
    </w:p>
    <w:p w:rsidR="00EF4522" w:rsidRDefault="001F0EE5">
      <w:pPr>
        <w:pStyle w:val="IPPParagraphnumbering"/>
        <w:numPr>
          <w:ilvl w:val="0"/>
          <w:numId w:val="15"/>
        </w:numPr>
        <w:spacing w:before="180"/>
        <w:rPr>
          <w:lang w:val="en-GB"/>
        </w:rPr>
      </w:pPr>
      <w:r>
        <w:rPr>
          <w:rStyle w:val="PleaseReviewParagraphId"/>
        </w:rPr>
        <w:t>[68]</w:t>
      </w:r>
      <w:r>
        <w:rPr>
          <w:lang w:val="en-GB"/>
        </w:rPr>
        <w:t>The recently revised definition of “survey” includes the wording “in an area, place of production or production site”. As “detection survey” is explicitly defined as a subs</w:t>
      </w:r>
      <w:r>
        <w:rPr>
          <w:lang w:val="en-GB"/>
        </w:rPr>
        <w:t>et of “survey”, mentioning the spatial scope of a detection survey would be redundant, and the wording “in an area” is therefore deleted by this revision. This is in analogy to the fact that the temporal scope specified in the “survey” definition (i.e.: “o</w:t>
      </w:r>
      <w:r>
        <w:rPr>
          <w:lang w:val="en-GB"/>
        </w:rPr>
        <w:t>ver a defined period”) is not being repeated in the definition of “detection survey”.</w:t>
      </w:r>
    </w:p>
    <w:p w:rsidR="00EF4522" w:rsidRDefault="001F0EE5">
      <w:pPr>
        <w:pStyle w:val="IPPParagraphnumbering"/>
        <w:numPr>
          <w:ilvl w:val="0"/>
          <w:numId w:val="15"/>
        </w:numPr>
        <w:spacing w:before="180"/>
        <w:rPr>
          <w:lang w:val="en-GB"/>
        </w:rPr>
      </w:pPr>
      <w:r>
        <w:rPr>
          <w:rStyle w:val="PleaseReviewParagraphId"/>
        </w:rPr>
        <w:t>[69]</w:t>
      </w:r>
      <w:r>
        <w:rPr>
          <w:lang w:val="en-GB"/>
        </w:rPr>
        <w:t>The proposed revised definition of “detection survey” adequately reflects the use of the term in adopted ISPMs.</w:t>
      </w:r>
    </w:p>
    <w:p w:rsidR="00EF4522" w:rsidRDefault="001F0EE5">
      <w:pPr>
        <w:keepNext/>
        <w:numPr>
          <w:ilvl w:val="0"/>
          <w:numId w:val="4"/>
        </w:numPr>
        <w:spacing w:after="180"/>
        <w:rPr>
          <w:rFonts w:eastAsia="Times"/>
          <w:b/>
          <w:bCs/>
          <w:i/>
          <w:iCs/>
          <w:szCs w:val="22"/>
          <w:lang w:val="en-US"/>
        </w:rPr>
      </w:pPr>
      <w:r>
        <w:rPr>
          <w:rStyle w:val="PleaseReviewParagraphId"/>
        </w:rPr>
        <w:t>[70]</w:t>
      </w:r>
      <w:r>
        <w:rPr>
          <w:rFonts w:eastAsia="Times"/>
          <w:b/>
          <w:bCs/>
          <w:i/>
          <w:iCs/>
          <w:szCs w:val="22"/>
          <w:lang w:val="en-US"/>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6817"/>
      </w:tblGrid>
      <w:tr w:rsidR="00EF4522">
        <w:trPr>
          <w:cantSplit/>
        </w:trPr>
        <w:tc>
          <w:tcPr>
            <w:tcW w:w="2245" w:type="dxa"/>
          </w:tcPr>
          <w:p w:rsidR="00EF4522" w:rsidRDefault="001F0EE5">
            <w:pPr>
              <w:spacing w:after="180"/>
              <w:jc w:val="left"/>
              <w:rPr>
                <w:rFonts w:eastAsia="Times"/>
                <w:b/>
                <w:szCs w:val="22"/>
              </w:rPr>
            </w:pPr>
            <w:r>
              <w:rPr>
                <w:rStyle w:val="PleaseReviewParagraphId"/>
              </w:rPr>
              <w:t>[71]</w:t>
            </w:r>
            <w:r>
              <w:rPr>
                <w:rFonts w:eastAsia="Times"/>
                <w:b/>
                <w:szCs w:val="22"/>
              </w:rPr>
              <w:t>Detection survey</w:t>
            </w:r>
          </w:p>
        </w:tc>
        <w:tc>
          <w:tcPr>
            <w:tcW w:w="6825" w:type="dxa"/>
          </w:tcPr>
          <w:p w:rsidR="00EF4522" w:rsidRDefault="001F0EE5">
            <w:pPr>
              <w:spacing w:after="180"/>
              <w:rPr>
                <w:rFonts w:eastAsia="Times"/>
                <w:szCs w:val="22"/>
              </w:rPr>
            </w:pPr>
            <w:r>
              <w:rPr>
                <w:rStyle w:val="PleaseReviewParagraphId"/>
              </w:rPr>
              <w:t>[72]</w:t>
            </w:r>
            <w:r>
              <w:rPr>
                <w:rFonts w:eastAsia="Times"/>
                <w:b/>
                <w:szCs w:val="20"/>
              </w:rPr>
              <w:t>Survey</w:t>
            </w:r>
            <w:r>
              <w:rPr>
                <w:rFonts w:eastAsia="Times"/>
                <w:szCs w:val="20"/>
              </w:rPr>
              <w:t xml:space="preserve"> conducted in an </w:t>
            </w:r>
            <w:r>
              <w:rPr>
                <w:rFonts w:eastAsia="Times"/>
                <w:b/>
                <w:szCs w:val="20"/>
              </w:rPr>
              <w:t>area</w:t>
            </w:r>
            <w:r>
              <w:rPr>
                <w:rFonts w:eastAsia="Times"/>
                <w:szCs w:val="20"/>
              </w:rPr>
              <w:t xml:space="preserve"> to determine if </w:t>
            </w:r>
            <w:r>
              <w:rPr>
                <w:rFonts w:eastAsia="Times"/>
                <w:b/>
                <w:szCs w:val="20"/>
              </w:rPr>
              <w:t>pests</w:t>
            </w:r>
            <w:r>
              <w:rPr>
                <w:rFonts w:eastAsia="Times"/>
                <w:szCs w:val="20"/>
              </w:rPr>
              <w:t xml:space="preserve"> are present [FAO, 1990; revised FAO, 1995]</w:t>
            </w:r>
          </w:p>
        </w:tc>
      </w:tr>
    </w:tbl>
    <w:p w:rsidR="00EF4522" w:rsidRDefault="001F0EE5">
      <w:pPr>
        <w:numPr>
          <w:ilvl w:val="0"/>
          <w:numId w:val="4"/>
        </w:numPr>
        <w:spacing w:before="180" w:after="180"/>
        <w:rPr>
          <w:rFonts w:eastAsia="Times"/>
          <w:b/>
          <w:bCs/>
          <w:i/>
          <w:iCs/>
          <w:szCs w:val="22"/>
          <w:lang w:val="en-US"/>
        </w:rPr>
      </w:pPr>
      <w:r>
        <w:rPr>
          <w:rStyle w:val="PleaseReviewParagraphId"/>
        </w:rPr>
        <w:t>[73]</w:t>
      </w:r>
      <w:r>
        <w:rPr>
          <w:rFonts w:eastAsia="Times"/>
          <w:b/>
          <w:bCs/>
          <w:i/>
          <w:iCs/>
          <w:szCs w:val="22"/>
          <w:lang w:val="en-US"/>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6846"/>
      </w:tblGrid>
      <w:tr w:rsidR="00EF4522">
        <w:tc>
          <w:tcPr>
            <w:tcW w:w="2164" w:type="dxa"/>
          </w:tcPr>
          <w:p w:rsidR="00EF4522" w:rsidRDefault="001F0EE5">
            <w:pPr>
              <w:keepNext/>
            </w:pPr>
            <w:r>
              <w:rPr>
                <w:rStyle w:val="PleaseReviewParagraphId"/>
              </w:rPr>
              <w:t>[74]</w:t>
            </w:r>
            <w:r>
              <w:rPr>
                <w:rFonts w:eastAsia="Times New Roman"/>
                <w:b/>
                <w:szCs w:val="22"/>
              </w:rPr>
              <w:t>Detection survey</w:t>
            </w:r>
          </w:p>
        </w:tc>
        <w:tc>
          <w:tcPr>
            <w:tcW w:w="6976" w:type="dxa"/>
          </w:tcPr>
          <w:p w:rsidR="00EF4522" w:rsidRDefault="001F0EE5">
            <w:pPr>
              <w:keepNext/>
              <w:spacing w:after="240"/>
            </w:pPr>
            <w:r>
              <w:rPr>
                <w:rStyle w:val="PleaseReviewParagraphId"/>
              </w:rPr>
              <w:t>[75]</w:t>
            </w:r>
            <w:r>
              <w:rPr>
                <w:b/>
                <w:szCs w:val="20"/>
              </w:rPr>
              <w:t>Survey</w:t>
            </w:r>
            <w:r>
              <w:rPr>
                <w:szCs w:val="20"/>
              </w:rPr>
              <w:t xml:space="preserve"> conducted </w:t>
            </w:r>
            <w:r>
              <w:rPr>
                <w:rFonts w:eastAsia="Times"/>
                <w:strike/>
                <w:szCs w:val="20"/>
              </w:rPr>
              <w:t xml:space="preserve">in an </w:t>
            </w:r>
            <w:r>
              <w:rPr>
                <w:rFonts w:eastAsia="Times"/>
                <w:b/>
                <w:strike/>
                <w:szCs w:val="20"/>
              </w:rPr>
              <w:t>area</w:t>
            </w:r>
            <w:r>
              <w:rPr>
                <w:rFonts w:eastAsia="Times"/>
                <w:szCs w:val="20"/>
              </w:rPr>
              <w:t xml:space="preserve"> </w:t>
            </w:r>
            <w:r>
              <w:rPr>
                <w:szCs w:val="20"/>
              </w:rPr>
              <w:t xml:space="preserve">to determine </w:t>
            </w:r>
            <w:r>
              <w:rPr>
                <w:strike/>
              </w:rPr>
              <w:t xml:space="preserve">if </w:t>
            </w:r>
            <w:r>
              <w:rPr>
                <w:b/>
                <w:strike/>
              </w:rPr>
              <w:t>pests</w:t>
            </w:r>
            <w:r>
              <w:rPr>
                <w:strike/>
              </w:rPr>
              <w:t xml:space="preserve"> are present</w:t>
            </w:r>
            <w:r>
              <w:rPr>
                <w:rFonts w:eastAsia="Times"/>
                <w:szCs w:val="20"/>
              </w:rPr>
              <w:t xml:space="preserve"> </w:t>
            </w:r>
            <w:r>
              <w:rPr>
                <w:szCs w:val="20"/>
                <w:u w:val="single"/>
              </w:rPr>
              <w:t>the</w:t>
            </w:r>
            <w:r>
              <w:rPr>
                <w:szCs w:val="20"/>
              </w:rPr>
              <w:t xml:space="preserve"> </w:t>
            </w:r>
            <w:r>
              <w:rPr>
                <w:szCs w:val="20"/>
                <w:u w:val="single"/>
              </w:rPr>
              <w:t xml:space="preserve">presence or absence of </w:t>
            </w:r>
            <w:r>
              <w:rPr>
                <w:b/>
                <w:szCs w:val="20"/>
                <w:u w:val="single"/>
              </w:rPr>
              <w:t>pests</w:t>
            </w:r>
            <w:r>
              <w:rPr>
                <w:szCs w:val="20"/>
                <w:u w:val="single"/>
              </w:rPr>
              <w:t xml:space="preserve"> </w:t>
            </w:r>
            <w:r>
              <w:rPr>
                <w:szCs w:val="20"/>
              </w:rPr>
              <w:t xml:space="preserve">[FAO, 1990; revised </w:t>
            </w:r>
            <w:r>
              <w:rPr>
                <w:szCs w:val="20"/>
              </w:rPr>
              <w:t>FAO, 1995]</w:t>
            </w:r>
          </w:p>
        </w:tc>
      </w:tr>
    </w:tbl>
    <w:p w:rsidR="00EF4522" w:rsidRDefault="001F0EE5">
      <w:pPr>
        <w:rPr>
          <w:rFonts w:eastAsia="Times New Roman"/>
          <w:bCs/>
          <w:sz w:val="2"/>
          <w:szCs w:val="2"/>
          <w:lang w:val="en-US"/>
        </w:rPr>
      </w:pPr>
      <w:r>
        <w:rPr>
          <w:rStyle w:val="PleaseReviewParagraphId"/>
        </w:rPr>
        <w:t>[76]</w:t>
      </w:r>
    </w:p>
    <w:sectPr w:rsidR="00EF4522">
      <w:pgSz w:w="11907" w:h="16839" w:code="9"/>
      <w:pgMar w:top="1559" w:right="1418" w:bottom="1418" w:left="1418" w:header="851" w:footer="851"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2F4F7D" w16cid:durableId="24316B63"/>
  <w16cid:commentId w16cid:paraId="4CCBA136" w16cid:durableId="24316B64"/>
  <w16cid:commentId w16cid:paraId="1787D660" w16cid:durableId="24316B65"/>
  <w16cid:commentId w16cid:paraId="573F613A" w16cid:durableId="24316B66"/>
  <w16cid:commentId w16cid:paraId="52FDF7DA" w16cid:durableId="24316B67"/>
  <w16cid:commentId w16cid:paraId="094BEE40" w16cid:durableId="24316B68"/>
  <w16cid:commentId w16cid:paraId="7472AED3" w16cid:durableId="24316B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EE5" w:rsidRDefault="001F0EE5">
      <w:r>
        <w:rPr>
          <w:rStyle w:val="PleaseReviewParagraphId"/>
        </w:rPr>
        <w:t>[][][]</w:t>
      </w:r>
      <w:r>
        <w:separator/>
      </w:r>
    </w:p>
  </w:endnote>
  <w:endnote w:type="continuationSeparator" w:id="0">
    <w:p w:rsidR="001F0EE5" w:rsidRDefault="001F0EE5">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EE5" w:rsidRDefault="001F0EE5">
      <w:r>
        <w:rPr>
          <w:rStyle w:val="PleaseReviewParagraphId"/>
        </w:rPr>
        <w:t>[][][]</w:t>
      </w:r>
      <w:r>
        <w:separator/>
      </w:r>
    </w:p>
  </w:footnote>
  <w:footnote w:type="continuationSeparator" w:id="0">
    <w:p w:rsidR="001F0EE5" w:rsidRDefault="001F0EE5">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cs="Times New Roman" w:hint="default"/>
        <w:b w:val="0"/>
        <w:i/>
        <w:color w:val="0000FF"/>
        <w:sz w:val="16"/>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15:restartNumberingAfterBreak="0">
    <w:nsid w:val="28631139"/>
    <w:multiLevelType w:val="hybridMultilevel"/>
    <w:tmpl w:val="C69E14A4"/>
    <w:lvl w:ilvl="0" w:tplc="42401244">
      <w:start w:val="1"/>
      <w:numFmt w:val="decimal"/>
      <w:lvlText w:val="%1."/>
      <w:lvlJc w:val="left"/>
      <w:pPr>
        <w:ind w:left="720" w:hanging="360"/>
      </w:pPr>
    </w:lvl>
    <w:lvl w:ilvl="1" w:tplc="F6F243D8">
      <w:start w:val="1"/>
      <w:numFmt w:val="lowerLetter"/>
      <w:lvlText w:val="%2."/>
      <w:lvlJc w:val="left"/>
      <w:pPr>
        <w:ind w:left="1440" w:hanging="360"/>
      </w:pPr>
    </w:lvl>
    <w:lvl w:ilvl="2" w:tplc="1FBA7F38">
      <w:start w:val="1"/>
      <w:numFmt w:val="lowerRoman"/>
      <w:lvlText w:val="%3."/>
      <w:lvlJc w:val="right"/>
      <w:pPr>
        <w:ind w:left="2160" w:hanging="180"/>
      </w:pPr>
    </w:lvl>
    <w:lvl w:ilvl="3" w:tplc="F70C3A98">
      <w:start w:val="1"/>
      <w:numFmt w:val="decimal"/>
      <w:lvlText w:val="%4."/>
      <w:lvlJc w:val="left"/>
      <w:pPr>
        <w:ind w:left="2880" w:hanging="360"/>
      </w:pPr>
    </w:lvl>
    <w:lvl w:ilvl="4" w:tplc="38520204">
      <w:start w:val="1"/>
      <w:numFmt w:val="lowerLetter"/>
      <w:lvlText w:val="%5."/>
      <w:lvlJc w:val="left"/>
      <w:pPr>
        <w:ind w:left="3600" w:hanging="360"/>
      </w:pPr>
    </w:lvl>
    <w:lvl w:ilvl="5" w:tplc="BAC838B6">
      <w:start w:val="1"/>
      <w:numFmt w:val="lowerRoman"/>
      <w:lvlText w:val="%6."/>
      <w:lvlJc w:val="right"/>
      <w:pPr>
        <w:ind w:left="4320" w:hanging="180"/>
      </w:pPr>
    </w:lvl>
    <w:lvl w:ilvl="6" w:tplc="2DD00DE8">
      <w:start w:val="1"/>
      <w:numFmt w:val="decimal"/>
      <w:lvlText w:val="%7."/>
      <w:lvlJc w:val="left"/>
      <w:pPr>
        <w:ind w:left="5040" w:hanging="360"/>
      </w:pPr>
    </w:lvl>
    <w:lvl w:ilvl="7" w:tplc="D2242D5A">
      <w:start w:val="1"/>
      <w:numFmt w:val="lowerLetter"/>
      <w:lvlText w:val="%8."/>
      <w:lvlJc w:val="left"/>
      <w:pPr>
        <w:ind w:left="5760" w:hanging="360"/>
      </w:pPr>
    </w:lvl>
    <w:lvl w:ilvl="8" w:tplc="4E988288">
      <w:start w:val="1"/>
      <w:numFmt w:val="lowerRoman"/>
      <w:lvlText w:val="%9."/>
      <w:lvlJc w:val="right"/>
      <w:pPr>
        <w:ind w:left="6480" w:hanging="180"/>
      </w:pPr>
    </w:lvl>
  </w:abstractNum>
  <w:abstractNum w:abstractNumId="5" w15:restartNumberingAfterBreak="0">
    <w:nsid w:val="2D7D5CC3"/>
    <w:multiLevelType w:val="multilevel"/>
    <w:tmpl w:val="ED0EDE16"/>
    <w:lvl w:ilvl="0">
      <w:start w:val="1"/>
      <w:numFmt w:val="bullet"/>
      <w:lvlText w:val=""/>
      <w:lvlJc w:val="left"/>
      <w:pPr>
        <w:tabs>
          <w:tab w:val="num" w:pos="0"/>
        </w:tabs>
        <w:ind w:hanging="482"/>
      </w:pPr>
      <w:rPr>
        <w:rFonts w:ascii="Symbol" w:hAnsi="Symbol"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425319D7"/>
    <w:multiLevelType w:val="hybridMultilevel"/>
    <w:tmpl w:val="F6AE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3294B"/>
    <w:multiLevelType w:val="multilevel"/>
    <w:tmpl w:val="ED0EDE16"/>
    <w:lvl w:ilvl="0">
      <w:start w:val="1"/>
      <w:numFmt w:val="bullet"/>
      <w:lvlText w:val=""/>
      <w:lvlJc w:val="left"/>
      <w:pPr>
        <w:tabs>
          <w:tab w:val="num" w:pos="0"/>
        </w:tabs>
        <w:ind w:hanging="482"/>
      </w:pPr>
      <w:rPr>
        <w:rFonts w:ascii="Symbol" w:hAnsi="Symbol"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14047BF"/>
    <w:multiLevelType w:val="hybridMultilevel"/>
    <w:tmpl w:val="3D82EEBC"/>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72BA3"/>
    <w:multiLevelType w:val="hybridMultilevel"/>
    <w:tmpl w:val="68B09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A30A7"/>
    <w:multiLevelType w:val="multilevel"/>
    <w:tmpl w:val="74BA6DA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cs="Times New Roman" w:hint="default"/>
      </w:rPr>
    </w:lvl>
    <w:lvl w:ilvl="1">
      <w:start w:val="1"/>
      <w:numFmt w:val="decimal"/>
      <w:pStyle w:val="IPPHdg2Num"/>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6"/>
  </w:num>
  <w:num w:numId="3">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
    <w:abstractNumId w:val="12"/>
  </w:num>
  <w:num w:numId="5">
    <w:abstractNumId w:val="14"/>
  </w:num>
  <w:num w:numId="6">
    <w:abstractNumId w:val="13"/>
  </w:num>
  <w:num w:numId="7">
    <w:abstractNumId w:val="2"/>
  </w:num>
  <w:num w:numId="8">
    <w:abstractNumId w:val="1"/>
  </w:num>
  <w:num w:numId="9">
    <w:abstractNumId w:val="16"/>
  </w:num>
  <w:num w:numId="10">
    <w:abstractNumId w:val="7"/>
  </w:num>
  <w:num w:numId="11">
    <w:abstractNumId w:val="18"/>
  </w:num>
  <w:num w:numId="12">
    <w:abstractNumId w:val="0"/>
  </w:num>
  <w:num w:numId="13">
    <w:abstractNumId w:val="3"/>
  </w:num>
  <w:num w:numId="14">
    <w:abstractNumId w:val="10"/>
  </w:num>
  <w:num w:numId="15">
    <w:abstractNumId w:val="8"/>
  </w:num>
  <w:num w:numId="16">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7">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8">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0">
    <w:abstractNumId w:val="5"/>
  </w:num>
  <w:num w:numId="21">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2">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3">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4">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5">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6">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7">
    <w:abstractNumId w:val="9"/>
  </w:num>
  <w:num w:numId="28">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9">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0">
    <w:abstractNumId w:val="11"/>
  </w:num>
  <w:num w:numId="31">
    <w:abstractNumId w:val="15"/>
  </w:num>
  <w:num w:numId="32">
    <w:abstractNumId w:val="17"/>
  </w:num>
  <w:num w:numId="33">
    <w:abstractNumId w:val="1"/>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34">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5">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6">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wMDY0sLCwMDI1tjBX0lEKTi0uzszPAykwrgUAipwCPiwAAAA="/>
  </w:docVars>
  <w:rsids>
    <w:rsidRoot w:val="00B03407"/>
    <w:rsid w:val="000010F2"/>
    <w:rsid w:val="000020EE"/>
    <w:rsid w:val="00003929"/>
    <w:rsid w:val="00007EC5"/>
    <w:rsid w:val="000107A0"/>
    <w:rsid w:val="00010B62"/>
    <w:rsid w:val="00011145"/>
    <w:rsid w:val="00022F5E"/>
    <w:rsid w:val="0002364A"/>
    <w:rsid w:val="00027AB1"/>
    <w:rsid w:val="000306D2"/>
    <w:rsid w:val="0003303A"/>
    <w:rsid w:val="00037285"/>
    <w:rsid w:val="0004269C"/>
    <w:rsid w:val="0005010F"/>
    <w:rsid w:val="000505C2"/>
    <w:rsid w:val="00052094"/>
    <w:rsid w:val="0005437A"/>
    <w:rsid w:val="0005600F"/>
    <w:rsid w:val="000618F3"/>
    <w:rsid w:val="00071364"/>
    <w:rsid w:val="00073FDF"/>
    <w:rsid w:val="00076EBE"/>
    <w:rsid w:val="00084800"/>
    <w:rsid w:val="00085880"/>
    <w:rsid w:val="0009076E"/>
    <w:rsid w:val="00090BF5"/>
    <w:rsid w:val="00093688"/>
    <w:rsid w:val="00095E14"/>
    <w:rsid w:val="000961AC"/>
    <w:rsid w:val="00097533"/>
    <w:rsid w:val="000A0772"/>
    <w:rsid w:val="000B29C5"/>
    <w:rsid w:val="000B4996"/>
    <w:rsid w:val="000B6749"/>
    <w:rsid w:val="000C08AB"/>
    <w:rsid w:val="000C4158"/>
    <w:rsid w:val="000D1E1A"/>
    <w:rsid w:val="000D4E09"/>
    <w:rsid w:val="000D4E57"/>
    <w:rsid w:val="000E5A9D"/>
    <w:rsid w:val="000E6ED0"/>
    <w:rsid w:val="000E736F"/>
    <w:rsid w:val="000F1B3F"/>
    <w:rsid w:val="000F1B47"/>
    <w:rsid w:val="000F330E"/>
    <w:rsid w:val="000F7381"/>
    <w:rsid w:val="001112F3"/>
    <w:rsid w:val="0011548B"/>
    <w:rsid w:val="00117E85"/>
    <w:rsid w:val="00121BB7"/>
    <w:rsid w:val="00124C45"/>
    <w:rsid w:val="00127224"/>
    <w:rsid w:val="0012791D"/>
    <w:rsid w:val="00131DE8"/>
    <w:rsid w:val="001339BB"/>
    <w:rsid w:val="00135B74"/>
    <w:rsid w:val="00142BFB"/>
    <w:rsid w:val="00144FFE"/>
    <w:rsid w:val="001455E6"/>
    <w:rsid w:val="001521E8"/>
    <w:rsid w:val="001561B7"/>
    <w:rsid w:val="00156FB0"/>
    <w:rsid w:val="00163D62"/>
    <w:rsid w:val="001670B8"/>
    <w:rsid w:val="00176D2C"/>
    <w:rsid w:val="001802F5"/>
    <w:rsid w:val="0018706D"/>
    <w:rsid w:val="0018752D"/>
    <w:rsid w:val="0019070A"/>
    <w:rsid w:val="001913AC"/>
    <w:rsid w:val="00191436"/>
    <w:rsid w:val="00194CF3"/>
    <w:rsid w:val="001A1AB6"/>
    <w:rsid w:val="001B5A48"/>
    <w:rsid w:val="001B794B"/>
    <w:rsid w:val="001C28FF"/>
    <w:rsid w:val="001D020E"/>
    <w:rsid w:val="001D0A34"/>
    <w:rsid w:val="001E3321"/>
    <w:rsid w:val="001E7E73"/>
    <w:rsid w:val="001F0EE5"/>
    <w:rsid w:val="001F1AE6"/>
    <w:rsid w:val="001F1D19"/>
    <w:rsid w:val="001F5C54"/>
    <w:rsid w:val="001F69FF"/>
    <w:rsid w:val="001F7A9C"/>
    <w:rsid w:val="00204472"/>
    <w:rsid w:val="002051CA"/>
    <w:rsid w:val="00210338"/>
    <w:rsid w:val="002112E7"/>
    <w:rsid w:val="0021152A"/>
    <w:rsid w:val="00212BC7"/>
    <w:rsid w:val="00215898"/>
    <w:rsid w:val="002171A1"/>
    <w:rsid w:val="00220D6B"/>
    <w:rsid w:val="00225191"/>
    <w:rsid w:val="00231002"/>
    <w:rsid w:val="00233128"/>
    <w:rsid w:val="002360F3"/>
    <w:rsid w:val="00241E7A"/>
    <w:rsid w:val="00243FB4"/>
    <w:rsid w:val="00254B9E"/>
    <w:rsid w:val="0026231C"/>
    <w:rsid w:val="002646F4"/>
    <w:rsid w:val="00266084"/>
    <w:rsid w:val="00266C00"/>
    <w:rsid w:val="00266FA0"/>
    <w:rsid w:val="00267D6A"/>
    <w:rsid w:val="00270EFE"/>
    <w:rsid w:val="00274FB3"/>
    <w:rsid w:val="00276A4C"/>
    <w:rsid w:val="002773B0"/>
    <w:rsid w:val="002822FB"/>
    <w:rsid w:val="002854A6"/>
    <w:rsid w:val="0028596A"/>
    <w:rsid w:val="0028608E"/>
    <w:rsid w:val="002950F1"/>
    <w:rsid w:val="002A50E8"/>
    <w:rsid w:val="002B1445"/>
    <w:rsid w:val="002B2AD3"/>
    <w:rsid w:val="002B7B0C"/>
    <w:rsid w:val="002B7B7B"/>
    <w:rsid w:val="002B7DAA"/>
    <w:rsid w:val="002C5B5B"/>
    <w:rsid w:val="002C63EE"/>
    <w:rsid w:val="002C6719"/>
    <w:rsid w:val="002D0180"/>
    <w:rsid w:val="002D2B28"/>
    <w:rsid w:val="002E0474"/>
    <w:rsid w:val="002E5433"/>
    <w:rsid w:val="002F05C7"/>
    <w:rsid w:val="002F46B8"/>
    <w:rsid w:val="002F6A4D"/>
    <w:rsid w:val="002F7252"/>
    <w:rsid w:val="00301769"/>
    <w:rsid w:val="00316D86"/>
    <w:rsid w:val="00322A44"/>
    <w:rsid w:val="0032397C"/>
    <w:rsid w:val="00326F65"/>
    <w:rsid w:val="0032778A"/>
    <w:rsid w:val="00336A24"/>
    <w:rsid w:val="00337054"/>
    <w:rsid w:val="00340631"/>
    <w:rsid w:val="00341A6E"/>
    <w:rsid w:val="00344C99"/>
    <w:rsid w:val="00347417"/>
    <w:rsid w:val="00357498"/>
    <w:rsid w:val="003632C9"/>
    <w:rsid w:val="00370CED"/>
    <w:rsid w:val="00380360"/>
    <w:rsid w:val="00386200"/>
    <w:rsid w:val="00390419"/>
    <w:rsid w:val="0039274F"/>
    <w:rsid w:val="00394D14"/>
    <w:rsid w:val="003957AB"/>
    <w:rsid w:val="003957F8"/>
    <w:rsid w:val="00397269"/>
    <w:rsid w:val="003A168A"/>
    <w:rsid w:val="003A555F"/>
    <w:rsid w:val="003A73FD"/>
    <w:rsid w:val="003B4C73"/>
    <w:rsid w:val="003C1262"/>
    <w:rsid w:val="003C505C"/>
    <w:rsid w:val="003C7006"/>
    <w:rsid w:val="003D2A56"/>
    <w:rsid w:val="003E3A83"/>
    <w:rsid w:val="003E45AE"/>
    <w:rsid w:val="003E535B"/>
    <w:rsid w:val="003F35A4"/>
    <w:rsid w:val="003F4601"/>
    <w:rsid w:val="003F63B8"/>
    <w:rsid w:val="003F7C67"/>
    <w:rsid w:val="00407889"/>
    <w:rsid w:val="00416B1F"/>
    <w:rsid w:val="00426FCA"/>
    <w:rsid w:val="0043463C"/>
    <w:rsid w:val="00436C18"/>
    <w:rsid w:val="004436C7"/>
    <w:rsid w:val="0044394D"/>
    <w:rsid w:val="00444769"/>
    <w:rsid w:val="00450CA5"/>
    <w:rsid w:val="0045116C"/>
    <w:rsid w:val="0045164B"/>
    <w:rsid w:val="004530A8"/>
    <w:rsid w:val="00453524"/>
    <w:rsid w:val="004678EE"/>
    <w:rsid w:val="0047007B"/>
    <w:rsid w:val="00472713"/>
    <w:rsid w:val="00476DAD"/>
    <w:rsid w:val="00476F14"/>
    <w:rsid w:val="004826FD"/>
    <w:rsid w:val="00484268"/>
    <w:rsid w:val="00485C17"/>
    <w:rsid w:val="004974FA"/>
    <w:rsid w:val="004A03EE"/>
    <w:rsid w:val="004A5181"/>
    <w:rsid w:val="004B1C24"/>
    <w:rsid w:val="004B68F9"/>
    <w:rsid w:val="004C3108"/>
    <w:rsid w:val="004D3E19"/>
    <w:rsid w:val="004D4E0E"/>
    <w:rsid w:val="004D5E4F"/>
    <w:rsid w:val="004E211A"/>
    <w:rsid w:val="004F3C74"/>
    <w:rsid w:val="004F79B1"/>
    <w:rsid w:val="00506FC2"/>
    <w:rsid w:val="005134C2"/>
    <w:rsid w:val="00517FC1"/>
    <w:rsid w:val="00531701"/>
    <w:rsid w:val="00533EFD"/>
    <w:rsid w:val="005375BB"/>
    <w:rsid w:val="00540B44"/>
    <w:rsid w:val="0054148D"/>
    <w:rsid w:val="00543665"/>
    <w:rsid w:val="00551E2B"/>
    <w:rsid w:val="00554B30"/>
    <w:rsid w:val="00566B17"/>
    <w:rsid w:val="00566DBF"/>
    <w:rsid w:val="00574AE4"/>
    <w:rsid w:val="00574D91"/>
    <w:rsid w:val="0059094F"/>
    <w:rsid w:val="0059102A"/>
    <w:rsid w:val="00591694"/>
    <w:rsid w:val="00591E0D"/>
    <w:rsid w:val="0059223C"/>
    <w:rsid w:val="0059282C"/>
    <w:rsid w:val="005969BC"/>
    <w:rsid w:val="005A17DA"/>
    <w:rsid w:val="005B1779"/>
    <w:rsid w:val="005B3564"/>
    <w:rsid w:val="005B4198"/>
    <w:rsid w:val="005B44E6"/>
    <w:rsid w:val="005B481A"/>
    <w:rsid w:val="005B678B"/>
    <w:rsid w:val="005B68F5"/>
    <w:rsid w:val="005B713F"/>
    <w:rsid w:val="005C1737"/>
    <w:rsid w:val="005C4999"/>
    <w:rsid w:val="005C5E82"/>
    <w:rsid w:val="005D7DB2"/>
    <w:rsid w:val="005E1857"/>
    <w:rsid w:val="005E2060"/>
    <w:rsid w:val="005E3784"/>
    <w:rsid w:val="005F1EC4"/>
    <w:rsid w:val="005F3602"/>
    <w:rsid w:val="005F4287"/>
    <w:rsid w:val="005F638F"/>
    <w:rsid w:val="005F689F"/>
    <w:rsid w:val="005F7C07"/>
    <w:rsid w:val="00604CFF"/>
    <w:rsid w:val="00606969"/>
    <w:rsid w:val="00607C1E"/>
    <w:rsid w:val="00615024"/>
    <w:rsid w:val="0061777F"/>
    <w:rsid w:val="006204ED"/>
    <w:rsid w:val="006211E6"/>
    <w:rsid w:val="00623800"/>
    <w:rsid w:val="006353E9"/>
    <w:rsid w:val="00640B0B"/>
    <w:rsid w:val="00640E00"/>
    <w:rsid w:val="006419C1"/>
    <w:rsid w:val="00642820"/>
    <w:rsid w:val="00642E4E"/>
    <w:rsid w:val="00643CB1"/>
    <w:rsid w:val="006474B7"/>
    <w:rsid w:val="00651F45"/>
    <w:rsid w:val="006559BC"/>
    <w:rsid w:val="00661CC5"/>
    <w:rsid w:val="00663FA7"/>
    <w:rsid w:val="00664D59"/>
    <w:rsid w:val="00671592"/>
    <w:rsid w:val="00680531"/>
    <w:rsid w:val="00686AB3"/>
    <w:rsid w:val="006874A3"/>
    <w:rsid w:val="00690096"/>
    <w:rsid w:val="00690956"/>
    <w:rsid w:val="0069374F"/>
    <w:rsid w:val="00695E18"/>
    <w:rsid w:val="006B75F3"/>
    <w:rsid w:val="006C04DD"/>
    <w:rsid w:val="006C1372"/>
    <w:rsid w:val="006C643B"/>
    <w:rsid w:val="006D2E32"/>
    <w:rsid w:val="006D39F1"/>
    <w:rsid w:val="006D6A9A"/>
    <w:rsid w:val="006E5775"/>
    <w:rsid w:val="006F052F"/>
    <w:rsid w:val="006F24F1"/>
    <w:rsid w:val="006F3BB8"/>
    <w:rsid w:val="006F453E"/>
    <w:rsid w:val="00700AC3"/>
    <w:rsid w:val="00702BC1"/>
    <w:rsid w:val="007030D6"/>
    <w:rsid w:val="0070632D"/>
    <w:rsid w:val="00714EB1"/>
    <w:rsid w:val="00715CA5"/>
    <w:rsid w:val="007168A8"/>
    <w:rsid w:val="00720FED"/>
    <w:rsid w:val="00721486"/>
    <w:rsid w:val="007215DA"/>
    <w:rsid w:val="00722DE6"/>
    <w:rsid w:val="00726ABB"/>
    <w:rsid w:val="00730781"/>
    <w:rsid w:val="00732E0F"/>
    <w:rsid w:val="007331FC"/>
    <w:rsid w:val="007362EA"/>
    <w:rsid w:val="0074048C"/>
    <w:rsid w:val="007404C6"/>
    <w:rsid w:val="00743129"/>
    <w:rsid w:val="0074589E"/>
    <w:rsid w:val="0075017F"/>
    <w:rsid w:val="007515B3"/>
    <w:rsid w:val="007635BA"/>
    <w:rsid w:val="00763DC9"/>
    <w:rsid w:val="00766957"/>
    <w:rsid w:val="00767C8D"/>
    <w:rsid w:val="00767FD6"/>
    <w:rsid w:val="007744BB"/>
    <w:rsid w:val="007776E5"/>
    <w:rsid w:val="007853E6"/>
    <w:rsid w:val="00785760"/>
    <w:rsid w:val="007872B3"/>
    <w:rsid w:val="00791E2F"/>
    <w:rsid w:val="00795B1E"/>
    <w:rsid w:val="007A1FB4"/>
    <w:rsid w:val="007A3EDC"/>
    <w:rsid w:val="007A6133"/>
    <w:rsid w:val="007B1743"/>
    <w:rsid w:val="007C2AA9"/>
    <w:rsid w:val="007C33D3"/>
    <w:rsid w:val="007C6DC2"/>
    <w:rsid w:val="007C798F"/>
    <w:rsid w:val="007D1FF2"/>
    <w:rsid w:val="007D3F57"/>
    <w:rsid w:val="007D6A1C"/>
    <w:rsid w:val="007E2547"/>
    <w:rsid w:val="007E41FC"/>
    <w:rsid w:val="007F0F71"/>
    <w:rsid w:val="007F2590"/>
    <w:rsid w:val="007F2D01"/>
    <w:rsid w:val="007F5BE2"/>
    <w:rsid w:val="00804BF9"/>
    <w:rsid w:val="00810691"/>
    <w:rsid w:val="0081142A"/>
    <w:rsid w:val="008127A5"/>
    <w:rsid w:val="00815138"/>
    <w:rsid w:val="0081527D"/>
    <w:rsid w:val="00816B35"/>
    <w:rsid w:val="008216EC"/>
    <w:rsid w:val="008225C0"/>
    <w:rsid w:val="008241E9"/>
    <w:rsid w:val="00825726"/>
    <w:rsid w:val="00827113"/>
    <w:rsid w:val="00830BA3"/>
    <w:rsid w:val="00830CF5"/>
    <w:rsid w:val="00832238"/>
    <w:rsid w:val="00833D51"/>
    <w:rsid w:val="00840C26"/>
    <w:rsid w:val="00847F9E"/>
    <w:rsid w:val="00851F2F"/>
    <w:rsid w:val="00852EA9"/>
    <w:rsid w:val="0086270B"/>
    <w:rsid w:val="00865B8B"/>
    <w:rsid w:val="00865C78"/>
    <w:rsid w:val="008724EA"/>
    <w:rsid w:val="00872F2A"/>
    <w:rsid w:val="008751C2"/>
    <w:rsid w:val="00876855"/>
    <w:rsid w:val="00876C74"/>
    <w:rsid w:val="0089098F"/>
    <w:rsid w:val="00892257"/>
    <w:rsid w:val="00894C58"/>
    <w:rsid w:val="008A17FC"/>
    <w:rsid w:val="008A2F4D"/>
    <w:rsid w:val="008A6208"/>
    <w:rsid w:val="008A7D5C"/>
    <w:rsid w:val="008B7AFD"/>
    <w:rsid w:val="008C2CCD"/>
    <w:rsid w:val="008C6357"/>
    <w:rsid w:val="008E2D73"/>
    <w:rsid w:val="008F05C6"/>
    <w:rsid w:val="008F5095"/>
    <w:rsid w:val="008F60E8"/>
    <w:rsid w:val="008F7046"/>
    <w:rsid w:val="009000E6"/>
    <w:rsid w:val="00901BF6"/>
    <w:rsid w:val="00907D0C"/>
    <w:rsid w:val="00913A0B"/>
    <w:rsid w:val="00920EDA"/>
    <w:rsid w:val="009213A7"/>
    <w:rsid w:val="00923540"/>
    <w:rsid w:val="009239D7"/>
    <w:rsid w:val="009273F8"/>
    <w:rsid w:val="00927EBD"/>
    <w:rsid w:val="00934AE8"/>
    <w:rsid w:val="00945710"/>
    <w:rsid w:val="009501BD"/>
    <w:rsid w:val="0095127E"/>
    <w:rsid w:val="00953968"/>
    <w:rsid w:val="009604E6"/>
    <w:rsid w:val="00963BE1"/>
    <w:rsid w:val="009647A9"/>
    <w:rsid w:val="009650AA"/>
    <w:rsid w:val="00977882"/>
    <w:rsid w:val="0098254D"/>
    <w:rsid w:val="009859F5"/>
    <w:rsid w:val="00995AD4"/>
    <w:rsid w:val="00996A77"/>
    <w:rsid w:val="00997F3E"/>
    <w:rsid w:val="009A30BC"/>
    <w:rsid w:val="009A4F76"/>
    <w:rsid w:val="009A76C4"/>
    <w:rsid w:val="009B5B3D"/>
    <w:rsid w:val="009C7081"/>
    <w:rsid w:val="009D1017"/>
    <w:rsid w:val="009D20DE"/>
    <w:rsid w:val="009D3783"/>
    <w:rsid w:val="009E4684"/>
    <w:rsid w:val="009E56A5"/>
    <w:rsid w:val="009E626F"/>
    <w:rsid w:val="009E7654"/>
    <w:rsid w:val="009F24CE"/>
    <w:rsid w:val="00A01BC8"/>
    <w:rsid w:val="00A023D6"/>
    <w:rsid w:val="00A02E4C"/>
    <w:rsid w:val="00A04E4B"/>
    <w:rsid w:val="00A12284"/>
    <w:rsid w:val="00A136A3"/>
    <w:rsid w:val="00A20CC7"/>
    <w:rsid w:val="00A22149"/>
    <w:rsid w:val="00A2244B"/>
    <w:rsid w:val="00A31290"/>
    <w:rsid w:val="00A40386"/>
    <w:rsid w:val="00A4364C"/>
    <w:rsid w:val="00A4499F"/>
    <w:rsid w:val="00A504F9"/>
    <w:rsid w:val="00A63CDF"/>
    <w:rsid w:val="00A6698E"/>
    <w:rsid w:val="00A6759C"/>
    <w:rsid w:val="00A72B22"/>
    <w:rsid w:val="00A80349"/>
    <w:rsid w:val="00A8421B"/>
    <w:rsid w:val="00A84AF0"/>
    <w:rsid w:val="00A864AF"/>
    <w:rsid w:val="00A87BA9"/>
    <w:rsid w:val="00A917C1"/>
    <w:rsid w:val="00AA5806"/>
    <w:rsid w:val="00AB7371"/>
    <w:rsid w:val="00AB7F15"/>
    <w:rsid w:val="00AC2917"/>
    <w:rsid w:val="00AC2A87"/>
    <w:rsid w:val="00AC4446"/>
    <w:rsid w:val="00AC49F6"/>
    <w:rsid w:val="00AD089D"/>
    <w:rsid w:val="00AD13DA"/>
    <w:rsid w:val="00AD2ED4"/>
    <w:rsid w:val="00AD4CC2"/>
    <w:rsid w:val="00AD5286"/>
    <w:rsid w:val="00AE037B"/>
    <w:rsid w:val="00AE0E06"/>
    <w:rsid w:val="00AE2FB8"/>
    <w:rsid w:val="00AE422C"/>
    <w:rsid w:val="00AE4AE1"/>
    <w:rsid w:val="00AE6515"/>
    <w:rsid w:val="00AE6E68"/>
    <w:rsid w:val="00AE7547"/>
    <w:rsid w:val="00AE772C"/>
    <w:rsid w:val="00AF6AD4"/>
    <w:rsid w:val="00B03407"/>
    <w:rsid w:val="00B10E97"/>
    <w:rsid w:val="00B15B14"/>
    <w:rsid w:val="00B16885"/>
    <w:rsid w:val="00B218DA"/>
    <w:rsid w:val="00B24523"/>
    <w:rsid w:val="00B25D0C"/>
    <w:rsid w:val="00B30733"/>
    <w:rsid w:val="00B34F65"/>
    <w:rsid w:val="00B36972"/>
    <w:rsid w:val="00B403CE"/>
    <w:rsid w:val="00B4352F"/>
    <w:rsid w:val="00B47117"/>
    <w:rsid w:val="00B53325"/>
    <w:rsid w:val="00B5788C"/>
    <w:rsid w:val="00B6059E"/>
    <w:rsid w:val="00B63A98"/>
    <w:rsid w:val="00B64DCA"/>
    <w:rsid w:val="00B758E1"/>
    <w:rsid w:val="00B762A0"/>
    <w:rsid w:val="00B828B0"/>
    <w:rsid w:val="00B831D9"/>
    <w:rsid w:val="00B85440"/>
    <w:rsid w:val="00B86ECC"/>
    <w:rsid w:val="00B91811"/>
    <w:rsid w:val="00BA3FCD"/>
    <w:rsid w:val="00BB139F"/>
    <w:rsid w:val="00BB4AD9"/>
    <w:rsid w:val="00BB4B46"/>
    <w:rsid w:val="00BB622A"/>
    <w:rsid w:val="00BD0F32"/>
    <w:rsid w:val="00BD2A11"/>
    <w:rsid w:val="00BD3A1D"/>
    <w:rsid w:val="00BD3A48"/>
    <w:rsid w:val="00BD52E0"/>
    <w:rsid w:val="00BD5BBA"/>
    <w:rsid w:val="00BD6BE4"/>
    <w:rsid w:val="00BE29A8"/>
    <w:rsid w:val="00C17FD6"/>
    <w:rsid w:val="00C23D66"/>
    <w:rsid w:val="00C25069"/>
    <w:rsid w:val="00C30DD1"/>
    <w:rsid w:val="00C3629D"/>
    <w:rsid w:val="00C37D6B"/>
    <w:rsid w:val="00C402B6"/>
    <w:rsid w:val="00C47941"/>
    <w:rsid w:val="00C47B45"/>
    <w:rsid w:val="00C523F6"/>
    <w:rsid w:val="00C55FFC"/>
    <w:rsid w:val="00C60204"/>
    <w:rsid w:val="00C66483"/>
    <w:rsid w:val="00C70B18"/>
    <w:rsid w:val="00C74D93"/>
    <w:rsid w:val="00C75BD5"/>
    <w:rsid w:val="00C76D35"/>
    <w:rsid w:val="00C81C4C"/>
    <w:rsid w:val="00C81EA7"/>
    <w:rsid w:val="00C8419A"/>
    <w:rsid w:val="00C854CC"/>
    <w:rsid w:val="00C855D8"/>
    <w:rsid w:val="00C864C3"/>
    <w:rsid w:val="00C86F2A"/>
    <w:rsid w:val="00C97A90"/>
    <w:rsid w:val="00CA0702"/>
    <w:rsid w:val="00CB5716"/>
    <w:rsid w:val="00CC751C"/>
    <w:rsid w:val="00CE06C6"/>
    <w:rsid w:val="00D03EA9"/>
    <w:rsid w:val="00D074F9"/>
    <w:rsid w:val="00D14272"/>
    <w:rsid w:val="00D14FBC"/>
    <w:rsid w:val="00D179BE"/>
    <w:rsid w:val="00D23DFF"/>
    <w:rsid w:val="00D2516C"/>
    <w:rsid w:val="00D40B3F"/>
    <w:rsid w:val="00D44789"/>
    <w:rsid w:val="00D4581F"/>
    <w:rsid w:val="00D55A3A"/>
    <w:rsid w:val="00D56E33"/>
    <w:rsid w:val="00D57439"/>
    <w:rsid w:val="00D61BA8"/>
    <w:rsid w:val="00D631DB"/>
    <w:rsid w:val="00D7044B"/>
    <w:rsid w:val="00D70F46"/>
    <w:rsid w:val="00D72712"/>
    <w:rsid w:val="00D73DA5"/>
    <w:rsid w:val="00D85349"/>
    <w:rsid w:val="00D85E5D"/>
    <w:rsid w:val="00D917FB"/>
    <w:rsid w:val="00D918F2"/>
    <w:rsid w:val="00D9507B"/>
    <w:rsid w:val="00D95FA3"/>
    <w:rsid w:val="00DA1AC1"/>
    <w:rsid w:val="00DA241A"/>
    <w:rsid w:val="00DA2434"/>
    <w:rsid w:val="00DA3582"/>
    <w:rsid w:val="00DA4648"/>
    <w:rsid w:val="00DA4984"/>
    <w:rsid w:val="00DC0C53"/>
    <w:rsid w:val="00DC13DF"/>
    <w:rsid w:val="00DC3167"/>
    <w:rsid w:val="00DC6E96"/>
    <w:rsid w:val="00DD0A97"/>
    <w:rsid w:val="00DD12DD"/>
    <w:rsid w:val="00DD1516"/>
    <w:rsid w:val="00DD180C"/>
    <w:rsid w:val="00DE3070"/>
    <w:rsid w:val="00DE45C8"/>
    <w:rsid w:val="00DE5F90"/>
    <w:rsid w:val="00DE6A7A"/>
    <w:rsid w:val="00DF2932"/>
    <w:rsid w:val="00DF7EB3"/>
    <w:rsid w:val="00E01418"/>
    <w:rsid w:val="00E134CA"/>
    <w:rsid w:val="00E142AE"/>
    <w:rsid w:val="00E142DB"/>
    <w:rsid w:val="00E14D10"/>
    <w:rsid w:val="00E1600F"/>
    <w:rsid w:val="00E17166"/>
    <w:rsid w:val="00E21455"/>
    <w:rsid w:val="00E24021"/>
    <w:rsid w:val="00E26076"/>
    <w:rsid w:val="00E2700E"/>
    <w:rsid w:val="00E27F4D"/>
    <w:rsid w:val="00E32256"/>
    <w:rsid w:val="00E46B74"/>
    <w:rsid w:val="00E50E41"/>
    <w:rsid w:val="00E616B4"/>
    <w:rsid w:val="00E624FB"/>
    <w:rsid w:val="00E6564E"/>
    <w:rsid w:val="00E67218"/>
    <w:rsid w:val="00E711F9"/>
    <w:rsid w:val="00E720A5"/>
    <w:rsid w:val="00E73F92"/>
    <w:rsid w:val="00E77CEF"/>
    <w:rsid w:val="00E87756"/>
    <w:rsid w:val="00E92FB4"/>
    <w:rsid w:val="00E937B2"/>
    <w:rsid w:val="00E94F8C"/>
    <w:rsid w:val="00E95F31"/>
    <w:rsid w:val="00EA7EEE"/>
    <w:rsid w:val="00EB4B09"/>
    <w:rsid w:val="00EB549F"/>
    <w:rsid w:val="00EB6336"/>
    <w:rsid w:val="00EB64EC"/>
    <w:rsid w:val="00EB7066"/>
    <w:rsid w:val="00EB7866"/>
    <w:rsid w:val="00EC4691"/>
    <w:rsid w:val="00EC79DB"/>
    <w:rsid w:val="00ED5FC2"/>
    <w:rsid w:val="00ED7C7F"/>
    <w:rsid w:val="00EE4D78"/>
    <w:rsid w:val="00EE7A58"/>
    <w:rsid w:val="00EF2009"/>
    <w:rsid w:val="00EF30F9"/>
    <w:rsid w:val="00EF4522"/>
    <w:rsid w:val="00EF55DD"/>
    <w:rsid w:val="00EF7609"/>
    <w:rsid w:val="00EF7DC6"/>
    <w:rsid w:val="00F05C26"/>
    <w:rsid w:val="00F11C32"/>
    <w:rsid w:val="00F32878"/>
    <w:rsid w:val="00F43692"/>
    <w:rsid w:val="00F4700D"/>
    <w:rsid w:val="00F514EB"/>
    <w:rsid w:val="00F617E5"/>
    <w:rsid w:val="00F65E27"/>
    <w:rsid w:val="00F67348"/>
    <w:rsid w:val="00F7737C"/>
    <w:rsid w:val="00F77C50"/>
    <w:rsid w:val="00F802CB"/>
    <w:rsid w:val="00F81971"/>
    <w:rsid w:val="00F8293E"/>
    <w:rsid w:val="00F84B92"/>
    <w:rsid w:val="00F91D47"/>
    <w:rsid w:val="00F95480"/>
    <w:rsid w:val="00F97085"/>
    <w:rsid w:val="00FA22EF"/>
    <w:rsid w:val="00FA36F1"/>
    <w:rsid w:val="00FA3F89"/>
    <w:rsid w:val="00FA4474"/>
    <w:rsid w:val="00FB2756"/>
    <w:rsid w:val="00FB417C"/>
    <w:rsid w:val="00FB5448"/>
    <w:rsid w:val="00FB62A6"/>
    <w:rsid w:val="00FC2622"/>
    <w:rsid w:val="00FC401A"/>
    <w:rsid w:val="00FD46B7"/>
    <w:rsid w:val="00FD5D9F"/>
    <w:rsid w:val="00FF03DF"/>
    <w:rsid w:val="00FF5682"/>
    <w:rsid w:val="00FF70C9"/>
    <w:rsid w:val="67DA34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51185A"/>
  <w15:docId w15:val="{4BE19D86-6BED-4E5C-AF64-6CC920AA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val="en-GB" w:eastAsia="en-US"/>
    </w:rPr>
  </w:style>
  <w:style w:type="paragraph" w:styleId="Heading1">
    <w:name w:val="heading 1"/>
    <w:basedOn w:val="Normal"/>
    <w:next w:val="Normal"/>
    <w:link w:val="Heading1Char"/>
    <w:uiPriority w:val="99"/>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eastAsia="MS Mincho" w:hAnsi="Times New Roman" w:cs="Times New Roman"/>
      <w:b/>
      <w:bCs/>
      <w:sz w:val="24"/>
      <w:szCs w:val="24"/>
      <w:lang w:val="en-GB" w:eastAsia="en-US"/>
    </w:rPr>
  </w:style>
  <w:style w:type="character" w:customStyle="1" w:styleId="Heading2Char">
    <w:name w:val="Heading 2 Char"/>
    <w:link w:val="Heading2"/>
    <w:uiPriority w:val="99"/>
    <w:locked/>
    <w:rPr>
      <w:rFonts w:eastAsia="MS Mincho" w:cs="Times New Roman"/>
      <w:b/>
      <w:bCs/>
      <w:i/>
      <w:iCs/>
      <w:sz w:val="28"/>
      <w:szCs w:val="28"/>
      <w:lang w:val="en-GB" w:eastAsia="en-US"/>
    </w:rPr>
  </w:style>
  <w:style w:type="character" w:customStyle="1" w:styleId="Heading3Char">
    <w:name w:val="Heading 3 Char"/>
    <w:link w:val="Heading3"/>
    <w:uiPriority w:val="99"/>
    <w:locked/>
    <w:rPr>
      <w:rFonts w:eastAsia="MS Mincho" w:cs="Times New Roman"/>
      <w:b/>
      <w:bCs/>
      <w:sz w:val="26"/>
      <w:szCs w:val="26"/>
      <w:lang w:val="en-GB" w:eastAsia="en-US"/>
    </w:rPr>
  </w:style>
  <w:style w:type="paragraph" w:customStyle="1" w:styleId="IPPParagraphnumbering">
    <w:name w:val="IPP Paragraph numbering"/>
    <w:basedOn w:val="IPPNormal"/>
    <w:qFormat/>
    <w:pPr>
      <w:numPr>
        <w:numId w:val="3"/>
      </w:numPr>
    </w:pPr>
    <w:rPr>
      <w:lang w:val="en-US"/>
    </w:rPr>
  </w:style>
  <w:style w:type="paragraph" w:customStyle="1" w:styleId="IPPNormal">
    <w:name w:val="IPP Normal"/>
    <w:basedOn w:val="Normal"/>
    <w:link w:val="IPPNormalChar"/>
    <w:uiPriority w:val="99"/>
    <w:pPr>
      <w:spacing w:after="180"/>
    </w:pPr>
    <w:rPr>
      <w:rFonts w:eastAsia="Times New Roman"/>
      <w:sz w:val="24"/>
      <w:szCs w:val="20"/>
    </w:rPr>
  </w:style>
  <w:style w:type="paragraph" w:customStyle="1" w:styleId="IPPBullet1Last">
    <w:name w:val="IPP Bullet1Last"/>
    <w:basedOn w:val="IPPNormal"/>
    <w:next w:val="IPPNormal"/>
    <w:autoRedefine/>
    <w:qFormat/>
    <w:pPr>
      <w:numPr>
        <w:numId w:val="4"/>
      </w:numPr>
    </w:pPr>
  </w:style>
  <w:style w:type="character" w:customStyle="1" w:styleId="IPPNormalChar">
    <w:name w:val="IPP Normal Char"/>
    <w:link w:val="IPPNormal"/>
    <w:uiPriority w:val="99"/>
    <w:locked/>
    <w:rPr>
      <w:rFonts w:ascii="Times New Roman" w:hAnsi="Times New Roman"/>
      <w:sz w:val="24"/>
      <w:lang w:val="en-GB" w:eastAsia="en-US"/>
    </w:rPr>
  </w:style>
  <w:style w:type="character" w:styleId="Hyperlink">
    <w:name w:val="Hyperlink"/>
    <w:uiPriority w:val="99"/>
    <w:rPr>
      <w:rFonts w:cs="Times New Roman"/>
      <w:color w:val="0563C1"/>
      <w:u w:val="single"/>
    </w:rPr>
  </w:style>
  <w:style w:type="character" w:customStyle="1" w:styleId="PleaseReviewParagraphId">
    <w:name w:val="PleaseReviewParagraphId"/>
    <w:uiPriority w:val="99"/>
    <w:rPr>
      <w:rFonts w:ascii="Arial" w:hAnsi="Arial"/>
      <w:color w:val="000080"/>
      <w:sz w:val="16"/>
      <w:u w:val="none"/>
    </w:rPr>
  </w:style>
  <w:style w:type="paragraph" w:customStyle="1" w:styleId="IPPBullet1">
    <w:name w:val="IPP Bullet1"/>
    <w:basedOn w:val="IPPBullet1Last"/>
    <w:qFormat/>
    <w:pPr>
      <w:numPr>
        <w:numId w:val="5"/>
      </w:numPr>
      <w:spacing w:after="60"/>
      <w:ind w:left="567" w:hanging="567"/>
    </w:pPr>
    <w:rPr>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uiPriority w:val="99"/>
    <w:pPr>
      <w:spacing w:after="240"/>
    </w:pPr>
    <w:rPr>
      <w:sz w:val="24"/>
    </w:rPr>
  </w:style>
  <w:style w:type="paragraph" w:styleId="ListParagraph">
    <w:name w:val="List Paragraph"/>
    <w:basedOn w:val="Normal"/>
    <w:uiPriority w:val="99"/>
    <w:qFormat/>
    <w:pPr>
      <w:spacing w:line="240" w:lineRule="atLeast"/>
      <w:ind w:leftChars="400" w:left="800"/>
    </w:pPr>
    <w:rPr>
      <w:rFonts w:ascii="Verdana" w:eastAsia="Times New Roman" w:hAnsi="Verdana"/>
      <w:sz w:val="20"/>
      <w:lang w:val="nl-NL" w:eastAsia="nl-N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rFonts w:ascii="Calibri" w:eastAsia="Calibri" w:hAnsi="Calibri"/>
      <w:sz w:val="20"/>
      <w:szCs w:val="20"/>
      <w:lang w:val="es-ES" w:eastAsia="ja-JP"/>
    </w:rPr>
  </w:style>
  <w:style w:type="character" w:customStyle="1" w:styleId="CommentTextChar">
    <w:name w:val="Comment Text Char"/>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sz w:val="20"/>
    </w:rPr>
  </w:style>
  <w:style w:type="table" w:styleId="TableGrid">
    <w:name w:val="Table Grid"/>
    <w:basedOn w:val="TableNormal"/>
    <w:uiPriority w:val="99"/>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eastAsia="MS Mincho" w:hAnsi="Times New Roman" w:cs="Times New Roman"/>
      <w:sz w:val="24"/>
      <w:szCs w:val="24"/>
      <w:lang w:val="en-GB"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eastAsia="MS Mincho" w:hAnsi="Times New Roman" w:cs="Times New Roman"/>
      <w:sz w:val="24"/>
      <w:szCs w:val="24"/>
      <w:lang w:val="en-GB" w:eastAsia="en-US"/>
    </w:rPr>
  </w:style>
  <w:style w:type="paragraph" w:styleId="DocumentMap">
    <w:name w:val="Document Map"/>
    <w:basedOn w:val="Normal"/>
    <w:link w:val="DocumentMapChar"/>
    <w:uiPriority w:val="99"/>
    <w:semiHidden/>
    <w:rPr>
      <w:rFonts w:ascii="Tahoma" w:eastAsia="Calibri" w:hAnsi="Tahoma"/>
      <w:sz w:val="16"/>
      <w:szCs w:val="16"/>
      <w:lang w:val="es-ES" w:eastAsia="ja-JP"/>
    </w:rPr>
  </w:style>
  <w:style w:type="character" w:customStyle="1" w:styleId="DocumentMapChar">
    <w:name w:val="Document Map Char"/>
    <w:link w:val="DocumentMap"/>
    <w:uiPriority w:val="99"/>
    <w:semiHidden/>
    <w:locked/>
    <w:rPr>
      <w:rFonts w:ascii="Tahoma" w:hAnsi="Tahoma" w:cs="Times New Roman"/>
      <w:sz w:val="16"/>
    </w:rPr>
  </w:style>
  <w:style w:type="paragraph" w:styleId="FootnoteText">
    <w:name w:val="footnote text"/>
    <w:basedOn w:val="Normal"/>
    <w:link w:val="FootnoteTextChar"/>
    <w:uiPriority w:val="99"/>
    <w:pPr>
      <w:spacing w:before="60"/>
    </w:pPr>
    <w:rPr>
      <w:sz w:val="20"/>
    </w:rPr>
  </w:style>
  <w:style w:type="character" w:customStyle="1" w:styleId="FootnoteTextChar">
    <w:name w:val="Footnote Text Char"/>
    <w:link w:val="FootnoteText"/>
    <w:uiPriority w:val="99"/>
    <w:locked/>
    <w:rPr>
      <w:rFonts w:ascii="Times New Roman" w:eastAsia="MS Mincho" w:hAnsi="Times New Roman" w:cs="Times New Roman"/>
      <w:sz w:val="24"/>
      <w:szCs w:val="24"/>
      <w:lang w:val="en-GB" w:eastAsia="en-US"/>
    </w:rPr>
  </w:style>
  <w:style w:type="character" w:styleId="FootnoteReference">
    <w:name w:val="footnote reference"/>
    <w:aliases w:val="Footnote text,Ref,de nota al pie,Footnote Reference1,Ref1,de nota al pie1,註腳內容,de nota al pie + (Asian) MS Mincho,11 pt,16 Point,Superscript 6 Point"/>
    <w:uiPriority w:val="99"/>
    <w:rPr>
      <w:rFonts w:cs="Times New Roman"/>
      <w:vertAlign w:val="superscript"/>
    </w:rPr>
  </w:style>
  <w:style w:type="paragraph" w:customStyle="1" w:styleId="Style">
    <w:name w:val="Style"/>
    <w:basedOn w:val="Footer"/>
    <w:autoRedefine/>
    <w:uiPriority w:val="99"/>
    <w:pPr>
      <w:pBdr>
        <w:top w:val="single" w:sz="4" w:space="1" w:color="auto"/>
      </w:pBdr>
      <w:tabs>
        <w:tab w:val="clear" w:pos="4680"/>
        <w:tab w:val="clear" w:pos="9360"/>
        <w:tab w:val="right" w:pos="9072"/>
      </w:tabs>
      <w:spacing w:after="120"/>
      <w:jc w:val="left"/>
    </w:pPr>
    <w:rPr>
      <w:rFonts w:ascii="Arial" w:eastAsia="Calibri" w:hAnsi="Arial"/>
      <w:sz w:val="18"/>
      <w:lang w:val="es-ES_tradnl" w:eastAsia="en-GB"/>
    </w:rPr>
  </w:style>
  <w:style w:type="character" w:styleId="PageNumber">
    <w:name w:val="page number"/>
    <w:rPr>
      <w:rFonts w:ascii="Arial" w:hAnsi="Arial" w:cs="Times New Roman"/>
      <w:b/>
      <w:sz w:val="18"/>
    </w:rPr>
  </w:style>
  <w:style w:type="paragraph" w:customStyle="1" w:styleId="IPPArialFootnote">
    <w:name w:val="IPP Arial Footnote"/>
    <w:basedOn w:val="IPPArialTable"/>
    <w:uiPriority w:val="99"/>
    <w:pPr>
      <w:tabs>
        <w:tab w:val="left" w:pos="28"/>
      </w:tabs>
      <w:ind w:left="284" w:hanging="284"/>
    </w:pPr>
    <w:rPr>
      <w:sz w:val="16"/>
    </w:rPr>
  </w:style>
  <w:style w:type="paragraph" w:customStyle="1" w:styleId="IPPBullet2">
    <w:name w:val="IPP Bullet2"/>
    <w:basedOn w:val="IPPNormal"/>
    <w:next w:val="IPPBullet1"/>
    <w:uiPriority w:val="99"/>
    <w:pPr>
      <w:numPr>
        <w:numId w:val="9"/>
      </w:numPr>
      <w:tabs>
        <w:tab w:val="left" w:pos="1134"/>
      </w:tabs>
      <w:spacing w:after="60"/>
      <w:ind w:left="1134" w:hanging="567"/>
    </w:pPr>
  </w:style>
  <w:style w:type="paragraph" w:customStyle="1" w:styleId="IPPQuote">
    <w:name w:val="IPP Quote"/>
    <w:basedOn w:val="IPPNormal"/>
    <w:uiPriority w:val="99"/>
    <w:pPr>
      <w:ind w:left="851" w:right="851"/>
    </w:pPr>
    <w:rPr>
      <w:sz w:val="18"/>
    </w:rPr>
  </w:style>
  <w:style w:type="paragraph" w:customStyle="1" w:styleId="IPPIndentClose">
    <w:name w:val="IPP Indent Close"/>
    <w:basedOn w:val="IPPNormal"/>
    <w:uiPriority w:val="99"/>
    <w:pPr>
      <w:tabs>
        <w:tab w:val="left" w:pos="2835"/>
      </w:tabs>
      <w:spacing w:after="60"/>
      <w:ind w:left="567"/>
    </w:pPr>
  </w:style>
  <w:style w:type="paragraph" w:customStyle="1" w:styleId="IPPIndent">
    <w:name w:val="IPP Indent"/>
    <w:basedOn w:val="IPPIndentClose"/>
    <w:uiPriority w:val="99"/>
    <w:pPr>
      <w:spacing w:after="180"/>
    </w:pPr>
  </w:style>
  <w:style w:type="paragraph" w:customStyle="1" w:styleId="IPPFootnote">
    <w:name w:val="IPP Footnote"/>
    <w:basedOn w:val="IPPArialFootnote"/>
    <w:uiPriority w:val="99"/>
    <w:pPr>
      <w:tabs>
        <w:tab w:val="left" w:pos="0"/>
      </w:tabs>
      <w:spacing w:before="0"/>
      <w:ind w:left="0" w:firstLine="0"/>
      <w:jc w:val="both"/>
    </w:pPr>
    <w:rPr>
      <w:rFonts w:ascii="Times New Roman" w:hAnsi="Times New Roman"/>
      <w:sz w:val="20"/>
    </w:rPr>
  </w:style>
  <w:style w:type="paragraph" w:customStyle="1" w:styleId="IPPHeading3">
    <w:name w:val="IPP Heading3"/>
    <w:basedOn w:val="IPPNormal"/>
    <w:uiPriority w:val="99"/>
    <w:pPr>
      <w:keepNext/>
      <w:tabs>
        <w:tab w:val="left" w:pos="567"/>
      </w:tabs>
      <w:spacing w:before="120" w:after="120"/>
      <w:ind w:left="567" w:hanging="567"/>
    </w:pPr>
    <w:rPr>
      <w:b/>
      <w:i/>
    </w:rPr>
  </w:style>
  <w:style w:type="character" w:customStyle="1" w:styleId="IPPnormalitalics">
    <w:name w:val="IPP normal italics"/>
    <w:uiPriority w:val="99"/>
    <w:rPr>
      <w:rFonts w:ascii="Times New Roman" w:hAnsi="Times New Roman" w:cs="Times New Roman"/>
      <w:i/>
      <w:sz w:val="22"/>
      <w:lang w:val="en-US"/>
    </w:rPr>
  </w:style>
  <w:style w:type="character" w:customStyle="1" w:styleId="IPPNormalbold">
    <w:name w:val="IPP Normal bold"/>
    <w:uiPriority w:val="99"/>
    <w:rPr>
      <w:rFonts w:ascii="Times New Roman" w:hAnsi="Times New Roman" w:cs="Times New Roman"/>
      <w:b/>
      <w:sz w:val="21"/>
      <w:szCs w:val="21"/>
      <w:lang w:val="en-AU" w:eastAsia="en-US"/>
    </w:rPr>
  </w:style>
  <w:style w:type="paragraph" w:customStyle="1" w:styleId="IPPHeadSection">
    <w:name w:val="IPP HeadSection"/>
    <w:basedOn w:val="Normal"/>
    <w:next w:val="Normal"/>
    <w:uiPriority w:val="99"/>
    <w:pPr>
      <w:keepNext/>
      <w:tabs>
        <w:tab w:val="left" w:pos="851"/>
      </w:tabs>
      <w:spacing w:before="360" w:after="120"/>
      <w:ind w:left="851" w:hanging="851"/>
      <w:outlineLvl w:val="0"/>
    </w:pPr>
    <w:rPr>
      <w:rFonts w:eastAsia="Calibri"/>
      <w:b/>
      <w:bCs/>
      <w:caps/>
      <w:sz w:val="24"/>
      <w:szCs w:val="22"/>
    </w:rPr>
  </w:style>
  <w:style w:type="paragraph" w:customStyle="1" w:styleId="IPPHeading1">
    <w:name w:val="IPP Heading1"/>
    <w:basedOn w:val="IPPNormal"/>
    <w:next w:val="IPPNormal"/>
    <w:uiPriority w:val="99"/>
    <w:pPr>
      <w:keepNext/>
      <w:tabs>
        <w:tab w:val="left" w:pos="567"/>
      </w:tabs>
      <w:spacing w:before="240" w:after="120"/>
      <w:ind w:left="567" w:hanging="567"/>
      <w:jc w:val="left"/>
      <w:outlineLvl w:val="1"/>
    </w:pPr>
    <w:rPr>
      <w:b/>
      <w:szCs w:val="22"/>
    </w:rPr>
  </w:style>
  <w:style w:type="paragraph" w:customStyle="1" w:styleId="IPPSubhead">
    <w:name w:val="IPP Subhead"/>
    <w:basedOn w:val="Normal"/>
    <w:uiPriority w:val="99"/>
    <w:pPr>
      <w:keepNext/>
      <w:ind w:left="567" w:hanging="567"/>
      <w:jc w:val="left"/>
    </w:pPr>
    <w:rPr>
      <w:b/>
      <w:bCs/>
      <w:iCs/>
      <w:szCs w:val="22"/>
    </w:rPr>
  </w:style>
  <w:style w:type="character" w:customStyle="1" w:styleId="IPPNormalunderlined">
    <w:name w:val="IPP Normal underlined"/>
    <w:uiPriority w:val="99"/>
    <w:rPr>
      <w:rFonts w:ascii="Times New Roman" w:hAnsi="Times New Roman" w:cs="Times New Roman"/>
      <w:sz w:val="22"/>
      <w:u w:val="single"/>
      <w:lang w:val="en-US"/>
    </w:rPr>
  </w:style>
  <w:style w:type="character" w:customStyle="1" w:styleId="IPPNormalstrikethrough">
    <w:name w:val="IPP Normal strikethrough"/>
    <w:uiPriority w:val="99"/>
    <w:rPr>
      <w:rFonts w:ascii="Times New Roman" w:hAnsi="Times New Roman"/>
      <w:strike/>
      <w:sz w:val="22"/>
    </w:rPr>
  </w:style>
  <w:style w:type="paragraph" w:customStyle="1" w:styleId="IPPTitle16pt">
    <w:name w:val="IPP Title16pt"/>
    <w:basedOn w:val="Normal"/>
    <w:uiPriority w:val="99"/>
    <w:pPr>
      <w:spacing w:after="720"/>
      <w:ind w:left="1701" w:right="1701"/>
      <w:jc w:val="center"/>
    </w:pPr>
    <w:rPr>
      <w:rFonts w:ascii="Arial" w:hAnsi="Arial" w:cs="Arial"/>
      <w:b/>
      <w:bCs/>
      <w:sz w:val="32"/>
      <w:szCs w:val="32"/>
    </w:rPr>
  </w:style>
  <w:style w:type="paragraph" w:customStyle="1" w:styleId="IPPTitle18pt">
    <w:name w:val="IPP Title18pt"/>
    <w:basedOn w:val="Normal"/>
    <w:uiPriority w:val="99"/>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uiPriority w:val="99"/>
    <w:pPr>
      <w:keepNext/>
      <w:tabs>
        <w:tab w:val="left" w:pos="567"/>
      </w:tabs>
      <w:spacing w:before="120"/>
      <w:jc w:val="left"/>
      <w:outlineLvl w:val="1"/>
    </w:pPr>
    <w:rPr>
      <w:b/>
    </w:rPr>
  </w:style>
  <w:style w:type="paragraph" w:customStyle="1" w:styleId="IPPNormalCloseSpace">
    <w:name w:val="IPP NormalCloseSpace"/>
    <w:basedOn w:val="Normal"/>
    <w:uiPriority w:val="99"/>
    <w:pPr>
      <w:keepNext/>
      <w:spacing w:after="60"/>
    </w:pPr>
  </w:style>
  <w:style w:type="paragraph" w:customStyle="1" w:styleId="IPPHeading2">
    <w:name w:val="IPP Heading2"/>
    <w:basedOn w:val="IPPNormal"/>
    <w:next w:val="IPPNormal"/>
    <w:uiPriority w:val="99"/>
    <w:pPr>
      <w:keepNext/>
      <w:tabs>
        <w:tab w:val="left" w:pos="567"/>
      </w:tabs>
      <w:spacing w:before="120" w:after="120"/>
      <w:ind w:left="567" w:hanging="567"/>
      <w:jc w:val="left"/>
      <w:outlineLvl w:val="2"/>
    </w:pPr>
    <w:rPr>
      <w:b/>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99"/>
    <w:pPr>
      <w:tabs>
        <w:tab w:val="right" w:leader="dot" w:pos="9072"/>
      </w:tabs>
      <w:spacing w:before="240"/>
      <w:ind w:left="567" w:hanging="567"/>
    </w:pPr>
  </w:style>
  <w:style w:type="paragraph" w:styleId="TOC2">
    <w:name w:val="toc 2"/>
    <w:basedOn w:val="TOC1"/>
    <w:next w:val="Normal"/>
    <w:autoRedefine/>
    <w:uiPriority w:val="99"/>
    <w:pPr>
      <w:keepNext w:val="0"/>
      <w:tabs>
        <w:tab w:val="left" w:pos="425"/>
      </w:tabs>
      <w:spacing w:before="120" w:after="0"/>
      <w:ind w:left="425" w:right="284" w:hanging="425"/>
    </w:pPr>
  </w:style>
  <w:style w:type="paragraph" w:styleId="TOC3">
    <w:name w:val="toc 3"/>
    <w:basedOn w:val="TOC2"/>
    <w:next w:val="Normal"/>
    <w:autoRedefine/>
    <w:uiPriority w:val="99"/>
    <w:pPr>
      <w:tabs>
        <w:tab w:val="left" w:pos="1276"/>
      </w:tabs>
      <w:spacing w:before="60"/>
      <w:ind w:left="1276" w:hanging="851"/>
    </w:pPr>
    <w:rPr>
      <w:rFonts w:eastAsia="Calibri"/>
    </w:rPr>
  </w:style>
  <w:style w:type="paragraph" w:styleId="TOC4">
    <w:name w:val="toc 4"/>
    <w:basedOn w:val="Normal"/>
    <w:next w:val="Normal"/>
    <w:autoRedefine/>
    <w:uiPriority w:val="99"/>
    <w:pPr>
      <w:spacing w:after="120"/>
      <w:ind w:left="660"/>
    </w:pPr>
    <w:rPr>
      <w:rFonts w:eastAsia="Calibri"/>
      <w:lang w:val="en-AU"/>
    </w:rPr>
  </w:style>
  <w:style w:type="paragraph" w:styleId="TOC5">
    <w:name w:val="toc 5"/>
    <w:basedOn w:val="Normal"/>
    <w:next w:val="Normal"/>
    <w:autoRedefine/>
    <w:uiPriority w:val="99"/>
    <w:pPr>
      <w:spacing w:after="120"/>
      <w:ind w:left="880"/>
    </w:pPr>
    <w:rPr>
      <w:rFonts w:eastAsia="Calibri"/>
      <w:lang w:val="en-AU"/>
    </w:rPr>
  </w:style>
  <w:style w:type="paragraph" w:styleId="TOC6">
    <w:name w:val="toc 6"/>
    <w:basedOn w:val="Normal"/>
    <w:next w:val="Normal"/>
    <w:autoRedefine/>
    <w:uiPriority w:val="99"/>
    <w:pPr>
      <w:spacing w:after="120"/>
      <w:ind w:left="1100"/>
    </w:pPr>
    <w:rPr>
      <w:rFonts w:eastAsia="Calibri"/>
      <w:lang w:val="en-AU"/>
    </w:rPr>
  </w:style>
  <w:style w:type="paragraph" w:styleId="TOC7">
    <w:name w:val="toc 7"/>
    <w:basedOn w:val="Normal"/>
    <w:next w:val="Normal"/>
    <w:autoRedefine/>
    <w:uiPriority w:val="99"/>
    <w:pPr>
      <w:spacing w:after="120"/>
      <w:ind w:left="1320"/>
    </w:pPr>
    <w:rPr>
      <w:rFonts w:eastAsia="Calibri"/>
      <w:lang w:val="en-AU"/>
    </w:rPr>
  </w:style>
  <w:style w:type="paragraph" w:styleId="TOC8">
    <w:name w:val="toc 8"/>
    <w:basedOn w:val="Normal"/>
    <w:next w:val="Normal"/>
    <w:autoRedefine/>
    <w:uiPriority w:val="99"/>
    <w:pPr>
      <w:spacing w:after="120"/>
      <w:ind w:left="1540"/>
    </w:pPr>
    <w:rPr>
      <w:rFonts w:eastAsia="Calibri"/>
      <w:lang w:val="en-AU"/>
    </w:rPr>
  </w:style>
  <w:style w:type="paragraph" w:styleId="TOC9">
    <w:name w:val="toc 9"/>
    <w:basedOn w:val="Normal"/>
    <w:next w:val="Normal"/>
    <w:autoRedefine/>
    <w:uiPriority w:val="99"/>
    <w:pPr>
      <w:spacing w:after="120"/>
      <w:ind w:left="1760"/>
    </w:pPr>
    <w:rPr>
      <w:rFonts w:eastAsia="Calibri"/>
      <w:lang w:val="en-AU"/>
    </w:rPr>
  </w:style>
  <w:style w:type="paragraph" w:customStyle="1" w:styleId="IPPReferences">
    <w:name w:val="IPP References"/>
    <w:basedOn w:val="IPPNormal"/>
    <w:uiPriority w:val="99"/>
    <w:pPr>
      <w:spacing w:after="60"/>
      <w:ind w:left="567" w:hanging="567"/>
    </w:pPr>
  </w:style>
  <w:style w:type="paragraph" w:customStyle="1" w:styleId="IPPArial">
    <w:name w:val="IPP Arial"/>
    <w:basedOn w:val="IPPNormal"/>
    <w:uiPriority w:val="99"/>
    <w:pPr>
      <w:spacing w:after="0"/>
    </w:pPr>
    <w:rPr>
      <w:rFonts w:ascii="Arial" w:hAnsi="Arial"/>
      <w:sz w:val="18"/>
    </w:rPr>
  </w:style>
  <w:style w:type="paragraph" w:customStyle="1" w:styleId="IPPArialTable">
    <w:name w:val="IPP Arial Table"/>
    <w:basedOn w:val="IPPArial"/>
    <w:uiPriority w:val="99"/>
    <w:pPr>
      <w:spacing w:before="60" w:after="60"/>
      <w:jc w:val="left"/>
    </w:pPr>
  </w:style>
  <w:style w:type="paragraph" w:customStyle="1" w:styleId="IPPHeaderlandscape">
    <w:name w:val="IPP Header landscape"/>
    <w:basedOn w:val="IPPHeader"/>
    <w:uiPriority w:val="99"/>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pPr>
      <w:jc w:val="left"/>
    </w:pPr>
    <w:rPr>
      <w:rFonts w:ascii="Courier" w:eastAsia="Calibri" w:hAnsi="Courier"/>
      <w:sz w:val="21"/>
      <w:szCs w:val="21"/>
      <w:lang w:val="en-AU"/>
    </w:rPr>
  </w:style>
  <w:style w:type="character" w:customStyle="1" w:styleId="PlainTextChar">
    <w:name w:val="Plain Text Char"/>
    <w:link w:val="PlainText"/>
    <w:uiPriority w:val="99"/>
    <w:locked/>
    <w:rPr>
      <w:rFonts w:ascii="Courier" w:hAnsi="Courier" w:cs="Times New Roman"/>
      <w:sz w:val="21"/>
      <w:szCs w:val="21"/>
      <w:lang w:val="en-AU" w:eastAsia="en-US"/>
    </w:rPr>
  </w:style>
  <w:style w:type="paragraph" w:customStyle="1" w:styleId="IPPLetterList">
    <w:name w:val="IPP LetterList"/>
    <w:basedOn w:val="IPPBullet2"/>
    <w:uiPriority w:val="99"/>
    <w:pPr>
      <w:tabs>
        <w:tab w:val="num" w:pos="1134"/>
      </w:tabs>
      <w:jc w:val="left"/>
    </w:pPr>
  </w:style>
  <w:style w:type="paragraph" w:customStyle="1" w:styleId="IPPLetterListIndent">
    <w:name w:val="IPP LetterList Indent"/>
    <w:basedOn w:val="IPPLetterList"/>
    <w:uiPriority w:val="99"/>
    <w:pPr>
      <w:numPr>
        <w:numId w:val="7"/>
      </w:numPr>
    </w:pPr>
  </w:style>
  <w:style w:type="paragraph" w:customStyle="1" w:styleId="IPPFooterLandscape">
    <w:name w:val="IPP Footer Landscape"/>
    <w:basedOn w:val="IPPHeaderlandscape"/>
    <w:uiPriority w:val="99"/>
    <w:pPr>
      <w:pBdr>
        <w:top w:val="single" w:sz="4" w:space="1" w:color="auto"/>
        <w:bottom w:val="none" w:sz="0" w:space="0" w:color="auto"/>
      </w:pBdr>
      <w:jc w:val="right"/>
    </w:pPr>
    <w:rPr>
      <w:b/>
    </w:rPr>
  </w:style>
  <w:style w:type="paragraph" w:customStyle="1" w:styleId="IPPSubheadSpace">
    <w:name w:val="IPP Subhead Space"/>
    <w:basedOn w:val="IPPSubhead"/>
    <w:uiPriority w:val="99"/>
    <w:pPr>
      <w:tabs>
        <w:tab w:val="left" w:pos="567"/>
      </w:tabs>
      <w:spacing w:before="60" w:after="60"/>
    </w:pPr>
  </w:style>
  <w:style w:type="paragraph" w:customStyle="1" w:styleId="IPPSubheadSpaceAfter">
    <w:name w:val="IPP Subhead SpaceAfter"/>
    <w:basedOn w:val="IPPSubhead"/>
    <w:uiPriority w:val="99"/>
    <w:pPr>
      <w:spacing w:after="60"/>
    </w:pPr>
  </w:style>
  <w:style w:type="paragraph" w:customStyle="1" w:styleId="IPPHdg1Num">
    <w:name w:val="IPP Hdg1Num"/>
    <w:basedOn w:val="IPPHeading1"/>
    <w:next w:val="IPPNormal"/>
    <w:uiPriority w:val="99"/>
    <w:pPr>
      <w:numPr>
        <w:numId w:val="10"/>
      </w:numPr>
    </w:pPr>
  </w:style>
  <w:style w:type="paragraph" w:customStyle="1" w:styleId="IPPHdg2Num">
    <w:name w:val="IPP Hdg2Num"/>
    <w:basedOn w:val="IPPHeading2"/>
    <w:next w:val="IPPNormal"/>
    <w:uiPriority w:val="99"/>
    <w:pPr>
      <w:numPr>
        <w:ilvl w:val="1"/>
        <w:numId w:val="11"/>
      </w:numPr>
    </w:pPr>
  </w:style>
  <w:style w:type="paragraph" w:customStyle="1" w:styleId="IPPNumberedList">
    <w:name w:val="IPP NumberedList"/>
    <w:basedOn w:val="IPPBullet1"/>
    <w:uiPriority w:val="99"/>
    <w:pPr>
      <w:numPr>
        <w:numId w:val="12"/>
      </w:numPr>
    </w:pPr>
  </w:style>
  <w:style w:type="character" w:styleId="Strong">
    <w:name w:val="Strong"/>
    <w:uiPriority w:val="99"/>
    <w:qFormat/>
    <w:rPr>
      <w:rFonts w:cs="Times New Roman"/>
      <w:b/>
      <w:bCs/>
    </w:rPr>
  </w:style>
  <w:style w:type="paragraph" w:customStyle="1" w:styleId="IPPParagraphnumberingclose">
    <w:name w:val="IPP Paragraph numbering close"/>
    <w:basedOn w:val="IPPParagraphnumbering"/>
    <w:uiPriority w:val="99"/>
    <w:pPr>
      <w:keepNext/>
      <w:spacing w:after="60"/>
    </w:pPr>
  </w:style>
  <w:style w:type="paragraph" w:customStyle="1" w:styleId="IPPNumberedListLast">
    <w:name w:val="IPP NumberedListLast"/>
    <w:basedOn w:val="IPPNumberedList"/>
    <w:uiPriority w:val="99"/>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en-US"/>
    </w:rPr>
  </w:style>
  <w:style w:type="paragraph" w:styleId="Revision">
    <w:name w:val="Revision"/>
    <w:hidden/>
    <w:uiPriority w:val="99"/>
    <w:semiHidden/>
    <w:rPr>
      <w:rFonts w:ascii="Times New Roman" w:eastAsia="MS Mincho" w:hAnsi="Times New Roman" w:cs="Times New Roman"/>
      <w:sz w:val="22"/>
      <w:szCs w:val="24"/>
      <w:lang w:val="en-GB" w:eastAsia="en-US"/>
    </w:rPr>
  </w:style>
  <w:style w:type="paragraph" w:customStyle="1" w:styleId="IPPHeading30">
    <w:name w:val="IPP Heading 3"/>
    <w:basedOn w:val="IPPNormal"/>
    <w:uiPriority w:val="99"/>
    <w:pPr>
      <w:keepNext/>
      <w:tabs>
        <w:tab w:val="left" w:pos="567"/>
      </w:tabs>
      <w:spacing w:before="120" w:after="120"/>
      <w:ind w:left="567" w:hanging="567"/>
    </w:pPr>
    <w:rPr>
      <w:b/>
      <w:i/>
    </w:rPr>
  </w:style>
  <w:style w:type="numbering" w:customStyle="1" w:styleId="IPPParagraphnumberedlist">
    <w:name w:val="IPP Paragraph numbered list"/>
    <w:pPr>
      <w:numPr>
        <w:numId w:val="2"/>
      </w:numPr>
    </w:pPr>
  </w:style>
  <w:style w:type="numbering" w:customStyle="1" w:styleId="IPPParagraphnumberedlist1">
    <w:name w:val="IPP Paragraph numbered li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6175C-CCB9-4334-8C2A-85820182D4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1912A-FD39-45A7-A279-3CFE7BAECE08}">
  <ds:schemaRefs>
    <ds:schemaRef ds:uri="http://schemas.microsoft.com/sharepoint/v3/contenttype/forms"/>
  </ds:schemaRefs>
</ds:datastoreItem>
</file>

<file path=customXml/itemProps3.xml><?xml version="1.0" encoding="utf-8"?>
<ds:datastoreItem xmlns:ds="http://schemas.openxmlformats.org/officeDocument/2006/customXml" ds:itemID="{95DEE7AF-0BB7-468A-B626-B5426CEAB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5</Pages>
  <Words>2041</Words>
  <Characters>11515</Characters>
  <Application>Microsoft Office Word</Application>
  <DocSecurity>0</DocSecurity>
  <Lines>371</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2017 AMENDMENTS TO ISPM 5:</vt:lpstr>
      <vt:lpstr>DRAFT 2017 AMENDMENTS TO ISPM 5:</vt:lpstr>
    </vt:vector>
  </TitlesOfParts>
  <Company>FAO of the UN</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Alejandra, JimenezTabares (NSP)</cp:lastModifiedBy>
  <cp:revision>2</cp:revision>
  <cp:lastPrinted>2020-05-07T11:12:00Z</cp:lastPrinted>
  <dcterms:created xsi:type="dcterms:W3CDTF">2021-06-30T14:30:00Z</dcterms:created>
  <dcterms:modified xsi:type="dcterms:W3CDTF">2021-06-30T14:30:00Z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