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2021 First Consultation: Draft DP for Candidatus Liberibacter spp. on Citrus spp. (2004-010) . Document title: 2004-010_CaLiberibacterCitrus_En_2021-05-27.docx]</w:t>
      </w:r>
    </w:p>
    <w:p w14:paraId="29C4603C" w14:textId="67AE9F6D">
      <w:pPr>
        <w:pStyle w:val="IPPParagraphnumbering"/>
        <w:numPr>
          <w:ilvl w:val="0"/>
          <w:numId w:val="0"/>
        </w:numPr>
        <w:rPr>
          <w:b/>
          <w:sz w:val="24"/>
          <w:lang w:val="en-GB"/>
        </w:rPr>
      </w:pPr>
      <w:r>
        <w:rPr>
          <w:rStyle w:val="PleaseReviewParagraphId"/>
          <w:b w:val="off"/>
          <w:i w:val="off"/>
        </w:rPr>
        <w:t>[1]</w:t>
      </w:r>
      <w:r>
        <w:rPr>
          <w:b/>
          <w:sz w:val="24"/>
          <w:lang w:val="en-GB"/>
        </w:rPr>
        <w:t>DRAFT ANNEX to ISPM 27: ‘</w:t>
      </w:r>
      <w:r>
        <w:rPr>
          <w:b/>
          <w:i/>
          <w:iCs/>
          <w:sz w:val="24"/>
          <w:lang w:val="en-GB"/>
        </w:rPr>
        <w:t xml:space="preserve">Candidatus </w:t>
      </w:r>
      <w:r>
        <w:rPr>
          <w:b/>
          <w:iCs/>
          <w:sz w:val="24"/>
          <w:lang w:val="en-GB"/>
        </w:rPr>
        <w:t>Liberibacter’</w:t>
      </w:r>
      <w:r>
        <w:rPr>
          <w:b/>
          <w:sz w:val="24"/>
          <w:lang w:val="en-GB"/>
        </w:rPr>
        <w:t xml:space="preserve"> spp. on </w:t>
      </w:r>
      <w:r>
        <w:rPr>
          <w:b/>
          <w:i/>
          <w:iCs/>
          <w:sz w:val="24"/>
          <w:lang w:val="en-GB"/>
        </w:rPr>
        <w:t>Citrus</w:t>
      </w:r>
      <w:r>
        <w:rPr>
          <w:b/>
          <w:sz w:val="24"/>
          <w:lang w:val="en-GB"/>
        </w:rPr>
        <w:t xml:space="preserve"> spp. (2004-010)</w:t>
      </w:r>
    </w:p>
    <w:tbl>
      <w:tblPr>
        <w:tblW w:w="5000" w:type="pct"/>
        <w:tblCellSpacing w:w="7" w:type="dxa"/>
        <w:tblBorders>
          <w:top w:val="outset" w:color="00000A" w:sz="6" w:space="0"/>
          <w:left w:val="outset" w:color="00000A" w:sz="6" w:space="0"/>
          <w:bottom w:val="outset" w:color="00000A" w:sz="6" w:space="0"/>
          <w:right w:val="outset" w:color="00000A" w:sz="6" w:space="0"/>
        </w:tblBorders>
        <w:tblCellMar>
          <w:top w:w="30" w:type="dxa"/>
          <w:left w:w="30" w:type="dxa"/>
          <w:bottom w:w="30" w:type="dxa"/>
          <w:right w:w="30" w:type="dxa"/>
        </w:tblCellMar>
        <w:tblLook w:val="04A0" w:firstRow="1" w:lastRow="0" w:firstColumn="1" w:lastColumn="0" w:noHBand="0" w:noVBand="1"/>
      </w:tblPr>
      <w:tblGrid>
        <w:gridCol w:w="2536"/>
        <w:gridCol w:w="6474"/>
      </w:tblGrid>
      <w:tr w14:paraId="12770BF1" w14:textId="77777777">
        <w:trPr>
          <w:tblCellSpacing w:w="7" w:type="dxa"/>
        </w:trPr>
        <w:tc>
          <w:tcPr>
            <w:tcW w:w="4984" w:type="pct"/>
            <w:gridSpan w:val="2"/>
            <w:tcBorders>
              <w:top w:val="outset" w:color="00000A" w:sz="6" w:space="0"/>
              <w:left w:val="outset" w:color="00000A" w:sz="6" w:space="0"/>
              <w:bottom w:val="outset" w:color="00000A" w:sz="6" w:space="0"/>
              <w:right w:val="outset" w:color="00000A" w:sz="6" w:space="0"/>
            </w:tcBorders>
          </w:tcPr>
          <w:p w14:paraId="13111C4A" w14:textId="77777777">
            <w:pPr>
              <w:pStyle w:val="NormalWeb"/>
              <w:spacing w:before="29" w:beforeAutospacing="0"/>
              <w:rPr>
                <w:rFonts w:ascii="Arial" w:hAnsi="Arial" w:cs="Arial"/>
                <w:b/>
                <w:sz w:val="18"/>
                <w:szCs w:val="18"/>
              </w:rPr>
            </w:pPr>
            <w:r>
              <w:rPr>
                <w:rStyle w:val="PleaseReviewParagraphId"/>
                <w:b w:val="off"/>
                <w:i w:val="off"/>
              </w:rPr>
              <w:t>[2]</w:t>
            </w:r>
            <w:r>
              <w:rPr>
                <w:rFonts w:ascii="Arial" w:hAnsi="Arial" w:cs="Arial"/>
                <w:b/>
                <w:sz w:val="18"/>
                <w:szCs w:val="18"/>
              </w:rPr>
              <w:t>Status box</w:t>
            </w:r>
          </w:p>
        </w:tc>
      </w:tr>
      <w:tr w14:paraId="52F9079E" w14:textId="77777777">
        <w:trPr>
          <w:tblCellSpacing w:w="7" w:type="dxa"/>
        </w:trPr>
        <w:tc>
          <w:tcPr>
            <w:tcW w:w="4984" w:type="pct"/>
            <w:gridSpan w:val="2"/>
            <w:tcBorders>
              <w:top w:val="outset" w:color="00000A" w:sz="6" w:space="0"/>
              <w:left w:val="outset" w:color="00000A" w:sz="6" w:space="0"/>
              <w:bottom w:val="outset" w:color="00000A" w:sz="6" w:space="0"/>
              <w:right w:val="outset" w:color="00000A" w:sz="6" w:space="0"/>
            </w:tcBorders>
          </w:tcPr>
          <w:p w14:paraId="7C11D3D8" w14:textId="77777777">
            <w:pPr>
              <w:pStyle w:val="NormalWeb"/>
              <w:spacing w:before="29" w:beforeAutospacing="0"/>
              <w:rPr>
                <w:rFonts w:ascii="Arial" w:hAnsi="Arial" w:cs="Arial"/>
                <w:b/>
                <w:sz w:val="18"/>
                <w:szCs w:val="18"/>
              </w:rPr>
            </w:pPr>
            <w:r>
              <w:rPr>
                <w:rStyle w:val="PleaseReviewParagraphId"/>
                <w:b w:val="off"/>
                <w:i w:val="off"/>
              </w:rPr>
              <w:t>[3]</w:t>
            </w:r>
            <w:r>
              <w:rPr>
                <w:rFonts w:ascii="Arial" w:hAnsi="Arial" w:cs="Arial"/>
                <w:iCs/>
                <w:sz w:val="18"/>
                <w:szCs w:val="18"/>
              </w:rPr>
              <w:t>This is not an official part of the standard and it will be modified by the IPPC Secretariat after adoption</w:t>
            </w:r>
            <w:r>
              <w:rPr>
                <w:rFonts w:ascii="Arial" w:hAnsi="Arial" w:cs="Arial"/>
                <w:b/>
                <w:i/>
                <w:iCs/>
                <w:sz w:val="18"/>
                <w:szCs w:val="18"/>
              </w:rPr>
              <w:t>.</w:t>
            </w:r>
            <w:r>
              <w:rPr>
                <w:rFonts w:ascii="Arial" w:hAnsi="Arial" w:cs="Arial"/>
                <w:b/>
                <w:sz w:val="18"/>
                <w:szCs w:val="18"/>
              </w:rPr>
              <w:t xml:space="preserve"> </w:t>
            </w:r>
          </w:p>
        </w:tc>
      </w:tr>
      <w:tr w14:paraId="02434720"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36A625DF" w14:textId="77777777">
            <w:pPr>
              <w:pStyle w:val="NormalWeb"/>
              <w:spacing w:before="29" w:beforeAutospacing="0"/>
              <w:rPr>
                <w:rFonts w:ascii="Arial" w:hAnsi="Arial" w:cs="Arial"/>
                <w:sz w:val="18"/>
                <w:szCs w:val="18"/>
              </w:rPr>
            </w:pPr>
            <w:r>
              <w:rPr>
                <w:rStyle w:val="PleaseReviewParagraphId"/>
                <w:b w:val="off"/>
                <w:i w:val="off"/>
              </w:rPr>
              <w:t>[4]</w:t>
            </w:r>
            <w:r>
              <w:rPr>
                <w:rFonts w:ascii="Arial" w:hAnsi="Arial" w:cs="Arial"/>
                <w:b/>
                <w:bCs/>
                <w:sz w:val="18"/>
                <w:szCs w:val="18"/>
              </w:rPr>
              <w:t>Date of this document</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1F079DF3" w14:textId="66084433">
            <w:pPr>
              <w:pStyle w:val="NormalWeb"/>
              <w:spacing w:before="29" w:beforeAutospacing="0"/>
              <w:rPr>
                <w:rFonts w:ascii="Arial" w:hAnsi="Arial" w:cs="Arial"/>
                <w:sz w:val="18"/>
                <w:szCs w:val="18"/>
              </w:rPr>
            </w:pPr>
            <w:r>
              <w:rPr>
                <w:rStyle w:val="PleaseReviewParagraphId"/>
                <w:b w:val="off"/>
                <w:i w:val="off"/>
              </w:rPr>
              <w:t>[5]</w:t>
            </w:r>
            <w:r>
              <w:rPr>
                <w:rFonts w:ascii="Arial" w:hAnsi="Arial" w:cs="Arial"/>
                <w:sz w:val="18"/>
                <w:szCs w:val="18"/>
              </w:rPr>
              <w:t>2021-04-20</w:t>
            </w:r>
          </w:p>
        </w:tc>
      </w:tr>
      <w:tr w14:paraId="659E33F7"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6A0C53EA" w14:textId="77777777">
            <w:pPr>
              <w:pStyle w:val="NormalWeb"/>
              <w:spacing w:before="29" w:beforeAutospacing="0"/>
              <w:rPr>
                <w:rFonts w:ascii="Arial" w:hAnsi="Arial" w:cs="Arial"/>
                <w:sz w:val="18"/>
                <w:szCs w:val="18"/>
              </w:rPr>
            </w:pPr>
            <w:r>
              <w:rPr>
                <w:rStyle w:val="PleaseReviewParagraphId"/>
                <w:b w:val="off"/>
                <w:i w:val="off"/>
              </w:rPr>
              <w:t>[6]</w:t>
            </w:r>
            <w:r>
              <w:rPr>
                <w:rFonts w:ascii="Arial" w:hAnsi="Arial" w:cs="Arial"/>
                <w:b/>
                <w:bCs/>
                <w:sz w:val="18"/>
                <w:szCs w:val="18"/>
              </w:rPr>
              <w:t>Document category</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75FC282D" w14:textId="77777777">
            <w:pPr>
              <w:pStyle w:val="NormalWeb"/>
              <w:spacing w:before="29" w:beforeAutospacing="0"/>
              <w:rPr>
                <w:rFonts w:ascii="Arial" w:hAnsi="Arial" w:cs="Arial"/>
                <w:sz w:val="18"/>
                <w:szCs w:val="18"/>
              </w:rPr>
            </w:pPr>
            <w:r>
              <w:rPr>
                <w:rStyle w:val="PleaseReviewParagraphId"/>
                <w:b w:val="off"/>
                <w:i w:val="off"/>
              </w:rPr>
              <w:t>[7]</w:t>
            </w:r>
            <w:r>
              <w:rPr>
                <w:rFonts w:ascii="Arial" w:hAnsi="Arial" w:cs="Arial"/>
                <w:sz w:val="18"/>
                <w:szCs w:val="18"/>
              </w:rPr>
              <w:t>Draft new annex to ISPM 27 (</w:t>
            </w:r>
            <w:r>
              <w:rPr>
                <w:rFonts w:ascii="Arial" w:hAnsi="Arial" w:cs="Arial"/>
                <w:i/>
                <w:iCs/>
                <w:sz w:val="18"/>
                <w:szCs w:val="18"/>
              </w:rPr>
              <w:t>Diagnostic protocols for regulated pests)</w:t>
            </w:r>
            <w:r>
              <w:rPr>
                <w:rFonts w:ascii="Arial" w:hAnsi="Arial" w:cs="Arial"/>
                <w:sz w:val="18"/>
                <w:szCs w:val="18"/>
              </w:rPr>
              <w:t xml:space="preserve"> </w:t>
            </w:r>
          </w:p>
        </w:tc>
      </w:tr>
      <w:tr w14:paraId="77F27BF5"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013C810C" w14:textId="77777777">
            <w:pPr>
              <w:pStyle w:val="NormalWeb"/>
              <w:spacing w:before="29" w:beforeAutospacing="0"/>
              <w:rPr>
                <w:rFonts w:ascii="Arial" w:hAnsi="Arial" w:cs="Arial"/>
                <w:sz w:val="18"/>
                <w:szCs w:val="18"/>
              </w:rPr>
            </w:pPr>
            <w:r>
              <w:rPr>
                <w:rStyle w:val="PleaseReviewParagraphId"/>
                <w:b w:val="off"/>
                <w:i w:val="off"/>
              </w:rPr>
              <w:t>[8]</w:t>
            </w:r>
            <w:r>
              <w:rPr>
                <w:rFonts w:ascii="Arial" w:hAnsi="Arial" w:cs="Arial"/>
                <w:b/>
                <w:bCs/>
                <w:sz w:val="18"/>
                <w:szCs w:val="18"/>
              </w:rPr>
              <w:t>Current document stage</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092F5592" w14:textId="4B266534">
            <w:pPr>
              <w:pStyle w:val="NormalWeb"/>
              <w:spacing w:before="29" w:beforeAutospacing="0"/>
              <w:rPr>
                <w:rFonts w:ascii="Arial" w:hAnsi="Arial" w:cs="Arial"/>
                <w:sz w:val="18"/>
                <w:szCs w:val="18"/>
              </w:rPr>
            </w:pPr>
            <w:r>
              <w:rPr>
                <w:rStyle w:val="PleaseReviewParagraphId"/>
                <w:b w:val="off"/>
                <w:i w:val="off"/>
              </w:rPr>
              <w:t>[9]</w:t>
            </w:r>
            <w:r>
              <w:rPr>
                <w:rFonts w:ascii="Arial" w:hAnsi="Arial" w:cs="Arial"/>
                <w:i/>
                <w:iCs/>
                <w:sz w:val="18"/>
                <w:szCs w:val="18"/>
                <w:lang w:eastAsia="zh-CN"/>
              </w:rPr>
              <w:t>To</w:t>
            </w:r>
            <w:r>
              <w:rPr>
                <w:rFonts w:ascii="Arial" w:hAnsi="Arial" w:cs="Arial"/>
                <w:sz w:val="18"/>
                <w:szCs w:val="18"/>
                <w:lang w:eastAsia="zh-CN"/>
              </w:rPr>
              <w:t xml:space="preserve"> Standards Committee (SC)</w:t>
            </w:r>
          </w:p>
        </w:tc>
      </w:tr>
      <w:tr w14:paraId="117FFDC9"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2C8A5B02" w14:textId="77777777">
            <w:pPr>
              <w:pStyle w:val="NormalWeb"/>
              <w:spacing w:before="29" w:beforeAutospacing="0"/>
              <w:rPr>
                <w:rFonts w:ascii="Arial" w:hAnsi="Arial" w:cs="Arial"/>
                <w:sz w:val="18"/>
                <w:szCs w:val="18"/>
              </w:rPr>
            </w:pPr>
            <w:r>
              <w:rPr>
                <w:rStyle w:val="PleaseReviewParagraphId"/>
                <w:b w:val="off"/>
                <w:i w:val="off"/>
              </w:rPr>
              <w:t>[10]</w:t>
            </w:r>
            <w:r>
              <w:rPr>
                <w:rFonts w:ascii="Arial" w:hAnsi="Arial" w:cs="Arial"/>
                <w:b/>
                <w:bCs/>
                <w:sz w:val="18"/>
                <w:szCs w:val="18"/>
              </w:rPr>
              <w:t xml:space="preserve">Major stages </w:t>
            </w:r>
          </w:p>
        </w:tc>
        <w:tc>
          <w:tcPr>
            <w:tcW w:w="3578" w:type="pct"/>
            <w:tcBorders>
              <w:top w:val="outset" w:color="00000A" w:sz="6" w:space="0"/>
              <w:left w:val="outset" w:color="00000A" w:sz="6" w:space="0"/>
              <w:bottom w:val="outset" w:color="00000A" w:sz="6" w:space="0"/>
              <w:right w:val="outset" w:color="00000A" w:sz="6" w:space="0"/>
            </w:tcBorders>
          </w:tcPr>
          <w:p w14:paraId="52D2144C" w14:textId="3550C897">
            <w:pPr>
              <w:pStyle w:val="NormalWeb"/>
              <w:spacing w:before="0" w:beforeAutospacing="0" w:after="0" w:afterAutospacing="0"/>
              <w:rPr>
                <w:rFonts w:ascii="Arial" w:hAnsi="Arial" w:cs="Arial"/>
                <w:sz w:val="18"/>
                <w:szCs w:val="18"/>
                <w:lang w:eastAsia="zh-CN"/>
              </w:rPr>
            </w:pPr>
            <w:r>
              <w:rPr>
                <w:rStyle w:val="PleaseReviewParagraphId"/>
                <w:b w:val="off"/>
                <w:i w:val="off"/>
              </w:rPr>
              <w:t>[11]</w:t>
            </w:r>
            <w:r>
              <w:rPr>
                <w:rFonts w:ascii="Arial" w:hAnsi="Arial" w:cs="Arial"/>
                <w:sz w:val="18"/>
                <w:szCs w:val="18"/>
                <w:lang w:eastAsia="zh-CN"/>
              </w:rPr>
              <w:t>2004-11 SC added subject under work programme topic: Bacteria (2006-005).</w:t>
            </w:r>
          </w:p>
          <w:p w14:paraId="606186C4" w14:textId="1028BE5C">
            <w:pPr>
              <w:rPr>
                <w:rFonts w:ascii="Arial" w:hAnsi="Arial" w:cs="Arial"/>
                <w:sz w:val="18"/>
                <w:szCs w:val="18"/>
                <w:lang w:eastAsia="zh-CN"/>
              </w:rPr>
            </w:pPr>
            <w:r>
              <w:rPr>
                <w:rStyle w:val="PleaseReviewParagraphId"/>
                <w:b w:val="off"/>
                <w:i w:val="off"/>
              </w:rPr>
              <w:t>[12]</w:t>
            </w:r>
            <w:r>
              <w:rPr>
                <w:rFonts w:ascii="Arial" w:hAnsi="Arial" w:cs="Arial"/>
                <w:sz w:val="18"/>
                <w:szCs w:val="18"/>
                <w:lang w:eastAsia="zh-CN"/>
              </w:rPr>
              <w:t>2016-05 Expert consultation.</w:t>
            </w:r>
          </w:p>
          <w:p w14:paraId="187C0145" w14:textId="2DFDA081">
            <w:pPr>
              <w:rPr>
                <w:rFonts w:ascii="Arial" w:hAnsi="Arial" w:cs="Arial"/>
                <w:sz w:val="18"/>
                <w:szCs w:val="18"/>
                <w:lang w:eastAsia="zh-CN"/>
              </w:rPr>
            </w:pPr>
            <w:r>
              <w:rPr>
                <w:rStyle w:val="PleaseReviewParagraphId"/>
                <w:b w:val="off"/>
                <w:i w:val="off"/>
              </w:rPr>
              <w:t>[13]</w:t>
            </w:r>
            <w:r>
              <w:rPr>
                <w:rFonts w:ascii="Arial" w:hAnsi="Arial" w:cs="Arial"/>
                <w:sz w:val="18"/>
                <w:szCs w:val="18"/>
                <w:lang w:eastAsia="zh-CN"/>
              </w:rPr>
              <w:t>2016-06 DP drafting group revised the draft.</w:t>
            </w:r>
          </w:p>
          <w:p w14:paraId="6529D93E" w14:textId="7C7C3C59">
            <w:pPr>
              <w:pStyle w:val="NormalWeb"/>
              <w:spacing w:before="0" w:beforeAutospacing="0" w:after="0" w:afterAutospacing="0"/>
              <w:rPr>
                <w:rFonts w:ascii="Arial" w:hAnsi="Arial" w:cs="Arial"/>
                <w:sz w:val="18"/>
                <w:szCs w:val="18"/>
              </w:rPr>
            </w:pPr>
            <w:r>
              <w:rPr>
                <w:rStyle w:val="PleaseReviewParagraphId"/>
                <w:b w:val="off"/>
                <w:i w:val="off"/>
              </w:rPr>
              <w:t>[14]</w:t>
            </w:r>
            <w:r>
              <w:rPr>
                <w:rFonts w:ascii="Arial" w:hAnsi="Arial" w:cs="Arial"/>
                <w:sz w:val="18"/>
                <w:szCs w:val="18"/>
                <w:lang w:eastAsia="zh-CN"/>
              </w:rPr>
              <w:t>2016-07 Technical Panel on Diagnostic Protocols (TPDP) revised.</w:t>
            </w:r>
          </w:p>
        </w:tc>
      </w:tr>
      <w:tr w14:paraId="0054F166"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7637CED3" w14:textId="77777777">
            <w:pPr>
              <w:pStyle w:val="NormalWeb"/>
              <w:spacing w:before="29" w:beforeAutospacing="0"/>
              <w:rPr>
                <w:rFonts w:ascii="Arial" w:hAnsi="Arial" w:cs="Arial"/>
                <w:sz w:val="18"/>
                <w:szCs w:val="18"/>
              </w:rPr>
            </w:pPr>
            <w:r>
              <w:rPr>
                <w:rStyle w:val="PleaseReviewParagraphId"/>
                <w:b w:val="off"/>
                <w:i w:val="off"/>
              </w:rPr>
              <w:t>[15]</w:t>
            </w:r>
            <w:r>
              <w:rPr>
                <w:rFonts w:ascii="Arial" w:hAnsi="Arial" w:cs="Arial"/>
                <w:b/>
                <w:bCs/>
                <w:sz w:val="18"/>
                <w:szCs w:val="18"/>
              </w:rPr>
              <w:t>Discipline leads history</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56066771" w14:textId="089A2C6E">
            <w:pPr>
              <w:pStyle w:val="NormalWeb"/>
              <w:spacing w:before="0" w:beforeAutospacing="0" w:after="0" w:afterAutospacing="0"/>
              <w:rPr>
                <w:rFonts w:ascii="Arial" w:hAnsi="Arial"/>
                <w:bCs/>
                <w:sz w:val="18"/>
                <w:szCs w:val="18"/>
              </w:rPr>
            </w:pPr>
            <w:r>
              <w:rPr>
                <w:rStyle w:val="PleaseReviewParagraphId"/>
                <w:b w:val="off"/>
                <w:i w:val="off"/>
              </w:rPr>
              <w:t>[16]</w:t>
            </w:r>
            <w:r>
              <w:rPr>
                <w:rFonts w:ascii="Arial" w:hAnsi="Arial"/>
                <w:bCs/>
                <w:sz w:val="18"/>
                <w:szCs w:val="18"/>
              </w:rPr>
              <w:t>Brendan RODONI (AU, Discipline Lead)</w:t>
            </w:r>
          </w:p>
          <w:p w14:paraId="4EBB3E61" w14:textId="1CE66967">
            <w:pPr>
              <w:pStyle w:val="NormalWeb"/>
              <w:spacing w:before="0" w:beforeAutospacing="0" w:after="0" w:afterAutospacing="0"/>
              <w:rPr>
                <w:rFonts w:ascii="Arial" w:hAnsi="Arial" w:cs="Arial"/>
                <w:sz w:val="18"/>
                <w:szCs w:val="18"/>
              </w:rPr>
            </w:pPr>
            <w:r>
              <w:rPr>
                <w:rStyle w:val="PleaseReviewParagraphId"/>
                <w:b w:val="off"/>
                <w:i w:val="off"/>
              </w:rPr>
              <w:t>[17]</w:t>
            </w:r>
            <w:r>
              <w:rPr>
                <w:rFonts w:ascii="Arial" w:hAnsi="Arial"/>
                <w:sz w:val="18"/>
                <w:szCs w:val="18"/>
              </w:rPr>
              <w:t>Robert TAYLOR (NZ, Referee)</w:t>
            </w:r>
          </w:p>
        </w:tc>
      </w:tr>
      <w:tr w14:paraId="07CCE27D"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55BD8795" w14:textId="77777777">
            <w:pPr>
              <w:pStyle w:val="NormalWeb"/>
              <w:spacing w:before="29" w:beforeAutospacing="0"/>
              <w:rPr>
                <w:rFonts w:ascii="Arial" w:hAnsi="Arial" w:cs="Arial"/>
                <w:sz w:val="18"/>
                <w:szCs w:val="18"/>
              </w:rPr>
            </w:pPr>
            <w:r>
              <w:rPr>
                <w:rStyle w:val="PleaseReviewParagraphId"/>
                <w:b w:val="off"/>
                <w:i w:val="off"/>
              </w:rPr>
              <w:t>[18]</w:t>
            </w:r>
            <w:r>
              <w:rPr>
                <w:rFonts w:ascii="Arial" w:hAnsi="Arial" w:cs="Arial"/>
                <w:b/>
                <w:bCs/>
                <w:sz w:val="18"/>
                <w:szCs w:val="18"/>
              </w:rPr>
              <w:t xml:space="preserve">Consultation on technical level </w:t>
            </w:r>
          </w:p>
        </w:tc>
        <w:tc>
          <w:tcPr>
            <w:tcW w:w="3578" w:type="pct"/>
            <w:tcBorders>
              <w:top w:val="outset" w:color="00000A" w:sz="6" w:space="0"/>
              <w:left w:val="outset" w:color="00000A" w:sz="6" w:space="0"/>
              <w:bottom w:val="outset" w:color="00000A" w:sz="6" w:space="0"/>
              <w:right w:val="outset" w:color="00000A" w:sz="6" w:space="0"/>
            </w:tcBorders>
          </w:tcPr>
          <w:p w14:paraId="63073B71" w14:textId="77777777">
            <w:pPr>
              <w:keepNext/>
              <w:spacing w:before="240" w:after="60"/>
              <w:jc w:val="left"/>
              <w:outlineLvl w:val="2"/>
              <w:rPr>
                <w:rFonts w:ascii="Arial" w:hAnsi="Arial" w:cs="Arial"/>
                <w:sz w:val="18"/>
                <w:szCs w:val="18"/>
              </w:rPr>
            </w:pPr>
            <w:r>
              <w:rPr>
                <w:rStyle w:val="PleaseReviewParagraphId"/>
                <w:b w:val="off"/>
                <w:i w:val="off"/>
              </w:rPr>
              <w:t>[19]</w:t>
            </w:r>
            <w:r>
              <w:rPr>
                <w:rFonts w:ascii="Arial" w:hAnsi="Arial" w:cs="Arial"/>
                <w:sz w:val="18"/>
                <w:szCs w:val="18"/>
              </w:rPr>
              <w:t>The first draft of this protocol was written by:</w:t>
            </w:r>
          </w:p>
          <w:p w14:paraId="41106A8D" w14:textId="77777777">
            <w:pPr>
              <w:numPr>
                <w:ilvl w:val="0"/>
                <w:numId w:val="23"/>
              </w:numPr>
              <w:jc w:val="left"/>
              <w:rPr>
                <w:rFonts w:ascii="Arial" w:hAnsi="Arial" w:eastAsia="Times New Roman" w:cs="Arial"/>
                <w:sz w:val="18"/>
                <w:szCs w:val="18"/>
                <w:lang w:val="es-CU" w:eastAsia="es-MX"/>
              </w:rPr>
            </w:pPr>
            <w:r>
              <w:rPr>
                <w:rStyle w:val="PleaseReviewParagraphId"/>
                <w:b w:val="off"/>
                <w:i w:val="off"/>
              </w:rPr>
              <w:t>[20]</w:t>
            </w:r>
            <w:r>
              <w:rPr>
                <w:rFonts w:ascii="Arial" w:hAnsi="Arial" w:cs="Arial"/>
                <w:sz w:val="18"/>
                <w:szCs w:val="18"/>
                <w:lang w:val="es-CU"/>
              </w:rPr>
              <w:t xml:space="preserve">María M. </w:t>
            </w:r>
            <w:r>
              <w:rPr>
                <w:rFonts w:ascii="Arial" w:hAnsi="Arial" w:cs="Arial"/>
                <w:caps/>
                <w:sz w:val="18"/>
                <w:szCs w:val="18"/>
                <w:lang w:val="es-CU"/>
              </w:rPr>
              <w:t>López</w:t>
            </w:r>
            <w:r>
              <w:rPr>
                <w:rFonts w:ascii="Arial" w:hAnsi="Arial" w:cs="Arial"/>
                <w:sz w:val="18"/>
                <w:szCs w:val="18"/>
                <w:lang w:val="es-CU"/>
              </w:rPr>
              <w:t xml:space="preserve"> (</w:t>
            </w:r>
            <w:r>
              <w:rPr>
                <w:rFonts w:ascii="Arial" w:hAnsi="Arial" w:eastAsia="Times New Roman" w:cs="Arial"/>
                <w:sz w:val="18"/>
                <w:szCs w:val="18"/>
                <w:lang w:val="es-CU" w:eastAsia="es-MX"/>
              </w:rPr>
              <w:t>Instituto Valenciano de Investigaciones Agrarias, Moncada, Valencia, ES)</w:t>
            </w:r>
          </w:p>
          <w:p w14:paraId="65DCD373" w14:textId="77777777">
            <w:pPr>
              <w:numPr>
                <w:ilvl w:val="0"/>
                <w:numId w:val="23"/>
              </w:numPr>
              <w:jc w:val="left"/>
              <w:rPr>
                <w:rFonts w:ascii="Arial" w:hAnsi="Arial" w:cs="Arial"/>
                <w:sz w:val="18"/>
                <w:szCs w:val="18"/>
              </w:rPr>
            </w:pPr>
            <w:r>
              <w:rPr>
                <w:rStyle w:val="PleaseReviewParagraphId"/>
                <w:b w:val="off"/>
                <w:i w:val="off"/>
              </w:rPr>
              <w:t>[21]</w:t>
            </w:r>
            <w:r>
              <w:rPr>
                <w:rFonts w:ascii="Arial" w:hAnsi="Arial" w:cs="Arial"/>
                <w:sz w:val="18"/>
                <w:szCs w:val="18"/>
              </w:rPr>
              <w:t xml:space="preserve">Solke </w:t>
            </w:r>
            <w:r>
              <w:rPr>
                <w:rFonts w:ascii="Arial" w:hAnsi="Arial" w:cs="Arial"/>
                <w:caps/>
                <w:sz w:val="18"/>
                <w:szCs w:val="18"/>
              </w:rPr>
              <w:t>De Boer</w:t>
            </w:r>
            <w:r>
              <w:rPr>
                <w:rFonts w:ascii="Arial" w:hAnsi="Arial" w:cs="Arial"/>
                <w:sz w:val="18"/>
                <w:szCs w:val="18"/>
              </w:rPr>
              <w:t xml:space="preserve"> (Charlottetown Laboratory, Canadian Food Inspection Agency, Charlottetown, CA)</w:t>
            </w:r>
          </w:p>
          <w:p w14:paraId="0F5AF14A" w14:textId="77777777">
            <w:pPr>
              <w:numPr>
                <w:ilvl w:val="0"/>
                <w:numId w:val="23"/>
              </w:numPr>
              <w:jc w:val="left"/>
              <w:rPr>
                <w:rFonts w:ascii="Arial" w:hAnsi="Arial" w:eastAsia="Times New Roman" w:cs="Arial"/>
                <w:sz w:val="18"/>
                <w:szCs w:val="18"/>
                <w:lang w:eastAsia="es-MX"/>
              </w:rPr>
            </w:pPr>
            <w:r>
              <w:rPr>
                <w:rStyle w:val="PleaseReviewParagraphId"/>
                <w:b w:val="off"/>
                <w:i w:val="off"/>
              </w:rPr>
              <w:t>[22]</w:t>
            </w:r>
            <w:r>
              <w:rPr>
                <w:rFonts w:ascii="Arial" w:hAnsi="Arial" w:cs="Arial"/>
                <w:sz w:val="18"/>
                <w:szCs w:val="18"/>
              </w:rPr>
              <w:t>John HARTUNG (Molecular Plant Pathology Laboratory, Agricultural Research Service, United States Department of Agriculture, USA)</w:t>
            </w:r>
          </w:p>
          <w:p w14:paraId="7DD2ED27" w14:textId="21BB0A86">
            <w:pPr>
              <w:numPr>
                <w:ilvl w:val="0"/>
                <w:numId w:val="23"/>
              </w:numPr>
              <w:jc w:val="left"/>
              <w:rPr>
                <w:rFonts w:ascii="Arial" w:hAnsi="Arial" w:cs="Arial"/>
                <w:sz w:val="18"/>
                <w:szCs w:val="18"/>
              </w:rPr>
            </w:pPr>
            <w:r>
              <w:rPr>
                <w:rStyle w:val="PleaseReviewParagraphId"/>
                <w:b w:val="off"/>
                <w:i w:val="off"/>
              </w:rPr>
              <w:t>[23]</w:t>
            </w:r>
            <w:r>
              <w:rPr>
                <w:rFonts w:ascii="Arial" w:hAnsi="Arial" w:cs="Arial"/>
                <w:sz w:val="18"/>
                <w:szCs w:val="18"/>
              </w:rPr>
              <w:t xml:space="preserve">Rita </w:t>
            </w:r>
            <w:r>
              <w:rPr>
                <w:rFonts w:ascii="Arial" w:hAnsi="Arial" w:cs="Arial"/>
                <w:caps/>
                <w:sz w:val="18"/>
                <w:szCs w:val="18"/>
              </w:rPr>
              <w:t>Lanfranchi</w:t>
            </w:r>
            <w:r>
              <w:rPr>
                <w:rFonts w:ascii="Arial" w:hAnsi="Arial" w:cs="Arial"/>
                <w:sz w:val="18"/>
                <w:szCs w:val="18"/>
              </w:rPr>
              <w:t xml:space="preserve"> (Laboratory of Plant Pest and Disease. National Agrifood Health and Quality Service, SENASA, AR)</w:t>
            </w:r>
          </w:p>
          <w:p w14:paraId="4AFEA700" w14:textId="77777777">
            <w:pPr>
              <w:numPr>
                <w:ilvl w:val="0"/>
                <w:numId w:val="23"/>
              </w:numPr>
              <w:jc w:val="left"/>
              <w:rPr>
                <w:rFonts w:ascii="Arial" w:hAnsi="Arial" w:cs="Arial"/>
                <w:sz w:val="18"/>
                <w:szCs w:val="18"/>
              </w:rPr>
            </w:pPr>
            <w:r>
              <w:rPr>
                <w:rStyle w:val="PleaseReviewParagraphId"/>
                <w:b w:val="off"/>
                <w:i w:val="off"/>
              </w:rPr>
              <w:t>[24]</w:t>
            </w:r>
            <w:r>
              <w:rPr>
                <w:rFonts w:ascii="Arial" w:hAnsi="Arial" w:cs="Arial"/>
                <w:sz w:val="18"/>
                <w:szCs w:val="18"/>
              </w:rPr>
              <w:t xml:space="preserve">Takayuki </w:t>
            </w:r>
            <w:r>
              <w:rPr>
                <w:rFonts w:ascii="Arial" w:hAnsi="Arial" w:cs="Arial"/>
                <w:caps/>
                <w:sz w:val="18"/>
                <w:szCs w:val="18"/>
              </w:rPr>
              <w:t>Matsuura</w:t>
            </w:r>
            <w:r>
              <w:rPr>
                <w:rFonts w:ascii="Arial" w:hAnsi="Arial" w:cs="Arial"/>
                <w:sz w:val="18"/>
                <w:szCs w:val="18"/>
              </w:rPr>
              <w:t xml:space="preserve"> (</w:t>
            </w:r>
            <w:r>
              <w:rPr>
                <w:rStyle w:val="Signature1"/>
                <w:rFonts w:ascii="Arial" w:hAnsi="Arial" w:cs="Arial"/>
                <w:sz w:val="18"/>
                <w:szCs w:val="18"/>
              </w:rPr>
              <w:t>Ministry of Agriculture, Forestry and Fisheries, Yokohama Plant Protection Station, Yokohama, JP).</w:t>
            </w:r>
            <w:r>
              <w:rPr>
                <w:rFonts w:ascii="Arial" w:hAnsi="Arial" w:cs="Arial"/>
                <w:sz w:val="18"/>
                <w:szCs w:val="18"/>
              </w:rPr>
              <w:t xml:space="preserve">  </w:t>
            </w:r>
          </w:p>
          <w:p w14:paraId="074E757E" w14:textId="1FE04D3A">
            <w:pPr>
              <w:numPr>
                <w:ilvl w:val="0"/>
                <w:numId w:val="23"/>
              </w:numPr>
              <w:jc w:val="left"/>
              <w:rPr>
                <w:rFonts w:ascii="Arial" w:hAnsi="Arial" w:cs="Arial"/>
                <w:sz w:val="18"/>
                <w:szCs w:val="18"/>
              </w:rPr>
            </w:pPr>
            <w:r>
              <w:rPr>
                <w:rStyle w:val="PleaseReviewParagraphId"/>
                <w:b w:val="off"/>
                <w:i w:val="off"/>
              </w:rPr>
              <w:t>[25]</w:t>
            </w:r>
            <w:r>
              <w:rPr>
                <w:rFonts w:ascii="Arial" w:hAnsi="Arial" w:cs="Arial"/>
                <w:sz w:val="18"/>
                <w:szCs w:val="18"/>
              </w:rPr>
              <w:t xml:space="preserve">Jacek </w:t>
            </w:r>
            <w:r>
              <w:rPr>
                <w:rFonts w:ascii="Arial" w:hAnsi="Arial" w:cs="Arial"/>
                <w:caps/>
                <w:sz w:val="18"/>
                <w:szCs w:val="18"/>
              </w:rPr>
              <w:t>Plazinski</w:t>
            </w:r>
            <w:r>
              <w:rPr>
                <w:rFonts w:ascii="Arial" w:hAnsi="Arial" w:cs="Arial"/>
                <w:sz w:val="18"/>
                <w:szCs w:val="18"/>
              </w:rPr>
              <w:t xml:space="preserve"> (Office of the Chief Plant Protection Officer, Division of Product Integrity, Animal and Plant Health, Canberra, AU) </w:t>
            </w:r>
          </w:p>
          <w:p w14:paraId="7AFF74B2" w14:textId="4C50EDF4">
            <w:pPr>
              <w:numPr>
                <w:ilvl w:val="0"/>
                <w:numId w:val="23"/>
              </w:numPr>
              <w:jc w:val="left"/>
              <w:rPr>
                <w:rFonts w:ascii="Arial" w:hAnsi="Arial" w:cs="Arial"/>
                <w:sz w:val="18"/>
                <w:szCs w:val="18"/>
              </w:rPr>
            </w:pPr>
            <w:r>
              <w:rPr>
                <w:rStyle w:val="PleaseReviewParagraphId"/>
                <w:b w:val="off"/>
                <w:i w:val="off"/>
              </w:rPr>
              <w:t>[26]</w:t>
            </w:r>
            <w:r>
              <w:rPr>
                <w:rFonts w:ascii="Arial" w:hAnsi="Arial" w:cs="Arial"/>
                <w:sz w:val="18"/>
                <w:szCs w:val="18"/>
              </w:rPr>
              <w:t xml:space="preserve">Changyong </w:t>
            </w:r>
            <w:r>
              <w:rPr>
                <w:rFonts w:ascii="Arial" w:hAnsi="Arial" w:cs="Arial"/>
                <w:caps/>
                <w:sz w:val="18"/>
                <w:szCs w:val="18"/>
              </w:rPr>
              <w:t>Zhou</w:t>
            </w:r>
            <w:r>
              <w:rPr>
                <w:rFonts w:ascii="Arial" w:hAnsi="Arial" w:cs="Arial"/>
                <w:sz w:val="18"/>
                <w:szCs w:val="18"/>
                <w:lang w:eastAsia="zh-CN"/>
              </w:rPr>
              <w:t xml:space="preserve"> (Citrus Research Institute, Chinese Academy of Agricultural Sciences/Southwest University, Chonging, CN)</w:t>
            </w:r>
          </w:p>
          <w:p w14:paraId="43959403" w14:textId="77777777">
            <w:pPr>
              <w:ind w:left="720"/>
              <w:jc w:val="left"/>
              <w:rPr>
                <w:rFonts w:ascii="Arial" w:hAnsi="Arial" w:cs="Arial"/>
                <w:sz w:val="18"/>
                <w:szCs w:val="18"/>
              </w:rPr>
            </w:pPr>
            <w:r>
              <w:rPr>
                <w:rStyle w:val="PleaseReviewParagraphId"/>
                <w:b w:val="off"/>
                <w:i w:val="off"/>
              </w:rPr>
              <w:t>[27]</w:t>
            </w:r>
          </w:p>
          <w:p w14:paraId="1A3B0054" w14:textId="11EF13FD">
            <w:pPr>
              <w:pStyle w:val="IPPArial"/>
              <w:rPr>
                <w:lang w:eastAsia="zh-CN"/>
              </w:rPr>
            </w:pPr>
            <w:r>
              <w:rPr>
                <w:rStyle w:val="PleaseReviewParagraphId"/>
                <w:b w:val="off"/>
                <w:i w:val="off"/>
              </w:rPr>
              <w:t>[28]</w:t>
            </w:r>
            <w:bookmarkStart w:name="_Toc413933418" w:id="0"/>
            <w:r>
              <w:rPr>
                <w:lang w:eastAsia="zh-CN"/>
              </w:rPr>
              <w:t>In addition, the draft has also been subject to expert review and the following international experts submitted comments:</w:t>
            </w:r>
            <w:bookmarkEnd w:id="0"/>
            <w:r>
              <w:rPr>
                <w:lang w:eastAsia="zh-CN"/>
              </w:rPr>
              <w:t xml:space="preserve"> (to be added to at a later stage)</w:t>
            </w:r>
          </w:p>
          <w:p w14:paraId="64885D8C" w14:textId="590D68EE">
            <w:pPr>
              <w:pStyle w:val="IPPArial"/>
              <w:numPr>
                <w:ilvl w:val="0"/>
                <w:numId w:val="60"/>
              </w:numPr>
              <w:rPr>
                <w:lang w:eastAsia="zh-CN"/>
              </w:rPr>
            </w:pPr>
            <w:r>
              <w:rPr>
                <w:rStyle w:val="PleaseReviewParagraphId"/>
                <w:b w:val="off"/>
                <w:i w:val="off"/>
              </w:rPr>
              <w:t>[29]</w:t>
            </w:r>
            <w:r>
              <w:rPr>
                <w:lang w:eastAsia="zh-CN"/>
              </w:rPr>
              <w:t xml:space="preserve">Mr Robert </w:t>
            </w:r>
            <w:r>
              <w:rPr>
                <w:caps/>
                <w:lang w:eastAsia="zh-CN"/>
              </w:rPr>
              <w:t>Taylor (</w:t>
            </w:r>
            <w:r>
              <w:rPr>
                <w:lang w:eastAsia="zh-CN"/>
              </w:rPr>
              <w:t>Plant Health &amp; Environment Laboratory, Biosecurity New Zealand, NZ).</w:t>
            </w:r>
          </w:p>
          <w:p w14:paraId="7BC320C3" w14:textId="77777777">
            <w:pPr>
              <w:pStyle w:val="IPPArial"/>
              <w:ind w:left="720"/>
              <w:rPr>
                <w:rFonts w:cs="Arial"/>
                <w:szCs w:val="18"/>
              </w:rPr>
            </w:pPr>
            <w:r>
              <w:rPr>
                <w:rStyle w:val="PleaseReviewParagraphId"/>
                <w:b w:val="off"/>
                <w:i w:val="off"/>
              </w:rPr>
              <w:t>[30]</w:t>
            </w:r>
          </w:p>
        </w:tc>
      </w:tr>
      <w:tr w14:paraId="7CA4F440"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5A197C72" w14:textId="77777777">
            <w:pPr>
              <w:pStyle w:val="NormalWeb"/>
              <w:spacing w:before="29" w:beforeAutospacing="0"/>
              <w:rPr>
                <w:rFonts w:ascii="Arial" w:hAnsi="Arial" w:cs="Arial"/>
                <w:sz w:val="18"/>
                <w:szCs w:val="18"/>
              </w:rPr>
            </w:pPr>
            <w:r>
              <w:rPr>
                <w:rStyle w:val="PleaseReviewParagraphId"/>
                <w:b w:val="off"/>
                <w:i w:val="off"/>
              </w:rPr>
              <w:t>[31]</w:t>
            </w:r>
            <w:r>
              <w:rPr>
                <w:rFonts w:ascii="Arial" w:hAnsi="Arial" w:cs="Arial"/>
                <w:b/>
                <w:bCs/>
                <w:sz w:val="18"/>
                <w:szCs w:val="18"/>
              </w:rPr>
              <w:t>Main discussion points during development of the diagnostic protocol</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1EC8139B" w14:textId="4C41204B">
            <w:pPr>
              <w:pStyle w:val="NormalWeb"/>
              <w:spacing w:before="58" w:beforeAutospacing="0"/>
              <w:rPr>
                <w:rFonts w:ascii="Arial" w:hAnsi="Arial" w:cs="Arial"/>
                <w:sz w:val="18"/>
                <w:szCs w:val="18"/>
              </w:rPr>
            </w:pPr>
            <w:r>
              <w:rPr>
                <w:rStyle w:val="PleaseReviewParagraphId"/>
                <w:b w:val="off"/>
                <w:i w:val="off"/>
              </w:rPr>
              <w:t>[32]</w:t>
            </w:r>
          </w:p>
        </w:tc>
      </w:tr>
      <w:tr w14:paraId="4286C06E" w14:textId="77777777">
        <w:trPr>
          <w:tblCellSpacing w:w="7" w:type="dxa"/>
        </w:trPr>
        <w:tc>
          <w:tcPr>
            <w:tcW w:w="1398" w:type="pct"/>
            <w:tcBorders>
              <w:top w:val="outset" w:color="00000A" w:sz="6" w:space="0"/>
              <w:left w:val="outset" w:color="00000A" w:sz="6" w:space="0"/>
              <w:bottom w:val="outset" w:color="00000A" w:sz="6" w:space="0"/>
              <w:right w:val="outset" w:color="00000A" w:sz="6" w:space="0"/>
            </w:tcBorders>
          </w:tcPr>
          <w:p w14:paraId="5F3B3E5F" w14:textId="77777777">
            <w:pPr>
              <w:pStyle w:val="NormalWeb"/>
              <w:spacing w:before="0" w:beforeAutospacing="0" w:after="0" w:afterAutospacing="0"/>
              <w:rPr>
                <w:rFonts w:ascii="Arial" w:hAnsi="Arial" w:cs="Arial"/>
                <w:sz w:val="18"/>
                <w:szCs w:val="18"/>
              </w:rPr>
            </w:pPr>
            <w:r>
              <w:rPr>
                <w:rStyle w:val="PleaseReviewParagraphId"/>
                <w:b w:val="off"/>
                <w:i w:val="off"/>
              </w:rPr>
              <w:t>[33]</w:t>
            </w:r>
            <w:r>
              <w:rPr>
                <w:rFonts w:ascii="Arial" w:hAnsi="Arial" w:cs="Arial"/>
                <w:b/>
                <w:bCs/>
                <w:sz w:val="18"/>
                <w:szCs w:val="18"/>
              </w:rPr>
              <w:t>Notes</w:t>
            </w:r>
            <w:r>
              <w:rPr>
                <w:rFonts w:ascii="Arial" w:hAnsi="Arial" w:cs="Arial"/>
                <w:sz w:val="18"/>
                <w:szCs w:val="18"/>
              </w:rPr>
              <w:t xml:space="preserve"> </w:t>
            </w:r>
          </w:p>
        </w:tc>
        <w:tc>
          <w:tcPr>
            <w:tcW w:w="3578" w:type="pct"/>
            <w:tcBorders>
              <w:top w:val="outset" w:color="00000A" w:sz="6" w:space="0"/>
              <w:left w:val="outset" w:color="00000A" w:sz="6" w:space="0"/>
              <w:bottom w:val="outset" w:color="00000A" w:sz="6" w:space="0"/>
              <w:right w:val="outset" w:color="00000A" w:sz="6" w:space="0"/>
            </w:tcBorders>
          </w:tcPr>
          <w:p w14:paraId="77385A56" w14:textId="77777777">
            <w:pPr>
              <w:pStyle w:val="NormalWeb"/>
              <w:tabs>
                <w:tab w:val="left" w:pos="1655"/>
              </w:tabs>
              <w:spacing w:before="0" w:beforeAutospacing="0" w:after="0" w:afterAutospacing="0"/>
              <w:rPr>
                <w:rFonts w:ascii="Arial" w:hAnsi="Arial" w:cs="Arial"/>
                <w:sz w:val="18"/>
                <w:szCs w:val="18"/>
              </w:rPr>
            </w:pPr>
            <w:r>
              <w:rPr>
                <w:rStyle w:val="PleaseReviewParagraphId"/>
                <w:b w:val="off"/>
                <w:i w:val="off"/>
              </w:rPr>
              <w:t>[34]</w:t>
            </w:r>
            <w:r>
              <w:rPr>
                <w:rFonts w:ascii="Arial" w:hAnsi="Arial" w:cs="Arial"/>
                <w:sz w:val="18"/>
                <w:szCs w:val="18"/>
              </w:rPr>
              <w:t>This is a draft document.</w:t>
            </w:r>
          </w:p>
          <w:p w14:paraId="7ED4BDEA" w14:textId="2037E0C9">
            <w:pPr>
              <w:pStyle w:val="NormalWeb"/>
              <w:tabs>
                <w:tab w:val="left" w:pos="1655"/>
              </w:tabs>
              <w:spacing w:before="0" w:beforeAutospacing="0" w:after="0" w:afterAutospacing="0"/>
              <w:rPr>
                <w:rFonts w:ascii="Arial" w:hAnsi="Arial" w:cs="Arial"/>
                <w:sz w:val="18"/>
                <w:szCs w:val="18"/>
              </w:rPr>
            </w:pPr>
            <w:r>
              <w:rPr>
                <w:rStyle w:val="PleaseReviewParagraphId"/>
                <w:b w:val="off"/>
                <w:i w:val="off"/>
              </w:rPr>
              <w:t>[35]</w:t>
            </w:r>
            <w:r>
              <w:rPr>
                <w:rFonts w:ascii="Arial" w:hAnsi="Arial" w:cs="Arial"/>
                <w:sz w:val="18"/>
                <w:szCs w:val="18"/>
              </w:rPr>
              <w:t>2021-04 Edited</w:t>
            </w:r>
          </w:p>
        </w:tc>
      </w:tr>
    </w:tbl>
    <w:p w14:paraId="5431E7BF" w14:textId="1EEA352F">
      <w:pPr>
        <w:pStyle w:val="IPPPargraphnumbering"/>
        <w:tabs>
          <w:tab w:val="clear" w:pos="360"/>
        </w:tabs>
        <w:ind w:left="0" w:firstLine="0"/>
        <w:rPr>
          <w:b/>
          <w:bCs/>
          <w:lang w:val="en-GB"/>
        </w:rPr>
      </w:pPr>
      <w:r>
        <w:rPr>
          <w:rStyle w:val="PleaseReviewParagraphId"/>
          <w:b w:val="off"/>
          <w:i w:val="off"/>
        </w:rPr>
        <w:t>[36]</w:t>
      </w:r>
    </w:p>
    <w:p w14:paraId="6EB02167" w14:textId="13636401">
      <w:pPr>
        <w:pStyle w:val="IPPContentsHead"/>
      </w:pPr>
      <w:r>
        <w:rPr>
          <w:rStyle w:val="PleaseReviewParagraphId"/>
          <w:b w:val="off"/>
          <w:i w:val="off"/>
        </w:rPr>
        <w:t>[37]</w:t>
      </w:r>
      <w:r>
        <w:t>CONTENTS</w:t>
      </w:r>
    </w:p>
    <w:p w14:paraId="12061F9B" w14:textId="5CC77A60">
      <w:pPr>
        <w:pStyle w:val="IPPPargraphnumbering"/>
        <w:tabs>
          <w:tab w:val="clear" w:pos="360"/>
        </w:tabs>
        <w:ind w:left="0" w:firstLine="0"/>
        <w:rPr>
          <w:b/>
          <w:bCs/>
          <w:lang w:val="en-GB"/>
        </w:rPr>
      </w:pPr>
      <w:r>
        <w:rPr>
          <w:rStyle w:val="PleaseReviewParagraphId"/>
          <w:b w:val="off"/>
          <w:i w:val="off"/>
        </w:rPr>
        <w:t>[38]</w:t>
      </w:r>
      <w:r>
        <w:rPr>
          <w:b/>
          <w:bCs/>
          <w:lang w:val="en-GB"/>
        </w:rPr>
        <w:t>[to be added later]</w:t>
      </w:r>
    </w:p>
    <w:p w14:paraId="463AB3F0" w14:textId="19947097">
      <w:pPr>
        <w:pStyle w:val="IPPPargraphnumbering"/>
        <w:tabs>
          <w:tab w:val="clear" w:pos="360"/>
        </w:tabs>
        <w:ind w:left="0" w:firstLine="0"/>
        <w:rPr>
          <w:b/>
          <w:bCs/>
          <w:lang w:val="en-GB"/>
        </w:rPr>
      </w:pPr>
      <w:r>
        <w:rPr>
          <w:rStyle w:val="PleaseReviewParagraphId"/>
          <w:b w:val="off"/>
          <w:i w:val="off"/>
        </w:rPr>
        <w:t>[39]</w:t>
      </w:r>
      <w:r>
        <w:rPr>
          <w:b/>
          <w:bCs/>
          <w:lang w:val="en-GB"/>
        </w:rPr>
        <w:t xml:space="preserve">Adoption </w:t>
      </w:r>
    </w:p>
    <w:p w14:paraId="5515E344" w14:textId="33426712">
      <w:pPr>
        <w:pStyle w:val="IPPParagraphnumbering"/>
        <w:numPr>
          <w:ilvl w:val="0"/>
          <w:numId w:val="0"/>
        </w:numPr>
      </w:pPr>
      <w:r>
        <w:rPr>
          <w:rStyle w:val="PleaseReviewParagraphId"/>
          <w:b w:val="off"/>
          <w:i w:val="off"/>
        </w:rPr>
        <w:t>[40]</w:t>
      </w:r>
      <w:r>
        <w:t xml:space="preserve">This diagnostic protocol was adopted by the Standards Committee on behalf of the Commission on Phytosanitary Measures in [Month 20--]. [to be completed after adoption] </w:t>
      </w:r>
    </w:p>
    <w:p w14:paraId="3F54CAE4" w14:textId="4BC05F7B">
      <w:pPr>
        <w:pStyle w:val="IPPParagraphnumbering"/>
        <w:numPr>
          <w:ilvl w:val="0"/>
          <w:numId w:val="0"/>
        </w:numPr>
      </w:pPr>
      <w:r>
        <w:rPr>
          <w:rStyle w:val="PleaseReviewParagraphId"/>
          <w:b w:val="off"/>
          <w:i w:val="off"/>
        </w:rPr>
        <w:t>[41]</w:t>
      </w:r>
      <w:r>
        <w:t>The annex is a prescriptive part of ISPM 27 (</w:t>
      </w:r>
      <w:r>
        <w:rPr>
          <w:i/>
        </w:rPr>
        <w:t>Diagnostic protocols for regulated pests</w:t>
      </w:r>
      <w:r>
        <w:t>).</w:t>
      </w:r>
    </w:p>
    <w:p w14:paraId="31F360F8" w14:textId="2C4CA49A">
      <w:pPr>
        <w:pStyle w:val="IPPHeading1"/>
        <w:rPr>
          <w:lang w:eastAsia="es-ES"/>
        </w:rPr>
      </w:pPr>
      <w:r>
        <w:rPr>
          <w:rStyle w:val="PleaseReviewParagraphId"/>
          <w:b w:val="off"/>
          <w:i w:val="off"/>
        </w:rPr>
        <w:t>[42]</w:t>
      </w:r>
      <w:r>
        <w:t>1.</w:t>
        <w:tab/>
        <w:t>Pest information</w:t>
      </w:r>
    </w:p>
    <w:p w14:paraId="60DBEA26" w14:textId="3762BA56">
      <w:pPr>
        <w:pStyle w:val="IPPParagraphnumbering"/>
        <w:numPr>
          <w:ilvl w:val="0"/>
          <w:numId w:val="0"/>
        </w:numPr>
      </w:pPr>
      <w:r>
        <w:rPr>
          <w:rStyle w:val="PleaseReviewParagraphId"/>
          <w:b w:val="off"/>
          <w:i w:val="off"/>
        </w:rPr>
        <w:t>[43]</w:t>
      </w:r>
      <w:r>
        <w:t xml:space="preserve">Huanglongbing (HLB), </w:t>
      </w:r>
      <w:r>
        <w:rPr>
          <w:lang w:eastAsia="es-ES"/>
        </w:rPr>
        <w:t>caused by ‘</w:t>
      </w:r>
      <w:r>
        <w:rPr>
          <w:i/>
          <w:lang w:eastAsia="es-ES"/>
        </w:rPr>
        <w:t>Candidatus</w:t>
      </w:r>
      <w:r>
        <w:rPr>
          <w:lang w:eastAsia="es-ES"/>
        </w:rPr>
        <w:t xml:space="preserve"> Liberibacter’ species</w:t>
      </w:r>
      <w:r>
        <w:t xml:space="preserve"> and also known as citrus greening</w:t>
      </w:r>
      <w:r>
        <w:rPr>
          <w:lang w:eastAsia="es-ES"/>
        </w:rPr>
        <w:t xml:space="preserve">, </w:t>
      </w:r>
      <w:r>
        <w:t xml:space="preserve">is one of the most destructive and widespread diseases of citrus in Asia, Africa and the Americas, </w:t>
        <w:lastRenderedPageBreak/>
        <w:t xml:space="preserve">affecting mainly </w:t>
      </w:r>
      <w:r>
        <w:rPr>
          <w:i/>
          <w:iCs/>
        </w:rPr>
        <w:t>Citrus</w:t>
      </w:r>
      <w:r>
        <w:t xml:space="preserve"> species, cultivars and hybrids</w:t>
      </w:r>
      <w:r>
        <w:rPr>
          <w:rStyle w:val="FootnoteReference"/>
        </w:rPr>
        <w:footnoteReference w:id="1"/>
      </w:r>
      <w:r>
        <w:t xml:space="preserve"> and, to a lesser extent, some other hosts within the</w:t>
      </w:r>
      <w:r>
        <w:rPr>
          <w:i/>
        </w:rPr>
        <w:t xml:space="preserve"> </w:t>
      </w:r>
      <w:r>
        <w:t>Rutaceae (EPPO, 2014; CABI, 2021). The ‘</w:t>
      </w:r>
      <w:r>
        <w:rPr>
          <w:i/>
        </w:rPr>
        <w:t>Ca. </w:t>
      </w:r>
      <w:r>
        <w:t>Liberibacter’ species associated with the disease are tra</w:t>
      </w:r>
      <w:r>
        <w:rPr>
          <w:lang w:eastAsia="zh-CN"/>
        </w:rPr>
        <w:t>n</w:t>
      </w:r>
      <w:r>
        <w:t>smit</w:t>
      </w:r>
      <w:r>
        <w:rPr>
          <w:lang w:eastAsia="zh-CN"/>
        </w:rPr>
        <w:t>te</w:t>
      </w:r>
      <w:r>
        <w:t xml:space="preserve">d by the psyllids </w:t>
      </w:r>
      <w:r>
        <w:rPr>
          <w:i/>
        </w:rPr>
        <w:t>Diaphorina</w:t>
      </w:r>
      <w:r>
        <w:t xml:space="preserve"> </w:t>
      </w:r>
      <w:r>
        <w:rPr>
          <w:i/>
        </w:rPr>
        <w:t xml:space="preserve">citri </w:t>
      </w:r>
      <w:r>
        <w:rPr>
          <w:iCs/>
        </w:rPr>
        <w:t>(EPPO, 2005),</w:t>
      </w:r>
      <w:r>
        <w:rPr>
          <w:i/>
        </w:rPr>
        <w:t xml:space="preserve"> Trioza</w:t>
      </w:r>
      <w:r>
        <w:t xml:space="preserve"> </w:t>
      </w:r>
      <w:r>
        <w:rPr>
          <w:i/>
        </w:rPr>
        <w:t>erytreae</w:t>
      </w:r>
      <w:r>
        <w:t xml:space="preserve"> </w:t>
      </w:r>
      <w:r>
        <w:rPr>
          <w:rFonts w:eastAsia="SimSun"/>
          <w:lang w:eastAsia="zh-CN"/>
        </w:rPr>
        <w:t xml:space="preserve">and </w:t>
      </w:r>
      <w:r>
        <w:rPr>
          <w:i/>
          <w:iCs/>
        </w:rPr>
        <w:t>Cacopsylla</w:t>
      </w:r>
      <w:r>
        <w:t xml:space="preserve"> </w:t>
      </w:r>
      <w:r>
        <w:rPr>
          <w:i/>
          <w:iCs/>
        </w:rPr>
        <w:t>citrisuga</w:t>
      </w:r>
      <w:r>
        <w:t xml:space="preserve"> </w:t>
      </w:r>
      <w:r>
        <w:rPr>
          <w:rFonts w:eastAsia="Calibri"/>
          <w:lang w:eastAsia="es-ES"/>
        </w:rPr>
        <w:t xml:space="preserve"> (Cen </w:t>
      </w:r>
      <w:r>
        <w:rPr>
          <w:rFonts w:eastAsia="Calibri"/>
          <w:i/>
          <w:lang w:eastAsia="es-ES"/>
        </w:rPr>
        <w:t>et al</w:t>
      </w:r>
      <w:r>
        <w:rPr>
          <w:rFonts w:eastAsia="Calibri"/>
          <w:lang w:eastAsia="es-ES"/>
        </w:rPr>
        <w:t xml:space="preserve">., 2012); </w:t>
      </w:r>
      <w:r>
        <w:t>‘</w:t>
      </w:r>
      <w:r>
        <w:rPr>
          <w:rFonts w:eastAsia="Calibri"/>
          <w:i/>
          <w:lang w:eastAsia="es-ES"/>
        </w:rPr>
        <w:t>Candidatus</w:t>
      </w:r>
      <w:r>
        <w:rPr>
          <w:rFonts w:eastAsia="Calibri"/>
          <w:lang w:eastAsia="es-ES"/>
        </w:rPr>
        <w:t xml:space="preserve"> Liberibacter asiaticus</w:t>
      </w:r>
      <w:r>
        <w:rPr>
          <w:bCs/>
        </w:rPr>
        <w:t>’</w:t>
      </w:r>
      <w:r>
        <w:rPr>
          <w:rFonts w:eastAsia="Calibri"/>
          <w:lang w:eastAsia="es-ES"/>
        </w:rPr>
        <w:t xml:space="preserve"> was also detected in</w:t>
      </w:r>
      <w:r>
        <w:rPr>
          <w:rFonts w:eastAsia="SimSun"/>
          <w:lang w:eastAsia="zh-CN"/>
        </w:rPr>
        <w:t xml:space="preserve"> </w:t>
      </w:r>
      <w:r>
        <w:rPr>
          <w:rFonts w:eastAsia="Calibri"/>
          <w:i/>
          <w:lang w:eastAsia="es-ES"/>
        </w:rPr>
        <w:t>Diaphorina</w:t>
      </w:r>
      <w:r>
        <w:rPr>
          <w:rFonts w:eastAsia="Calibri"/>
          <w:lang w:eastAsia="es-ES"/>
        </w:rPr>
        <w:t xml:space="preserve"> </w:t>
      </w:r>
      <w:r>
        <w:rPr>
          <w:rFonts w:eastAsia="Calibri"/>
          <w:i/>
          <w:lang w:eastAsia="es-ES"/>
        </w:rPr>
        <w:t xml:space="preserve">communis </w:t>
      </w:r>
      <w:r>
        <w:rPr>
          <w:rFonts w:eastAsia="Calibri"/>
          <w:lang w:eastAsia="es-ES"/>
        </w:rPr>
        <w:t xml:space="preserve">identified in Bhutan (Donovan </w:t>
      </w:r>
      <w:r>
        <w:rPr>
          <w:rFonts w:eastAsia="Calibri"/>
          <w:i/>
          <w:lang w:eastAsia="es-ES"/>
        </w:rPr>
        <w:t>et al.</w:t>
      </w:r>
      <w:r>
        <w:rPr>
          <w:rFonts w:eastAsia="Calibri"/>
          <w:lang w:eastAsia="es-ES"/>
        </w:rPr>
        <w:t>, 2012).</w:t>
      </w:r>
      <w:r>
        <w:t xml:space="preserve"> </w:t>
      </w:r>
    </w:p>
    <w:p w14:paraId="6FB2AEC2" w14:textId="4F72E7D2">
      <w:pPr>
        <w:pStyle w:val="IPPParagraphnumbering"/>
        <w:numPr>
          <w:ilvl w:val="0"/>
          <w:numId w:val="0"/>
        </w:numPr>
        <w:rPr>
          <w:szCs w:val="22"/>
          <w:lang w:val="en-GB" w:eastAsia="zh-CN"/>
        </w:rPr>
      </w:pPr>
      <w:r>
        <w:rPr>
          <w:rStyle w:val="PleaseReviewParagraphId"/>
          <w:b w:val="off"/>
          <w:i w:val="off"/>
        </w:rPr>
        <w:t>[45]</w:t>
      </w:r>
      <w:r>
        <w:rPr>
          <w:szCs w:val="22"/>
          <w:lang w:val="en-GB"/>
        </w:rPr>
        <w:t>Huanglongbing</w:t>
      </w:r>
      <w:r>
        <w:rPr>
          <w:szCs w:val="22"/>
          <w:lang w:val="en-GB" w:eastAsia="zh-CN"/>
        </w:rPr>
        <w:t>-like</w:t>
      </w:r>
      <w:r>
        <w:rPr>
          <w:szCs w:val="22"/>
          <w:lang w:val="en-GB"/>
        </w:rPr>
        <w:t xml:space="preserve"> symptoms w</w:t>
      </w:r>
      <w:r>
        <w:rPr>
          <w:szCs w:val="22"/>
          <w:lang w:val="en-GB" w:eastAsia="zh-CN"/>
        </w:rPr>
        <w:t>ere</w:t>
      </w:r>
      <w:r>
        <w:rPr>
          <w:szCs w:val="22"/>
          <w:lang w:val="en-GB"/>
        </w:rPr>
        <w:t xml:space="preserve"> described for the first time in </w:t>
      </w:r>
      <w:smartTag w:uri="urn:schemas-microsoft-com:office:smarttags" w:element="metricconverter">
        <w:smartTagPr>
          <w:attr w:name="ProductID" w:val="1919 in"/>
        </w:smartTagPr>
        <w:r>
          <w:rPr>
            <w:szCs w:val="22"/>
            <w:lang w:val="en-GB"/>
          </w:rPr>
          <w:t>1919 in</w:t>
        </w:r>
      </w:smartTag>
      <w:r>
        <w:rPr>
          <w:szCs w:val="22"/>
          <w:lang w:val="en-GB"/>
        </w:rPr>
        <w:t xml:space="preserve"> China and then in </w:t>
      </w:r>
      <w:smartTag w:uri="urn:schemas-microsoft-com:office:smarttags" w:element="metricconverter">
        <w:smartTagPr>
          <w:attr w:name="ProductID" w:val="1921 in"/>
        </w:smartTagPr>
        <w:r>
          <w:rPr>
            <w:szCs w:val="22"/>
            <w:lang w:val="en-GB"/>
          </w:rPr>
          <w:t>1921 in</w:t>
        </w:r>
      </w:smartTag>
      <w:r>
        <w:rPr>
          <w:szCs w:val="22"/>
          <w:lang w:val="en-GB"/>
        </w:rPr>
        <w:t xml:space="preserve"> the </w:t>
      </w:r>
      <w:r>
        <w:rPr>
          <w:szCs w:val="22"/>
          <w:lang w:val="en-GB" w:eastAsia="zh-CN"/>
        </w:rPr>
        <w:t xml:space="preserve">Philippines </w:t>
      </w:r>
      <w:r>
        <w:rPr>
          <w:szCs w:val="22"/>
          <w:lang w:val="en-GB"/>
        </w:rPr>
        <w:t>(Bové</w:t>
      </w:r>
      <w:r>
        <w:rPr>
          <w:iCs/>
          <w:szCs w:val="22"/>
          <w:lang w:val="en-GB"/>
        </w:rPr>
        <w:t>,</w:t>
      </w:r>
      <w:r>
        <w:rPr>
          <w:i/>
          <w:szCs w:val="22"/>
          <w:lang w:val="en-GB"/>
        </w:rPr>
        <w:t xml:space="preserve"> </w:t>
      </w:r>
      <w:r>
        <w:rPr>
          <w:szCs w:val="22"/>
          <w:lang w:val="en-GB"/>
        </w:rPr>
        <w:t xml:space="preserve">2006). However, </w:t>
      </w:r>
      <w:r>
        <w:rPr>
          <w:szCs w:val="22"/>
          <w:lang w:val="en-GB" w:eastAsia="es-MX"/>
        </w:rPr>
        <w:t xml:space="preserve">farmers in southern China had observed yellowing of their citrus trees since the late 1800s and </w:t>
      </w:r>
      <w:r>
        <w:rPr>
          <w:szCs w:val="22"/>
          <w:lang w:val="en-GB"/>
        </w:rPr>
        <w:t>in</w:t>
      </w:r>
      <w:r>
        <w:rPr>
          <w:szCs w:val="22"/>
          <w:lang w:val="en-GB" w:eastAsia="es-MX"/>
        </w:rPr>
        <w:t xml:space="preserve"> India the “citrus dieback” syndrome has been reported since the eighteenth century.</w:t>
      </w:r>
      <w:r>
        <w:rPr>
          <w:szCs w:val="22"/>
          <w:lang w:val="en-GB"/>
        </w:rPr>
        <w:t xml:space="preserve"> In South Africa, the first </w:t>
      </w:r>
      <w:r>
        <w:rPr>
          <w:szCs w:val="22"/>
          <w:lang w:val="en-GB" w:eastAsia="es-MX"/>
        </w:rPr>
        <w:t>symptoms of HLB were recorded in 1828/29 (</w:t>
      </w:r>
      <w:r>
        <w:rPr>
          <w:iCs/>
          <w:szCs w:val="22"/>
          <w:lang w:val="en-GB"/>
        </w:rPr>
        <w:t>Da</w:t>
      </w:r>
      <w:r>
        <w:rPr>
          <w:szCs w:val="22"/>
          <w:lang w:val="en-GB"/>
        </w:rPr>
        <w:t xml:space="preserve"> Graça,</w:t>
      </w:r>
      <w:r>
        <w:rPr>
          <w:szCs w:val="22"/>
          <w:lang w:val="en-GB" w:eastAsia="es-MX"/>
        </w:rPr>
        <w:t xml:space="preserve"> 2010)</w:t>
      </w:r>
      <w:r>
        <w:rPr>
          <w:szCs w:val="22"/>
          <w:lang w:val="en-GB"/>
        </w:rPr>
        <w:t xml:space="preserve">. Subsequently, HLB </w:t>
      </w:r>
      <w:r>
        <w:rPr>
          <w:szCs w:val="22"/>
          <w:lang w:val="en-GB" w:eastAsia="es-MX"/>
        </w:rPr>
        <w:t>has extended its distribution into many of the major citrus-producing areas of</w:t>
      </w:r>
      <w:r>
        <w:rPr>
          <w:szCs w:val="22"/>
          <w:lang w:val="en-GB"/>
        </w:rPr>
        <w:t xml:space="preserve"> the world.</w:t>
      </w:r>
    </w:p>
    <w:p w14:paraId="34E74B74" w14:textId="149DA2CD">
      <w:pPr>
        <w:pStyle w:val="IPPParagraphnumberingclose"/>
        <w:numPr>
          <w:ilvl w:val="0"/>
          <w:numId w:val="0"/>
        </w:numPr>
        <w:spacing w:after="0"/>
        <w:rPr>
          <w:color w:val="000000"/>
          <w:szCs w:val="22"/>
          <w:lang w:val="en-GB"/>
        </w:rPr>
      </w:pPr>
      <w:r>
        <w:rPr>
          <w:rStyle w:val="PleaseReviewParagraphId"/>
          <w:b w:val="off"/>
          <w:i w:val="off"/>
        </w:rPr>
        <w:t>[46]</w:t>
      </w:r>
      <w:r>
        <w:rPr>
          <w:szCs w:val="22"/>
          <w:lang w:val="en-GB"/>
        </w:rPr>
        <w:t xml:space="preserve">The causal agents of HLB are fastidious </w:t>
      </w:r>
      <w:r>
        <w:rPr>
          <w:color w:val="000000"/>
          <w:szCs w:val="22"/>
          <w:lang w:val="en-GB"/>
        </w:rPr>
        <w:t xml:space="preserve">Gram-negative </w:t>
      </w:r>
      <w:r>
        <w:rPr>
          <w:szCs w:val="22"/>
          <w:lang w:val="en-GB"/>
        </w:rPr>
        <w:t>bacteria in the ‘</w:t>
      </w:r>
      <w:r>
        <w:rPr>
          <w:i/>
          <w:szCs w:val="22"/>
          <w:lang w:val="en-GB"/>
        </w:rPr>
        <w:t>Ca. </w:t>
      </w:r>
      <w:r>
        <w:rPr>
          <w:szCs w:val="22"/>
          <w:lang w:val="en-GB" w:eastAsia="zh-CN"/>
        </w:rPr>
        <w:t>Liberibacter</w:t>
      </w:r>
      <w:r>
        <w:rPr>
          <w:szCs w:val="22"/>
          <w:lang w:val="en-GB"/>
        </w:rPr>
        <w:t>’ genus (Garnier</w:t>
      </w:r>
      <w:r>
        <w:rPr>
          <w:bCs/>
          <w:szCs w:val="22"/>
          <w:lang w:val="en-GB"/>
        </w:rPr>
        <w:t>, Danel and Bové</w:t>
      </w:r>
      <w:r>
        <w:rPr>
          <w:szCs w:val="22"/>
          <w:lang w:val="en-GB"/>
        </w:rPr>
        <w:t>, 1984). ‘</w:t>
      </w:r>
      <w:r>
        <w:rPr>
          <w:i/>
          <w:szCs w:val="22"/>
          <w:lang w:val="en-GB"/>
        </w:rPr>
        <w:t>Ca. </w:t>
      </w:r>
      <w:r>
        <w:rPr>
          <w:szCs w:val="22"/>
          <w:lang w:val="en-GB"/>
        </w:rPr>
        <w:t>Liberibacter’ species</w:t>
      </w:r>
      <w:r>
        <w:rPr>
          <w:rStyle w:val="A4"/>
          <w:lang w:val="en-GB"/>
        </w:rPr>
        <w:t xml:space="preserve"> </w:t>
      </w:r>
      <w:r>
        <w:rPr>
          <w:szCs w:val="22"/>
          <w:lang w:val="en-GB"/>
        </w:rPr>
        <w:t xml:space="preserve">are restricted to the sieve tubes within the phloem tissues, occur at very low concentrations and are unevenly distributed within the host plant (Jagoueix, </w:t>
      </w:r>
      <w:r>
        <w:rPr>
          <w:bCs/>
          <w:szCs w:val="22"/>
          <w:lang w:val="en-GB"/>
        </w:rPr>
        <w:t>Bové and Garnier</w:t>
      </w:r>
      <w:r>
        <w:rPr>
          <w:szCs w:val="22"/>
          <w:lang w:val="en-GB"/>
        </w:rPr>
        <w:t>, 1994). The pathogenic ‘</w:t>
      </w:r>
      <w:r>
        <w:rPr>
          <w:i/>
          <w:szCs w:val="22"/>
          <w:lang w:val="en-GB"/>
        </w:rPr>
        <w:t>Ca. </w:t>
      </w:r>
      <w:r>
        <w:rPr>
          <w:szCs w:val="22"/>
          <w:lang w:val="en-GB"/>
        </w:rPr>
        <w:t>Liberibacter’ species were discovered by electron microscopy</w:t>
      </w:r>
      <w:r>
        <w:rPr>
          <w:szCs w:val="22"/>
          <w:lang w:val="en-GB" w:eastAsia="en-AU"/>
        </w:rPr>
        <w:t xml:space="preserve"> i</w:t>
      </w:r>
      <w:r>
        <w:rPr>
          <w:szCs w:val="22"/>
          <w:lang w:val="en-GB"/>
        </w:rPr>
        <w:t>n citrus trees with HLB symptoms. Three species of ‘</w:t>
      </w:r>
      <w:r>
        <w:rPr>
          <w:i/>
          <w:szCs w:val="22"/>
          <w:lang w:val="en-GB"/>
        </w:rPr>
        <w:t>Ca. </w:t>
      </w:r>
      <w:r>
        <w:rPr>
          <w:szCs w:val="22"/>
          <w:lang w:val="en-GB"/>
        </w:rPr>
        <w:t>Liberibacter’ have been associated with HLB and are differentiated based on the nucleotide sequence in the 16S ribosomal gene operon</w:t>
      </w:r>
      <w:r>
        <w:rPr>
          <w:color w:val="000000"/>
          <w:szCs w:val="22"/>
          <w:lang w:val="en-GB"/>
        </w:rPr>
        <w:t xml:space="preserve"> (Jagoueix</w:t>
      </w:r>
      <w:r>
        <w:rPr>
          <w:szCs w:val="22"/>
          <w:lang w:val="en-GB"/>
        </w:rPr>
        <w:t xml:space="preserve">, </w:t>
      </w:r>
      <w:r>
        <w:rPr>
          <w:bCs/>
          <w:szCs w:val="22"/>
          <w:lang w:val="en-GB"/>
        </w:rPr>
        <w:t>Bové and Garnier</w:t>
      </w:r>
      <w:r>
        <w:rPr>
          <w:color w:val="000000"/>
          <w:szCs w:val="22"/>
          <w:lang w:val="en-GB"/>
        </w:rPr>
        <w:t>, 1994)</w:t>
      </w:r>
      <w:r>
        <w:rPr>
          <w:szCs w:val="22"/>
          <w:lang w:val="en-GB"/>
        </w:rPr>
        <w:t>. The three species are as follows:</w:t>
      </w:r>
    </w:p>
    <w:p w14:paraId="28466819" w14:textId="5DEBA73E">
      <w:pPr>
        <w:pStyle w:val="IPPBullet1"/>
        <w:spacing w:before="120"/>
      </w:pPr>
      <w:r>
        <w:rPr>
          <w:rStyle w:val="PleaseReviewParagraphId"/>
          <w:b w:val="off"/>
          <w:i w:val="off"/>
        </w:rPr>
        <w:t>[47]</w:t>
      </w:r>
      <w:r>
        <w:rPr>
          <w:b/>
          <w:bCs/>
          <w:iCs/>
        </w:rPr>
        <w:t>‘</w:t>
      </w:r>
      <w:r>
        <w:rPr>
          <w:b/>
          <w:i/>
        </w:rPr>
        <w:t xml:space="preserve">Candidatus </w:t>
      </w:r>
      <w:r>
        <w:rPr>
          <w:b/>
        </w:rPr>
        <w:t>Liberibacter asiaticu</w:t>
      </w:r>
      <w:r>
        <w:rPr>
          <w:b/>
          <w:lang w:eastAsia="zh-CN"/>
        </w:rPr>
        <w:t>s</w:t>
      </w:r>
      <w:r>
        <w:rPr>
          <w:b/>
        </w:rPr>
        <w:t>’</w:t>
      </w:r>
      <w:r>
        <w:rPr>
          <w:bCs/>
        </w:rPr>
        <w:t>,</w:t>
      </w:r>
      <w:r>
        <w:t xml:space="preserve"> transmitted by </w:t>
      </w:r>
      <w:r>
        <w:rPr>
          <w:i/>
        </w:rPr>
        <w:t>Diaphorina citri</w:t>
      </w:r>
      <w:r>
        <w:t>, is heat tolerant and induces symptoms in warm climates at optimal temperatures in the range 27–32 °C (Jagoueix</w:t>
      </w:r>
      <w:r>
        <w:rPr>
          <w:i/>
        </w:rPr>
        <w:t xml:space="preserve"> et</w:t>
      </w:r>
      <w:r>
        <w:rPr>
          <w:rFonts w:eastAsia="Calibri"/>
          <w:i/>
          <w:szCs w:val="22"/>
          <w:lang w:eastAsia="es-ES"/>
        </w:rPr>
        <w:t> </w:t>
      </w:r>
      <w:r>
        <w:rPr>
          <w:i/>
        </w:rPr>
        <w:t>al.</w:t>
      </w:r>
      <w:r>
        <w:rPr>
          <w:iCs/>
        </w:rPr>
        <w:t>,</w:t>
      </w:r>
      <w:r>
        <w:rPr>
          <w:i/>
        </w:rPr>
        <w:t xml:space="preserve"> </w:t>
      </w:r>
      <w:r>
        <w:t>1996)</w:t>
      </w:r>
      <w:r>
        <w:rPr>
          <w:i/>
        </w:rPr>
        <w:t>.</w:t>
      </w:r>
      <w:r>
        <w:t xml:space="preserve"> It is present in Asia, Africa, Oceania and North and South America (Bové,</w:t>
      </w:r>
      <w:r>
        <w:rPr>
          <w:lang w:eastAsia="zh-CN"/>
        </w:rPr>
        <w:t xml:space="preserve"> 2006; d</w:t>
      </w:r>
      <w:r>
        <w:t xml:space="preserve">a </w:t>
      </w:r>
      <w:r>
        <w:rPr>
          <w:lang w:eastAsia="zh-CN"/>
        </w:rPr>
        <w:t>Gr</w:t>
      </w:r>
      <w:r>
        <w:t>aça, 2010; CABI, 2021).</w:t>
      </w:r>
      <w:r>
        <w:rPr>
          <w:rFonts w:eastAsia="Times New Roman"/>
          <w:lang w:eastAsia="es-MX"/>
        </w:rPr>
        <w:t xml:space="preserve"> </w:t>
      </w:r>
    </w:p>
    <w:p w14:paraId="52435F1A" w14:textId="77777777">
      <w:pPr>
        <w:pStyle w:val="IPPBullet1"/>
        <w:rPr>
          <w:i/>
        </w:rPr>
      </w:pPr>
      <w:r>
        <w:rPr>
          <w:rStyle w:val="PleaseReviewParagraphId"/>
          <w:b w:val="off"/>
          <w:i w:val="off"/>
        </w:rPr>
        <w:t>[48]</w:t>
      </w:r>
      <w:r>
        <w:rPr>
          <w:b/>
          <w:bCs/>
          <w:iCs/>
        </w:rPr>
        <w:t>‘</w:t>
      </w:r>
      <w:r>
        <w:rPr>
          <w:b/>
          <w:i/>
        </w:rPr>
        <w:t>Candidatus</w:t>
      </w:r>
      <w:r>
        <w:rPr>
          <w:b/>
        </w:rPr>
        <w:t xml:space="preserve"> Liberibacter africanus’</w:t>
      </w:r>
      <w:r>
        <w:t xml:space="preserve"> is transmitted by </w:t>
      </w:r>
      <w:r>
        <w:rPr>
          <w:i/>
        </w:rPr>
        <w:t>Trioza erytreae</w:t>
      </w:r>
      <w:r>
        <w:t>, is heat-sensitive and causes symptoms between 22 °C and 24 °C (Jagoueix</w:t>
      </w:r>
      <w:r>
        <w:rPr>
          <w:iCs/>
        </w:rPr>
        <w:t>,</w:t>
      </w:r>
      <w:r>
        <w:rPr>
          <w:i/>
        </w:rPr>
        <w:t xml:space="preserve"> </w:t>
      </w:r>
      <w:r>
        <w:rPr>
          <w:bCs/>
          <w:szCs w:val="22"/>
        </w:rPr>
        <w:t>Bové and Garnier</w:t>
      </w:r>
      <w:r>
        <w:rPr>
          <w:iCs/>
        </w:rPr>
        <w:t>,</w:t>
      </w:r>
      <w:r>
        <w:rPr>
          <w:i/>
        </w:rPr>
        <w:t xml:space="preserve"> </w:t>
      </w:r>
      <w:r>
        <w:t xml:space="preserve">1994), with no symptoms appearing at 27–30 °C (da Graça, 1991). It is present in Asia (Saudi Arabia and Yemen) and Africa (Ascension, Saint Helena and Tristan da Cunha; Burundi; Cameroon; the Central African Republic; the Comoros; Ethiopia; Kenya; Madagascar; Malawi; Mauritius; Mayotte; Réunion; Rwanda; Somalia; South Africa; Swaziland; the United Republic of Tanzania; and Zimbabwe) (Bové, 2006; </w:t>
      </w:r>
      <w:r>
        <w:rPr>
          <w:lang w:eastAsia="zh-CN"/>
        </w:rPr>
        <w:t>d</w:t>
      </w:r>
      <w:r>
        <w:t xml:space="preserve">a </w:t>
      </w:r>
      <w:r>
        <w:rPr>
          <w:lang w:eastAsia="zh-CN"/>
        </w:rPr>
        <w:t>Gr</w:t>
      </w:r>
      <w:r>
        <w:t xml:space="preserve">aça, 2010; CABI, 2021). </w:t>
      </w:r>
      <w:r>
        <w:rPr>
          <w:lang w:eastAsia="zh-CN"/>
        </w:rPr>
        <w:t>‘</w:t>
      </w:r>
      <w:r>
        <w:rPr>
          <w:i/>
        </w:rPr>
        <w:t xml:space="preserve">Candidatus </w:t>
      </w:r>
      <w:r>
        <w:t>Liberibacter africanus subsp. capensis’ has been reported in South Africa on an ornamental rutaceous tree,</w:t>
      </w:r>
      <w:r>
        <w:rPr>
          <w:i/>
        </w:rPr>
        <w:t xml:space="preserve"> Calodendrum</w:t>
      </w:r>
      <w:r>
        <w:t xml:space="preserve"> </w:t>
      </w:r>
      <w:r>
        <w:rPr>
          <w:i/>
        </w:rPr>
        <w:t>capense</w:t>
      </w:r>
      <w:r>
        <w:t xml:space="preserve"> </w:t>
      </w:r>
      <w:r>
        <w:rPr>
          <w:iCs/>
        </w:rPr>
        <w:t>(Garnier</w:t>
      </w:r>
      <w:r>
        <w:rPr>
          <w:i/>
          <w:iCs/>
        </w:rPr>
        <w:t xml:space="preserve"> et</w:t>
      </w:r>
      <w:r>
        <w:rPr>
          <w:rFonts w:eastAsia="Calibri"/>
          <w:i/>
          <w:szCs w:val="22"/>
          <w:lang w:eastAsia="es-ES"/>
        </w:rPr>
        <w:t> </w:t>
      </w:r>
      <w:r>
        <w:rPr>
          <w:i/>
          <w:iCs/>
        </w:rPr>
        <w:t>al.</w:t>
      </w:r>
      <w:r>
        <w:t>,</w:t>
      </w:r>
      <w:r>
        <w:rPr>
          <w:iCs/>
        </w:rPr>
        <w:t xml:space="preserve"> 2000)</w:t>
      </w:r>
      <w:r>
        <w:t xml:space="preserve">. </w:t>
      </w:r>
    </w:p>
    <w:p w14:paraId="18EB2E81" w14:textId="17FFBC57">
      <w:pPr>
        <w:pStyle w:val="IPPBullet1Last"/>
      </w:pPr>
      <w:r>
        <w:rPr>
          <w:rStyle w:val="PleaseReviewParagraphId"/>
          <w:b w:val="off"/>
          <w:i w:val="off"/>
        </w:rPr>
        <w:t>[49]</w:t>
      </w:r>
      <w:r>
        <w:rPr>
          <w:b/>
          <w:bCs/>
          <w:iCs/>
        </w:rPr>
        <w:t>‘</w:t>
      </w:r>
      <w:r>
        <w:rPr>
          <w:b/>
          <w:i/>
        </w:rPr>
        <w:t>Candidatus</w:t>
      </w:r>
      <w:r>
        <w:rPr>
          <w:b/>
        </w:rPr>
        <w:t xml:space="preserve"> Liberibacter americanus’</w:t>
      </w:r>
      <w:r>
        <w:t xml:space="preserve"> was described as a new species when it was first found in </w:t>
      </w:r>
      <w:smartTag w:uri="urn:schemas-microsoft-com:office:smarttags" w:element="metricconverter">
        <w:smartTagPr>
          <w:attr w:name="ProductID" w:val="2004 in"/>
        </w:smartTagPr>
        <w:r>
          <w:t>2004 in</w:t>
        </w:r>
      </w:smartTag>
      <w:r>
        <w:t xml:space="preserve"> Sã</w:t>
      </w:r>
      <w:r>
        <w:rPr>
          <w:lang w:eastAsia="zh-CN"/>
        </w:rPr>
        <w:t>o</w:t>
      </w:r>
      <w:r>
        <w:t xml:space="preserve"> Paulo, Brazil (Teixeira</w:t>
      </w:r>
      <w:r>
        <w:rPr>
          <w:bCs/>
        </w:rPr>
        <w:t xml:space="preserve"> </w:t>
      </w:r>
      <w:r>
        <w:rPr>
          <w:bCs/>
          <w:i/>
          <w:iCs/>
        </w:rPr>
        <w:t>et al.</w:t>
      </w:r>
      <w:r>
        <w:t xml:space="preserve">, 2005a, </w:t>
      </w:r>
      <w:r>
        <w:rPr>
          <w:bCs/>
          <w:szCs w:val="22"/>
        </w:rPr>
        <w:t xml:space="preserve">2005b, </w:t>
      </w:r>
      <w:r>
        <w:rPr>
          <w:szCs w:val="22"/>
        </w:rPr>
        <w:t>2005c;</w:t>
      </w:r>
      <w:r>
        <w:t xml:space="preserve"> Bové, 2006). It is also transmitted by </w:t>
      </w:r>
      <w:r>
        <w:rPr>
          <w:i/>
        </w:rPr>
        <w:t>Diaphorina citri</w:t>
      </w:r>
      <w:r>
        <w:t xml:space="preserve"> </w:t>
      </w:r>
      <w:r>
        <w:rPr>
          <w:szCs w:val="22"/>
        </w:rPr>
        <w:t xml:space="preserve">(Yamamoto </w:t>
      </w:r>
      <w:r>
        <w:rPr>
          <w:i/>
          <w:szCs w:val="22"/>
        </w:rPr>
        <w:t>et</w:t>
      </w:r>
      <w:r>
        <w:rPr>
          <w:rFonts w:eastAsia="Calibri"/>
          <w:i/>
          <w:szCs w:val="22"/>
          <w:lang w:eastAsia="es-ES"/>
        </w:rPr>
        <w:t> </w:t>
      </w:r>
      <w:r>
        <w:rPr>
          <w:i/>
          <w:szCs w:val="22"/>
        </w:rPr>
        <w:t>al</w:t>
      </w:r>
      <w:r>
        <w:rPr>
          <w:szCs w:val="22"/>
        </w:rPr>
        <w:t>., 2006)</w:t>
      </w:r>
      <w:r>
        <w:rPr>
          <w:i/>
          <w:szCs w:val="22"/>
        </w:rPr>
        <w:t xml:space="preserve">. </w:t>
      </w:r>
      <w:r>
        <w:t>‘</w:t>
      </w:r>
      <w:r>
        <w:rPr>
          <w:rStyle w:val="Emphasis"/>
        </w:rPr>
        <w:t>Ca.</w:t>
      </w:r>
      <w:r>
        <w:t> L. americanus’ is less heat tolerant than ‘</w:t>
      </w:r>
      <w:r>
        <w:rPr>
          <w:rStyle w:val="Emphasis"/>
        </w:rPr>
        <w:t>Ca.</w:t>
      </w:r>
      <w:r>
        <w:t xml:space="preserve"> L. asiaticus’. </w:t>
      </w:r>
      <w:hyperlink w:tooltip="Link to bibliographic citation" w:history="1" w:anchor="b16" r:id="rId11">
        <w:r>
          <w:rPr>
            <w:rStyle w:val="Hyperlink"/>
            <w:color w:val="auto"/>
            <w:u w:val="none"/>
          </w:rPr>
          <w:t xml:space="preserve">Lopes </w:t>
        </w:r>
        <w:r>
          <w:rPr>
            <w:rStyle w:val="Emphasis"/>
          </w:rPr>
          <w:t>et</w:t>
        </w:r>
        <w:r>
          <w:rPr>
            <w:rFonts w:eastAsia="Calibri"/>
            <w:i/>
            <w:szCs w:val="22"/>
            <w:lang w:eastAsia="es-ES"/>
          </w:rPr>
          <w:t> </w:t>
        </w:r>
        <w:r>
          <w:rPr>
            <w:rStyle w:val="Emphasis"/>
          </w:rPr>
          <w:t>al.</w:t>
        </w:r>
        <w:r>
          <w:rPr>
            <w:rStyle w:val="Hyperlink"/>
            <w:color w:val="auto"/>
            <w:u w:val="none"/>
          </w:rPr>
          <w:t xml:space="preserve"> </w:t>
        </w:r>
        <w:r>
          <w:rPr>
            <w:rStyle w:val="Hyperlink"/>
            <w:color w:val="auto"/>
            <w:u w:val="none"/>
          </w:rPr>
          <w:t>(</w:t>
        </w:r>
        <w:r>
          <w:rPr>
            <w:rStyle w:val="Hyperlink"/>
            <w:color w:val="auto"/>
            <w:u w:val="none"/>
          </w:rPr>
          <w:t>2009</w:t>
        </w:r>
      </w:hyperlink>
      <w:r>
        <w:t>) found that temperatures above 32 °C negatively affected the multiplication of ‘</w:t>
      </w:r>
      <w:r>
        <w:rPr>
          <w:rStyle w:val="Emphasis"/>
        </w:rPr>
        <w:t>Ca.</w:t>
      </w:r>
      <w:r>
        <w:t> L. americanus’ in infected plants, whereas ‘</w:t>
      </w:r>
      <w:r>
        <w:rPr>
          <w:rStyle w:val="Emphasis"/>
        </w:rPr>
        <w:t>Ca</w:t>
      </w:r>
      <w:r>
        <w:t>. L. asiaticus’ was affected only by temperatures above 38 °C. Similarly, Gasparoto</w:t>
      </w:r>
      <w:r>
        <w:rPr>
          <w:vertAlign w:val="superscript"/>
        </w:rPr>
        <w:t xml:space="preserve"> </w:t>
      </w:r>
      <w:r>
        <w:rPr>
          <w:i/>
        </w:rPr>
        <w:t>et</w:t>
      </w:r>
      <w:r>
        <w:rPr>
          <w:rFonts w:eastAsia="Calibri"/>
          <w:i/>
          <w:szCs w:val="22"/>
          <w:lang w:eastAsia="es-ES"/>
        </w:rPr>
        <w:t> </w:t>
      </w:r>
      <w:r>
        <w:rPr>
          <w:i/>
        </w:rPr>
        <w:t xml:space="preserve">al. </w:t>
      </w:r>
      <w:r>
        <w:rPr>
          <w:iCs/>
        </w:rPr>
        <w:t>(</w:t>
      </w:r>
      <w:r>
        <w:t>2012) found that ‘</w:t>
      </w:r>
      <w:r>
        <w:rPr>
          <w:rStyle w:val="Emphasis"/>
        </w:rPr>
        <w:t>Ca</w:t>
      </w:r>
      <w:r>
        <w:rPr>
          <w:rStyle w:val="Emphasis"/>
          <w:i w:val="0"/>
          <w:iCs w:val="0"/>
        </w:rPr>
        <w:t>. </w:t>
      </w:r>
      <w:r>
        <w:t>L. americanus’ did not infect plants maintained at night/day temperature conditions of27/32 °C, but infection by ‘</w:t>
      </w:r>
      <w:r>
        <w:rPr>
          <w:rStyle w:val="Emphasis"/>
        </w:rPr>
        <w:t>Ca.</w:t>
      </w:r>
      <w:r>
        <w:t> L. asiaticus’ occurred at all the studied temperatures.</w:t>
      </w:r>
    </w:p>
    <w:p w14:paraId="1163C769" w14:textId="45A4E001">
      <w:pPr>
        <w:pStyle w:val="IPPParagraphnumbering"/>
        <w:numPr>
          <w:ilvl w:val="0"/>
          <w:numId w:val="0"/>
        </w:numPr>
        <w:rPr>
          <w:iCs/>
          <w:lang w:val="en-GB"/>
        </w:rPr>
      </w:pPr>
      <w:r>
        <w:rPr>
          <w:rStyle w:val="PleaseReviewParagraphId"/>
          <w:b w:val="off"/>
          <w:i w:val="off"/>
        </w:rPr>
        <w:t>[50]</w:t>
      </w:r>
      <w:r>
        <w:rPr>
          <w:szCs w:val="22"/>
          <w:lang w:val="en-GB"/>
        </w:rPr>
        <w:t>Huanglongbing</w:t>
      </w:r>
      <w:r>
        <w:rPr>
          <w:lang w:val="en-GB"/>
        </w:rPr>
        <w:t xml:space="preserve"> is a disease limited to </w:t>
      </w:r>
      <w:r>
        <w:rPr>
          <w:rFonts w:eastAsia="SimSun"/>
          <w:i/>
          <w:lang w:val="en-GB" w:eastAsia="zh-CN"/>
        </w:rPr>
        <w:t>Citrus</w:t>
      </w:r>
      <w:r>
        <w:rPr>
          <w:lang w:val="en-GB"/>
        </w:rPr>
        <w:t xml:space="preserve"> and a few other </w:t>
      </w:r>
      <w:r>
        <w:rPr>
          <w:rFonts w:eastAsia="SimSun"/>
          <w:lang w:val="en-GB" w:eastAsia="zh-CN"/>
        </w:rPr>
        <w:t>genera of</w:t>
      </w:r>
      <w:r>
        <w:rPr>
          <w:lang w:val="en-GB"/>
        </w:rPr>
        <w:t xml:space="preserve"> Rutaceae. The disease is present in</w:t>
      </w:r>
      <w:r>
        <w:rPr>
          <w:i/>
          <w:lang w:val="en-GB"/>
        </w:rPr>
        <w:t xml:space="preserve"> C</w:t>
      </w:r>
      <w:r>
        <w:rPr>
          <w:lang w:val="en-GB"/>
        </w:rPr>
        <w:t>. </w:t>
      </w:r>
      <w:r>
        <w:rPr>
          <w:i/>
          <w:lang w:val="en-GB"/>
        </w:rPr>
        <w:t xml:space="preserve">aurantiifolia </w:t>
      </w:r>
      <w:r>
        <w:rPr>
          <w:iCs/>
          <w:lang w:val="en-GB"/>
        </w:rPr>
        <w:t>(</w:t>
      </w:r>
      <w:r>
        <w:rPr>
          <w:lang w:val="en-GB"/>
        </w:rPr>
        <w:t xml:space="preserve">lime), </w:t>
      </w:r>
      <w:r>
        <w:rPr>
          <w:i/>
          <w:lang w:val="en-GB"/>
        </w:rPr>
        <w:t>C</w:t>
      </w:r>
      <w:r>
        <w:rPr>
          <w:lang w:val="en-GB"/>
        </w:rPr>
        <w:t>. </w:t>
      </w:r>
      <w:r>
        <w:rPr>
          <w:i/>
          <w:lang w:val="en-GB"/>
        </w:rPr>
        <w:t xml:space="preserve">×aurantium </w:t>
      </w:r>
      <w:r>
        <w:rPr>
          <w:iCs/>
          <w:lang w:val="en-GB"/>
        </w:rPr>
        <w:t>(</w:t>
      </w:r>
      <w:r>
        <w:rPr>
          <w:lang w:val="en-GB"/>
        </w:rPr>
        <w:t xml:space="preserve">sour orange), </w:t>
      </w:r>
      <w:r>
        <w:rPr>
          <w:i/>
          <w:lang w:val="en-GB"/>
        </w:rPr>
        <w:t xml:space="preserve">C. limonia </w:t>
      </w:r>
      <w:r>
        <w:rPr>
          <w:lang w:val="en-GB"/>
        </w:rPr>
        <w:t xml:space="preserve">Osbeck </w:t>
      </w:r>
      <w:r>
        <w:rPr>
          <w:iCs/>
          <w:lang w:val="en-GB"/>
        </w:rPr>
        <w:t>(</w:t>
      </w:r>
      <w:r>
        <w:rPr>
          <w:lang w:val="en-GB"/>
        </w:rPr>
        <w:t xml:space="preserve">Rangpur lime), </w:t>
      </w:r>
      <w:r>
        <w:rPr>
          <w:i/>
          <w:lang w:val="en-GB"/>
        </w:rPr>
        <w:t xml:space="preserve">C. limon </w:t>
      </w:r>
      <w:r>
        <w:rPr>
          <w:lang w:val="en-GB"/>
        </w:rPr>
        <w:t>L</w:t>
      </w:r>
      <w:r>
        <w:rPr>
          <w:i/>
          <w:lang w:val="en-GB"/>
        </w:rPr>
        <w:t xml:space="preserve">. </w:t>
      </w:r>
      <w:r>
        <w:rPr>
          <w:iCs/>
          <w:lang w:val="en-GB"/>
        </w:rPr>
        <w:t>(</w:t>
      </w:r>
      <w:r>
        <w:rPr>
          <w:lang w:val="en-GB"/>
        </w:rPr>
        <w:t xml:space="preserve">lemon), </w:t>
      </w:r>
      <w:r>
        <w:rPr>
          <w:i/>
          <w:lang w:val="en-GB"/>
        </w:rPr>
        <w:t xml:space="preserve">C. limettioides </w:t>
      </w:r>
      <w:r>
        <w:rPr>
          <w:iCs/>
          <w:lang w:val="en-GB"/>
        </w:rPr>
        <w:t>(</w:t>
      </w:r>
      <w:r>
        <w:rPr>
          <w:lang w:val="en-GB"/>
        </w:rPr>
        <w:t xml:space="preserve">Palestinian sweet lime), </w:t>
      </w:r>
      <w:r>
        <w:rPr>
          <w:i/>
          <w:lang w:val="en-GB"/>
        </w:rPr>
        <w:t>C. japonica</w:t>
      </w:r>
      <w:r>
        <w:rPr>
          <w:lang w:val="en-GB"/>
        </w:rPr>
        <w:t xml:space="preserve"> (</w:t>
      </w:r>
      <w:r>
        <w:rPr>
          <w:iCs/>
          <w:lang w:val="en-GB"/>
        </w:rPr>
        <w:t xml:space="preserve">syn. </w:t>
      </w:r>
      <w:r>
        <w:rPr>
          <w:i/>
          <w:lang w:val="en-GB"/>
        </w:rPr>
        <w:t>Fortunella japonica</w:t>
      </w:r>
      <w:r>
        <w:rPr>
          <w:lang w:val="en-GB"/>
        </w:rPr>
        <w:t xml:space="preserve">) (kumquat), </w:t>
      </w:r>
      <w:r>
        <w:rPr>
          <w:i/>
          <w:lang w:val="en-GB"/>
        </w:rPr>
        <w:t>C</w:t>
      </w:r>
      <w:r>
        <w:rPr>
          <w:i/>
          <w:lang w:val="en-GB" w:eastAsia="zh-CN"/>
        </w:rPr>
        <w:t>. </w:t>
      </w:r>
      <w:r>
        <w:rPr>
          <w:i/>
          <w:lang w:val="en-GB"/>
        </w:rPr>
        <w:t xml:space="preserve">medica </w:t>
      </w:r>
      <w:r>
        <w:rPr>
          <w:iCs/>
          <w:lang w:val="en-GB"/>
        </w:rPr>
        <w:t>(</w:t>
      </w:r>
      <w:r>
        <w:rPr>
          <w:lang w:val="en-GB"/>
        </w:rPr>
        <w:t xml:space="preserve">citrons), </w:t>
      </w:r>
      <w:r>
        <w:rPr>
          <w:i/>
          <w:lang w:val="en-GB"/>
        </w:rPr>
        <w:t xml:space="preserve">C. paradisi </w:t>
      </w:r>
      <w:r>
        <w:rPr>
          <w:iCs/>
          <w:lang w:val="en-GB"/>
        </w:rPr>
        <w:t>(</w:t>
      </w:r>
      <w:r>
        <w:rPr>
          <w:lang w:val="en-GB"/>
        </w:rPr>
        <w:t xml:space="preserve">grapefruit), </w:t>
      </w:r>
      <w:r>
        <w:rPr>
          <w:i/>
          <w:lang w:val="en-GB"/>
        </w:rPr>
        <w:t xml:space="preserve">C. paradisi × C. reticulata </w:t>
      </w:r>
      <w:r>
        <w:rPr>
          <w:iCs/>
          <w:lang w:val="en-GB"/>
        </w:rPr>
        <w:t>(</w:t>
      </w:r>
      <w:r>
        <w:rPr>
          <w:lang w:val="en-GB"/>
        </w:rPr>
        <w:t xml:space="preserve">tangelo), </w:t>
      </w:r>
      <w:r>
        <w:rPr>
          <w:i/>
          <w:lang w:val="en-GB"/>
        </w:rPr>
        <w:t xml:space="preserve">C. reticulata </w:t>
      </w:r>
      <w:r>
        <w:rPr>
          <w:iCs/>
          <w:lang w:val="en-GB"/>
        </w:rPr>
        <w:t>(</w:t>
      </w:r>
      <w:r>
        <w:rPr>
          <w:lang w:val="en-GB"/>
        </w:rPr>
        <w:t xml:space="preserve">mandarin), </w:t>
      </w:r>
      <w:r>
        <w:rPr>
          <w:i/>
          <w:lang w:val="en-GB"/>
        </w:rPr>
        <w:t>C. sinensis</w:t>
      </w:r>
      <w:r>
        <w:rPr>
          <w:lang w:val="en-GB"/>
        </w:rPr>
        <w:t xml:space="preserve"> (L.) Osbeck (sweet orange) and </w:t>
      </w:r>
      <w:r>
        <w:rPr>
          <w:i/>
          <w:lang w:val="en-GB"/>
        </w:rPr>
        <w:t>Poncirus trifoliata</w:t>
      </w:r>
      <w:r>
        <w:rPr>
          <w:iCs/>
          <w:lang w:val="en-GB"/>
        </w:rPr>
        <w:t xml:space="preserve"> (trifoliate orange)</w:t>
      </w:r>
      <w:r>
        <w:rPr>
          <w:lang w:val="en-GB"/>
        </w:rPr>
        <w:t xml:space="preserve"> (</w:t>
      </w:r>
      <w:r>
        <w:rPr>
          <w:rFonts w:eastAsia="SimSun"/>
          <w:iCs/>
          <w:lang w:val="en-GB" w:eastAsia="zh-CN"/>
        </w:rPr>
        <w:t>d</w:t>
      </w:r>
      <w:r>
        <w:rPr>
          <w:iCs/>
          <w:lang w:val="en-GB"/>
        </w:rPr>
        <w:t>a</w:t>
      </w:r>
      <w:r>
        <w:rPr>
          <w:lang w:val="en-GB"/>
        </w:rPr>
        <w:t xml:space="preserve"> Graça, 1991). The rutaceous trees </w:t>
      </w:r>
      <w:r>
        <w:rPr>
          <w:i/>
          <w:iCs/>
          <w:lang w:val="en-GB"/>
        </w:rPr>
        <w:t>Calodendrum capense</w:t>
      </w:r>
      <w:r>
        <w:rPr>
          <w:lang w:val="en-GB"/>
        </w:rPr>
        <w:t xml:space="preserve"> (Cape chestnut), </w:t>
      </w:r>
      <w:r>
        <w:rPr>
          <w:i/>
          <w:lang w:val="en-GB"/>
        </w:rPr>
        <w:t xml:space="preserve">Murraya paniculata  </w:t>
      </w:r>
      <w:r>
        <w:rPr>
          <w:lang w:val="en-GB"/>
        </w:rPr>
        <w:t>(</w:t>
      </w:r>
      <w:r>
        <w:rPr>
          <w:iCs/>
          <w:lang w:val="en-GB"/>
        </w:rPr>
        <w:t>Garnier</w:t>
      </w:r>
      <w:r>
        <w:rPr>
          <w:i/>
          <w:iCs/>
          <w:lang w:val="en-GB"/>
        </w:rPr>
        <w:t xml:space="preserve"> et</w:t>
      </w:r>
      <w:r>
        <w:rPr>
          <w:rFonts w:eastAsia="Calibri"/>
          <w:i/>
          <w:szCs w:val="22"/>
          <w:lang w:val="en-GB" w:eastAsia="es-ES"/>
        </w:rPr>
        <w:t> </w:t>
      </w:r>
      <w:r>
        <w:rPr>
          <w:i/>
          <w:iCs/>
          <w:lang w:val="en-GB"/>
        </w:rPr>
        <w:t>al.</w:t>
      </w:r>
      <w:r>
        <w:rPr>
          <w:lang w:val="en-GB"/>
        </w:rPr>
        <w:t>,</w:t>
      </w:r>
      <w:r>
        <w:rPr>
          <w:iCs/>
          <w:lang w:val="en-GB"/>
        </w:rPr>
        <w:t xml:space="preserve"> 2000, Lopes </w:t>
      </w:r>
      <w:r>
        <w:rPr>
          <w:i/>
          <w:iCs/>
          <w:lang w:val="en-GB"/>
        </w:rPr>
        <w:t>et</w:t>
      </w:r>
      <w:r>
        <w:rPr>
          <w:rFonts w:eastAsia="Calibri"/>
          <w:i/>
          <w:szCs w:val="22"/>
          <w:lang w:val="en-GB" w:eastAsia="es-ES"/>
        </w:rPr>
        <w:t> </w:t>
      </w:r>
      <w:r>
        <w:rPr>
          <w:i/>
          <w:iCs/>
          <w:lang w:val="en-GB"/>
        </w:rPr>
        <w:t>a</w:t>
      </w:r>
      <w:r>
        <w:rPr>
          <w:i/>
          <w:lang w:val="en-GB"/>
        </w:rPr>
        <w:t>l.</w:t>
      </w:r>
      <w:r>
        <w:rPr>
          <w:iCs/>
          <w:lang w:val="en-GB"/>
        </w:rPr>
        <w:t>, 2010)</w:t>
      </w:r>
      <w:r>
        <w:rPr>
          <w:i/>
          <w:iCs/>
          <w:lang w:val="en-GB"/>
        </w:rPr>
        <w:t xml:space="preserve"> </w:t>
      </w:r>
      <w:r>
        <w:rPr>
          <w:iCs/>
          <w:lang w:val="en-GB"/>
        </w:rPr>
        <w:t>and</w:t>
      </w:r>
      <w:r>
        <w:rPr>
          <w:i/>
          <w:lang w:val="en-GB"/>
        </w:rPr>
        <w:t xml:space="preserve"> </w:t>
      </w:r>
      <w:r>
        <w:rPr>
          <w:i/>
          <w:szCs w:val="22"/>
          <w:lang w:val="en-GB" w:eastAsia="es-MX"/>
        </w:rPr>
        <w:t xml:space="preserve">Atalantia </w:t>
      </w:r>
      <w:r>
        <w:rPr>
          <w:szCs w:val="22"/>
          <w:lang w:val="en-GB" w:eastAsia="es-MX"/>
        </w:rPr>
        <w:t>(syn.</w:t>
      </w:r>
      <w:r>
        <w:rPr>
          <w:i/>
          <w:szCs w:val="22"/>
          <w:lang w:val="en-GB" w:eastAsia="es-MX"/>
        </w:rPr>
        <w:t xml:space="preserve"> Severinia</w:t>
      </w:r>
      <w:r>
        <w:rPr>
          <w:iCs/>
          <w:szCs w:val="22"/>
          <w:lang w:val="en-GB" w:eastAsia="es-MX"/>
        </w:rPr>
        <w:t>)</w:t>
      </w:r>
      <w:r>
        <w:rPr>
          <w:i/>
          <w:szCs w:val="22"/>
          <w:lang w:val="en-GB" w:eastAsia="es-MX"/>
        </w:rPr>
        <w:t xml:space="preserve"> buxifolia</w:t>
      </w:r>
      <w:r>
        <w:rPr>
          <w:i/>
          <w:lang w:val="en-GB"/>
        </w:rPr>
        <w:t xml:space="preserve">  </w:t>
      </w:r>
      <w:r>
        <w:rPr>
          <w:iCs/>
          <w:lang w:val="en-GB"/>
        </w:rPr>
        <w:t xml:space="preserve">(Deng </w:t>
      </w:r>
      <w:r>
        <w:rPr>
          <w:i/>
          <w:lang w:val="en-GB"/>
        </w:rPr>
        <w:t>et al</w:t>
      </w:r>
      <w:r>
        <w:rPr>
          <w:iCs/>
          <w:lang w:val="en-GB"/>
        </w:rPr>
        <w:t xml:space="preserve">., 2008) </w:t>
      </w:r>
      <w:r>
        <w:rPr>
          <w:lang w:val="en-GB"/>
        </w:rPr>
        <w:t>also harbour ‘</w:t>
      </w:r>
      <w:r>
        <w:rPr>
          <w:i/>
          <w:iCs/>
          <w:lang w:val="en-GB"/>
        </w:rPr>
        <w:t>Ca.</w:t>
      </w:r>
      <w:r>
        <w:rPr>
          <w:lang w:val="en-GB"/>
        </w:rPr>
        <w:t> </w:t>
      </w:r>
      <w:r>
        <w:t xml:space="preserve">Liberibacter’ species </w:t>
      </w:r>
      <w:r>
        <w:rPr>
          <w:iCs/>
        </w:rPr>
        <w:t xml:space="preserve">and support populations of </w:t>
      </w:r>
      <w:r>
        <w:rPr>
          <w:i/>
        </w:rPr>
        <w:t>Trioza</w:t>
      </w:r>
      <w:r>
        <w:t xml:space="preserve"> </w:t>
      </w:r>
      <w:r>
        <w:rPr>
          <w:i/>
        </w:rPr>
        <w:t>erytreae</w:t>
      </w:r>
      <w:r>
        <w:t xml:space="preserve"> and </w:t>
      </w:r>
      <w:r>
        <w:rPr>
          <w:i/>
        </w:rPr>
        <w:t>Diaphorina</w:t>
      </w:r>
      <w:r>
        <w:t xml:space="preserve"> </w:t>
      </w:r>
      <w:r>
        <w:rPr>
          <w:i/>
        </w:rPr>
        <w:t xml:space="preserve">citri </w:t>
      </w:r>
      <w:r>
        <w:t>(</w:t>
      </w:r>
      <w:r>
        <w:rPr>
          <w:iCs/>
        </w:rPr>
        <w:t xml:space="preserve">Garnier </w:t>
      </w:r>
      <w:r>
        <w:rPr>
          <w:i/>
          <w:iCs/>
        </w:rPr>
        <w:lastRenderedPageBreak/>
        <w:t>et</w:t>
      </w:r>
      <w:r>
        <w:rPr>
          <w:rFonts w:eastAsia="Calibri"/>
          <w:i/>
          <w:szCs w:val="22"/>
          <w:lang w:eastAsia="es-ES"/>
        </w:rPr>
        <w:t> </w:t>
      </w:r>
      <w:r>
        <w:rPr>
          <w:i/>
          <w:iCs/>
        </w:rPr>
        <w:t>al</w:t>
      </w:r>
      <w:r>
        <w:rPr>
          <w:iCs/>
        </w:rPr>
        <w:t>., 2000)</w:t>
      </w:r>
      <w:r>
        <w:t>,</w:t>
      </w:r>
      <w:r>
        <w:rPr>
          <w:i/>
          <w:iCs/>
        </w:rPr>
        <w:t xml:space="preserve"> </w:t>
      </w:r>
      <w:r>
        <w:rPr>
          <w:iCs/>
        </w:rPr>
        <w:t xml:space="preserve">Jagoueix </w:t>
      </w:r>
      <w:r>
        <w:rPr>
          <w:i/>
          <w:iCs/>
        </w:rPr>
        <w:t>et</w:t>
      </w:r>
      <w:r>
        <w:rPr>
          <w:rFonts w:eastAsia="Calibri"/>
          <w:i/>
          <w:szCs w:val="22"/>
          <w:lang w:eastAsia="es-ES"/>
        </w:rPr>
        <w:t> </w:t>
      </w:r>
      <w:r>
        <w:rPr>
          <w:i/>
          <w:iCs/>
        </w:rPr>
        <w:t>al</w:t>
      </w:r>
      <w:r>
        <w:rPr>
          <w:iCs/>
        </w:rPr>
        <w:t xml:space="preserve">., 1996). </w:t>
      </w:r>
      <w:r>
        <w:rPr>
          <w:iCs/>
          <w:lang w:val="en-GB"/>
        </w:rPr>
        <w:t xml:space="preserve">Other hosts </w:t>
      </w:r>
      <w:r>
        <w:rPr>
          <w:lang w:val="en-GB"/>
        </w:rPr>
        <w:t xml:space="preserve">may be viewed at </w:t>
      </w:r>
      <w:hyperlink w:history="1" r:id="rId12">
        <w:r>
          <w:rPr>
            <w:rStyle w:val="Hyperlink"/>
            <w:lang w:val="en-GB"/>
          </w:rPr>
          <w:t>https://gd.eppo.int/taxon/LIBEAS/hosts</w:t>
        </w:r>
      </w:hyperlink>
      <w:r>
        <w:rPr>
          <w:lang w:val="en-GB"/>
        </w:rPr>
        <w:t>.</w:t>
      </w:r>
    </w:p>
    <w:p w14:paraId="3BE5B1A1" w14:textId="5B68AF80">
      <w:pPr>
        <w:pStyle w:val="IPPParagraphnumbering"/>
        <w:numPr>
          <w:ilvl w:val="0"/>
          <w:numId w:val="0"/>
        </w:numPr>
        <w:rPr>
          <w:color w:val="000000"/>
          <w:szCs w:val="22"/>
          <w:lang w:val="en-GB"/>
        </w:rPr>
      </w:pPr>
      <w:r>
        <w:rPr>
          <w:rStyle w:val="PleaseReviewParagraphId"/>
          <w:b w:val="off"/>
          <w:i w:val="off"/>
        </w:rPr>
        <w:t>[51]</w:t>
      </w:r>
      <w:r>
        <w:rPr>
          <w:szCs w:val="22"/>
          <w:lang w:val="en-GB"/>
        </w:rPr>
        <w:t>The psyllids reported as being the vectors of the HLB agents persist and multiply on other rutaceous plants including</w:t>
      </w:r>
      <w:r>
        <w:rPr>
          <w:i/>
          <w:szCs w:val="22"/>
          <w:lang w:val="en-GB"/>
        </w:rPr>
        <w:t xml:space="preserve"> </w:t>
      </w:r>
      <w:r>
        <w:rPr>
          <w:i/>
          <w:szCs w:val="22"/>
          <w:lang w:val="en-GB" w:eastAsia="es-MX"/>
        </w:rPr>
        <w:t xml:space="preserve">A. buxifolia, </w:t>
      </w:r>
      <w:r>
        <w:rPr>
          <w:i/>
          <w:szCs w:val="22"/>
          <w:lang w:val="en-GB"/>
        </w:rPr>
        <w:t>Atalantia missionis</w:t>
      </w:r>
      <w:r>
        <w:rPr>
          <w:szCs w:val="22"/>
          <w:lang w:val="en-GB"/>
        </w:rPr>
        <w:t xml:space="preserve">, </w:t>
      </w:r>
      <w:r>
        <w:rPr>
          <w:i/>
          <w:szCs w:val="22"/>
          <w:lang w:val="en-GB" w:eastAsia="es-MX"/>
        </w:rPr>
        <w:t>Citrus inodora</w:t>
      </w:r>
      <w:r>
        <w:rPr>
          <w:iCs/>
          <w:szCs w:val="22"/>
          <w:lang w:val="en-GB" w:eastAsia="es-MX"/>
        </w:rPr>
        <w:t>,</w:t>
      </w:r>
      <w:r>
        <w:rPr>
          <w:i/>
          <w:szCs w:val="22"/>
          <w:lang w:val="en-GB" w:eastAsia="es-MX"/>
        </w:rPr>
        <w:t xml:space="preserve"> Citrus ×virgata </w:t>
      </w:r>
      <w:r>
        <w:rPr>
          <w:szCs w:val="22"/>
          <w:lang w:val="en-GB" w:eastAsia="es-MX"/>
        </w:rPr>
        <w:t>Mabb</w:t>
      </w:r>
      <w:r>
        <w:rPr>
          <w:i/>
          <w:szCs w:val="22"/>
          <w:lang w:val="en-GB" w:eastAsia="es-MX"/>
        </w:rPr>
        <w:t xml:space="preserve"> </w:t>
      </w:r>
      <w:r>
        <w:rPr>
          <w:szCs w:val="22"/>
          <w:lang w:val="en-GB" w:eastAsia="es-MX"/>
        </w:rPr>
        <w:t>‘Sydney Hybrid’</w:t>
      </w:r>
      <w:r>
        <w:rPr>
          <w:iCs/>
          <w:szCs w:val="22"/>
          <w:lang w:val="en-GB" w:eastAsia="es-MX"/>
        </w:rPr>
        <w:t>,</w:t>
      </w:r>
      <w:r>
        <w:rPr>
          <w:i/>
          <w:szCs w:val="22"/>
          <w:lang w:val="en-GB" w:eastAsia="es-MX"/>
        </w:rPr>
        <w:t xml:space="preserve"> Citropsis gabunensis</w:t>
      </w:r>
      <w:r>
        <w:rPr>
          <w:szCs w:val="22"/>
          <w:lang w:val="en-GB" w:eastAsia="es-MX"/>
        </w:rPr>
        <w:t>,</w:t>
      </w:r>
      <w:r>
        <w:rPr>
          <w:i/>
          <w:szCs w:val="22"/>
          <w:lang w:val="en-GB" w:eastAsia="es-MX"/>
        </w:rPr>
        <w:t xml:space="preserve"> Citropsis schweinfurthii,</w:t>
      </w:r>
      <w:r>
        <w:rPr>
          <w:szCs w:val="22"/>
          <w:lang w:val="en-GB" w:eastAsia="es-MX"/>
        </w:rPr>
        <w:t xml:space="preserve"> </w:t>
      </w:r>
      <w:r>
        <w:rPr>
          <w:i/>
          <w:szCs w:val="22"/>
          <w:lang w:val="en-GB" w:eastAsia="es-MX"/>
        </w:rPr>
        <w:t>Clausena anisum-olens</w:t>
      </w:r>
      <w:r>
        <w:rPr>
          <w:iCs/>
          <w:szCs w:val="22"/>
          <w:lang w:val="en-GB" w:eastAsia="es-MX"/>
        </w:rPr>
        <w:t>,</w:t>
      </w:r>
      <w:r>
        <w:rPr>
          <w:i/>
          <w:szCs w:val="22"/>
          <w:lang w:val="en-GB" w:eastAsia="es-MX"/>
        </w:rPr>
        <w:t xml:space="preserve"> </w:t>
      </w:r>
      <w:r>
        <w:rPr>
          <w:i/>
          <w:iCs/>
          <w:szCs w:val="22"/>
          <w:lang w:val="en-GB"/>
        </w:rPr>
        <w:t>Limonia acidissima</w:t>
      </w:r>
      <w:r>
        <w:rPr>
          <w:szCs w:val="22"/>
          <w:lang w:val="en-GB"/>
        </w:rPr>
        <w:t xml:space="preserve">, </w:t>
      </w:r>
      <w:r>
        <w:rPr>
          <w:i/>
          <w:szCs w:val="22"/>
          <w:lang w:val="en-GB" w:eastAsia="es-MX"/>
        </w:rPr>
        <w:t xml:space="preserve">Naringi crenulata </w:t>
      </w:r>
      <w:r>
        <w:rPr>
          <w:szCs w:val="22"/>
          <w:lang w:val="en-GB" w:eastAsia="es-MX"/>
        </w:rPr>
        <w:t xml:space="preserve">(Barkley and Beattie, 2008), </w:t>
      </w:r>
      <w:r>
        <w:rPr>
          <w:i/>
          <w:szCs w:val="22"/>
          <w:lang w:val="en-GB"/>
        </w:rPr>
        <w:t xml:space="preserve">Swinglea glutinosa </w:t>
      </w:r>
      <w:r>
        <w:rPr>
          <w:szCs w:val="22"/>
          <w:lang w:val="en-GB"/>
        </w:rPr>
        <w:t>(</w:t>
      </w:r>
      <w:r>
        <w:rPr>
          <w:szCs w:val="22"/>
          <w:lang w:val="en-GB" w:eastAsia="es-MX"/>
        </w:rPr>
        <w:t>Garnier and Bové, 1993)</w:t>
      </w:r>
      <w:r>
        <w:rPr>
          <w:szCs w:val="22"/>
          <w:lang w:val="en-GB"/>
        </w:rPr>
        <w:t xml:space="preserve">,  and </w:t>
      </w:r>
      <w:r>
        <w:rPr>
          <w:i/>
          <w:iCs/>
          <w:szCs w:val="22"/>
          <w:lang w:val="en-GB"/>
        </w:rPr>
        <w:t>Vepris lanceolata</w:t>
      </w:r>
      <w:r>
        <w:rPr>
          <w:color w:val="545454"/>
          <w:szCs w:val="22"/>
          <w:lang w:val="en-GB"/>
        </w:rPr>
        <w:t xml:space="preserve"> </w:t>
      </w:r>
      <w:r>
        <w:rPr>
          <w:szCs w:val="22"/>
          <w:lang w:val="en-GB"/>
        </w:rPr>
        <w:t xml:space="preserve">(Gottwald </w:t>
      </w:r>
      <w:r>
        <w:rPr>
          <w:i/>
          <w:szCs w:val="22"/>
          <w:lang w:val="en-GB"/>
        </w:rPr>
        <w:t>et</w:t>
      </w:r>
      <w:r>
        <w:rPr>
          <w:rFonts w:eastAsia="Calibri"/>
          <w:i/>
          <w:szCs w:val="22"/>
          <w:lang w:val="en-GB" w:eastAsia="es-ES"/>
        </w:rPr>
        <w:t> </w:t>
      </w:r>
      <w:r>
        <w:rPr>
          <w:i/>
          <w:szCs w:val="22"/>
          <w:lang w:val="en-GB"/>
        </w:rPr>
        <w:t>al</w:t>
      </w:r>
      <w:r>
        <w:rPr>
          <w:szCs w:val="22"/>
          <w:lang w:val="en-GB"/>
        </w:rPr>
        <w:t>., 2007)</w:t>
      </w:r>
      <w:r>
        <w:rPr>
          <w:szCs w:val="22"/>
          <w:lang w:val="en-GB" w:eastAsia="es-MX"/>
        </w:rPr>
        <w:t xml:space="preserve">. </w:t>
      </w:r>
      <w:r>
        <w:rPr>
          <w:iCs/>
          <w:szCs w:val="22"/>
          <w:lang w:val="en-GB" w:eastAsia="es-MX"/>
        </w:rPr>
        <w:t xml:space="preserve"> </w:t>
      </w:r>
    </w:p>
    <w:p w14:paraId="75DC46F3" w14:textId="623FA67B">
      <w:pPr>
        <w:pStyle w:val="IPPParagraphnumbering"/>
        <w:numPr>
          <w:ilvl w:val="0"/>
          <w:numId w:val="0"/>
        </w:numPr>
        <w:rPr>
          <w:szCs w:val="22"/>
          <w:lang w:val="en-GB"/>
        </w:rPr>
      </w:pPr>
      <w:r>
        <w:rPr>
          <w:rStyle w:val="PleaseReviewParagraphId"/>
          <w:b w:val="off"/>
          <w:i w:val="off"/>
        </w:rPr>
        <w:t>[52]</w:t>
      </w:r>
      <w:r>
        <w:rPr>
          <w:color w:val="000000"/>
          <w:szCs w:val="22"/>
          <w:lang w:val="en-GB"/>
        </w:rPr>
        <w:t>To date, psyllids are the only group of insects known to transmit ‘</w:t>
      </w:r>
      <w:r>
        <w:rPr>
          <w:i/>
          <w:iCs/>
          <w:color w:val="000000"/>
          <w:szCs w:val="22"/>
          <w:lang w:val="en-GB"/>
        </w:rPr>
        <w:t>Ca. </w:t>
      </w:r>
      <w:r>
        <w:rPr>
          <w:color w:val="000000"/>
          <w:szCs w:val="22"/>
          <w:lang w:val="en-GB"/>
        </w:rPr>
        <w:t xml:space="preserve">Liberibacter’ spp. (Cen </w:t>
      </w:r>
      <w:r>
        <w:rPr>
          <w:i/>
          <w:color w:val="000000"/>
          <w:szCs w:val="22"/>
          <w:lang w:val="en-GB"/>
        </w:rPr>
        <w:t>et</w:t>
      </w:r>
      <w:r>
        <w:rPr>
          <w:rFonts w:eastAsia="Calibri"/>
          <w:i/>
          <w:szCs w:val="22"/>
          <w:lang w:val="en-GB" w:eastAsia="es-ES"/>
        </w:rPr>
        <w:t> </w:t>
      </w:r>
      <w:r>
        <w:rPr>
          <w:i/>
          <w:color w:val="000000"/>
          <w:szCs w:val="22"/>
          <w:lang w:val="en-GB"/>
        </w:rPr>
        <w:t>al</w:t>
      </w:r>
      <w:r>
        <w:rPr>
          <w:color w:val="000000"/>
          <w:szCs w:val="22"/>
          <w:lang w:val="en-GB"/>
        </w:rPr>
        <w:t xml:space="preserve">., 2012). The bacterium can </w:t>
      </w:r>
      <w:r>
        <w:rPr>
          <w:szCs w:val="22"/>
          <w:lang w:val="en-GB"/>
        </w:rPr>
        <w:t xml:space="preserve">multiply in the body of the insect vectors (Aubert, 1987 and Jagoueix, </w:t>
      </w:r>
      <w:r>
        <w:rPr>
          <w:bCs/>
          <w:szCs w:val="22"/>
          <w:lang w:val="en-GB"/>
        </w:rPr>
        <w:t>Bové and Garnier</w:t>
      </w:r>
      <w:r>
        <w:rPr>
          <w:szCs w:val="22"/>
          <w:lang w:val="en-GB"/>
        </w:rPr>
        <w:t>, 1997). Pelz-Stelinsky</w:t>
      </w:r>
      <w:r>
        <w:rPr>
          <w:i/>
          <w:szCs w:val="22"/>
          <w:lang w:val="en-GB"/>
        </w:rPr>
        <w:t xml:space="preserve"> et</w:t>
      </w:r>
      <w:r>
        <w:rPr>
          <w:rFonts w:eastAsia="Calibri"/>
          <w:i/>
          <w:szCs w:val="22"/>
          <w:lang w:val="en-GB" w:eastAsia="es-ES"/>
        </w:rPr>
        <w:t> </w:t>
      </w:r>
      <w:r>
        <w:rPr>
          <w:i/>
          <w:szCs w:val="22"/>
          <w:lang w:val="en-GB"/>
        </w:rPr>
        <w:t>al</w:t>
      </w:r>
      <w:r>
        <w:rPr>
          <w:szCs w:val="22"/>
          <w:lang w:val="en-GB"/>
        </w:rPr>
        <w:t>. (2010) reported that transmission of ‘</w:t>
      </w:r>
      <w:r>
        <w:rPr>
          <w:i/>
          <w:szCs w:val="22"/>
          <w:lang w:val="en-GB"/>
        </w:rPr>
        <w:t>Ca. </w:t>
      </w:r>
      <w:r>
        <w:rPr>
          <w:szCs w:val="22"/>
          <w:lang w:val="en-GB"/>
        </w:rPr>
        <w:t>L. asiaticus’ from parent to offspring (transovarial) occurred at a rate of 2–6%.</w:t>
      </w:r>
    </w:p>
    <w:p w14:paraId="1E9AD3D6" w14:textId="31AD7529">
      <w:pPr>
        <w:pStyle w:val="IPPHeading1"/>
      </w:pPr>
      <w:r>
        <w:rPr>
          <w:rStyle w:val="PleaseReviewParagraphId"/>
          <w:b w:val="off"/>
          <w:i w:val="off"/>
        </w:rPr>
        <w:t>[53]</w:t>
      </w:r>
      <w:r>
        <w:t>2.</w:t>
        <w:tab/>
        <w:t>Taxonomic information</w:t>
      </w:r>
    </w:p>
    <w:p w14:paraId="3B7F8B52" w14:textId="017DCB16">
      <w:pPr>
        <w:pStyle w:val="IPPParagraphnumberingclose"/>
        <w:numPr>
          <w:ilvl w:val="0"/>
          <w:numId w:val="0"/>
        </w:numPr>
        <w:tabs>
          <w:tab w:val="left" w:pos="2268"/>
        </w:tabs>
        <w:rPr>
          <w:lang w:eastAsia="es-ES"/>
        </w:rPr>
      </w:pPr>
      <w:r>
        <w:rPr>
          <w:rStyle w:val="PleaseReviewParagraphId"/>
          <w:b w:val="off"/>
          <w:i w:val="off"/>
        </w:rPr>
        <w:t>[54]</w:t>
      </w:r>
      <w:r>
        <w:rPr>
          <w:b/>
          <w:szCs w:val="22"/>
          <w:lang w:val="en-GB"/>
        </w:rPr>
        <w:t xml:space="preserve">Name: </w:t>
        <w:tab/>
      </w:r>
      <w:r>
        <w:rPr>
          <w:i/>
          <w:iCs/>
          <w:lang w:val="en-GB" w:eastAsia="zh-CN"/>
        </w:rPr>
        <w:t>‘</w:t>
      </w:r>
      <w:r>
        <w:rPr>
          <w:i/>
          <w:iCs/>
          <w:lang w:val="en-GB" w:eastAsia="es-ES"/>
        </w:rPr>
        <w:t xml:space="preserve">Candidatus </w:t>
      </w:r>
      <w:r>
        <w:rPr>
          <w:lang w:val="en-GB" w:eastAsia="es-ES"/>
        </w:rPr>
        <w:t>Liberibacter africanus</w:t>
      </w:r>
      <w:r>
        <w:rPr>
          <w:lang w:val="en-GB" w:eastAsia="zh-CN"/>
        </w:rPr>
        <w:t>’</w:t>
      </w:r>
      <w:r>
        <w:rPr>
          <w:lang w:val="en-GB" w:eastAsia="es-ES"/>
        </w:rPr>
        <w:t xml:space="preserve"> Garnier, 2000</w:t>
      </w:r>
    </w:p>
    <w:p w14:paraId="633AC36A" w14:textId="3398BD52">
      <w:pPr>
        <w:pStyle w:val="IPPParagraphnumbering"/>
        <w:numPr>
          <w:ilvl w:val="0"/>
          <w:numId w:val="0"/>
        </w:numPr>
        <w:tabs>
          <w:tab w:val="left" w:pos="2268"/>
        </w:tabs>
        <w:rPr>
          <w:lang w:val="fr-BE" w:eastAsia="es-ES"/>
        </w:rPr>
      </w:pPr>
      <w:r>
        <w:rPr>
          <w:rStyle w:val="PleaseReviewParagraphId"/>
          <w:b w:val="off"/>
          <w:i w:val="off"/>
        </w:rPr>
        <w:t>[55]</w:t>
      </w:r>
      <w:r>
        <w:rPr>
          <w:b/>
          <w:lang w:val="fr-BE"/>
        </w:rPr>
        <w:t>Synonym:</w:t>
      </w:r>
      <w:r>
        <w:rPr>
          <w:i/>
          <w:iCs/>
          <w:lang w:val="fr-BE" w:eastAsia="zh-CN"/>
        </w:rPr>
        <w:tab/>
        <w:t>‘</w:t>
      </w:r>
      <w:r>
        <w:rPr>
          <w:i/>
          <w:iCs/>
          <w:lang w:val="fr-BE" w:eastAsia="es-ES"/>
        </w:rPr>
        <w:t xml:space="preserve">Candidatus </w:t>
      </w:r>
      <w:r>
        <w:rPr>
          <w:lang w:val="fr-BE" w:eastAsia="es-ES"/>
        </w:rPr>
        <w:t>Liberobacter africanus</w:t>
      </w:r>
      <w:r>
        <w:rPr>
          <w:lang w:val="fr-BE" w:eastAsia="zh-CN"/>
        </w:rPr>
        <w:t>’</w:t>
      </w:r>
      <w:r>
        <w:rPr>
          <w:lang w:val="fr-BE" w:eastAsia="es-ES"/>
        </w:rPr>
        <w:t xml:space="preserve"> Jagoueix </w:t>
      </w:r>
      <w:r>
        <w:rPr>
          <w:i/>
          <w:iCs/>
          <w:lang w:val="fr-BE" w:eastAsia="es-ES"/>
        </w:rPr>
        <w:t>et al.</w:t>
      </w:r>
      <w:r>
        <w:rPr>
          <w:lang w:val="fr-BE" w:eastAsia="es-ES"/>
        </w:rPr>
        <w:t>, 1994</w:t>
      </w:r>
    </w:p>
    <w:p w14:paraId="2F39CB21" w14:textId="155D7327">
      <w:pPr>
        <w:pStyle w:val="IPPParagraphnumbering"/>
        <w:numPr>
          <w:ilvl w:val="0"/>
          <w:numId w:val="0"/>
        </w:numPr>
        <w:tabs>
          <w:tab w:val="left" w:pos="2268"/>
        </w:tabs>
        <w:rPr>
          <w:lang w:val="fr-BE" w:eastAsia="es-ES"/>
        </w:rPr>
      </w:pPr>
      <w:r>
        <w:rPr>
          <w:rStyle w:val="PleaseReviewParagraphId"/>
          <w:b w:val="off"/>
          <w:i w:val="off"/>
        </w:rPr>
        <w:t>[56]</w:t>
      </w:r>
      <w:r>
        <w:rPr>
          <w:b/>
          <w:bCs/>
          <w:lang w:val="fr-BE" w:eastAsia="zh-CN"/>
        </w:rPr>
        <w:t>Name:</w:t>
      </w:r>
      <w:r>
        <w:rPr>
          <w:i/>
          <w:iCs/>
          <w:lang w:val="fr-BE" w:eastAsia="zh-CN"/>
        </w:rPr>
        <w:tab/>
        <w:t>‘</w:t>
      </w:r>
      <w:r>
        <w:rPr>
          <w:i/>
          <w:iCs/>
          <w:lang w:val="fr-BE" w:eastAsia="es-ES"/>
        </w:rPr>
        <w:t xml:space="preserve">Candidatus </w:t>
      </w:r>
      <w:r>
        <w:rPr>
          <w:lang w:val="fr-BE" w:eastAsia="es-ES"/>
        </w:rPr>
        <w:t>Liberibacter americanus</w:t>
      </w:r>
      <w:r>
        <w:rPr>
          <w:lang w:val="fr-BE" w:eastAsia="zh-CN"/>
        </w:rPr>
        <w:t>’</w:t>
      </w:r>
      <w:r>
        <w:rPr>
          <w:lang w:val="fr-BE" w:eastAsia="es-ES"/>
        </w:rPr>
        <w:t xml:space="preserve"> Texeira </w:t>
      </w:r>
      <w:r>
        <w:rPr>
          <w:i/>
          <w:iCs/>
          <w:lang w:val="fr-BE" w:eastAsia="es-ES"/>
        </w:rPr>
        <w:t>et al.</w:t>
      </w:r>
      <w:r>
        <w:rPr>
          <w:lang w:val="fr-BE" w:eastAsia="es-ES"/>
        </w:rPr>
        <w:t>, 2005</w:t>
      </w:r>
    </w:p>
    <w:p w14:paraId="62C30890" w14:textId="3D176E25">
      <w:pPr>
        <w:pStyle w:val="IPPParagraphnumbering"/>
        <w:numPr>
          <w:ilvl w:val="0"/>
          <w:numId w:val="0"/>
        </w:numPr>
        <w:tabs>
          <w:tab w:val="left" w:pos="2268"/>
        </w:tabs>
        <w:rPr>
          <w:lang w:val="fr-BE"/>
        </w:rPr>
      </w:pPr>
      <w:r>
        <w:rPr>
          <w:rStyle w:val="PleaseReviewParagraphId"/>
          <w:b w:val="off"/>
          <w:i w:val="off"/>
        </w:rPr>
        <w:t>[57]</w:t>
      </w:r>
      <w:r>
        <w:rPr>
          <w:b/>
          <w:bCs/>
          <w:lang w:val="fr-BE" w:eastAsia="zh-CN"/>
        </w:rPr>
        <w:t>Name:</w:t>
      </w:r>
      <w:r>
        <w:rPr>
          <w:i/>
          <w:iCs/>
          <w:lang w:val="fr-BE" w:eastAsia="zh-CN"/>
        </w:rPr>
        <w:tab/>
        <w:t>‘</w:t>
      </w:r>
      <w:r>
        <w:rPr>
          <w:i/>
          <w:iCs/>
          <w:lang w:val="fr-BE" w:eastAsia="es-ES"/>
        </w:rPr>
        <w:t xml:space="preserve">Candidatus </w:t>
      </w:r>
      <w:r>
        <w:rPr>
          <w:lang w:val="fr-BE" w:eastAsia="es-ES"/>
        </w:rPr>
        <w:t>Liberibacter asiaticus</w:t>
      </w:r>
      <w:r>
        <w:rPr>
          <w:lang w:val="fr-BE" w:eastAsia="zh-CN"/>
        </w:rPr>
        <w:t>’</w:t>
      </w:r>
      <w:r>
        <w:rPr>
          <w:lang w:val="fr-BE" w:eastAsia="es-ES"/>
        </w:rPr>
        <w:t xml:space="preserve"> Garnier, 2000</w:t>
      </w:r>
    </w:p>
    <w:p w14:paraId="5F5808C2" w14:textId="0AADCEA0">
      <w:pPr>
        <w:pStyle w:val="IPPParagraphnumbering"/>
        <w:numPr>
          <w:ilvl w:val="0"/>
          <w:numId w:val="0"/>
        </w:numPr>
        <w:tabs>
          <w:tab w:val="left" w:pos="2268"/>
        </w:tabs>
        <w:rPr>
          <w:lang w:val="fr-BE" w:eastAsia="es-ES"/>
        </w:rPr>
      </w:pPr>
      <w:r>
        <w:rPr>
          <w:rStyle w:val="PleaseReviewParagraphId"/>
          <w:b w:val="off"/>
          <w:i w:val="off"/>
        </w:rPr>
        <w:t>[58]</w:t>
      </w:r>
      <w:r>
        <w:rPr>
          <w:b/>
          <w:bCs/>
          <w:lang w:val="fr-BE" w:eastAsia="es-ES"/>
        </w:rPr>
        <w:t>Synonym:</w:t>
        <w:tab/>
      </w:r>
      <w:r>
        <w:rPr>
          <w:i/>
          <w:iCs/>
          <w:lang w:val="fr-BE" w:eastAsia="zh-CN"/>
        </w:rPr>
        <w:t>‘</w:t>
      </w:r>
      <w:r>
        <w:rPr>
          <w:i/>
          <w:iCs/>
          <w:lang w:val="fr-BE" w:eastAsia="es-ES"/>
        </w:rPr>
        <w:t xml:space="preserve">Candidatus </w:t>
      </w:r>
      <w:r>
        <w:rPr>
          <w:lang w:val="fr-BE" w:eastAsia="es-ES"/>
        </w:rPr>
        <w:t>Liberobacter asiaticus</w:t>
      </w:r>
      <w:r>
        <w:rPr>
          <w:lang w:val="fr-BE" w:eastAsia="zh-CN"/>
        </w:rPr>
        <w:t>’</w:t>
      </w:r>
      <w:r>
        <w:rPr>
          <w:lang w:val="fr-BE" w:eastAsia="es-ES"/>
        </w:rPr>
        <w:t xml:space="preserve"> Jagoueix </w:t>
      </w:r>
      <w:r>
        <w:rPr>
          <w:i/>
          <w:iCs/>
          <w:lang w:val="fr-BE" w:eastAsia="es-ES"/>
        </w:rPr>
        <w:t>et al.</w:t>
      </w:r>
      <w:r>
        <w:rPr>
          <w:lang w:val="fr-BE" w:eastAsia="es-ES"/>
        </w:rPr>
        <w:t>, 1994</w:t>
      </w:r>
    </w:p>
    <w:p w14:paraId="3C18BA3C" w14:textId="77777777">
      <w:pPr>
        <w:pStyle w:val="IPPParagraphnumbering"/>
        <w:numPr>
          <w:ilvl w:val="0"/>
          <w:numId w:val="0"/>
        </w:numPr>
        <w:tabs>
          <w:tab w:val="left" w:pos="2268"/>
        </w:tabs>
        <w:rPr>
          <w:lang w:val="en-GB"/>
        </w:rPr>
      </w:pPr>
      <w:r>
        <w:rPr>
          <w:rStyle w:val="PleaseReviewParagraphId"/>
          <w:b w:val="off"/>
          <w:i w:val="off"/>
        </w:rPr>
        <w:t>[59]</w:t>
      </w:r>
      <w:r>
        <w:rPr>
          <w:b/>
          <w:lang w:val="fr-BE"/>
        </w:rPr>
        <w:t>Taxonomic position:</w:t>
        <w:tab/>
      </w:r>
      <w:r>
        <w:rPr>
          <w:lang w:val="fr-BE"/>
        </w:rPr>
        <w:t>Bacteria, Proteobacteria, Alpha-Proteobacteria, Rhizobiales, Rhizobiacea</w:t>
      </w:r>
    </w:p>
    <w:p w14:paraId="70C205AA" w14:textId="0DD99035">
      <w:pPr>
        <w:pStyle w:val="IPPParagraphnumbering"/>
        <w:numPr>
          <w:ilvl w:val="0"/>
          <w:numId w:val="0"/>
        </w:numPr>
        <w:tabs>
          <w:tab w:val="left" w:pos="2268"/>
        </w:tabs>
        <w:rPr>
          <w:lang w:val="en-GB"/>
        </w:rPr>
      </w:pPr>
      <w:r>
        <w:rPr>
          <w:rStyle w:val="PleaseReviewParagraphId"/>
          <w:b w:val="off"/>
          <w:i w:val="off"/>
        </w:rPr>
        <w:t>[60]</w:t>
      </w:r>
      <w:r>
        <w:rPr>
          <w:b/>
          <w:bCs/>
          <w:lang w:eastAsia="es-ES"/>
        </w:rPr>
        <w:t>Disease names:</w:t>
      </w:r>
      <w:r>
        <w:rPr>
          <w:lang w:eastAsia="es-ES"/>
        </w:rPr>
        <w:tab/>
      </w:r>
      <w:r>
        <w:t xml:space="preserve">Huanglongbing (HLB) or citrus greening. </w:t>
      </w:r>
      <w:r>
        <w:rPr>
          <w:lang w:val="en-GB"/>
        </w:rPr>
        <w:t>The common name “</w:t>
      </w:r>
      <w:r>
        <w:rPr>
          <w:lang w:val="en-GB" w:eastAsia="zh-CN"/>
        </w:rPr>
        <w:t>h</w:t>
      </w:r>
      <w:r>
        <w:rPr>
          <w:lang w:val="en-GB"/>
        </w:rPr>
        <w:t>uanglongbing” is currently widely adopted in the scientific literature (CABI, 2021).</w:t>
      </w:r>
    </w:p>
    <w:p w14:paraId="5E603A79" w14:textId="1A806270">
      <w:pPr>
        <w:pStyle w:val="IPPParagraphnumbering"/>
        <w:numPr>
          <w:ilvl w:val="0"/>
          <w:numId w:val="0"/>
        </w:numPr>
        <w:rPr>
          <w:lang w:val="en-GB"/>
        </w:rPr>
      </w:pPr>
      <w:r>
        <w:rPr>
          <w:rStyle w:val="PleaseReviewParagraphId"/>
          <w:b w:val="off"/>
          <w:i w:val="off"/>
        </w:rPr>
        <w:t>[61]</w:t>
      </w:r>
      <w:r>
        <w:rPr>
          <w:lang w:val="en-GB"/>
        </w:rPr>
        <w:t>In 1994, the International Committee for Systematic Bacteriology recommended that, as proposed by Murray and Schleifer (1994), a ‘</w:t>
      </w:r>
      <w:r>
        <w:rPr>
          <w:i/>
          <w:lang w:val="en-GB"/>
        </w:rPr>
        <w:t>Candidatus</w:t>
      </w:r>
      <w:r>
        <w:rPr>
          <w:lang w:val="en-GB"/>
        </w:rPr>
        <w:t>’ designation be used as an interim taxonomic status, to provide a proper allocation of sequence-based potential new taxa at the genus and species level (Murray and Schleifer, 1994; Murray and Stackebrant, 1995). Jagoueix</w:t>
      </w:r>
      <w:r>
        <w:rPr>
          <w:szCs w:val="22"/>
          <w:lang w:val="en-GB"/>
        </w:rPr>
        <w:t xml:space="preserve">, </w:t>
      </w:r>
      <w:r>
        <w:rPr>
          <w:bCs/>
          <w:szCs w:val="22"/>
          <w:lang w:val="en-GB"/>
        </w:rPr>
        <w:t>Bové and Garnier</w:t>
      </w:r>
      <w:r>
        <w:rPr>
          <w:i/>
          <w:iCs/>
          <w:lang w:val="en-GB"/>
        </w:rPr>
        <w:t xml:space="preserve"> </w:t>
      </w:r>
      <w:r>
        <w:rPr>
          <w:iCs/>
          <w:lang w:val="en-GB"/>
        </w:rPr>
        <w:t xml:space="preserve">(1994) </w:t>
      </w:r>
      <w:r>
        <w:rPr>
          <w:lang w:val="en-GB"/>
        </w:rPr>
        <w:t xml:space="preserve">proposed that this new group in the alpha subdivision of the </w:t>
      </w:r>
      <w:r>
        <w:rPr>
          <w:szCs w:val="22"/>
          <w:lang w:val="en-GB"/>
        </w:rPr>
        <w:t xml:space="preserve">Proteobacteria should be referred to by the name “liberobacter” (from the Latin </w:t>
      </w:r>
      <w:r>
        <w:rPr>
          <w:i/>
          <w:szCs w:val="22"/>
          <w:lang w:val="en-GB"/>
        </w:rPr>
        <w:t xml:space="preserve">liber </w:t>
      </w:r>
      <w:r>
        <w:rPr>
          <w:szCs w:val="22"/>
          <w:lang w:val="en-GB"/>
        </w:rPr>
        <w:t xml:space="preserve">[bark] and </w:t>
      </w:r>
      <w:r>
        <w:rPr>
          <w:i/>
          <w:szCs w:val="22"/>
          <w:lang w:val="en-GB"/>
        </w:rPr>
        <w:t xml:space="preserve">bacter </w:t>
      </w:r>
      <w:r>
        <w:rPr>
          <w:szCs w:val="22"/>
          <w:lang w:val="en-GB"/>
        </w:rPr>
        <w:t>[bacteria]). Subsequently, two “</w:t>
      </w:r>
      <w:r>
        <w:rPr>
          <w:i/>
          <w:szCs w:val="22"/>
          <w:lang w:val="en-GB"/>
        </w:rPr>
        <w:t>Candidatus</w:t>
      </w:r>
      <w:r>
        <w:rPr>
          <w:szCs w:val="22"/>
          <w:lang w:val="en-GB" w:eastAsia="zh-CN"/>
        </w:rPr>
        <w:t xml:space="preserve"> </w:t>
      </w:r>
      <w:r>
        <w:rPr>
          <w:szCs w:val="22"/>
          <w:lang w:val="en-GB"/>
        </w:rPr>
        <w:t>species”, Liberobacter</w:t>
      </w:r>
      <w:r>
        <w:rPr>
          <w:i/>
          <w:szCs w:val="22"/>
          <w:lang w:val="en-GB"/>
        </w:rPr>
        <w:t xml:space="preserve"> </w:t>
      </w:r>
      <w:r>
        <w:rPr>
          <w:szCs w:val="22"/>
          <w:lang w:val="en-GB"/>
        </w:rPr>
        <w:t>asiaticum and Liberobacter africanum</w:t>
      </w:r>
      <w:r>
        <w:rPr>
          <w:i/>
          <w:szCs w:val="22"/>
          <w:lang w:val="en-GB"/>
        </w:rPr>
        <w:t xml:space="preserve">, </w:t>
      </w:r>
      <w:r>
        <w:rPr>
          <w:szCs w:val="22"/>
          <w:lang w:val="en-GB"/>
        </w:rPr>
        <w:t>were recognized based on polymorphism in the 16S rDNA nucleotide sequences. Later, the spelling was corrected to ‘Liberibacter’ to conform to the Latin convention</w:t>
      </w:r>
      <w:r>
        <w:rPr>
          <w:lang w:val="en-GB"/>
        </w:rPr>
        <w:t xml:space="preserve"> of using the connecting vowel “i” rather than “o” (Garnier </w:t>
      </w:r>
      <w:r>
        <w:rPr>
          <w:i/>
          <w:lang w:val="en-GB"/>
        </w:rPr>
        <w:t>et</w:t>
      </w:r>
      <w:r>
        <w:rPr>
          <w:rFonts w:eastAsia="Calibri"/>
          <w:i/>
          <w:szCs w:val="22"/>
          <w:lang w:val="en-GB" w:eastAsia="es-ES"/>
        </w:rPr>
        <w:t> </w:t>
      </w:r>
      <w:r>
        <w:rPr>
          <w:i/>
          <w:lang w:val="en-GB"/>
        </w:rPr>
        <w:t>al</w:t>
      </w:r>
      <w:r>
        <w:rPr>
          <w:lang w:val="en-GB"/>
        </w:rPr>
        <w:t xml:space="preserve">., 2000). Garnier </w:t>
      </w:r>
      <w:r>
        <w:rPr>
          <w:i/>
          <w:lang w:val="en-GB"/>
        </w:rPr>
        <w:t>et</w:t>
      </w:r>
      <w:r>
        <w:rPr>
          <w:rFonts w:eastAsia="Calibri"/>
          <w:i/>
          <w:szCs w:val="22"/>
          <w:lang w:val="en-GB" w:eastAsia="es-ES"/>
        </w:rPr>
        <w:t> </w:t>
      </w:r>
      <w:r>
        <w:rPr>
          <w:i/>
          <w:lang w:val="en-GB"/>
        </w:rPr>
        <w:t>al</w:t>
      </w:r>
      <w:r>
        <w:rPr>
          <w:i/>
          <w:lang w:val="en-GB" w:eastAsia="zh-CN"/>
        </w:rPr>
        <w:t>.</w:t>
      </w:r>
      <w:r>
        <w:rPr>
          <w:lang w:val="en-GB"/>
        </w:rPr>
        <w:t xml:space="preserve"> (2000) proposed, based on serological differences and phylogenetic analysis, the name </w:t>
      </w:r>
      <w:r>
        <w:rPr>
          <w:lang w:val="en-GB" w:eastAsia="zh-CN"/>
        </w:rPr>
        <w:t>‘</w:t>
      </w:r>
      <w:r>
        <w:rPr>
          <w:i/>
          <w:lang w:val="en-GB"/>
        </w:rPr>
        <w:t>Ca. </w:t>
      </w:r>
      <w:r>
        <w:rPr>
          <w:lang w:val="en-GB"/>
        </w:rPr>
        <w:t>Liberibacter africanus subsp. capensis’ for an isolate obtained from</w:t>
      </w:r>
      <w:r>
        <w:rPr>
          <w:i/>
          <w:lang w:val="en-GB"/>
        </w:rPr>
        <w:t xml:space="preserve"> Calodendrum capense</w:t>
      </w:r>
      <w:r>
        <w:rPr>
          <w:lang w:val="en-GB"/>
        </w:rPr>
        <w:t>. I</w:t>
      </w:r>
      <w:r>
        <w:rPr>
          <w:iCs/>
          <w:lang w:val="en-GB"/>
        </w:rPr>
        <w:t xml:space="preserve">n 2004, a new species was discovered in Brazil that failed to amplify with </w:t>
      </w:r>
      <w:r>
        <w:rPr>
          <w:iCs/>
          <w:lang w:val="en-GB" w:eastAsia="zh-CN"/>
        </w:rPr>
        <w:t>primers designed for ‘</w:t>
      </w:r>
      <w:r>
        <w:rPr>
          <w:i/>
          <w:iCs/>
          <w:lang w:val="en-GB" w:eastAsia="zh-CN"/>
        </w:rPr>
        <w:t>Ca. </w:t>
      </w:r>
      <w:r>
        <w:rPr>
          <w:iCs/>
          <w:lang w:val="en-GB" w:eastAsia="zh-CN"/>
        </w:rPr>
        <w:t>L</w:t>
      </w:r>
      <w:r>
        <w:rPr>
          <w:iCs/>
          <w:lang w:val="en-GB"/>
        </w:rPr>
        <w:t xml:space="preserve">iberibacter </w:t>
      </w:r>
      <w:r>
        <w:rPr>
          <w:iCs/>
          <w:lang w:val="en-GB" w:eastAsia="zh-CN"/>
        </w:rPr>
        <w:t>asiaticus’ and ‘</w:t>
      </w:r>
      <w:r>
        <w:rPr>
          <w:i/>
          <w:iCs/>
          <w:lang w:val="en-GB" w:eastAsia="zh-CN"/>
        </w:rPr>
        <w:t>Ca. </w:t>
      </w:r>
      <w:r>
        <w:rPr>
          <w:iCs/>
          <w:lang w:val="en-GB" w:eastAsia="zh-CN"/>
        </w:rPr>
        <w:t>L</w:t>
      </w:r>
      <w:r>
        <w:rPr>
          <w:iCs/>
          <w:lang w:val="en-GB"/>
        </w:rPr>
        <w:t>iberibacter</w:t>
      </w:r>
      <w:r>
        <w:rPr>
          <w:iCs/>
          <w:lang w:val="en-GB" w:eastAsia="zh-CN"/>
        </w:rPr>
        <w:t xml:space="preserve"> africanus’ </w:t>
      </w:r>
      <w:r>
        <w:rPr>
          <w:iCs/>
          <w:lang w:val="en-GB"/>
        </w:rPr>
        <w:t xml:space="preserve">in PCR and the new strain was named </w:t>
      </w:r>
      <w:r>
        <w:rPr>
          <w:iCs/>
          <w:lang w:val="en-GB" w:eastAsia="zh-CN"/>
        </w:rPr>
        <w:t>‘</w:t>
      </w:r>
      <w:r>
        <w:rPr>
          <w:i/>
          <w:lang w:val="en-GB"/>
        </w:rPr>
        <w:t>Ca. </w:t>
      </w:r>
      <w:r>
        <w:rPr>
          <w:lang w:val="en-GB"/>
        </w:rPr>
        <w:t>L. americanus</w:t>
      </w:r>
      <w:r>
        <w:rPr>
          <w:lang w:val="en-GB" w:eastAsia="zh-CN"/>
        </w:rPr>
        <w:t xml:space="preserve">’ </w:t>
      </w:r>
      <w:r>
        <w:rPr>
          <w:lang w:val="en-GB"/>
        </w:rPr>
        <w:t>Teixeira</w:t>
      </w:r>
      <w:r>
        <w:rPr>
          <w:i/>
          <w:lang w:val="en-GB"/>
        </w:rPr>
        <w:t xml:space="preserve"> et</w:t>
      </w:r>
      <w:r>
        <w:rPr>
          <w:rFonts w:eastAsia="Calibri"/>
          <w:i/>
          <w:szCs w:val="22"/>
          <w:lang w:val="en-GB" w:eastAsia="es-ES"/>
        </w:rPr>
        <w:t> </w:t>
      </w:r>
      <w:r>
        <w:rPr>
          <w:i/>
          <w:lang w:val="en-GB"/>
        </w:rPr>
        <w:t>al</w:t>
      </w:r>
      <w:r>
        <w:rPr>
          <w:i/>
          <w:lang w:val="en-GB" w:eastAsia="zh-CN"/>
        </w:rPr>
        <w:t>.</w:t>
      </w:r>
      <w:r>
        <w:rPr>
          <w:iCs/>
          <w:lang w:val="en-GB" w:eastAsia="zh-CN"/>
        </w:rPr>
        <w:t xml:space="preserve"> (2005c)</w:t>
      </w:r>
      <w:r>
        <w:rPr>
          <w:lang w:val="en-GB"/>
        </w:rPr>
        <w:t>.</w:t>
      </w:r>
    </w:p>
    <w:p w14:paraId="7DD0E5F2" w14:textId="4A4D229A">
      <w:pPr>
        <w:pStyle w:val="IPPHeading1"/>
      </w:pPr>
      <w:r>
        <w:rPr>
          <w:rStyle w:val="PleaseReviewParagraphId"/>
          <w:b w:val="off"/>
          <w:i w:val="off"/>
        </w:rPr>
        <w:t>[62]</w:t>
      </w:r>
      <w:r>
        <w:t>3.</w:t>
        <w:tab/>
        <w:t xml:space="preserve">Detection </w:t>
      </w:r>
    </w:p>
    <w:p w14:paraId="52125FB0" w14:textId="7D8FEBFF">
      <w:pPr>
        <w:pStyle w:val="IPPParagraphnumbering"/>
        <w:numPr>
          <w:ilvl w:val="0"/>
          <w:numId w:val="0"/>
        </w:numPr>
        <w:rPr>
          <w:szCs w:val="22"/>
          <w:lang w:val="en-GB"/>
        </w:rPr>
      </w:pPr>
      <w:r>
        <w:rPr>
          <w:rStyle w:val="PleaseReviewParagraphId"/>
          <w:b w:val="off"/>
          <w:i w:val="off"/>
        </w:rPr>
        <w:t>[63]</w:t>
      </w:r>
      <w:r>
        <w:rPr>
          <w:szCs w:val="22"/>
          <w:lang w:val="en-GB"/>
        </w:rPr>
        <w:t>Huanglongbing was diagnosed in the late twentieth century by conventional procedures such as electron microscopic examination and by bioassays on indicator plants. The ‘</w:t>
      </w:r>
      <w:r>
        <w:rPr>
          <w:i/>
          <w:szCs w:val="22"/>
          <w:lang w:val="en-GB"/>
        </w:rPr>
        <w:t xml:space="preserve">Candidatus </w:t>
      </w:r>
      <w:r>
        <w:rPr>
          <w:szCs w:val="22"/>
          <w:lang w:val="en-GB"/>
        </w:rPr>
        <w:t xml:space="preserve">Liberibacter’ species associated with HLB have not yet been cultured </w:t>
      </w:r>
      <w:r>
        <w:rPr>
          <w:i/>
          <w:szCs w:val="22"/>
          <w:lang w:val="en-GB"/>
        </w:rPr>
        <w:t>in</w:t>
      </w:r>
      <w:r>
        <w:rPr>
          <w:rStyle w:val="A4"/>
          <w:i/>
          <w:lang w:val="en-GB"/>
        </w:rPr>
        <w:t xml:space="preserve"> vitro</w:t>
      </w:r>
      <w:r>
        <w:rPr>
          <w:rStyle w:val="A4"/>
          <w:iCs/>
          <w:lang w:val="en-GB"/>
        </w:rPr>
        <w:t>, but</w:t>
      </w:r>
      <w:r>
        <w:rPr>
          <w:szCs w:val="22"/>
          <w:lang w:val="en-GB"/>
        </w:rPr>
        <w:t xml:space="preserve"> methods based on the polymerase chain reaction (PCR) amplification of sequences from genes, such as the 16S ribosomal (r)RNA gene and the </w:t>
      </w:r>
      <w:r>
        <w:rPr>
          <w:i/>
          <w:sz w:val="24"/>
          <w:lang w:val="en-GB"/>
        </w:rPr>
        <w:t>rpl</w:t>
      </w:r>
      <w:r>
        <w:rPr>
          <w:i/>
          <w:iCs/>
          <w:sz w:val="24"/>
          <w:lang w:val="en-GB"/>
        </w:rPr>
        <w:t>KAJL-rpoBC</w:t>
      </w:r>
      <w:r>
        <w:rPr>
          <w:lang w:val="en-GB"/>
        </w:rPr>
        <w:t xml:space="preserve"> gene cluster, </w:t>
      </w:r>
      <w:r>
        <w:rPr>
          <w:szCs w:val="22"/>
          <w:lang w:val="en-GB"/>
        </w:rPr>
        <w:t>are</w:t>
      </w:r>
      <w:r>
        <w:rPr>
          <w:lang w:val="en-GB"/>
        </w:rPr>
        <w:t xml:space="preserve"> considered </w:t>
      </w:r>
      <w:r>
        <w:rPr>
          <w:szCs w:val="22"/>
          <w:lang w:val="en-GB"/>
        </w:rPr>
        <w:t xml:space="preserve">efficient and sensitive for the detection of </w:t>
      </w:r>
      <w:r>
        <w:rPr>
          <w:szCs w:val="22"/>
          <w:lang w:val="en-GB" w:eastAsia="zh-CN"/>
        </w:rPr>
        <w:t>l</w:t>
      </w:r>
      <w:r>
        <w:rPr>
          <w:szCs w:val="22"/>
          <w:lang w:val="en-GB"/>
        </w:rPr>
        <w:t>iberibacter</w:t>
      </w:r>
      <w:r>
        <w:rPr>
          <w:szCs w:val="22"/>
          <w:lang w:val="en-GB" w:eastAsia="zh-CN"/>
        </w:rPr>
        <w:t>s</w:t>
      </w:r>
      <w:r>
        <w:rPr>
          <w:szCs w:val="22"/>
          <w:lang w:val="en-GB"/>
        </w:rPr>
        <w:t xml:space="preserve"> in HLB-infected plant tissue and psyllids</w:t>
      </w:r>
      <w:r>
        <w:rPr>
          <w:color w:val="000000"/>
          <w:szCs w:val="22"/>
          <w:lang w:val="en-GB"/>
        </w:rPr>
        <w:t>.</w:t>
      </w:r>
    </w:p>
    <w:p w14:paraId="25EDB6A2" w14:textId="46D5B667">
      <w:pPr>
        <w:pStyle w:val="IPPParagraphnumbering"/>
        <w:numPr>
          <w:ilvl w:val="0"/>
          <w:numId w:val="0"/>
        </w:numPr>
        <w:rPr>
          <w:rFonts w:eastAsia="Times New Roman"/>
          <w:szCs w:val="22"/>
          <w:lang w:val="en-GB" w:eastAsia="es-ES"/>
        </w:rPr>
      </w:pPr>
      <w:r>
        <w:rPr>
          <w:rStyle w:val="PleaseReviewParagraphId"/>
          <w:b w:val="off"/>
          <w:i w:val="off"/>
        </w:rPr>
        <w:t>[64]</w:t>
      </w:r>
      <w:r>
        <w:rPr>
          <w:szCs w:val="22"/>
          <w:lang w:val="en-GB"/>
        </w:rPr>
        <w:t>The use of PCR to detect ‘</w:t>
      </w:r>
      <w:r>
        <w:rPr>
          <w:i/>
          <w:szCs w:val="22"/>
          <w:lang w:val="en-GB"/>
        </w:rPr>
        <w:t>Ca. </w:t>
      </w:r>
      <w:r>
        <w:rPr>
          <w:szCs w:val="22"/>
          <w:lang w:val="en-GB"/>
        </w:rPr>
        <w:t>Liberibacter’ spp. in a vector is a very useful tool for surveillance because it allows detection of the pathogen in the insect before the appearance of the symptoms.</w:t>
      </w:r>
      <w:r>
        <w:rPr>
          <w:i/>
          <w:iCs/>
          <w:szCs w:val="22"/>
          <w:lang w:val="en-GB"/>
        </w:rPr>
        <w:t xml:space="preserve"> </w:t>
      </w:r>
      <w:r>
        <w:rPr>
          <w:szCs w:val="22"/>
          <w:lang w:val="en-GB"/>
        </w:rPr>
        <w:t xml:space="preserve">Molecular </w:t>
      </w:r>
      <w:r>
        <w:rPr>
          <w:szCs w:val="22"/>
          <w:lang w:val="en-GB" w:eastAsia="zh-CN"/>
        </w:rPr>
        <w:t>d</w:t>
      </w:r>
      <w:r>
        <w:rPr>
          <w:szCs w:val="22"/>
          <w:lang w:val="en-GB"/>
        </w:rPr>
        <w:t xml:space="preserve">etection is the method that may detect the bacterium in a single adult or in the third, fourth and fifth </w:t>
        <w:lastRenderedPageBreak/>
        <w:t>instars of the psyllid (</w:t>
      </w:r>
      <w:r>
        <w:rPr>
          <w:rFonts w:eastAsia="Times-Roman"/>
          <w:szCs w:val="22"/>
          <w:lang w:val="en-GB" w:eastAsia="es-MX"/>
        </w:rPr>
        <w:t xml:space="preserve">Manjunath </w:t>
      </w:r>
      <w:r>
        <w:rPr>
          <w:rFonts w:eastAsia="Times-Roman"/>
          <w:i/>
          <w:szCs w:val="22"/>
          <w:lang w:val="en-GB" w:eastAsia="es-MX"/>
        </w:rPr>
        <w:t>et</w:t>
      </w:r>
      <w:r>
        <w:rPr>
          <w:rFonts w:eastAsia="Calibri"/>
          <w:i/>
          <w:szCs w:val="22"/>
          <w:lang w:val="en-GB" w:eastAsia="es-ES"/>
        </w:rPr>
        <w:t> </w:t>
      </w:r>
      <w:r>
        <w:rPr>
          <w:rFonts w:eastAsia="Times-Roman"/>
          <w:i/>
          <w:szCs w:val="22"/>
          <w:lang w:val="en-GB" w:eastAsia="es-MX"/>
        </w:rPr>
        <w:t>al</w:t>
      </w:r>
      <w:r>
        <w:rPr>
          <w:rFonts w:eastAsia="Times-Roman"/>
          <w:szCs w:val="22"/>
          <w:lang w:val="en-GB" w:eastAsia="es-MX"/>
        </w:rPr>
        <w:t>., 2008)</w:t>
      </w:r>
      <w:r>
        <w:rPr>
          <w:szCs w:val="22"/>
          <w:lang w:val="en-GB"/>
        </w:rPr>
        <w:t>. Nguyen,</w:t>
      </w:r>
      <w:r>
        <w:rPr>
          <w:szCs w:val="22"/>
          <w:lang w:val="en-GB" w:eastAsia="zh-CN"/>
        </w:rPr>
        <w:t xml:space="preserve"> Le and Nguyen (</w:t>
      </w:r>
      <w:r>
        <w:rPr>
          <w:szCs w:val="22"/>
          <w:lang w:val="en-GB"/>
        </w:rPr>
        <w:t xml:space="preserve">2003) showed that HLB-infected psyllids contain a higher titre of the bacterium than HLB-infected plant tissue. </w:t>
      </w:r>
    </w:p>
    <w:p w14:paraId="0AC7C517" w14:textId="7B0DA4F7">
      <w:pPr>
        <w:pStyle w:val="IPPParagraphnumbering"/>
        <w:numPr>
          <w:ilvl w:val="0"/>
          <w:numId w:val="0"/>
        </w:numPr>
        <w:tabs>
          <w:tab w:val="left" w:pos="435"/>
          <w:tab w:val="left" w:pos="4410"/>
        </w:tabs>
        <w:rPr>
          <w:b/>
          <w:szCs w:val="22"/>
          <w:lang w:val="en-GB"/>
        </w:rPr>
      </w:pPr>
      <w:r>
        <w:rPr>
          <w:rStyle w:val="PleaseReviewParagraphId"/>
          <w:b w:val="off"/>
          <w:i w:val="off"/>
        </w:rPr>
        <w:t>[65]</w:t>
      </w:r>
      <w:r>
        <w:rPr>
          <w:rFonts w:cs="Arial"/>
          <w:szCs w:val="22"/>
          <w:lang w:val="en-GB"/>
        </w:rPr>
        <w:t>Loop mediated isothermal amplification (LAMP) has been adapted for the sensitive detection of ‘</w:t>
      </w:r>
      <w:r>
        <w:rPr>
          <w:rFonts w:cs="Arial"/>
          <w:i/>
          <w:iCs/>
          <w:szCs w:val="22"/>
          <w:lang w:val="en-GB"/>
        </w:rPr>
        <w:t>Ca. </w:t>
      </w:r>
      <w:r>
        <w:rPr>
          <w:rFonts w:cs="Arial"/>
          <w:szCs w:val="22"/>
        </w:rPr>
        <w:t xml:space="preserve">L. asiaticus’ (Okuda </w:t>
      </w:r>
      <w:r>
        <w:rPr>
          <w:rFonts w:cs="Arial"/>
          <w:i/>
          <w:iCs/>
          <w:szCs w:val="22"/>
        </w:rPr>
        <w:t>et</w:t>
      </w:r>
      <w:r>
        <w:rPr>
          <w:rFonts w:eastAsia="Calibri"/>
          <w:i/>
          <w:iCs/>
          <w:szCs w:val="22"/>
          <w:lang w:eastAsia="es-ES"/>
        </w:rPr>
        <w:t> </w:t>
      </w:r>
      <w:r>
        <w:rPr>
          <w:rFonts w:cs="Arial"/>
          <w:i/>
          <w:iCs/>
          <w:szCs w:val="22"/>
        </w:rPr>
        <w:t>al.</w:t>
      </w:r>
      <w:r>
        <w:rPr>
          <w:rFonts w:cs="Arial"/>
          <w:szCs w:val="22"/>
        </w:rPr>
        <w:t xml:space="preserve">, 2005, Rigano </w:t>
      </w:r>
      <w:r>
        <w:rPr>
          <w:rFonts w:cs="Arial"/>
          <w:i/>
          <w:iCs/>
          <w:szCs w:val="22"/>
        </w:rPr>
        <w:t>et</w:t>
      </w:r>
      <w:r>
        <w:rPr>
          <w:rFonts w:eastAsia="Calibri"/>
          <w:i/>
          <w:iCs/>
          <w:szCs w:val="22"/>
          <w:lang w:eastAsia="es-ES"/>
        </w:rPr>
        <w:t> </w:t>
      </w:r>
      <w:r>
        <w:rPr>
          <w:rFonts w:cs="Arial"/>
          <w:i/>
          <w:iCs/>
          <w:szCs w:val="22"/>
        </w:rPr>
        <w:t>al.</w:t>
      </w:r>
      <w:r>
        <w:rPr>
          <w:rFonts w:cs="Arial"/>
          <w:szCs w:val="22"/>
        </w:rPr>
        <w:t xml:space="preserve">, 2014; Keremane </w:t>
      </w:r>
      <w:r>
        <w:rPr>
          <w:rFonts w:cs="Arial"/>
          <w:i/>
          <w:iCs/>
          <w:szCs w:val="22"/>
        </w:rPr>
        <w:t>et</w:t>
      </w:r>
      <w:r>
        <w:rPr>
          <w:rFonts w:eastAsia="Calibri"/>
          <w:i/>
          <w:iCs/>
          <w:szCs w:val="22"/>
          <w:lang w:eastAsia="es-ES"/>
        </w:rPr>
        <w:t> </w:t>
      </w:r>
      <w:r>
        <w:rPr>
          <w:rFonts w:cs="Arial"/>
          <w:i/>
          <w:iCs/>
          <w:szCs w:val="22"/>
        </w:rPr>
        <w:t>al.</w:t>
      </w:r>
      <w:r>
        <w:rPr>
          <w:rFonts w:cs="Arial"/>
          <w:szCs w:val="22"/>
        </w:rPr>
        <w:t xml:space="preserve">, 2015; Choi </w:t>
      </w:r>
      <w:r>
        <w:rPr>
          <w:rFonts w:cs="Arial"/>
          <w:i/>
          <w:iCs/>
          <w:szCs w:val="22"/>
        </w:rPr>
        <w:t>et</w:t>
      </w:r>
      <w:r>
        <w:rPr>
          <w:rFonts w:eastAsia="Calibri"/>
          <w:i/>
          <w:iCs/>
          <w:szCs w:val="22"/>
          <w:lang w:eastAsia="es-ES"/>
        </w:rPr>
        <w:t> </w:t>
      </w:r>
      <w:r>
        <w:rPr>
          <w:rFonts w:cs="Arial"/>
          <w:i/>
          <w:iCs/>
          <w:szCs w:val="22"/>
        </w:rPr>
        <w:t>al.</w:t>
      </w:r>
      <w:r>
        <w:rPr>
          <w:rFonts w:cs="Arial"/>
          <w:szCs w:val="22"/>
        </w:rPr>
        <w:t xml:space="preserve">, 2018). </w:t>
      </w:r>
      <w:r>
        <w:rPr>
          <w:rFonts w:cs="Arial"/>
          <w:szCs w:val="22"/>
          <w:lang w:val="en-GB"/>
        </w:rPr>
        <w:t>Such LAMP-based methods are performed at a constant temperature, can be used on crude DNA extractions, and have shown promise for on-site diagnostics. However, these methods have not yet been well validated for routine diagnosis of ‘</w:t>
      </w:r>
      <w:r>
        <w:rPr>
          <w:rFonts w:cs="Arial"/>
          <w:i/>
          <w:iCs/>
          <w:szCs w:val="22"/>
          <w:lang w:val="en-GB"/>
        </w:rPr>
        <w:t>Ca. </w:t>
      </w:r>
      <w:r>
        <w:rPr>
          <w:rFonts w:cs="Arial"/>
          <w:szCs w:val="22"/>
          <w:lang w:val="en-GB"/>
        </w:rPr>
        <w:t xml:space="preserve">L.  asiaticus’ and hence are not included in this diagnostic protocol. </w:t>
      </w:r>
    </w:p>
    <w:p w14:paraId="62322C2E" w14:textId="056B9706">
      <w:pPr>
        <w:pStyle w:val="IPPParagraphnumbering"/>
        <w:numPr>
          <w:ilvl w:val="0"/>
          <w:numId w:val="0"/>
        </w:numPr>
        <w:tabs>
          <w:tab w:val="left" w:pos="435"/>
          <w:tab w:val="left" w:pos="4410"/>
        </w:tabs>
        <w:rPr>
          <w:b/>
          <w:szCs w:val="22"/>
          <w:lang w:val="en-GB"/>
        </w:rPr>
      </w:pPr>
      <w:r>
        <w:rPr>
          <w:rStyle w:val="PleaseReviewParagraphId"/>
          <w:b w:val="off"/>
          <w:i w:val="off"/>
        </w:rPr>
        <w:t>[66]</w:t>
      </w:r>
      <w:r>
        <w:rPr>
          <w:lang w:val="en-GB"/>
        </w:rPr>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190624E9" w14:textId="58A779AF">
      <w:pPr>
        <w:pStyle w:val="IPPHeading2"/>
      </w:pPr>
      <w:r>
        <w:rPr>
          <w:rStyle w:val="PleaseReviewParagraphId"/>
          <w:b w:val="off"/>
          <w:i w:val="off"/>
        </w:rPr>
        <w:t>[67]</w:t>
      </w:r>
      <w:r>
        <w:t>3.1</w:t>
        <w:tab/>
        <w:t>Symptoms</w:t>
      </w:r>
    </w:p>
    <w:p w14:paraId="433A81E8" w14:textId="54FDD972">
      <w:pPr>
        <w:pStyle w:val="IPPParagraphnumbering"/>
        <w:numPr>
          <w:ilvl w:val="0"/>
          <w:numId w:val="0"/>
        </w:numPr>
        <w:tabs>
          <w:tab w:val="left" w:pos="435"/>
          <w:tab w:val="left" w:pos="4410"/>
        </w:tabs>
        <w:rPr>
          <w:lang w:val="en-GB" w:eastAsia="zh-CN"/>
        </w:rPr>
      </w:pPr>
      <w:r>
        <w:rPr>
          <w:rStyle w:val="PleaseReviewParagraphId"/>
          <w:b w:val="off"/>
          <w:i w:val="off"/>
        </w:rPr>
        <w:t>[68]</w:t>
      </w:r>
      <w:r>
        <w:rPr>
          <w:lang w:val="en-GB"/>
        </w:rPr>
        <w:t xml:space="preserve">Inspection is important for detection in symptomatic plants and is a routine method for </w:t>
      </w:r>
      <w:r>
        <w:rPr>
          <w:lang w:val="en-GB" w:eastAsia="zh-CN"/>
        </w:rPr>
        <w:t xml:space="preserve">the </w:t>
      </w:r>
      <w:r>
        <w:rPr>
          <w:lang w:val="en-GB"/>
        </w:rPr>
        <w:t>surveillance of HLB in areas where the disease is</w:t>
      </w:r>
      <w:r>
        <w:rPr>
          <w:lang w:val="en-GB" w:eastAsia="zh-CN"/>
        </w:rPr>
        <w:t xml:space="preserve"> </w:t>
      </w:r>
      <w:r>
        <w:rPr>
          <w:lang w:val="en-GB"/>
        </w:rPr>
        <w:t>n</w:t>
      </w:r>
      <w:r>
        <w:rPr>
          <w:lang w:val="en-GB" w:eastAsia="zh-CN"/>
        </w:rPr>
        <w:t>o</w:t>
      </w:r>
      <w:r>
        <w:rPr>
          <w:lang w:val="en-GB"/>
        </w:rPr>
        <w:t>t present</w:t>
      </w:r>
      <w:r>
        <w:rPr>
          <w:rFonts w:eastAsia="Calibri"/>
          <w:lang w:val="en-GB"/>
        </w:rPr>
        <w:t xml:space="preserve">. </w:t>
      </w:r>
      <w:r>
        <w:rPr>
          <w:lang w:val="en-GB" w:eastAsia="zh-CN"/>
        </w:rPr>
        <w:t>Yellow shoots and blotchy mottle symptoms on leaves are typical symptoms on HLB-infected trees and can be used on site as part of an initial diagnosis</w:t>
      </w:r>
      <w:r>
        <w:rPr>
          <w:rFonts w:eastAsia="Calibri"/>
          <w:lang w:val="en-GB"/>
        </w:rPr>
        <w:t>. However, symptoms can be confused with nutritional disorders (zinc, iron or manganese deficiencies) or with other</w:t>
      </w:r>
      <w:r>
        <w:rPr>
          <w:rFonts w:eastAsia="Calibri"/>
          <w:b/>
          <w:lang w:val="en-GB"/>
        </w:rPr>
        <w:t xml:space="preserve"> </w:t>
      </w:r>
      <w:r>
        <w:rPr>
          <w:rFonts w:eastAsia="Calibri"/>
          <w:lang w:val="en-GB"/>
        </w:rPr>
        <w:t xml:space="preserve">diseases (e.g. </w:t>
      </w:r>
      <w:r>
        <w:rPr>
          <w:lang w:val="en-GB"/>
        </w:rPr>
        <w:t>Australian citrus dieback (‘</w:t>
      </w:r>
      <w:r>
        <w:rPr>
          <w:i/>
          <w:iCs/>
          <w:lang w:val="en-GB"/>
        </w:rPr>
        <w:t>Candidatus</w:t>
      </w:r>
      <w:r>
        <w:rPr>
          <w:lang w:val="en-GB"/>
        </w:rPr>
        <w:t xml:space="preserve"> Phytoplasma’ sp.),</w:t>
      </w:r>
      <w:r>
        <w:rPr>
          <w:rFonts w:eastAsia="Calibri"/>
          <w:lang w:val="en-GB"/>
        </w:rPr>
        <w:t xml:space="preserve"> citrus blight, </w:t>
      </w:r>
      <w:r>
        <w:rPr>
          <w:rFonts w:eastAsia="Calibri"/>
          <w:i/>
          <w:lang w:val="en-GB"/>
        </w:rPr>
        <w:t>Citrus tristeza virus</w:t>
      </w:r>
      <w:r>
        <w:rPr>
          <w:rFonts w:eastAsia="Calibri"/>
          <w:iCs/>
          <w:lang w:val="en-GB"/>
        </w:rPr>
        <w:t>,</w:t>
      </w:r>
      <w:r>
        <w:rPr>
          <w:rFonts w:eastAsia="Calibri"/>
          <w:lang w:val="en-GB"/>
        </w:rPr>
        <w:t xml:space="preserve"> stubborn disease of citrus ( </w:t>
      </w:r>
      <w:r>
        <w:rPr>
          <w:rFonts w:eastAsia="Calibri"/>
          <w:i/>
          <w:iCs/>
          <w:lang w:val="en-GB"/>
        </w:rPr>
        <w:t>Spiroplasma citri</w:t>
      </w:r>
      <w:r>
        <w:rPr>
          <w:rFonts w:eastAsia="Calibri"/>
          <w:lang w:val="en-GB"/>
        </w:rPr>
        <w:t>)</w:t>
      </w:r>
      <w:r>
        <w:rPr>
          <w:lang w:val="en-GB"/>
        </w:rPr>
        <w:t>). ‘</w:t>
      </w:r>
      <w:r>
        <w:rPr>
          <w:i/>
          <w:lang w:val="en-GB"/>
        </w:rPr>
        <w:t>Ca</w:t>
      </w:r>
      <w:r>
        <w:rPr>
          <w:lang w:val="en-GB"/>
        </w:rPr>
        <w:t>. </w:t>
      </w:r>
      <w:r>
        <w:rPr>
          <w:rFonts w:eastAsia="Calibri"/>
          <w:lang w:val="en-GB"/>
        </w:rPr>
        <w:t>Liberibacter’ spp. can also be present in the host plant at a very low concentration and can be unevenly distributed in the host plant, resulting in sparse symptoms that are easy to miss.</w:t>
      </w:r>
      <w:r>
        <w:rPr>
          <w:lang w:val="en-GB" w:eastAsia="zh-CN"/>
        </w:rPr>
        <w:t xml:space="preserve"> </w:t>
      </w:r>
    </w:p>
    <w:p w14:paraId="36966EE8" w14:textId="17E5EBA7">
      <w:pPr>
        <w:pStyle w:val="IPPParagraphnumbering"/>
        <w:numPr>
          <w:ilvl w:val="0"/>
          <w:numId w:val="0"/>
        </w:numPr>
        <w:rPr>
          <w:lang w:val="en-GB"/>
        </w:rPr>
      </w:pPr>
      <w:r>
        <w:rPr>
          <w:rStyle w:val="PleaseReviewParagraphId"/>
          <w:b w:val="off"/>
          <w:i w:val="off"/>
        </w:rPr>
        <w:t>[69]</w:t>
      </w:r>
      <w:r>
        <w:rPr>
          <w:lang w:val="en-GB"/>
        </w:rPr>
        <w:t xml:space="preserve">Symptoms of HLB develop slowly. Infected trees gradually decline in vigour and yield and remain stunted or eventually die (Figure 1). The disease develops irregularly, so individual trees may show a mixture of normal and diseased sectors (Figure 2 and 3). This mixture within the same tree is a diagnostic characteristic (see </w:t>
      </w:r>
      <w:hyperlink w:history="1" r:id="rId13">
        <w:r>
          <w:rPr>
            <w:rStyle w:val="Hyperlink"/>
            <w:szCs w:val="22"/>
            <w:lang w:val="en-GB"/>
          </w:rPr>
          <w:t>https://iocv.ucr.edu/sites/g/files/rcwecm4696/files/huanglongbing-011.jpg</w:t>
        </w:r>
      </w:hyperlink>
      <w:r>
        <w:rPr>
          <w:lang w:val="en-GB"/>
        </w:rPr>
        <w:t>).</w:t>
      </w:r>
    </w:p>
    <w:p w14:paraId="44299B04" w14:textId="02FAB2B3">
      <w:pPr>
        <w:pStyle w:val="IPPParagraphnumbering"/>
        <w:numPr>
          <w:ilvl w:val="0"/>
          <w:numId w:val="0"/>
        </w:numPr>
        <w:rPr>
          <w:szCs w:val="22"/>
          <w:lang w:val="en-GB"/>
        </w:rPr>
      </w:pPr>
      <w:r>
        <w:rPr>
          <w:rStyle w:val="PleaseReviewParagraphId"/>
          <w:b w:val="off"/>
          <w:i w:val="off"/>
        </w:rPr>
        <w:t>[70]</w:t>
      </w:r>
      <w:r>
        <w:rPr>
          <w:szCs w:val="22"/>
          <w:lang w:val="en-GB"/>
        </w:rPr>
        <w:t>Symptoms first appear as leaf</w:t>
      </w:r>
      <w:r>
        <w:rPr>
          <w:color w:val="FF0000"/>
          <w:szCs w:val="22"/>
          <w:lang w:val="en-GB"/>
        </w:rPr>
        <w:t xml:space="preserve"> </w:t>
      </w:r>
      <w:r>
        <w:rPr>
          <w:szCs w:val="22"/>
          <w:lang w:val="en-GB"/>
        </w:rPr>
        <w:t>yellowing, followed by</w:t>
      </w:r>
      <w:r>
        <w:rPr>
          <w:color w:val="FF0000"/>
          <w:szCs w:val="22"/>
          <w:lang w:val="en-GB"/>
        </w:rPr>
        <w:t xml:space="preserve"> </w:t>
      </w:r>
      <w:r>
        <w:rPr>
          <w:szCs w:val="22"/>
          <w:lang w:val="en-GB"/>
        </w:rPr>
        <w:t xml:space="preserve">mottling and chlorosis in one shoot or sector of the tree. Later, leaf symptoms resemble nutritional deficiencies (zinc, copper or nitrogen) but may vary depending on the bacterial strain. The larger leaves on the base of branches turn yellow along the main and secondary veins and later change to a “blotchy mottle”, with the two halves of the leaf being asymmetrical in terms of the pattern of yellow and green. This is the most characteristic foliar symptom (see </w:t>
      </w:r>
      <w:hyperlink w:history="1" r:id="rId14">
        <w:r>
          <w:rPr>
            <w:rStyle w:val="Hyperlink"/>
            <w:szCs w:val="22"/>
            <w:lang w:val="en-GB"/>
          </w:rPr>
          <w:t>https://iocv.ucr.edu/sites/g/files/rcwecm4696/files/huanglongbing-041.jpg</w:t>
        </w:r>
      </w:hyperlink>
      <w:r>
        <w:rPr>
          <w:szCs w:val="22"/>
          <w:lang w:val="en-GB"/>
        </w:rPr>
        <w:t>).</w:t>
      </w:r>
    </w:p>
    <w:p w14:paraId="0B2CAF0A" w14:textId="53671480">
      <w:pPr>
        <w:pStyle w:val="IPPParagraphnumbering"/>
        <w:numPr>
          <w:ilvl w:val="0"/>
          <w:numId w:val="0"/>
        </w:numPr>
        <w:rPr>
          <w:szCs w:val="22"/>
          <w:lang w:val="en-GB"/>
        </w:rPr>
      </w:pPr>
      <w:r>
        <w:rPr>
          <w:rStyle w:val="PleaseReviewParagraphId"/>
          <w:b w:val="off"/>
          <w:i w:val="off"/>
        </w:rPr>
        <w:t>[71]</w:t>
      </w:r>
      <w:r>
        <w:rPr>
          <w:szCs w:val="22"/>
          <w:lang w:val="en-GB"/>
        </w:rPr>
        <w:t>As the discoloration spreads away from the veins, the leaves become pale to light yellow with unevenly distributed dark green patches. Leaves on weak terminal twigs are small, upright and show a variety of chlorotic patterns. Infected fruits have a bitter and salty taste and a reduced Brix ratio,</w:t>
      </w:r>
      <w:r>
        <w:rPr>
          <w:lang w:val="en-GB"/>
        </w:rPr>
        <w:t xml:space="preserve"> are smaller and of </w:t>
      </w:r>
      <w:r>
        <w:rPr>
          <w:szCs w:val="22"/>
          <w:lang w:val="en-GB"/>
        </w:rPr>
        <w:t xml:space="preserve">poor quality, often fail to develop normal fruit colour (colour inversion), and can fall prematurely (see </w:t>
      </w:r>
      <w:hyperlink w:history="1" r:id="rId15">
        <w:r>
          <w:rPr>
            <w:rStyle w:val="Hyperlink"/>
            <w:szCs w:val="22"/>
            <w:lang w:val="en-GB"/>
          </w:rPr>
          <w:t>https://iocv.ucr.edu/sites/g/files/rcwecm4696/files/huanglongbing-085.jpg</w:t>
        </w:r>
      </w:hyperlink>
      <w:r>
        <w:rPr>
          <w:szCs w:val="22"/>
          <w:lang w:val="en-GB"/>
        </w:rPr>
        <w:t>).</w:t>
      </w:r>
    </w:p>
    <w:p w14:paraId="4C43CA27" w14:textId="68D92FC9">
      <w:pPr>
        <w:pStyle w:val="IPPParagraphnumbering"/>
        <w:numPr>
          <w:ilvl w:val="0"/>
          <w:numId w:val="0"/>
        </w:numPr>
        <w:rPr>
          <w:szCs w:val="22"/>
          <w:lang w:val="en-GB"/>
        </w:rPr>
      </w:pPr>
      <w:r>
        <w:rPr>
          <w:rStyle w:val="PleaseReviewParagraphId"/>
          <w:b w:val="off"/>
          <w:i w:val="off"/>
        </w:rPr>
        <w:t>[72]</w:t>
      </w:r>
      <w:r>
        <w:rPr>
          <w:szCs w:val="22"/>
          <w:lang w:val="en-GB"/>
        </w:rPr>
        <w:t xml:space="preserve">The columella is curved, causing the fruit to be distorted and lopsided (see </w:t>
      </w:r>
      <w:hyperlink w:history="1" r:id="rId16">
        <w:r>
          <w:rPr>
            <w:rStyle w:val="Hyperlink"/>
            <w:szCs w:val="22"/>
            <w:lang w:val="en-GB"/>
          </w:rPr>
          <w:t>https://iocv.ucr.edu/sites/g/files/rcwecm4696/files/huanglongbing-092.jpg</w:t>
        </w:r>
      </w:hyperlink>
      <w:r>
        <w:rPr>
          <w:szCs w:val="22"/>
          <w:lang w:val="en-GB"/>
        </w:rPr>
        <w:t>). Seeds in the affected fruit are</w:t>
      </w:r>
      <w:r>
        <w:rPr>
          <w:szCs w:val="22"/>
          <w:lang w:val="en-GB" w:eastAsia="zh-CN"/>
        </w:rPr>
        <w:t xml:space="preserve"> usually</w:t>
      </w:r>
      <w:r>
        <w:rPr>
          <w:szCs w:val="22"/>
          <w:lang w:val="en-GB"/>
        </w:rPr>
        <w:t xml:space="preserve"> abortive.</w:t>
      </w:r>
    </w:p>
    <w:p w14:paraId="5FAF2ADC" w14:textId="19705EF4">
      <w:pPr>
        <w:pStyle w:val="IPPParagraphnumbering"/>
        <w:numPr>
          <w:ilvl w:val="0"/>
          <w:numId w:val="0"/>
        </w:numPr>
        <w:tabs>
          <w:tab w:val="left" w:pos="4962"/>
        </w:tabs>
        <w:jc w:val="left"/>
        <w:rPr>
          <w:b/>
          <w:szCs w:val="22"/>
          <w:lang w:val="en-GB"/>
        </w:rPr>
      </w:pPr>
      <w:r>
        <w:rPr>
          <w:rStyle w:val="PleaseReviewParagraphId"/>
          <w:b w:val="off"/>
          <w:i w:val="off"/>
        </w:rPr>
        <w:t>[73]</w:t>
      </w:r>
      <w:r>
        <w:rPr>
          <w:lang w:val="en-GB"/>
        </w:rPr>
        <w:t>Images of HLB symptoms and distinctive characteristics may be viewed at the EPPO Global Database (</w:t>
      </w:r>
      <w:hyperlink w:history="1" r:id="rId17">
        <w:r>
          <w:rPr>
            <w:rStyle w:val="Hyperlink"/>
            <w:lang w:val="en-GB"/>
          </w:rPr>
          <w:t>https://gd.eppo.int/taxon/LIBEAS/photos</w:t>
        </w:r>
      </w:hyperlink>
      <w:r>
        <w:rPr>
          <w:lang w:val="en-GB"/>
        </w:rPr>
        <w:t xml:space="preserve"> or </w:t>
      </w:r>
      <w:hyperlink w:history="1" r:id="rId18">
        <w:r>
          <w:rPr>
            <w:rStyle w:val="Hyperlink"/>
            <w:lang w:val="en-GB"/>
          </w:rPr>
          <w:t>https://iocv.ucr.edu/citrus-diseases/huanglongbing</w:t>
        </w:r>
      </w:hyperlink>
      <w:r>
        <w:rPr>
          <w:lang w:val="en-GB"/>
        </w:rPr>
        <w:t>).</w:t>
      </w:r>
    </w:p>
    <w:p w14:paraId="28B41F54" w14:textId="111AD8A8">
      <w:pPr>
        <w:pStyle w:val="IPPHeading2"/>
      </w:pPr>
      <w:r>
        <w:rPr>
          <w:rStyle w:val="PleaseReviewParagraphId"/>
          <w:b w:val="off"/>
          <w:i w:val="off"/>
        </w:rPr>
        <w:t>[74]</w:t>
      </w:r>
      <w:r>
        <w:t>3.2</w:t>
        <w:tab/>
        <w:t>Sampling and sample preparation</w:t>
      </w:r>
    </w:p>
    <w:p w14:paraId="7D77E7F0" w14:textId="19ED6620">
      <w:pPr>
        <w:pStyle w:val="IPPParagraphnumbering"/>
        <w:numPr>
          <w:ilvl w:val="0"/>
          <w:numId w:val="0"/>
        </w:numPr>
        <w:rPr>
          <w:b/>
        </w:rPr>
      </w:pPr>
      <w:r>
        <w:rPr>
          <w:rStyle w:val="PleaseReviewParagraphId"/>
          <w:b w:val="off"/>
          <w:i w:val="off"/>
        </w:rPr>
        <w:t>[75]</w:t>
      </w:r>
      <w:r>
        <w:t>Huanglongbing is a systemic disease of citrus, and ‘</w:t>
      </w:r>
      <w:r>
        <w:rPr>
          <w:i/>
          <w:iCs/>
        </w:rPr>
        <w:t>Ca. </w:t>
      </w:r>
      <w:r>
        <w:t xml:space="preserve">L. asiaticus’ has been detected in bark tissue, leaf midrib, roots, and different floral and fruit parts of infected citrus trees (Tatineni </w:t>
      </w:r>
      <w:r>
        <w:rPr>
          <w:i/>
          <w:iCs/>
        </w:rPr>
        <w:t>et</w:t>
      </w:r>
      <w:r>
        <w:rPr>
          <w:rFonts w:eastAsia="Calibri"/>
          <w:i/>
          <w:iCs/>
          <w:lang w:eastAsia="es-ES"/>
        </w:rPr>
        <w:t> </w:t>
      </w:r>
      <w:r>
        <w:rPr>
          <w:i/>
          <w:iCs/>
        </w:rPr>
        <w:t>al.</w:t>
      </w:r>
      <w:r>
        <w:t xml:space="preserve">, 2008). </w:t>
      </w:r>
    </w:p>
    <w:p w14:paraId="7FCBBD7B" w14:textId="46EFA277">
      <w:pPr>
        <w:pStyle w:val="IPPHeading2"/>
      </w:pPr>
      <w:r>
        <w:rPr>
          <w:rStyle w:val="PleaseReviewParagraphId"/>
          <w:b w:val="off"/>
          <w:i w:val="off"/>
        </w:rPr>
        <w:t>[76]</w:t>
      </w:r>
      <w:r>
        <w:lastRenderedPageBreak/>
        <w:t>3.2.1</w:t>
        <w:tab/>
        <w:t>S</w:t>
      </w:r>
      <w:r>
        <w:rPr>
          <w:bCs/>
        </w:rPr>
        <w:t xml:space="preserve">ymptomatic </w:t>
      </w:r>
      <w:r>
        <w:t>material</w:t>
      </w:r>
    </w:p>
    <w:p w14:paraId="463109E0" w14:textId="5447E328">
      <w:pPr>
        <w:pStyle w:val="IPPParagraphnumbering"/>
        <w:numPr>
          <w:ilvl w:val="0"/>
          <w:numId w:val="0"/>
        </w:numPr>
        <w:spacing w:after="120"/>
        <w:rPr>
          <w:szCs w:val="22"/>
          <w:lang w:val="en-GB" w:eastAsia="zh-CN"/>
        </w:rPr>
      </w:pPr>
      <w:r>
        <w:rPr>
          <w:rStyle w:val="PleaseReviewParagraphId"/>
          <w:b w:val="off"/>
          <w:i w:val="off"/>
        </w:rPr>
        <w:t>[77]</w:t>
      </w:r>
      <w:r>
        <w:rPr>
          <w:bCs/>
          <w:szCs w:val="22"/>
          <w:lang w:val="en-GB"/>
        </w:rPr>
        <w:t xml:space="preserve">An appropriate sample from a symptomatic tree consists of five to ten leaves (NAPPO, 2012). Tissue prints of the petioles or the basal part of the leaves on membranes can also be used, as described by Bertolini </w:t>
      </w:r>
      <w:r>
        <w:rPr>
          <w:bCs/>
          <w:i/>
          <w:iCs/>
          <w:szCs w:val="22"/>
          <w:lang w:val="en-GB"/>
        </w:rPr>
        <w:t>et</w:t>
      </w:r>
      <w:r>
        <w:rPr>
          <w:rFonts w:eastAsia="Calibri"/>
          <w:i/>
          <w:iCs/>
          <w:szCs w:val="22"/>
          <w:lang w:val="en-GB" w:eastAsia="es-ES"/>
        </w:rPr>
        <w:t> </w:t>
      </w:r>
      <w:r>
        <w:rPr>
          <w:bCs/>
          <w:i/>
          <w:iCs/>
          <w:szCs w:val="22"/>
          <w:lang w:val="en-GB"/>
        </w:rPr>
        <w:t>al.</w:t>
      </w:r>
      <w:r>
        <w:rPr>
          <w:bCs/>
          <w:szCs w:val="22"/>
          <w:lang w:val="en-GB"/>
        </w:rPr>
        <w:t xml:space="preserve"> (2014) and Siverio </w:t>
      </w:r>
      <w:r>
        <w:rPr>
          <w:bCs/>
          <w:i/>
          <w:iCs/>
          <w:szCs w:val="22"/>
          <w:lang w:val="en-GB"/>
        </w:rPr>
        <w:t>et</w:t>
      </w:r>
      <w:r>
        <w:rPr>
          <w:rFonts w:eastAsia="Calibri"/>
          <w:i/>
          <w:iCs/>
          <w:szCs w:val="22"/>
          <w:lang w:val="en-GB" w:eastAsia="es-ES"/>
        </w:rPr>
        <w:t> </w:t>
      </w:r>
      <w:r>
        <w:rPr>
          <w:bCs/>
          <w:i/>
          <w:iCs/>
          <w:szCs w:val="22"/>
          <w:lang w:val="en-GB"/>
        </w:rPr>
        <w:t xml:space="preserve">al. </w:t>
      </w:r>
      <w:r>
        <w:rPr>
          <w:bCs/>
          <w:szCs w:val="22"/>
          <w:lang w:val="en-GB"/>
        </w:rPr>
        <w:t>(2017) (see section 3.4.1). The leaf samples are</w:t>
      </w:r>
      <w:r>
        <w:rPr>
          <w:szCs w:val="22"/>
          <w:lang w:val="en-GB"/>
        </w:rPr>
        <w:t xml:space="preserve"> placed in a labelled plastic bag (one bag per tree), stored in a cool box while in the field, and refrigerated as soon as possible. Leaves can be processed at any time up to three weeks after collection if kept in sealed plastic bags or other sealed containers at 4 °C and if no decay has occurred. The midribs of collected leaves are excised and processed for DNA extraction</w:t>
      </w:r>
      <w:r>
        <w:rPr>
          <w:b/>
          <w:szCs w:val="22"/>
          <w:lang w:val="en-GB"/>
        </w:rPr>
        <w:t xml:space="preserve"> </w:t>
      </w:r>
      <w:r>
        <w:rPr>
          <w:szCs w:val="22"/>
          <w:lang w:val="en-GB"/>
        </w:rPr>
        <w:t>because the leaf midribs are enriched in phloem vessels and as consequence</w:t>
      </w:r>
      <w:r>
        <w:rPr>
          <w:rStyle w:val="CommentTextChar"/>
          <w:rFonts w:eastAsia="MS Mincho"/>
          <w:color w:val="FF0000"/>
          <w:lang w:val="en-GB"/>
        </w:rPr>
        <w:t xml:space="preserve"> </w:t>
      </w:r>
      <w:r>
        <w:rPr>
          <w:szCs w:val="22"/>
          <w:lang w:val="en-GB"/>
        </w:rPr>
        <w:t>have a higher titre of ‘</w:t>
      </w:r>
      <w:r>
        <w:rPr>
          <w:i/>
          <w:iCs/>
          <w:szCs w:val="22"/>
          <w:lang w:val="en-GB"/>
        </w:rPr>
        <w:t>Ca. </w:t>
      </w:r>
      <w:r>
        <w:rPr>
          <w:szCs w:val="22"/>
          <w:lang w:val="en-GB"/>
        </w:rPr>
        <w:t>Liberibacter’ cells. The older leaves and longer infected plants yield a higher titre of Liberibacter DNA (</w:t>
      </w:r>
      <w:r>
        <w:rPr>
          <w:lang w:val="en-GB"/>
        </w:rPr>
        <w:t>Nguyen, Le and Nguyen,</w:t>
      </w:r>
      <w:r>
        <w:rPr>
          <w:szCs w:val="22"/>
          <w:lang w:val="en-GB"/>
        </w:rPr>
        <w:t xml:space="preserve"> 2003</w:t>
      </w:r>
      <w:r>
        <w:rPr>
          <w:szCs w:val="22"/>
          <w:lang w:val="en-GB" w:eastAsia="zh-CN"/>
        </w:rPr>
        <w:t>)</w:t>
      </w:r>
      <w:r>
        <w:rPr>
          <w:szCs w:val="22"/>
          <w:lang w:val="en-GB"/>
        </w:rPr>
        <w:t>. There is also a higher titre of bacterial DNA in sieve tube cells of citrus leaf midribs than in lamina tissue</w:t>
      </w:r>
      <w:r>
        <w:rPr>
          <w:szCs w:val="22"/>
          <w:lang w:val="en-GB" w:eastAsia="zh-CN"/>
        </w:rPr>
        <w:t xml:space="preserve"> </w:t>
      </w:r>
      <w:r>
        <w:rPr>
          <w:szCs w:val="22"/>
          <w:lang w:val="en-GB"/>
        </w:rPr>
        <w:t>(</w:t>
      </w:r>
      <w:r>
        <w:rPr>
          <w:szCs w:val="22"/>
          <w:lang w:val="en-GB" w:eastAsia="zh-CN"/>
        </w:rPr>
        <w:t>d</w:t>
      </w:r>
      <w:r>
        <w:rPr>
          <w:szCs w:val="22"/>
          <w:lang w:val="en-GB"/>
        </w:rPr>
        <w:t>a G</w:t>
      </w:r>
      <w:r>
        <w:rPr>
          <w:szCs w:val="22"/>
          <w:lang w:val="en-GB" w:eastAsia="zh-CN"/>
        </w:rPr>
        <w:t>r</w:t>
      </w:r>
      <w:r>
        <w:rPr>
          <w:szCs w:val="22"/>
          <w:lang w:val="en-GB"/>
        </w:rPr>
        <w:t>aça, 1991</w:t>
      </w:r>
      <w:r>
        <w:rPr>
          <w:szCs w:val="22"/>
          <w:lang w:val="en-GB" w:eastAsia="zh-CN"/>
        </w:rPr>
        <w:t xml:space="preserve">; </w:t>
      </w:r>
      <w:r>
        <w:rPr>
          <w:szCs w:val="22"/>
          <w:lang w:val="en-GB"/>
        </w:rPr>
        <w:t>Wang</w:t>
      </w:r>
      <w:r>
        <w:rPr>
          <w:szCs w:val="22"/>
          <w:lang w:val="en-GB" w:eastAsia="zh-CN"/>
        </w:rPr>
        <w:t xml:space="preserve"> </w:t>
      </w:r>
      <w:r>
        <w:rPr>
          <w:i/>
          <w:iCs/>
          <w:szCs w:val="22"/>
          <w:lang w:val="en-GB" w:eastAsia="zh-CN"/>
        </w:rPr>
        <w:t>et al.</w:t>
      </w:r>
      <w:r>
        <w:rPr>
          <w:szCs w:val="22"/>
          <w:lang w:val="en-GB" w:eastAsia="zh-CN"/>
        </w:rPr>
        <w:t>, 2006).</w:t>
      </w:r>
    </w:p>
    <w:p w14:paraId="6254A952" w14:textId="24E9532A">
      <w:pPr>
        <w:pStyle w:val="IPPHeading2"/>
        <w:rPr>
          <w:lang w:eastAsia="zh-CN"/>
        </w:rPr>
      </w:pPr>
      <w:r>
        <w:rPr>
          <w:rStyle w:val="PleaseReviewParagraphId"/>
          <w:b w:val="off"/>
          <w:i w:val="off"/>
        </w:rPr>
        <w:t>[78]</w:t>
      </w:r>
      <w:r>
        <w:t>3.2.2</w:t>
        <w:tab/>
        <w:t>Asymptomatic</w:t>
      </w:r>
      <w:r>
        <w:rPr>
          <w:bCs/>
        </w:rPr>
        <w:t xml:space="preserve"> </w:t>
      </w:r>
      <w:r>
        <w:t>material</w:t>
      </w:r>
    </w:p>
    <w:p w14:paraId="64F08B8C" w14:textId="25080242">
      <w:pPr>
        <w:pStyle w:val="IPPParagraphnumbering"/>
        <w:numPr>
          <w:ilvl w:val="0"/>
          <w:numId w:val="0"/>
        </w:numPr>
        <w:rPr>
          <w:szCs w:val="22"/>
          <w:lang w:val="en-GB"/>
        </w:rPr>
      </w:pPr>
      <w:r>
        <w:rPr>
          <w:rStyle w:val="PleaseReviewParagraphId"/>
          <w:b w:val="off"/>
          <w:i w:val="off"/>
        </w:rPr>
        <w:t>[79]</w:t>
      </w:r>
      <w:r>
        <w:rPr>
          <w:szCs w:val="22"/>
          <w:lang w:val="en-GB"/>
        </w:rPr>
        <w:t xml:space="preserve">An appropriate sample from a symptomless tree consists of at least ten mature leaves collected from around the canopy of a tree (EPPO, 2014). For small trees (e.g. in a nursery), three to four leaves per tree are collected. The sampled leaves are placed in a labelled plastic bag (one bag per tree), stored in a cool box while in the field, and refrigerated as soon as possible. Leaves should be kept in sealed plastic bags or sealed containers at 4 °C and processed as soon as possible. </w:t>
      </w:r>
    </w:p>
    <w:p w14:paraId="7B26751D" w14:textId="3F4B66CF">
      <w:pPr>
        <w:pStyle w:val="IPPHeading2"/>
        <w:rPr>
          <w:lang w:eastAsia="zh-CN"/>
        </w:rPr>
      </w:pPr>
      <w:r>
        <w:rPr>
          <w:rStyle w:val="PleaseReviewParagraphId"/>
          <w:b w:val="off"/>
          <w:i w:val="off"/>
        </w:rPr>
        <w:t>[80]</w:t>
      </w:r>
      <w:r>
        <w:t>3.2.3</w:t>
        <w:tab/>
        <w:t>Psyllids</w:t>
      </w:r>
    </w:p>
    <w:p w14:paraId="0D67D206" w14:textId="6D56E0B6">
      <w:pPr>
        <w:pStyle w:val="IPPParagraphnumbering"/>
        <w:numPr>
          <w:ilvl w:val="0"/>
          <w:numId w:val="0"/>
        </w:numPr>
        <w:rPr>
          <w:szCs w:val="22"/>
          <w:lang w:val="en-GB" w:eastAsia="es-MX"/>
        </w:rPr>
      </w:pPr>
      <w:r>
        <w:rPr>
          <w:rStyle w:val="PleaseReviewParagraphId"/>
          <w:b w:val="off"/>
          <w:i w:val="off"/>
        </w:rPr>
        <w:t>[81]</w:t>
      </w:r>
      <w:r>
        <w:rPr>
          <w:szCs w:val="22"/>
          <w:lang w:val="en-GB"/>
        </w:rPr>
        <w:t>The preparation of the specimen or specimens consists of placing the adults or nymph</w:t>
      </w:r>
      <w:r>
        <w:rPr>
          <w:szCs w:val="22"/>
          <w:lang w:val="en-GB" w:eastAsia="zh-CN"/>
        </w:rPr>
        <w:t>s</w:t>
      </w:r>
      <w:r>
        <w:rPr>
          <w:szCs w:val="22"/>
          <w:lang w:val="en-GB"/>
        </w:rPr>
        <w:t xml:space="preserve"> in a labelled vial and then either processing them for DNA extraction immediately or preserving them in 70% ethanol. The insects may also be squashed onto membranes (see section 3.4.2).</w:t>
      </w:r>
    </w:p>
    <w:p w14:paraId="62F0E6A7" w14:textId="38F7A652">
      <w:pPr>
        <w:pStyle w:val="IPPHeading2"/>
      </w:pPr>
      <w:r>
        <w:rPr>
          <w:rStyle w:val="PleaseReviewParagraphId"/>
          <w:b w:val="off"/>
          <w:i w:val="off"/>
        </w:rPr>
        <w:t>[82]</w:t>
      </w:r>
      <w:r>
        <w:t>3.3</w:t>
        <w:tab/>
        <w:t xml:space="preserve">Biological detection (graft transmission) </w:t>
      </w:r>
    </w:p>
    <w:p w14:paraId="4ECD7088" w14:textId="61325EA1">
      <w:pPr>
        <w:pStyle w:val="IPPParagraphnumbering"/>
        <w:numPr>
          <w:ilvl w:val="0"/>
          <w:numId w:val="0"/>
        </w:numPr>
        <w:rPr>
          <w:szCs w:val="22"/>
          <w:lang w:val="en-GB"/>
        </w:rPr>
      </w:pPr>
      <w:r>
        <w:rPr>
          <w:rStyle w:val="PleaseReviewParagraphId"/>
          <w:b w:val="off"/>
          <w:i w:val="off"/>
        </w:rPr>
        <w:t>[83]</w:t>
      </w:r>
      <w:r>
        <w:rPr>
          <w:szCs w:val="22"/>
          <w:lang w:val="en-GB"/>
        </w:rPr>
        <w:t xml:space="preserve">Biological indexing is a reliable technique for </w:t>
      </w:r>
      <w:r>
        <w:rPr>
          <w:szCs w:val="22"/>
          <w:lang w:val="en-GB" w:eastAsia="zh-CN"/>
        </w:rPr>
        <w:t>‘</w:t>
      </w:r>
      <w:r>
        <w:rPr>
          <w:i/>
          <w:szCs w:val="22"/>
          <w:lang w:val="en-GB"/>
        </w:rPr>
        <w:t>Ca</w:t>
      </w:r>
      <w:r>
        <w:rPr>
          <w:szCs w:val="22"/>
          <w:lang w:val="en-GB"/>
        </w:rPr>
        <w:t xml:space="preserve">. Liberibacter’ species detection despite the low rate of graft transmission and is suitable as a screening test for use by diagnosticians who have experience with symptom observation. The indicators used commonly are </w:t>
      </w:r>
      <w:r>
        <w:rPr>
          <w:i/>
          <w:szCs w:val="22"/>
          <w:lang w:val="en-GB"/>
        </w:rPr>
        <w:t xml:space="preserve">C. sinensis </w:t>
      </w:r>
      <w:r>
        <w:rPr>
          <w:iCs/>
          <w:szCs w:val="22"/>
          <w:lang w:val="en-GB"/>
        </w:rPr>
        <w:t>(</w:t>
      </w:r>
      <w:r>
        <w:rPr>
          <w:szCs w:val="22"/>
          <w:lang w:val="en-GB"/>
        </w:rPr>
        <w:t xml:space="preserve">sweet orange) or </w:t>
      </w:r>
      <w:r>
        <w:rPr>
          <w:i/>
          <w:szCs w:val="22"/>
          <w:lang w:val="en-GB"/>
        </w:rPr>
        <w:t>C</w:t>
      </w:r>
      <w:r>
        <w:rPr>
          <w:i/>
          <w:iCs/>
          <w:szCs w:val="22"/>
          <w:lang w:val="en-GB"/>
        </w:rPr>
        <w:t>.</w:t>
      </w:r>
      <w:r>
        <w:rPr>
          <w:szCs w:val="22"/>
          <w:lang w:val="en-GB"/>
        </w:rPr>
        <w:t> </w:t>
      </w:r>
      <w:r>
        <w:rPr>
          <w:i/>
          <w:szCs w:val="22"/>
          <w:lang w:val="en-GB"/>
        </w:rPr>
        <w:t xml:space="preserve">reticulata </w:t>
      </w:r>
      <w:r>
        <w:rPr>
          <w:iCs/>
          <w:szCs w:val="22"/>
          <w:lang w:val="en-GB"/>
        </w:rPr>
        <w:t>(</w:t>
      </w:r>
      <w:r>
        <w:rPr>
          <w:szCs w:val="22"/>
          <w:lang w:val="en-GB"/>
        </w:rPr>
        <w:t>mandarin) for ‘</w:t>
      </w:r>
      <w:r>
        <w:rPr>
          <w:i/>
          <w:szCs w:val="22"/>
          <w:lang w:val="en-GB"/>
        </w:rPr>
        <w:t>Ca</w:t>
      </w:r>
      <w:r>
        <w:rPr>
          <w:szCs w:val="22"/>
          <w:lang w:val="en-GB"/>
        </w:rPr>
        <w:t>. L. asiaticus’, sweet orange or (</w:t>
      </w:r>
      <w:r>
        <w:rPr>
          <w:i/>
          <w:iCs/>
          <w:szCs w:val="22"/>
          <w:lang w:val="en-GB"/>
        </w:rPr>
        <w:t>Citrus</w:t>
      </w:r>
      <w:r>
        <w:rPr>
          <w:szCs w:val="22"/>
          <w:lang w:val="en-GB"/>
        </w:rPr>
        <w:t xml:space="preserve"> x </w:t>
      </w:r>
      <w:r>
        <w:rPr>
          <w:i/>
          <w:iCs/>
          <w:szCs w:val="22"/>
          <w:lang w:val="en-GB"/>
        </w:rPr>
        <w:t>tangelo</w:t>
      </w:r>
      <w:r>
        <w:rPr>
          <w:szCs w:val="22"/>
          <w:lang w:val="en-GB"/>
        </w:rPr>
        <w:t xml:space="preserve"> (Orlando tangelo) for ‘</w:t>
      </w:r>
      <w:r>
        <w:rPr>
          <w:i/>
          <w:szCs w:val="22"/>
          <w:lang w:val="en-GB"/>
        </w:rPr>
        <w:t>Ca</w:t>
      </w:r>
      <w:r>
        <w:rPr>
          <w:szCs w:val="22"/>
          <w:lang w:val="en-GB"/>
        </w:rPr>
        <w:t xml:space="preserve">. L. africanus’, and </w:t>
      </w:r>
      <w:r>
        <w:rPr>
          <w:i/>
          <w:iCs/>
          <w:szCs w:val="22"/>
          <w:lang w:val="en-GB"/>
        </w:rPr>
        <w:t>C. sinensis</w:t>
      </w:r>
      <w:r>
        <w:rPr>
          <w:szCs w:val="22"/>
          <w:lang w:val="en-GB"/>
        </w:rPr>
        <w:t xml:space="preserve"> or </w:t>
      </w:r>
      <w:r>
        <w:rPr>
          <w:i/>
          <w:szCs w:val="22"/>
          <w:lang w:val="en-GB"/>
        </w:rPr>
        <w:t>C. reticulata </w:t>
      </w:r>
      <w:r>
        <w:rPr>
          <w:iCs/>
          <w:szCs w:val="22"/>
          <w:lang w:val="en-GB"/>
        </w:rPr>
        <w:t>× </w:t>
      </w:r>
      <w:r>
        <w:rPr>
          <w:i/>
          <w:szCs w:val="22"/>
          <w:lang w:val="en-GB"/>
        </w:rPr>
        <w:t xml:space="preserve">C. sinensis </w:t>
      </w:r>
      <w:r>
        <w:rPr>
          <w:iCs/>
          <w:szCs w:val="22"/>
          <w:lang w:val="en-GB"/>
        </w:rPr>
        <w:t>(</w:t>
      </w:r>
      <w:r>
        <w:rPr>
          <w:szCs w:val="22"/>
          <w:lang w:val="en-GB"/>
        </w:rPr>
        <w:t>Murcott tangor) for ‘</w:t>
      </w:r>
      <w:r>
        <w:rPr>
          <w:i/>
          <w:szCs w:val="22"/>
          <w:lang w:val="en-GB"/>
        </w:rPr>
        <w:t>Ca</w:t>
      </w:r>
      <w:r>
        <w:rPr>
          <w:szCs w:val="22"/>
          <w:lang w:val="en-GB"/>
        </w:rPr>
        <w:t xml:space="preserve">. L. americanus’ (Lopes and Frare, 2008; NAPPO, 2012). </w:t>
      </w:r>
      <w:r>
        <w:rPr>
          <w:i/>
          <w:iCs/>
          <w:szCs w:val="22"/>
          <w:lang w:val="en-GB"/>
        </w:rPr>
        <w:t xml:space="preserve">Catharanthus roseus </w:t>
      </w:r>
      <w:r>
        <w:rPr>
          <w:szCs w:val="22"/>
          <w:lang w:val="en-GB"/>
        </w:rPr>
        <w:t>(periwinkle) may also be used: in this host, HLB can multiply</w:t>
      </w:r>
      <w:r>
        <w:rPr>
          <w:i/>
          <w:iCs/>
          <w:szCs w:val="22"/>
          <w:lang w:val="en-GB"/>
        </w:rPr>
        <w:t xml:space="preserve"> </w:t>
      </w:r>
      <w:r>
        <w:rPr>
          <w:szCs w:val="22"/>
          <w:lang w:val="en-GB"/>
        </w:rPr>
        <w:t xml:space="preserve">and is present at a higher titre than in citrus plants after transmission by </w:t>
      </w:r>
      <w:r>
        <w:rPr>
          <w:i/>
          <w:iCs/>
          <w:szCs w:val="22"/>
          <w:lang w:val="en-GB"/>
        </w:rPr>
        <w:t>Cuscuta campestris</w:t>
      </w:r>
      <w:r>
        <w:rPr>
          <w:szCs w:val="22"/>
          <w:lang w:val="en-GB"/>
        </w:rPr>
        <w:t xml:space="preserve"> (dodder) (Garnier and Bové, 1983), with the symptoms developing after three months at 25 °C (</w:t>
      </w:r>
      <w:r>
        <w:rPr>
          <w:iCs/>
          <w:szCs w:val="22"/>
          <w:lang w:val="en-GB"/>
        </w:rPr>
        <w:t>Bové</w:t>
      </w:r>
      <w:r>
        <w:rPr>
          <w:iCs/>
          <w:szCs w:val="22"/>
          <w:lang w:val="en-GB" w:eastAsia="zh-CN"/>
        </w:rPr>
        <w:t>,</w:t>
      </w:r>
      <w:r>
        <w:rPr>
          <w:iCs/>
          <w:szCs w:val="22"/>
          <w:lang w:val="en-GB"/>
        </w:rPr>
        <w:t xml:space="preserve"> 2006; </w:t>
      </w:r>
      <w:r>
        <w:rPr>
          <w:lang w:val="en-GB"/>
        </w:rPr>
        <w:t>Nguyen, Le and Nguyen,</w:t>
      </w:r>
      <w:r>
        <w:rPr>
          <w:iCs/>
          <w:szCs w:val="22"/>
          <w:lang w:val="en-GB"/>
        </w:rPr>
        <w:t xml:space="preserve"> , 2003)</w:t>
      </w:r>
      <w:r>
        <w:rPr>
          <w:szCs w:val="22"/>
          <w:lang w:val="en-GB"/>
        </w:rPr>
        <w:t xml:space="preserve">. </w:t>
      </w:r>
    </w:p>
    <w:p w14:paraId="3A62DF68" w14:textId="6343E2D1">
      <w:pPr>
        <w:pStyle w:val="IPPParagraphnumbering"/>
        <w:numPr>
          <w:ilvl w:val="0"/>
          <w:numId w:val="0"/>
        </w:numPr>
        <w:rPr>
          <w:szCs w:val="22"/>
          <w:lang w:val="en-GB"/>
        </w:rPr>
      </w:pPr>
      <w:r>
        <w:rPr>
          <w:rStyle w:val="PleaseReviewParagraphId"/>
          <w:b w:val="off"/>
          <w:i w:val="off"/>
        </w:rPr>
        <w:t>[84]</w:t>
      </w:r>
      <w:r>
        <w:rPr>
          <w:szCs w:val="22"/>
          <w:lang w:val="en-GB"/>
        </w:rPr>
        <w:t xml:space="preserve">There are several recommendations for selecting plant material for grafting onto indicator plants. According to Lopes </w:t>
      </w:r>
      <w:r>
        <w:rPr>
          <w:i/>
          <w:szCs w:val="22"/>
          <w:lang w:val="en-GB"/>
        </w:rPr>
        <w:t>et</w:t>
      </w:r>
      <w:r>
        <w:rPr>
          <w:rFonts w:eastAsia="Calibri"/>
          <w:i/>
          <w:szCs w:val="22"/>
          <w:lang w:val="en-GB" w:eastAsia="es-ES"/>
        </w:rPr>
        <w:t> </w:t>
      </w:r>
      <w:r>
        <w:rPr>
          <w:i/>
          <w:szCs w:val="22"/>
          <w:lang w:val="en-GB"/>
        </w:rPr>
        <w:t>al</w:t>
      </w:r>
      <w:r>
        <w:rPr>
          <w:szCs w:val="22"/>
          <w:lang w:val="en-GB"/>
        </w:rPr>
        <w:t>. (2009), the best inoculum is from symptomatic branches (particularly those showing symptoms within the previous 12 months) that are suspected to be infected by any ‘</w:t>
      </w:r>
      <w:r>
        <w:rPr>
          <w:i/>
          <w:szCs w:val="22"/>
          <w:lang w:val="en-GB"/>
        </w:rPr>
        <w:t>Ca. </w:t>
      </w:r>
      <w:r>
        <w:rPr>
          <w:szCs w:val="22"/>
          <w:lang w:val="en-GB"/>
        </w:rPr>
        <w:t>Liberibacter’ spp. The selected branch piece is cut into segments, each 2–4 cm long, and the segments are grafted onto the opposite side of the indicator twig. After inoculation, the graft is protected with polyethylene tape, the grafted indicator twig is protected with a polyethylene bag, and the plants are maintained in a greenhouse. The grafted indicator plants are then inspected regularly (one or twice a month). The first symptoms appear at four</w:t>
      </w:r>
      <w:r>
        <w:rPr>
          <w:rFonts w:eastAsia="Times-Roman"/>
          <w:szCs w:val="22"/>
          <w:lang w:val="en-GB"/>
        </w:rPr>
        <w:t xml:space="preserve"> or five months after inoculation with yellowing of the apical leaves (similar to</w:t>
      </w:r>
      <w:r>
        <w:rPr>
          <w:rFonts w:eastAsia="Times-Roman"/>
          <w:color w:val="0000FF"/>
          <w:szCs w:val="22"/>
          <w:lang w:val="en-GB"/>
        </w:rPr>
        <w:t xml:space="preserve"> </w:t>
      </w:r>
      <w:r>
        <w:rPr>
          <w:rFonts w:eastAsia="Times-Roman"/>
          <w:szCs w:val="22"/>
          <w:lang w:val="en-GB"/>
        </w:rPr>
        <w:t>manganese or iron deficiencies) and progress to the appearance of blotchy mottled leaves showing a diffuse and asymmetrical light chlorosis after 6 to 12 months (</w:t>
      </w:r>
      <w:r>
        <w:rPr>
          <w:szCs w:val="22"/>
          <w:lang w:val="en-GB"/>
        </w:rPr>
        <w:t>Lopes and Frare, 2008; EPPO, 2014).</w:t>
      </w:r>
    </w:p>
    <w:p w14:paraId="64B8699D" w14:textId="1B74699B">
      <w:pPr>
        <w:pStyle w:val="IPPParagraphnumbering"/>
        <w:numPr>
          <w:ilvl w:val="0"/>
          <w:numId w:val="0"/>
        </w:numPr>
        <w:rPr>
          <w:rFonts w:eastAsia="Times New Roman"/>
          <w:szCs w:val="22"/>
          <w:lang w:val="en-GB" w:eastAsia="es-ES"/>
        </w:rPr>
      </w:pPr>
      <w:r>
        <w:rPr>
          <w:rStyle w:val="PleaseReviewParagraphId"/>
          <w:b w:val="off"/>
          <w:i w:val="off"/>
        </w:rPr>
        <w:t>[85]</w:t>
      </w:r>
      <w:r>
        <w:rPr>
          <w:szCs w:val="22"/>
          <w:lang w:val="en-GB"/>
        </w:rPr>
        <w:t>Leaf grafting is performed using a 3 × 12 mm section of the midrib part of the leaf, placed into a T-cut in the bark of an indicator seedling (Roistacher, 1991). The grafted plants are kept at 20–25 °C for ‘</w:t>
      </w:r>
      <w:r>
        <w:rPr>
          <w:i/>
          <w:szCs w:val="22"/>
          <w:lang w:val="en-GB"/>
        </w:rPr>
        <w:t>Ca</w:t>
      </w:r>
      <w:r>
        <w:rPr>
          <w:szCs w:val="22"/>
          <w:lang w:val="en-GB"/>
        </w:rPr>
        <w:t>. Liberibacter africanus’ and at 25–32 °C for ‘</w:t>
      </w:r>
      <w:r>
        <w:rPr>
          <w:i/>
          <w:szCs w:val="22"/>
          <w:lang w:val="en-GB"/>
        </w:rPr>
        <w:t>Ca</w:t>
      </w:r>
      <w:r>
        <w:rPr>
          <w:szCs w:val="22"/>
          <w:lang w:val="en-GB"/>
        </w:rPr>
        <w:t>. Liberibacter asiaticus’ (EPPO, 2014). It has been demonstrated that ‘</w:t>
      </w:r>
      <w:r>
        <w:rPr>
          <w:i/>
          <w:szCs w:val="22"/>
          <w:lang w:val="en-GB"/>
        </w:rPr>
        <w:t>Ca</w:t>
      </w:r>
      <w:r>
        <w:rPr>
          <w:szCs w:val="22"/>
          <w:lang w:val="en-GB"/>
        </w:rPr>
        <w:t>. L. asiaticus’ is transmitted more efficiently than ‘</w:t>
      </w:r>
      <w:r>
        <w:rPr>
          <w:i/>
          <w:szCs w:val="22"/>
          <w:lang w:val="en-GB"/>
        </w:rPr>
        <w:t>Ca</w:t>
      </w:r>
      <w:r>
        <w:rPr>
          <w:szCs w:val="22"/>
          <w:lang w:val="en-GB"/>
        </w:rPr>
        <w:t xml:space="preserve">. L. americanus’ and reaches a higher titre in the infected plant (Hall </w:t>
      </w:r>
      <w:r>
        <w:rPr>
          <w:i/>
          <w:szCs w:val="22"/>
          <w:lang w:val="en-GB"/>
        </w:rPr>
        <w:t>et</w:t>
      </w:r>
      <w:r>
        <w:rPr>
          <w:rFonts w:eastAsia="Calibri"/>
          <w:i/>
          <w:szCs w:val="22"/>
          <w:lang w:val="en-GB" w:eastAsia="es-ES"/>
        </w:rPr>
        <w:t> </w:t>
      </w:r>
      <w:r>
        <w:rPr>
          <w:i/>
          <w:szCs w:val="22"/>
          <w:lang w:val="en-GB"/>
        </w:rPr>
        <w:t>al</w:t>
      </w:r>
      <w:r>
        <w:rPr>
          <w:szCs w:val="22"/>
          <w:lang w:val="en-GB"/>
        </w:rPr>
        <w:t>., 2012).</w:t>
      </w:r>
    </w:p>
    <w:p w14:paraId="32AD2101" w14:textId="6A3D4EC5">
      <w:pPr>
        <w:pStyle w:val="IPPHeading2"/>
      </w:pPr>
      <w:r>
        <w:rPr>
          <w:rStyle w:val="PleaseReviewParagraphId"/>
          <w:b w:val="off"/>
          <w:i w:val="off"/>
        </w:rPr>
        <w:t>[86]</w:t>
      </w:r>
      <w:r>
        <w:lastRenderedPageBreak/>
        <w:t>3.4</w:t>
        <w:tab/>
        <w:t>Molecular detection</w:t>
      </w:r>
    </w:p>
    <w:p w14:paraId="4E0BC178" w14:textId="41487495">
      <w:pPr>
        <w:pStyle w:val="IPPParagraphnumbering"/>
        <w:numPr>
          <w:ilvl w:val="0"/>
          <w:numId w:val="0"/>
        </w:numPr>
        <w:spacing w:before="120"/>
        <w:rPr>
          <w:szCs w:val="22"/>
          <w:lang w:val="en-GB"/>
        </w:rPr>
      </w:pPr>
      <w:r>
        <w:rPr>
          <w:rStyle w:val="PleaseReviewParagraphId"/>
          <w:b w:val="off"/>
          <w:i w:val="off"/>
        </w:rPr>
        <w:t>[87]</w:t>
      </w:r>
      <w:r>
        <w:rPr>
          <w:rFonts w:cs="Arial"/>
          <w:szCs w:val="22"/>
          <w:lang w:val="en-GB"/>
        </w:rPr>
        <w:t xml:space="preserve">Although conventional PCR is relatively sensitive and specific, this test can lead to false negative results when </w:t>
      </w:r>
      <w:r>
        <w:rPr>
          <w:rFonts w:cs="Arial"/>
          <w:szCs w:val="22"/>
          <w:lang w:val="en-GB" w:eastAsia="zh-CN"/>
        </w:rPr>
        <w:t>the concentration of the bacterium is too low to detect, for instance in newly infected trees with a low concentration and uneven distribution</w:t>
      </w:r>
      <w:r>
        <w:rPr>
          <w:rFonts w:cs="Arial"/>
          <w:szCs w:val="22"/>
          <w:lang w:val="en-GB"/>
        </w:rPr>
        <w:t xml:space="preserve"> of the pathogen </w:t>
      </w:r>
      <w:r>
        <w:rPr>
          <w:rFonts w:cs="Arial"/>
          <w:szCs w:val="22"/>
          <w:lang w:val="en-GB" w:eastAsia="zh-CN"/>
        </w:rPr>
        <w:t>(</w:t>
      </w:r>
      <w:r>
        <w:rPr>
          <w:rFonts w:cs="Arial"/>
          <w:szCs w:val="22"/>
          <w:lang w:val="en-GB"/>
        </w:rPr>
        <w:t>Bové,</w:t>
      </w:r>
      <w:r>
        <w:rPr>
          <w:rFonts w:cs="Arial"/>
          <w:szCs w:val="22"/>
          <w:lang w:val="en-GB" w:eastAsia="zh-CN"/>
        </w:rPr>
        <w:t xml:space="preserve"> </w:t>
      </w:r>
      <w:r>
        <w:rPr>
          <w:rFonts w:cs="Arial"/>
          <w:szCs w:val="22"/>
          <w:lang w:val="en-GB"/>
        </w:rPr>
        <w:t>2006</w:t>
      </w:r>
      <w:r>
        <w:rPr>
          <w:rFonts w:cs="Arial"/>
          <w:szCs w:val="22"/>
          <w:lang w:val="en-GB" w:eastAsia="zh-CN"/>
        </w:rPr>
        <w:t>)</w:t>
      </w:r>
      <w:r>
        <w:rPr>
          <w:rFonts w:cs="Arial"/>
          <w:szCs w:val="22"/>
          <w:lang w:val="en-GB"/>
        </w:rPr>
        <w:t>. Consequently, conventional PCR should only be used on plants exhibiting symptoms and is not reliable for the detection of ‘</w:t>
      </w:r>
      <w:r>
        <w:rPr>
          <w:rFonts w:cs="Arial"/>
          <w:i/>
          <w:iCs/>
          <w:szCs w:val="22"/>
          <w:lang w:val="en-GB"/>
        </w:rPr>
        <w:t>Ca.</w:t>
      </w:r>
      <w:r>
        <w:rPr>
          <w:rFonts w:cs="Arial"/>
          <w:i/>
          <w:szCs w:val="22"/>
          <w:lang w:val="en-GB"/>
        </w:rPr>
        <w:t> </w:t>
      </w:r>
      <w:r>
        <w:rPr>
          <w:rFonts w:cs="Arial"/>
          <w:szCs w:val="22"/>
          <w:lang w:val="en-GB"/>
        </w:rPr>
        <w:t>Liberibacter’ spp. in symptomless plants. However, real-time PCR may be useful in programmes</w:t>
      </w:r>
      <w:r>
        <w:rPr>
          <w:rFonts w:eastAsia="Times New Roman" w:cs="Arial"/>
          <w:szCs w:val="22"/>
          <w:lang w:val="en-GB" w:eastAsia="es-MX"/>
        </w:rPr>
        <w:t xml:space="preserve"> for the production of certified citrus nursery trees and in </w:t>
      </w:r>
      <w:r>
        <w:rPr>
          <w:szCs w:val="22"/>
          <w:lang w:val="en-GB"/>
        </w:rPr>
        <w:t>post-entry quarantine</w:t>
      </w:r>
      <w:r>
        <w:rPr>
          <w:rFonts w:cs="Arial"/>
          <w:iCs/>
          <w:szCs w:val="22"/>
          <w:lang w:val="en-GB"/>
        </w:rPr>
        <w:t xml:space="preserve">. </w:t>
      </w:r>
      <w:r>
        <w:rPr>
          <w:rFonts w:cs="Arial"/>
          <w:szCs w:val="22"/>
          <w:lang w:val="en-GB"/>
        </w:rPr>
        <w:t xml:space="preserve">Li </w:t>
      </w:r>
      <w:r>
        <w:rPr>
          <w:rFonts w:cs="Arial"/>
          <w:i/>
          <w:szCs w:val="22"/>
          <w:lang w:val="en-GB" w:eastAsia="zh-CN"/>
        </w:rPr>
        <w:t>et</w:t>
      </w:r>
      <w:r>
        <w:rPr>
          <w:rFonts w:eastAsia="Calibri"/>
          <w:i/>
          <w:szCs w:val="22"/>
          <w:lang w:val="en-GB" w:eastAsia="es-ES"/>
        </w:rPr>
        <w:t> </w:t>
      </w:r>
      <w:r>
        <w:rPr>
          <w:rFonts w:cs="Arial"/>
          <w:i/>
          <w:szCs w:val="22"/>
          <w:lang w:val="en-GB" w:eastAsia="zh-CN"/>
        </w:rPr>
        <w:t>al.</w:t>
      </w:r>
      <w:r>
        <w:rPr>
          <w:rFonts w:cs="Arial"/>
          <w:szCs w:val="22"/>
          <w:lang w:val="en-GB"/>
        </w:rPr>
        <w:t xml:space="preserve"> </w:t>
      </w:r>
      <w:r>
        <w:rPr>
          <w:rFonts w:cs="Arial"/>
          <w:szCs w:val="22"/>
          <w:lang w:val="en-GB" w:eastAsia="zh-CN"/>
        </w:rPr>
        <w:t>(</w:t>
      </w:r>
      <w:r>
        <w:rPr>
          <w:rFonts w:cs="Arial"/>
          <w:szCs w:val="22"/>
          <w:lang w:val="en-GB"/>
        </w:rPr>
        <w:t>2006</w:t>
      </w:r>
      <w:r>
        <w:rPr>
          <w:rFonts w:cs="Arial"/>
          <w:szCs w:val="22"/>
          <w:lang w:val="en-GB" w:eastAsia="zh-CN"/>
        </w:rPr>
        <w:t>)</w:t>
      </w:r>
      <w:r>
        <w:rPr>
          <w:rFonts w:cs="Arial"/>
          <w:szCs w:val="22"/>
          <w:lang w:val="en-GB"/>
        </w:rPr>
        <w:t xml:space="preserve"> and Bertolini </w:t>
      </w:r>
      <w:r>
        <w:rPr>
          <w:rFonts w:cs="Arial"/>
          <w:i/>
          <w:iCs/>
          <w:szCs w:val="22"/>
          <w:lang w:val="en-GB"/>
        </w:rPr>
        <w:t>et</w:t>
      </w:r>
      <w:r>
        <w:rPr>
          <w:rFonts w:eastAsia="Calibri"/>
          <w:i/>
          <w:iCs/>
          <w:szCs w:val="22"/>
          <w:lang w:val="en-GB" w:eastAsia="es-ES"/>
        </w:rPr>
        <w:t> </w:t>
      </w:r>
      <w:r>
        <w:rPr>
          <w:rFonts w:cs="Arial"/>
          <w:i/>
          <w:iCs/>
          <w:szCs w:val="22"/>
          <w:lang w:val="en-GB"/>
        </w:rPr>
        <w:t>al.</w:t>
      </w:r>
      <w:r>
        <w:rPr>
          <w:rFonts w:cs="Arial"/>
          <w:szCs w:val="22"/>
          <w:lang w:val="en-GB"/>
        </w:rPr>
        <w:t xml:space="preserve"> (2014) ha</w:t>
      </w:r>
      <w:r>
        <w:rPr>
          <w:rFonts w:cs="Arial"/>
          <w:szCs w:val="22"/>
          <w:lang w:val="en-GB" w:eastAsia="zh-CN"/>
        </w:rPr>
        <w:t>ve reported that real-time PCR can</w:t>
      </w:r>
      <w:r>
        <w:rPr>
          <w:rFonts w:cs="Arial"/>
          <w:szCs w:val="22"/>
          <w:lang w:val="en-GB"/>
        </w:rPr>
        <w:t xml:space="preserve"> detect ‘</w:t>
      </w:r>
      <w:r>
        <w:rPr>
          <w:rFonts w:cs="Arial"/>
          <w:i/>
          <w:szCs w:val="22"/>
          <w:lang w:val="en-GB"/>
        </w:rPr>
        <w:t>Ca. </w:t>
      </w:r>
      <w:r>
        <w:rPr>
          <w:rFonts w:cs="Arial"/>
          <w:szCs w:val="22"/>
          <w:lang w:val="en-GB"/>
        </w:rPr>
        <w:t>Liberibacter’ spp. in symptomless plants and is more convenient for early detection.</w:t>
      </w:r>
    </w:p>
    <w:p w14:paraId="141CE7F7" w14:textId="3E99547F">
      <w:pPr>
        <w:pStyle w:val="IPPHeading2"/>
      </w:pPr>
      <w:r>
        <w:rPr>
          <w:rStyle w:val="PleaseReviewParagraphId"/>
          <w:b w:val="off"/>
          <w:i w:val="off"/>
        </w:rPr>
        <w:t>[88]</w:t>
      </w:r>
      <w:r>
        <w:t>3.4.1</w:t>
        <w:tab/>
        <w:t>Nucleic acid extraction from plant material</w:t>
      </w:r>
    </w:p>
    <w:p w14:paraId="33FBB7C9" w14:textId="596575A4">
      <w:pPr>
        <w:pStyle w:val="IPPParagraphnumbering"/>
        <w:numPr>
          <w:ilvl w:val="0"/>
          <w:numId w:val="0"/>
        </w:numPr>
        <w:spacing w:before="200"/>
        <w:rPr>
          <w:lang w:val="en-GB"/>
        </w:rPr>
      </w:pPr>
      <w:r>
        <w:rPr>
          <w:rStyle w:val="PleaseReviewParagraphId"/>
          <w:b w:val="off"/>
          <w:i w:val="off"/>
        </w:rPr>
        <w:t>[89]</w:t>
      </w:r>
      <w:r>
        <w:rPr>
          <w:lang w:val="en-GB"/>
        </w:rPr>
        <w:t>Based on experience from several countries, the following methods may be used to extract DNA from plant tissue, although other DNA extraction kits can also give good DNA quality.</w:t>
      </w:r>
    </w:p>
    <w:p w14:paraId="5AC677AE" w14:textId="0E9F9A25">
      <w:pPr>
        <w:pStyle w:val="IPPParagraphnumbering"/>
        <w:numPr>
          <w:ilvl w:val="0"/>
          <w:numId w:val="0"/>
        </w:numPr>
        <w:rPr>
          <w:lang w:val="en-GB"/>
        </w:rPr>
      </w:pPr>
      <w:r>
        <w:rPr>
          <w:rStyle w:val="PleaseReviewParagraphId"/>
          <w:b w:val="off"/>
          <w:i w:val="off"/>
        </w:rPr>
        <w:t>[90]</w:t>
      </w:r>
      <w:r>
        <w:rPr>
          <w:b/>
          <w:szCs w:val="22"/>
          <w:lang w:val="en-GB"/>
        </w:rPr>
        <w:t>CTAB extraction.</w:t>
      </w:r>
      <w:r>
        <w:rPr>
          <w:szCs w:val="22"/>
          <w:lang w:val="en-GB"/>
        </w:rPr>
        <w:t xml:space="preserve"> </w:t>
      </w:r>
      <w:r>
        <w:t>The plant tissue (500 mg midribs) is disrupted either by use of commercially available equipment (a Fastprep (MP Biomedicals) instrument or a Mini-Beadbeater (BioSpec) instrument) or manually by grinding with a mortar and pestle or by crushing the tissue in a plastic bag. C</w:t>
      </w:r>
      <w:r>
        <w:rPr>
          <w:rFonts w:eastAsia="Times New Roman"/>
          <w:szCs w:val="22"/>
          <w:lang w:val="en-GB" w:eastAsia="es-MX"/>
        </w:rPr>
        <w:t xml:space="preserve">etyl trimethyl ammonium bromide (CTAB) buffer (3 mL) containing </w:t>
      </w:r>
      <w:r>
        <w:rPr>
          <w:szCs w:val="22"/>
          <w:lang w:val="en-GB"/>
        </w:rPr>
        <w:t>0.2% β-mercaptoethanols is added and stirred. After this,</w:t>
      </w:r>
      <w:r>
        <w:rPr>
          <w:rFonts w:eastAsia="SimSun"/>
          <w:szCs w:val="22"/>
          <w:lang w:val="en-GB" w:eastAsia="zh-CN"/>
        </w:rPr>
        <w:t xml:space="preserve"> 2 </w:t>
      </w:r>
      <w:r>
        <w:rPr>
          <w:szCs w:val="22"/>
          <w:lang w:val="en-GB"/>
        </w:rPr>
        <w:t>m</w:t>
      </w:r>
      <w:r>
        <w:rPr>
          <w:rFonts w:eastAsia="SimSun"/>
          <w:szCs w:val="22"/>
          <w:lang w:val="en-GB" w:eastAsia="zh-CN"/>
        </w:rPr>
        <w:t>L</w:t>
      </w:r>
      <w:r>
        <w:rPr>
          <w:szCs w:val="22"/>
          <w:lang w:val="en-GB"/>
        </w:rPr>
        <w:t xml:space="preserve"> homogenate is transferred to </w:t>
      </w:r>
      <w:r>
        <w:rPr>
          <w:rFonts w:eastAsia="Times New Roman"/>
          <w:szCs w:val="22"/>
          <w:lang w:val="en-GB"/>
        </w:rPr>
        <w:t>a microtube and incubated, if possible with shaking, for at least 15 min at 65 °C. The resulting extract is centrifugated at 3 000 </w:t>
      </w:r>
      <w:r>
        <w:rPr>
          <w:rFonts w:eastAsia="Times New Roman"/>
          <w:i/>
          <w:iCs/>
          <w:szCs w:val="22"/>
          <w:lang w:val="en-GB"/>
        </w:rPr>
        <w:t>g</w:t>
      </w:r>
      <w:r>
        <w:rPr>
          <w:rFonts w:eastAsia="Times New Roman"/>
          <w:szCs w:val="22"/>
          <w:lang w:val="en-GB"/>
        </w:rPr>
        <w:t xml:space="preserve"> for 5 min in a microcentrifuge and 1 mL supernatant is then put in a 2 mL microtube with 1 mL chloroform-isoamyl alcohol solution (24:1), mixed and centrifugated at 14 000 </w:t>
      </w:r>
      <w:r>
        <w:rPr>
          <w:rFonts w:eastAsia="Times New Roman"/>
          <w:i/>
          <w:iCs/>
          <w:szCs w:val="22"/>
          <w:lang w:val="en-GB"/>
        </w:rPr>
        <w:t>g</w:t>
      </w:r>
      <w:r>
        <w:rPr>
          <w:rFonts w:eastAsia="Times New Roman"/>
          <w:szCs w:val="22"/>
          <w:lang w:val="en-GB"/>
        </w:rPr>
        <w:t xml:space="preserve"> for 5 min. The aqueous phase is transferred to a new microtube, mixed with 0.6 volume of cold isopropanol and kept at −20 °C for 30 min before centrifugation at 14 000 </w:t>
      </w:r>
      <w:r>
        <w:rPr>
          <w:rFonts w:eastAsia="Times New Roman"/>
          <w:i/>
          <w:iCs/>
          <w:szCs w:val="22"/>
          <w:lang w:val="en-GB"/>
        </w:rPr>
        <w:t>g</w:t>
      </w:r>
      <w:r>
        <w:rPr>
          <w:rFonts w:eastAsia="Times New Roman"/>
          <w:szCs w:val="22"/>
          <w:lang w:val="en-GB"/>
        </w:rPr>
        <w:t xml:space="preserve"> for 20 min. The supernatant is discarded and the pellet washed twice with 70% ethanol and resuspended in 100 µ</w:t>
      </w:r>
      <w:r>
        <w:rPr>
          <w:rFonts w:eastAsia="SimSun"/>
          <w:szCs w:val="22"/>
          <w:lang w:val="en-GB" w:eastAsia="zh-CN"/>
        </w:rPr>
        <w:t>L</w:t>
      </w:r>
      <w:r>
        <w:rPr>
          <w:rFonts w:eastAsia="Times New Roman"/>
          <w:szCs w:val="22"/>
          <w:lang w:val="en-GB"/>
        </w:rPr>
        <w:t xml:space="preserve"> sterile distilled water. The resulting extracts can be stored at −20 °C.</w:t>
      </w:r>
    </w:p>
    <w:p w14:paraId="0AEA2A00" w14:textId="421BA1BC">
      <w:pPr>
        <w:pStyle w:val="IPPParagraphnumbering"/>
        <w:numPr>
          <w:ilvl w:val="0"/>
          <w:numId w:val="0"/>
        </w:numPr>
        <w:rPr>
          <w:lang w:val="en-GB"/>
        </w:rPr>
      </w:pPr>
      <w:r>
        <w:rPr>
          <w:rStyle w:val="PleaseReviewParagraphId"/>
          <w:b w:val="off"/>
          <w:i w:val="off"/>
        </w:rPr>
        <w:t>[91]</w:t>
      </w:r>
      <w:r>
        <w:rPr>
          <w:b/>
          <w:lang w:val="en-GB" w:eastAsia="es-MX"/>
        </w:rPr>
        <w:t>Commercial kits.</w:t>
      </w:r>
      <w:r>
        <w:rPr>
          <w:lang w:val="en-GB" w:eastAsia="es-MX"/>
        </w:rPr>
        <w:t xml:space="preserve"> After using any of the disruption methods described above in relation to CTAB extraction, DNA extraction </w:t>
      </w:r>
      <w:r>
        <w:rPr>
          <w:bCs/>
          <w:lang w:val="en-GB" w:eastAsia="es-MX"/>
        </w:rPr>
        <w:t>is carried out using the</w:t>
      </w:r>
      <w:r>
        <w:rPr>
          <w:lang w:val="en-GB" w:eastAsia="es-MX"/>
        </w:rPr>
        <w:t xml:space="preserve"> </w:t>
      </w:r>
      <w:r>
        <w:rPr>
          <w:bCs/>
          <w:lang w:val="en-GB" w:eastAsia="es-MX"/>
        </w:rPr>
        <w:t xml:space="preserve">DNeasy Plant Mini Kit </w:t>
      </w:r>
      <w:r>
        <w:rPr>
          <w:lang w:val="en-GB"/>
        </w:rPr>
        <w:t>(</w:t>
      </w:r>
      <w:r>
        <w:rPr>
          <w:lang w:val="en-GB" w:eastAsia="es-MX"/>
        </w:rPr>
        <w:t>Qiagen)</w:t>
      </w:r>
      <w:r>
        <w:rPr>
          <w:lang w:val="en-GB"/>
        </w:rPr>
        <w:t xml:space="preserve"> </w:t>
      </w:r>
      <w:r>
        <w:rPr>
          <w:lang w:val="en-GB" w:eastAsia="es-MX"/>
        </w:rPr>
        <w:t>a</w:t>
      </w:r>
      <w:r>
        <w:rPr>
          <w:lang w:val="en-GB"/>
        </w:rPr>
        <w:t>ccording to the manufacturer’s instructions.</w:t>
      </w:r>
    </w:p>
    <w:p w14:paraId="545A0908" w14:textId="17ADA9BD">
      <w:pPr>
        <w:pStyle w:val="IPPParagraphnumbering"/>
        <w:numPr>
          <w:ilvl w:val="0"/>
          <w:numId w:val="0"/>
        </w:numPr>
        <w:rPr>
          <w:b/>
          <w:szCs w:val="22"/>
          <w:u w:val="single"/>
          <w:lang w:val="en-GB"/>
        </w:rPr>
      </w:pPr>
      <w:r>
        <w:rPr>
          <w:rStyle w:val="PleaseReviewParagraphId"/>
          <w:b w:val="off"/>
          <w:i w:val="off"/>
        </w:rPr>
        <w:t>[92]</w:t>
      </w:r>
      <w:r>
        <w:rPr>
          <w:b/>
          <w:lang w:val="en-GB"/>
        </w:rPr>
        <w:t>Plant tissue print.</w:t>
      </w:r>
      <w:r>
        <w:rPr>
          <w:lang w:val="en-GB"/>
        </w:rPr>
        <w:t xml:space="preserve"> The plant tissue print method is a rapid, direct method of sample preparation (Bertolini</w:t>
      </w:r>
      <w:r>
        <w:rPr>
          <w:i/>
          <w:lang w:val="en-GB"/>
        </w:rPr>
        <w:t xml:space="preserve"> et</w:t>
      </w:r>
      <w:r>
        <w:rPr>
          <w:rFonts w:eastAsia="Calibri"/>
          <w:i/>
          <w:szCs w:val="22"/>
          <w:lang w:val="en-GB" w:eastAsia="es-ES"/>
        </w:rPr>
        <w:t> </w:t>
      </w:r>
      <w:r>
        <w:rPr>
          <w:i/>
          <w:lang w:val="en-GB"/>
        </w:rPr>
        <w:t>al</w:t>
      </w:r>
      <w:r>
        <w:rPr>
          <w:lang w:val="en-GB"/>
        </w:rPr>
        <w:t xml:space="preserve">., 2008) that can be done under field conditions and has demonstrated its efficiency when combined with the real-time PCR detection method of Bertolini </w:t>
      </w:r>
      <w:r>
        <w:rPr>
          <w:i/>
          <w:lang w:val="en-GB"/>
        </w:rPr>
        <w:t>et</w:t>
      </w:r>
      <w:r>
        <w:rPr>
          <w:rFonts w:eastAsia="Calibri"/>
          <w:i/>
          <w:szCs w:val="22"/>
          <w:lang w:val="en-GB" w:eastAsia="es-ES"/>
        </w:rPr>
        <w:t> </w:t>
      </w:r>
      <w:r>
        <w:rPr>
          <w:i/>
          <w:lang w:val="en-GB"/>
        </w:rPr>
        <w:t>al</w:t>
      </w:r>
      <w:r>
        <w:rPr>
          <w:lang w:val="en-GB"/>
        </w:rPr>
        <w:t xml:space="preserve">. </w:t>
      </w:r>
      <w:r>
        <w:rPr>
          <w:rFonts w:eastAsia="SimSun"/>
          <w:lang w:val="en-GB" w:eastAsia="zh-CN"/>
        </w:rPr>
        <w:t>(</w:t>
      </w:r>
      <w:r>
        <w:rPr>
          <w:lang w:val="en-GB"/>
        </w:rPr>
        <w:t>2014</w:t>
      </w:r>
      <w:r>
        <w:rPr>
          <w:rFonts w:eastAsia="SimSun"/>
          <w:lang w:val="en-GB" w:eastAsia="zh-CN"/>
        </w:rPr>
        <w:t>)</w:t>
      </w:r>
      <w:r>
        <w:rPr>
          <w:lang w:val="en-GB"/>
        </w:rPr>
        <w:t xml:space="preserve">. The tissue print method is performed by </w:t>
      </w:r>
      <w:r>
        <w:rPr>
          <w:lang w:val="en-GB" w:eastAsia="es-MX"/>
        </w:rPr>
        <w:t>pressing five to ten fresh, manually detached, citrus leaf petioles onto an area (0.5 cm</w:t>
      </w:r>
      <w:r>
        <w:rPr>
          <w:vertAlign w:val="superscript"/>
          <w:lang w:val="en-GB" w:eastAsia="es-MX"/>
        </w:rPr>
        <w:t>2</w:t>
      </w:r>
      <w:r>
        <w:rPr>
          <w:lang w:val="en-GB" w:eastAsia="es-MX"/>
        </w:rPr>
        <w:t xml:space="preserve">) of a positively charged nylon or 3MM filter paper membrane (Bertolini </w:t>
      </w:r>
      <w:r>
        <w:rPr>
          <w:i/>
          <w:lang w:val="en-GB" w:eastAsia="es-MX"/>
        </w:rPr>
        <w:t>et</w:t>
      </w:r>
      <w:r>
        <w:rPr>
          <w:rFonts w:eastAsia="Calibri"/>
          <w:i/>
          <w:szCs w:val="22"/>
          <w:lang w:val="en-GB" w:eastAsia="es-ES"/>
        </w:rPr>
        <w:t> </w:t>
      </w:r>
      <w:r>
        <w:rPr>
          <w:i/>
          <w:lang w:val="en-GB" w:eastAsia="es-MX"/>
        </w:rPr>
        <w:t>al.</w:t>
      </w:r>
      <w:r>
        <w:rPr>
          <w:rFonts w:eastAsia="SimSun"/>
          <w:lang w:val="en-GB" w:eastAsia="zh-CN"/>
        </w:rPr>
        <w:t>,</w:t>
      </w:r>
      <w:r>
        <w:rPr>
          <w:lang w:val="en-GB" w:eastAsia="es-MX"/>
        </w:rPr>
        <w:t xml:space="preserve"> 2008). The tissue printed membrane is cut out and inserted into microcentrifuge tubes containing either 100 µ</w:t>
      </w:r>
      <w:r>
        <w:rPr>
          <w:rFonts w:eastAsia="SimSun"/>
          <w:lang w:val="en-GB" w:eastAsia="zh-CN"/>
        </w:rPr>
        <w:t>L</w:t>
      </w:r>
      <w:r>
        <w:rPr>
          <w:lang w:val="en-GB" w:eastAsia="es-MX"/>
        </w:rPr>
        <w:t xml:space="preserve"> distilled water, 0.5% Triton X-100 or glycine buffer (0.1 M glycine, 0.05 M NaCl, 1 mM </w:t>
      </w:r>
      <w:r>
        <w:rPr>
          <w:lang w:val="en-GB"/>
        </w:rPr>
        <w:t>ethylenediaminetetraacetic acid (</w:t>
      </w:r>
      <w:r>
        <w:rPr>
          <w:lang w:val="en-GB" w:eastAsia="es-MX"/>
        </w:rPr>
        <w:t xml:space="preserve">EDTA)). Samples are then incubated at 100 °C at for 10 min as described by Bertolini </w:t>
      </w:r>
      <w:r>
        <w:rPr>
          <w:i/>
          <w:lang w:val="en-GB" w:eastAsia="es-MX"/>
        </w:rPr>
        <w:t>et</w:t>
      </w:r>
      <w:r>
        <w:rPr>
          <w:rFonts w:eastAsia="Calibri"/>
          <w:i/>
          <w:szCs w:val="22"/>
          <w:lang w:val="en-GB" w:eastAsia="es-ES"/>
        </w:rPr>
        <w:t> </w:t>
      </w:r>
      <w:r>
        <w:rPr>
          <w:i/>
          <w:lang w:val="en-GB" w:eastAsia="es-MX"/>
        </w:rPr>
        <w:t>al.</w:t>
      </w:r>
      <w:r>
        <w:rPr>
          <w:lang w:val="en-GB" w:eastAsia="es-MX"/>
        </w:rPr>
        <w:t xml:space="preserve"> (2014), vortexed and placed on ice until use.  </w:t>
      </w:r>
    </w:p>
    <w:p w14:paraId="1D19593E" w14:textId="6E661B46">
      <w:pPr>
        <w:pStyle w:val="IPPHeading2"/>
        <w:ind w:left="0" w:firstLine="0"/>
      </w:pPr>
      <w:r>
        <w:rPr>
          <w:rStyle w:val="PleaseReviewParagraphId"/>
          <w:b w:val="off"/>
          <w:i w:val="off"/>
        </w:rPr>
        <w:t>[93]</w:t>
      </w:r>
      <w:r>
        <w:t>3.4.2</w:t>
        <w:tab/>
        <w:t>Nucleic acid extraction from the psyllid vectors</w:t>
      </w:r>
    </w:p>
    <w:p w14:paraId="70815120" w14:textId="5E3E4778">
      <w:pPr>
        <w:pStyle w:val="IPPParagraphnumbering"/>
        <w:numPr>
          <w:ilvl w:val="0"/>
          <w:numId w:val="0"/>
        </w:numPr>
        <w:spacing w:before="200"/>
        <w:rPr>
          <w:lang w:val="en-GB" w:eastAsia="es-MX"/>
        </w:rPr>
      </w:pPr>
      <w:r>
        <w:rPr>
          <w:rStyle w:val="PleaseReviewParagraphId"/>
          <w:b w:val="off"/>
          <w:i w:val="off"/>
        </w:rPr>
        <w:t>[94]</w:t>
      </w:r>
      <w:r>
        <w:rPr>
          <w:b/>
          <w:lang w:val="en-GB" w:eastAsia="es-MX"/>
        </w:rPr>
        <w:t xml:space="preserve">Manjunath </w:t>
      </w:r>
      <w:r>
        <w:rPr>
          <w:b/>
          <w:i/>
          <w:lang w:val="en-GB" w:eastAsia="es-MX"/>
        </w:rPr>
        <w:t>et</w:t>
      </w:r>
      <w:r>
        <w:rPr>
          <w:rFonts w:eastAsia="Calibri"/>
          <w:i/>
          <w:szCs w:val="22"/>
          <w:lang w:val="en-GB" w:eastAsia="es-ES"/>
        </w:rPr>
        <w:t> </w:t>
      </w:r>
      <w:r>
        <w:rPr>
          <w:b/>
          <w:i/>
          <w:lang w:val="en-GB" w:eastAsia="es-MX"/>
        </w:rPr>
        <w:t>al</w:t>
      </w:r>
      <w:r>
        <w:rPr>
          <w:b/>
          <w:lang w:val="en-GB" w:eastAsia="es-MX"/>
        </w:rPr>
        <w:t>. (2008).</w:t>
      </w:r>
      <w:r>
        <w:rPr>
          <w:lang w:val="en-GB" w:eastAsia="es-MX"/>
        </w:rPr>
        <w:t xml:space="preserve"> In this method, the psyllids (up to 50) are air-dried for 10 min, transferred to a 1.5 m</w:t>
      </w:r>
      <w:r>
        <w:rPr>
          <w:rFonts w:eastAsia="SimSun"/>
          <w:lang w:val="en-GB" w:eastAsia="zh-CN"/>
        </w:rPr>
        <w:t>L</w:t>
      </w:r>
      <w:r>
        <w:rPr>
          <w:lang w:val="en-GB" w:eastAsia="es-MX"/>
        </w:rPr>
        <w:t xml:space="preserve"> microtube containing 300 µ</w:t>
      </w:r>
      <w:r>
        <w:rPr>
          <w:rFonts w:eastAsia="SimSun"/>
          <w:lang w:val="en-GB" w:eastAsia="zh-CN"/>
        </w:rPr>
        <w:t>L</w:t>
      </w:r>
      <w:r>
        <w:rPr>
          <w:lang w:val="en-GB" w:eastAsia="es-MX"/>
        </w:rPr>
        <w:t xml:space="preserve"> extraction</w:t>
      </w:r>
      <w:r>
        <w:rPr>
          <w:lang w:val="en-GB"/>
        </w:rPr>
        <w:t xml:space="preserve"> </w:t>
      </w:r>
      <w:r>
        <w:rPr>
          <w:lang w:val="en-GB" w:eastAsia="es-MX"/>
        </w:rPr>
        <w:t>buffer (10 mM Tris, pH 8.0, 100 mM NaCl, 1 mM EDTA,</w:t>
      </w:r>
      <w:r>
        <w:rPr>
          <w:lang w:val="en-GB"/>
        </w:rPr>
        <w:t xml:space="preserve"> </w:t>
      </w:r>
      <w:r>
        <w:rPr>
          <w:lang w:val="en-GB" w:eastAsia="es-MX"/>
        </w:rPr>
        <w:t>and 2% Sodium dodecyl sulphate) and 20 units of Proteinase K (New England</w:t>
      </w:r>
      <w:r>
        <w:rPr>
          <w:lang w:val="en-GB"/>
        </w:rPr>
        <w:t xml:space="preserve"> </w:t>
      </w:r>
      <w:r>
        <w:rPr>
          <w:lang w:val="en-GB" w:eastAsia="es-MX"/>
        </w:rPr>
        <w:t>Biolabs), ground finely and incubated</w:t>
      </w:r>
      <w:r>
        <w:rPr>
          <w:lang w:val="en-GB"/>
        </w:rPr>
        <w:t xml:space="preserve"> </w:t>
      </w:r>
      <w:r>
        <w:rPr>
          <w:lang w:val="en-GB" w:eastAsia="es-MX"/>
        </w:rPr>
        <w:t>either at 50 °C for 3 h or 37 °C overnight. An equal volume of phenol-chloroform-isoamyl alcohol</w:t>
      </w:r>
      <w:r>
        <w:rPr>
          <w:lang w:val="en-GB"/>
        </w:rPr>
        <w:t xml:space="preserve"> </w:t>
      </w:r>
      <w:r>
        <w:rPr>
          <w:lang w:val="en-GB" w:eastAsia="es-MX"/>
        </w:rPr>
        <w:t>(25:24:1) is added, vortexed and the aqueous phase transferred to a second tube containing 300 µ</w:t>
      </w:r>
      <w:r>
        <w:rPr>
          <w:rFonts w:eastAsia="SimSun"/>
          <w:lang w:val="en-GB" w:eastAsia="zh-CN"/>
        </w:rPr>
        <w:t>L</w:t>
      </w:r>
      <w:r>
        <w:rPr>
          <w:lang w:val="en-GB" w:eastAsia="es-MX"/>
        </w:rPr>
        <w:t xml:space="preserve"> chloroform-</w:t>
      </w:r>
      <w:r>
        <w:rPr>
          <w:lang w:val="en-GB"/>
        </w:rPr>
        <w:t xml:space="preserve"> </w:t>
      </w:r>
      <w:r>
        <w:rPr>
          <w:lang w:val="en-GB" w:eastAsia="es-MX"/>
        </w:rPr>
        <w:t>isoamyl alcohol (24:1) and the extraction procedure is repeated. The aqueous phase is ethanol</w:t>
      </w:r>
      <w:r>
        <w:rPr>
          <w:lang w:val="en-GB"/>
        </w:rPr>
        <w:t xml:space="preserve"> </w:t>
      </w:r>
      <w:r>
        <w:rPr>
          <w:lang w:val="en-GB" w:eastAsia="es-MX"/>
        </w:rPr>
        <w:t>precipitated and the resulting DNA pellet is dissolved in 20–50 µ</w:t>
      </w:r>
      <w:r>
        <w:rPr>
          <w:rFonts w:eastAsia="SimSun"/>
          <w:lang w:val="en-GB" w:eastAsia="zh-CN"/>
        </w:rPr>
        <w:t>L</w:t>
      </w:r>
      <w:r>
        <w:rPr>
          <w:lang w:val="en-GB" w:eastAsia="es-MX"/>
        </w:rPr>
        <w:t xml:space="preserve"> sterile water and stored at </w:t>
      </w:r>
      <w:r>
        <w:rPr>
          <w:rFonts w:eastAsia="Times New Roman"/>
          <w:szCs w:val="22"/>
          <w:lang w:val="en-GB"/>
        </w:rPr>
        <w:t>−</w:t>
      </w:r>
      <w:r>
        <w:rPr>
          <w:lang w:val="en-GB" w:eastAsia="es-MX"/>
        </w:rPr>
        <w:t>20 °C.</w:t>
      </w:r>
    </w:p>
    <w:p w14:paraId="2C121BE8" w14:textId="21D177C6">
      <w:pPr>
        <w:pStyle w:val="IPPParagraphnumbering"/>
        <w:numPr>
          <w:ilvl w:val="0"/>
          <w:numId w:val="0"/>
        </w:numPr>
        <w:spacing w:before="200"/>
        <w:rPr>
          <w:lang w:val="en-GB" w:eastAsia="es-MX"/>
        </w:rPr>
      </w:pPr>
      <w:r>
        <w:rPr>
          <w:rStyle w:val="PleaseReviewParagraphId"/>
          <w:b w:val="off"/>
          <w:i w:val="off"/>
        </w:rPr>
        <w:t>[95]</w:t>
      </w:r>
      <w:r>
        <w:rPr>
          <w:b/>
          <w:lang w:val="en-GB" w:eastAsia="es-MX"/>
        </w:rPr>
        <w:t>Bertolini</w:t>
      </w:r>
      <w:r>
        <w:rPr>
          <w:b/>
          <w:i/>
          <w:lang w:val="en-GB" w:eastAsia="es-MX"/>
        </w:rPr>
        <w:t xml:space="preserve"> et</w:t>
      </w:r>
      <w:r>
        <w:rPr>
          <w:rFonts w:eastAsia="Calibri"/>
          <w:i/>
          <w:szCs w:val="22"/>
          <w:lang w:val="en-GB" w:eastAsia="es-ES"/>
        </w:rPr>
        <w:t> </w:t>
      </w:r>
      <w:r>
        <w:rPr>
          <w:b/>
          <w:i/>
          <w:lang w:val="en-GB" w:eastAsia="es-MX"/>
        </w:rPr>
        <w:t xml:space="preserve">al. </w:t>
      </w:r>
      <w:r>
        <w:rPr>
          <w:b/>
          <w:lang w:val="en-GB" w:eastAsia="es-MX"/>
        </w:rPr>
        <w:t>(2014).</w:t>
      </w:r>
      <w:r>
        <w:rPr>
          <w:lang w:val="en-GB" w:eastAsia="es-MX"/>
        </w:rPr>
        <w:t xml:space="preserve"> In this method, individual psyllids are inmobilized and squashed on nylon or paper membranes with the bottom end of a microcentrifuge tube. Pieces of membrane harbouring the squashed samples are inserted into microtubes containing 100 µL distilled water, 0.5% Triton X-100 or </w:t>
        <w:lastRenderedPageBreak/>
        <w:t xml:space="preserve">glycine buffer (0.1 M glycine, 0.05 M NaCl, 1 mM EDTA). Samples are then incubated at 100 °C for 10 min as described by Bertolini </w:t>
      </w:r>
      <w:r>
        <w:rPr>
          <w:i/>
          <w:lang w:val="en-GB" w:eastAsia="es-MX"/>
        </w:rPr>
        <w:t>et</w:t>
      </w:r>
      <w:r>
        <w:rPr>
          <w:rFonts w:eastAsia="Calibri"/>
          <w:i/>
          <w:szCs w:val="22"/>
          <w:lang w:val="en-GB" w:eastAsia="es-ES"/>
        </w:rPr>
        <w:t> </w:t>
      </w:r>
      <w:r>
        <w:rPr>
          <w:i/>
          <w:lang w:val="en-GB" w:eastAsia="es-MX"/>
        </w:rPr>
        <w:t>al.</w:t>
      </w:r>
      <w:r>
        <w:rPr>
          <w:lang w:val="en-GB" w:eastAsia="es-MX"/>
        </w:rPr>
        <w:t xml:space="preserve"> (2014), vortexed and placed on ice until used for real-time PCR. </w:t>
      </w:r>
    </w:p>
    <w:p w14:paraId="4DC560AF" w14:textId="41127610">
      <w:pPr>
        <w:pStyle w:val="IPPParagraphnumbering"/>
        <w:numPr>
          <w:ilvl w:val="0"/>
          <w:numId w:val="0"/>
        </w:numPr>
        <w:rPr>
          <w:lang w:val="en-GB"/>
        </w:rPr>
      </w:pPr>
      <w:r>
        <w:rPr>
          <w:rStyle w:val="PleaseReviewParagraphId"/>
          <w:b w:val="off"/>
          <w:i w:val="off"/>
        </w:rPr>
        <w:t>[96]</w:t>
      </w:r>
      <w:r>
        <w:rPr>
          <w:b/>
          <w:bCs/>
          <w:lang w:val="en-GB" w:eastAsia="es-MX"/>
        </w:rPr>
        <w:t>NAPPO (2012).</w:t>
      </w:r>
      <w:r>
        <w:rPr>
          <w:bCs/>
          <w:lang w:val="en-GB" w:eastAsia="es-MX"/>
        </w:rPr>
        <w:t xml:space="preserve"> In this method, one to five</w:t>
      </w:r>
      <w:r>
        <w:rPr>
          <w:lang w:val="en-GB" w:eastAsia="es-MX"/>
        </w:rPr>
        <w:t xml:space="preserve"> adult psyllids are placed into a microfuge tube and homogenized in the tube with a micropestle. DNA extraction is then carried out </w:t>
      </w:r>
      <w:r>
        <w:rPr>
          <w:bCs/>
          <w:lang w:val="en-GB" w:eastAsia="es-MX"/>
        </w:rPr>
        <w:t xml:space="preserve">using the commercial kit </w:t>
      </w:r>
      <w:r>
        <w:rPr>
          <w:lang w:val="en-GB" w:eastAsia="es-MX"/>
        </w:rPr>
        <w:t>Qiagen</w:t>
      </w:r>
      <w:r>
        <w:rPr>
          <w:rStyle w:val="FootnoteReference"/>
          <w:lang w:val="en-GB" w:eastAsia="es-MX"/>
        </w:rPr>
        <w:t xml:space="preserve"> </w:t>
      </w:r>
      <w:r>
        <w:rPr>
          <w:lang w:val="en-GB" w:eastAsia="es-MX"/>
        </w:rPr>
        <w:t>DNeasy Blood and Tissue Kit a</w:t>
      </w:r>
      <w:r>
        <w:rPr>
          <w:lang w:val="en-GB"/>
        </w:rPr>
        <w:t>ccording to the</w:t>
      </w:r>
      <w:r>
        <w:rPr>
          <w:lang w:val="en-GB" w:eastAsia="es-MX"/>
        </w:rPr>
        <w:t xml:space="preserve"> </w:t>
      </w:r>
      <w:r>
        <w:rPr>
          <w:lang w:val="en-GB"/>
        </w:rPr>
        <w:t xml:space="preserve">manufacturer’s instructions. </w:t>
      </w:r>
    </w:p>
    <w:p w14:paraId="2ADF735D" w14:textId="39FE9658">
      <w:pPr>
        <w:pStyle w:val="IPPHeading2"/>
        <w:rPr>
          <w:bCs/>
        </w:rPr>
      </w:pPr>
      <w:r>
        <w:rPr>
          <w:rStyle w:val="PleaseReviewParagraphId"/>
          <w:b w:val="off"/>
          <w:i w:val="off"/>
        </w:rPr>
        <w:t>[97]</w:t>
      </w:r>
      <w:r>
        <w:t>3.4.3</w:t>
        <w:tab/>
        <w:t>Conventional PCR</w:t>
      </w:r>
    </w:p>
    <w:p w14:paraId="5C7E36C0" w14:textId="59139A85">
      <w:pPr>
        <w:pStyle w:val="IPPParagraphnumbering"/>
        <w:numPr>
          <w:ilvl w:val="0"/>
          <w:numId w:val="0"/>
        </w:numPr>
        <w:spacing w:before="120"/>
        <w:rPr>
          <w:szCs w:val="22"/>
          <w:lang w:val="en-GB"/>
        </w:rPr>
      </w:pPr>
      <w:r>
        <w:rPr>
          <w:rStyle w:val="PleaseReviewParagraphId"/>
          <w:b w:val="off"/>
          <w:i w:val="off"/>
        </w:rPr>
        <w:t>[98]</w:t>
      </w:r>
      <w:r>
        <w:rPr>
          <w:szCs w:val="22"/>
          <w:lang w:val="en-GB"/>
        </w:rPr>
        <w:t>Conventional PCR has proven to be a reliable, specific and sensitive technique for detecting ‘</w:t>
      </w:r>
      <w:r>
        <w:rPr>
          <w:i/>
          <w:iCs/>
          <w:szCs w:val="22"/>
          <w:lang w:val="en-GB"/>
        </w:rPr>
        <w:t>Ca.</w:t>
      </w:r>
      <w:r>
        <w:rPr>
          <w:szCs w:val="22"/>
          <w:lang w:val="en-GB"/>
        </w:rPr>
        <w:t xml:space="preserve"> Liberibacter’ species in </w:t>
      </w:r>
      <w:r>
        <w:rPr>
          <w:szCs w:val="22"/>
          <w:lang w:val="en-GB" w:eastAsia="zh-CN"/>
        </w:rPr>
        <w:t>HLB-infected</w:t>
      </w:r>
      <w:r>
        <w:rPr>
          <w:szCs w:val="22"/>
          <w:lang w:val="en-GB"/>
        </w:rPr>
        <w:t xml:space="preserve"> symptomatic trees. </w:t>
      </w:r>
      <w:r>
        <w:rPr>
          <w:lang w:val="en-GB"/>
        </w:rPr>
        <w:t xml:space="preserve">Li, </w:t>
      </w:r>
      <w:r>
        <w:rPr>
          <w:bCs/>
          <w:szCs w:val="22"/>
          <w:lang w:val="en-GB" w:eastAsia="es-ES"/>
        </w:rPr>
        <w:t>Hartung and Levy</w:t>
      </w:r>
      <w:r>
        <w:rPr>
          <w:lang w:val="en-GB"/>
        </w:rPr>
        <w:t xml:space="preserve"> (2007) determined that there were no significant differences in sensitivity among the conventional PCR methods listed below. All conventional PCR methods can detect 10</w:t>
      </w:r>
      <w:r>
        <w:rPr>
          <w:vertAlign w:val="superscript"/>
          <w:lang w:val="en-GB"/>
        </w:rPr>
        <w:t>-2</w:t>
      </w:r>
      <w:r>
        <w:rPr>
          <w:lang w:val="en-GB"/>
        </w:rPr>
        <w:t xml:space="preserve"> dilutions of DNA extracts obtained from 200 mg of midrib</w:t>
      </w:r>
      <w:r>
        <w:rPr>
          <w:lang w:val="en-GB" w:eastAsia="zh-CN"/>
        </w:rPr>
        <w:t>s</w:t>
      </w:r>
      <w:r>
        <w:rPr>
          <w:lang w:val="en-GB"/>
        </w:rPr>
        <w:t xml:space="preserve"> from infected plants. Wang </w:t>
      </w:r>
      <w:r>
        <w:rPr>
          <w:i/>
          <w:lang w:val="en-GB"/>
        </w:rPr>
        <w:t>et</w:t>
      </w:r>
      <w:r>
        <w:rPr>
          <w:rFonts w:eastAsia="Calibri"/>
          <w:i/>
          <w:szCs w:val="22"/>
          <w:lang w:val="en-GB" w:eastAsia="es-ES"/>
        </w:rPr>
        <w:t> </w:t>
      </w:r>
      <w:r>
        <w:rPr>
          <w:i/>
          <w:lang w:val="en-GB"/>
        </w:rPr>
        <w:t>al</w:t>
      </w:r>
      <w:r>
        <w:rPr>
          <w:lang w:val="en-GB"/>
        </w:rPr>
        <w:t xml:space="preserve">. </w:t>
      </w:r>
      <w:r>
        <w:rPr>
          <w:rFonts w:eastAsia="SimSun"/>
          <w:lang w:val="en-GB" w:eastAsia="zh-CN"/>
        </w:rPr>
        <w:t>(</w:t>
      </w:r>
      <w:r>
        <w:rPr>
          <w:lang w:val="en-GB"/>
        </w:rPr>
        <w:t>2006</w:t>
      </w:r>
      <w:r>
        <w:rPr>
          <w:rFonts w:eastAsia="SimSun"/>
          <w:lang w:val="en-GB" w:eastAsia="zh-CN"/>
        </w:rPr>
        <w:t>)</w:t>
      </w:r>
      <w:r>
        <w:rPr>
          <w:i/>
          <w:iCs/>
          <w:lang w:val="en-GB"/>
        </w:rPr>
        <w:t xml:space="preserve"> </w:t>
      </w:r>
      <w:r>
        <w:rPr>
          <w:lang w:val="en-GB"/>
        </w:rPr>
        <w:t>quantified the detection sensitivity of conventional PCR as 439 fg/µ</w:t>
      </w:r>
      <w:r>
        <w:rPr>
          <w:rFonts w:eastAsia="SimSun"/>
          <w:lang w:val="en-GB" w:eastAsia="zh-CN"/>
        </w:rPr>
        <w:t xml:space="preserve">L </w:t>
      </w:r>
      <w:r>
        <w:rPr>
          <w:lang w:val="en-GB"/>
        </w:rPr>
        <w:t>DNA extract from infected plants.</w:t>
      </w:r>
    </w:p>
    <w:p w14:paraId="426A46A2" w14:textId="5E60B85F">
      <w:pPr>
        <w:pStyle w:val="IPPHeading3"/>
      </w:pPr>
      <w:r>
        <w:rPr>
          <w:rStyle w:val="PleaseReviewParagraphId"/>
          <w:b w:val="off"/>
          <w:i w:val="off"/>
        </w:rPr>
        <w:t>[99]</w:t>
      </w:r>
      <w:r>
        <w:rPr>
          <w:szCs w:val="22"/>
        </w:rPr>
        <w:t>3.4.3.1</w:t>
        <w:tab/>
      </w:r>
      <w:r>
        <w:t>Conventional PCR using the primers of Jagoueix</w:t>
      </w:r>
      <w:r>
        <w:rPr>
          <w:lang w:eastAsia="zh-CN"/>
        </w:rPr>
        <w:t xml:space="preserve"> </w:t>
      </w:r>
      <w:r>
        <w:rPr>
          <w:i w:val="0"/>
          <w:iCs/>
          <w:lang w:eastAsia="zh-CN"/>
        </w:rPr>
        <w:t>et</w:t>
      </w:r>
      <w:r>
        <w:rPr>
          <w:rFonts w:eastAsia="Calibri"/>
          <w:i w:val="0"/>
          <w:iCs/>
          <w:lang w:eastAsia="es-ES"/>
        </w:rPr>
        <w:t> </w:t>
      </w:r>
      <w:r>
        <w:rPr>
          <w:i w:val="0"/>
          <w:iCs/>
          <w:lang w:eastAsia="zh-CN"/>
        </w:rPr>
        <w:t>al.</w:t>
      </w:r>
      <w:r>
        <w:rPr>
          <w:lang w:eastAsia="zh-CN"/>
        </w:rPr>
        <w:t xml:space="preserve"> (</w:t>
      </w:r>
      <w:r>
        <w:t>1996)</w:t>
      </w:r>
      <w:r>
        <w:rPr>
          <w:iCs/>
        </w:rPr>
        <w:t xml:space="preserve"> </w:t>
      </w:r>
    </w:p>
    <w:p w14:paraId="022490CB" w14:textId="4F4573E8">
      <w:pPr>
        <w:pStyle w:val="IPPParagraphnumberingclose"/>
        <w:numPr>
          <w:ilvl w:val="0"/>
          <w:numId w:val="0"/>
        </w:numPr>
        <w:rPr>
          <w:lang w:val="en-GB"/>
        </w:rPr>
      </w:pPr>
      <w:r>
        <w:rPr>
          <w:rStyle w:val="PleaseReviewParagraphId"/>
          <w:b w:val="off"/>
          <w:i w:val="off"/>
        </w:rPr>
        <w:t>[100]</w:t>
      </w:r>
      <w:r>
        <w:rPr>
          <w:lang w:val="en-GB"/>
        </w:rPr>
        <w:t>Jagoueix</w:t>
      </w:r>
      <w:r>
        <w:rPr>
          <w:lang w:val="en-GB" w:eastAsia="zh-CN"/>
        </w:rPr>
        <w:t xml:space="preserve"> </w:t>
      </w:r>
      <w:r>
        <w:rPr>
          <w:i/>
          <w:lang w:val="en-GB" w:eastAsia="zh-CN"/>
        </w:rPr>
        <w:t>et</w:t>
      </w:r>
      <w:r>
        <w:rPr>
          <w:rFonts w:eastAsia="Calibri"/>
          <w:i/>
          <w:lang w:val="en-GB" w:eastAsia="es-ES"/>
        </w:rPr>
        <w:t> </w:t>
      </w:r>
      <w:r>
        <w:rPr>
          <w:i/>
          <w:lang w:val="en-GB" w:eastAsia="zh-CN"/>
        </w:rPr>
        <w:t>al.</w:t>
      </w:r>
      <w:r>
        <w:rPr>
          <w:lang w:val="en-GB" w:eastAsia="zh-CN"/>
        </w:rPr>
        <w:t xml:space="preserve"> (</w:t>
      </w:r>
      <w:r>
        <w:rPr>
          <w:lang w:val="en-GB"/>
        </w:rPr>
        <w:t>1996)</w:t>
      </w:r>
      <w:r>
        <w:rPr>
          <w:b/>
          <w:lang w:val="en-GB"/>
        </w:rPr>
        <w:t xml:space="preserve"> </w:t>
      </w:r>
      <w:r>
        <w:rPr>
          <w:lang w:val="en-GB"/>
        </w:rPr>
        <w:t xml:space="preserve">used three primers in the same PCR mixture: OA1, OI1 and OI2c (Teixeira </w:t>
      </w:r>
      <w:r>
        <w:rPr>
          <w:i/>
          <w:lang w:val="en-GB" w:eastAsia="zh-CN"/>
        </w:rPr>
        <w:t>et</w:t>
      </w:r>
      <w:r>
        <w:rPr>
          <w:rFonts w:eastAsia="Calibri"/>
          <w:i/>
          <w:lang w:val="en-GB" w:eastAsia="es-ES"/>
        </w:rPr>
        <w:t> </w:t>
      </w:r>
      <w:r>
        <w:rPr>
          <w:i/>
          <w:lang w:val="en-GB" w:eastAsia="zh-CN"/>
        </w:rPr>
        <w:t>al.</w:t>
      </w:r>
      <w:r>
        <w:rPr>
          <w:rFonts w:eastAsia="SimSun"/>
          <w:lang w:val="en-GB" w:eastAsia="zh-CN"/>
        </w:rPr>
        <w:t>,</w:t>
      </w:r>
      <w:r>
        <w:rPr>
          <w:i/>
          <w:lang w:val="en-GB" w:eastAsia="zh-CN"/>
        </w:rPr>
        <w:t xml:space="preserve"> </w:t>
      </w:r>
      <w:r>
        <w:rPr>
          <w:lang w:val="en-GB"/>
        </w:rPr>
        <w:t>2005a</w:t>
      </w:r>
      <w:r>
        <w:rPr>
          <w:lang w:val="en-GB" w:eastAsia="zh-CN"/>
        </w:rPr>
        <w:t xml:space="preserve">, </w:t>
      </w:r>
      <w:r>
        <w:rPr>
          <w:lang w:val="en-GB"/>
        </w:rPr>
        <w:t>2005b)</w:t>
      </w:r>
      <w:r>
        <w:rPr>
          <w:i/>
          <w:lang w:val="en-GB"/>
        </w:rPr>
        <w:t xml:space="preserve">. </w:t>
      </w:r>
      <w:r>
        <w:rPr>
          <w:iCs/>
          <w:lang w:val="en-GB"/>
        </w:rPr>
        <w:t>The p</w:t>
      </w:r>
      <w:r>
        <w:rPr>
          <w:lang w:val="en-GB"/>
        </w:rPr>
        <w:t>rimer sequences, which are based on the 16S rDNA sequences, are as follows:</w:t>
      </w:r>
    </w:p>
    <w:p w14:paraId="4FD36A5A" w14:textId="60A440E0">
      <w:pPr>
        <w:pStyle w:val="IPPIndentClose"/>
      </w:pPr>
      <w:r>
        <w:rPr>
          <w:rStyle w:val="PleaseReviewParagraphId"/>
          <w:b w:val="off"/>
          <w:i w:val="off"/>
        </w:rPr>
        <w:t>[101]</w:t>
      </w:r>
      <w:r>
        <w:t>OI1 (forward):5´- GCG CGT ATG CAA TAC GAG CGG CA – 3´</w:t>
      </w:r>
    </w:p>
    <w:p w14:paraId="7CA3D7C9" w14:textId="462F0A71">
      <w:pPr>
        <w:pStyle w:val="IPPIndentClose"/>
      </w:pPr>
      <w:r>
        <w:rPr>
          <w:rStyle w:val="PleaseReviewParagraphId"/>
          <w:b w:val="off"/>
          <w:i w:val="off"/>
        </w:rPr>
        <w:t>[102]</w:t>
      </w:r>
      <w:r>
        <w:t>OA1 (forward): 5´- GCG CGT ATT TTA TAC GAG CGG CA-3´</w:t>
      </w:r>
    </w:p>
    <w:p w14:paraId="349A29BD" w14:textId="2B7D4473">
      <w:pPr>
        <w:pStyle w:val="IPPIndent"/>
      </w:pPr>
      <w:r>
        <w:rPr>
          <w:rStyle w:val="PleaseReviewParagraphId"/>
          <w:b w:val="off"/>
          <w:i w:val="off"/>
        </w:rPr>
        <w:t>[103]</w:t>
      </w:r>
      <w:r>
        <w:t>OI2c (reverse): 5´- GCC TCG CGA CTT CGC AAC CCA T-3´</w:t>
      </w:r>
    </w:p>
    <w:p w14:paraId="19400AE8" w14:textId="50E92176">
      <w:pPr>
        <w:pStyle w:val="IPPParagraphnumbering"/>
        <w:numPr>
          <w:ilvl w:val="0"/>
          <w:numId w:val="0"/>
        </w:numPr>
        <w:spacing w:before="200"/>
        <w:rPr>
          <w:szCs w:val="22"/>
          <w:lang w:val="en-GB"/>
        </w:rPr>
      </w:pPr>
      <w:r>
        <w:rPr>
          <w:rStyle w:val="PleaseReviewParagraphId"/>
          <w:b w:val="off"/>
          <w:i w:val="off"/>
        </w:rPr>
        <w:t>[104]</w:t>
      </w:r>
      <w:r>
        <w:rPr>
          <w:szCs w:val="22"/>
          <w:lang w:val="en-GB"/>
        </w:rPr>
        <w:t xml:space="preserve">The </w:t>
      </w:r>
      <w:r>
        <w:rPr>
          <w:szCs w:val="22"/>
          <w:lang w:val="en-GB" w:eastAsia="zh-CN"/>
        </w:rPr>
        <w:t>p</w:t>
      </w:r>
      <w:r>
        <w:rPr>
          <w:szCs w:val="22"/>
          <w:lang w:val="en-GB"/>
        </w:rPr>
        <w:t>rimer pair</w:t>
      </w:r>
      <w:r>
        <w:rPr>
          <w:szCs w:val="22"/>
          <w:lang w:val="en-GB" w:eastAsia="zh-CN"/>
        </w:rPr>
        <w:t xml:space="preserve"> </w:t>
      </w:r>
      <w:r>
        <w:rPr>
          <w:szCs w:val="22"/>
          <w:lang w:val="en-GB"/>
        </w:rPr>
        <w:t>OI1/OI2c amplifies ‘</w:t>
      </w:r>
      <w:r>
        <w:rPr>
          <w:i/>
          <w:szCs w:val="22"/>
          <w:lang w:val="en-GB"/>
        </w:rPr>
        <w:t>Ca. </w:t>
      </w:r>
      <w:r>
        <w:rPr>
          <w:szCs w:val="22"/>
          <w:lang w:val="en-GB"/>
        </w:rPr>
        <w:t xml:space="preserve">L. asiaticus’ and </w:t>
      </w:r>
      <w:r>
        <w:rPr>
          <w:iCs/>
          <w:szCs w:val="22"/>
          <w:lang w:val="en-GB"/>
        </w:rPr>
        <w:t>‘</w:t>
      </w:r>
      <w:r>
        <w:rPr>
          <w:i/>
          <w:szCs w:val="22"/>
          <w:lang w:val="en-GB"/>
        </w:rPr>
        <w:t>Ca</w:t>
      </w:r>
      <w:r>
        <w:rPr>
          <w:szCs w:val="22"/>
          <w:lang w:val="en-GB"/>
        </w:rPr>
        <w:t>. L. </w:t>
      </w:r>
      <w:r>
        <w:rPr>
          <w:szCs w:val="22"/>
          <w:lang w:val="en-GB" w:eastAsia="zh-CN"/>
        </w:rPr>
        <w:t>a</w:t>
      </w:r>
      <w:r>
        <w:rPr>
          <w:szCs w:val="22"/>
          <w:lang w:val="en-GB"/>
        </w:rPr>
        <w:t xml:space="preserve">fricanus’; the </w:t>
      </w:r>
      <w:r>
        <w:rPr>
          <w:szCs w:val="22"/>
          <w:lang w:val="en-GB" w:eastAsia="zh-CN"/>
        </w:rPr>
        <w:t>p</w:t>
      </w:r>
      <w:r>
        <w:rPr>
          <w:szCs w:val="22"/>
          <w:lang w:val="en-GB"/>
        </w:rPr>
        <w:t>rimer pair OA1/OI2c preferentially amplifies</w:t>
      </w:r>
      <w:r>
        <w:rPr>
          <w:i/>
          <w:szCs w:val="22"/>
          <w:lang w:val="en-GB"/>
        </w:rPr>
        <w:t xml:space="preserve"> </w:t>
      </w:r>
      <w:r>
        <w:rPr>
          <w:iCs/>
          <w:szCs w:val="22"/>
          <w:lang w:val="en-GB"/>
        </w:rPr>
        <w:t>‘</w:t>
      </w:r>
      <w:r>
        <w:rPr>
          <w:i/>
          <w:szCs w:val="22"/>
          <w:lang w:val="en-GB"/>
        </w:rPr>
        <w:t>Ca. </w:t>
      </w:r>
      <w:r>
        <w:rPr>
          <w:szCs w:val="22"/>
          <w:lang w:val="en-GB"/>
        </w:rPr>
        <w:t>L. </w:t>
      </w:r>
      <w:r>
        <w:rPr>
          <w:szCs w:val="22"/>
          <w:lang w:val="en-GB" w:eastAsia="zh-CN"/>
        </w:rPr>
        <w:t>a</w:t>
      </w:r>
      <w:r>
        <w:rPr>
          <w:szCs w:val="22"/>
          <w:lang w:val="en-GB"/>
        </w:rPr>
        <w:t>fricanus’. The sequence of the reverse primer OI2c is the same for all three ‘</w:t>
      </w:r>
      <w:r>
        <w:rPr>
          <w:i/>
          <w:iCs/>
          <w:szCs w:val="22"/>
          <w:lang w:val="en-GB"/>
        </w:rPr>
        <w:t>Ca.</w:t>
      </w:r>
      <w:r>
        <w:rPr>
          <w:szCs w:val="22"/>
          <w:lang w:val="en-GB"/>
        </w:rPr>
        <w:t> Liberibacter’ species associated with HLB. The sequences of the forward primer OA1 for ‘</w:t>
      </w:r>
      <w:r>
        <w:rPr>
          <w:i/>
          <w:szCs w:val="22"/>
          <w:lang w:val="en-GB"/>
        </w:rPr>
        <w:t>Ca. </w:t>
      </w:r>
      <w:r>
        <w:rPr>
          <w:szCs w:val="22"/>
          <w:lang w:val="en-GB"/>
        </w:rPr>
        <w:t>L. africanus’ and OI1 for ‘</w:t>
      </w:r>
      <w:r>
        <w:rPr>
          <w:i/>
          <w:szCs w:val="22"/>
          <w:lang w:val="en-GB"/>
        </w:rPr>
        <w:t>Ca</w:t>
      </w:r>
      <w:r>
        <w:rPr>
          <w:szCs w:val="22"/>
          <w:lang w:val="en-GB"/>
        </w:rPr>
        <w:t xml:space="preserve">. L. asiaticus’ </w:t>
      </w:r>
      <w:r>
        <w:rPr>
          <w:color w:val="0000FF"/>
          <w:szCs w:val="22"/>
          <w:lang w:val="en-GB"/>
        </w:rPr>
        <w:t xml:space="preserve"> </w:t>
      </w:r>
      <w:r>
        <w:rPr>
          <w:szCs w:val="22"/>
          <w:lang w:val="en-GB"/>
        </w:rPr>
        <w:t xml:space="preserve">and </w:t>
      </w:r>
      <w:r>
        <w:rPr>
          <w:i/>
          <w:szCs w:val="22"/>
          <w:lang w:val="en-GB"/>
        </w:rPr>
        <w:t>‘Ca</w:t>
      </w:r>
      <w:r>
        <w:rPr>
          <w:szCs w:val="22"/>
          <w:lang w:val="en-GB"/>
        </w:rPr>
        <w:t>. L. </w:t>
      </w:r>
      <w:r>
        <w:rPr>
          <w:szCs w:val="22"/>
          <w:lang w:val="en-GB" w:eastAsia="zh-CN"/>
        </w:rPr>
        <w:t>a</w:t>
      </w:r>
      <w:r>
        <w:rPr>
          <w:szCs w:val="22"/>
          <w:lang w:val="en-GB"/>
        </w:rPr>
        <w:t xml:space="preserve">fricanus’ are identical except that GCA in OI1 is replaced by TTT in OA1. </w:t>
      </w:r>
    </w:p>
    <w:p w14:paraId="48EF388D" w14:textId="3B0A61F5">
      <w:pPr>
        <w:pStyle w:val="IPPParagraphnumbering"/>
        <w:numPr>
          <w:ilvl w:val="0"/>
          <w:numId w:val="0"/>
        </w:numPr>
        <w:rPr>
          <w:lang w:val="en-GB"/>
        </w:rPr>
      </w:pPr>
      <w:r>
        <w:rPr>
          <w:rStyle w:val="PleaseReviewParagraphId"/>
          <w:b w:val="off"/>
          <w:i w:val="off"/>
        </w:rPr>
        <w:t>[105]</w:t>
      </w:r>
      <w:r>
        <w:rPr>
          <w:lang w:val="en-GB"/>
        </w:rPr>
        <w:t xml:space="preserve">Although Jagoueix </w:t>
      </w:r>
      <w:r>
        <w:rPr>
          <w:i/>
          <w:iCs/>
          <w:lang w:val="en-GB"/>
        </w:rPr>
        <w:t>et</w:t>
      </w:r>
      <w:r>
        <w:rPr>
          <w:rFonts w:eastAsia="Calibri"/>
          <w:i/>
          <w:szCs w:val="22"/>
          <w:lang w:val="en-GB" w:eastAsia="es-ES"/>
        </w:rPr>
        <w:t> </w:t>
      </w:r>
      <w:r>
        <w:rPr>
          <w:i/>
          <w:iCs/>
          <w:lang w:val="en-GB"/>
        </w:rPr>
        <w:t>al.</w:t>
      </w:r>
      <w:r>
        <w:rPr>
          <w:lang w:val="en-GB"/>
        </w:rPr>
        <w:t xml:space="preserve"> (1996) determined that the primer pair OI1/OI2c detects ‘</w:t>
      </w:r>
      <w:r>
        <w:rPr>
          <w:i/>
          <w:iCs/>
          <w:lang w:val="en-GB"/>
        </w:rPr>
        <w:t>Ca.</w:t>
      </w:r>
      <w:r>
        <w:rPr>
          <w:lang w:val="en-GB"/>
        </w:rPr>
        <w:t> L. asiaticus’ and ‘</w:t>
      </w:r>
      <w:r>
        <w:rPr>
          <w:i/>
          <w:iCs/>
          <w:lang w:val="en-GB"/>
        </w:rPr>
        <w:t>Ca.</w:t>
      </w:r>
      <w:r>
        <w:rPr>
          <w:lang w:val="en-GB"/>
        </w:rPr>
        <w:t> L. africanus’, this primer pair does not detect ‘</w:t>
      </w:r>
      <w:r>
        <w:rPr>
          <w:i/>
          <w:iCs/>
          <w:lang w:val="en-GB"/>
        </w:rPr>
        <w:t>Ca.</w:t>
      </w:r>
      <w:r>
        <w:rPr>
          <w:lang w:val="en-GB"/>
        </w:rPr>
        <w:t xml:space="preserve"> L. americanus’ (Li, </w:t>
      </w:r>
      <w:r>
        <w:rPr>
          <w:bCs/>
          <w:szCs w:val="22"/>
          <w:lang w:val="en-GB" w:eastAsia="es-ES"/>
        </w:rPr>
        <w:t>Hartung and Levy</w:t>
      </w:r>
      <w:r>
        <w:rPr>
          <w:lang w:val="en-GB"/>
        </w:rPr>
        <w:t xml:space="preserve">, 2007). No amplification was obtained when this primer pair was tested on  </w:t>
      </w:r>
      <w:r>
        <w:rPr>
          <w:i/>
          <w:iCs/>
          <w:lang w:val="en-GB"/>
        </w:rPr>
        <w:t>Acinetobacter lwoffi</w:t>
      </w:r>
      <w:r>
        <w:rPr>
          <w:lang w:val="en-GB"/>
        </w:rPr>
        <w:t xml:space="preserve">, </w:t>
      </w:r>
      <w:r>
        <w:rPr>
          <w:i/>
          <w:iCs/>
          <w:lang w:val="en-GB"/>
        </w:rPr>
        <w:t>Agrobacterium tumefaciens</w:t>
      </w:r>
      <w:r>
        <w:rPr>
          <w:lang w:val="en-GB"/>
        </w:rPr>
        <w:t>,</w:t>
      </w:r>
      <w:r>
        <w:rPr>
          <w:i/>
          <w:iCs/>
          <w:lang w:val="en-GB"/>
        </w:rPr>
        <w:t xml:space="preserve"> Citrus tristeza virus, Escherichia coli</w:t>
      </w:r>
      <w:r>
        <w:rPr>
          <w:lang w:val="en-GB"/>
        </w:rPr>
        <w:t xml:space="preserve">, </w:t>
      </w:r>
      <w:r>
        <w:t>‘</w:t>
      </w:r>
      <w:r>
        <w:rPr>
          <w:i/>
          <w:iCs/>
        </w:rPr>
        <w:t>Candidatus</w:t>
      </w:r>
      <w:r>
        <w:t xml:space="preserve"> Phytoplasma aurantifolia’ (lime witches broom ph</w:t>
      </w:r>
      <w:r>
        <w:rPr>
          <w:lang w:val="en-GB"/>
        </w:rPr>
        <w:t>ytoplasma),</w:t>
      </w:r>
      <w:r>
        <w:rPr>
          <w:i/>
          <w:iCs/>
          <w:lang w:val="en-GB"/>
        </w:rPr>
        <w:t xml:space="preserve"> </w:t>
      </w:r>
      <w:r>
        <w:t>‘</w:t>
      </w:r>
      <w:r>
        <w:rPr>
          <w:i/>
          <w:iCs/>
        </w:rPr>
        <w:t>Candidatus</w:t>
      </w:r>
      <w:r>
        <w:t xml:space="preserve"> Phytoplasma solani’ (</w:t>
      </w:r>
      <w:r>
        <w:rPr>
          <w:lang w:val="en-GB"/>
        </w:rPr>
        <w:t xml:space="preserve">stolbur phytoplasma), </w:t>
      </w:r>
      <w:r>
        <w:rPr>
          <w:i/>
          <w:iCs/>
          <w:lang w:val="en-GB"/>
        </w:rPr>
        <w:t>Spiroplasma citri</w:t>
      </w:r>
      <w:r>
        <w:rPr>
          <w:lang w:val="en-GB"/>
        </w:rPr>
        <w:t xml:space="preserve">, </w:t>
      </w:r>
      <w:r>
        <w:rPr>
          <w:i/>
          <w:iCs/>
          <w:lang w:val="en-GB"/>
        </w:rPr>
        <w:t>Xanthomonas campestris</w:t>
      </w:r>
      <w:r>
        <w:rPr>
          <w:lang w:val="en-GB"/>
        </w:rPr>
        <w:t xml:space="preserve">, and </w:t>
      </w:r>
      <w:r>
        <w:rPr>
          <w:i/>
          <w:iCs/>
          <w:lang w:val="en-GB"/>
        </w:rPr>
        <w:t>Xylella fastidiosa</w:t>
      </w:r>
      <w:r>
        <w:rPr>
          <w:lang w:val="en-GB"/>
        </w:rPr>
        <w:t xml:space="preserve">.  The sensitivity of the method was not quantified, but although amplifications were obtained from 20 mg of infected midribs they were not obtained when lesser amounts of infected midribs were mixed with 1 g of healthy midrib tissue. </w:t>
      </w:r>
    </w:p>
    <w:p w14:paraId="1A7DCAC6" w14:textId="67F53B03">
      <w:pPr>
        <w:pStyle w:val="IPPParagraphnumbering"/>
        <w:numPr>
          <w:ilvl w:val="0"/>
          <w:numId w:val="0"/>
        </w:numPr>
        <w:rPr>
          <w:szCs w:val="22"/>
          <w:lang w:val="en-GB"/>
        </w:rPr>
      </w:pPr>
      <w:r>
        <w:rPr>
          <w:rStyle w:val="PleaseReviewParagraphId"/>
          <w:b w:val="off"/>
          <w:i w:val="off"/>
        </w:rPr>
        <w:t>[106]</w:t>
      </w:r>
      <w:r>
        <w:rPr>
          <w:szCs w:val="22"/>
          <w:lang w:val="en-GB" w:eastAsia="zh-CN"/>
        </w:rPr>
        <w:t xml:space="preserve">The master mix used for this PCR, developed by </w:t>
      </w:r>
      <w:r>
        <w:rPr>
          <w:szCs w:val="22"/>
          <w:lang w:val="en-GB"/>
        </w:rPr>
        <w:t>Jagoueix</w:t>
      </w:r>
      <w:r>
        <w:rPr>
          <w:szCs w:val="22"/>
          <w:lang w:val="en-GB" w:eastAsia="zh-CN"/>
        </w:rPr>
        <w:t xml:space="preserve"> </w:t>
      </w:r>
      <w:r>
        <w:rPr>
          <w:i/>
          <w:szCs w:val="22"/>
          <w:lang w:val="en-GB" w:eastAsia="zh-CN"/>
        </w:rPr>
        <w:t>et</w:t>
      </w:r>
      <w:r>
        <w:rPr>
          <w:rFonts w:eastAsia="Calibri"/>
          <w:i/>
          <w:szCs w:val="22"/>
          <w:lang w:val="en-GB" w:eastAsia="es-ES"/>
        </w:rPr>
        <w:t> </w:t>
      </w:r>
      <w:r>
        <w:rPr>
          <w:i/>
          <w:szCs w:val="22"/>
          <w:lang w:val="en-GB" w:eastAsia="zh-CN"/>
        </w:rPr>
        <w:t>al.</w:t>
      </w:r>
      <w:r>
        <w:rPr>
          <w:szCs w:val="22"/>
          <w:lang w:val="en-GB" w:eastAsia="zh-CN"/>
        </w:rPr>
        <w:t xml:space="preserve"> (</w:t>
      </w:r>
      <w:r>
        <w:rPr>
          <w:szCs w:val="22"/>
          <w:lang w:val="en-GB"/>
        </w:rPr>
        <w:t>1996), is described in Table 1.</w:t>
      </w:r>
      <w:r>
        <w:rPr>
          <w:rFonts w:ascii="Arial" w:hAnsi="Arial" w:cs="Arial"/>
          <w:b/>
          <w:sz w:val="18"/>
          <w:szCs w:val="18"/>
          <w:lang w:val="en-GB"/>
        </w:rPr>
        <w:br w:type="page"/>
      </w:r>
    </w:p>
    <w:p w14:paraId="2C5E0142" w14:textId="1A0705FF">
      <w:pPr>
        <w:pStyle w:val="IPPParagraphnumbering"/>
        <w:numPr>
          <w:ilvl w:val="0"/>
          <w:numId w:val="0"/>
        </w:numPr>
        <w:spacing w:before="120"/>
        <w:rPr>
          <w:rFonts w:ascii="Arial" w:hAnsi="Arial" w:cs="Arial"/>
          <w:sz w:val="18"/>
          <w:szCs w:val="18"/>
          <w:lang w:val="en-GB"/>
        </w:rPr>
      </w:pPr>
      <w:r>
        <w:rPr>
          <w:rStyle w:val="PleaseReviewParagraphId"/>
          <w:b w:val="off"/>
          <w:i w:val="off"/>
        </w:rPr>
        <w:t>[107]</w:t>
      </w:r>
      <w:r>
        <w:rPr>
          <w:rFonts w:ascii="Arial" w:hAnsi="Arial" w:cs="Arial"/>
          <w:b/>
          <w:sz w:val="18"/>
          <w:szCs w:val="18"/>
          <w:lang w:val="en-GB"/>
        </w:rPr>
        <w:lastRenderedPageBreak/>
        <w:t>Table 1.</w:t>
      </w:r>
      <w:r>
        <w:rPr>
          <w:rFonts w:ascii="Arial" w:hAnsi="Arial" w:cs="Arial"/>
          <w:sz w:val="18"/>
          <w:szCs w:val="18"/>
          <w:lang w:val="en-GB"/>
        </w:rPr>
        <w:t xml:space="preserve"> Master mix composition, cycling conditions and amplicons for conventional PCR using the primers </w:t>
      </w:r>
      <w:r>
        <w:rPr>
          <w:rFonts w:ascii="Arial" w:hAnsi="Arial" w:cs="Arial"/>
          <w:bCs/>
          <w:sz w:val="18"/>
          <w:szCs w:val="18"/>
          <w:lang w:val="en-GB"/>
        </w:rPr>
        <w:t>of Jagoueix</w:t>
      </w:r>
      <w:r>
        <w:rPr>
          <w:rFonts w:ascii="Arial" w:hAnsi="Arial" w:cs="Arial"/>
          <w:bCs/>
          <w:sz w:val="18"/>
          <w:szCs w:val="18"/>
          <w:lang w:val="en-GB" w:eastAsia="zh-CN"/>
        </w:rPr>
        <w:t xml:space="preserve"> </w:t>
      </w:r>
      <w:r>
        <w:rPr>
          <w:rFonts w:ascii="Arial" w:hAnsi="Arial" w:cs="Arial"/>
          <w:bCs/>
          <w:i/>
          <w:sz w:val="18"/>
          <w:szCs w:val="18"/>
          <w:lang w:val="en-GB" w:eastAsia="zh-CN"/>
        </w:rPr>
        <w:t>et</w:t>
      </w:r>
      <w:r>
        <w:rPr>
          <w:rFonts w:ascii="Arial" w:hAnsi="Arial" w:eastAsia="Calibri" w:cs="Arial"/>
          <w:bCs/>
          <w:i/>
          <w:sz w:val="18"/>
          <w:szCs w:val="18"/>
          <w:lang w:val="en-GB" w:eastAsia="es-ES"/>
        </w:rPr>
        <w:t> </w:t>
      </w:r>
      <w:r>
        <w:rPr>
          <w:rFonts w:ascii="Arial" w:hAnsi="Arial" w:cs="Arial"/>
          <w:bCs/>
          <w:i/>
          <w:sz w:val="18"/>
          <w:szCs w:val="18"/>
          <w:lang w:val="en-GB" w:eastAsia="zh-CN"/>
        </w:rPr>
        <w:t>al.</w:t>
      </w:r>
      <w:r>
        <w:rPr>
          <w:rFonts w:ascii="Arial" w:hAnsi="Arial" w:cs="Arial"/>
          <w:bCs/>
          <w:sz w:val="18"/>
          <w:szCs w:val="18"/>
          <w:lang w:val="en-GB" w:eastAsia="zh-CN"/>
        </w:rPr>
        <w:t xml:space="preserve"> (</w:t>
      </w:r>
      <w:r>
        <w:rPr>
          <w:rFonts w:ascii="Arial" w:hAnsi="Arial" w:cs="Arial"/>
          <w:bCs/>
          <w:sz w:val="18"/>
          <w:szCs w:val="18"/>
          <w:lang w:val="en-GB"/>
        </w:rPr>
        <w:t>1996)</w:t>
      </w:r>
      <w:r>
        <w:rPr>
          <w:rFonts w:ascii="Arial" w:hAnsi="Arial" w:cs="Arial"/>
          <w:sz w:val="18"/>
          <w:szCs w:val="18"/>
          <w:lang w:val="en-GB"/>
        </w:rPr>
        <w:t xml:space="preserve"> </w:t>
      </w:r>
    </w:p>
    <w:tbl>
      <w:tblPr>
        <w:tblW w:w="8931" w:type="dxa"/>
        <w:tblLayout w:type="fixed"/>
        <w:tblLook w:val="0000" w:firstRow="0" w:lastRow="0" w:firstColumn="0" w:lastColumn="0" w:noHBand="0" w:noVBand="0"/>
      </w:tblPr>
      <w:tblGrid>
        <w:gridCol w:w="5103"/>
        <w:gridCol w:w="3828"/>
      </w:tblGrid>
      <w:tr w14:paraId="79AAB026" w14:textId="77777777">
        <w:tc>
          <w:tcPr>
            <w:tcW w:w="5103" w:type="dxa"/>
            <w:tcBorders>
              <w:top w:val="single" w:color="000000" w:sz="4" w:space="0"/>
              <w:bottom w:val="single" w:color="000000" w:sz="4" w:space="0"/>
            </w:tcBorders>
            <w:shd w:val="clear" w:color="auto" w:fill="BFBFBF"/>
          </w:tcPr>
          <w:p w14:paraId="2D630FBA" w14:textId="77777777">
            <w:pPr>
              <w:pStyle w:val="IPPArialTable"/>
              <w:rPr>
                <w:b/>
              </w:rPr>
            </w:pPr>
            <w:r>
              <w:rPr>
                <w:rStyle w:val="PleaseReviewParagraphId"/>
                <w:b w:val="off"/>
                <w:i w:val="off"/>
              </w:rPr>
              <w:t>[108]</w:t>
            </w:r>
            <w:r>
              <w:rPr>
                <w:b/>
              </w:rPr>
              <w:t xml:space="preserve">Reagents </w:t>
            </w:r>
          </w:p>
        </w:tc>
        <w:tc>
          <w:tcPr>
            <w:tcW w:w="3828" w:type="dxa"/>
            <w:tcBorders>
              <w:top w:val="single" w:color="000000" w:sz="4" w:space="0"/>
              <w:bottom w:val="single" w:color="000000" w:sz="4" w:space="0"/>
            </w:tcBorders>
            <w:shd w:val="clear" w:color="auto" w:fill="BFBFBF"/>
          </w:tcPr>
          <w:p w14:paraId="4C5F28BD" w14:textId="77777777">
            <w:pPr>
              <w:pStyle w:val="IPPArialTable"/>
              <w:rPr>
                <w:b/>
              </w:rPr>
            </w:pPr>
            <w:r>
              <w:rPr>
                <w:rStyle w:val="PleaseReviewParagraphId"/>
                <w:b w:val="off"/>
                <w:i w:val="off"/>
              </w:rPr>
              <w:t>[109]</w:t>
            </w:r>
            <w:r>
              <w:rPr>
                <w:b/>
              </w:rPr>
              <w:t>Final concentration</w:t>
            </w:r>
          </w:p>
        </w:tc>
      </w:tr>
      <w:tr w14:paraId="19BC9658" w14:textId="77777777">
        <w:tc>
          <w:tcPr>
            <w:tcW w:w="5103" w:type="dxa"/>
            <w:tcBorders>
              <w:top w:val="single" w:color="000000" w:sz="4" w:space="0"/>
            </w:tcBorders>
            <w:shd w:val="clear" w:color="auto" w:fill="auto"/>
          </w:tcPr>
          <w:p w14:paraId="2434ABAD" w14:textId="27D2BDE5">
            <w:pPr>
              <w:pStyle w:val="IPPArialTable"/>
            </w:pPr>
            <w:r>
              <w:rPr>
                <w:rStyle w:val="PleaseReviewParagraphId"/>
                <w:b w:val="off"/>
                <w:i w:val="off"/>
              </w:rPr>
              <w:t>[110]</w:t>
            </w:r>
            <w:r>
              <w:t>PCR-grade</w:t>
            </w:r>
            <w:r>
              <w:rPr>
                <w:vertAlign w:val="superscript"/>
              </w:rPr>
              <w:t xml:space="preserve"> </w:t>
            </w:r>
            <w:r>
              <w:t xml:space="preserve">water </w:t>
            </w:r>
          </w:p>
        </w:tc>
        <w:tc>
          <w:tcPr>
            <w:tcW w:w="3828" w:type="dxa"/>
            <w:tcBorders>
              <w:top w:val="single" w:color="000000" w:sz="4" w:space="0"/>
            </w:tcBorders>
            <w:shd w:val="clear" w:color="auto" w:fill="FFFFFF"/>
          </w:tcPr>
          <w:p w14:paraId="13AAC7B8" w14:textId="5ACBCFD5">
            <w:pPr>
              <w:pStyle w:val="IPPArialTable"/>
              <w:rPr>
                <w:shd w:val="clear" w:color="auto" w:fill="C0C0C0"/>
              </w:rPr>
            </w:pPr>
            <w:r>
              <w:rPr>
                <w:rStyle w:val="PleaseReviewParagraphId"/>
                <w:b w:val="off"/>
                <w:i w:val="off"/>
              </w:rPr>
              <w:t>[111]</w:t>
            </w:r>
            <w:r>
              <w:t>– </w:t>
            </w:r>
            <w:r>
              <w:rPr>
                <w:vertAlign w:val="superscript"/>
              </w:rPr>
              <w:t>i</w:t>
            </w:r>
          </w:p>
        </w:tc>
      </w:tr>
      <w:tr w14:paraId="23F31FCA" w14:textId="77777777">
        <w:tc>
          <w:tcPr>
            <w:tcW w:w="5103" w:type="dxa"/>
            <w:shd w:val="clear" w:color="auto" w:fill="auto"/>
          </w:tcPr>
          <w:p w14:paraId="72E05FCB" w14:textId="77777777">
            <w:pPr>
              <w:pStyle w:val="IPPArialTable"/>
            </w:pPr>
            <w:r>
              <w:rPr>
                <w:rStyle w:val="PleaseReviewParagraphId"/>
                <w:b w:val="off"/>
                <w:i w:val="off"/>
              </w:rPr>
              <w:t>[112]</w:t>
            </w:r>
            <w:r>
              <w:t xml:space="preserve">PCR buffer  </w:t>
            </w:r>
          </w:p>
        </w:tc>
        <w:tc>
          <w:tcPr>
            <w:tcW w:w="3828" w:type="dxa"/>
            <w:shd w:val="clear" w:color="auto" w:fill="auto"/>
          </w:tcPr>
          <w:p w14:paraId="24C7E6EF" w14:textId="77777777">
            <w:pPr>
              <w:pStyle w:val="IPPArialTable"/>
            </w:pPr>
            <w:r>
              <w:rPr>
                <w:rStyle w:val="PleaseReviewParagraphId"/>
                <w:b w:val="off"/>
                <w:i w:val="off"/>
              </w:rPr>
              <w:t>[113]</w:t>
            </w:r>
            <w:r>
              <w:t>1×</w:t>
            </w:r>
          </w:p>
        </w:tc>
      </w:tr>
      <w:tr w14:paraId="73582399" w14:textId="77777777">
        <w:tc>
          <w:tcPr>
            <w:tcW w:w="5103" w:type="dxa"/>
            <w:shd w:val="clear" w:color="auto" w:fill="auto"/>
          </w:tcPr>
          <w:p w14:paraId="41174E5E" w14:textId="77777777">
            <w:pPr>
              <w:pStyle w:val="IPPArialTable"/>
            </w:pPr>
            <w:r>
              <w:rPr>
                <w:rStyle w:val="PleaseReviewParagraphId"/>
                <w:b w:val="off"/>
                <w:i w:val="off"/>
              </w:rPr>
              <w:t>[114]</w:t>
            </w:r>
            <w:r>
              <w:t xml:space="preserve">dNTPs </w:t>
            </w:r>
          </w:p>
        </w:tc>
        <w:tc>
          <w:tcPr>
            <w:tcW w:w="3828" w:type="dxa"/>
            <w:shd w:val="clear" w:color="auto" w:fill="auto"/>
          </w:tcPr>
          <w:p w14:paraId="362638A7" w14:textId="77777777">
            <w:pPr>
              <w:pStyle w:val="IPPArialTable"/>
            </w:pPr>
            <w:r>
              <w:rPr>
                <w:rStyle w:val="PleaseReviewParagraphId"/>
                <w:b w:val="off"/>
                <w:i w:val="off"/>
              </w:rPr>
              <w:t>[115]</w:t>
            </w:r>
            <w:r>
              <w:t xml:space="preserve">200 µM </w:t>
            </w:r>
          </w:p>
        </w:tc>
      </w:tr>
      <w:tr w14:paraId="16095D71" w14:textId="77777777">
        <w:tc>
          <w:tcPr>
            <w:tcW w:w="5103" w:type="dxa"/>
            <w:shd w:val="clear" w:color="auto" w:fill="auto"/>
          </w:tcPr>
          <w:p w14:paraId="175AA8FC" w14:textId="77777777">
            <w:pPr>
              <w:pStyle w:val="IPPArialTable"/>
            </w:pPr>
            <w:r>
              <w:rPr>
                <w:rStyle w:val="PleaseReviewParagraphId"/>
                <w:b w:val="off"/>
                <w:i w:val="off"/>
              </w:rPr>
              <w:t>[116]</w:t>
            </w:r>
            <w:r>
              <w:t>MgCl</w:t>
            </w:r>
            <w:r>
              <w:rPr>
                <w:vertAlign w:val="subscript"/>
              </w:rPr>
              <w:t>2</w:t>
            </w:r>
          </w:p>
        </w:tc>
        <w:tc>
          <w:tcPr>
            <w:tcW w:w="3828" w:type="dxa"/>
            <w:shd w:val="clear" w:color="auto" w:fill="auto"/>
          </w:tcPr>
          <w:p w14:paraId="0C117D87" w14:textId="77777777">
            <w:pPr>
              <w:pStyle w:val="IPPArialTable"/>
            </w:pPr>
            <w:r>
              <w:rPr>
                <w:rStyle w:val="PleaseReviewParagraphId"/>
                <w:b w:val="off"/>
                <w:i w:val="off"/>
              </w:rPr>
              <w:t>[117]</w:t>
            </w:r>
            <w:r>
              <w:t>2.0 mM</w:t>
            </w:r>
          </w:p>
        </w:tc>
      </w:tr>
      <w:tr w14:paraId="73E79937" w14:textId="77777777">
        <w:tc>
          <w:tcPr>
            <w:tcW w:w="5103" w:type="dxa"/>
            <w:shd w:val="clear" w:color="auto" w:fill="auto"/>
          </w:tcPr>
          <w:p w14:paraId="005270C7" w14:textId="77777777">
            <w:pPr>
              <w:pStyle w:val="IPPArialTable"/>
            </w:pPr>
            <w:r>
              <w:rPr>
                <w:rStyle w:val="PleaseReviewParagraphId"/>
                <w:b w:val="off"/>
                <w:i w:val="off"/>
              </w:rPr>
              <w:t>[118]</w:t>
            </w:r>
            <w:r>
              <w:t xml:space="preserve">Primer </w:t>
            </w:r>
            <w:r>
              <w:rPr>
                <w:szCs w:val="22"/>
              </w:rPr>
              <w:t>OI1</w:t>
            </w:r>
            <w:r>
              <w:t xml:space="preserve"> (forward)</w:t>
            </w:r>
          </w:p>
        </w:tc>
        <w:tc>
          <w:tcPr>
            <w:tcW w:w="3828" w:type="dxa"/>
            <w:shd w:val="clear" w:color="auto" w:fill="auto"/>
          </w:tcPr>
          <w:p w14:paraId="75BD22A9" w14:textId="77777777">
            <w:pPr>
              <w:pStyle w:val="IPPArialTable"/>
            </w:pPr>
            <w:r>
              <w:rPr>
                <w:rStyle w:val="PleaseReviewParagraphId"/>
                <w:b w:val="off"/>
                <w:i w:val="off"/>
              </w:rPr>
              <w:t>[119]</w:t>
            </w:r>
            <w:r>
              <w:t>1.0 µM</w:t>
            </w:r>
          </w:p>
        </w:tc>
      </w:tr>
      <w:tr w14:paraId="7C71A534" w14:textId="77777777">
        <w:tc>
          <w:tcPr>
            <w:tcW w:w="5103" w:type="dxa"/>
            <w:shd w:val="clear" w:color="auto" w:fill="auto"/>
          </w:tcPr>
          <w:p w14:paraId="16EDC9E5" w14:textId="77777777">
            <w:pPr>
              <w:pStyle w:val="IPPArialTable"/>
            </w:pPr>
            <w:r>
              <w:rPr>
                <w:rStyle w:val="PleaseReviewParagraphId"/>
                <w:b w:val="off"/>
                <w:i w:val="off"/>
              </w:rPr>
              <w:t>[120]</w:t>
            </w:r>
            <w:r>
              <w:t xml:space="preserve">Primer </w:t>
            </w:r>
            <w:r>
              <w:rPr>
                <w:szCs w:val="22"/>
              </w:rPr>
              <w:t>OA1</w:t>
            </w:r>
            <w:r>
              <w:t xml:space="preserve"> (forward)</w:t>
            </w:r>
          </w:p>
        </w:tc>
        <w:tc>
          <w:tcPr>
            <w:tcW w:w="3828" w:type="dxa"/>
            <w:shd w:val="clear" w:color="auto" w:fill="auto"/>
          </w:tcPr>
          <w:p w14:paraId="3B6713DC" w14:textId="77777777">
            <w:pPr>
              <w:pStyle w:val="IPPArialTable"/>
            </w:pPr>
            <w:r>
              <w:rPr>
                <w:rStyle w:val="PleaseReviewParagraphId"/>
                <w:b w:val="off"/>
                <w:i w:val="off"/>
              </w:rPr>
              <w:t>[121]</w:t>
            </w:r>
            <w:r>
              <w:t>1.0 µM</w:t>
            </w:r>
          </w:p>
        </w:tc>
      </w:tr>
      <w:tr w14:paraId="2CAC4A5C" w14:textId="77777777">
        <w:tc>
          <w:tcPr>
            <w:tcW w:w="5103" w:type="dxa"/>
            <w:shd w:val="clear" w:color="auto" w:fill="auto"/>
          </w:tcPr>
          <w:p w14:paraId="2EDBA444" w14:textId="77777777">
            <w:pPr>
              <w:pStyle w:val="IPPArialTable"/>
            </w:pPr>
            <w:r>
              <w:rPr>
                <w:rStyle w:val="PleaseReviewParagraphId"/>
                <w:b w:val="off"/>
                <w:i w:val="off"/>
              </w:rPr>
              <w:t>[122]</w:t>
            </w:r>
            <w:r>
              <w:t xml:space="preserve">Primer </w:t>
            </w:r>
            <w:r>
              <w:rPr>
                <w:szCs w:val="22"/>
              </w:rPr>
              <w:t>OI2c (reverse)</w:t>
            </w:r>
          </w:p>
        </w:tc>
        <w:tc>
          <w:tcPr>
            <w:tcW w:w="3828" w:type="dxa"/>
            <w:shd w:val="clear" w:color="auto" w:fill="auto"/>
          </w:tcPr>
          <w:p w14:paraId="3B399F97" w14:textId="77777777">
            <w:pPr>
              <w:pStyle w:val="IPPArialTable"/>
            </w:pPr>
            <w:r>
              <w:rPr>
                <w:rStyle w:val="PleaseReviewParagraphId"/>
                <w:b w:val="off"/>
                <w:i w:val="off"/>
              </w:rPr>
              <w:t>[123]</w:t>
            </w:r>
            <w:r>
              <w:t>1.0 µM</w:t>
            </w:r>
          </w:p>
        </w:tc>
      </w:tr>
      <w:tr w14:paraId="24D47259" w14:textId="77777777">
        <w:tc>
          <w:tcPr>
            <w:tcW w:w="5103" w:type="dxa"/>
            <w:shd w:val="clear" w:color="auto" w:fill="auto"/>
          </w:tcPr>
          <w:p w14:paraId="68AD717A" w14:textId="77777777">
            <w:pPr>
              <w:pStyle w:val="IPPArialTable"/>
            </w:pPr>
            <w:r>
              <w:rPr>
                <w:rStyle w:val="PleaseReviewParagraphId"/>
                <w:b w:val="off"/>
                <w:i w:val="off"/>
              </w:rPr>
              <w:t>[124]</w:t>
            </w:r>
            <w:r>
              <w:t>Taq DNA polymerase</w:t>
            </w:r>
          </w:p>
        </w:tc>
        <w:tc>
          <w:tcPr>
            <w:tcW w:w="3828" w:type="dxa"/>
            <w:shd w:val="clear" w:color="auto" w:fill="auto"/>
          </w:tcPr>
          <w:p w14:paraId="60E74F27" w14:textId="77777777">
            <w:pPr>
              <w:pStyle w:val="IPPArialTable"/>
            </w:pPr>
            <w:r>
              <w:rPr>
                <w:rStyle w:val="PleaseReviewParagraphId"/>
                <w:b w:val="off"/>
                <w:i w:val="off"/>
              </w:rPr>
              <w:t>[125]</w:t>
            </w:r>
            <w:r>
              <w:t>1.5 U</w:t>
            </w:r>
          </w:p>
        </w:tc>
      </w:tr>
      <w:tr w14:paraId="20F288BC" w14:textId="77777777">
        <w:tc>
          <w:tcPr>
            <w:tcW w:w="5103" w:type="dxa"/>
            <w:tcBorders>
              <w:top w:val="single" w:color="000000" w:sz="4" w:space="0"/>
              <w:bottom w:val="single" w:color="000000" w:sz="4" w:space="0"/>
            </w:tcBorders>
            <w:shd w:val="clear" w:color="auto" w:fill="auto"/>
          </w:tcPr>
          <w:p w14:paraId="05337862" w14:textId="77777777">
            <w:pPr>
              <w:pStyle w:val="IPPArialTable"/>
            </w:pPr>
            <w:r>
              <w:rPr>
                <w:rStyle w:val="PleaseReviewParagraphId"/>
                <w:b w:val="off"/>
                <w:i w:val="off"/>
              </w:rPr>
              <w:t>[126]</w:t>
            </w:r>
            <w:r>
              <w:t>DNA volume</w:t>
            </w:r>
          </w:p>
        </w:tc>
        <w:tc>
          <w:tcPr>
            <w:tcW w:w="3828" w:type="dxa"/>
            <w:tcBorders>
              <w:top w:val="single" w:color="000000" w:sz="4" w:space="0"/>
              <w:bottom w:val="single" w:color="000000" w:sz="4" w:space="0"/>
            </w:tcBorders>
            <w:shd w:val="clear" w:color="auto" w:fill="auto"/>
          </w:tcPr>
          <w:p w14:paraId="229DF5FC" w14:textId="57F10FD2">
            <w:pPr>
              <w:pStyle w:val="IPPArialTable"/>
            </w:pPr>
            <w:r>
              <w:rPr>
                <w:rStyle w:val="PleaseReviewParagraphId"/>
                <w:b w:val="off"/>
                <w:i w:val="off"/>
              </w:rPr>
              <w:t>[127]</w:t>
            </w:r>
            <w:r>
              <w:t>1 µL DNA extract of plant tissue or insect vector</w:t>
            </w:r>
          </w:p>
        </w:tc>
      </w:tr>
      <w:tr w14:paraId="7D1A20EE" w14:textId="77777777">
        <w:tc>
          <w:tcPr>
            <w:tcW w:w="5103" w:type="dxa"/>
            <w:tcBorders>
              <w:top w:val="single" w:color="000000" w:sz="4" w:space="0"/>
              <w:bottom w:val="single" w:color="000000" w:sz="4" w:space="0"/>
            </w:tcBorders>
            <w:shd w:val="clear" w:color="auto" w:fill="BFBFBF"/>
          </w:tcPr>
          <w:p w14:paraId="13745304" w14:textId="77777777">
            <w:pPr>
              <w:pStyle w:val="IPPArialTable"/>
              <w:rPr>
                <w:b/>
              </w:rPr>
            </w:pPr>
            <w:r>
              <w:rPr>
                <w:rStyle w:val="PleaseReviewParagraphId"/>
                <w:b w:val="off"/>
                <w:i w:val="off"/>
              </w:rPr>
              <w:t>[128]</w:t>
            </w:r>
            <w:r>
              <w:rPr>
                <w:b/>
              </w:rPr>
              <w:t>Cycling parameters</w:t>
            </w:r>
          </w:p>
        </w:tc>
        <w:tc>
          <w:tcPr>
            <w:tcW w:w="3828" w:type="dxa"/>
            <w:tcBorders>
              <w:top w:val="single" w:color="000000" w:sz="4" w:space="0"/>
              <w:bottom w:val="single" w:color="000000" w:sz="4" w:space="0"/>
            </w:tcBorders>
            <w:shd w:val="clear" w:color="auto" w:fill="BFBFBF"/>
          </w:tcPr>
          <w:p w14:paraId="70A17533" w14:textId="77777777">
            <w:pPr>
              <w:pStyle w:val="IPPArialTable"/>
            </w:pPr>
            <w:r>
              <w:rPr>
                <w:rStyle w:val="PleaseReviewParagraphId"/>
                <w:b w:val="off"/>
                <w:i w:val="off"/>
              </w:rPr>
              <w:t>[129]</w:t>
            </w:r>
          </w:p>
        </w:tc>
      </w:tr>
      <w:tr w14:paraId="2D804D1D" w14:textId="77777777">
        <w:tc>
          <w:tcPr>
            <w:tcW w:w="5103" w:type="dxa"/>
            <w:tcBorders>
              <w:top w:val="single" w:color="000000" w:sz="4" w:space="0"/>
            </w:tcBorders>
            <w:shd w:val="clear" w:color="auto" w:fill="auto"/>
          </w:tcPr>
          <w:p w14:paraId="6E6E50F4" w14:textId="77777777">
            <w:pPr>
              <w:pStyle w:val="IPPArialTable"/>
            </w:pPr>
            <w:r>
              <w:rPr>
                <w:rStyle w:val="PleaseReviewParagraphId"/>
                <w:b w:val="off"/>
                <w:i w:val="off"/>
              </w:rPr>
              <w:t>[130]</w:t>
            </w:r>
            <w:r>
              <w:t>Initial denaturation</w:t>
            </w:r>
          </w:p>
        </w:tc>
        <w:tc>
          <w:tcPr>
            <w:tcW w:w="3828" w:type="dxa"/>
            <w:tcBorders>
              <w:top w:val="single" w:color="000000" w:sz="4" w:space="0"/>
            </w:tcBorders>
            <w:shd w:val="clear" w:color="auto" w:fill="auto"/>
          </w:tcPr>
          <w:p w14:paraId="1924A2A5" w14:textId="77777777">
            <w:pPr>
              <w:pStyle w:val="IPPArialTable"/>
            </w:pPr>
            <w:r>
              <w:rPr>
                <w:rStyle w:val="PleaseReviewParagraphId"/>
                <w:b w:val="off"/>
                <w:i w:val="off"/>
              </w:rPr>
              <w:t>[131]</w:t>
            </w:r>
            <w:r>
              <w:t>94 °C for 2 min</w:t>
            </w:r>
          </w:p>
        </w:tc>
      </w:tr>
      <w:tr w14:paraId="4D53081A" w14:textId="77777777">
        <w:tc>
          <w:tcPr>
            <w:tcW w:w="5103" w:type="dxa"/>
            <w:shd w:val="clear" w:color="auto" w:fill="auto"/>
          </w:tcPr>
          <w:p w14:paraId="2E1B1BB7" w14:textId="77777777">
            <w:pPr>
              <w:pStyle w:val="IPPArialTable"/>
            </w:pPr>
            <w:r>
              <w:rPr>
                <w:rStyle w:val="PleaseReviewParagraphId"/>
                <w:b w:val="off"/>
                <w:i w:val="off"/>
              </w:rPr>
              <w:t>[132]</w:t>
            </w:r>
            <w:r>
              <w:t>Number of cycles</w:t>
            </w:r>
          </w:p>
        </w:tc>
        <w:tc>
          <w:tcPr>
            <w:tcW w:w="3828" w:type="dxa"/>
            <w:shd w:val="clear" w:color="auto" w:fill="auto"/>
          </w:tcPr>
          <w:p w14:paraId="61030E93" w14:textId="77777777">
            <w:pPr>
              <w:pStyle w:val="IPPArialTable"/>
            </w:pPr>
            <w:r>
              <w:rPr>
                <w:rStyle w:val="PleaseReviewParagraphId"/>
                <w:b w:val="off"/>
                <w:i w:val="off"/>
              </w:rPr>
              <w:t>[133]</w:t>
            </w:r>
            <w:r>
              <w:t>35</w:t>
            </w:r>
          </w:p>
        </w:tc>
      </w:tr>
      <w:tr w14:paraId="4020FD6F" w14:textId="77777777">
        <w:tc>
          <w:tcPr>
            <w:tcW w:w="5103" w:type="dxa"/>
            <w:shd w:val="clear" w:color="auto" w:fill="auto"/>
          </w:tcPr>
          <w:p w14:paraId="056A9A1A" w14:textId="55F8C547">
            <w:pPr>
              <w:pStyle w:val="IPPArialTable"/>
              <w:numPr>
                <w:ilvl w:val="0"/>
                <w:numId w:val="73"/>
              </w:numPr>
              <w:ind w:left="284" w:hanging="142"/>
            </w:pPr>
            <w:r>
              <w:rPr>
                <w:rStyle w:val="PleaseReviewParagraphId"/>
                <w:b w:val="off"/>
                <w:i w:val="off"/>
              </w:rPr>
              <w:t>[134]</w:t>
            </w:r>
            <w:r>
              <w:t>Denaturation</w:t>
            </w:r>
          </w:p>
        </w:tc>
        <w:tc>
          <w:tcPr>
            <w:tcW w:w="3828" w:type="dxa"/>
            <w:shd w:val="clear" w:color="auto" w:fill="auto"/>
          </w:tcPr>
          <w:p w14:paraId="65A683F3" w14:textId="77777777">
            <w:pPr>
              <w:pStyle w:val="IPPArialTable"/>
            </w:pPr>
            <w:r>
              <w:rPr>
                <w:rStyle w:val="PleaseReviewParagraphId"/>
                <w:b w:val="off"/>
                <w:i w:val="off"/>
              </w:rPr>
              <w:t>[135]</w:t>
            </w:r>
            <w:r>
              <w:t>92 °C for 60 s</w:t>
            </w:r>
          </w:p>
        </w:tc>
      </w:tr>
      <w:tr w14:paraId="2A42700E" w14:textId="77777777">
        <w:tc>
          <w:tcPr>
            <w:tcW w:w="5103" w:type="dxa"/>
            <w:shd w:val="clear" w:color="auto" w:fill="auto"/>
          </w:tcPr>
          <w:p w14:paraId="4CA76457" w14:textId="6AD67DA6">
            <w:pPr>
              <w:pStyle w:val="IPPArialTable"/>
              <w:numPr>
                <w:ilvl w:val="0"/>
                <w:numId w:val="74"/>
              </w:numPr>
              <w:ind w:left="284" w:hanging="142"/>
            </w:pPr>
            <w:r>
              <w:rPr>
                <w:rStyle w:val="PleaseReviewParagraphId"/>
                <w:b w:val="off"/>
                <w:i w:val="off"/>
              </w:rPr>
              <w:t>[136]</w:t>
            </w:r>
            <w:r>
              <w:t>Annealing and elongation</w:t>
            </w:r>
          </w:p>
        </w:tc>
        <w:tc>
          <w:tcPr>
            <w:tcW w:w="3828" w:type="dxa"/>
            <w:shd w:val="clear" w:color="auto" w:fill="auto"/>
          </w:tcPr>
          <w:p w14:paraId="4CC12F5A" w14:textId="77777777">
            <w:pPr>
              <w:pStyle w:val="IPPArialTable"/>
            </w:pPr>
            <w:r>
              <w:rPr>
                <w:rStyle w:val="PleaseReviewParagraphId"/>
                <w:b w:val="off"/>
                <w:i w:val="off"/>
              </w:rPr>
              <w:t>[137]</w:t>
            </w:r>
            <w:r>
              <w:t>72 °C for 90 s</w:t>
            </w:r>
          </w:p>
        </w:tc>
      </w:tr>
      <w:tr w14:paraId="12C694EB" w14:textId="77777777">
        <w:tc>
          <w:tcPr>
            <w:tcW w:w="5103" w:type="dxa"/>
            <w:tcBorders>
              <w:bottom w:val="single" w:color="000000" w:sz="4" w:space="0"/>
            </w:tcBorders>
            <w:shd w:val="clear" w:color="auto" w:fill="auto"/>
          </w:tcPr>
          <w:p w14:paraId="51D19330" w14:textId="77777777">
            <w:pPr>
              <w:pStyle w:val="IPPArialTable"/>
            </w:pPr>
            <w:r>
              <w:rPr>
                <w:rStyle w:val="PleaseReviewParagraphId"/>
                <w:b w:val="off"/>
                <w:i w:val="off"/>
              </w:rPr>
              <w:t>[138]</w:t>
            </w:r>
            <w:r>
              <w:t>Final elongation</w:t>
            </w:r>
          </w:p>
        </w:tc>
        <w:tc>
          <w:tcPr>
            <w:tcW w:w="3828" w:type="dxa"/>
            <w:tcBorders>
              <w:bottom w:val="single" w:color="000000" w:sz="4" w:space="0"/>
            </w:tcBorders>
            <w:shd w:val="clear" w:color="auto" w:fill="auto"/>
          </w:tcPr>
          <w:p w14:paraId="70088AED" w14:textId="77777777">
            <w:pPr>
              <w:pStyle w:val="IPPArialTable"/>
            </w:pPr>
            <w:r>
              <w:rPr>
                <w:rStyle w:val="PleaseReviewParagraphId"/>
                <w:b w:val="off"/>
                <w:i w:val="off"/>
              </w:rPr>
              <w:t>[139]</w:t>
            </w:r>
            <w:r>
              <w:t>72 °C for 10 min</w:t>
            </w:r>
          </w:p>
        </w:tc>
      </w:tr>
      <w:tr w14:paraId="048F5DF5" w14:textId="77777777">
        <w:tc>
          <w:tcPr>
            <w:tcW w:w="5103" w:type="dxa"/>
            <w:tcBorders>
              <w:top w:val="single" w:color="000000" w:sz="4" w:space="0"/>
              <w:bottom w:val="single" w:color="000000" w:sz="4" w:space="0"/>
            </w:tcBorders>
            <w:shd w:val="clear" w:color="auto" w:fill="BFBFBF"/>
          </w:tcPr>
          <w:p w14:paraId="674BC7B9" w14:textId="77777777">
            <w:pPr>
              <w:pStyle w:val="IPPArialTable"/>
              <w:rPr>
                <w:b/>
              </w:rPr>
            </w:pPr>
            <w:r>
              <w:rPr>
                <w:rStyle w:val="PleaseReviewParagraphId"/>
                <w:b w:val="off"/>
                <w:i w:val="off"/>
              </w:rPr>
              <w:t>[140]</w:t>
            </w:r>
            <w:r>
              <w:rPr>
                <w:b/>
              </w:rPr>
              <w:t>Expected amplicons</w:t>
            </w:r>
          </w:p>
        </w:tc>
        <w:tc>
          <w:tcPr>
            <w:tcW w:w="3828" w:type="dxa"/>
            <w:tcBorders>
              <w:top w:val="single" w:color="000000" w:sz="4" w:space="0"/>
              <w:bottom w:val="single" w:color="000000" w:sz="4" w:space="0"/>
            </w:tcBorders>
            <w:shd w:val="clear" w:color="auto" w:fill="BFBFBF"/>
          </w:tcPr>
          <w:p w14:paraId="6139E191" w14:textId="77777777">
            <w:pPr>
              <w:pStyle w:val="IPPArialTable"/>
            </w:pPr>
            <w:r>
              <w:rPr>
                <w:rStyle w:val="PleaseReviewParagraphId"/>
                <w:b w:val="off"/>
                <w:i w:val="off"/>
              </w:rPr>
              <w:t>[141]</w:t>
            </w:r>
          </w:p>
        </w:tc>
      </w:tr>
      <w:tr w14:paraId="67F0F4D6" w14:textId="77777777">
        <w:tc>
          <w:tcPr>
            <w:tcW w:w="5103" w:type="dxa"/>
            <w:tcBorders>
              <w:top w:val="single" w:color="000000" w:sz="4" w:space="0"/>
              <w:bottom w:val="single" w:color="000000" w:sz="4" w:space="0"/>
            </w:tcBorders>
            <w:shd w:val="clear" w:color="auto" w:fill="auto"/>
          </w:tcPr>
          <w:p w14:paraId="0B143129" w14:textId="77777777">
            <w:pPr>
              <w:pStyle w:val="IPPArialTable"/>
            </w:pPr>
            <w:r>
              <w:rPr>
                <w:rStyle w:val="PleaseReviewParagraphId"/>
                <w:b w:val="off"/>
                <w:i w:val="off"/>
              </w:rPr>
              <w:t>[142]</w:t>
            </w:r>
            <w:r>
              <w:t>Size</w:t>
            </w:r>
          </w:p>
        </w:tc>
        <w:tc>
          <w:tcPr>
            <w:tcW w:w="3828" w:type="dxa"/>
            <w:tcBorders>
              <w:top w:val="single" w:color="000000" w:sz="4" w:space="0"/>
              <w:bottom w:val="single" w:color="000000" w:sz="4" w:space="0"/>
            </w:tcBorders>
            <w:shd w:val="clear" w:color="auto" w:fill="auto"/>
          </w:tcPr>
          <w:p w14:paraId="20AEAB5E" w14:textId="77777777">
            <w:pPr>
              <w:pStyle w:val="IPPArialTable"/>
            </w:pPr>
            <w:r>
              <w:rPr>
                <w:rStyle w:val="PleaseReviewParagraphId"/>
                <w:b w:val="off"/>
                <w:i w:val="off"/>
              </w:rPr>
              <w:t>[143]</w:t>
            </w:r>
            <w:r>
              <w:t>1160 bp</w:t>
            </w:r>
          </w:p>
        </w:tc>
      </w:tr>
    </w:tbl>
    <w:p w14:paraId="5514541D" w14:textId="47AF733D">
      <w:pPr>
        <w:pStyle w:val="IPPArialFootnote"/>
        <w:rPr>
          <w:rStyle w:val="PleaseReviewParagraphId"/>
          <w:color w:val="auto"/>
        </w:rPr>
      </w:pPr>
      <w:r>
        <w:rPr>
          <w:rStyle w:val="PleaseReviewParagraphId"/>
          <w:b w:val="off"/>
          <w:i w:val="off"/>
        </w:rPr>
        <w:t>[144]</w:t>
      </w:r>
      <w:r>
        <w:rPr>
          <w:rStyle w:val="PleaseReviewParagraphId"/>
          <w:color w:val="auto"/>
          <w:vertAlign w:val="superscript"/>
        </w:rPr>
        <w:t>i</w:t>
      </w:r>
      <w:r>
        <w:rPr>
          <w:rStyle w:val="PleaseReviewParagraphId"/>
          <w:color w:val="auto"/>
        </w:rPr>
        <w:t xml:space="preserve"> For a final reaction volume of 50 </w:t>
      </w:r>
      <w:r>
        <w:rPr>
          <w:rStyle w:val="PleaseReviewParagraphId"/>
          <w:rFonts w:cs="Arial"/>
          <w:color w:val="auto"/>
        </w:rPr>
        <w:t>µ</w:t>
      </w:r>
      <w:r>
        <w:rPr>
          <w:rStyle w:val="PleaseReviewParagraphId"/>
          <w:color w:val="auto"/>
        </w:rPr>
        <w:t>L.</w:t>
      </w:r>
    </w:p>
    <w:p w14:paraId="21ED9EB8" w14:textId="419F3461">
      <w:pPr>
        <w:pStyle w:val="IPPArialFootnote"/>
        <w:spacing w:after="180"/>
        <w:rPr>
          <w:rStyle w:val="PleaseReviewParagraphId"/>
          <w:rFonts w:eastAsia="MS Mincho"/>
          <w:color w:val="auto"/>
        </w:rPr>
      </w:pPr>
      <w:r>
        <w:rPr>
          <w:rStyle w:val="PleaseReviewParagraphId"/>
          <w:b w:val="off"/>
          <w:i w:val="off"/>
        </w:rPr>
        <w:t>[145]</w:t>
      </w:r>
      <w:r>
        <w:rPr>
          <w:rStyle w:val="PleaseReviewParagraphId"/>
          <w:color w:val="auto"/>
        </w:rPr>
        <w:t>bp, base pairs; PCR, polymerase chain reaction.</w:t>
      </w:r>
    </w:p>
    <w:p w14:paraId="6915D7C6" w14:textId="0A134BDA">
      <w:pPr>
        <w:pStyle w:val="IPPHeading3"/>
      </w:pPr>
      <w:r>
        <w:rPr>
          <w:rStyle w:val="PleaseReviewParagraphId"/>
          <w:b w:val="off"/>
          <w:i w:val="off"/>
        </w:rPr>
        <w:t>[146]</w:t>
      </w:r>
      <w:r>
        <w:rPr>
          <w:szCs w:val="22"/>
        </w:rPr>
        <w:t>3.4.3.2</w:t>
        <w:tab/>
      </w:r>
      <w:r>
        <w:t xml:space="preserve">Conventional PCR using the primers of </w:t>
      </w:r>
      <w:r>
        <w:rPr>
          <w:bCs/>
        </w:rPr>
        <w:t xml:space="preserve">Hocquellet </w:t>
      </w:r>
      <w:r>
        <w:rPr>
          <w:bCs/>
          <w:i w:val="0"/>
          <w:iCs/>
        </w:rPr>
        <w:t>et</w:t>
      </w:r>
      <w:r>
        <w:rPr>
          <w:rFonts w:eastAsia="Calibri"/>
          <w:i w:val="0"/>
          <w:iCs/>
          <w:lang w:eastAsia="es-ES"/>
        </w:rPr>
        <w:t> </w:t>
      </w:r>
      <w:r>
        <w:rPr>
          <w:bCs/>
          <w:i w:val="0"/>
          <w:iCs/>
        </w:rPr>
        <w:t>al</w:t>
      </w:r>
      <w:r>
        <w:rPr>
          <w:bCs/>
          <w:i w:val="0"/>
          <w:iCs/>
          <w:lang w:eastAsia="zh-CN"/>
        </w:rPr>
        <w:t>.</w:t>
      </w:r>
      <w:r>
        <w:rPr>
          <w:bCs/>
          <w:lang w:eastAsia="zh-CN"/>
        </w:rPr>
        <w:t xml:space="preserve"> (1999)</w:t>
      </w:r>
      <w:r>
        <w:rPr>
          <w:lang w:eastAsia="zh-CN"/>
        </w:rPr>
        <w:t xml:space="preserve"> </w:t>
      </w:r>
      <w:r>
        <w:rPr>
          <w:iCs/>
        </w:rPr>
        <w:t xml:space="preserve"> </w:t>
      </w:r>
    </w:p>
    <w:p w14:paraId="0603BA79" w14:textId="10813560">
      <w:pPr>
        <w:pStyle w:val="IPPParagraphnumbering"/>
        <w:numPr>
          <w:ilvl w:val="0"/>
          <w:numId w:val="0"/>
        </w:numPr>
        <w:rPr>
          <w:szCs w:val="22"/>
          <w:lang w:val="en-GB"/>
        </w:rPr>
      </w:pPr>
      <w:r>
        <w:rPr>
          <w:rStyle w:val="PleaseReviewParagraphId"/>
          <w:b w:val="off"/>
          <w:i w:val="off"/>
        </w:rPr>
        <w:t>[147]</w:t>
      </w:r>
      <w:r>
        <w:rPr>
          <w:szCs w:val="22"/>
          <w:lang w:val="en-GB"/>
        </w:rPr>
        <w:t xml:space="preserve">Hocquellet </w:t>
      </w:r>
      <w:r>
        <w:rPr>
          <w:i/>
          <w:szCs w:val="22"/>
          <w:lang w:val="en-GB"/>
        </w:rPr>
        <w:t>et</w:t>
      </w:r>
      <w:r>
        <w:rPr>
          <w:rFonts w:eastAsia="Calibri"/>
          <w:i/>
          <w:szCs w:val="22"/>
          <w:lang w:val="en-GB" w:eastAsia="es-ES"/>
        </w:rPr>
        <w:t> </w:t>
      </w:r>
      <w:r>
        <w:rPr>
          <w:i/>
          <w:szCs w:val="22"/>
          <w:lang w:val="en-GB"/>
        </w:rPr>
        <w:t>al</w:t>
      </w:r>
      <w:r>
        <w:rPr>
          <w:i/>
          <w:szCs w:val="22"/>
          <w:lang w:val="en-GB" w:eastAsia="zh-CN"/>
        </w:rPr>
        <w:t>.</w:t>
      </w:r>
      <w:r>
        <w:rPr>
          <w:szCs w:val="22"/>
          <w:lang w:val="en-GB" w:eastAsia="zh-CN"/>
        </w:rPr>
        <w:t xml:space="preserve"> (1999) designed</w:t>
      </w:r>
      <w:r>
        <w:rPr>
          <w:szCs w:val="22"/>
          <w:lang w:val="en-GB"/>
        </w:rPr>
        <w:t xml:space="preserve"> the primers A2 and J5 specifically to detect ‘</w:t>
      </w:r>
      <w:r>
        <w:rPr>
          <w:i/>
          <w:szCs w:val="22"/>
          <w:lang w:val="en-GB"/>
        </w:rPr>
        <w:t>Ca</w:t>
      </w:r>
      <w:r>
        <w:rPr>
          <w:szCs w:val="22"/>
          <w:lang w:val="en-GB"/>
        </w:rPr>
        <w:t>. L. asiaticus’ and ‘</w:t>
      </w:r>
      <w:r>
        <w:rPr>
          <w:i/>
          <w:szCs w:val="22"/>
          <w:lang w:val="en-GB"/>
        </w:rPr>
        <w:t>Ca</w:t>
      </w:r>
      <w:r>
        <w:rPr>
          <w:szCs w:val="22"/>
          <w:lang w:val="en-GB"/>
        </w:rPr>
        <w:t xml:space="preserve">. L. africanus’. No amplifications were obtained when this method was used on </w:t>
      </w:r>
      <w:r>
        <w:rPr>
          <w:i/>
          <w:szCs w:val="22"/>
          <w:lang w:val="en-GB"/>
        </w:rPr>
        <w:t>A</w:t>
      </w:r>
      <w:r>
        <w:rPr>
          <w:rFonts w:eastAsia="SimSun"/>
          <w:i/>
          <w:szCs w:val="22"/>
          <w:lang w:val="en-GB" w:eastAsia="zh-CN"/>
        </w:rPr>
        <w:t>. </w:t>
      </w:r>
      <w:r>
        <w:rPr>
          <w:i/>
          <w:szCs w:val="22"/>
          <w:lang w:val="en-GB"/>
        </w:rPr>
        <w:t>tumefaciens</w:t>
      </w:r>
      <w:r>
        <w:rPr>
          <w:szCs w:val="22"/>
          <w:lang w:val="en-GB"/>
        </w:rPr>
        <w:t xml:space="preserve">, </w:t>
      </w:r>
      <w:r>
        <w:rPr>
          <w:i/>
          <w:szCs w:val="22"/>
          <w:lang w:val="en-GB"/>
        </w:rPr>
        <w:t>A</w:t>
      </w:r>
      <w:r>
        <w:rPr>
          <w:rFonts w:eastAsia="SimSun"/>
          <w:i/>
          <w:szCs w:val="22"/>
          <w:lang w:val="en-GB" w:eastAsia="zh-CN"/>
        </w:rPr>
        <w:t>. l</w:t>
      </w:r>
      <w:r>
        <w:rPr>
          <w:i/>
          <w:szCs w:val="22"/>
          <w:lang w:val="en-GB"/>
        </w:rPr>
        <w:t>woffi</w:t>
      </w:r>
      <w:r>
        <w:rPr>
          <w:szCs w:val="22"/>
          <w:lang w:val="en-GB"/>
        </w:rPr>
        <w:t xml:space="preserve">, </w:t>
      </w:r>
      <w:r>
        <w:rPr>
          <w:i/>
          <w:szCs w:val="22"/>
          <w:lang w:val="en-GB"/>
        </w:rPr>
        <w:t xml:space="preserve"> E</w:t>
      </w:r>
      <w:r>
        <w:rPr>
          <w:rFonts w:eastAsia="SimSun"/>
          <w:i/>
          <w:szCs w:val="22"/>
          <w:lang w:val="en-GB" w:eastAsia="zh-CN"/>
        </w:rPr>
        <w:t>. </w:t>
      </w:r>
      <w:r>
        <w:rPr>
          <w:i/>
          <w:szCs w:val="22"/>
          <w:lang w:val="en-GB"/>
        </w:rPr>
        <w:t>coli</w:t>
      </w:r>
      <w:r>
        <w:rPr>
          <w:szCs w:val="22"/>
          <w:lang w:val="en-GB"/>
        </w:rPr>
        <w:t xml:space="preserve">, </w:t>
      </w:r>
      <w:r>
        <w:rPr>
          <w:i/>
          <w:szCs w:val="22"/>
          <w:lang w:val="en-GB"/>
        </w:rPr>
        <w:t>Xanthomonas</w:t>
      </w:r>
      <w:r>
        <w:rPr>
          <w:rFonts w:eastAsia="SimSun"/>
          <w:i/>
          <w:szCs w:val="22"/>
          <w:lang w:val="en-GB" w:eastAsia="zh-CN"/>
        </w:rPr>
        <w:t xml:space="preserve"> </w:t>
      </w:r>
      <w:r>
        <w:rPr>
          <w:i/>
          <w:szCs w:val="22"/>
          <w:lang w:val="en-GB"/>
        </w:rPr>
        <w:t xml:space="preserve">axonopodis </w:t>
      </w:r>
      <w:r>
        <w:rPr>
          <w:szCs w:val="22"/>
          <w:lang w:val="en-GB"/>
        </w:rPr>
        <w:t xml:space="preserve">pv. </w:t>
      </w:r>
      <w:r>
        <w:rPr>
          <w:i/>
          <w:szCs w:val="22"/>
          <w:lang w:val="en-GB"/>
        </w:rPr>
        <w:t>citri</w:t>
      </w:r>
      <w:r>
        <w:rPr>
          <w:szCs w:val="22"/>
          <w:lang w:val="en-GB"/>
        </w:rPr>
        <w:t xml:space="preserve">, </w:t>
      </w:r>
      <w:r>
        <w:rPr>
          <w:i/>
          <w:szCs w:val="22"/>
          <w:lang w:val="en-GB"/>
        </w:rPr>
        <w:t>X</w:t>
      </w:r>
      <w:r>
        <w:rPr>
          <w:rFonts w:eastAsia="SimSun"/>
          <w:i/>
          <w:szCs w:val="22"/>
          <w:lang w:val="en-GB" w:eastAsia="zh-CN"/>
        </w:rPr>
        <w:t>. </w:t>
      </w:r>
      <w:r>
        <w:rPr>
          <w:i/>
          <w:szCs w:val="22"/>
          <w:lang w:val="en-GB"/>
        </w:rPr>
        <w:t>fastidiosa S</w:t>
      </w:r>
      <w:r>
        <w:rPr>
          <w:rFonts w:eastAsia="SimSun"/>
          <w:i/>
          <w:szCs w:val="22"/>
          <w:lang w:val="en-GB" w:eastAsia="zh-CN"/>
        </w:rPr>
        <w:t>. </w:t>
      </w:r>
      <w:r>
        <w:rPr>
          <w:i/>
          <w:szCs w:val="22"/>
          <w:lang w:val="en-GB"/>
        </w:rPr>
        <w:t>citri</w:t>
      </w:r>
      <w:r>
        <w:rPr>
          <w:szCs w:val="22"/>
          <w:lang w:val="en-GB"/>
        </w:rPr>
        <w:t>, ‘</w:t>
      </w:r>
      <w:r>
        <w:rPr>
          <w:i/>
          <w:szCs w:val="22"/>
          <w:lang w:val="en-GB"/>
        </w:rPr>
        <w:t xml:space="preserve">Candidatus </w:t>
      </w:r>
      <w:r>
        <w:rPr>
          <w:szCs w:val="22"/>
          <w:lang w:val="en-GB"/>
        </w:rPr>
        <w:t>Phytoplasma aurantifolia’, and ‘</w:t>
      </w:r>
      <w:r>
        <w:rPr>
          <w:i/>
          <w:szCs w:val="22"/>
          <w:lang w:val="en-GB"/>
        </w:rPr>
        <w:t xml:space="preserve">Candidatus </w:t>
      </w:r>
      <w:r>
        <w:rPr>
          <w:szCs w:val="22"/>
          <w:lang w:val="en-GB"/>
        </w:rPr>
        <w:t>Phytoplasma solani’ (stolbur phytoplasma). These primers do not detect ‘</w:t>
      </w:r>
      <w:r>
        <w:rPr>
          <w:i/>
          <w:szCs w:val="22"/>
          <w:lang w:val="en-GB"/>
        </w:rPr>
        <w:t>Ca. </w:t>
      </w:r>
      <w:r>
        <w:rPr>
          <w:szCs w:val="22"/>
          <w:lang w:val="en-GB"/>
        </w:rPr>
        <w:t xml:space="preserve">L. americanus’ (Li, </w:t>
      </w:r>
      <w:r>
        <w:rPr>
          <w:bCs/>
          <w:szCs w:val="22"/>
          <w:lang w:val="en-GB" w:eastAsia="es-ES"/>
        </w:rPr>
        <w:t>Hartung and Levy</w:t>
      </w:r>
      <w:r>
        <w:rPr>
          <w:szCs w:val="22"/>
          <w:lang w:val="en-GB"/>
        </w:rPr>
        <w:t xml:space="preserve">, 2007). </w:t>
      </w:r>
    </w:p>
    <w:p w14:paraId="58156AE1" w14:textId="6230D5A4">
      <w:pPr>
        <w:pStyle w:val="IPPParagraphnumberingclose"/>
        <w:numPr>
          <w:ilvl w:val="0"/>
          <w:numId w:val="0"/>
        </w:numPr>
        <w:rPr>
          <w:lang w:val="en-GB"/>
        </w:rPr>
      </w:pPr>
      <w:r>
        <w:rPr>
          <w:rStyle w:val="PleaseReviewParagraphId"/>
          <w:b w:val="off"/>
          <w:i w:val="off"/>
        </w:rPr>
        <w:t>[148]</w:t>
      </w:r>
      <w:r>
        <w:rPr>
          <w:lang w:val="en-GB"/>
        </w:rPr>
        <w:t xml:space="preserve">The primer sequences, which are based on the DNA sequences of the ß- operon, </w:t>
      </w:r>
      <w:r>
        <w:rPr>
          <w:lang w:val="en-GB" w:eastAsia="zh-CN"/>
        </w:rPr>
        <w:t>are as follows</w:t>
      </w:r>
      <w:r>
        <w:rPr>
          <w:lang w:val="en-GB"/>
        </w:rPr>
        <w:t>:</w:t>
      </w:r>
    </w:p>
    <w:p w14:paraId="48B2190C" w14:textId="0680E533">
      <w:pPr>
        <w:pStyle w:val="IPPIndentClose"/>
      </w:pPr>
      <w:r>
        <w:rPr>
          <w:rStyle w:val="PleaseReviewParagraphId"/>
          <w:b w:val="off"/>
          <w:i w:val="off"/>
        </w:rPr>
        <w:t>[149]</w:t>
      </w:r>
      <w:r>
        <w:t xml:space="preserve">A2 (forward): 5´- TAT AAA GGT TGA CCT TTC GAG TTT- </w:t>
      </w:r>
      <w:smartTag w:uri="urn:schemas-microsoft-com:office:smarttags" w:element="metricconverter">
        <w:smartTagPr>
          <w:attr w:name="ProductID" w:val="3’"/>
        </w:smartTagPr>
        <w:r>
          <w:t>3’</w:t>
        </w:r>
      </w:smartTag>
    </w:p>
    <w:p w14:paraId="7377BCFE" w14:textId="15CE5CA6">
      <w:pPr>
        <w:pStyle w:val="IPPIndent"/>
      </w:pPr>
      <w:r>
        <w:rPr>
          <w:rStyle w:val="PleaseReviewParagraphId"/>
          <w:b w:val="off"/>
          <w:i w:val="off"/>
        </w:rPr>
        <w:t>[150]</w:t>
      </w:r>
      <w:r>
        <w:t>J5 (reverse): 5´- ACA AAA GCA GAA ATA GCA CGA ACA A-3´</w:t>
      </w:r>
    </w:p>
    <w:p w14:paraId="28D052CB" w14:textId="20EA8569">
      <w:pPr>
        <w:pStyle w:val="IPPParagraphnumbering"/>
        <w:numPr>
          <w:ilvl w:val="0"/>
          <w:numId w:val="0"/>
        </w:numPr>
        <w:jc w:val="left"/>
        <w:rPr>
          <w:lang w:val="en-GB"/>
        </w:rPr>
      </w:pPr>
      <w:r>
        <w:rPr>
          <w:rStyle w:val="PleaseReviewParagraphId"/>
          <w:b w:val="off"/>
          <w:i w:val="off"/>
        </w:rPr>
        <w:t>[151]</w:t>
      </w:r>
      <w:r>
        <w:rPr>
          <w:szCs w:val="22"/>
          <w:lang w:val="en-GB" w:eastAsia="zh-CN"/>
        </w:rPr>
        <w:t xml:space="preserve">The master mix used for this PCR, developed by </w:t>
      </w:r>
      <w:r>
        <w:rPr>
          <w:szCs w:val="22"/>
          <w:lang w:val="en-GB"/>
        </w:rPr>
        <w:t xml:space="preserve">Hocquellet </w:t>
      </w:r>
      <w:r>
        <w:rPr>
          <w:i/>
          <w:szCs w:val="22"/>
          <w:lang w:val="en-GB"/>
        </w:rPr>
        <w:t>et</w:t>
      </w:r>
      <w:r>
        <w:rPr>
          <w:rFonts w:eastAsia="Calibri"/>
          <w:i/>
          <w:szCs w:val="22"/>
          <w:lang w:val="en-GB" w:eastAsia="es-ES"/>
        </w:rPr>
        <w:t> </w:t>
      </w:r>
      <w:r>
        <w:rPr>
          <w:i/>
          <w:szCs w:val="22"/>
          <w:lang w:val="en-GB"/>
        </w:rPr>
        <w:t>al</w:t>
      </w:r>
      <w:r>
        <w:rPr>
          <w:i/>
          <w:szCs w:val="22"/>
          <w:lang w:val="en-GB" w:eastAsia="zh-CN"/>
        </w:rPr>
        <w:t xml:space="preserve">. </w:t>
      </w:r>
      <w:r>
        <w:rPr>
          <w:szCs w:val="22"/>
          <w:lang w:val="en-GB" w:eastAsia="zh-CN"/>
        </w:rPr>
        <w:t>(1999),</w:t>
      </w:r>
      <w:r>
        <w:rPr>
          <w:szCs w:val="22"/>
          <w:lang w:val="en-GB"/>
        </w:rPr>
        <w:t xml:space="preserve"> is described in Table 2.</w:t>
      </w:r>
      <w:r>
        <w:rPr>
          <w:rFonts w:ascii="Arial" w:hAnsi="Arial" w:cs="Arial"/>
          <w:b/>
          <w:sz w:val="18"/>
          <w:szCs w:val="18"/>
          <w:lang w:val="en-GB"/>
        </w:rPr>
        <w:br w:type="page"/>
      </w:r>
    </w:p>
    <w:p w14:paraId="1FFA0035" w14:textId="66D8DE2D">
      <w:pPr>
        <w:pStyle w:val="IPPParagraphnumbering"/>
        <w:numPr>
          <w:ilvl w:val="0"/>
          <w:numId w:val="0"/>
        </w:numPr>
        <w:rPr>
          <w:rFonts w:ascii="Arial" w:hAnsi="Arial" w:cs="Arial"/>
          <w:sz w:val="18"/>
          <w:szCs w:val="18"/>
          <w:lang w:val="en-GB"/>
        </w:rPr>
      </w:pPr>
      <w:r>
        <w:rPr>
          <w:rStyle w:val="PleaseReviewParagraphId"/>
          <w:b w:val="off"/>
          <w:i w:val="off"/>
        </w:rPr>
        <w:t>[152]</w:t>
      </w:r>
      <w:r>
        <w:rPr>
          <w:rFonts w:ascii="Arial" w:hAnsi="Arial" w:cs="Arial"/>
          <w:b/>
          <w:sz w:val="18"/>
          <w:szCs w:val="18"/>
          <w:lang w:val="en-GB"/>
        </w:rPr>
        <w:lastRenderedPageBreak/>
        <w:t>Table 2.</w:t>
      </w:r>
      <w:r>
        <w:rPr>
          <w:rFonts w:ascii="Arial" w:hAnsi="Arial" w:cs="Arial"/>
          <w:sz w:val="18"/>
          <w:szCs w:val="18"/>
          <w:lang w:val="en-GB"/>
        </w:rPr>
        <w:t xml:space="preserve"> Master mix composition, cycling conditions and amplicons for conventional PCR using the primers of Hocquellet </w:t>
      </w:r>
      <w:r>
        <w:rPr>
          <w:rFonts w:ascii="Arial" w:hAnsi="Arial" w:cs="Arial"/>
          <w:i/>
          <w:sz w:val="18"/>
          <w:szCs w:val="18"/>
          <w:lang w:val="en-GB"/>
        </w:rPr>
        <w:t>et</w:t>
      </w:r>
      <w:r>
        <w:rPr>
          <w:rFonts w:ascii="Arial" w:hAnsi="Arial" w:eastAsia="Calibri" w:cs="Arial"/>
          <w:i/>
          <w:sz w:val="18"/>
          <w:szCs w:val="18"/>
          <w:lang w:val="en-GB" w:eastAsia="es-ES"/>
        </w:rPr>
        <w:t> </w:t>
      </w:r>
      <w:r>
        <w:rPr>
          <w:rFonts w:ascii="Arial" w:hAnsi="Arial" w:cs="Arial"/>
          <w:i/>
          <w:sz w:val="18"/>
          <w:szCs w:val="18"/>
          <w:lang w:val="en-GB"/>
        </w:rPr>
        <w:t>al</w:t>
      </w:r>
      <w:r>
        <w:rPr>
          <w:rFonts w:ascii="Arial" w:hAnsi="Arial" w:cs="Arial"/>
          <w:i/>
          <w:sz w:val="18"/>
          <w:szCs w:val="18"/>
          <w:lang w:val="en-GB" w:eastAsia="zh-CN"/>
        </w:rPr>
        <w:t xml:space="preserve">. </w:t>
      </w:r>
      <w:r>
        <w:rPr>
          <w:rFonts w:ascii="Arial" w:hAnsi="Arial" w:cs="Arial"/>
          <w:sz w:val="18"/>
          <w:szCs w:val="18"/>
          <w:lang w:val="en-GB" w:eastAsia="zh-CN"/>
        </w:rPr>
        <w:t>(1999)</w:t>
      </w:r>
    </w:p>
    <w:tbl>
      <w:tblPr>
        <w:tblW w:w="8931" w:type="dxa"/>
        <w:tblLayout w:type="fixed"/>
        <w:tblLook w:val="0000" w:firstRow="0" w:lastRow="0" w:firstColumn="0" w:lastColumn="0" w:noHBand="0" w:noVBand="0"/>
      </w:tblPr>
      <w:tblGrid>
        <w:gridCol w:w="5103"/>
        <w:gridCol w:w="3828"/>
      </w:tblGrid>
      <w:tr w14:paraId="375072AC" w14:textId="77777777">
        <w:tc>
          <w:tcPr>
            <w:tcW w:w="5103" w:type="dxa"/>
            <w:tcBorders>
              <w:top w:val="single" w:color="000000" w:sz="4" w:space="0"/>
              <w:bottom w:val="single" w:color="000000" w:sz="4" w:space="0"/>
            </w:tcBorders>
            <w:shd w:val="clear" w:color="auto" w:fill="BFBFBF"/>
          </w:tcPr>
          <w:p w14:paraId="54E6ACF9" w14:textId="77777777">
            <w:pPr>
              <w:pStyle w:val="IPPArialTable"/>
              <w:rPr>
                <w:b/>
              </w:rPr>
            </w:pPr>
            <w:r>
              <w:rPr>
                <w:rStyle w:val="PleaseReviewParagraphId"/>
                <w:b w:val="off"/>
                <w:i w:val="off"/>
              </w:rPr>
              <w:t>[153]</w:t>
            </w:r>
            <w:r>
              <w:rPr>
                <w:b/>
              </w:rPr>
              <w:t xml:space="preserve">Reagents </w:t>
            </w:r>
          </w:p>
        </w:tc>
        <w:tc>
          <w:tcPr>
            <w:tcW w:w="3828" w:type="dxa"/>
            <w:tcBorders>
              <w:top w:val="single" w:color="000000" w:sz="4" w:space="0"/>
              <w:bottom w:val="single" w:color="000000" w:sz="4" w:space="0"/>
            </w:tcBorders>
            <w:shd w:val="clear" w:color="auto" w:fill="BFBFBF"/>
          </w:tcPr>
          <w:p w14:paraId="30869D61" w14:textId="77777777">
            <w:pPr>
              <w:pStyle w:val="IPPArialTable"/>
              <w:rPr>
                <w:b/>
              </w:rPr>
            </w:pPr>
            <w:r>
              <w:rPr>
                <w:rStyle w:val="PleaseReviewParagraphId"/>
                <w:b w:val="off"/>
                <w:i w:val="off"/>
              </w:rPr>
              <w:t>[154]</w:t>
            </w:r>
            <w:r>
              <w:rPr>
                <w:b/>
              </w:rPr>
              <w:t>Final concentration</w:t>
            </w:r>
          </w:p>
        </w:tc>
      </w:tr>
      <w:tr w14:paraId="65E689D5" w14:textId="77777777">
        <w:tc>
          <w:tcPr>
            <w:tcW w:w="5103" w:type="dxa"/>
            <w:tcBorders>
              <w:top w:val="single" w:color="000000" w:sz="4" w:space="0"/>
            </w:tcBorders>
            <w:shd w:val="clear" w:color="auto" w:fill="auto"/>
          </w:tcPr>
          <w:p w14:paraId="244C018F" w14:textId="68A751A2">
            <w:pPr>
              <w:pStyle w:val="IPPArialTable"/>
            </w:pPr>
            <w:r>
              <w:rPr>
                <w:rStyle w:val="PleaseReviewParagraphId"/>
                <w:b w:val="off"/>
                <w:i w:val="off"/>
              </w:rPr>
              <w:t>[155]</w:t>
            </w:r>
            <w:r>
              <w:t>PCR-grade</w:t>
            </w:r>
            <w:r>
              <w:rPr>
                <w:vertAlign w:val="superscript"/>
              </w:rPr>
              <w:t xml:space="preserve"> </w:t>
            </w:r>
            <w:r>
              <w:t xml:space="preserve">water </w:t>
            </w:r>
          </w:p>
        </w:tc>
        <w:tc>
          <w:tcPr>
            <w:tcW w:w="3828" w:type="dxa"/>
            <w:tcBorders>
              <w:top w:val="single" w:color="000000" w:sz="4" w:space="0"/>
            </w:tcBorders>
            <w:shd w:val="clear" w:color="auto" w:fill="FFFFFF"/>
          </w:tcPr>
          <w:p w14:paraId="12E492F5" w14:textId="75F39A5A">
            <w:pPr>
              <w:pStyle w:val="IPPArialTable"/>
              <w:rPr>
                <w:shd w:val="clear" w:color="auto" w:fill="C0C0C0"/>
              </w:rPr>
            </w:pPr>
            <w:r>
              <w:rPr>
                <w:rStyle w:val="PleaseReviewParagraphId"/>
                <w:b w:val="off"/>
                <w:i w:val="off"/>
              </w:rPr>
              <w:t>[156]</w:t>
            </w:r>
            <w:r>
              <w:t>– </w:t>
            </w:r>
            <w:r>
              <w:rPr>
                <w:vertAlign w:val="superscript"/>
              </w:rPr>
              <w:t>i</w:t>
            </w:r>
          </w:p>
        </w:tc>
      </w:tr>
      <w:tr w14:paraId="5003E3CA" w14:textId="77777777">
        <w:tc>
          <w:tcPr>
            <w:tcW w:w="5103" w:type="dxa"/>
            <w:shd w:val="clear" w:color="auto" w:fill="auto"/>
          </w:tcPr>
          <w:p w14:paraId="58429F7F" w14:textId="77777777">
            <w:pPr>
              <w:pStyle w:val="IPPArialTable"/>
            </w:pPr>
            <w:r>
              <w:rPr>
                <w:rStyle w:val="PleaseReviewParagraphId"/>
                <w:b w:val="off"/>
                <w:i w:val="off"/>
              </w:rPr>
              <w:t>[157]</w:t>
            </w:r>
            <w:r>
              <w:t xml:space="preserve">PCR buffer  </w:t>
            </w:r>
          </w:p>
        </w:tc>
        <w:tc>
          <w:tcPr>
            <w:tcW w:w="3828" w:type="dxa"/>
            <w:shd w:val="clear" w:color="auto" w:fill="auto"/>
          </w:tcPr>
          <w:p w14:paraId="0EEDB34A" w14:textId="77777777">
            <w:pPr>
              <w:pStyle w:val="IPPArialTable"/>
            </w:pPr>
            <w:r>
              <w:rPr>
                <w:rStyle w:val="PleaseReviewParagraphId"/>
                <w:b w:val="off"/>
                <w:i w:val="off"/>
              </w:rPr>
              <w:t>[158]</w:t>
            </w:r>
            <w:r>
              <w:t>1×</w:t>
            </w:r>
          </w:p>
        </w:tc>
      </w:tr>
      <w:tr w14:paraId="6BF94446" w14:textId="77777777">
        <w:tc>
          <w:tcPr>
            <w:tcW w:w="5103" w:type="dxa"/>
            <w:shd w:val="clear" w:color="auto" w:fill="auto"/>
          </w:tcPr>
          <w:p w14:paraId="4046A848" w14:textId="77777777">
            <w:pPr>
              <w:pStyle w:val="IPPArialTable"/>
            </w:pPr>
            <w:r>
              <w:rPr>
                <w:rStyle w:val="PleaseReviewParagraphId"/>
                <w:b w:val="off"/>
                <w:i w:val="off"/>
              </w:rPr>
              <w:t>[159]</w:t>
            </w:r>
            <w:r>
              <w:t xml:space="preserve">dNTPs </w:t>
            </w:r>
          </w:p>
        </w:tc>
        <w:tc>
          <w:tcPr>
            <w:tcW w:w="3828" w:type="dxa"/>
            <w:shd w:val="clear" w:color="auto" w:fill="auto"/>
          </w:tcPr>
          <w:p w14:paraId="71B29B35" w14:textId="77777777">
            <w:pPr>
              <w:pStyle w:val="IPPArialTable"/>
            </w:pPr>
            <w:r>
              <w:rPr>
                <w:rStyle w:val="PleaseReviewParagraphId"/>
                <w:b w:val="off"/>
                <w:i w:val="off"/>
              </w:rPr>
              <w:t>[160]</w:t>
            </w:r>
            <w:r>
              <w:t xml:space="preserve">200 µM </w:t>
            </w:r>
          </w:p>
        </w:tc>
      </w:tr>
      <w:tr w14:paraId="4D9993E1" w14:textId="77777777">
        <w:tc>
          <w:tcPr>
            <w:tcW w:w="5103" w:type="dxa"/>
            <w:shd w:val="clear" w:color="auto" w:fill="auto"/>
          </w:tcPr>
          <w:p w14:paraId="54BD33BB" w14:textId="77777777">
            <w:pPr>
              <w:pStyle w:val="IPPArialTable"/>
            </w:pPr>
            <w:r>
              <w:rPr>
                <w:rStyle w:val="PleaseReviewParagraphId"/>
                <w:b w:val="off"/>
                <w:i w:val="off"/>
              </w:rPr>
              <w:t>[161]</w:t>
            </w:r>
            <w:r>
              <w:t>MgCl</w:t>
            </w:r>
            <w:r>
              <w:rPr>
                <w:vertAlign w:val="subscript"/>
              </w:rPr>
              <w:t>2</w:t>
            </w:r>
          </w:p>
        </w:tc>
        <w:tc>
          <w:tcPr>
            <w:tcW w:w="3828" w:type="dxa"/>
            <w:shd w:val="clear" w:color="auto" w:fill="auto"/>
          </w:tcPr>
          <w:p w14:paraId="797661F9" w14:textId="77777777">
            <w:pPr>
              <w:pStyle w:val="IPPArialTable"/>
            </w:pPr>
            <w:r>
              <w:rPr>
                <w:rStyle w:val="PleaseReviewParagraphId"/>
                <w:b w:val="off"/>
                <w:i w:val="off"/>
              </w:rPr>
              <w:t>[162]</w:t>
            </w:r>
            <w:r>
              <w:t>2.0 mM</w:t>
            </w:r>
          </w:p>
        </w:tc>
      </w:tr>
      <w:tr w14:paraId="6D6EDC82" w14:textId="77777777">
        <w:tc>
          <w:tcPr>
            <w:tcW w:w="5103" w:type="dxa"/>
            <w:shd w:val="clear" w:color="auto" w:fill="auto"/>
          </w:tcPr>
          <w:p w14:paraId="17CAF37C" w14:textId="77777777">
            <w:pPr>
              <w:pStyle w:val="IPPArialTable"/>
            </w:pPr>
            <w:r>
              <w:rPr>
                <w:rStyle w:val="PleaseReviewParagraphId"/>
                <w:b w:val="off"/>
                <w:i w:val="off"/>
              </w:rPr>
              <w:t>[163]</w:t>
            </w:r>
            <w:r>
              <w:t>Primer A2 (forward)</w:t>
            </w:r>
          </w:p>
        </w:tc>
        <w:tc>
          <w:tcPr>
            <w:tcW w:w="3828" w:type="dxa"/>
            <w:shd w:val="clear" w:color="auto" w:fill="auto"/>
          </w:tcPr>
          <w:p w14:paraId="5FEBA03B" w14:textId="77777777">
            <w:pPr>
              <w:pStyle w:val="IPPArialTable"/>
            </w:pPr>
            <w:r>
              <w:rPr>
                <w:rStyle w:val="PleaseReviewParagraphId"/>
                <w:b w:val="off"/>
                <w:i w:val="off"/>
              </w:rPr>
              <w:t>[164]</w:t>
            </w:r>
            <w:r>
              <w:t>1.0 µM</w:t>
            </w:r>
          </w:p>
        </w:tc>
      </w:tr>
      <w:tr w14:paraId="403F0062" w14:textId="77777777">
        <w:tc>
          <w:tcPr>
            <w:tcW w:w="5103" w:type="dxa"/>
            <w:shd w:val="clear" w:color="auto" w:fill="auto"/>
          </w:tcPr>
          <w:p w14:paraId="510E68B4" w14:textId="77777777">
            <w:pPr>
              <w:pStyle w:val="IPPArialTable"/>
            </w:pPr>
            <w:r>
              <w:rPr>
                <w:rStyle w:val="PleaseReviewParagraphId"/>
                <w:b w:val="off"/>
                <w:i w:val="off"/>
              </w:rPr>
              <w:t>[165]</w:t>
            </w:r>
            <w:r>
              <w:t>Primer J5 (forward)</w:t>
            </w:r>
          </w:p>
        </w:tc>
        <w:tc>
          <w:tcPr>
            <w:tcW w:w="3828" w:type="dxa"/>
            <w:shd w:val="clear" w:color="auto" w:fill="auto"/>
          </w:tcPr>
          <w:p w14:paraId="30D3966F" w14:textId="77777777">
            <w:pPr>
              <w:pStyle w:val="IPPArialTable"/>
            </w:pPr>
            <w:r>
              <w:rPr>
                <w:rStyle w:val="PleaseReviewParagraphId"/>
                <w:b w:val="off"/>
                <w:i w:val="off"/>
              </w:rPr>
              <w:t>[166]</w:t>
            </w:r>
            <w:r>
              <w:t>1.0 µM</w:t>
            </w:r>
          </w:p>
        </w:tc>
      </w:tr>
      <w:tr w14:paraId="0534EF41" w14:textId="77777777">
        <w:tc>
          <w:tcPr>
            <w:tcW w:w="5103" w:type="dxa"/>
            <w:shd w:val="clear" w:color="auto" w:fill="auto"/>
          </w:tcPr>
          <w:p w14:paraId="4BFE8432" w14:textId="77777777">
            <w:pPr>
              <w:pStyle w:val="IPPArialTable"/>
            </w:pPr>
            <w:r>
              <w:rPr>
                <w:rStyle w:val="PleaseReviewParagraphId"/>
                <w:b w:val="off"/>
                <w:i w:val="off"/>
              </w:rPr>
              <w:t>[167]</w:t>
            </w:r>
            <w:r>
              <w:t>Taq DNA polymerase</w:t>
            </w:r>
          </w:p>
        </w:tc>
        <w:tc>
          <w:tcPr>
            <w:tcW w:w="3828" w:type="dxa"/>
            <w:shd w:val="clear" w:color="auto" w:fill="auto"/>
          </w:tcPr>
          <w:p w14:paraId="7E224EC6" w14:textId="77777777">
            <w:pPr>
              <w:pStyle w:val="IPPArialTable"/>
            </w:pPr>
            <w:r>
              <w:rPr>
                <w:rStyle w:val="PleaseReviewParagraphId"/>
                <w:b w:val="off"/>
                <w:i w:val="off"/>
              </w:rPr>
              <w:t>[168]</w:t>
            </w:r>
            <w:r>
              <w:t>1.0 U</w:t>
            </w:r>
          </w:p>
        </w:tc>
      </w:tr>
      <w:tr w14:paraId="630E4D0E" w14:textId="77777777">
        <w:tc>
          <w:tcPr>
            <w:tcW w:w="5103" w:type="dxa"/>
            <w:tcBorders>
              <w:top w:val="single" w:color="000000" w:sz="4" w:space="0"/>
              <w:bottom w:val="single" w:color="000000" w:sz="4" w:space="0"/>
            </w:tcBorders>
            <w:shd w:val="clear" w:color="auto" w:fill="auto"/>
          </w:tcPr>
          <w:p w14:paraId="5ACB44B0" w14:textId="77777777">
            <w:pPr>
              <w:pStyle w:val="IPPArialTable"/>
            </w:pPr>
            <w:r>
              <w:rPr>
                <w:rStyle w:val="PleaseReviewParagraphId"/>
                <w:b w:val="off"/>
                <w:i w:val="off"/>
              </w:rPr>
              <w:t>[169]</w:t>
            </w:r>
            <w:r>
              <w:t>DNA volume</w:t>
            </w:r>
          </w:p>
        </w:tc>
        <w:tc>
          <w:tcPr>
            <w:tcW w:w="3828" w:type="dxa"/>
            <w:tcBorders>
              <w:top w:val="single" w:color="000000" w:sz="4" w:space="0"/>
              <w:bottom w:val="single" w:color="000000" w:sz="4" w:space="0"/>
            </w:tcBorders>
            <w:shd w:val="clear" w:color="auto" w:fill="auto"/>
          </w:tcPr>
          <w:p w14:paraId="4316F6FE" w14:textId="1D755B1E">
            <w:pPr>
              <w:pStyle w:val="IPPArialTable"/>
            </w:pPr>
            <w:r>
              <w:rPr>
                <w:rStyle w:val="PleaseReviewParagraphId"/>
                <w:b w:val="off"/>
                <w:i w:val="off"/>
              </w:rPr>
              <w:t>[170]</w:t>
            </w:r>
            <w:r>
              <w:t xml:space="preserve">2 µL DNA extract of plant tissue </w:t>
            </w:r>
          </w:p>
        </w:tc>
      </w:tr>
      <w:tr w14:paraId="135EF98D" w14:textId="77777777">
        <w:tc>
          <w:tcPr>
            <w:tcW w:w="5103" w:type="dxa"/>
            <w:tcBorders>
              <w:top w:val="single" w:color="000000" w:sz="4" w:space="0"/>
              <w:bottom w:val="single" w:color="000000" w:sz="4" w:space="0"/>
            </w:tcBorders>
            <w:shd w:val="clear" w:color="auto" w:fill="BFBFBF"/>
          </w:tcPr>
          <w:p w14:paraId="36AF09AC" w14:textId="77777777">
            <w:pPr>
              <w:pStyle w:val="IPPArialTable"/>
              <w:rPr>
                <w:b/>
              </w:rPr>
            </w:pPr>
            <w:r>
              <w:rPr>
                <w:rStyle w:val="PleaseReviewParagraphId"/>
                <w:b w:val="off"/>
                <w:i w:val="off"/>
              </w:rPr>
              <w:t>[171]</w:t>
            </w:r>
            <w:r>
              <w:rPr>
                <w:b/>
              </w:rPr>
              <w:t>Cycling parameters</w:t>
            </w:r>
          </w:p>
        </w:tc>
        <w:tc>
          <w:tcPr>
            <w:tcW w:w="3828" w:type="dxa"/>
            <w:tcBorders>
              <w:top w:val="single" w:color="000000" w:sz="4" w:space="0"/>
              <w:bottom w:val="single" w:color="000000" w:sz="4" w:space="0"/>
            </w:tcBorders>
            <w:shd w:val="clear" w:color="auto" w:fill="BFBFBF"/>
          </w:tcPr>
          <w:p w14:paraId="7412E16D" w14:textId="77777777">
            <w:pPr>
              <w:pStyle w:val="IPPArialTable"/>
            </w:pPr>
            <w:r>
              <w:rPr>
                <w:rStyle w:val="PleaseReviewParagraphId"/>
                <w:b w:val="off"/>
                <w:i w:val="off"/>
              </w:rPr>
              <w:t>[172]</w:t>
            </w:r>
          </w:p>
        </w:tc>
      </w:tr>
      <w:tr w14:paraId="1DC7010E" w14:textId="77777777">
        <w:tc>
          <w:tcPr>
            <w:tcW w:w="5103" w:type="dxa"/>
            <w:tcBorders>
              <w:top w:val="single" w:color="000000" w:sz="4" w:space="0"/>
            </w:tcBorders>
            <w:shd w:val="clear" w:color="auto" w:fill="auto"/>
          </w:tcPr>
          <w:p w14:paraId="3D985FE1" w14:textId="77777777">
            <w:pPr>
              <w:pStyle w:val="IPPArialTable"/>
            </w:pPr>
            <w:r>
              <w:rPr>
                <w:rStyle w:val="PleaseReviewParagraphId"/>
                <w:b w:val="off"/>
                <w:i w:val="off"/>
              </w:rPr>
              <w:t>[173]</w:t>
            </w:r>
            <w:r>
              <w:t>Initial denaturation</w:t>
            </w:r>
          </w:p>
        </w:tc>
        <w:tc>
          <w:tcPr>
            <w:tcW w:w="3828" w:type="dxa"/>
            <w:tcBorders>
              <w:top w:val="single" w:color="000000" w:sz="4" w:space="0"/>
            </w:tcBorders>
            <w:shd w:val="clear" w:color="auto" w:fill="auto"/>
          </w:tcPr>
          <w:p w14:paraId="19A3036C" w14:textId="77777777">
            <w:pPr>
              <w:pStyle w:val="IPPArialTable"/>
            </w:pPr>
            <w:r>
              <w:rPr>
                <w:rStyle w:val="PleaseReviewParagraphId"/>
                <w:b w:val="off"/>
                <w:i w:val="off"/>
              </w:rPr>
              <w:t>[174]</w:t>
            </w:r>
            <w:r>
              <w:t>94 °C for 2 min</w:t>
            </w:r>
          </w:p>
        </w:tc>
      </w:tr>
      <w:tr w14:paraId="7A5F0019" w14:textId="77777777">
        <w:tc>
          <w:tcPr>
            <w:tcW w:w="5103" w:type="dxa"/>
            <w:shd w:val="clear" w:color="auto" w:fill="auto"/>
          </w:tcPr>
          <w:p w14:paraId="7680401D" w14:textId="77777777">
            <w:pPr>
              <w:pStyle w:val="IPPArialTable"/>
            </w:pPr>
            <w:r>
              <w:rPr>
                <w:rStyle w:val="PleaseReviewParagraphId"/>
                <w:b w:val="off"/>
                <w:i w:val="off"/>
              </w:rPr>
              <w:t>[175]</w:t>
            </w:r>
            <w:r>
              <w:t>Number of cycles</w:t>
            </w:r>
          </w:p>
        </w:tc>
        <w:tc>
          <w:tcPr>
            <w:tcW w:w="3828" w:type="dxa"/>
            <w:shd w:val="clear" w:color="auto" w:fill="auto"/>
          </w:tcPr>
          <w:p w14:paraId="3128840F" w14:textId="77777777">
            <w:pPr>
              <w:pStyle w:val="IPPArialTable"/>
            </w:pPr>
            <w:r>
              <w:rPr>
                <w:rStyle w:val="PleaseReviewParagraphId"/>
                <w:b w:val="off"/>
                <w:i w:val="off"/>
              </w:rPr>
              <w:t>[176]</w:t>
            </w:r>
            <w:r>
              <w:t>35</w:t>
            </w:r>
          </w:p>
        </w:tc>
      </w:tr>
      <w:tr w14:paraId="23F6EA1A" w14:textId="77777777">
        <w:tc>
          <w:tcPr>
            <w:tcW w:w="5103" w:type="dxa"/>
            <w:shd w:val="clear" w:color="auto" w:fill="auto"/>
          </w:tcPr>
          <w:p w14:paraId="2993B851" w14:textId="3A356172">
            <w:pPr>
              <w:pStyle w:val="IPPArialTable"/>
              <w:numPr>
                <w:ilvl w:val="0"/>
                <w:numId w:val="75"/>
              </w:numPr>
              <w:ind w:left="284" w:hanging="142"/>
            </w:pPr>
            <w:r>
              <w:rPr>
                <w:rStyle w:val="PleaseReviewParagraphId"/>
                <w:b w:val="off"/>
                <w:i w:val="off"/>
              </w:rPr>
              <w:t>[177]</w:t>
            </w:r>
            <w:r>
              <w:t>Denaturation</w:t>
            </w:r>
          </w:p>
        </w:tc>
        <w:tc>
          <w:tcPr>
            <w:tcW w:w="3828" w:type="dxa"/>
            <w:shd w:val="clear" w:color="auto" w:fill="auto"/>
          </w:tcPr>
          <w:p w14:paraId="2312D15F" w14:textId="77777777">
            <w:pPr>
              <w:pStyle w:val="IPPArialTable"/>
            </w:pPr>
            <w:r>
              <w:rPr>
                <w:rStyle w:val="PleaseReviewParagraphId"/>
                <w:b w:val="off"/>
                <w:i w:val="off"/>
              </w:rPr>
              <w:t>[178]</w:t>
            </w:r>
            <w:r>
              <w:t>92 °C for 20 s</w:t>
            </w:r>
          </w:p>
        </w:tc>
      </w:tr>
      <w:tr w14:paraId="28570807" w14:textId="77777777">
        <w:tc>
          <w:tcPr>
            <w:tcW w:w="5103" w:type="dxa"/>
            <w:shd w:val="clear" w:color="auto" w:fill="auto"/>
          </w:tcPr>
          <w:p w14:paraId="527FB0F3" w14:textId="2CE81A32">
            <w:pPr>
              <w:pStyle w:val="IPPArialTable"/>
              <w:numPr>
                <w:ilvl w:val="0"/>
                <w:numId w:val="75"/>
              </w:numPr>
              <w:ind w:left="284" w:hanging="142"/>
            </w:pPr>
            <w:r>
              <w:rPr>
                <w:rStyle w:val="PleaseReviewParagraphId"/>
                <w:b w:val="off"/>
                <w:i w:val="off"/>
              </w:rPr>
              <w:t>[179]</w:t>
            </w:r>
            <w:r>
              <w:t xml:space="preserve">Annealing </w:t>
            </w:r>
          </w:p>
        </w:tc>
        <w:tc>
          <w:tcPr>
            <w:tcW w:w="3828" w:type="dxa"/>
            <w:shd w:val="clear" w:color="auto" w:fill="auto"/>
          </w:tcPr>
          <w:p w14:paraId="07B43B63" w14:textId="77777777">
            <w:pPr>
              <w:pStyle w:val="IPPArialTable"/>
            </w:pPr>
            <w:r>
              <w:rPr>
                <w:rStyle w:val="PleaseReviewParagraphId"/>
                <w:b w:val="off"/>
                <w:i w:val="off"/>
              </w:rPr>
              <w:t>[180]</w:t>
            </w:r>
            <w:r>
              <w:t>62 °C for 20 s</w:t>
            </w:r>
          </w:p>
        </w:tc>
      </w:tr>
      <w:tr w14:paraId="511C87FB" w14:textId="77777777">
        <w:tc>
          <w:tcPr>
            <w:tcW w:w="5103" w:type="dxa"/>
            <w:shd w:val="clear" w:color="auto" w:fill="auto"/>
          </w:tcPr>
          <w:p w14:paraId="2DDBBDD3" w14:textId="5F41CA73">
            <w:pPr>
              <w:pStyle w:val="IPPArialTable"/>
              <w:numPr>
                <w:ilvl w:val="0"/>
                <w:numId w:val="75"/>
              </w:numPr>
              <w:ind w:left="284" w:hanging="142"/>
            </w:pPr>
            <w:r>
              <w:rPr>
                <w:rStyle w:val="PleaseReviewParagraphId"/>
                <w:b w:val="off"/>
                <w:i w:val="off"/>
              </w:rPr>
              <w:t>[181]</w:t>
            </w:r>
            <w:r>
              <w:t>Elongation</w:t>
            </w:r>
          </w:p>
        </w:tc>
        <w:tc>
          <w:tcPr>
            <w:tcW w:w="3828" w:type="dxa"/>
            <w:shd w:val="clear" w:color="auto" w:fill="auto"/>
          </w:tcPr>
          <w:p w14:paraId="620E13DA" w14:textId="77777777">
            <w:pPr>
              <w:pStyle w:val="IPPArialTable"/>
            </w:pPr>
            <w:r>
              <w:rPr>
                <w:rStyle w:val="PleaseReviewParagraphId"/>
                <w:b w:val="off"/>
                <w:i w:val="off"/>
              </w:rPr>
              <w:t>[182]</w:t>
            </w:r>
            <w:r>
              <w:t>72 °C for 45 s</w:t>
            </w:r>
          </w:p>
        </w:tc>
      </w:tr>
      <w:tr w14:paraId="65BE3B68" w14:textId="77777777">
        <w:tc>
          <w:tcPr>
            <w:tcW w:w="5103" w:type="dxa"/>
            <w:tcBorders>
              <w:bottom w:val="single" w:color="000000" w:sz="4" w:space="0"/>
            </w:tcBorders>
            <w:shd w:val="clear" w:color="auto" w:fill="auto"/>
          </w:tcPr>
          <w:p w14:paraId="4E9996B4" w14:textId="77777777">
            <w:pPr>
              <w:pStyle w:val="IPPArialTable"/>
            </w:pPr>
            <w:r>
              <w:rPr>
                <w:rStyle w:val="PleaseReviewParagraphId"/>
                <w:b w:val="off"/>
                <w:i w:val="off"/>
              </w:rPr>
              <w:t>[183]</w:t>
            </w:r>
            <w:r>
              <w:t>Final elongation</w:t>
            </w:r>
          </w:p>
        </w:tc>
        <w:tc>
          <w:tcPr>
            <w:tcW w:w="3828" w:type="dxa"/>
            <w:tcBorders>
              <w:bottom w:val="single" w:color="000000" w:sz="4" w:space="0"/>
            </w:tcBorders>
            <w:shd w:val="clear" w:color="auto" w:fill="auto"/>
          </w:tcPr>
          <w:p w14:paraId="75374E28" w14:textId="77777777">
            <w:pPr>
              <w:pStyle w:val="IPPArialTable"/>
            </w:pPr>
            <w:r>
              <w:rPr>
                <w:rStyle w:val="PleaseReviewParagraphId"/>
                <w:b w:val="off"/>
                <w:i w:val="off"/>
              </w:rPr>
              <w:t>[184]</w:t>
            </w:r>
            <w:r>
              <w:t>72 °C for 10 min</w:t>
            </w:r>
          </w:p>
        </w:tc>
      </w:tr>
      <w:tr w14:paraId="3F9048A1" w14:textId="77777777">
        <w:tc>
          <w:tcPr>
            <w:tcW w:w="5103" w:type="dxa"/>
            <w:tcBorders>
              <w:top w:val="single" w:color="000000" w:sz="4" w:space="0"/>
              <w:bottom w:val="single" w:color="000000" w:sz="4" w:space="0"/>
            </w:tcBorders>
            <w:shd w:val="clear" w:color="auto" w:fill="BFBFBF"/>
          </w:tcPr>
          <w:p w14:paraId="4DF9EDC1" w14:textId="77777777">
            <w:pPr>
              <w:pStyle w:val="IPPArialTable"/>
              <w:rPr>
                <w:b/>
              </w:rPr>
            </w:pPr>
            <w:r>
              <w:rPr>
                <w:rStyle w:val="PleaseReviewParagraphId"/>
                <w:b w:val="off"/>
                <w:i w:val="off"/>
              </w:rPr>
              <w:t>[185]</w:t>
            </w:r>
            <w:r>
              <w:rPr>
                <w:b/>
              </w:rPr>
              <w:t>Expected amplicons</w:t>
            </w:r>
          </w:p>
        </w:tc>
        <w:tc>
          <w:tcPr>
            <w:tcW w:w="3828" w:type="dxa"/>
            <w:tcBorders>
              <w:top w:val="single" w:color="000000" w:sz="4" w:space="0"/>
              <w:bottom w:val="single" w:color="000000" w:sz="4" w:space="0"/>
            </w:tcBorders>
            <w:shd w:val="clear" w:color="auto" w:fill="BFBFBF"/>
          </w:tcPr>
          <w:p w14:paraId="0822F150" w14:textId="77777777">
            <w:pPr>
              <w:pStyle w:val="IPPArialTable"/>
            </w:pPr>
            <w:r>
              <w:rPr>
                <w:rStyle w:val="PleaseReviewParagraphId"/>
                <w:b w:val="off"/>
                <w:i w:val="off"/>
              </w:rPr>
              <w:t>[186]</w:t>
            </w:r>
          </w:p>
        </w:tc>
      </w:tr>
      <w:tr w14:paraId="5CEE9D4E" w14:textId="77777777">
        <w:tc>
          <w:tcPr>
            <w:tcW w:w="5103" w:type="dxa"/>
            <w:tcBorders>
              <w:top w:val="single" w:color="000000" w:sz="4" w:space="0"/>
            </w:tcBorders>
            <w:shd w:val="clear" w:color="auto" w:fill="auto"/>
          </w:tcPr>
          <w:p w14:paraId="1D3F15AB" w14:textId="77777777">
            <w:pPr>
              <w:pStyle w:val="IPPArialTable"/>
            </w:pPr>
            <w:r>
              <w:rPr>
                <w:rStyle w:val="PleaseReviewParagraphId"/>
                <w:b w:val="off"/>
                <w:i w:val="off"/>
              </w:rPr>
              <w:t>[187]</w:t>
            </w:r>
            <w:r>
              <w:t>Size</w:t>
            </w:r>
          </w:p>
        </w:tc>
        <w:tc>
          <w:tcPr>
            <w:tcW w:w="3828" w:type="dxa"/>
            <w:tcBorders>
              <w:top w:val="single" w:color="000000" w:sz="4" w:space="0"/>
            </w:tcBorders>
            <w:shd w:val="clear" w:color="auto" w:fill="auto"/>
          </w:tcPr>
          <w:p w14:paraId="182EF80C" w14:textId="04046002">
            <w:pPr>
              <w:pStyle w:val="IPPArialTable"/>
            </w:pPr>
            <w:r>
              <w:rPr>
                <w:rStyle w:val="PleaseReviewParagraphId"/>
                <w:b w:val="off"/>
                <w:i w:val="off"/>
              </w:rPr>
              <w:t>[188]</w:t>
            </w:r>
            <w:r>
              <w:t xml:space="preserve">669 bp for </w:t>
            </w:r>
            <w:r>
              <w:rPr>
                <w:szCs w:val="22"/>
                <w:lang w:eastAsia="zh-CN"/>
              </w:rPr>
              <w:t>‘</w:t>
            </w:r>
            <w:r>
              <w:rPr>
                <w:i/>
                <w:szCs w:val="22"/>
              </w:rPr>
              <w:t>Ca. </w:t>
            </w:r>
            <w:r>
              <w:rPr>
                <w:szCs w:val="22"/>
              </w:rPr>
              <w:t>L. africanus</w:t>
            </w:r>
            <w:r>
              <w:rPr>
                <w:szCs w:val="22"/>
                <w:lang w:eastAsia="zh-CN"/>
              </w:rPr>
              <w:t>’</w:t>
            </w:r>
          </w:p>
        </w:tc>
      </w:tr>
      <w:tr w14:paraId="2B9A4195" w14:textId="77777777">
        <w:tc>
          <w:tcPr>
            <w:tcW w:w="5103" w:type="dxa"/>
            <w:tcBorders>
              <w:bottom w:val="single" w:color="000000" w:sz="4" w:space="0"/>
            </w:tcBorders>
            <w:shd w:val="clear" w:color="auto" w:fill="auto"/>
          </w:tcPr>
          <w:p w14:paraId="491594F9" w14:textId="77777777">
            <w:pPr>
              <w:pStyle w:val="IPPArialTable"/>
            </w:pPr>
            <w:r>
              <w:rPr>
                <w:rStyle w:val="PleaseReviewParagraphId"/>
                <w:b w:val="off"/>
                <w:i w:val="off"/>
              </w:rPr>
              <w:t>[189]</w:t>
            </w:r>
          </w:p>
        </w:tc>
        <w:tc>
          <w:tcPr>
            <w:tcW w:w="3828" w:type="dxa"/>
            <w:tcBorders>
              <w:bottom w:val="single" w:color="000000" w:sz="4" w:space="0"/>
            </w:tcBorders>
            <w:shd w:val="clear" w:color="auto" w:fill="auto"/>
          </w:tcPr>
          <w:p w14:paraId="5C00F3EA" w14:textId="5DB88C99">
            <w:pPr>
              <w:pStyle w:val="IPPArialTable"/>
            </w:pPr>
            <w:r>
              <w:rPr>
                <w:rStyle w:val="PleaseReviewParagraphId"/>
                <w:b w:val="off"/>
                <w:i w:val="off"/>
              </w:rPr>
              <w:t>[190]</w:t>
            </w:r>
            <w:r>
              <w:rPr>
                <w:szCs w:val="22"/>
              </w:rPr>
              <w:t xml:space="preserve">703 bp for </w:t>
            </w:r>
            <w:r>
              <w:rPr>
                <w:szCs w:val="22"/>
                <w:lang w:eastAsia="zh-CN"/>
              </w:rPr>
              <w:t>‘</w:t>
            </w:r>
            <w:r>
              <w:rPr>
                <w:i/>
                <w:szCs w:val="22"/>
              </w:rPr>
              <w:t>Ca</w:t>
            </w:r>
            <w:r>
              <w:rPr>
                <w:szCs w:val="22"/>
              </w:rPr>
              <w:t>. L. asiaticus</w:t>
            </w:r>
            <w:r>
              <w:rPr>
                <w:szCs w:val="22"/>
                <w:lang w:eastAsia="zh-CN"/>
              </w:rPr>
              <w:t>’</w:t>
            </w:r>
          </w:p>
        </w:tc>
      </w:tr>
    </w:tbl>
    <w:p w14:paraId="0E4F03AC" w14:textId="648F8743">
      <w:pPr>
        <w:pStyle w:val="IPPArialFootnote"/>
        <w:rPr>
          <w:rStyle w:val="PleaseReviewParagraphId"/>
          <w:rFonts w:eastAsia="MS Mincho"/>
          <w:color w:val="auto"/>
        </w:rPr>
      </w:pPr>
      <w:r>
        <w:rPr>
          <w:rStyle w:val="PleaseReviewParagraphId"/>
          <w:b w:val="off"/>
          <w:i w:val="off"/>
        </w:rPr>
        <w:t>[191]</w:t>
      </w:r>
      <w:r>
        <w:rPr>
          <w:rStyle w:val="PleaseReviewParagraphId"/>
          <w:color w:val="auto"/>
          <w:vertAlign w:val="superscript"/>
        </w:rPr>
        <w:t>i</w:t>
      </w:r>
      <w:r>
        <w:rPr>
          <w:rStyle w:val="PleaseReviewParagraphId"/>
          <w:color w:val="auto"/>
        </w:rPr>
        <w:t xml:space="preserve"> For a final reaction volume of 50 </w:t>
      </w:r>
      <w:r>
        <w:rPr>
          <w:rStyle w:val="PleaseReviewParagraphId"/>
          <w:rFonts w:cs="Arial"/>
          <w:color w:val="auto"/>
        </w:rPr>
        <w:t>µ</w:t>
      </w:r>
      <w:r>
        <w:rPr>
          <w:rStyle w:val="PleaseReviewParagraphId"/>
          <w:color w:val="auto"/>
        </w:rPr>
        <w:t>L.</w:t>
      </w:r>
    </w:p>
    <w:p w14:paraId="1D8682DE" w14:textId="0BF6AF43">
      <w:pPr>
        <w:pStyle w:val="IPPArialFootnote"/>
        <w:spacing w:after="180"/>
        <w:rPr>
          <w:rStyle w:val="PleaseReviewParagraphId"/>
          <w:color w:val="auto"/>
        </w:rPr>
      </w:pPr>
      <w:r>
        <w:rPr>
          <w:rStyle w:val="PleaseReviewParagraphId"/>
          <w:b w:val="off"/>
          <w:i w:val="off"/>
        </w:rPr>
        <w:t>[192]</w:t>
      </w:r>
      <w:r>
        <w:rPr>
          <w:rStyle w:val="PleaseReviewParagraphId"/>
          <w:color w:val="auto"/>
        </w:rPr>
        <w:t xml:space="preserve">bp, base pairs; PCR, polymerase chain reaction. </w:t>
      </w:r>
    </w:p>
    <w:p w14:paraId="1D96876C" w14:textId="6A2AF365">
      <w:pPr>
        <w:pStyle w:val="IPPHeading3"/>
      </w:pPr>
      <w:r>
        <w:rPr>
          <w:rStyle w:val="PleaseReviewParagraphId"/>
          <w:b w:val="off"/>
          <w:i w:val="off"/>
        </w:rPr>
        <w:t>[193]</w:t>
      </w:r>
      <w:r>
        <w:rPr>
          <w:szCs w:val="22"/>
        </w:rPr>
        <w:t>3.4.3.3</w:t>
        <w:tab/>
      </w:r>
      <w:r>
        <w:t>Conventional PCR using the primers of Teixeira</w:t>
      </w:r>
      <w:r>
        <w:rPr>
          <w:iCs/>
        </w:rPr>
        <w:t xml:space="preserve"> </w:t>
      </w:r>
      <w:r>
        <w:rPr>
          <w:i w:val="0"/>
        </w:rPr>
        <w:t>et al.</w:t>
      </w:r>
      <w:r>
        <w:rPr>
          <w:iCs/>
        </w:rPr>
        <w:t xml:space="preserve"> </w:t>
      </w:r>
      <w:r>
        <w:t>(2005b)</w:t>
      </w:r>
      <w:r>
        <w:rPr>
          <w:lang w:eastAsia="zh-CN"/>
        </w:rPr>
        <w:t xml:space="preserve"> </w:t>
      </w:r>
      <w:r>
        <w:rPr>
          <w:iCs/>
        </w:rPr>
        <w:t xml:space="preserve"> </w:t>
      </w:r>
    </w:p>
    <w:p w14:paraId="32D5FB59" w14:textId="17E26617">
      <w:pPr>
        <w:pStyle w:val="IPPParagraphnumbering"/>
        <w:numPr>
          <w:ilvl w:val="0"/>
          <w:numId w:val="0"/>
        </w:numPr>
      </w:pPr>
      <w:r>
        <w:rPr>
          <w:rStyle w:val="PleaseReviewParagraphId"/>
          <w:b w:val="off"/>
          <w:i w:val="off"/>
        </w:rPr>
        <w:t>[194]</w:t>
      </w:r>
      <w:r>
        <w:t xml:space="preserve">Teixeira </w:t>
      </w:r>
      <w:r>
        <w:rPr>
          <w:i/>
        </w:rPr>
        <w:t>et al</w:t>
      </w:r>
      <w:r>
        <w:t xml:space="preserve">. (2005a, 2005b) designed the primers GB1 and GB3 specifically for PCR amplification of the 16S rDNA of </w:t>
      </w:r>
      <w:r>
        <w:rPr>
          <w:lang w:eastAsia="zh-CN"/>
        </w:rPr>
        <w:t>‘</w:t>
      </w:r>
      <w:r>
        <w:rPr>
          <w:i/>
        </w:rPr>
        <w:t>Ca</w:t>
      </w:r>
      <w:r>
        <w:t>. L. americanus</w:t>
      </w:r>
      <w:r>
        <w:rPr>
          <w:lang w:eastAsia="zh-CN"/>
        </w:rPr>
        <w:t>’. The primer sequences are as follows</w:t>
      </w:r>
      <w:r>
        <w:t xml:space="preserve">: </w:t>
      </w:r>
    </w:p>
    <w:p w14:paraId="56185940" w14:textId="63734C8E">
      <w:pPr>
        <w:pStyle w:val="IPPIndentClose"/>
      </w:pPr>
      <w:r>
        <w:rPr>
          <w:rStyle w:val="PleaseReviewParagraphId"/>
          <w:b w:val="off"/>
          <w:i w:val="off"/>
        </w:rPr>
        <w:t>[195]</w:t>
      </w:r>
      <w:r>
        <w:t>GB1 (forward): 5´- AAG TCG AGC GAG TAC GCA AGT ACT-3´</w:t>
      </w:r>
    </w:p>
    <w:p w14:paraId="7F24D6DF" w14:textId="594CD95F">
      <w:pPr>
        <w:pStyle w:val="IPPIndent"/>
      </w:pPr>
      <w:r>
        <w:rPr>
          <w:rStyle w:val="PleaseReviewParagraphId"/>
          <w:b w:val="off"/>
          <w:i w:val="off"/>
        </w:rPr>
        <w:t>[196]</w:t>
      </w:r>
      <w:r>
        <w:t>GB3 (reverse): 5´- CCA ACT TAA TGA TGG CAA ATA TAG- 3</w:t>
      </w:r>
    </w:p>
    <w:p w14:paraId="0BB8B798" w14:textId="54BCA258">
      <w:pPr>
        <w:pStyle w:val="IPPParagraphnumbering"/>
        <w:numPr>
          <w:ilvl w:val="0"/>
          <w:numId w:val="0"/>
        </w:numPr>
        <w:rPr>
          <w:szCs w:val="22"/>
          <w:lang w:val="en-GB"/>
        </w:rPr>
      </w:pPr>
      <w:r>
        <w:rPr>
          <w:rStyle w:val="PleaseReviewParagraphId"/>
          <w:b w:val="off"/>
          <w:i w:val="off"/>
        </w:rPr>
        <w:t>[197]</w:t>
      </w:r>
      <w:r>
        <w:rPr>
          <w:szCs w:val="22"/>
          <w:lang w:val="en-GB"/>
        </w:rPr>
        <w:t>The primer pair GB1/GB3 detects only ‘</w:t>
      </w:r>
      <w:r>
        <w:rPr>
          <w:i/>
          <w:szCs w:val="22"/>
          <w:lang w:val="en-GB"/>
        </w:rPr>
        <w:t>Ca</w:t>
      </w:r>
      <w:r>
        <w:rPr>
          <w:szCs w:val="22"/>
          <w:lang w:val="en-GB"/>
        </w:rPr>
        <w:t>. L. americanus’ and not ‘</w:t>
      </w:r>
      <w:r>
        <w:rPr>
          <w:i/>
          <w:szCs w:val="22"/>
          <w:lang w:val="en-GB"/>
        </w:rPr>
        <w:t>Ca</w:t>
      </w:r>
      <w:r>
        <w:rPr>
          <w:szCs w:val="22"/>
          <w:lang w:val="en-GB"/>
        </w:rPr>
        <w:t>. L. asiaticus’ or ‘</w:t>
      </w:r>
      <w:r>
        <w:rPr>
          <w:i/>
          <w:szCs w:val="22"/>
          <w:lang w:val="en-GB"/>
        </w:rPr>
        <w:t>Ca</w:t>
      </w:r>
      <w:r>
        <w:rPr>
          <w:szCs w:val="22"/>
          <w:lang w:val="en-GB"/>
        </w:rPr>
        <w:t xml:space="preserve">. L. africanus’. No amplification </w:t>
      </w:r>
      <w:r>
        <w:rPr>
          <w:rFonts w:eastAsia="SimSun"/>
          <w:szCs w:val="22"/>
          <w:lang w:val="en-GB" w:eastAsia="zh-CN"/>
        </w:rPr>
        <w:t>wa</w:t>
      </w:r>
      <w:r>
        <w:rPr>
          <w:szCs w:val="22"/>
          <w:lang w:val="en-GB"/>
        </w:rPr>
        <w:t xml:space="preserve">s obtained when the method was used on </w:t>
      </w:r>
      <w:r>
        <w:rPr>
          <w:i/>
          <w:szCs w:val="22"/>
          <w:lang w:val="en-GB"/>
        </w:rPr>
        <w:t xml:space="preserve">Phytophthora citricola </w:t>
      </w:r>
      <w:r>
        <w:rPr>
          <w:iCs/>
          <w:szCs w:val="22"/>
          <w:lang w:val="en-GB"/>
        </w:rPr>
        <w:t>and</w:t>
      </w:r>
      <w:r>
        <w:rPr>
          <w:i/>
          <w:szCs w:val="22"/>
          <w:lang w:val="en-GB"/>
        </w:rPr>
        <w:t xml:space="preserve"> Phytophthora citrophthora</w:t>
      </w:r>
      <w:r>
        <w:rPr>
          <w:iCs/>
          <w:szCs w:val="22"/>
          <w:lang w:val="en-GB"/>
        </w:rPr>
        <w:t>,</w:t>
      </w:r>
      <w:r>
        <w:rPr>
          <w:szCs w:val="22"/>
          <w:lang w:val="en-GB"/>
        </w:rPr>
        <w:t xml:space="preserve"> </w:t>
      </w:r>
      <w:r>
        <w:rPr>
          <w:i/>
          <w:szCs w:val="22"/>
          <w:lang w:val="en-GB"/>
        </w:rPr>
        <w:t>X</w:t>
      </w:r>
      <w:r>
        <w:rPr>
          <w:rFonts w:eastAsia="SimSun"/>
          <w:i/>
          <w:szCs w:val="22"/>
          <w:lang w:val="en-GB" w:eastAsia="zh-CN"/>
        </w:rPr>
        <w:t>. </w:t>
      </w:r>
      <w:r>
        <w:rPr>
          <w:i/>
          <w:szCs w:val="22"/>
          <w:lang w:val="en-GB"/>
        </w:rPr>
        <w:t xml:space="preserve">axonopodis </w:t>
      </w:r>
      <w:r>
        <w:rPr>
          <w:szCs w:val="22"/>
          <w:lang w:val="en-GB"/>
        </w:rPr>
        <w:t>pv.</w:t>
      </w:r>
      <w:r>
        <w:rPr>
          <w:i/>
          <w:szCs w:val="22"/>
          <w:lang w:val="en-GB"/>
        </w:rPr>
        <w:t xml:space="preserve"> citri</w:t>
      </w:r>
      <w:r>
        <w:rPr>
          <w:szCs w:val="22"/>
          <w:lang w:val="en-GB"/>
        </w:rPr>
        <w:t xml:space="preserve"> strain </w:t>
      </w:r>
      <w:r>
        <w:rPr>
          <w:iCs/>
          <w:szCs w:val="22"/>
          <w:lang w:val="en-GB"/>
        </w:rPr>
        <w:t>A,</w:t>
      </w:r>
      <w:r>
        <w:rPr>
          <w:i/>
          <w:szCs w:val="22"/>
          <w:lang w:val="en-GB"/>
        </w:rPr>
        <w:t xml:space="preserve"> X</w:t>
      </w:r>
      <w:r>
        <w:rPr>
          <w:rFonts w:eastAsia="SimSun"/>
          <w:i/>
          <w:szCs w:val="22"/>
          <w:lang w:val="en-GB" w:eastAsia="zh-CN"/>
        </w:rPr>
        <w:t>. </w:t>
      </w:r>
      <w:r>
        <w:rPr>
          <w:i/>
          <w:szCs w:val="22"/>
          <w:lang w:val="en-GB"/>
        </w:rPr>
        <w:t>fastidiosa</w:t>
      </w:r>
      <w:r>
        <w:rPr>
          <w:iCs/>
          <w:szCs w:val="22"/>
          <w:lang w:val="en-GB"/>
        </w:rPr>
        <w:t>,</w:t>
      </w:r>
      <w:r>
        <w:rPr>
          <w:i/>
          <w:szCs w:val="22"/>
          <w:lang w:val="en-GB"/>
        </w:rPr>
        <w:t xml:space="preserve"> </w:t>
      </w:r>
      <w:r>
        <w:rPr>
          <w:szCs w:val="22"/>
          <w:lang w:val="en-GB"/>
        </w:rPr>
        <w:t xml:space="preserve">(Li, </w:t>
      </w:r>
      <w:r>
        <w:rPr>
          <w:bCs/>
          <w:szCs w:val="22"/>
          <w:lang w:val="en-GB" w:eastAsia="es-ES"/>
        </w:rPr>
        <w:t>Hartung and Levy</w:t>
      </w:r>
      <w:r>
        <w:rPr>
          <w:szCs w:val="22"/>
          <w:lang w:val="en-GB"/>
        </w:rPr>
        <w:t>, 2007).</w:t>
      </w:r>
    </w:p>
    <w:p w14:paraId="6AB2907E" w14:textId="3823BE5C">
      <w:pPr>
        <w:pStyle w:val="IPPParagraphnumbering"/>
        <w:numPr>
          <w:ilvl w:val="0"/>
          <w:numId w:val="0"/>
        </w:numPr>
        <w:jc w:val="left"/>
        <w:rPr>
          <w:szCs w:val="22"/>
          <w:lang w:val="en-GB"/>
        </w:rPr>
      </w:pPr>
      <w:r>
        <w:rPr>
          <w:rStyle w:val="PleaseReviewParagraphId"/>
          <w:b w:val="off"/>
          <w:i w:val="off"/>
        </w:rPr>
        <w:t>[198]</w:t>
      </w:r>
      <w:r>
        <w:rPr>
          <w:szCs w:val="22"/>
          <w:lang w:val="en-GB" w:eastAsia="zh-CN"/>
        </w:rPr>
        <w:t>The master mix used for this PCR, developed by Teixeira</w:t>
      </w:r>
      <w:r>
        <w:rPr>
          <w:szCs w:val="22"/>
          <w:lang w:val="en-GB"/>
        </w:rPr>
        <w:t xml:space="preserve"> </w:t>
      </w:r>
      <w:r>
        <w:rPr>
          <w:i/>
          <w:szCs w:val="22"/>
          <w:lang w:val="en-GB"/>
        </w:rPr>
        <w:t>et al</w:t>
      </w:r>
      <w:r>
        <w:rPr>
          <w:i/>
          <w:szCs w:val="22"/>
          <w:lang w:val="en-GB" w:eastAsia="zh-CN"/>
        </w:rPr>
        <w:t xml:space="preserve">. </w:t>
      </w:r>
      <w:r>
        <w:rPr>
          <w:szCs w:val="22"/>
          <w:lang w:val="en-GB" w:eastAsia="zh-CN"/>
        </w:rPr>
        <w:t>(2005b),</w:t>
      </w:r>
      <w:r>
        <w:rPr>
          <w:szCs w:val="22"/>
          <w:lang w:val="en-GB"/>
        </w:rPr>
        <w:t xml:space="preserve"> is described in Table 3.</w:t>
      </w:r>
      <w:r>
        <w:rPr>
          <w:b/>
        </w:rPr>
        <w:br w:type="page"/>
      </w:r>
    </w:p>
    <w:p w14:paraId="6E9567BE" w14:textId="5B05058B">
      <w:pPr>
        <w:pStyle w:val="IPPArial"/>
        <w:spacing w:after="120"/>
        <w:rPr>
          <w:b/>
        </w:rPr>
      </w:pPr>
      <w:r>
        <w:rPr>
          <w:rStyle w:val="PleaseReviewParagraphId"/>
          <w:b w:val="off"/>
          <w:i w:val="off"/>
        </w:rPr>
        <w:t>[199]</w:t>
      </w:r>
      <w:r>
        <w:rPr>
          <w:b/>
        </w:rPr>
        <w:lastRenderedPageBreak/>
        <w:t>Table 3.</w:t>
      </w:r>
      <w:r>
        <w:t xml:space="preserve"> Master mix composition, cycling conditions and amplicons for conventional PCR using the primers of </w:t>
      </w:r>
      <w:r>
        <w:rPr>
          <w:lang w:eastAsia="zh-CN"/>
        </w:rPr>
        <w:t>Teixeira</w:t>
      </w:r>
      <w:r>
        <w:t xml:space="preserve"> </w:t>
      </w:r>
      <w:r>
        <w:rPr>
          <w:i/>
          <w:iCs/>
        </w:rPr>
        <w:t>et al.</w:t>
      </w:r>
      <w:r>
        <w:t xml:space="preserve"> (2005b)</w:t>
      </w:r>
    </w:p>
    <w:tbl>
      <w:tblPr>
        <w:tblW w:w="8931" w:type="dxa"/>
        <w:tblLayout w:type="fixed"/>
        <w:tblLook w:val="0000" w:firstRow="0" w:lastRow="0" w:firstColumn="0" w:lastColumn="0" w:noHBand="0" w:noVBand="0"/>
      </w:tblPr>
      <w:tblGrid>
        <w:gridCol w:w="5103"/>
        <w:gridCol w:w="3828"/>
      </w:tblGrid>
      <w:tr w14:paraId="59C333DB" w14:textId="77777777">
        <w:tc>
          <w:tcPr>
            <w:tcW w:w="5103" w:type="dxa"/>
            <w:tcBorders>
              <w:top w:val="single" w:color="000000" w:sz="4" w:space="0"/>
              <w:bottom w:val="single" w:color="000000" w:sz="4" w:space="0"/>
            </w:tcBorders>
            <w:shd w:val="clear" w:color="auto" w:fill="BFBFBF"/>
          </w:tcPr>
          <w:p w14:paraId="74B9E1D3" w14:textId="77777777">
            <w:pPr>
              <w:pStyle w:val="IPPArialTable"/>
              <w:rPr>
                <w:b/>
              </w:rPr>
            </w:pPr>
            <w:r>
              <w:rPr>
                <w:rStyle w:val="PleaseReviewParagraphId"/>
                <w:b w:val="off"/>
                <w:i w:val="off"/>
              </w:rPr>
              <w:t>[200]</w:t>
            </w:r>
            <w:r>
              <w:rPr>
                <w:b/>
              </w:rPr>
              <w:t xml:space="preserve">Reagents </w:t>
            </w:r>
          </w:p>
        </w:tc>
        <w:tc>
          <w:tcPr>
            <w:tcW w:w="3828" w:type="dxa"/>
            <w:tcBorders>
              <w:top w:val="single" w:color="000000" w:sz="4" w:space="0"/>
              <w:bottom w:val="single" w:color="000000" w:sz="4" w:space="0"/>
            </w:tcBorders>
            <w:shd w:val="clear" w:color="auto" w:fill="BFBFBF"/>
          </w:tcPr>
          <w:p w14:paraId="1A195AF5" w14:textId="77777777">
            <w:pPr>
              <w:pStyle w:val="IPPArialTable"/>
              <w:rPr>
                <w:b/>
              </w:rPr>
            </w:pPr>
            <w:r>
              <w:rPr>
                <w:rStyle w:val="PleaseReviewParagraphId"/>
                <w:b w:val="off"/>
                <w:i w:val="off"/>
              </w:rPr>
              <w:t>[201]</w:t>
            </w:r>
            <w:r>
              <w:rPr>
                <w:b/>
              </w:rPr>
              <w:t>Final concentration</w:t>
            </w:r>
          </w:p>
        </w:tc>
      </w:tr>
      <w:tr w14:paraId="479FA144" w14:textId="77777777">
        <w:tc>
          <w:tcPr>
            <w:tcW w:w="5103" w:type="dxa"/>
            <w:tcBorders>
              <w:top w:val="single" w:color="000000" w:sz="4" w:space="0"/>
            </w:tcBorders>
            <w:shd w:val="clear" w:color="auto" w:fill="auto"/>
          </w:tcPr>
          <w:p w14:paraId="30A94402" w14:textId="455A6FB1">
            <w:pPr>
              <w:pStyle w:val="IPPArialTable"/>
            </w:pPr>
            <w:r>
              <w:rPr>
                <w:rStyle w:val="PleaseReviewParagraphId"/>
                <w:b w:val="off"/>
                <w:i w:val="off"/>
              </w:rPr>
              <w:t>[202]</w:t>
            </w:r>
            <w:r>
              <w:t>PCR-grade</w:t>
            </w:r>
            <w:r>
              <w:rPr>
                <w:vertAlign w:val="superscript"/>
              </w:rPr>
              <w:t xml:space="preserve"> </w:t>
            </w:r>
            <w:r>
              <w:t xml:space="preserve">water </w:t>
            </w:r>
          </w:p>
        </w:tc>
        <w:tc>
          <w:tcPr>
            <w:tcW w:w="3828" w:type="dxa"/>
            <w:tcBorders>
              <w:top w:val="single" w:color="000000" w:sz="4" w:space="0"/>
            </w:tcBorders>
            <w:shd w:val="clear" w:color="auto" w:fill="FFFFFF"/>
          </w:tcPr>
          <w:p w14:paraId="68A2C655" w14:textId="397BABCC">
            <w:pPr>
              <w:pStyle w:val="IPPArialTable"/>
              <w:rPr>
                <w:shd w:val="clear" w:color="auto" w:fill="C0C0C0"/>
              </w:rPr>
            </w:pPr>
            <w:r>
              <w:rPr>
                <w:rStyle w:val="PleaseReviewParagraphId"/>
                <w:b w:val="off"/>
                <w:i w:val="off"/>
              </w:rPr>
              <w:t>[203]</w:t>
            </w:r>
            <w:r>
              <w:t>– </w:t>
            </w:r>
            <w:r>
              <w:rPr>
                <w:vertAlign w:val="superscript"/>
              </w:rPr>
              <w:t>i</w:t>
            </w:r>
          </w:p>
        </w:tc>
      </w:tr>
      <w:tr w14:paraId="4835F073" w14:textId="77777777">
        <w:tc>
          <w:tcPr>
            <w:tcW w:w="5103" w:type="dxa"/>
            <w:shd w:val="clear" w:color="auto" w:fill="auto"/>
          </w:tcPr>
          <w:p w14:paraId="51FA873E" w14:textId="77777777">
            <w:pPr>
              <w:pStyle w:val="IPPArialTable"/>
            </w:pPr>
            <w:r>
              <w:rPr>
                <w:rStyle w:val="PleaseReviewParagraphId"/>
                <w:b w:val="off"/>
                <w:i w:val="off"/>
              </w:rPr>
              <w:t>[204]</w:t>
            </w:r>
            <w:r>
              <w:t xml:space="preserve">PCR buffer  </w:t>
            </w:r>
          </w:p>
        </w:tc>
        <w:tc>
          <w:tcPr>
            <w:tcW w:w="3828" w:type="dxa"/>
            <w:shd w:val="clear" w:color="auto" w:fill="auto"/>
          </w:tcPr>
          <w:p w14:paraId="132331B0" w14:textId="77777777">
            <w:pPr>
              <w:pStyle w:val="IPPArialTable"/>
            </w:pPr>
            <w:r>
              <w:rPr>
                <w:rStyle w:val="PleaseReviewParagraphId"/>
                <w:b w:val="off"/>
                <w:i w:val="off"/>
              </w:rPr>
              <w:t>[205]</w:t>
            </w:r>
            <w:r>
              <w:t>1×</w:t>
            </w:r>
          </w:p>
        </w:tc>
      </w:tr>
      <w:tr w14:paraId="07B67911" w14:textId="77777777">
        <w:tc>
          <w:tcPr>
            <w:tcW w:w="5103" w:type="dxa"/>
            <w:shd w:val="clear" w:color="auto" w:fill="auto"/>
          </w:tcPr>
          <w:p w14:paraId="58563881" w14:textId="77777777">
            <w:pPr>
              <w:pStyle w:val="IPPArialTable"/>
            </w:pPr>
            <w:r>
              <w:rPr>
                <w:rStyle w:val="PleaseReviewParagraphId"/>
                <w:b w:val="off"/>
                <w:i w:val="off"/>
              </w:rPr>
              <w:t>[206]</w:t>
            </w:r>
            <w:r>
              <w:t xml:space="preserve">dNTPs </w:t>
            </w:r>
          </w:p>
        </w:tc>
        <w:tc>
          <w:tcPr>
            <w:tcW w:w="3828" w:type="dxa"/>
            <w:shd w:val="clear" w:color="auto" w:fill="auto"/>
          </w:tcPr>
          <w:p w14:paraId="7EC286B3" w14:textId="77777777">
            <w:pPr>
              <w:pStyle w:val="IPPArialTable"/>
            </w:pPr>
            <w:r>
              <w:rPr>
                <w:rStyle w:val="PleaseReviewParagraphId"/>
                <w:b w:val="off"/>
                <w:i w:val="off"/>
              </w:rPr>
              <w:t>[207]</w:t>
            </w:r>
            <w:r>
              <w:t xml:space="preserve">200 µM </w:t>
            </w:r>
          </w:p>
        </w:tc>
      </w:tr>
      <w:tr w14:paraId="4E638795" w14:textId="77777777">
        <w:tc>
          <w:tcPr>
            <w:tcW w:w="5103" w:type="dxa"/>
            <w:shd w:val="clear" w:color="auto" w:fill="auto"/>
          </w:tcPr>
          <w:p w14:paraId="7E4F3459" w14:textId="77777777">
            <w:pPr>
              <w:pStyle w:val="IPPArialTable"/>
            </w:pPr>
            <w:r>
              <w:rPr>
                <w:rStyle w:val="PleaseReviewParagraphId"/>
                <w:b w:val="off"/>
                <w:i w:val="off"/>
              </w:rPr>
              <w:t>[208]</w:t>
            </w:r>
            <w:r>
              <w:t>MgCl</w:t>
            </w:r>
            <w:r>
              <w:rPr>
                <w:vertAlign w:val="subscript"/>
              </w:rPr>
              <w:t>2</w:t>
            </w:r>
          </w:p>
        </w:tc>
        <w:tc>
          <w:tcPr>
            <w:tcW w:w="3828" w:type="dxa"/>
            <w:shd w:val="clear" w:color="auto" w:fill="auto"/>
          </w:tcPr>
          <w:p w14:paraId="3F983CDC" w14:textId="77777777">
            <w:pPr>
              <w:pStyle w:val="IPPArialTable"/>
            </w:pPr>
            <w:r>
              <w:rPr>
                <w:rStyle w:val="PleaseReviewParagraphId"/>
                <w:b w:val="off"/>
                <w:i w:val="off"/>
              </w:rPr>
              <w:t>[209]</w:t>
            </w:r>
            <w:r>
              <w:t>2.0 mM</w:t>
            </w:r>
          </w:p>
        </w:tc>
      </w:tr>
      <w:tr w14:paraId="0CDBEC65" w14:textId="77777777">
        <w:tc>
          <w:tcPr>
            <w:tcW w:w="5103" w:type="dxa"/>
            <w:shd w:val="clear" w:color="auto" w:fill="auto"/>
          </w:tcPr>
          <w:p w14:paraId="5B5539CA" w14:textId="77777777">
            <w:pPr>
              <w:pStyle w:val="IPPArialTable"/>
            </w:pPr>
            <w:r>
              <w:rPr>
                <w:rStyle w:val="PleaseReviewParagraphId"/>
                <w:b w:val="off"/>
                <w:i w:val="off"/>
              </w:rPr>
              <w:t>[210]</w:t>
            </w:r>
            <w:r>
              <w:t>Primer GB1 (forward)</w:t>
            </w:r>
          </w:p>
        </w:tc>
        <w:tc>
          <w:tcPr>
            <w:tcW w:w="3828" w:type="dxa"/>
            <w:shd w:val="clear" w:color="auto" w:fill="auto"/>
          </w:tcPr>
          <w:p w14:paraId="6F96F257" w14:textId="77777777">
            <w:pPr>
              <w:pStyle w:val="IPPArialTable"/>
            </w:pPr>
            <w:r>
              <w:rPr>
                <w:rStyle w:val="PleaseReviewParagraphId"/>
                <w:b w:val="off"/>
                <w:i w:val="off"/>
              </w:rPr>
              <w:t>[211]</w:t>
            </w:r>
            <w:r>
              <w:t>1.0 µM</w:t>
            </w:r>
          </w:p>
        </w:tc>
      </w:tr>
      <w:tr w14:paraId="4E0CB2B8" w14:textId="77777777">
        <w:tc>
          <w:tcPr>
            <w:tcW w:w="5103" w:type="dxa"/>
            <w:shd w:val="clear" w:color="auto" w:fill="auto"/>
          </w:tcPr>
          <w:p w14:paraId="6C088AAC" w14:textId="77777777">
            <w:pPr>
              <w:pStyle w:val="IPPArialTable"/>
            </w:pPr>
            <w:r>
              <w:rPr>
                <w:rStyle w:val="PleaseReviewParagraphId"/>
                <w:b w:val="off"/>
                <w:i w:val="off"/>
              </w:rPr>
              <w:t>[212]</w:t>
            </w:r>
            <w:r>
              <w:t>Primer GB3 (forward)</w:t>
            </w:r>
          </w:p>
        </w:tc>
        <w:tc>
          <w:tcPr>
            <w:tcW w:w="3828" w:type="dxa"/>
            <w:shd w:val="clear" w:color="auto" w:fill="auto"/>
          </w:tcPr>
          <w:p w14:paraId="1EBCDA3A" w14:textId="77777777">
            <w:pPr>
              <w:pStyle w:val="IPPArialTable"/>
            </w:pPr>
            <w:r>
              <w:rPr>
                <w:rStyle w:val="PleaseReviewParagraphId"/>
                <w:b w:val="off"/>
                <w:i w:val="off"/>
              </w:rPr>
              <w:t>[213]</w:t>
            </w:r>
            <w:r>
              <w:t>1.0 µM</w:t>
            </w:r>
          </w:p>
        </w:tc>
      </w:tr>
      <w:tr w14:paraId="2F835893" w14:textId="77777777">
        <w:tc>
          <w:tcPr>
            <w:tcW w:w="5103" w:type="dxa"/>
            <w:shd w:val="clear" w:color="auto" w:fill="auto"/>
          </w:tcPr>
          <w:p w14:paraId="583119E7" w14:textId="77777777">
            <w:pPr>
              <w:pStyle w:val="IPPArialTable"/>
            </w:pPr>
            <w:r>
              <w:rPr>
                <w:rStyle w:val="PleaseReviewParagraphId"/>
                <w:b w:val="off"/>
                <w:i w:val="off"/>
              </w:rPr>
              <w:t>[214]</w:t>
            </w:r>
            <w:r>
              <w:t>Taq DNA polymerase</w:t>
            </w:r>
          </w:p>
        </w:tc>
        <w:tc>
          <w:tcPr>
            <w:tcW w:w="3828" w:type="dxa"/>
            <w:shd w:val="clear" w:color="auto" w:fill="auto"/>
          </w:tcPr>
          <w:p w14:paraId="6EBBA3AF" w14:textId="77777777">
            <w:pPr>
              <w:pStyle w:val="IPPArialTable"/>
            </w:pPr>
            <w:r>
              <w:rPr>
                <w:rStyle w:val="PleaseReviewParagraphId"/>
                <w:b w:val="off"/>
                <w:i w:val="off"/>
              </w:rPr>
              <w:t>[215]</w:t>
            </w:r>
            <w:r>
              <w:t>1.5 U</w:t>
            </w:r>
          </w:p>
        </w:tc>
      </w:tr>
      <w:tr w14:paraId="1295B5FF" w14:textId="77777777">
        <w:tc>
          <w:tcPr>
            <w:tcW w:w="5103" w:type="dxa"/>
            <w:tcBorders>
              <w:top w:val="single" w:color="000000" w:sz="4" w:space="0"/>
              <w:bottom w:val="single" w:color="000000" w:sz="4" w:space="0"/>
            </w:tcBorders>
            <w:shd w:val="clear" w:color="auto" w:fill="auto"/>
          </w:tcPr>
          <w:p w14:paraId="5CE9DDBC" w14:textId="77777777">
            <w:pPr>
              <w:pStyle w:val="IPPArialTable"/>
            </w:pPr>
            <w:r>
              <w:rPr>
                <w:rStyle w:val="PleaseReviewParagraphId"/>
                <w:b w:val="off"/>
                <w:i w:val="off"/>
              </w:rPr>
              <w:t>[216]</w:t>
            </w:r>
            <w:r>
              <w:t>DNA volume</w:t>
            </w:r>
          </w:p>
        </w:tc>
        <w:tc>
          <w:tcPr>
            <w:tcW w:w="3828" w:type="dxa"/>
            <w:tcBorders>
              <w:top w:val="single" w:color="000000" w:sz="4" w:space="0"/>
              <w:bottom w:val="single" w:color="000000" w:sz="4" w:space="0"/>
            </w:tcBorders>
            <w:shd w:val="clear" w:color="auto" w:fill="auto"/>
          </w:tcPr>
          <w:p w14:paraId="12EC6970" w14:textId="587A8A6C">
            <w:pPr>
              <w:pStyle w:val="IPPArialTable"/>
            </w:pPr>
            <w:r>
              <w:rPr>
                <w:rStyle w:val="PleaseReviewParagraphId"/>
                <w:b w:val="off"/>
                <w:i w:val="off"/>
              </w:rPr>
              <w:t>[217]</w:t>
            </w:r>
            <w:r>
              <w:t xml:space="preserve">1 µL DNA extract of plant or insect vector tissue </w:t>
            </w:r>
          </w:p>
        </w:tc>
      </w:tr>
      <w:tr w14:paraId="7B7F49C9" w14:textId="77777777">
        <w:tc>
          <w:tcPr>
            <w:tcW w:w="5103" w:type="dxa"/>
            <w:tcBorders>
              <w:top w:val="single" w:color="000000" w:sz="4" w:space="0"/>
              <w:bottom w:val="single" w:color="000000" w:sz="4" w:space="0"/>
            </w:tcBorders>
            <w:shd w:val="clear" w:color="auto" w:fill="BFBFBF"/>
          </w:tcPr>
          <w:p w14:paraId="1473B5FB" w14:textId="77777777">
            <w:pPr>
              <w:pStyle w:val="IPPArialTable"/>
              <w:rPr>
                <w:b/>
              </w:rPr>
            </w:pPr>
            <w:r>
              <w:rPr>
                <w:rStyle w:val="PleaseReviewParagraphId"/>
                <w:b w:val="off"/>
                <w:i w:val="off"/>
              </w:rPr>
              <w:t>[218]</w:t>
            </w:r>
            <w:r>
              <w:rPr>
                <w:b/>
              </w:rPr>
              <w:t>Cycling parameters</w:t>
            </w:r>
          </w:p>
        </w:tc>
        <w:tc>
          <w:tcPr>
            <w:tcW w:w="3828" w:type="dxa"/>
            <w:tcBorders>
              <w:top w:val="single" w:color="000000" w:sz="4" w:space="0"/>
              <w:bottom w:val="single" w:color="000000" w:sz="4" w:space="0"/>
            </w:tcBorders>
            <w:shd w:val="clear" w:color="auto" w:fill="BFBFBF"/>
          </w:tcPr>
          <w:p w14:paraId="36191675" w14:textId="77777777">
            <w:pPr>
              <w:pStyle w:val="IPPArialTable"/>
            </w:pPr>
            <w:r>
              <w:rPr>
                <w:rStyle w:val="PleaseReviewParagraphId"/>
                <w:b w:val="off"/>
                <w:i w:val="off"/>
              </w:rPr>
              <w:t>[219]</w:t>
            </w:r>
          </w:p>
        </w:tc>
      </w:tr>
      <w:tr w14:paraId="6ABF7028" w14:textId="77777777">
        <w:tc>
          <w:tcPr>
            <w:tcW w:w="5103" w:type="dxa"/>
            <w:tcBorders>
              <w:top w:val="single" w:color="000000" w:sz="4" w:space="0"/>
            </w:tcBorders>
            <w:shd w:val="clear" w:color="auto" w:fill="auto"/>
          </w:tcPr>
          <w:p w14:paraId="5D3EA891" w14:textId="77777777">
            <w:pPr>
              <w:pStyle w:val="IPPArialTable"/>
            </w:pPr>
            <w:r>
              <w:rPr>
                <w:rStyle w:val="PleaseReviewParagraphId"/>
                <w:b w:val="off"/>
                <w:i w:val="off"/>
              </w:rPr>
              <w:t>[220]</w:t>
            </w:r>
            <w:r>
              <w:t>Initial denaturation</w:t>
            </w:r>
          </w:p>
        </w:tc>
        <w:tc>
          <w:tcPr>
            <w:tcW w:w="3828" w:type="dxa"/>
            <w:tcBorders>
              <w:top w:val="single" w:color="000000" w:sz="4" w:space="0"/>
            </w:tcBorders>
            <w:shd w:val="clear" w:color="auto" w:fill="auto"/>
          </w:tcPr>
          <w:p w14:paraId="47D5A8F4" w14:textId="77777777">
            <w:pPr>
              <w:pStyle w:val="IPPArialTable"/>
            </w:pPr>
            <w:r>
              <w:rPr>
                <w:rStyle w:val="PleaseReviewParagraphId"/>
                <w:b w:val="off"/>
                <w:i w:val="off"/>
              </w:rPr>
              <w:t>[221]</w:t>
            </w:r>
            <w:r>
              <w:t>94 °C for 2 min</w:t>
            </w:r>
          </w:p>
        </w:tc>
      </w:tr>
      <w:tr w14:paraId="367DD9B8" w14:textId="77777777">
        <w:tc>
          <w:tcPr>
            <w:tcW w:w="5103" w:type="dxa"/>
            <w:shd w:val="clear" w:color="auto" w:fill="auto"/>
          </w:tcPr>
          <w:p w14:paraId="4D3E8E5D" w14:textId="77777777">
            <w:pPr>
              <w:pStyle w:val="IPPArialTable"/>
            </w:pPr>
            <w:r>
              <w:rPr>
                <w:rStyle w:val="PleaseReviewParagraphId"/>
                <w:b w:val="off"/>
                <w:i w:val="off"/>
              </w:rPr>
              <w:t>[222]</w:t>
            </w:r>
            <w:r>
              <w:t>Number of cycles</w:t>
            </w:r>
          </w:p>
        </w:tc>
        <w:tc>
          <w:tcPr>
            <w:tcW w:w="3828" w:type="dxa"/>
            <w:shd w:val="clear" w:color="auto" w:fill="auto"/>
          </w:tcPr>
          <w:p w14:paraId="73E86BD6" w14:textId="77777777">
            <w:pPr>
              <w:pStyle w:val="IPPArialTable"/>
            </w:pPr>
            <w:r>
              <w:rPr>
                <w:rStyle w:val="PleaseReviewParagraphId"/>
                <w:b w:val="off"/>
                <w:i w:val="off"/>
              </w:rPr>
              <w:t>[223]</w:t>
            </w:r>
            <w:r>
              <w:t>35</w:t>
            </w:r>
          </w:p>
        </w:tc>
      </w:tr>
      <w:tr w14:paraId="2A334B5D" w14:textId="77777777">
        <w:tc>
          <w:tcPr>
            <w:tcW w:w="5103" w:type="dxa"/>
            <w:shd w:val="clear" w:color="auto" w:fill="auto"/>
          </w:tcPr>
          <w:p w14:paraId="15162DC1" w14:textId="701D3EDA">
            <w:pPr>
              <w:pStyle w:val="IPPArialTable"/>
              <w:numPr>
                <w:ilvl w:val="0"/>
                <w:numId w:val="76"/>
              </w:numPr>
              <w:ind w:left="284" w:hanging="142"/>
            </w:pPr>
            <w:r>
              <w:rPr>
                <w:rStyle w:val="PleaseReviewParagraphId"/>
                <w:b w:val="off"/>
                <w:i w:val="off"/>
              </w:rPr>
              <w:t>[224]</w:t>
            </w:r>
            <w:r>
              <w:t>Denaturation</w:t>
            </w:r>
          </w:p>
        </w:tc>
        <w:tc>
          <w:tcPr>
            <w:tcW w:w="3828" w:type="dxa"/>
            <w:shd w:val="clear" w:color="auto" w:fill="auto"/>
          </w:tcPr>
          <w:p w14:paraId="0EE60AA6" w14:textId="77777777">
            <w:pPr>
              <w:pStyle w:val="IPPArialTable"/>
            </w:pPr>
            <w:r>
              <w:rPr>
                <w:rStyle w:val="PleaseReviewParagraphId"/>
                <w:b w:val="off"/>
                <w:i w:val="off"/>
              </w:rPr>
              <w:t>[225]</w:t>
            </w:r>
            <w:r>
              <w:t>94 °C for 45 s</w:t>
            </w:r>
          </w:p>
        </w:tc>
      </w:tr>
      <w:tr w14:paraId="14E3C2E8" w14:textId="77777777">
        <w:tc>
          <w:tcPr>
            <w:tcW w:w="5103" w:type="dxa"/>
            <w:shd w:val="clear" w:color="auto" w:fill="auto"/>
          </w:tcPr>
          <w:p w14:paraId="0CDEE616" w14:textId="2D01276F">
            <w:pPr>
              <w:pStyle w:val="IPPArialTable"/>
              <w:numPr>
                <w:ilvl w:val="0"/>
                <w:numId w:val="76"/>
              </w:numPr>
              <w:ind w:left="284" w:hanging="142"/>
            </w:pPr>
            <w:r>
              <w:rPr>
                <w:rStyle w:val="PleaseReviewParagraphId"/>
                <w:b w:val="off"/>
                <w:i w:val="off"/>
              </w:rPr>
              <w:t>[226]</w:t>
            </w:r>
            <w:r>
              <w:t xml:space="preserve">Annealing </w:t>
            </w:r>
          </w:p>
        </w:tc>
        <w:tc>
          <w:tcPr>
            <w:tcW w:w="3828" w:type="dxa"/>
            <w:shd w:val="clear" w:color="auto" w:fill="auto"/>
          </w:tcPr>
          <w:p w14:paraId="5E2D8F6A" w14:textId="77777777">
            <w:pPr>
              <w:pStyle w:val="IPPArialTable"/>
            </w:pPr>
            <w:r>
              <w:rPr>
                <w:rStyle w:val="PleaseReviewParagraphId"/>
                <w:b w:val="off"/>
                <w:i w:val="off"/>
              </w:rPr>
              <w:t>[227]</w:t>
            </w:r>
            <w:r>
              <w:t>64 °C for 45 s</w:t>
            </w:r>
          </w:p>
        </w:tc>
      </w:tr>
      <w:tr w14:paraId="2EC5F543" w14:textId="77777777">
        <w:tc>
          <w:tcPr>
            <w:tcW w:w="5103" w:type="dxa"/>
            <w:shd w:val="clear" w:color="auto" w:fill="auto"/>
          </w:tcPr>
          <w:p w14:paraId="00B8F941" w14:textId="20529914">
            <w:pPr>
              <w:pStyle w:val="IPPArialTable"/>
              <w:numPr>
                <w:ilvl w:val="0"/>
                <w:numId w:val="76"/>
              </w:numPr>
              <w:ind w:left="284" w:hanging="142"/>
            </w:pPr>
            <w:r>
              <w:rPr>
                <w:rStyle w:val="PleaseReviewParagraphId"/>
                <w:b w:val="off"/>
                <w:i w:val="off"/>
              </w:rPr>
              <w:t>[228]</w:t>
            </w:r>
            <w:r>
              <w:t>Elongation</w:t>
            </w:r>
          </w:p>
        </w:tc>
        <w:tc>
          <w:tcPr>
            <w:tcW w:w="3828" w:type="dxa"/>
            <w:shd w:val="clear" w:color="auto" w:fill="auto"/>
          </w:tcPr>
          <w:p w14:paraId="533EE437" w14:textId="77777777">
            <w:pPr>
              <w:pStyle w:val="IPPArialTable"/>
            </w:pPr>
            <w:r>
              <w:rPr>
                <w:rStyle w:val="PleaseReviewParagraphId"/>
                <w:b w:val="off"/>
                <w:i w:val="off"/>
              </w:rPr>
              <w:t>[229]</w:t>
            </w:r>
            <w:r>
              <w:t>72 °C for 60 s</w:t>
            </w:r>
          </w:p>
        </w:tc>
      </w:tr>
      <w:tr w14:paraId="1E01A986" w14:textId="77777777">
        <w:tc>
          <w:tcPr>
            <w:tcW w:w="5103" w:type="dxa"/>
            <w:tcBorders>
              <w:bottom w:val="single" w:color="000000" w:sz="4" w:space="0"/>
            </w:tcBorders>
            <w:shd w:val="clear" w:color="auto" w:fill="auto"/>
          </w:tcPr>
          <w:p w14:paraId="7B5EE420" w14:textId="77777777">
            <w:pPr>
              <w:pStyle w:val="IPPArialTable"/>
            </w:pPr>
            <w:r>
              <w:rPr>
                <w:rStyle w:val="PleaseReviewParagraphId"/>
                <w:b w:val="off"/>
                <w:i w:val="off"/>
              </w:rPr>
              <w:t>[230]</w:t>
            </w:r>
            <w:r>
              <w:t>Final elongation</w:t>
            </w:r>
          </w:p>
        </w:tc>
        <w:tc>
          <w:tcPr>
            <w:tcW w:w="3828" w:type="dxa"/>
            <w:tcBorders>
              <w:bottom w:val="single" w:color="000000" w:sz="4" w:space="0"/>
            </w:tcBorders>
            <w:shd w:val="clear" w:color="auto" w:fill="auto"/>
          </w:tcPr>
          <w:p w14:paraId="0262A933" w14:textId="77777777">
            <w:pPr>
              <w:pStyle w:val="IPPArialTable"/>
            </w:pPr>
            <w:r>
              <w:rPr>
                <w:rStyle w:val="PleaseReviewParagraphId"/>
                <w:b w:val="off"/>
                <w:i w:val="off"/>
              </w:rPr>
              <w:t>[231]</w:t>
            </w:r>
            <w:r>
              <w:t>72 °C for 10 min</w:t>
            </w:r>
          </w:p>
        </w:tc>
      </w:tr>
      <w:tr w14:paraId="45A2B833" w14:textId="77777777">
        <w:tc>
          <w:tcPr>
            <w:tcW w:w="5103" w:type="dxa"/>
            <w:tcBorders>
              <w:top w:val="single" w:color="000000" w:sz="4" w:space="0"/>
              <w:bottom w:val="single" w:color="000000" w:sz="4" w:space="0"/>
            </w:tcBorders>
            <w:shd w:val="clear" w:color="auto" w:fill="BFBFBF"/>
          </w:tcPr>
          <w:p w14:paraId="40D142AA" w14:textId="77777777">
            <w:pPr>
              <w:pStyle w:val="IPPArialTable"/>
              <w:rPr>
                <w:b/>
              </w:rPr>
            </w:pPr>
            <w:r>
              <w:rPr>
                <w:rStyle w:val="PleaseReviewParagraphId"/>
                <w:b w:val="off"/>
                <w:i w:val="off"/>
              </w:rPr>
              <w:t>[232]</w:t>
            </w:r>
            <w:r>
              <w:rPr>
                <w:b/>
              </w:rPr>
              <w:t>Expected amplicons</w:t>
            </w:r>
          </w:p>
        </w:tc>
        <w:tc>
          <w:tcPr>
            <w:tcW w:w="3828" w:type="dxa"/>
            <w:tcBorders>
              <w:top w:val="single" w:color="000000" w:sz="4" w:space="0"/>
              <w:bottom w:val="single" w:color="000000" w:sz="4" w:space="0"/>
            </w:tcBorders>
            <w:shd w:val="clear" w:color="auto" w:fill="BFBFBF"/>
          </w:tcPr>
          <w:p w14:paraId="36F73B17" w14:textId="77777777">
            <w:pPr>
              <w:pStyle w:val="IPPArialTable"/>
            </w:pPr>
            <w:r>
              <w:rPr>
                <w:rStyle w:val="PleaseReviewParagraphId"/>
                <w:b w:val="off"/>
                <w:i w:val="off"/>
              </w:rPr>
              <w:t>[233]</w:t>
            </w:r>
          </w:p>
        </w:tc>
      </w:tr>
      <w:tr w14:paraId="72E36B77" w14:textId="77777777">
        <w:tc>
          <w:tcPr>
            <w:tcW w:w="5103" w:type="dxa"/>
            <w:tcBorders>
              <w:top w:val="single" w:color="000000" w:sz="4" w:space="0"/>
              <w:bottom w:val="single" w:color="auto" w:sz="4" w:space="0"/>
            </w:tcBorders>
            <w:shd w:val="clear" w:color="auto" w:fill="auto"/>
          </w:tcPr>
          <w:p w14:paraId="0E814403" w14:textId="77777777">
            <w:pPr>
              <w:pStyle w:val="IPPArialTable"/>
            </w:pPr>
            <w:r>
              <w:rPr>
                <w:rStyle w:val="PleaseReviewParagraphId"/>
                <w:b w:val="off"/>
                <w:i w:val="off"/>
              </w:rPr>
              <w:t>[234]</w:t>
            </w:r>
            <w:r>
              <w:t>Size</w:t>
            </w:r>
          </w:p>
        </w:tc>
        <w:tc>
          <w:tcPr>
            <w:tcW w:w="3828" w:type="dxa"/>
            <w:tcBorders>
              <w:top w:val="single" w:color="000000" w:sz="4" w:space="0"/>
              <w:bottom w:val="single" w:color="auto" w:sz="4" w:space="0"/>
            </w:tcBorders>
            <w:shd w:val="clear" w:color="auto" w:fill="auto"/>
          </w:tcPr>
          <w:p w14:paraId="101AE582" w14:textId="77777777">
            <w:pPr>
              <w:pStyle w:val="IPPArialTable"/>
            </w:pPr>
            <w:r>
              <w:rPr>
                <w:rStyle w:val="PleaseReviewParagraphId"/>
                <w:b w:val="off"/>
                <w:i w:val="off"/>
              </w:rPr>
              <w:t>[235]</w:t>
            </w:r>
            <w:r>
              <w:t xml:space="preserve">1027 bp </w:t>
            </w:r>
          </w:p>
        </w:tc>
      </w:tr>
    </w:tbl>
    <w:p w14:paraId="4CF638E0" w14:textId="7EE5FB99">
      <w:pPr>
        <w:pStyle w:val="IPPArialFootnote"/>
        <w:rPr>
          <w:rStyle w:val="PleaseReviewParagraphId"/>
          <w:rFonts w:eastAsia="MS Mincho"/>
          <w:color w:val="auto"/>
        </w:rPr>
      </w:pPr>
      <w:r>
        <w:rPr>
          <w:rStyle w:val="PleaseReviewParagraphId"/>
          <w:b w:val="off"/>
          <w:i w:val="off"/>
        </w:rPr>
        <w:t>[236]</w:t>
      </w:r>
      <w:r>
        <w:rPr>
          <w:rStyle w:val="PleaseReviewParagraphId"/>
          <w:color w:val="auto"/>
          <w:vertAlign w:val="superscript"/>
        </w:rPr>
        <w:t>i</w:t>
      </w:r>
      <w:r>
        <w:rPr>
          <w:rStyle w:val="PleaseReviewParagraphId"/>
          <w:color w:val="auto"/>
        </w:rPr>
        <w:t xml:space="preserve"> For a final reaction volume of 40 </w:t>
      </w:r>
      <w:r>
        <w:rPr>
          <w:rStyle w:val="PleaseReviewParagraphId"/>
          <w:rFonts w:cs="Arial"/>
          <w:color w:val="auto"/>
        </w:rPr>
        <w:t>µ</w:t>
      </w:r>
      <w:r>
        <w:rPr>
          <w:rStyle w:val="PleaseReviewParagraphId"/>
          <w:color w:val="auto"/>
        </w:rPr>
        <w:t>L.</w:t>
      </w:r>
    </w:p>
    <w:p w14:paraId="199E99C3" w14:textId="1BC7603F">
      <w:pPr>
        <w:pStyle w:val="IPPArialFootnote"/>
        <w:spacing w:after="180"/>
        <w:rPr>
          <w:rStyle w:val="PleaseReviewParagraphId"/>
          <w:rFonts w:eastAsia="MS Mincho"/>
          <w:color w:val="auto"/>
        </w:rPr>
      </w:pPr>
      <w:r>
        <w:rPr>
          <w:rStyle w:val="PleaseReviewParagraphId"/>
          <w:b w:val="off"/>
          <w:i w:val="off"/>
        </w:rPr>
        <w:t>[237]</w:t>
      </w:r>
      <w:r>
        <w:rPr>
          <w:rStyle w:val="PleaseReviewParagraphId"/>
          <w:color w:val="auto"/>
        </w:rPr>
        <w:t>bp, base pairs; PCR, polymerase chain reaction.</w:t>
      </w:r>
    </w:p>
    <w:p w14:paraId="0E8EC9D3" w14:textId="5DF6694D">
      <w:pPr>
        <w:pStyle w:val="IPPHeading2"/>
      </w:pPr>
      <w:r>
        <w:rPr>
          <w:rStyle w:val="PleaseReviewParagraphId"/>
          <w:b w:val="off"/>
          <w:i w:val="off"/>
        </w:rPr>
        <w:t>[238]</w:t>
      </w:r>
      <w:r>
        <w:t>3.4.4</w:t>
        <w:tab/>
        <w:t>Real</w:t>
      </w:r>
      <w:r>
        <w:rPr>
          <w:lang w:eastAsia="zh-CN"/>
        </w:rPr>
        <w:t>-t</w:t>
      </w:r>
      <w:r>
        <w:t>ime PCR</w:t>
      </w:r>
    </w:p>
    <w:p w14:paraId="16E15BA0" w14:textId="1C9EBACF">
      <w:pPr>
        <w:pStyle w:val="IPPParagraphnumbering"/>
        <w:numPr>
          <w:ilvl w:val="0"/>
          <w:numId w:val="0"/>
        </w:numPr>
        <w:rPr>
          <w:lang w:val="en-GB"/>
        </w:rPr>
      </w:pPr>
      <w:r>
        <w:rPr>
          <w:rStyle w:val="PleaseReviewParagraphId"/>
          <w:b w:val="off"/>
          <w:i w:val="off"/>
        </w:rPr>
        <w:t>[239]</w:t>
      </w:r>
      <w:r>
        <w:rPr>
          <w:lang w:val="en-GB"/>
        </w:rPr>
        <w:t>Real</w:t>
      </w:r>
      <w:r>
        <w:rPr>
          <w:lang w:val="en-GB" w:eastAsia="zh-CN"/>
        </w:rPr>
        <w:t>-t</w:t>
      </w:r>
      <w:r>
        <w:rPr>
          <w:lang w:val="en-GB"/>
        </w:rPr>
        <w:t>ime PCR is an efficient technique for early detection of ‘</w:t>
      </w:r>
      <w:r>
        <w:rPr>
          <w:i/>
          <w:iCs/>
          <w:lang w:val="en-GB"/>
        </w:rPr>
        <w:t>Ca. </w:t>
      </w:r>
      <w:r>
        <w:rPr>
          <w:lang w:val="en-GB"/>
        </w:rPr>
        <w:t xml:space="preserve">Liberibacter’ spp. in both symptomatic and asymptomatic trees (Li </w:t>
      </w:r>
      <w:r>
        <w:rPr>
          <w:i/>
          <w:lang w:val="en-GB" w:eastAsia="zh-CN"/>
        </w:rPr>
        <w:t>et</w:t>
      </w:r>
      <w:r>
        <w:rPr>
          <w:rFonts w:eastAsia="Calibri"/>
          <w:i/>
          <w:lang w:val="en-GB" w:eastAsia="es-ES"/>
        </w:rPr>
        <w:t> </w:t>
      </w:r>
      <w:r>
        <w:rPr>
          <w:i/>
          <w:lang w:val="en-GB" w:eastAsia="zh-CN"/>
        </w:rPr>
        <w:t>al.</w:t>
      </w:r>
      <w:r>
        <w:rPr>
          <w:iCs/>
          <w:lang w:val="en-GB" w:eastAsia="zh-CN"/>
        </w:rPr>
        <w:t>,</w:t>
      </w:r>
      <w:r>
        <w:rPr>
          <w:lang w:val="en-GB" w:eastAsia="zh-CN"/>
        </w:rPr>
        <w:t xml:space="preserve"> </w:t>
      </w:r>
      <w:r>
        <w:rPr>
          <w:lang w:val="en-GB"/>
        </w:rPr>
        <w:t>2006</w:t>
      </w:r>
      <w:r>
        <w:rPr>
          <w:lang w:val="en-GB" w:eastAsia="zh-CN"/>
        </w:rPr>
        <w:t xml:space="preserve">). </w:t>
      </w:r>
    </w:p>
    <w:p w14:paraId="5E84D6E6" w14:textId="1975737C">
      <w:pPr>
        <w:pStyle w:val="IPPParagraphnumbering"/>
        <w:numPr>
          <w:ilvl w:val="0"/>
          <w:numId w:val="0"/>
        </w:numPr>
        <w:rPr>
          <w:rFonts w:ascii="AdvPSSAB-R" w:hAnsi="AdvPSSAB-R" w:eastAsia="Times New Roman" w:cs="AdvPSSAB-R"/>
          <w:szCs w:val="22"/>
          <w:lang w:val="en-GB" w:eastAsia="es-ES"/>
        </w:rPr>
      </w:pPr>
      <w:r>
        <w:rPr>
          <w:rStyle w:val="PleaseReviewParagraphId"/>
          <w:b w:val="off"/>
          <w:i w:val="off"/>
        </w:rPr>
        <w:t>[240]</w:t>
      </w:r>
      <w:r>
        <w:rPr>
          <w:lang w:val="en-GB"/>
        </w:rPr>
        <w:t xml:space="preserve">Li, </w:t>
      </w:r>
      <w:r>
        <w:rPr>
          <w:bCs/>
          <w:szCs w:val="22"/>
          <w:lang w:val="en-GB" w:eastAsia="es-ES"/>
        </w:rPr>
        <w:t>Hartung and Levy</w:t>
      </w:r>
      <w:r>
        <w:rPr>
          <w:lang w:val="en-GB"/>
        </w:rPr>
        <w:t xml:space="preserve"> (2007) reported that real-time PCR could detect down to 10</w:t>
      </w:r>
      <w:r>
        <w:rPr>
          <w:vertAlign w:val="superscript"/>
          <w:lang w:val="en-GB"/>
        </w:rPr>
        <w:t>-5</w:t>
      </w:r>
      <w:r>
        <w:rPr>
          <w:lang w:val="en-GB"/>
        </w:rPr>
        <w:t xml:space="preserve"> dilutions of DNA extracts obtained from 200 mg of midrib</w:t>
      </w:r>
      <w:r>
        <w:rPr>
          <w:lang w:val="en-GB" w:eastAsia="zh-CN"/>
        </w:rPr>
        <w:t>s</w:t>
      </w:r>
      <w:r>
        <w:rPr>
          <w:lang w:val="en-GB"/>
        </w:rPr>
        <w:t xml:space="preserve"> from infected plants. Wang </w:t>
      </w:r>
      <w:r>
        <w:rPr>
          <w:i/>
          <w:lang w:val="en-GB"/>
        </w:rPr>
        <w:t>et</w:t>
      </w:r>
      <w:r>
        <w:rPr>
          <w:rFonts w:eastAsia="Calibri"/>
          <w:i/>
          <w:szCs w:val="22"/>
          <w:lang w:val="en-GB" w:eastAsia="es-ES"/>
        </w:rPr>
        <w:t> </w:t>
      </w:r>
      <w:r>
        <w:rPr>
          <w:i/>
          <w:lang w:val="en-GB"/>
        </w:rPr>
        <w:t>al</w:t>
      </w:r>
      <w:r>
        <w:rPr>
          <w:lang w:val="en-GB"/>
        </w:rPr>
        <w:t xml:space="preserve">. </w:t>
      </w:r>
      <w:r>
        <w:rPr>
          <w:rFonts w:eastAsia="SimSun"/>
          <w:lang w:val="en-GB" w:eastAsia="zh-CN"/>
        </w:rPr>
        <w:t>(</w:t>
      </w:r>
      <w:r>
        <w:rPr>
          <w:lang w:val="en-GB"/>
        </w:rPr>
        <w:t>2006</w:t>
      </w:r>
      <w:r>
        <w:rPr>
          <w:rFonts w:eastAsia="SimSun"/>
          <w:lang w:val="en-GB" w:eastAsia="zh-CN"/>
        </w:rPr>
        <w:t>)</w:t>
      </w:r>
      <w:r>
        <w:rPr>
          <w:i/>
          <w:iCs/>
          <w:lang w:val="en-GB"/>
        </w:rPr>
        <w:t xml:space="preserve"> </w:t>
      </w:r>
      <w:r>
        <w:rPr>
          <w:lang w:val="en-GB"/>
        </w:rPr>
        <w:t>quantified the detection sensitivity of real-time PCR as 4.39 fg/µ</w:t>
      </w:r>
      <w:r>
        <w:rPr>
          <w:rFonts w:eastAsia="SimSun"/>
          <w:lang w:val="en-GB" w:eastAsia="zh-CN"/>
        </w:rPr>
        <w:t xml:space="preserve">L </w:t>
      </w:r>
      <w:r>
        <w:rPr>
          <w:lang w:val="en-GB"/>
        </w:rPr>
        <w:t>DNA extract from infected plants.</w:t>
      </w:r>
      <w:r>
        <w:rPr>
          <w:rFonts w:ascii="AdvPSSAB-R" w:hAnsi="AdvPSSAB-R" w:eastAsia="Times New Roman" w:cs="AdvPSSAB-R"/>
          <w:szCs w:val="22"/>
          <w:lang w:val="en-GB" w:eastAsia="es-ES"/>
        </w:rPr>
        <w:t xml:space="preserve"> The real-time PCR method of Bertolini </w:t>
      </w:r>
      <w:r>
        <w:rPr>
          <w:rFonts w:ascii="AdvPSSAB-R" w:hAnsi="AdvPSSAB-R" w:eastAsia="Times New Roman" w:cs="AdvPSSAB-R"/>
          <w:i/>
          <w:szCs w:val="22"/>
          <w:lang w:val="en-GB" w:eastAsia="es-ES"/>
        </w:rPr>
        <w:t>et</w:t>
      </w:r>
      <w:r>
        <w:rPr>
          <w:rFonts w:eastAsia="Calibri"/>
          <w:i/>
          <w:szCs w:val="22"/>
          <w:lang w:val="en-GB" w:eastAsia="es-ES"/>
        </w:rPr>
        <w:t> </w:t>
      </w:r>
      <w:r>
        <w:rPr>
          <w:rFonts w:ascii="AdvPSSAB-R" w:hAnsi="AdvPSSAB-R" w:eastAsia="Times New Roman" w:cs="AdvPSSAB-R"/>
          <w:i/>
          <w:szCs w:val="22"/>
          <w:lang w:val="en-GB" w:eastAsia="es-ES"/>
        </w:rPr>
        <w:t xml:space="preserve">al. </w:t>
      </w:r>
      <w:r>
        <w:rPr>
          <w:rFonts w:ascii="AdvPSSAB-R" w:hAnsi="AdvPSSAB-R" w:eastAsia="Times New Roman" w:cs="AdvPSSAB-R"/>
          <w:szCs w:val="22"/>
          <w:lang w:val="en-GB" w:eastAsia="es-ES"/>
        </w:rPr>
        <w:t>(2014) showed similar sensitivity for ‘</w:t>
      </w:r>
      <w:r>
        <w:rPr>
          <w:rFonts w:ascii="AdvPSSAB-I" w:hAnsi="AdvPSSAB-I" w:eastAsia="Times New Roman" w:cs="AdvPSSAB-I"/>
          <w:i/>
          <w:iCs/>
          <w:szCs w:val="22"/>
          <w:lang w:val="en-GB" w:eastAsia="es-ES"/>
        </w:rPr>
        <w:t>Ca.</w:t>
      </w:r>
      <w:r>
        <w:rPr>
          <w:rFonts w:ascii="AdvPSSAB-I" w:hAnsi="AdvPSSAB-I" w:eastAsia="Times New Roman" w:cs="AdvPSSAB-I"/>
          <w:szCs w:val="22"/>
          <w:lang w:val="en-GB" w:eastAsia="es-ES"/>
        </w:rPr>
        <w:t xml:space="preserve"> </w:t>
      </w:r>
      <w:r>
        <w:rPr>
          <w:rFonts w:ascii="AdvPSSAB-R" w:hAnsi="AdvPSSAB-R" w:eastAsia="Times New Roman" w:cs="AdvPSSAB-R"/>
          <w:szCs w:val="22"/>
          <w:lang w:val="en-GB" w:eastAsia="es-ES"/>
        </w:rPr>
        <w:t xml:space="preserve">Liberibacter’ spp. detection, as did the method of Li </w:t>
      </w:r>
      <w:r>
        <w:rPr>
          <w:rFonts w:ascii="AdvPSSAB-I" w:hAnsi="AdvPSSAB-I" w:eastAsia="Times New Roman" w:cs="AdvPSSAB-I"/>
          <w:i/>
          <w:iCs/>
          <w:szCs w:val="22"/>
          <w:lang w:val="en-GB" w:eastAsia="es-ES"/>
        </w:rPr>
        <w:t>et al.</w:t>
      </w:r>
      <w:r>
        <w:rPr>
          <w:rFonts w:ascii="AdvPSSAB-I" w:hAnsi="AdvPSSAB-I" w:eastAsia="Times New Roman" w:cs="AdvPSSAB-I"/>
          <w:szCs w:val="22"/>
          <w:lang w:val="en-GB" w:eastAsia="es-ES"/>
        </w:rPr>
        <w:t xml:space="preserve"> </w:t>
      </w:r>
      <w:r>
        <w:rPr>
          <w:rFonts w:ascii="AdvPSSAB-R" w:hAnsi="AdvPSSAB-R" w:eastAsia="Times New Roman" w:cs="AdvPSSAB-R"/>
          <w:szCs w:val="22"/>
          <w:lang w:val="en-GB" w:eastAsia="es-ES"/>
        </w:rPr>
        <w:t>(2006).</w:t>
      </w:r>
    </w:p>
    <w:p w14:paraId="76BB8368" w14:textId="49DC1C69">
      <w:pPr>
        <w:pStyle w:val="IPPHeading3"/>
      </w:pPr>
      <w:r>
        <w:rPr>
          <w:rStyle w:val="PleaseReviewParagraphId"/>
          <w:b w:val="off"/>
          <w:i w:val="off"/>
        </w:rPr>
        <w:t>[241]</w:t>
      </w:r>
      <w:r>
        <w:rPr>
          <w:lang w:eastAsia="es-ES"/>
        </w:rPr>
        <w:t>3.4.4.1</w:t>
        <w:tab/>
        <w:t xml:space="preserve">Real-time PCR using the primers and probes of </w:t>
      </w:r>
      <w:r>
        <w:t xml:space="preserve">Li </w:t>
      </w:r>
      <w:r>
        <w:rPr>
          <w:i w:val="0"/>
          <w:iCs/>
          <w:lang w:eastAsia="zh-CN"/>
        </w:rPr>
        <w:t>et</w:t>
      </w:r>
      <w:r>
        <w:rPr>
          <w:rFonts w:eastAsia="Calibri"/>
          <w:i w:val="0"/>
          <w:iCs/>
          <w:lang w:eastAsia="es-ES"/>
        </w:rPr>
        <w:t> </w:t>
      </w:r>
      <w:r>
        <w:rPr>
          <w:i w:val="0"/>
          <w:iCs/>
          <w:lang w:eastAsia="zh-CN"/>
        </w:rPr>
        <w:t>al.</w:t>
      </w:r>
      <w:r>
        <w:rPr>
          <w:lang w:eastAsia="zh-CN"/>
        </w:rPr>
        <w:t xml:space="preserve"> (</w:t>
      </w:r>
      <w:r>
        <w:t>2006</w:t>
      </w:r>
      <w:r>
        <w:rPr>
          <w:lang w:eastAsia="zh-CN"/>
        </w:rPr>
        <w:t>)</w:t>
      </w:r>
    </w:p>
    <w:p w14:paraId="12AD31C8" w14:textId="2B59B23F">
      <w:pPr>
        <w:pStyle w:val="IPPParagraphnumbering"/>
        <w:numPr>
          <w:ilvl w:val="0"/>
          <w:numId w:val="0"/>
        </w:numPr>
        <w:rPr>
          <w:szCs w:val="22"/>
          <w:lang w:val="en-GB"/>
        </w:rPr>
      </w:pPr>
      <w:r>
        <w:rPr>
          <w:rStyle w:val="PleaseReviewParagraphId"/>
          <w:b w:val="off"/>
          <w:i w:val="off"/>
        </w:rPr>
        <w:t>[242]</w:t>
      </w:r>
      <w:r>
        <w:rPr>
          <w:szCs w:val="22"/>
          <w:lang w:val="en-GB"/>
        </w:rPr>
        <w:t>This multiplex, real-time PCR method allows the detection of each of the three ‘</w:t>
      </w:r>
      <w:r>
        <w:rPr>
          <w:i/>
          <w:iCs/>
          <w:szCs w:val="22"/>
          <w:lang w:val="en-GB"/>
        </w:rPr>
        <w:t>Ca.</w:t>
      </w:r>
      <w:r>
        <w:rPr>
          <w:szCs w:val="22"/>
          <w:lang w:val="en-GB"/>
        </w:rPr>
        <w:t xml:space="preserve"> Liberibacter’ </w:t>
      </w:r>
      <w:r>
        <w:rPr>
          <w:szCs w:val="22"/>
          <w:lang w:val="en-GB" w:eastAsia="zh-CN"/>
        </w:rPr>
        <w:t xml:space="preserve">species in plant tissue and in psyllids. </w:t>
      </w:r>
      <w:r>
        <w:rPr>
          <w:rFonts w:eastAsia="Times New Roman"/>
          <w:szCs w:val="22"/>
          <w:lang w:val="en-GB" w:eastAsia="es-ES"/>
        </w:rPr>
        <w:t>It i</w:t>
      </w:r>
      <w:r>
        <w:rPr>
          <w:szCs w:val="22"/>
          <w:lang w:val="en-GB"/>
        </w:rPr>
        <w:t>s based on combinations of three species-specific forward primers, a reverse primer common to all three ‘</w:t>
      </w:r>
      <w:r>
        <w:rPr>
          <w:i/>
          <w:iCs/>
          <w:szCs w:val="22"/>
          <w:lang w:val="en-GB"/>
        </w:rPr>
        <w:t>Ca.</w:t>
      </w:r>
      <w:r>
        <w:rPr>
          <w:szCs w:val="22"/>
          <w:lang w:val="en-GB"/>
        </w:rPr>
        <w:t xml:space="preserve"> Liberibacter’ species and a </w:t>
      </w:r>
      <w:r>
        <w:rPr>
          <w:iCs/>
          <w:szCs w:val="22"/>
          <w:lang w:val="en-GB"/>
        </w:rPr>
        <w:t>Taq</w:t>
      </w:r>
      <w:r>
        <w:rPr>
          <w:szCs w:val="22"/>
          <w:lang w:val="en-GB"/>
        </w:rPr>
        <w:t xml:space="preserve">Man probe that anneals to the amplicon of each of the three species associated with HLB. The method can be further multiplexed with internal controls for plant and psyllid tissue. Li </w:t>
      </w:r>
      <w:r>
        <w:rPr>
          <w:i/>
          <w:iCs/>
          <w:szCs w:val="22"/>
          <w:lang w:val="en-GB"/>
        </w:rPr>
        <w:t>et</w:t>
      </w:r>
      <w:r>
        <w:rPr>
          <w:rFonts w:eastAsia="Calibri"/>
          <w:i/>
          <w:iCs/>
          <w:szCs w:val="22"/>
          <w:lang w:val="en-GB" w:eastAsia="es-ES"/>
        </w:rPr>
        <w:t> </w:t>
      </w:r>
      <w:r>
        <w:rPr>
          <w:i/>
          <w:iCs/>
          <w:szCs w:val="22"/>
          <w:lang w:val="en-GB"/>
        </w:rPr>
        <w:t>al.</w:t>
      </w:r>
      <w:r>
        <w:rPr>
          <w:szCs w:val="22"/>
          <w:lang w:val="en-GB"/>
        </w:rPr>
        <w:t xml:space="preserve"> (2006) observed no substantial differences in Ct values when internal and target primers and probes were multiplexed for the detection of ‘</w:t>
      </w:r>
      <w:r>
        <w:rPr>
          <w:i/>
          <w:iCs/>
          <w:szCs w:val="22"/>
          <w:lang w:val="en-GB"/>
        </w:rPr>
        <w:t>Ca.</w:t>
      </w:r>
      <w:r>
        <w:rPr>
          <w:szCs w:val="22"/>
          <w:lang w:val="en-GB"/>
        </w:rPr>
        <w:t> Liberibacter’ spp.</w:t>
      </w:r>
    </w:p>
    <w:p w14:paraId="195B8905" w14:textId="14B5243D">
      <w:pPr>
        <w:pStyle w:val="IPPParagraphnumbering"/>
        <w:numPr>
          <w:ilvl w:val="0"/>
          <w:numId w:val="0"/>
        </w:numPr>
        <w:rPr>
          <w:szCs w:val="22"/>
          <w:lang w:val="en-GB"/>
        </w:rPr>
      </w:pPr>
      <w:r>
        <w:rPr>
          <w:rStyle w:val="PleaseReviewParagraphId"/>
          <w:b w:val="off"/>
          <w:i w:val="off"/>
        </w:rPr>
        <w:t>[243]</w:t>
      </w:r>
      <w:r>
        <w:rPr>
          <w:szCs w:val="22"/>
          <w:lang w:val="en-GB"/>
        </w:rPr>
        <w:t xml:space="preserve">Li </w:t>
      </w:r>
      <w:r>
        <w:rPr>
          <w:i/>
          <w:iCs/>
          <w:szCs w:val="22"/>
          <w:lang w:val="en-GB"/>
        </w:rPr>
        <w:t>et</w:t>
      </w:r>
      <w:r>
        <w:rPr>
          <w:rFonts w:eastAsia="Calibri"/>
          <w:i/>
          <w:iCs/>
          <w:szCs w:val="22"/>
          <w:lang w:val="en-GB" w:eastAsia="es-ES"/>
        </w:rPr>
        <w:t> </w:t>
      </w:r>
      <w:r>
        <w:rPr>
          <w:i/>
          <w:iCs/>
          <w:szCs w:val="22"/>
          <w:lang w:val="en-GB"/>
        </w:rPr>
        <w:t>al.</w:t>
      </w:r>
      <w:r>
        <w:rPr>
          <w:szCs w:val="22"/>
          <w:lang w:val="en-GB"/>
        </w:rPr>
        <w:t xml:space="preserve"> (2006) determined that the primer–probe set HLBaspr (HLBas/HLBp/HLBr) detects ‘</w:t>
      </w:r>
      <w:r>
        <w:rPr>
          <w:i/>
          <w:iCs/>
          <w:szCs w:val="22"/>
          <w:lang w:val="en-GB"/>
        </w:rPr>
        <w:t>Ca.</w:t>
      </w:r>
      <w:r>
        <w:rPr>
          <w:szCs w:val="22"/>
          <w:lang w:val="en-GB"/>
        </w:rPr>
        <w:t> L. asiaticus’ and the primer–probe set HLBafpr (HLBaf/HLBp/HLBr) detects ‘</w:t>
      </w:r>
      <w:r>
        <w:rPr>
          <w:i/>
          <w:iCs/>
          <w:szCs w:val="22"/>
          <w:lang w:val="en-GB"/>
        </w:rPr>
        <w:t>Ca. </w:t>
      </w:r>
      <w:r>
        <w:rPr>
          <w:szCs w:val="22"/>
          <w:lang w:val="en-GB"/>
        </w:rPr>
        <w:t>L. africanus’. The primer–probe set HLBaspr can detect ‘</w:t>
      </w:r>
      <w:r>
        <w:rPr>
          <w:i/>
          <w:iCs/>
          <w:szCs w:val="22"/>
          <w:lang w:val="en-GB"/>
        </w:rPr>
        <w:t>Ca. </w:t>
      </w:r>
      <w:r>
        <w:rPr>
          <w:szCs w:val="22"/>
          <w:lang w:val="en-GB"/>
        </w:rPr>
        <w:t>L. africanus’ and HLBafpr can detect ‘</w:t>
      </w:r>
      <w:r>
        <w:rPr>
          <w:i/>
          <w:iCs/>
          <w:szCs w:val="22"/>
          <w:lang w:val="en-GB"/>
        </w:rPr>
        <w:t>Ca. </w:t>
      </w:r>
      <w:r>
        <w:rPr>
          <w:szCs w:val="22"/>
          <w:lang w:val="en-GB"/>
        </w:rPr>
        <w:t>L. asiaticus’, but with higher Ct values. The primer–probe set HLBampr (HLBam/HLBp/HLBr) detects ‘</w:t>
      </w:r>
      <w:r>
        <w:rPr>
          <w:i/>
          <w:iCs/>
          <w:szCs w:val="22"/>
          <w:lang w:val="en-GB"/>
        </w:rPr>
        <w:t>Ca. </w:t>
      </w:r>
      <w:r>
        <w:rPr>
          <w:szCs w:val="22"/>
          <w:lang w:val="en-GB"/>
        </w:rPr>
        <w:t>L. americanus’ but not</w:t>
      </w:r>
      <w:r>
        <w:rPr>
          <w:szCs w:val="22"/>
          <w:lang w:val="en-GB" w:eastAsia="zh-CN"/>
        </w:rPr>
        <w:t xml:space="preserve"> ‘</w:t>
      </w:r>
      <w:r>
        <w:rPr>
          <w:i/>
          <w:iCs/>
          <w:szCs w:val="22"/>
          <w:lang w:val="en-GB" w:eastAsia="zh-CN"/>
        </w:rPr>
        <w:t>Ca. </w:t>
      </w:r>
      <w:r>
        <w:rPr>
          <w:szCs w:val="22"/>
          <w:lang w:val="en-GB"/>
        </w:rPr>
        <w:t>L. africanus’ or ‘</w:t>
      </w:r>
      <w:r>
        <w:rPr>
          <w:i/>
          <w:iCs/>
          <w:szCs w:val="22"/>
          <w:lang w:val="en-GB"/>
        </w:rPr>
        <w:t>Ca. </w:t>
      </w:r>
      <w:r>
        <w:rPr>
          <w:szCs w:val="22"/>
          <w:lang w:val="en-GB"/>
        </w:rPr>
        <w:t>L. asiaticus’. No amplificat</w:t>
      </w:r>
      <w:r>
        <w:rPr>
          <w:szCs w:val="22"/>
          <w:lang w:val="en-GB" w:eastAsia="zh-CN"/>
        </w:rPr>
        <w:t>ion</w:t>
      </w:r>
      <w:r>
        <w:rPr>
          <w:szCs w:val="22"/>
          <w:lang w:val="en-GB"/>
        </w:rPr>
        <w:t xml:space="preserve"> </w:t>
      </w:r>
      <w:r>
        <w:rPr>
          <w:rFonts w:eastAsia="SimSun"/>
          <w:szCs w:val="22"/>
          <w:lang w:val="en-GB" w:eastAsia="zh-CN"/>
        </w:rPr>
        <w:t>wa</w:t>
      </w:r>
      <w:r>
        <w:rPr>
          <w:szCs w:val="22"/>
          <w:lang w:val="en-GB"/>
        </w:rPr>
        <w:t xml:space="preserve">s obtained when the method was used on </w:t>
      </w:r>
      <w:r>
        <w:rPr>
          <w:i/>
          <w:iCs/>
          <w:lang w:val="en-GB"/>
        </w:rPr>
        <w:t>Citrus tristeza virus</w:t>
      </w:r>
      <w:r>
        <w:rPr>
          <w:szCs w:val="22"/>
          <w:lang w:val="en-GB"/>
        </w:rPr>
        <w:t xml:space="preserve"> and </w:t>
      </w:r>
      <w:r>
        <w:rPr>
          <w:i/>
          <w:iCs/>
          <w:szCs w:val="22"/>
          <w:lang w:val="en-GB"/>
        </w:rPr>
        <w:t>Curtobacterium</w:t>
      </w:r>
      <w:r>
        <w:rPr>
          <w:szCs w:val="22"/>
          <w:lang w:val="en-GB"/>
        </w:rPr>
        <w:t xml:space="preserve"> </w:t>
      </w:r>
      <w:r>
        <w:rPr>
          <w:i/>
          <w:iCs/>
          <w:szCs w:val="22"/>
          <w:lang w:val="en-GB"/>
        </w:rPr>
        <w:t>flaccumfaciens</w:t>
      </w:r>
      <w:r>
        <w:rPr>
          <w:szCs w:val="22"/>
          <w:lang w:val="en-GB"/>
        </w:rPr>
        <w:t xml:space="preserve"> strain ER1/6, </w:t>
      </w:r>
      <w:r>
        <w:rPr>
          <w:i/>
          <w:iCs/>
          <w:szCs w:val="22"/>
          <w:lang w:val="en-GB"/>
        </w:rPr>
        <w:lastRenderedPageBreak/>
        <w:t>P</w:t>
      </w:r>
      <w:r>
        <w:rPr>
          <w:rFonts w:eastAsia="SimSun"/>
          <w:i/>
          <w:iCs/>
          <w:szCs w:val="22"/>
          <w:lang w:val="en-GB" w:eastAsia="zh-CN"/>
        </w:rPr>
        <w:t>. </w:t>
      </w:r>
      <w:r>
        <w:rPr>
          <w:i/>
          <w:iCs/>
          <w:szCs w:val="22"/>
          <w:lang w:val="en-GB"/>
        </w:rPr>
        <w:t>citricola</w:t>
      </w:r>
      <w:r>
        <w:rPr>
          <w:szCs w:val="22"/>
          <w:lang w:val="en-GB"/>
        </w:rPr>
        <w:t xml:space="preserve"> I 22F3, </w:t>
      </w:r>
      <w:r>
        <w:rPr>
          <w:i/>
          <w:iCs/>
          <w:szCs w:val="22"/>
          <w:lang w:val="en-GB"/>
        </w:rPr>
        <w:t>P</w:t>
      </w:r>
      <w:r>
        <w:rPr>
          <w:rFonts w:eastAsia="SimSun"/>
          <w:i/>
          <w:iCs/>
          <w:szCs w:val="22"/>
          <w:lang w:val="en-GB" w:eastAsia="zh-CN"/>
        </w:rPr>
        <w:t>. </w:t>
      </w:r>
      <w:r>
        <w:rPr>
          <w:i/>
          <w:iCs/>
          <w:szCs w:val="22"/>
          <w:lang w:val="en-GB"/>
        </w:rPr>
        <w:t>citrophthora</w:t>
      </w:r>
      <w:r>
        <w:rPr>
          <w:szCs w:val="22"/>
          <w:lang w:val="en-GB"/>
        </w:rPr>
        <w:t xml:space="preserve"> I 1E4, </w:t>
      </w:r>
      <w:r>
        <w:rPr>
          <w:i/>
          <w:iCs/>
          <w:szCs w:val="22"/>
          <w:lang w:val="en-GB"/>
        </w:rPr>
        <w:t>X</w:t>
      </w:r>
      <w:r>
        <w:rPr>
          <w:rFonts w:eastAsia="SimSun"/>
          <w:i/>
          <w:iCs/>
          <w:szCs w:val="22"/>
          <w:lang w:val="en-GB" w:eastAsia="zh-CN"/>
        </w:rPr>
        <w:t>. </w:t>
      </w:r>
      <w:r>
        <w:rPr>
          <w:i/>
          <w:iCs/>
          <w:szCs w:val="22"/>
          <w:lang w:val="en-GB"/>
        </w:rPr>
        <w:t>fastidiosa</w:t>
      </w:r>
      <w:r>
        <w:rPr>
          <w:szCs w:val="22"/>
          <w:lang w:val="en-GB"/>
        </w:rPr>
        <w:t xml:space="preserve">, </w:t>
      </w:r>
      <w:r>
        <w:rPr>
          <w:i/>
          <w:iCs/>
          <w:szCs w:val="22"/>
          <w:lang w:val="en-GB"/>
        </w:rPr>
        <w:t>X</w:t>
      </w:r>
      <w:r>
        <w:rPr>
          <w:rFonts w:eastAsia="SimSun"/>
          <w:i/>
          <w:iCs/>
          <w:szCs w:val="22"/>
          <w:lang w:val="en-GB" w:eastAsia="zh-CN"/>
        </w:rPr>
        <w:t>. </w:t>
      </w:r>
      <w:r>
        <w:rPr>
          <w:i/>
          <w:iCs/>
          <w:szCs w:val="22"/>
          <w:lang w:val="en-GB"/>
        </w:rPr>
        <w:t>axonopodis</w:t>
      </w:r>
      <w:r>
        <w:rPr>
          <w:iCs/>
          <w:szCs w:val="22"/>
          <w:lang w:val="en-GB"/>
        </w:rPr>
        <w:t xml:space="preserve"> pv.</w:t>
      </w:r>
      <w:r>
        <w:rPr>
          <w:i/>
          <w:iCs/>
          <w:szCs w:val="22"/>
          <w:lang w:val="en-GB"/>
        </w:rPr>
        <w:t xml:space="preserve"> citri</w:t>
      </w:r>
      <w:r>
        <w:rPr>
          <w:szCs w:val="22"/>
          <w:lang w:val="en-GB"/>
        </w:rPr>
        <w:t xml:space="preserve"> strain A, (Li </w:t>
      </w:r>
      <w:r>
        <w:rPr>
          <w:i/>
          <w:iCs/>
          <w:szCs w:val="22"/>
          <w:lang w:val="en-GB"/>
        </w:rPr>
        <w:t>et</w:t>
      </w:r>
      <w:r>
        <w:rPr>
          <w:rFonts w:eastAsia="Calibri"/>
          <w:i/>
          <w:iCs/>
          <w:szCs w:val="22"/>
          <w:lang w:val="en-GB" w:eastAsia="es-ES"/>
        </w:rPr>
        <w:t> </w:t>
      </w:r>
      <w:r>
        <w:rPr>
          <w:i/>
          <w:iCs/>
          <w:szCs w:val="22"/>
          <w:lang w:val="en-GB"/>
        </w:rPr>
        <w:t>al.</w:t>
      </w:r>
      <w:r>
        <w:rPr>
          <w:szCs w:val="22"/>
          <w:lang w:val="en-GB"/>
        </w:rPr>
        <w:t xml:space="preserve">, 2006). </w:t>
      </w:r>
    </w:p>
    <w:p w14:paraId="67A4439B" w14:textId="577C3003">
      <w:pPr>
        <w:pStyle w:val="IPPParagraphnumbering"/>
        <w:numPr>
          <w:ilvl w:val="0"/>
          <w:numId w:val="0"/>
        </w:numPr>
        <w:rPr>
          <w:szCs w:val="22"/>
          <w:lang w:val="en-GB"/>
        </w:rPr>
      </w:pPr>
      <w:r>
        <w:rPr>
          <w:rStyle w:val="PleaseReviewParagraphId"/>
          <w:b w:val="off"/>
          <w:i w:val="off"/>
        </w:rPr>
        <w:t>[244]</w:t>
      </w:r>
      <w:r>
        <w:rPr>
          <w:lang w:val="en-GB"/>
        </w:rPr>
        <w:t xml:space="preserve">This real-time PCR was further validated in a comparative study of the performance of five real-time PCR methods by Cellier </w:t>
      </w:r>
      <w:r>
        <w:rPr>
          <w:i/>
          <w:iCs/>
          <w:lang w:val="en-GB"/>
        </w:rPr>
        <w:t>et</w:t>
      </w:r>
      <w:r>
        <w:rPr>
          <w:rFonts w:eastAsia="Calibri"/>
          <w:i/>
          <w:iCs/>
          <w:szCs w:val="22"/>
          <w:lang w:val="en-GB" w:eastAsia="es-ES"/>
        </w:rPr>
        <w:t> </w:t>
      </w:r>
      <w:r>
        <w:rPr>
          <w:i/>
          <w:iCs/>
          <w:lang w:val="en-GB"/>
        </w:rPr>
        <w:t>al.</w:t>
      </w:r>
      <w:r>
        <w:rPr>
          <w:lang w:val="en-GB"/>
        </w:rPr>
        <w:t xml:space="preserve"> (2020) and was shown to be the best method for asiaticus and africanus detection. The sensitivity of the method (the analytical sensitivity) is such that it can detect down to 10</w:t>
      </w:r>
      <w:r>
        <w:rPr>
          <w:vertAlign w:val="superscript"/>
          <w:lang w:val="en-GB"/>
        </w:rPr>
        <w:t xml:space="preserve">₋5 </w:t>
      </w:r>
      <w:r>
        <w:rPr>
          <w:lang w:val="en-GB"/>
        </w:rPr>
        <w:t xml:space="preserve">dilutions of DNA extracts obtained from infected </w:t>
      </w:r>
      <w:r>
        <w:rPr>
          <w:i/>
          <w:lang w:val="en-GB"/>
        </w:rPr>
        <w:t>Citrus</w:t>
      </w:r>
      <w:r>
        <w:rPr>
          <w:lang w:val="en-GB"/>
        </w:rPr>
        <w:t xml:space="preserve"> plants (Li </w:t>
      </w:r>
      <w:r>
        <w:rPr>
          <w:i/>
          <w:iCs/>
          <w:lang w:val="en-GB"/>
        </w:rPr>
        <w:t>et</w:t>
      </w:r>
      <w:r>
        <w:rPr>
          <w:rFonts w:eastAsia="Calibri"/>
          <w:i/>
          <w:iCs/>
          <w:szCs w:val="22"/>
          <w:lang w:val="en-GB" w:eastAsia="es-ES"/>
        </w:rPr>
        <w:t> </w:t>
      </w:r>
      <w:r>
        <w:rPr>
          <w:i/>
          <w:iCs/>
          <w:lang w:val="en-GB"/>
        </w:rPr>
        <w:t>al.</w:t>
      </w:r>
      <w:r>
        <w:rPr>
          <w:lang w:val="en-GB"/>
        </w:rPr>
        <w:t xml:space="preserve">, 2006). </w:t>
      </w:r>
    </w:p>
    <w:p w14:paraId="23C27364" w14:textId="3DF68B85">
      <w:pPr>
        <w:pStyle w:val="IPPParagraphnumberingclose"/>
        <w:numPr>
          <w:ilvl w:val="0"/>
          <w:numId w:val="0"/>
        </w:numPr>
        <w:rPr>
          <w:lang w:val="en-GB"/>
        </w:rPr>
      </w:pPr>
      <w:r>
        <w:rPr>
          <w:rStyle w:val="PleaseReviewParagraphId"/>
          <w:b w:val="off"/>
          <w:i w:val="off"/>
        </w:rPr>
        <w:t>[245]</w:t>
      </w:r>
      <w:r>
        <w:rPr>
          <w:lang w:val="en-GB"/>
        </w:rPr>
        <w:t xml:space="preserve">The sequences of the four primers and one </w:t>
      </w:r>
      <w:r>
        <w:rPr>
          <w:iCs/>
          <w:lang w:val="en-GB"/>
        </w:rPr>
        <w:t>Taq</w:t>
      </w:r>
      <w:r>
        <w:rPr>
          <w:lang w:val="en-GB"/>
        </w:rPr>
        <w:t>Man probe, which are based on the 16S rDNA sequences of the three ‘</w:t>
      </w:r>
      <w:r>
        <w:rPr>
          <w:i/>
          <w:iCs/>
          <w:lang w:val="en-GB"/>
        </w:rPr>
        <w:t>Ca.</w:t>
      </w:r>
      <w:r>
        <w:rPr>
          <w:lang w:val="en-GB"/>
        </w:rPr>
        <w:t xml:space="preserve"> Liberibacter’ species, are as follows: </w:t>
      </w:r>
    </w:p>
    <w:p w14:paraId="75D1943F" w14:textId="36534DE6">
      <w:pPr>
        <w:pStyle w:val="IPPIndentClose"/>
        <w:rPr>
          <w:szCs w:val="22"/>
        </w:rPr>
      </w:pPr>
      <w:r>
        <w:rPr>
          <w:rStyle w:val="PleaseReviewParagraphId"/>
          <w:b w:val="off"/>
          <w:i w:val="off"/>
        </w:rPr>
        <w:t>[246]</w:t>
      </w:r>
      <w:r>
        <w:t>Specific to ‘</w:t>
      </w:r>
      <w:r>
        <w:rPr>
          <w:i/>
          <w:iCs/>
        </w:rPr>
        <w:t>Ca. </w:t>
      </w:r>
      <w:r>
        <w:t>Liberibacter asiaticus’:</w:t>
      </w:r>
    </w:p>
    <w:p w14:paraId="04313BB0" w14:textId="77777777">
      <w:pPr>
        <w:pStyle w:val="IPPIndent"/>
        <w:rPr>
          <w:szCs w:val="22"/>
        </w:rPr>
      </w:pPr>
      <w:r>
        <w:rPr>
          <w:rStyle w:val="PleaseReviewParagraphId"/>
          <w:b w:val="off"/>
          <w:i w:val="off"/>
        </w:rPr>
        <w:t>[247]</w:t>
      </w:r>
      <w:r>
        <w:t xml:space="preserve">HLBas (forward primer): </w:t>
      </w:r>
      <w:smartTag w:uri="urn:schemas-microsoft-com:office:smarttags" w:element="metricconverter">
        <w:smartTagPr>
          <w:attr w:name="ProductID" w:val="5’"/>
        </w:smartTagPr>
        <w:r>
          <w:t>5’</w:t>
        </w:r>
      </w:smartTag>
      <w:r>
        <w:t xml:space="preserve"> - TCG AGC GCG TAT GCA ATA CG - </w:t>
      </w:r>
      <w:smartTag w:uri="urn:schemas-microsoft-com:office:smarttags" w:element="metricconverter">
        <w:smartTagPr>
          <w:attr w:name="ProductID" w:val="3’"/>
        </w:smartTagPr>
        <w:r>
          <w:t>3’</w:t>
        </w:r>
      </w:smartTag>
    </w:p>
    <w:p w14:paraId="6FCB79B8" w14:textId="243111A2">
      <w:pPr>
        <w:pStyle w:val="IPPIndentClose"/>
        <w:rPr>
          <w:szCs w:val="22"/>
        </w:rPr>
      </w:pPr>
      <w:r>
        <w:rPr>
          <w:rStyle w:val="PleaseReviewParagraphId"/>
          <w:b w:val="off"/>
          <w:i w:val="off"/>
        </w:rPr>
        <w:t>[248]</w:t>
      </w:r>
      <w:r>
        <w:t>Specific to ‘</w:t>
      </w:r>
      <w:r>
        <w:rPr>
          <w:i/>
          <w:iCs/>
        </w:rPr>
        <w:t>Ca. </w:t>
      </w:r>
      <w:r>
        <w:t>Liberibacter americanus’:</w:t>
      </w:r>
    </w:p>
    <w:p w14:paraId="6C097D2E" w14:textId="77777777">
      <w:pPr>
        <w:pStyle w:val="IPPIndent"/>
        <w:rPr>
          <w:szCs w:val="22"/>
        </w:rPr>
      </w:pPr>
      <w:r>
        <w:rPr>
          <w:rStyle w:val="PleaseReviewParagraphId"/>
          <w:b w:val="off"/>
          <w:i w:val="off"/>
        </w:rPr>
        <w:t>[249]</w:t>
      </w:r>
      <w:r>
        <w:t>HLBam (forward primer): 5’-GAG CGA GTA CGC AAG TAC TAG - 3</w:t>
      </w:r>
    </w:p>
    <w:p w14:paraId="431438EF" w14:textId="49D9BA9E">
      <w:pPr>
        <w:pStyle w:val="IPPIndentClose"/>
        <w:rPr>
          <w:szCs w:val="22"/>
        </w:rPr>
      </w:pPr>
      <w:r>
        <w:rPr>
          <w:rStyle w:val="PleaseReviewParagraphId"/>
          <w:b w:val="off"/>
          <w:i w:val="off"/>
        </w:rPr>
        <w:t>[250]</w:t>
      </w:r>
      <w:r>
        <w:t>Specific to ‘</w:t>
      </w:r>
      <w:r>
        <w:rPr>
          <w:i/>
          <w:iCs/>
        </w:rPr>
        <w:t>Ca. </w:t>
      </w:r>
      <w:r>
        <w:t>Liberibacter africanus’:</w:t>
      </w:r>
    </w:p>
    <w:p w14:paraId="79D8FFF6" w14:textId="77777777">
      <w:pPr>
        <w:pStyle w:val="IPPIndent"/>
        <w:rPr>
          <w:szCs w:val="22"/>
        </w:rPr>
      </w:pPr>
      <w:r>
        <w:rPr>
          <w:rStyle w:val="PleaseReviewParagraphId"/>
          <w:b w:val="off"/>
          <w:i w:val="off"/>
        </w:rPr>
        <w:t>[251]</w:t>
      </w:r>
      <w:r>
        <w:t xml:space="preserve">HLBaf (forward primer): 5’- CGA GCG CGT ATT TTA –3’ </w:t>
      </w:r>
    </w:p>
    <w:p w14:paraId="25A02DEC" w14:textId="4D8BB1A1">
      <w:pPr>
        <w:pStyle w:val="IPPIndentClose"/>
      </w:pPr>
      <w:r>
        <w:rPr>
          <w:rStyle w:val="PleaseReviewParagraphId"/>
          <w:b w:val="off"/>
          <w:i w:val="off"/>
        </w:rPr>
        <w:t>[252]</w:t>
      </w:r>
      <w:r>
        <w:t>Used for all three species:</w:t>
      </w:r>
    </w:p>
    <w:p w14:paraId="14E08A17" w14:textId="38335DBF">
      <w:pPr>
        <w:pStyle w:val="IPPIndentClose"/>
        <w:rPr>
          <w:szCs w:val="22"/>
        </w:rPr>
      </w:pPr>
      <w:r>
        <w:rPr>
          <w:rStyle w:val="PleaseReviewParagraphId"/>
          <w:b w:val="off"/>
          <w:i w:val="off"/>
        </w:rPr>
        <w:t>[253]</w:t>
      </w:r>
      <w:r>
        <w:rPr>
          <w:szCs w:val="22"/>
        </w:rPr>
        <w:t xml:space="preserve">HLBr </w:t>
      </w:r>
      <w:r>
        <w:t xml:space="preserve">(reverse primer): </w:t>
      </w:r>
      <w:smartTag w:uri="urn:schemas-microsoft-com:office:smarttags" w:element="metricconverter">
        <w:smartTagPr>
          <w:attr w:name="ProductID" w:val="5’"/>
        </w:smartTagPr>
        <w:r>
          <w:rPr>
            <w:szCs w:val="22"/>
          </w:rPr>
          <w:t>5’</w:t>
        </w:r>
      </w:smartTag>
      <w:r>
        <w:rPr>
          <w:szCs w:val="22"/>
        </w:rPr>
        <w:t xml:space="preserve"> –GCG TTA TCC CGT AGA AAA AGG TAG-3’</w:t>
      </w:r>
    </w:p>
    <w:p w14:paraId="051E4271" w14:textId="77777777">
      <w:pPr>
        <w:pStyle w:val="IPPIndent"/>
      </w:pPr>
      <w:r>
        <w:rPr>
          <w:rStyle w:val="PleaseReviewParagraphId"/>
          <w:b w:val="off"/>
          <w:i w:val="off"/>
        </w:rPr>
        <w:t>[254]</w:t>
      </w:r>
      <w:r>
        <w:t>H</w:t>
      </w:r>
      <w:r>
        <w:rPr>
          <w:lang w:eastAsia="zh-CN"/>
        </w:rPr>
        <w:t>LB</w:t>
      </w:r>
      <w:r>
        <w:t>p (hydrolysis probe): 5’-</w:t>
      </w:r>
      <w:r>
        <w:rPr>
          <w:lang w:eastAsia="zh-CN"/>
        </w:rPr>
        <w:t>FAM-</w:t>
      </w:r>
      <w:r>
        <w:t>AGA CGG GTG AGT AAC GCG</w:t>
      </w:r>
      <w:r>
        <w:rPr>
          <w:lang w:eastAsia="zh-CN"/>
        </w:rPr>
        <w:t>-BHQ1</w:t>
      </w:r>
      <w:r>
        <w:t xml:space="preserve"> -3</w:t>
      </w:r>
    </w:p>
    <w:p w14:paraId="74E7915C" w14:textId="122BE3F8">
      <w:pPr>
        <w:pStyle w:val="IPPParagraphnumberingclose"/>
        <w:numPr>
          <w:ilvl w:val="0"/>
          <w:numId w:val="0"/>
        </w:numPr>
        <w:rPr>
          <w:lang w:val="en-GB"/>
        </w:rPr>
      </w:pPr>
      <w:r>
        <w:rPr>
          <w:rStyle w:val="PleaseReviewParagraphId"/>
          <w:b w:val="off"/>
          <w:i w:val="off"/>
        </w:rPr>
        <w:t>[255]</w:t>
      </w:r>
      <w:r>
        <w:rPr>
          <w:lang w:val="en-GB"/>
        </w:rPr>
        <w:t>The internal control primers and probe to target plant tissue, based on sequences of conserved plant cytochrome oxidase (</w:t>
      </w:r>
      <w:r>
        <w:rPr>
          <w:i/>
          <w:iCs/>
          <w:lang w:val="en-GB"/>
        </w:rPr>
        <w:t>COX</w:t>
      </w:r>
      <w:r>
        <w:rPr>
          <w:lang w:val="en-GB"/>
        </w:rPr>
        <w:t xml:space="preserve">) gene from </w:t>
      </w:r>
      <w:r>
        <w:rPr>
          <w:i/>
          <w:lang w:val="en-GB"/>
        </w:rPr>
        <w:t>Citrus</w:t>
      </w:r>
      <w:r>
        <w:rPr>
          <w:lang w:val="en-GB"/>
        </w:rPr>
        <w:t xml:space="preserve"> (Li </w:t>
      </w:r>
      <w:r>
        <w:rPr>
          <w:i/>
          <w:lang w:val="en-GB"/>
        </w:rPr>
        <w:t>et</w:t>
      </w:r>
      <w:r>
        <w:rPr>
          <w:rFonts w:eastAsia="Calibri"/>
          <w:i/>
          <w:lang w:val="en-GB" w:eastAsia="es-ES"/>
        </w:rPr>
        <w:t> </w:t>
      </w:r>
      <w:r>
        <w:rPr>
          <w:i/>
          <w:lang w:val="en-GB"/>
        </w:rPr>
        <w:t>a</w:t>
      </w:r>
      <w:r>
        <w:rPr>
          <w:i/>
          <w:iCs/>
          <w:lang w:val="en-GB"/>
        </w:rPr>
        <w:t>l.</w:t>
      </w:r>
      <w:r>
        <w:rPr>
          <w:lang w:val="en-GB"/>
        </w:rPr>
        <w:t xml:space="preserve">, 2006), are as follows: </w:t>
      </w:r>
    </w:p>
    <w:p w14:paraId="72C06BFB" w14:textId="5D5CEA8A">
      <w:pPr>
        <w:pStyle w:val="IPPIndentClose"/>
      </w:pPr>
      <w:r>
        <w:rPr>
          <w:rStyle w:val="PleaseReviewParagraphId"/>
          <w:b w:val="off"/>
          <w:i w:val="off"/>
        </w:rPr>
        <w:t>[256]</w:t>
      </w:r>
      <w:r>
        <w:t xml:space="preserve">COXf (forward primer): 5’-GTA TGC CAC GTC GCA TTC CAG A </w:t>
      </w:r>
      <w:smartTag w:uri="urn:schemas-microsoft-com:office:smarttags" w:element="metricconverter">
        <w:smartTagPr>
          <w:attr w:name="ProductID" w:val="-3’"/>
        </w:smartTagPr>
        <w:r>
          <w:t>-3’</w:t>
        </w:r>
      </w:smartTag>
      <w:r>
        <w:t>,</w:t>
      </w:r>
    </w:p>
    <w:p w14:paraId="5AFB7C3C" w14:textId="5E5E2C17">
      <w:pPr>
        <w:pStyle w:val="IPPIndentClose"/>
      </w:pPr>
      <w:r>
        <w:rPr>
          <w:rStyle w:val="PleaseReviewParagraphId"/>
          <w:b w:val="off"/>
          <w:i w:val="off"/>
        </w:rPr>
        <w:t>[257]</w:t>
      </w:r>
      <w:r>
        <w:t xml:space="preserve">COXr (reverse primer): 5’- GCC AAA ACT GCT AAG GGC ATT C- </w:t>
      </w:r>
      <w:smartTag w:uri="urn:schemas-microsoft-com:office:smarttags" w:element="metricconverter">
        <w:smartTagPr>
          <w:attr w:name="ProductID" w:val="3’"/>
        </w:smartTagPr>
        <w:r>
          <w:t>3’</w:t>
        </w:r>
      </w:smartTag>
      <w:r>
        <w:t xml:space="preserve"> </w:t>
      </w:r>
    </w:p>
    <w:p w14:paraId="7CD9F3F8" w14:textId="613D26C4">
      <w:pPr>
        <w:pStyle w:val="IPPIndent"/>
      </w:pPr>
      <w:r>
        <w:rPr>
          <w:rStyle w:val="PleaseReviewParagraphId"/>
          <w:b w:val="off"/>
          <w:i w:val="off"/>
        </w:rPr>
        <w:t>[258]</w:t>
      </w:r>
      <w:r>
        <w:rPr>
          <w:lang w:eastAsia="zh-CN"/>
        </w:rPr>
        <w:t>COXp probe</w:t>
      </w:r>
      <w:r>
        <w:t>: 5’-TET</w:t>
      </w:r>
      <w:r>
        <w:rPr>
          <w:lang w:eastAsia="zh-CN"/>
        </w:rPr>
        <w:t>-</w:t>
      </w:r>
      <w:r>
        <w:t>CAG ATG CTT ACG CTG</w:t>
      </w:r>
      <w:r>
        <w:rPr>
          <w:lang w:eastAsia="zh-CN"/>
        </w:rPr>
        <w:t>-BHQ1</w:t>
      </w:r>
      <w:r>
        <w:t>-</w:t>
      </w:r>
      <w:smartTag w:uri="urn:schemas-microsoft-com:office:smarttags" w:element="metricconverter">
        <w:smartTagPr>
          <w:attr w:name="ProductID" w:val="3’"/>
        </w:smartTagPr>
        <w:r>
          <w:t>3’</w:t>
        </w:r>
      </w:smartTag>
    </w:p>
    <w:p w14:paraId="278ACB05" w14:textId="5123BCCC">
      <w:pPr>
        <w:pStyle w:val="IPPParagraphnumberingclose"/>
        <w:numPr>
          <w:ilvl w:val="0"/>
          <w:numId w:val="0"/>
        </w:numPr>
        <w:rPr>
          <w:lang w:val="en-GB" w:eastAsia="zh-CN"/>
        </w:rPr>
      </w:pPr>
      <w:r>
        <w:rPr>
          <w:rStyle w:val="PleaseReviewParagraphId"/>
          <w:b w:val="off"/>
          <w:i w:val="off"/>
        </w:rPr>
        <w:t>[259]</w:t>
      </w:r>
      <w:r>
        <w:rPr>
          <w:lang w:val="en-GB"/>
        </w:rPr>
        <w:t xml:space="preserve">The internal control primers and probe to target psyllid tissue, based on sequences of a nuclear gene that codes for a glycoprotein (Manjunath </w:t>
      </w:r>
      <w:r>
        <w:rPr>
          <w:i/>
          <w:iCs/>
          <w:lang w:val="en-GB"/>
        </w:rPr>
        <w:t>et</w:t>
      </w:r>
      <w:r>
        <w:rPr>
          <w:rFonts w:eastAsia="Calibri"/>
          <w:i/>
          <w:iCs/>
          <w:lang w:val="en-GB" w:eastAsia="es-ES"/>
        </w:rPr>
        <w:t> </w:t>
      </w:r>
      <w:r>
        <w:rPr>
          <w:i/>
          <w:iCs/>
          <w:lang w:val="en-GB"/>
        </w:rPr>
        <w:t>al.</w:t>
      </w:r>
      <w:r>
        <w:rPr>
          <w:lang w:val="en-GB"/>
        </w:rPr>
        <w:t>, 2008),</w:t>
      </w:r>
      <w:r>
        <w:rPr>
          <w:rFonts w:eastAsia="SimSun"/>
          <w:sz w:val="19"/>
          <w:szCs w:val="19"/>
          <w:lang w:val="en-GB" w:eastAsia="es-MX"/>
        </w:rPr>
        <w:t xml:space="preserve"> </w:t>
      </w:r>
      <w:r>
        <w:rPr>
          <w:rFonts w:eastAsia="SimSun"/>
          <w:lang w:val="en-GB" w:eastAsia="es-MX"/>
        </w:rPr>
        <w:t>are as follows</w:t>
      </w:r>
      <w:r>
        <w:rPr>
          <w:lang w:val="en-GB" w:eastAsia="zh-CN"/>
        </w:rPr>
        <w:t>:</w:t>
      </w:r>
    </w:p>
    <w:p w14:paraId="129B51FD" w14:textId="2D5370CB">
      <w:pPr>
        <w:pStyle w:val="IPPIndentClose"/>
      </w:pPr>
      <w:r>
        <w:rPr>
          <w:rStyle w:val="PleaseReviewParagraphId"/>
          <w:b w:val="off"/>
          <w:i w:val="off"/>
        </w:rPr>
        <w:t>[260]</w:t>
      </w:r>
      <w:r>
        <w:rPr>
          <w:lang w:eastAsia="zh-CN"/>
        </w:rPr>
        <w:t>DCF</w:t>
      </w:r>
      <w:r>
        <w:t xml:space="preserve"> (forward primer): 5’-TGG TGT AGA TGG TTG TGA TCT GAT GTG -3’</w:t>
      </w:r>
    </w:p>
    <w:p w14:paraId="6BA52236" w14:textId="751AD909">
      <w:pPr>
        <w:pStyle w:val="IPPIndentClose"/>
      </w:pPr>
      <w:r>
        <w:rPr>
          <w:rStyle w:val="PleaseReviewParagraphId"/>
          <w:b w:val="off"/>
          <w:i w:val="off"/>
        </w:rPr>
        <w:t>[261]</w:t>
      </w:r>
      <w:r>
        <w:rPr>
          <w:lang w:eastAsia="zh-CN"/>
        </w:rPr>
        <w:t>DCR</w:t>
      </w:r>
      <w:r>
        <w:t xml:space="preserve"> (reverse primer): 5’-ACCGTTCCACGACGGTGA -3’</w:t>
      </w:r>
    </w:p>
    <w:p w14:paraId="391E6083" w14:textId="630EC1B0">
      <w:pPr>
        <w:pStyle w:val="IPPIndent"/>
      </w:pPr>
      <w:r>
        <w:rPr>
          <w:rStyle w:val="PleaseReviewParagraphId"/>
          <w:b w:val="off"/>
          <w:i w:val="off"/>
        </w:rPr>
        <w:t>[262]</w:t>
      </w:r>
      <w:r>
        <w:rPr>
          <w:szCs w:val="22"/>
        </w:rPr>
        <w:t>DCP (</w:t>
      </w:r>
      <w:r>
        <w:t xml:space="preserve">hydrolysis probe): </w:t>
      </w:r>
      <w:r>
        <w:rPr>
          <w:szCs w:val="22"/>
        </w:rPr>
        <w:t>5’ -HEX</w:t>
      </w:r>
      <w:r>
        <w:t>-TGT GGG CGA GGC TAC AGA AC BHQ1</w:t>
      </w:r>
      <w:r>
        <w:rPr>
          <w:szCs w:val="22"/>
        </w:rPr>
        <w:t>-</w:t>
      </w:r>
      <w:smartTag w:uri="urn:schemas-microsoft-com:office:smarttags" w:element="metricconverter">
        <w:smartTagPr>
          <w:attr w:name="ProductID" w:val="3’"/>
        </w:smartTagPr>
        <w:r>
          <w:rPr>
            <w:szCs w:val="22"/>
          </w:rPr>
          <w:t>3’</w:t>
        </w:r>
      </w:smartTag>
      <w:r>
        <w:rPr>
          <w:rFonts w:eastAsia="Times New Roman"/>
          <w:lang w:eastAsia="es-ES"/>
        </w:rPr>
        <w:t xml:space="preserve"> </w:t>
      </w:r>
    </w:p>
    <w:p w14:paraId="2CE86804" w14:textId="08E89F35">
      <w:pPr>
        <w:pStyle w:val="IPPParagraphnumberingclose"/>
        <w:numPr>
          <w:ilvl w:val="0"/>
          <w:numId w:val="0"/>
        </w:numPr>
        <w:rPr>
          <w:lang w:val="en-GB" w:eastAsia="es-MX"/>
        </w:rPr>
      </w:pPr>
      <w:r>
        <w:rPr>
          <w:rStyle w:val="PleaseReviewParagraphId"/>
          <w:b w:val="off"/>
          <w:i w:val="off"/>
        </w:rPr>
        <w:t>[263]</w:t>
      </w:r>
      <w:r>
        <w:rPr>
          <w:lang w:val="en-GB" w:eastAsia="es-MX"/>
        </w:rPr>
        <w:t>According to Ammar</w:t>
      </w:r>
      <w:r>
        <w:rPr>
          <w:lang w:val="en-GB" w:eastAsia="zh-CN"/>
        </w:rPr>
        <w:t xml:space="preserve"> </w:t>
      </w:r>
      <w:r>
        <w:rPr>
          <w:i/>
          <w:lang w:val="en-GB" w:eastAsia="es-MX"/>
        </w:rPr>
        <w:t>et</w:t>
      </w:r>
      <w:r>
        <w:rPr>
          <w:rFonts w:eastAsia="Calibri"/>
          <w:i/>
          <w:lang w:val="en-GB" w:eastAsia="es-ES"/>
        </w:rPr>
        <w:t> </w:t>
      </w:r>
      <w:r>
        <w:rPr>
          <w:i/>
          <w:lang w:val="en-GB" w:eastAsia="es-MX"/>
        </w:rPr>
        <w:t>al</w:t>
      </w:r>
      <w:r>
        <w:rPr>
          <w:i/>
          <w:lang w:val="en-GB" w:eastAsia="zh-CN"/>
        </w:rPr>
        <w:t>.</w:t>
      </w:r>
      <w:r>
        <w:rPr>
          <w:lang w:val="en-GB" w:eastAsia="es-MX"/>
        </w:rPr>
        <w:t xml:space="preserve"> </w:t>
      </w:r>
      <w:r>
        <w:rPr>
          <w:lang w:val="en-GB" w:eastAsia="zh-CN"/>
        </w:rPr>
        <w:t>(</w:t>
      </w:r>
      <w:r>
        <w:rPr>
          <w:lang w:val="en-GB" w:eastAsia="es-MX"/>
        </w:rPr>
        <w:t>2011</w:t>
      </w:r>
      <w:r>
        <w:rPr>
          <w:lang w:val="en-GB" w:eastAsia="zh-CN"/>
        </w:rPr>
        <w:t>),</w:t>
      </w:r>
      <w:r>
        <w:rPr>
          <w:lang w:val="en-GB" w:eastAsia="es-MX"/>
        </w:rPr>
        <w:t xml:space="preserve"> an internal control based on the </w:t>
      </w:r>
      <w:r>
        <w:rPr>
          <w:i/>
          <w:lang w:val="en-GB" w:eastAsia="es-MX"/>
        </w:rPr>
        <w:t xml:space="preserve">D. citri </w:t>
      </w:r>
      <w:r>
        <w:rPr>
          <w:lang w:val="en-GB" w:eastAsia="es-MX"/>
        </w:rPr>
        <w:t>ribosomal S20 psyllid gene may also be used. The primer and probe sequences are as follows:</w:t>
      </w:r>
    </w:p>
    <w:p w14:paraId="6AEB25DC" w14:textId="77777777">
      <w:pPr>
        <w:pStyle w:val="IPPIndentClose"/>
        <w:rPr>
          <w:lang w:eastAsia="es-MX"/>
        </w:rPr>
      </w:pPr>
      <w:r>
        <w:rPr>
          <w:rStyle w:val="PleaseReviewParagraphId"/>
          <w:b w:val="off"/>
          <w:i w:val="off"/>
        </w:rPr>
        <w:t>[264]</w:t>
      </w:r>
      <w:r>
        <w:rPr>
          <w:lang w:eastAsia="es-MX"/>
        </w:rPr>
        <w:t xml:space="preserve">Dci-S20-L </w:t>
      </w:r>
      <w:r>
        <w:t>(forward primer)</w:t>
      </w:r>
      <w:r>
        <w:rPr>
          <w:lang w:eastAsia="es-MX"/>
        </w:rPr>
        <w:t>: 5’-GCCCAAGGGCCC</w:t>
      </w:r>
      <w:r>
        <w:rPr>
          <w:i/>
          <w:iCs/>
          <w:lang w:eastAsia="es-MX"/>
        </w:rPr>
        <w:t>n</w:t>
      </w:r>
      <w:r>
        <w:rPr>
          <w:lang w:eastAsia="es-MX"/>
        </w:rPr>
        <w:t xml:space="preserve">AATCA-3’ </w:t>
      </w:r>
    </w:p>
    <w:p w14:paraId="5A1862E7" w14:textId="77777777">
      <w:pPr>
        <w:pStyle w:val="IPPIndentClose"/>
        <w:rPr>
          <w:lang w:eastAsia="es-MX"/>
        </w:rPr>
      </w:pPr>
      <w:r>
        <w:rPr>
          <w:rStyle w:val="PleaseReviewParagraphId"/>
          <w:b w:val="off"/>
          <w:i w:val="off"/>
        </w:rPr>
        <w:t>[265]</w:t>
      </w:r>
      <w:r>
        <w:rPr>
          <w:lang w:eastAsia="es-MX"/>
        </w:rPr>
        <w:t xml:space="preserve">Dci-S20-R </w:t>
      </w:r>
      <w:r>
        <w:t>(reverse primer)</w:t>
      </w:r>
      <w:r>
        <w:rPr>
          <w:lang w:eastAsia="es-MX"/>
        </w:rPr>
        <w:t xml:space="preserve">: 5’-GGAGTCTTACGGGTGGTTATTCTG-3’ </w:t>
      </w:r>
    </w:p>
    <w:p w14:paraId="74972D07" w14:textId="77777777">
      <w:pPr>
        <w:pStyle w:val="IPPIndent"/>
        <w:rPr>
          <w:lang w:eastAsia="es-MX"/>
        </w:rPr>
      </w:pPr>
      <w:r>
        <w:rPr>
          <w:rStyle w:val="PleaseReviewParagraphId"/>
          <w:b w:val="off"/>
          <w:i w:val="off"/>
        </w:rPr>
        <w:t>[266]</w:t>
      </w:r>
      <w:r>
        <w:rPr>
          <w:lang w:eastAsia="es-MX"/>
        </w:rPr>
        <w:t>Internal control probe: 5’-FAM -AATGCCCACCAAAGTT-</w:t>
      </w:r>
      <w:r>
        <w:t xml:space="preserve"> BHQ1-</w:t>
      </w:r>
      <w:r>
        <w:rPr>
          <w:lang w:eastAsia="es-MX"/>
        </w:rPr>
        <w:t xml:space="preserve">3’ </w:t>
      </w:r>
    </w:p>
    <w:p w14:paraId="129BE026" w14:textId="370E3BEE">
      <w:pPr>
        <w:pStyle w:val="IPPParagraphnumbering"/>
        <w:numPr>
          <w:ilvl w:val="0"/>
          <w:numId w:val="0"/>
        </w:numPr>
        <w:rPr>
          <w:lang w:val="en-GB"/>
        </w:rPr>
      </w:pPr>
      <w:r>
        <w:rPr>
          <w:rStyle w:val="PleaseReviewParagraphId"/>
          <w:b w:val="off"/>
          <w:i w:val="off"/>
        </w:rPr>
        <w:t>[267]</w:t>
      </w:r>
      <w:r>
        <w:rPr>
          <w:lang w:val="en-GB"/>
        </w:rPr>
        <w:t xml:space="preserve">Other real-time PCR master mixes have been shown to work with this method: for example Go Taq Probe qPCR master mix (Promega) (Cellier </w:t>
      </w:r>
      <w:r>
        <w:rPr>
          <w:i/>
          <w:iCs/>
          <w:lang w:val="en-GB"/>
        </w:rPr>
        <w:t>et</w:t>
      </w:r>
      <w:r>
        <w:rPr>
          <w:rFonts w:eastAsia="Calibri"/>
          <w:i/>
          <w:iCs/>
          <w:szCs w:val="22"/>
          <w:lang w:val="en-GB" w:eastAsia="es-ES"/>
        </w:rPr>
        <w:t> </w:t>
      </w:r>
      <w:r>
        <w:rPr>
          <w:i/>
          <w:iCs/>
          <w:lang w:val="en-GB"/>
        </w:rPr>
        <w:t>al.</w:t>
      </w:r>
      <w:r>
        <w:rPr>
          <w:lang w:val="en-GB"/>
        </w:rPr>
        <w:t>, 2020) and Path-ID qPCR master mix (Ambion) (EPPO, 2014).</w:t>
      </w:r>
    </w:p>
    <w:p w14:paraId="1DBCF937" w14:textId="34B6C584">
      <w:pPr>
        <w:pStyle w:val="IPPParagraphnumbering"/>
        <w:numPr>
          <w:ilvl w:val="0"/>
          <w:numId w:val="0"/>
        </w:numPr>
        <w:rPr>
          <w:lang w:val="en-GB"/>
        </w:rPr>
      </w:pPr>
      <w:r>
        <w:rPr>
          <w:rStyle w:val="PleaseReviewParagraphId"/>
          <w:b w:val="off"/>
          <w:i w:val="off"/>
        </w:rPr>
        <w:t>[268]</w:t>
      </w:r>
      <w:r>
        <w:rPr>
          <w:lang w:val="en-GB"/>
        </w:rPr>
        <w:t xml:space="preserve">The master mix for the primers and probes of Li </w:t>
      </w:r>
      <w:r>
        <w:rPr>
          <w:i/>
          <w:lang w:val="en-GB"/>
        </w:rPr>
        <w:t>et al.</w:t>
      </w:r>
      <w:r>
        <w:rPr>
          <w:lang w:val="en-GB"/>
        </w:rPr>
        <w:t xml:space="preserve"> (2006) is described in Table 4.</w:t>
      </w:r>
      <w:r>
        <w:rPr>
          <w:rFonts w:ascii="Arial" w:hAnsi="Arial" w:cs="Arial"/>
          <w:b/>
          <w:sz w:val="18"/>
          <w:szCs w:val="18"/>
          <w:lang w:val="en-GB"/>
        </w:rPr>
        <w:br w:type="page"/>
      </w:r>
    </w:p>
    <w:p w14:paraId="0E6DEDF1" w14:textId="45E5D8DA">
      <w:pPr>
        <w:pStyle w:val="IPPParagraphnumbering"/>
        <w:numPr>
          <w:ilvl w:val="0"/>
          <w:numId w:val="0"/>
        </w:numPr>
        <w:rPr>
          <w:rFonts w:ascii="Arial" w:hAnsi="Arial" w:cs="Arial"/>
          <w:sz w:val="18"/>
          <w:szCs w:val="18"/>
          <w:lang w:val="en-GB"/>
        </w:rPr>
      </w:pPr>
      <w:r>
        <w:rPr>
          <w:rStyle w:val="PleaseReviewParagraphId"/>
          <w:b w:val="off"/>
          <w:i w:val="off"/>
        </w:rPr>
        <w:t>[269]</w:t>
      </w:r>
      <w:r>
        <w:rPr>
          <w:rFonts w:ascii="Arial" w:hAnsi="Arial" w:cs="Arial"/>
          <w:b/>
          <w:sz w:val="18"/>
          <w:szCs w:val="18"/>
          <w:lang w:val="en-GB"/>
        </w:rPr>
        <w:lastRenderedPageBreak/>
        <w:t>Table 4.</w:t>
      </w:r>
      <w:r>
        <w:rPr>
          <w:rFonts w:ascii="Arial" w:hAnsi="Arial" w:cs="Arial"/>
          <w:sz w:val="18"/>
          <w:szCs w:val="18"/>
          <w:lang w:val="en-GB"/>
        </w:rPr>
        <w:t xml:space="preserve"> Master mix composition and cycling conditions for real-time PCR using the primers and probes of Li </w:t>
      </w:r>
      <w:r>
        <w:rPr>
          <w:rFonts w:ascii="Arial" w:hAnsi="Arial" w:cs="Arial"/>
          <w:i/>
          <w:iCs/>
          <w:sz w:val="18"/>
          <w:szCs w:val="18"/>
          <w:lang w:val="en-GB"/>
        </w:rPr>
        <w:t>et al.</w:t>
      </w:r>
      <w:r>
        <w:rPr>
          <w:rFonts w:ascii="Arial" w:hAnsi="Arial" w:cs="Arial"/>
          <w:sz w:val="18"/>
          <w:szCs w:val="18"/>
          <w:lang w:val="en-GB"/>
        </w:rPr>
        <w:t xml:space="preserve"> (2006)</w:t>
      </w:r>
    </w:p>
    <w:tbl>
      <w:tblPr>
        <w:tblW w:w="9072" w:type="dxa"/>
        <w:tblLayout w:type="fixed"/>
        <w:tblLook w:val="0000" w:firstRow="0" w:lastRow="0" w:firstColumn="0" w:lastColumn="0" w:noHBand="0" w:noVBand="0"/>
      </w:tblPr>
      <w:tblGrid>
        <w:gridCol w:w="5103"/>
        <w:gridCol w:w="3969"/>
      </w:tblGrid>
      <w:tr w14:paraId="2D8E4B27" w14:textId="77777777">
        <w:tc>
          <w:tcPr>
            <w:tcW w:w="5103" w:type="dxa"/>
            <w:tcBorders>
              <w:top w:val="single" w:color="000000" w:sz="4" w:space="0"/>
              <w:bottom w:val="single" w:color="000000" w:sz="4" w:space="0"/>
            </w:tcBorders>
            <w:shd w:val="clear" w:color="auto" w:fill="BFBFBF"/>
          </w:tcPr>
          <w:p w14:paraId="2A4DEA2E" w14:textId="77777777">
            <w:pPr>
              <w:pStyle w:val="IPPArialTable"/>
              <w:rPr>
                <w:b/>
              </w:rPr>
            </w:pPr>
            <w:r>
              <w:rPr>
                <w:rStyle w:val="PleaseReviewParagraphId"/>
                <w:b w:val="off"/>
                <w:i w:val="off"/>
              </w:rPr>
              <w:t>[270]</w:t>
            </w:r>
            <w:r>
              <w:rPr>
                <w:b/>
              </w:rPr>
              <w:t>Reagents</w:t>
            </w:r>
          </w:p>
        </w:tc>
        <w:tc>
          <w:tcPr>
            <w:tcW w:w="3969" w:type="dxa"/>
            <w:tcBorders>
              <w:top w:val="single" w:color="000000" w:sz="4" w:space="0"/>
              <w:bottom w:val="single" w:color="000000" w:sz="4" w:space="0"/>
            </w:tcBorders>
            <w:shd w:val="clear" w:color="auto" w:fill="BFBFBF"/>
          </w:tcPr>
          <w:p w14:paraId="0A1D9FF6" w14:textId="77777777">
            <w:pPr>
              <w:pStyle w:val="IPPArialTable"/>
              <w:rPr>
                <w:b/>
              </w:rPr>
            </w:pPr>
            <w:r>
              <w:rPr>
                <w:rStyle w:val="PleaseReviewParagraphId"/>
                <w:b w:val="off"/>
                <w:i w:val="off"/>
              </w:rPr>
              <w:t>[271]</w:t>
            </w:r>
            <w:r>
              <w:rPr>
                <w:b/>
              </w:rPr>
              <w:t>Final concentration</w:t>
            </w:r>
          </w:p>
        </w:tc>
      </w:tr>
      <w:tr w14:paraId="27E9474D" w14:textId="77777777">
        <w:tc>
          <w:tcPr>
            <w:tcW w:w="5103" w:type="dxa"/>
            <w:tcBorders>
              <w:top w:val="single" w:color="000000" w:sz="4" w:space="0"/>
            </w:tcBorders>
            <w:shd w:val="clear" w:color="auto" w:fill="auto"/>
          </w:tcPr>
          <w:p w14:paraId="46E5E624" w14:textId="3166AF8E">
            <w:pPr>
              <w:pStyle w:val="IPPArialTable"/>
            </w:pPr>
            <w:r>
              <w:rPr>
                <w:rStyle w:val="PleaseReviewParagraphId"/>
                <w:b w:val="off"/>
                <w:i w:val="off"/>
              </w:rPr>
              <w:t>[272]</w:t>
            </w:r>
            <w:r>
              <w:t>PCR-grade</w:t>
            </w:r>
            <w:r>
              <w:rPr>
                <w:vertAlign w:val="superscript"/>
              </w:rPr>
              <w:t xml:space="preserve"> </w:t>
            </w:r>
            <w:r>
              <w:t xml:space="preserve">water </w:t>
            </w:r>
          </w:p>
        </w:tc>
        <w:tc>
          <w:tcPr>
            <w:tcW w:w="3969" w:type="dxa"/>
            <w:tcBorders>
              <w:top w:val="single" w:color="000000" w:sz="4" w:space="0"/>
            </w:tcBorders>
            <w:shd w:val="clear" w:color="auto" w:fill="FFFFFF"/>
          </w:tcPr>
          <w:p w14:paraId="7CBADE26" w14:textId="4B69B2A0">
            <w:pPr>
              <w:pStyle w:val="IPPArialTable"/>
              <w:rPr>
                <w:shd w:val="clear" w:color="auto" w:fill="C0C0C0"/>
              </w:rPr>
            </w:pPr>
            <w:r>
              <w:rPr>
                <w:rStyle w:val="PleaseReviewParagraphId"/>
                <w:b w:val="off"/>
                <w:i w:val="off"/>
              </w:rPr>
              <w:t>[273]</w:t>
            </w:r>
            <w:r>
              <w:t>– </w:t>
            </w:r>
            <w:r>
              <w:rPr>
                <w:vertAlign w:val="superscript"/>
              </w:rPr>
              <w:t>i</w:t>
            </w:r>
          </w:p>
        </w:tc>
      </w:tr>
      <w:tr w14:paraId="2CA9A66C" w14:textId="77777777">
        <w:tc>
          <w:tcPr>
            <w:tcW w:w="5103" w:type="dxa"/>
            <w:shd w:val="clear" w:color="auto" w:fill="auto"/>
          </w:tcPr>
          <w:p w14:paraId="3B61133D" w14:textId="77777777">
            <w:pPr>
              <w:pStyle w:val="IPPArialTable"/>
            </w:pPr>
            <w:r>
              <w:rPr>
                <w:rStyle w:val="PleaseReviewParagraphId"/>
                <w:b w:val="off"/>
                <w:i w:val="off"/>
              </w:rPr>
              <w:t>[274]</w:t>
            </w:r>
            <w:r>
              <w:t>PCR buffer</w:t>
            </w:r>
          </w:p>
        </w:tc>
        <w:tc>
          <w:tcPr>
            <w:tcW w:w="3969" w:type="dxa"/>
            <w:shd w:val="clear" w:color="auto" w:fill="auto"/>
          </w:tcPr>
          <w:p w14:paraId="162BE2D4" w14:textId="77777777">
            <w:pPr>
              <w:pStyle w:val="IPPArialTable"/>
            </w:pPr>
            <w:r>
              <w:rPr>
                <w:rStyle w:val="PleaseReviewParagraphId"/>
                <w:b w:val="off"/>
                <w:i w:val="off"/>
              </w:rPr>
              <w:t>[275]</w:t>
            </w:r>
            <w:r>
              <w:t>1×</w:t>
            </w:r>
          </w:p>
        </w:tc>
      </w:tr>
      <w:tr w14:paraId="4314DDFF" w14:textId="77777777">
        <w:tc>
          <w:tcPr>
            <w:tcW w:w="5103" w:type="dxa"/>
            <w:shd w:val="clear" w:color="auto" w:fill="auto"/>
          </w:tcPr>
          <w:p w14:paraId="03625B0C" w14:textId="77777777">
            <w:pPr>
              <w:pStyle w:val="IPPArialTable"/>
            </w:pPr>
            <w:r>
              <w:rPr>
                <w:rStyle w:val="PleaseReviewParagraphId"/>
                <w:b w:val="off"/>
                <w:i w:val="off"/>
              </w:rPr>
              <w:t>[276]</w:t>
            </w:r>
            <w:r>
              <w:t>dNTPs</w:t>
            </w:r>
          </w:p>
        </w:tc>
        <w:tc>
          <w:tcPr>
            <w:tcW w:w="3969" w:type="dxa"/>
            <w:shd w:val="clear" w:color="auto" w:fill="auto"/>
          </w:tcPr>
          <w:p w14:paraId="6F4B9EB8" w14:textId="77777777">
            <w:pPr>
              <w:pStyle w:val="IPPArialTable"/>
            </w:pPr>
            <w:r>
              <w:rPr>
                <w:rStyle w:val="PleaseReviewParagraphId"/>
                <w:b w:val="off"/>
                <w:i w:val="off"/>
              </w:rPr>
              <w:t>[277]</w:t>
            </w:r>
            <w:r>
              <w:t xml:space="preserve">250 µM </w:t>
            </w:r>
          </w:p>
        </w:tc>
      </w:tr>
      <w:tr w14:paraId="12FB336C" w14:textId="77777777">
        <w:tc>
          <w:tcPr>
            <w:tcW w:w="5103" w:type="dxa"/>
            <w:shd w:val="clear" w:color="auto" w:fill="auto"/>
          </w:tcPr>
          <w:p w14:paraId="129561DF" w14:textId="77777777">
            <w:pPr>
              <w:pStyle w:val="IPPArialTable"/>
            </w:pPr>
            <w:r>
              <w:rPr>
                <w:rStyle w:val="PleaseReviewParagraphId"/>
                <w:b w:val="off"/>
                <w:i w:val="off"/>
              </w:rPr>
              <w:t>[278]</w:t>
            </w:r>
            <w:r>
              <w:t>MgCl</w:t>
            </w:r>
            <w:r>
              <w:rPr>
                <w:vertAlign w:val="subscript"/>
              </w:rPr>
              <w:t>2</w:t>
            </w:r>
            <w:r>
              <w:t xml:space="preserve"> </w:t>
            </w:r>
          </w:p>
        </w:tc>
        <w:tc>
          <w:tcPr>
            <w:tcW w:w="3969" w:type="dxa"/>
            <w:shd w:val="clear" w:color="auto" w:fill="auto"/>
          </w:tcPr>
          <w:p w14:paraId="07D86083" w14:textId="77777777">
            <w:pPr>
              <w:pStyle w:val="IPPArialTable"/>
            </w:pPr>
            <w:r>
              <w:rPr>
                <w:rStyle w:val="PleaseReviewParagraphId"/>
                <w:b w:val="off"/>
                <w:i w:val="off"/>
              </w:rPr>
              <w:t>[279]</w:t>
            </w:r>
            <w:r>
              <w:t>6 mM</w:t>
            </w:r>
          </w:p>
        </w:tc>
      </w:tr>
      <w:tr w14:paraId="36FEA879" w14:textId="77777777">
        <w:tc>
          <w:tcPr>
            <w:tcW w:w="5103" w:type="dxa"/>
            <w:shd w:val="clear" w:color="auto" w:fill="auto"/>
          </w:tcPr>
          <w:p w14:paraId="49F061B1" w14:textId="77777777">
            <w:pPr>
              <w:pStyle w:val="IPPArialTable"/>
            </w:pPr>
            <w:r>
              <w:rPr>
                <w:rStyle w:val="PleaseReviewParagraphId"/>
                <w:b w:val="off"/>
                <w:i w:val="off"/>
              </w:rPr>
              <w:t>[280]</w:t>
            </w:r>
            <w:r>
              <w:t>Primer HLBas (forward)</w:t>
            </w:r>
          </w:p>
        </w:tc>
        <w:tc>
          <w:tcPr>
            <w:tcW w:w="3969" w:type="dxa"/>
            <w:shd w:val="clear" w:color="auto" w:fill="auto"/>
          </w:tcPr>
          <w:p w14:paraId="25E0AAA1" w14:textId="77777777">
            <w:pPr>
              <w:pStyle w:val="IPPArialTable"/>
            </w:pPr>
            <w:r>
              <w:rPr>
                <w:rStyle w:val="PleaseReviewParagraphId"/>
                <w:b w:val="off"/>
                <w:i w:val="off"/>
              </w:rPr>
              <w:t>[281]</w:t>
            </w:r>
            <w:r>
              <w:t>0.25 µM</w:t>
            </w:r>
          </w:p>
        </w:tc>
      </w:tr>
      <w:tr w14:paraId="2B858382" w14:textId="77777777">
        <w:tc>
          <w:tcPr>
            <w:tcW w:w="5103" w:type="dxa"/>
            <w:shd w:val="clear" w:color="auto" w:fill="auto"/>
          </w:tcPr>
          <w:p w14:paraId="6291F675" w14:textId="77777777">
            <w:pPr>
              <w:pStyle w:val="IPPArialTable"/>
            </w:pPr>
            <w:r>
              <w:rPr>
                <w:rStyle w:val="PleaseReviewParagraphId"/>
                <w:b w:val="off"/>
                <w:i w:val="off"/>
              </w:rPr>
              <w:t>[282]</w:t>
            </w:r>
            <w:r>
              <w:t>Primer HLBam (forward)</w:t>
            </w:r>
          </w:p>
        </w:tc>
        <w:tc>
          <w:tcPr>
            <w:tcW w:w="3969" w:type="dxa"/>
            <w:shd w:val="clear" w:color="auto" w:fill="auto"/>
          </w:tcPr>
          <w:p w14:paraId="14A8D1CE" w14:textId="77777777">
            <w:pPr>
              <w:pStyle w:val="IPPArialTable"/>
            </w:pPr>
            <w:r>
              <w:rPr>
                <w:rStyle w:val="PleaseReviewParagraphId"/>
                <w:b w:val="off"/>
                <w:i w:val="off"/>
              </w:rPr>
              <w:t>[283]</w:t>
            </w:r>
            <w:r>
              <w:t>0.25 µM</w:t>
            </w:r>
          </w:p>
        </w:tc>
      </w:tr>
      <w:tr w14:paraId="62E0C384" w14:textId="77777777">
        <w:tc>
          <w:tcPr>
            <w:tcW w:w="5103" w:type="dxa"/>
            <w:shd w:val="clear" w:color="auto" w:fill="auto"/>
          </w:tcPr>
          <w:p w14:paraId="3C12EA7E" w14:textId="77777777">
            <w:pPr>
              <w:pStyle w:val="IPPArialTable"/>
            </w:pPr>
            <w:r>
              <w:rPr>
                <w:rStyle w:val="PleaseReviewParagraphId"/>
                <w:b w:val="off"/>
                <w:i w:val="off"/>
              </w:rPr>
              <w:t>[284]</w:t>
            </w:r>
            <w:r>
              <w:t>Primer HLBaf (forward)</w:t>
            </w:r>
          </w:p>
        </w:tc>
        <w:tc>
          <w:tcPr>
            <w:tcW w:w="3969" w:type="dxa"/>
            <w:shd w:val="clear" w:color="auto" w:fill="auto"/>
          </w:tcPr>
          <w:p w14:paraId="3CBABC90" w14:textId="77777777">
            <w:pPr>
              <w:pStyle w:val="IPPArialTable"/>
            </w:pPr>
            <w:r>
              <w:rPr>
                <w:rStyle w:val="PleaseReviewParagraphId"/>
                <w:b w:val="off"/>
                <w:i w:val="off"/>
              </w:rPr>
              <w:t>[285]</w:t>
            </w:r>
            <w:r>
              <w:t>0.25 µM</w:t>
            </w:r>
          </w:p>
        </w:tc>
      </w:tr>
      <w:tr w14:paraId="34677FB5" w14:textId="77777777">
        <w:tc>
          <w:tcPr>
            <w:tcW w:w="5103" w:type="dxa"/>
            <w:shd w:val="clear" w:color="auto" w:fill="auto"/>
          </w:tcPr>
          <w:p w14:paraId="63B98BAC" w14:textId="77777777">
            <w:pPr>
              <w:pStyle w:val="IPPArialTable"/>
            </w:pPr>
            <w:r>
              <w:rPr>
                <w:rStyle w:val="PleaseReviewParagraphId"/>
                <w:b w:val="off"/>
                <w:i w:val="off"/>
              </w:rPr>
              <w:t>[286]</w:t>
            </w:r>
            <w:r>
              <w:t>Primer HLBr (reverse)</w:t>
            </w:r>
          </w:p>
        </w:tc>
        <w:tc>
          <w:tcPr>
            <w:tcW w:w="3969" w:type="dxa"/>
            <w:shd w:val="clear" w:color="auto" w:fill="auto"/>
          </w:tcPr>
          <w:p w14:paraId="603034D4" w14:textId="77777777">
            <w:pPr>
              <w:pStyle w:val="IPPArialTable"/>
            </w:pPr>
            <w:r>
              <w:rPr>
                <w:rStyle w:val="PleaseReviewParagraphId"/>
                <w:b w:val="off"/>
                <w:i w:val="off"/>
              </w:rPr>
              <w:t>[287]</w:t>
            </w:r>
            <w:r>
              <w:t>0.25 µM</w:t>
            </w:r>
          </w:p>
        </w:tc>
      </w:tr>
      <w:tr w14:paraId="4E69B95D" w14:textId="77777777">
        <w:tc>
          <w:tcPr>
            <w:tcW w:w="5103" w:type="dxa"/>
            <w:shd w:val="clear" w:color="auto" w:fill="auto"/>
          </w:tcPr>
          <w:p w14:paraId="019B22AB" w14:textId="77777777">
            <w:pPr>
              <w:pStyle w:val="IPPArialTable"/>
            </w:pPr>
            <w:r>
              <w:rPr>
                <w:rStyle w:val="PleaseReviewParagraphId"/>
                <w:b w:val="off"/>
                <w:i w:val="off"/>
              </w:rPr>
              <w:t>[288]</w:t>
            </w:r>
            <w:r>
              <w:t>Probe HLBp</w:t>
            </w:r>
          </w:p>
        </w:tc>
        <w:tc>
          <w:tcPr>
            <w:tcW w:w="3969" w:type="dxa"/>
            <w:shd w:val="clear" w:color="auto" w:fill="auto"/>
          </w:tcPr>
          <w:p w14:paraId="378D9A6B" w14:textId="30F68E60">
            <w:pPr>
              <w:pStyle w:val="IPPArialTable"/>
            </w:pPr>
            <w:r>
              <w:rPr>
                <w:rStyle w:val="PleaseReviewParagraphId"/>
                <w:b w:val="off"/>
                <w:i w:val="off"/>
              </w:rPr>
              <w:t>[289]</w:t>
            </w:r>
            <w:r>
              <w:t>0.15 µM</w:t>
            </w:r>
          </w:p>
        </w:tc>
      </w:tr>
      <w:tr w14:paraId="1AB5826B" w14:textId="77777777">
        <w:tc>
          <w:tcPr>
            <w:tcW w:w="5103" w:type="dxa"/>
            <w:shd w:val="clear" w:color="auto" w:fill="auto"/>
          </w:tcPr>
          <w:p w14:paraId="48F8F675" w14:textId="77777777">
            <w:pPr>
              <w:pStyle w:val="IPPArialTable"/>
            </w:pPr>
            <w:r>
              <w:rPr>
                <w:rStyle w:val="PleaseReviewParagraphId"/>
                <w:b w:val="off"/>
                <w:i w:val="off"/>
              </w:rPr>
              <w:t>[290]</w:t>
            </w:r>
            <w:r>
              <w:t>Internal Primer COXf (forward)</w:t>
            </w:r>
          </w:p>
        </w:tc>
        <w:tc>
          <w:tcPr>
            <w:tcW w:w="3969" w:type="dxa"/>
            <w:shd w:val="clear" w:color="auto" w:fill="auto"/>
          </w:tcPr>
          <w:p w14:paraId="1213BFE6" w14:textId="7DC0C214">
            <w:pPr>
              <w:pStyle w:val="IPPArialTable"/>
            </w:pPr>
            <w:r>
              <w:rPr>
                <w:rStyle w:val="PleaseReviewParagraphId"/>
                <w:b w:val="off"/>
                <w:i w:val="off"/>
              </w:rPr>
              <w:t>[291]</w:t>
            </w:r>
            <w:r>
              <w:t>0.30 µM</w:t>
            </w:r>
          </w:p>
        </w:tc>
      </w:tr>
      <w:tr w14:paraId="2412B254" w14:textId="77777777">
        <w:tc>
          <w:tcPr>
            <w:tcW w:w="5103" w:type="dxa"/>
            <w:shd w:val="clear" w:color="auto" w:fill="auto"/>
          </w:tcPr>
          <w:p w14:paraId="40590EA0" w14:textId="77777777">
            <w:pPr>
              <w:pStyle w:val="IPPArialTable"/>
            </w:pPr>
            <w:r>
              <w:rPr>
                <w:rStyle w:val="PleaseReviewParagraphId"/>
                <w:b w:val="off"/>
                <w:i w:val="off"/>
              </w:rPr>
              <w:t>[292]</w:t>
            </w:r>
            <w:r>
              <w:t>Internal Primer COXr (reverse)</w:t>
            </w:r>
          </w:p>
        </w:tc>
        <w:tc>
          <w:tcPr>
            <w:tcW w:w="3969" w:type="dxa"/>
            <w:shd w:val="clear" w:color="auto" w:fill="auto"/>
          </w:tcPr>
          <w:p w14:paraId="3392DC1A" w14:textId="66E264DC">
            <w:pPr>
              <w:pStyle w:val="IPPArialTable"/>
            </w:pPr>
            <w:r>
              <w:rPr>
                <w:rStyle w:val="PleaseReviewParagraphId"/>
                <w:b w:val="off"/>
                <w:i w:val="off"/>
              </w:rPr>
              <w:t>[293]</w:t>
            </w:r>
            <w:r>
              <w:t>0.30 µM</w:t>
            </w:r>
          </w:p>
        </w:tc>
      </w:tr>
      <w:tr w14:paraId="6F8C0F29" w14:textId="77777777">
        <w:tc>
          <w:tcPr>
            <w:tcW w:w="5103" w:type="dxa"/>
            <w:shd w:val="clear" w:color="auto" w:fill="auto"/>
          </w:tcPr>
          <w:p w14:paraId="7C501508" w14:textId="77777777">
            <w:pPr>
              <w:pStyle w:val="IPPArialTable"/>
            </w:pPr>
            <w:r>
              <w:rPr>
                <w:rStyle w:val="PleaseReviewParagraphId"/>
                <w:b w:val="off"/>
                <w:i w:val="off"/>
              </w:rPr>
              <w:t>[294]</w:t>
            </w:r>
            <w:r>
              <w:t>Probe COXp</w:t>
            </w:r>
          </w:p>
        </w:tc>
        <w:tc>
          <w:tcPr>
            <w:tcW w:w="3969" w:type="dxa"/>
            <w:shd w:val="clear" w:color="auto" w:fill="auto"/>
          </w:tcPr>
          <w:p w14:paraId="2743CFEA" w14:textId="164445D5">
            <w:pPr>
              <w:pStyle w:val="IPPArialTable"/>
            </w:pPr>
            <w:r>
              <w:rPr>
                <w:rStyle w:val="PleaseReviewParagraphId"/>
                <w:b w:val="off"/>
                <w:i w:val="off"/>
              </w:rPr>
              <w:t>[295]</w:t>
            </w:r>
            <w:r>
              <w:t>0.15 µM</w:t>
            </w:r>
          </w:p>
        </w:tc>
      </w:tr>
      <w:tr w14:paraId="3AAEB0EA" w14:textId="77777777">
        <w:tc>
          <w:tcPr>
            <w:tcW w:w="5103" w:type="dxa"/>
            <w:tcBorders>
              <w:bottom w:val="single" w:color="auto" w:sz="4" w:space="0"/>
            </w:tcBorders>
            <w:shd w:val="clear" w:color="auto" w:fill="auto"/>
          </w:tcPr>
          <w:p w14:paraId="6B2E78D9" w14:textId="4A516731">
            <w:pPr>
              <w:pStyle w:val="IPPArialTable"/>
            </w:pPr>
            <w:r>
              <w:rPr>
                <w:rStyle w:val="PleaseReviewParagraphId"/>
                <w:b w:val="off"/>
                <w:i w:val="off"/>
              </w:rPr>
              <w:t>[296]</w:t>
            </w:r>
            <w:r>
              <w:t>Taq DNA polymerase</w:t>
            </w:r>
          </w:p>
        </w:tc>
        <w:tc>
          <w:tcPr>
            <w:tcW w:w="3969" w:type="dxa"/>
            <w:tcBorders>
              <w:bottom w:val="single" w:color="000000" w:sz="4" w:space="0"/>
            </w:tcBorders>
            <w:shd w:val="clear" w:color="auto" w:fill="auto"/>
          </w:tcPr>
          <w:p w14:paraId="70DF1ED4" w14:textId="77777777">
            <w:pPr>
              <w:pStyle w:val="IPPArialTable"/>
            </w:pPr>
            <w:r>
              <w:rPr>
                <w:rStyle w:val="PleaseReviewParagraphId"/>
                <w:b w:val="off"/>
                <w:i w:val="off"/>
              </w:rPr>
              <w:t>[297]</w:t>
            </w:r>
            <w:r>
              <w:t>5 U</w:t>
            </w:r>
          </w:p>
        </w:tc>
      </w:tr>
      <w:tr w14:paraId="19708CFF" w14:textId="77777777">
        <w:tc>
          <w:tcPr>
            <w:tcW w:w="5103" w:type="dxa"/>
            <w:tcBorders>
              <w:top w:val="single" w:color="auto" w:sz="4" w:space="0"/>
              <w:bottom w:val="single" w:color="000000" w:sz="4" w:space="0"/>
            </w:tcBorders>
            <w:shd w:val="clear" w:color="auto" w:fill="auto"/>
          </w:tcPr>
          <w:p w14:paraId="5AC5CB43" w14:textId="77777777">
            <w:pPr>
              <w:pStyle w:val="IPPArialTable"/>
            </w:pPr>
            <w:r>
              <w:rPr>
                <w:rStyle w:val="PleaseReviewParagraphId"/>
                <w:b w:val="off"/>
                <w:i w:val="off"/>
              </w:rPr>
              <w:t>[298]</w:t>
            </w:r>
            <w:r>
              <w:t>DNA volume</w:t>
            </w:r>
          </w:p>
        </w:tc>
        <w:tc>
          <w:tcPr>
            <w:tcW w:w="3969" w:type="dxa"/>
            <w:tcBorders>
              <w:top w:val="single" w:color="000000" w:sz="4" w:space="0"/>
              <w:bottom w:val="single" w:color="000000" w:sz="4" w:space="0"/>
            </w:tcBorders>
            <w:shd w:val="clear" w:color="auto" w:fill="auto"/>
          </w:tcPr>
          <w:p w14:paraId="7113A367" w14:textId="2FF0A9D4">
            <w:pPr>
              <w:pStyle w:val="IPPArialTable"/>
            </w:pPr>
            <w:r>
              <w:rPr>
                <w:rStyle w:val="PleaseReviewParagraphId"/>
                <w:b w:val="off"/>
                <w:i w:val="off"/>
              </w:rPr>
              <w:t>[299]</w:t>
            </w:r>
            <w:r>
              <w:t>2 µL DNA extract of plant or insect vector tissue</w:t>
            </w:r>
          </w:p>
        </w:tc>
      </w:tr>
      <w:tr w14:paraId="26ECF941" w14:textId="77777777">
        <w:tc>
          <w:tcPr>
            <w:tcW w:w="5103" w:type="dxa"/>
            <w:tcBorders>
              <w:top w:val="single" w:color="000000" w:sz="4" w:space="0"/>
              <w:bottom w:val="single" w:color="000000" w:sz="4" w:space="0"/>
            </w:tcBorders>
            <w:shd w:val="clear" w:color="auto" w:fill="BFBFBF"/>
          </w:tcPr>
          <w:p w14:paraId="0DDDDFBE" w14:textId="77777777">
            <w:pPr>
              <w:pStyle w:val="IPPArialTable"/>
              <w:rPr>
                <w:b/>
              </w:rPr>
            </w:pPr>
            <w:r>
              <w:rPr>
                <w:rStyle w:val="PleaseReviewParagraphId"/>
                <w:b w:val="off"/>
                <w:i w:val="off"/>
              </w:rPr>
              <w:t>[300]</w:t>
            </w:r>
            <w:r>
              <w:rPr>
                <w:b/>
              </w:rPr>
              <w:t>Cycling parameters</w:t>
            </w:r>
          </w:p>
        </w:tc>
        <w:tc>
          <w:tcPr>
            <w:tcW w:w="3969" w:type="dxa"/>
            <w:tcBorders>
              <w:top w:val="single" w:color="000000" w:sz="4" w:space="0"/>
              <w:bottom w:val="single" w:color="000000" w:sz="4" w:space="0"/>
            </w:tcBorders>
            <w:shd w:val="clear" w:color="auto" w:fill="BFBFBF"/>
          </w:tcPr>
          <w:p w14:paraId="13DD2BFB" w14:textId="77777777">
            <w:pPr>
              <w:pStyle w:val="IPPArialTable"/>
            </w:pPr>
            <w:r>
              <w:rPr>
                <w:rStyle w:val="PleaseReviewParagraphId"/>
                <w:b w:val="off"/>
                <w:i w:val="off"/>
              </w:rPr>
              <w:t>[301]</w:t>
            </w:r>
          </w:p>
        </w:tc>
      </w:tr>
      <w:tr w14:paraId="4E7D0BEE" w14:textId="77777777">
        <w:tc>
          <w:tcPr>
            <w:tcW w:w="5103" w:type="dxa"/>
            <w:tcBorders>
              <w:top w:val="single" w:color="000000" w:sz="4" w:space="0"/>
            </w:tcBorders>
            <w:shd w:val="clear" w:color="auto" w:fill="auto"/>
          </w:tcPr>
          <w:p w14:paraId="6C22E783" w14:textId="77777777">
            <w:pPr>
              <w:pStyle w:val="IPPArialTable"/>
            </w:pPr>
            <w:r>
              <w:rPr>
                <w:rStyle w:val="PleaseReviewParagraphId"/>
                <w:b w:val="off"/>
                <w:i w:val="off"/>
              </w:rPr>
              <w:t>[302]</w:t>
            </w:r>
            <w:r>
              <w:t>Initial denaturation</w:t>
            </w:r>
          </w:p>
        </w:tc>
        <w:tc>
          <w:tcPr>
            <w:tcW w:w="3969" w:type="dxa"/>
            <w:tcBorders>
              <w:top w:val="single" w:color="000000" w:sz="4" w:space="0"/>
            </w:tcBorders>
            <w:shd w:val="clear" w:color="auto" w:fill="auto"/>
          </w:tcPr>
          <w:p w14:paraId="12186F93" w14:textId="77777777">
            <w:pPr>
              <w:pStyle w:val="IPPArialTable"/>
            </w:pPr>
            <w:r>
              <w:rPr>
                <w:rStyle w:val="PleaseReviewParagraphId"/>
                <w:b w:val="off"/>
                <w:i w:val="off"/>
              </w:rPr>
              <w:t>[303]</w:t>
            </w:r>
            <w:r>
              <w:t>95 °C for 10 min</w:t>
            </w:r>
          </w:p>
        </w:tc>
      </w:tr>
      <w:tr w14:paraId="382923B9" w14:textId="77777777">
        <w:tc>
          <w:tcPr>
            <w:tcW w:w="5103" w:type="dxa"/>
            <w:shd w:val="clear" w:color="auto" w:fill="auto"/>
          </w:tcPr>
          <w:p w14:paraId="2E3F85C6" w14:textId="77777777">
            <w:pPr>
              <w:pStyle w:val="IPPArialTable"/>
            </w:pPr>
            <w:r>
              <w:rPr>
                <w:rStyle w:val="PleaseReviewParagraphId"/>
                <w:b w:val="off"/>
                <w:i w:val="off"/>
              </w:rPr>
              <w:t>[304]</w:t>
            </w:r>
            <w:r>
              <w:t>Number of cycles</w:t>
            </w:r>
          </w:p>
        </w:tc>
        <w:tc>
          <w:tcPr>
            <w:tcW w:w="3969" w:type="dxa"/>
            <w:shd w:val="clear" w:color="auto" w:fill="auto"/>
          </w:tcPr>
          <w:p w14:paraId="55FBCE60" w14:textId="77777777">
            <w:pPr>
              <w:pStyle w:val="IPPArialTable"/>
            </w:pPr>
            <w:r>
              <w:rPr>
                <w:rStyle w:val="PleaseReviewParagraphId"/>
                <w:b w:val="off"/>
                <w:i w:val="off"/>
              </w:rPr>
              <w:t>[305]</w:t>
            </w:r>
            <w:r>
              <w:t>40</w:t>
            </w:r>
          </w:p>
        </w:tc>
      </w:tr>
      <w:tr w14:paraId="7319AF33" w14:textId="77777777">
        <w:tc>
          <w:tcPr>
            <w:tcW w:w="5103" w:type="dxa"/>
            <w:shd w:val="clear" w:color="auto" w:fill="auto"/>
          </w:tcPr>
          <w:p w14:paraId="1D4C4ACC" w14:textId="77777777">
            <w:pPr>
              <w:pStyle w:val="IPPArialTable"/>
              <w:numPr>
                <w:ilvl w:val="0"/>
                <w:numId w:val="81"/>
              </w:numPr>
              <w:ind w:left="284" w:hanging="142"/>
            </w:pPr>
            <w:r>
              <w:rPr>
                <w:rStyle w:val="PleaseReviewParagraphId"/>
                <w:b w:val="off"/>
                <w:i w:val="off"/>
              </w:rPr>
              <w:t>[306]</w:t>
            </w:r>
            <w:r>
              <w:t>Denaturation</w:t>
            </w:r>
          </w:p>
        </w:tc>
        <w:tc>
          <w:tcPr>
            <w:tcW w:w="3969" w:type="dxa"/>
            <w:shd w:val="clear" w:color="auto" w:fill="auto"/>
          </w:tcPr>
          <w:p w14:paraId="12DE3EBE" w14:textId="3EAFFA7D">
            <w:pPr>
              <w:pStyle w:val="IPPArialTable"/>
            </w:pPr>
            <w:r>
              <w:rPr>
                <w:rStyle w:val="PleaseReviewParagraphId"/>
                <w:b w:val="off"/>
                <w:i w:val="off"/>
              </w:rPr>
              <w:t>[307]</w:t>
            </w:r>
            <w:r>
              <w:t>95 °C for 20 s</w:t>
            </w:r>
          </w:p>
        </w:tc>
      </w:tr>
      <w:tr w14:paraId="3789AEEC" w14:textId="77777777">
        <w:tc>
          <w:tcPr>
            <w:tcW w:w="5103" w:type="dxa"/>
            <w:tcBorders>
              <w:bottom w:val="single" w:color="000000" w:sz="4" w:space="0"/>
            </w:tcBorders>
            <w:shd w:val="clear" w:color="auto" w:fill="auto"/>
          </w:tcPr>
          <w:p w14:paraId="3B632FDD" w14:textId="4FE38E7D">
            <w:pPr>
              <w:pStyle w:val="IPPArialTable"/>
              <w:numPr>
                <w:ilvl w:val="0"/>
                <w:numId w:val="81"/>
              </w:numPr>
              <w:ind w:left="284" w:hanging="142"/>
            </w:pPr>
            <w:r>
              <w:rPr>
                <w:rStyle w:val="PleaseReviewParagraphId"/>
                <w:b w:val="off"/>
                <w:i w:val="off"/>
              </w:rPr>
              <w:t>[308]</w:t>
            </w:r>
            <w:r>
              <w:t>Annealing and elongation</w:t>
            </w:r>
          </w:p>
        </w:tc>
        <w:tc>
          <w:tcPr>
            <w:tcW w:w="3969" w:type="dxa"/>
            <w:tcBorders>
              <w:bottom w:val="single" w:color="000000" w:sz="4" w:space="0"/>
            </w:tcBorders>
            <w:shd w:val="clear" w:color="auto" w:fill="auto"/>
          </w:tcPr>
          <w:p w14:paraId="67300055" w14:textId="67DE3D88">
            <w:pPr>
              <w:pStyle w:val="IPPArialTable"/>
            </w:pPr>
            <w:r>
              <w:rPr>
                <w:rStyle w:val="PleaseReviewParagraphId"/>
                <w:b w:val="off"/>
                <w:i w:val="off"/>
              </w:rPr>
              <w:t>[309]</w:t>
            </w:r>
            <w:r>
              <w:t>58 °C for 40 s</w:t>
            </w:r>
          </w:p>
        </w:tc>
      </w:tr>
    </w:tbl>
    <w:p w14:paraId="601E967D" w14:textId="675D7AA9">
      <w:pPr>
        <w:pStyle w:val="IPPArialFootnote"/>
        <w:rPr>
          <w:rStyle w:val="PleaseReviewParagraphId"/>
          <w:color w:val="auto"/>
        </w:rPr>
      </w:pPr>
      <w:r>
        <w:rPr>
          <w:rStyle w:val="PleaseReviewParagraphId"/>
          <w:b w:val="off"/>
          <w:i w:val="off"/>
        </w:rPr>
        <w:t>[310]</w:t>
      </w:r>
      <w:r>
        <w:rPr>
          <w:rStyle w:val="PleaseReviewParagraphId"/>
          <w:color w:val="auto"/>
          <w:vertAlign w:val="superscript"/>
        </w:rPr>
        <w:t>i</w:t>
      </w:r>
      <w:r>
        <w:rPr>
          <w:rStyle w:val="PleaseReviewParagraphId"/>
          <w:color w:val="auto"/>
        </w:rPr>
        <w:t xml:space="preserve"> For a final reaction volume of 25 µL.</w:t>
      </w:r>
    </w:p>
    <w:p w14:paraId="7C5627D6" w14:textId="012413F7">
      <w:pPr>
        <w:pStyle w:val="IPPArialFootnote"/>
        <w:rPr>
          <w:rStyle w:val="PleaseReviewParagraphId"/>
          <w:color w:val="auto"/>
        </w:rPr>
      </w:pPr>
      <w:r>
        <w:rPr>
          <w:rStyle w:val="PleaseReviewParagraphId"/>
          <w:b w:val="off"/>
          <w:i w:val="off"/>
        </w:rPr>
        <w:t>[311]</w:t>
      </w:r>
      <w:r>
        <w:rPr>
          <w:rStyle w:val="PleaseReviewParagraphId"/>
          <w:color w:val="auto"/>
          <w:vertAlign w:val="superscript"/>
        </w:rPr>
        <w:t>ii</w:t>
      </w:r>
      <w:r>
        <w:rPr>
          <w:rStyle w:val="PleaseReviewParagraphId"/>
          <w:color w:val="auto"/>
        </w:rPr>
        <w:t xml:space="preserve"> See page footnote 1.</w:t>
      </w:r>
    </w:p>
    <w:p w14:paraId="380858BF" w14:textId="53EB76C0">
      <w:pPr>
        <w:pStyle w:val="IPPArialFootnote"/>
        <w:spacing w:after="180"/>
        <w:rPr>
          <w:rStyle w:val="PleaseReviewParagraphId"/>
          <w:color w:val="auto"/>
        </w:rPr>
      </w:pPr>
      <w:r>
        <w:rPr>
          <w:rStyle w:val="PleaseReviewParagraphId"/>
          <w:b w:val="off"/>
          <w:i w:val="off"/>
        </w:rPr>
        <w:t>[312]</w:t>
      </w:r>
      <w:r>
        <w:rPr>
          <w:rStyle w:val="PleaseReviewParagraphId"/>
          <w:color w:val="auto"/>
        </w:rPr>
        <w:t>PCR, polymerase chain reaction.</w:t>
      </w:r>
    </w:p>
    <w:p w14:paraId="54820847" w14:textId="1BA6C6B1">
      <w:pPr>
        <w:pStyle w:val="IPPHeading3"/>
      </w:pPr>
      <w:r>
        <w:rPr>
          <w:rStyle w:val="PleaseReviewParagraphId"/>
          <w:b w:val="off"/>
          <w:i w:val="off"/>
        </w:rPr>
        <w:t>[313]</w:t>
      </w:r>
      <w:r>
        <w:rPr>
          <w:lang w:eastAsia="es-ES"/>
        </w:rPr>
        <w:t>3.4.4.2</w:t>
        <w:tab/>
        <w:t xml:space="preserve">Real-time PCR using the primers and probes of Bertolini </w:t>
      </w:r>
      <w:r>
        <w:rPr>
          <w:i w:val="0"/>
          <w:iCs/>
          <w:lang w:eastAsia="zh-CN"/>
        </w:rPr>
        <w:t>et</w:t>
      </w:r>
      <w:r>
        <w:rPr>
          <w:rFonts w:eastAsia="Calibri"/>
          <w:i w:val="0"/>
          <w:iCs/>
          <w:lang w:eastAsia="es-ES"/>
        </w:rPr>
        <w:t> </w:t>
      </w:r>
      <w:r>
        <w:rPr>
          <w:i w:val="0"/>
          <w:iCs/>
          <w:lang w:eastAsia="zh-CN"/>
        </w:rPr>
        <w:t>al.</w:t>
      </w:r>
      <w:r>
        <w:rPr>
          <w:lang w:eastAsia="zh-CN"/>
        </w:rPr>
        <w:t xml:space="preserve"> (</w:t>
      </w:r>
      <w:r>
        <w:t>2014</w:t>
      </w:r>
      <w:r>
        <w:rPr>
          <w:lang w:eastAsia="zh-CN"/>
        </w:rPr>
        <w:t>)</w:t>
      </w:r>
      <w:r>
        <w:t xml:space="preserve"> </w:t>
      </w:r>
    </w:p>
    <w:p w14:paraId="43105472" w14:textId="64E3CE99">
      <w:pPr>
        <w:pStyle w:val="IPPParagraphnumbering"/>
        <w:numPr>
          <w:ilvl w:val="0"/>
          <w:numId w:val="0"/>
        </w:numPr>
        <w:rPr>
          <w:szCs w:val="22"/>
          <w:lang w:val="en-GB"/>
        </w:rPr>
      </w:pPr>
      <w:r>
        <w:rPr>
          <w:rStyle w:val="PleaseReviewParagraphId"/>
          <w:b w:val="off"/>
          <w:i w:val="off"/>
        </w:rPr>
        <w:t>[314]</w:t>
      </w:r>
      <w:r>
        <w:rPr>
          <w:bCs/>
          <w:szCs w:val="22"/>
          <w:lang w:val="en-GB" w:eastAsia="es-ES"/>
        </w:rPr>
        <w:t xml:space="preserve">This real-time PCR method, which </w:t>
      </w:r>
      <w:r>
        <w:rPr>
          <w:szCs w:val="22"/>
          <w:lang w:val="en-GB" w:eastAsia="es-ES"/>
        </w:rPr>
        <w:t>uses universal primers for ‘</w:t>
      </w:r>
      <w:r>
        <w:rPr>
          <w:i/>
          <w:iCs/>
          <w:szCs w:val="22"/>
          <w:lang w:val="en-GB" w:eastAsia="es-ES"/>
        </w:rPr>
        <w:t>Ca</w:t>
      </w:r>
      <w:r>
        <w:rPr>
          <w:szCs w:val="22"/>
          <w:lang w:val="en-GB" w:eastAsia="es-ES"/>
        </w:rPr>
        <w:t>. Liberibacter’ and a TaqMan probe,</w:t>
      </w:r>
      <w:r>
        <w:rPr>
          <w:bCs/>
          <w:szCs w:val="22"/>
          <w:lang w:val="en-GB" w:eastAsia="es-ES"/>
        </w:rPr>
        <w:t xml:space="preserve"> detects the three ‘</w:t>
      </w:r>
      <w:r>
        <w:rPr>
          <w:bCs/>
          <w:i/>
          <w:iCs/>
          <w:szCs w:val="22"/>
          <w:lang w:val="en-GB" w:eastAsia="es-ES"/>
        </w:rPr>
        <w:t>Ca.</w:t>
      </w:r>
      <w:r>
        <w:rPr>
          <w:bCs/>
          <w:szCs w:val="22"/>
          <w:lang w:val="en-GB" w:eastAsia="es-ES"/>
        </w:rPr>
        <w:t xml:space="preserve"> Liberibacter’ species associated with HLB and can </w:t>
      </w:r>
      <w:r>
        <w:rPr>
          <w:szCs w:val="22"/>
          <w:lang w:val="en-GB" w:eastAsia="es-ES"/>
        </w:rPr>
        <w:t>be performed as a rapid screening test on tissue prints or on leaf or psyllid extracts after a DNA extraction.</w:t>
      </w:r>
    </w:p>
    <w:p w14:paraId="64845F3F" w14:textId="3383B3A2">
      <w:pPr>
        <w:pStyle w:val="IPPParagraphnumberingclose"/>
        <w:numPr>
          <w:ilvl w:val="0"/>
          <w:numId w:val="0"/>
        </w:numPr>
        <w:rPr>
          <w:rFonts w:eastAsia="Times New Roman"/>
          <w:b/>
          <w:bCs/>
          <w:lang w:val="en-GB" w:eastAsia="es-ES"/>
        </w:rPr>
      </w:pPr>
      <w:r>
        <w:rPr>
          <w:rStyle w:val="PleaseReviewParagraphId"/>
          <w:b w:val="off"/>
          <w:i w:val="off"/>
        </w:rPr>
        <w:t>[315]</w:t>
      </w:r>
      <w:r>
        <w:rPr>
          <w:rFonts w:eastAsia="Times New Roman"/>
          <w:lang w:val="en-GB" w:eastAsia="es-ES"/>
        </w:rPr>
        <w:t>The primer</w:t>
      </w:r>
      <w:r>
        <w:rPr>
          <w:lang w:val="en-GB"/>
        </w:rPr>
        <w:t xml:space="preserve"> sequences, which are based on the 16S rDNA sequences of ‘</w:t>
      </w:r>
      <w:r>
        <w:rPr>
          <w:i/>
          <w:lang w:val="en-GB"/>
        </w:rPr>
        <w:t>Ca</w:t>
      </w:r>
      <w:r>
        <w:rPr>
          <w:lang w:val="en-GB"/>
        </w:rPr>
        <w:t>. L</w:t>
      </w:r>
      <w:r>
        <w:rPr>
          <w:lang w:val="en-GB" w:eastAsia="es-ES"/>
        </w:rPr>
        <w:t>iberibacter</w:t>
      </w:r>
      <w:r>
        <w:rPr>
          <w:lang w:val="en-GB"/>
        </w:rPr>
        <w:t>’ spp</w:t>
      </w:r>
      <w:r>
        <w:rPr>
          <w:rFonts w:eastAsia="Times New Roman"/>
          <w:lang w:val="en-GB" w:eastAsia="es-ES"/>
        </w:rPr>
        <w:t>, are as follows:</w:t>
      </w:r>
    </w:p>
    <w:p w14:paraId="4546D8D1" w14:textId="78A67A8A">
      <w:pPr>
        <w:pStyle w:val="IPPIndentClose"/>
        <w:rPr>
          <w:lang w:eastAsia="es-ES"/>
        </w:rPr>
      </w:pPr>
      <w:r>
        <w:rPr>
          <w:rStyle w:val="PleaseReviewParagraphId"/>
          <w:b w:val="off"/>
          <w:i w:val="off"/>
        </w:rPr>
        <w:t>[316]</w:t>
      </w:r>
      <w:r>
        <w:rPr>
          <w:lang w:eastAsia="es-ES"/>
        </w:rPr>
        <w:t xml:space="preserve">CaLsppF (forward): 5’- GCA GGC CTA ACA CAT GCA AGT </w:t>
      </w:r>
      <w:smartTag w:uri="urn:schemas-microsoft-com:office:smarttags" w:element="metricconverter">
        <w:smartTagPr>
          <w:attr w:name="ProductID" w:val="-3’"/>
        </w:smartTagPr>
        <w:r>
          <w:rPr>
            <w:lang w:eastAsia="es-ES"/>
          </w:rPr>
          <w:t>-3’</w:t>
        </w:r>
      </w:smartTag>
      <w:r>
        <w:rPr>
          <w:lang w:eastAsia="es-ES"/>
        </w:rPr>
        <w:t xml:space="preserve"> </w:t>
      </w:r>
    </w:p>
    <w:p w14:paraId="49F8971A" w14:textId="30071861">
      <w:pPr>
        <w:pStyle w:val="IPPIndent"/>
        <w:rPr>
          <w:lang w:eastAsia="es-ES"/>
        </w:rPr>
      </w:pPr>
      <w:r>
        <w:rPr>
          <w:rStyle w:val="PleaseReviewParagraphId"/>
          <w:b w:val="off"/>
          <w:i w:val="off"/>
        </w:rPr>
        <w:t>[317]</w:t>
      </w:r>
      <w:r>
        <w:rPr>
          <w:lang w:eastAsia="es-ES"/>
        </w:rPr>
        <w:t xml:space="preserve">CaLsppR (reverse): 5’- GCA CAC GTT TCC ATG CGT TAT </w:t>
      </w:r>
      <w:smartTag w:uri="urn:schemas-microsoft-com:office:smarttags" w:element="metricconverter">
        <w:smartTagPr>
          <w:attr w:name="ProductID" w:val="-3’"/>
        </w:smartTagPr>
        <w:r>
          <w:rPr>
            <w:lang w:eastAsia="es-ES"/>
          </w:rPr>
          <w:t>-3’</w:t>
        </w:r>
      </w:smartTag>
    </w:p>
    <w:p w14:paraId="6E682206" w14:textId="102D7FD7">
      <w:pPr>
        <w:pStyle w:val="IPPParagraphnumberingclose"/>
        <w:numPr>
          <w:ilvl w:val="0"/>
          <w:numId w:val="0"/>
        </w:numPr>
        <w:rPr>
          <w:lang w:val="en-GB" w:eastAsia="es-ES"/>
        </w:rPr>
      </w:pPr>
      <w:r>
        <w:rPr>
          <w:rStyle w:val="PleaseReviewParagraphId"/>
          <w:b w:val="off"/>
          <w:i w:val="off"/>
        </w:rPr>
        <w:t>[318]</w:t>
      </w:r>
      <w:r>
        <w:rPr>
          <w:lang w:val="en-GB" w:eastAsia="es-ES"/>
        </w:rPr>
        <w:t>The sequence for the probe,</w:t>
      </w:r>
      <w:r>
        <w:rPr>
          <w:lang w:val="en-GB" w:eastAsia="es-MX"/>
        </w:rPr>
        <w:t xml:space="preserve"> described by Li </w:t>
      </w:r>
      <w:r>
        <w:rPr>
          <w:i/>
          <w:lang w:val="en-GB" w:eastAsia="es-MX"/>
        </w:rPr>
        <w:t>et</w:t>
      </w:r>
      <w:r>
        <w:rPr>
          <w:rFonts w:eastAsia="Calibri"/>
          <w:i/>
          <w:lang w:val="en-GB" w:eastAsia="es-ES"/>
        </w:rPr>
        <w:t> </w:t>
      </w:r>
      <w:r>
        <w:rPr>
          <w:i/>
          <w:lang w:val="en-GB" w:eastAsia="es-MX"/>
        </w:rPr>
        <w:t>al</w:t>
      </w:r>
      <w:r>
        <w:rPr>
          <w:lang w:val="en-GB" w:eastAsia="es-MX"/>
        </w:rPr>
        <w:t>. (2006), is as follows</w:t>
      </w:r>
      <w:r>
        <w:rPr>
          <w:lang w:val="en-GB" w:eastAsia="es-ES"/>
        </w:rPr>
        <w:t>:</w:t>
      </w:r>
    </w:p>
    <w:p w14:paraId="31B4EE3E" w14:textId="192351B7">
      <w:pPr>
        <w:pStyle w:val="IPPIndent"/>
        <w:rPr>
          <w:lang w:eastAsia="es-ES"/>
        </w:rPr>
      </w:pPr>
      <w:r>
        <w:rPr>
          <w:rStyle w:val="PleaseReviewParagraphId"/>
          <w:b w:val="off"/>
          <w:i w:val="off"/>
        </w:rPr>
        <w:t>[319]</w:t>
      </w:r>
      <w:r>
        <w:rPr>
          <w:lang w:eastAsia="es-ES"/>
        </w:rPr>
        <w:t>HLBp: 5’- FAM-AGA CGG GTG AGT AAC GCG-</w:t>
      </w:r>
      <w:r>
        <w:t>TAMRA</w:t>
      </w:r>
      <w:r>
        <w:rPr>
          <w:lang w:eastAsia="es-MX"/>
        </w:rPr>
        <w:t xml:space="preserve"> </w:t>
      </w:r>
    </w:p>
    <w:p w14:paraId="05249C2A" w14:textId="103E0971">
      <w:pPr>
        <w:pStyle w:val="IPPParagraphnumbering"/>
        <w:numPr>
          <w:ilvl w:val="0"/>
          <w:numId w:val="0"/>
        </w:numPr>
        <w:rPr>
          <w:szCs w:val="22"/>
          <w:lang w:val="en-GB"/>
        </w:rPr>
      </w:pPr>
      <w:r>
        <w:rPr>
          <w:rStyle w:val="PleaseReviewParagraphId"/>
          <w:b w:val="off"/>
          <w:i w:val="off"/>
        </w:rPr>
        <w:t>[320]</w:t>
      </w:r>
      <w:r>
        <w:rPr>
          <w:lang w:val="en-GB"/>
        </w:rPr>
        <w:t xml:space="preserve">According to Bertolini </w:t>
      </w:r>
      <w:r>
        <w:rPr>
          <w:i/>
          <w:lang w:val="en-GB"/>
        </w:rPr>
        <w:t>et</w:t>
      </w:r>
      <w:r>
        <w:rPr>
          <w:rFonts w:eastAsia="Calibri"/>
          <w:i/>
          <w:szCs w:val="22"/>
          <w:lang w:val="en-GB" w:eastAsia="es-ES"/>
        </w:rPr>
        <w:t> </w:t>
      </w:r>
      <w:r>
        <w:rPr>
          <w:i/>
          <w:lang w:val="en-GB"/>
        </w:rPr>
        <w:t>al.</w:t>
      </w:r>
      <w:r>
        <w:rPr>
          <w:lang w:val="en-GB"/>
        </w:rPr>
        <w:t xml:space="preserve"> (2014), the primers and probe used in this method detect all three ‘</w:t>
      </w:r>
      <w:r>
        <w:rPr>
          <w:i/>
          <w:iCs/>
          <w:lang w:val="en-GB"/>
        </w:rPr>
        <w:t>Ca.</w:t>
      </w:r>
      <w:r>
        <w:rPr>
          <w:lang w:val="en-GB"/>
        </w:rPr>
        <w:t xml:space="preserve"> Liberibacter’ species on </w:t>
      </w:r>
      <w:r>
        <w:rPr>
          <w:i/>
          <w:iCs/>
          <w:lang w:val="en-GB"/>
        </w:rPr>
        <w:t>Citrus</w:t>
      </w:r>
      <w:r>
        <w:rPr>
          <w:lang w:val="en-GB"/>
        </w:rPr>
        <w:t xml:space="preserve"> spp. </w:t>
      </w:r>
      <w:r>
        <w:rPr>
          <w:rFonts w:eastAsia="Times New Roman" w:cs="AdvPSSAB-R"/>
          <w:lang w:val="en-GB" w:eastAsia="es-ES"/>
        </w:rPr>
        <w:t xml:space="preserve">The primers CaLsppF and </w:t>
      </w:r>
      <w:r>
        <w:rPr>
          <w:rFonts w:eastAsia="Times New Roman" w:cs="AdvPSSAB-R"/>
          <w:szCs w:val="22"/>
          <w:lang w:val="en-GB" w:eastAsia="es-ES"/>
        </w:rPr>
        <w:t>CaL sppR, which are based on the sequence of the most conserved region of the ‘</w:t>
      </w:r>
      <w:r>
        <w:rPr>
          <w:rFonts w:eastAsia="Times New Roman" w:cs="AdvPSSAB-I"/>
          <w:i/>
          <w:iCs/>
          <w:szCs w:val="22"/>
          <w:lang w:val="en-GB" w:eastAsia="es-ES"/>
        </w:rPr>
        <w:t>Ca.</w:t>
      </w:r>
      <w:r>
        <w:rPr>
          <w:rFonts w:eastAsia="Times New Roman" w:cs="AdvPSSAB-I"/>
          <w:szCs w:val="22"/>
          <w:lang w:val="en-GB" w:eastAsia="es-ES"/>
        </w:rPr>
        <w:t> </w:t>
      </w:r>
      <w:r>
        <w:rPr>
          <w:rFonts w:eastAsia="Times New Roman" w:cs="AdvPSSAB-R"/>
          <w:szCs w:val="22"/>
          <w:lang w:val="en-GB" w:eastAsia="es-ES"/>
        </w:rPr>
        <w:t>Liberibacter’ spp. genome, were found to detect all the tested ‘</w:t>
      </w:r>
      <w:r>
        <w:rPr>
          <w:rFonts w:eastAsia="Times New Roman" w:cs="AdvPSSAB-I"/>
          <w:i/>
          <w:iCs/>
          <w:szCs w:val="22"/>
          <w:lang w:val="en-GB" w:eastAsia="es-ES"/>
        </w:rPr>
        <w:t>Ca. </w:t>
      </w:r>
      <w:r>
        <w:rPr>
          <w:rFonts w:eastAsia="Times New Roman" w:cs="AdvPSSAB-R"/>
          <w:szCs w:val="22"/>
          <w:lang w:val="en-GB" w:eastAsia="es-ES"/>
        </w:rPr>
        <w:t xml:space="preserve">Liberibacter’ species associated with HLB from different hosts and origins. No cross-reaction was noticed when the method was tried on other graft-transmitted pathogens of citrus. In further evaluation during a comparative performance study by Cellier </w:t>
      </w:r>
      <w:r>
        <w:rPr>
          <w:rFonts w:eastAsia="Times New Roman" w:cs="AdvPSSAB-R"/>
          <w:i/>
          <w:iCs/>
          <w:szCs w:val="22"/>
          <w:lang w:val="en-GB" w:eastAsia="es-ES"/>
        </w:rPr>
        <w:t>et</w:t>
      </w:r>
      <w:r>
        <w:rPr>
          <w:rFonts w:eastAsia="Calibri"/>
          <w:i/>
          <w:iCs/>
          <w:szCs w:val="22"/>
          <w:lang w:val="en-GB" w:eastAsia="es-ES"/>
        </w:rPr>
        <w:t> </w:t>
      </w:r>
      <w:r>
        <w:rPr>
          <w:rFonts w:eastAsia="Times New Roman" w:cs="AdvPSSAB-R"/>
          <w:i/>
          <w:iCs/>
          <w:szCs w:val="22"/>
          <w:lang w:val="en-GB" w:eastAsia="es-ES"/>
        </w:rPr>
        <w:t>al.</w:t>
      </w:r>
      <w:r>
        <w:rPr>
          <w:rFonts w:eastAsia="Times New Roman" w:cs="AdvPSSAB-R"/>
          <w:szCs w:val="22"/>
          <w:lang w:val="en-GB" w:eastAsia="es-ES"/>
        </w:rPr>
        <w:t xml:space="preserve"> (2020), false positive amplifications from non-target bacteria were observed. Raising the annealing temperature to 64 </w:t>
      </w:r>
      <w:r>
        <w:rPr>
          <w:rFonts w:eastAsia="Times New Roman"/>
          <w:szCs w:val="22"/>
          <w:lang w:val="en-GB" w:eastAsia="es-ES"/>
        </w:rPr>
        <w:t>°</w:t>
      </w:r>
      <w:r>
        <w:rPr>
          <w:rFonts w:eastAsia="Times New Roman" w:cs="AdvPSSAB-R"/>
          <w:szCs w:val="22"/>
          <w:lang w:val="en-GB" w:eastAsia="es-ES"/>
        </w:rPr>
        <w:t xml:space="preserve">C did reduce some </w:t>
        <w:lastRenderedPageBreak/>
        <w:t xml:space="preserve">of this risk.  </w:t>
      </w:r>
      <w:r>
        <w:t>However, because of the residual risk, positive test results using this method can only be considered reliable if they are confirmed by other HLB-specific PCR detection methods.”</w:t>
      </w:r>
    </w:p>
    <w:p w14:paraId="6887B05A" w14:textId="7A87B9E2">
      <w:pPr>
        <w:pStyle w:val="IPPParagraphnumbering"/>
        <w:numPr>
          <w:ilvl w:val="0"/>
          <w:numId w:val="0"/>
        </w:numPr>
        <w:rPr>
          <w:lang w:val="en-GB"/>
        </w:rPr>
      </w:pPr>
      <w:r>
        <w:rPr>
          <w:rStyle w:val="PleaseReviewParagraphId"/>
          <w:b w:val="off"/>
          <w:i w:val="off"/>
        </w:rPr>
        <w:t>[321]</w:t>
      </w:r>
      <w:r>
        <w:rPr>
          <w:lang w:val="en-GB"/>
        </w:rPr>
        <w:t xml:space="preserve">The master mix for Bertolini </w:t>
      </w:r>
      <w:r>
        <w:rPr>
          <w:i/>
          <w:lang w:val="en-GB"/>
        </w:rPr>
        <w:t>et al.</w:t>
      </w:r>
      <w:r>
        <w:rPr>
          <w:lang w:val="en-GB"/>
        </w:rPr>
        <w:t xml:space="preserve"> (2014) primers and probes is described in Table 5.</w:t>
      </w:r>
    </w:p>
    <w:p w14:paraId="38855645" w14:textId="7A5D52D1">
      <w:pPr>
        <w:pStyle w:val="IPPArial"/>
        <w:spacing w:after="120"/>
      </w:pPr>
      <w:r>
        <w:rPr>
          <w:rStyle w:val="PleaseReviewParagraphId"/>
          <w:b w:val="off"/>
          <w:i w:val="off"/>
        </w:rPr>
        <w:t>[322]</w:t>
      </w:r>
      <w:r>
        <w:rPr>
          <w:b/>
        </w:rPr>
        <w:t>Table 5.</w:t>
      </w:r>
      <w:r>
        <w:t xml:space="preserve"> Master mix composition and cycling conditions for real-time PCR using the primers and probes of Bertolini </w:t>
      </w:r>
      <w:r>
        <w:rPr>
          <w:i/>
        </w:rPr>
        <w:t>et al.</w:t>
      </w:r>
      <w:r>
        <w:t xml:space="preserve"> (2014)</w:t>
      </w:r>
    </w:p>
    <w:tbl>
      <w:tblPr>
        <w:tblW w:w="9072" w:type="dxa"/>
        <w:tblLayout w:type="fixed"/>
        <w:tblLook w:val="0000" w:firstRow="0" w:lastRow="0" w:firstColumn="0" w:lastColumn="0" w:noHBand="0" w:noVBand="0"/>
      </w:tblPr>
      <w:tblGrid>
        <w:gridCol w:w="5103"/>
        <w:gridCol w:w="3969"/>
      </w:tblGrid>
      <w:tr w14:paraId="53676EEE" w14:textId="77777777">
        <w:tc>
          <w:tcPr>
            <w:tcW w:w="5103" w:type="dxa"/>
            <w:tcBorders>
              <w:top w:val="single" w:color="000000" w:sz="4" w:space="0"/>
              <w:bottom w:val="single" w:color="000000" w:sz="4" w:space="0"/>
            </w:tcBorders>
            <w:shd w:val="clear" w:color="auto" w:fill="BFBFBF"/>
          </w:tcPr>
          <w:p w14:paraId="6E4B6C48" w14:textId="77777777">
            <w:pPr>
              <w:pStyle w:val="IPPArialTable"/>
              <w:rPr>
                <w:b/>
              </w:rPr>
            </w:pPr>
            <w:r>
              <w:rPr>
                <w:rStyle w:val="PleaseReviewParagraphId"/>
                <w:b w:val="off"/>
                <w:i w:val="off"/>
              </w:rPr>
              <w:t>[323]</w:t>
            </w:r>
            <w:r>
              <w:rPr>
                <w:b/>
              </w:rPr>
              <w:t>Reagents</w:t>
            </w:r>
          </w:p>
        </w:tc>
        <w:tc>
          <w:tcPr>
            <w:tcW w:w="3969" w:type="dxa"/>
            <w:tcBorders>
              <w:top w:val="single" w:color="000000" w:sz="4" w:space="0"/>
              <w:bottom w:val="single" w:color="000000" w:sz="4" w:space="0"/>
            </w:tcBorders>
            <w:shd w:val="clear" w:color="auto" w:fill="BFBFBF"/>
          </w:tcPr>
          <w:p w14:paraId="5E85F07A" w14:textId="77777777">
            <w:pPr>
              <w:pStyle w:val="IPPArialTable"/>
              <w:rPr>
                <w:b/>
              </w:rPr>
            </w:pPr>
            <w:r>
              <w:rPr>
                <w:rStyle w:val="PleaseReviewParagraphId"/>
                <w:b w:val="off"/>
                <w:i w:val="off"/>
              </w:rPr>
              <w:t>[324]</w:t>
            </w:r>
            <w:r>
              <w:rPr>
                <w:b/>
              </w:rPr>
              <w:t>Final concentration</w:t>
            </w:r>
          </w:p>
        </w:tc>
      </w:tr>
      <w:tr w14:paraId="45A52C43" w14:textId="77777777">
        <w:tc>
          <w:tcPr>
            <w:tcW w:w="5103" w:type="dxa"/>
            <w:tcBorders>
              <w:top w:val="single" w:color="000000" w:sz="4" w:space="0"/>
            </w:tcBorders>
            <w:shd w:val="clear" w:color="auto" w:fill="auto"/>
          </w:tcPr>
          <w:p w14:paraId="42178EE8" w14:textId="1F4633E1">
            <w:pPr>
              <w:pStyle w:val="IPPArialTable"/>
            </w:pPr>
            <w:r>
              <w:rPr>
                <w:rStyle w:val="PleaseReviewParagraphId"/>
                <w:b w:val="off"/>
                <w:i w:val="off"/>
              </w:rPr>
              <w:t>[325]</w:t>
            </w:r>
            <w:r>
              <w:t>PCR-grade</w:t>
            </w:r>
            <w:r>
              <w:rPr>
                <w:vertAlign w:val="superscript"/>
              </w:rPr>
              <w:t xml:space="preserve"> </w:t>
            </w:r>
            <w:r>
              <w:t xml:space="preserve">water </w:t>
            </w:r>
          </w:p>
        </w:tc>
        <w:tc>
          <w:tcPr>
            <w:tcW w:w="3969" w:type="dxa"/>
            <w:tcBorders>
              <w:top w:val="single" w:color="000000" w:sz="4" w:space="0"/>
            </w:tcBorders>
            <w:shd w:val="clear" w:color="auto" w:fill="FFFFFF"/>
          </w:tcPr>
          <w:p w14:paraId="1CD22A15" w14:textId="4F31274A">
            <w:pPr>
              <w:pStyle w:val="IPPArialTable"/>
              <w:rPr>
                <w:shd w:val="clear" w:color="auto" w:fill="C0C0C0"/>
              </w:rPr>
            </w:pPr>
            <w:r>
              <w:rPr>
                <w:rStyle w:val="PleaseReviewParagraphId"/>
                <w:b w:val="off"/>
                <w:i w:val="off"/>
              </w:rPr>
              <w:t>[326]</w:t>
            </w:r>
            <w:r>
              <w:t>– </w:t>
            </w:r>
            <w:r>
              <w:rPr>
                <w:vertAlign w:val="superscript"/>
              </w:rPr>
              <w:t>i</w:t>
            </w:r>
          </w:p>
        </w:tc>
      </w:tr>
      <w:tr w14:paraId="3E1899B6" w14:textId="77777777">
        <w:tc>
          <w:tcPr>
            <w:tcW w:w="5103" w:type="dxa"/>
            <w:shd w:val="clear" w:color="auto" w:fill="auto"/>
          </w:tcPr>
          <w:p w14:paraId="6C9FEEDD" w14:textId="7BE0B4FA">
            <w:pPr>
              <w:pStyle w:val="IPPArialTable"/>
            </w:pPr>
            <w:r>
              <w:rPr>
                <w:rStyle w:val="PleaseReviewParagraphId"/>
                <w:b w:val="off"/>
                <w:i w:val="off"/>
              </w:rPr>
              <w:t>[327]</w:t>
            </w:r>
            <w:r>
              <w:t>PCR mix (</w:t>
            </w:r>
            <w:r>
              <w:rPr>
                <w:szCs w:val="22"/>
                <w:lang w:eastAsia="es-MX"/>
              </w:rPr>
              <w:t>Path IDqPCR master mix)</w:t>
            </w:r>
            <w:r>
              <w:rPr>
                <w:szCs w:val="22"/>
                <w:vertAlign w:val="superscript"/>
                <w:lang w:eastAsia="es-MX"/>
              </w:rPr>
              <w:t>ii</w:t>
            </w:r>
          </w:p>
        </w:tc>
        <w:tc>
          <w:tcPr>
            <w:tcW w:w="3969" w:type="dxa"/>
            <w:shd w:val="clear" w:color="auto" w:fill="auto"/>
          </w:tcPr>
          <w:p w14:paraId="4E9B7D09" w14:textId="77777777">
            <w:pPr>
              <w:pStyle w:val="IPPArialTable"/>
            </w:pPr>
            <w:r>
              <w:rPr>
                <w:rStyle w:val="PleaseReviewParagraphId"/>
                <w:b w:val="off"/>
                <w:i w:val="off"/>
              </w:rPr>
              <w:t>[328]</w:t>
            </w:r>
            <w:r>
              <w:t>1×</w:t>
            </w:r>
          </w:p>
        </w:tc>
      </w:tr>
      <w:tr w14:paraId="582821A8" w14:textId="77777777">
        <w:tc>
          <w:tcPr>
            <w:tcW w:w="5103" w:type="dxa"/>
            <w:shd w:val="clear" w:color="auto" w:fill="auto"/>
          </w:tcPr>
          <w:p w14:paraId="50CDB3FB" w14:textId="77777777">
            <w:pPr>
              <w:pStyle w:val="IPPArialTable"/>
            </w:pPr>
            <w:r>
              <w:rPr>
                <w:rStyle w:val="PleaseReviewParagraphId"/>
                <w:b w:val="off"/>
                <w:i w:val="off"/>
              </w:rPr>
              <w:t>[329]</w:t>
            </w:r>
            <w:r>
              <w:rPr>
                <w:szCs w:val="22"/>
                <w:lang w:eastAsia="es-ES"/>
              </w:rPr>
              <w:t>Primer CaLsppF</w:t>
            </w:r>
            <w:r>
              <w:t xml:space="preserve"> (forward)</w:t>
            </w:r>
          </w:p>
        </w:tc>
        <w:tc>
          <w:tcPr>
            <w:tcW w:w="3969" w:type="dxa"/>
            <w:shd w:val="clear" w:color="auto" w:fill="auto"/>
          </w:tcPr>
          <w:p w14:paraId="7E7E8E5A" w14:textId="77777777">
            <w:pPr>
              <w:pStyle w:val="IPPArialTable"/>
            </w:pPr>
            <w:r>
              <w:rPr>
                <w:rStyle w:val="PleaseReviewParagraphId"/>
                <w:b w:val="off"/>
                <w:i w:val="off"/>
              </w:rPr>
              <w:t>[330]</w:t>
            </w:r>
            <w:r>
              <w:t>0.5 µM</w:t>
            </w:r>
          </w:p>
        </w:tc>
      </w:tr>
      <w:tr w14:paraId="4305020A" w14:textId="77777777">
        <w:tc>
          <w:tcPr>
            <w:tcW w:w="5103" w:type="dxa"/>
            <w:shd w:val="clear" w:color="auto" w:fill="auto"/>
          </w:tcPr>
          <w:p w14:paraId="16A019C1" w14:textId="77777777">
            <w:pPr>
              <w:pStyle w:val="IPPArialTable"/>
            </w:pPr>
            <w:r>
              <w:rPr>
                <w:rStyle w:val="PleaseReviewParagraphId"/>
                <w:b w:val="off"/>
                <w:i w:val="off"/>
              </w:rPr>
              <w:t>[331]</w:t>
            </w:r>
            <w:r>
              <w:rPr>
                <w:szCs w:val="22"/>
                <w:lang w:eastAsia="es-ES"/>
              </w:rPr>
              <w:t>Primer CaLsppR</w:t>
            </w:r>
            <w:r>
              <w:t xml:space="preserve"> (reverse)</w:t>
            </w:r>
          </w:p>
        </w:tc>
        <w:tc>
          <w:tcPr>
            <w:tcW w:w="3969" w:type="dxa"/>
            <w:shd w:val="clear" w:color="auto" w:fill="auto"/>
          </w:tcPr>
          <w:p w14:paraId="1708ADEC" w14:textId="77777777">
            <w:pPr>
              <w:pStyle w:val="IPPArialTable"/>
            </w:pPr>
            <w:r>
              <w:rPr>
                <w:rStyle w:val="PleaseReviewParagraphId"/>
                <w:b w:val="off"/>
                <w:i w:val="off"/>
              </w:rPr>
              <w:t>[332]</w:t>
            </w:r>
            <w:r>
              <w:t>0.5 µM</w:t>
            </w:r>
          </w:p>
        </w:tc>
      </w:tr>
      <w:tr w14:paraId="278D9F23" w14:textId="77777777">
        <w:tc>
          <w:tcPr>
            <w:tcW w:w="5103" w:type="dxa"/>
            <w:shd w:val="clear" w:color="auto" w:fill="auto"/>
          </w:tcPr>
          <w:p w14:paraId="322C022A" w14:textId="77777777">
            <w:pPr>
              <w:pStyle w:val="IPPArialTable"/>
            </w:pPr>
            <w:r>
              <w:rPr>
                <w:rStyle w:val="PleaseReviewParagraphId"/>
                <w:b w:val="off"/>
                <w:i w:val="off"/>
              </w:rPr>
              <w:t>[333]</w:t>
            </w:r>
            <w:r>
              <w:rPr>
                <w:szCs w:val="22"/>
                <w:lang w:eastAsia="es-ES"/>
              </w:rPr>
              <w:t>Probe HLBp</w:t>
            </w:r>
          </w:p>
        </w:tc>
        <w:tc>
          <w:tcPr>
            <w:tcW w:w="3969" w:type="dxa"/>
            <w:shd w:val="clear" w:color="auto" w:fill="auto"/>
          </w:tcPr>
          <w:p w14:paraId="5D5BD880" w14:textId="77777777">
            <w:pPr>
              <w:pStyle w:val="IPPArialTable"/>
            </w:pPr>
            <w:r>
              <w:rPr>
                <w:rStyle w:val="PleaseReviewParagraphId"/>
                <w:b w:val="off"/>
                <w:i w:val="off"/>
              </w:rPr>
              <w:t>[334]</w:t>
            </w:r>
            <w:r>
              <w:t>0.1 µM</w:t>
            </w:r>
          </w:p>
        </w:tc>
      </w:tr>
      <w:tr w14:paraId="4F6E78A3" w14:textId="77777777">
        <w:tc>
          <w:tcPr>
            <w:tcW w:w="5103" w:type="dxa"/>
            <w:tcBorders>
              <w:top w:val="single" w:color="auto" w:sz="4" w:space="0"/>
              <w:bottom w:val="single" w:color="000000" w:sz="4" w:space="0"/>
            </w:tcBorders>
            <w:shd w:val="clear" w:color="auto" w:fill="auto"/>
          </w:tcPr>
          <w:p w14:paraId="7F1EC61F" w14:textId="77777777">
            <w:pPr>
              <w:pStyle w:val="IPPArialTable"/>
            </w:pPr>
            <w:r>
              <w:rPr>
                <w:rStyle w:val="PleaseReviewParagraphId"/>
                <w:b w:val="off"/>
                <w:i w:val="off"/>
              </w:rPr>
              <w:t>[335]</w:t>
            </w:r>
            <w:r>
              <w:t>DNA volume</w:t>
            </w:r>
          </w:p>
        </w:tc>
        <w:tc>
          <w:tcPr>
            <w:tcW w:w="3969" w:type="dxa"/>
            <w:tcBorders>
              <w:top w:val="single" w:color="000000" w:sz="4" w:space="0"/>
              <w:bottom w:val="single" w:color="000000" w:sz="4" w:space="0"/>
            </w:tcBorders>
            <w:shd w:val="clear" w:color="auto" w:fill="auto"/>
          </w:tcPr>
          <w:p w14:paraId="5AA38D3E" w14:textId="2BBD1188">
            <w:pPr>
              <w:pStyle w:val="IPPArialTable"/>
            </w:pPr>
            <w:r>
              <w:rPr>
                <w:rStyle w:val="PleaseReviewParagraphId"/>
                <w:b w:val="off"/>
                <w:i w:val="off"/>
              </w:rPr>
              <w:t>[336]</w:t>
            </w:r>
            <w:r>
              <w:t>3 µL DNA extract of plant or insect vector tissue</w:t>
            </w:r>
          </w:p>
        </w:tc>
      </w:tr>
      <w:tr w14:paraId="1C6EC03A" w14:textId="77777777">
        <w:tc>
          <w:tcPr>
            <w:tcW w:w="5103" w:type="dxa"/>
            <w:tcBorders>
              <w:top w:val="single" w:color="000000" w:sz="4" w:space="0"/>
              <w:bottom w:val="single" w:color="000000" w:sz="4" w:space="0"/>
            </w:tcBorders>
            <w:shd w:val="clear" w:color="auto" w:fill="BFBFBF"/>
          </w:tcPr>
          <w:p w14:paraId="5C16DB62" w14:textId="77777777">
            <w:pPr>
              <w:pStyle w:val="IPPArialTable"/>
              <w:rPr>
                <w:b/>
              </w:rPr>
            </w:pPr>
            <w:r>
              <w:rPr>
                <w:rStyle w:val="PleaseReviewParagraphId"/>
                <w:b w:val="off"/>
                <w:i w:val="off"/>
              </w:rPr>
              <w:t>[337]</w:t>
            </w:r>
            <w:r>
              <w:rPr>
                <w:b/>
              </w:rPr>
              <w:t>Cycling parameters</w:t>
            </w:r>
          </w:p>
        </w:tc>
        <w:tc>
          <w:tcPr>
            <w:tcW w:w="3969" w:type="dxa"/>
            <w:tcBorders>
              <w:top w:val="single" w:color="000000" w:sz="4" w:space="0"/>
              <w:bottom w:val="single" w:color="000000" w:sz="4" w:space="0"/>
            </w:tcBorders>
            <w:shd w:val="clear" w:color="auto" w:fill="BFBFBF"/>
          </w:tcPr>
          <w:p w14:paraId="73EB1418" w14:textId="77777777">
            <w:pPr>
              <w:pStyle w:val="IPPArialTable"/>
            </w:pPr>
            <w:r>
              <w:rPr>
                <w:rStyle w:val="PleaseReviewParagraphId"/>
                <w:b w:val="off"/>
                <w:i w:val="off"/>
              </w:rPr>
              <w:t>[338]</w:t>
            </w:r>
          </w:p>
        </w:tc>
      </w:tr>
      <w:tr w14:paraId="3847EE8D" w14:textId="77777777">
        <w:tc>
          <w:tcPr>
            <w:tcW w:w="5103" w:type="dxa"/>
            <w:tcBorders>
              <w:top w:val="single" w:color="000000" w:sz="4" w:space="0"/>
            </w:tcBorders>
            <w:shd w:val="clear" w:color="auto" w:fill="auto"/>
          </w:tcPr>
          <w:p w14:paraId="5FD12CF0" w14:textId="77777777">
            <w:pPr>
              <w:pStyle w:val="IPPArialTable"/>
            </w:pPr>
            <w:r>
              <w:rPr>
                <w:rStyle w:val="PleaseReviewParagraphId"/>
                <w:b w:val="off"/>
                <w:i w:val="off"/>
              </w:rPr>
              <w:t>[339]</w:t>
            </w:r>
            <w:r>
              <w:t>Initial denaturation</w:t>
            </w:r>
          </w:p>
        </w:tc>
        <w:tc>
          <w:tcPr>
            <w:tcW w:w="3969" w:type="dxa"/>
            <w:tcBorders>
              <w:top w:val="single" w:color="000000" w:sz="4" w:space="0"/>
            </w:tcBorders>
            <w:shd w:val="clear" w:color="auto" w:fill="auto"/>
          </w:tcPr>
          <w:p w14:paraId="76B5D20B" w14:textId="77777777">
            <w:pPr>
              <w:pStyle w:val="IPPArialTable"/>
            </w:pPr>
            <w:r>
              <w:rPr>
                <w:rStyle w:val="PleaseReviewParagraphId"/>
                <w:b w:val="off"/>
                <w:i w:val="off"/>
              </w:rPr>
              <w:t>[340]</w:t>
            </w:r>
            <w:r>
              <w:t>95 °C for 10 min</w:t>
            </w:r>
          </w:p>
        </w:tc>
      </w:tr>
      <w:tr w14:paraId="26FD4A07" w14:textId="77777777">
        <w:tc>
          <w:tcPr>
            <w:tcW w:w="5103" w:type="dxa"/>
            <w:shd w:val="clear" w:color="auto" w:fill="auto"/>
          </w:tcPr>
          <w:p w14:paraId="3A97691F" w14:textId="77777777">
            <w:pPr>
              <w:pStyle w:val="IPPArialTable"/>
            </w:pPr>
            <w:r>
              <w:rPr>
                <w:rStyle w:val="PleaseReviewParagraphId"/>
                <w:b w:val="off"/>
                <w:i w:val="off"/>
              </w:rPr>
              <w:t>[341]</w:t>
            </w:r>
            <w:r>
              <w:t>Number of cycles</w:t>
            </w:r>
          </w:p>
        </w:tc>
        <w:tc>
          <w:tcPr>
            <w:tcW w:w="3969" w:type="dxa"/>
            <w:shd w:val="clear" w:color="auto" w:fill="auto"/>
          </w:tcPr>
          <w:p w14:paraId="5DA89231" w14:textId="77777777">
            <w:pPr>
              <w:pStyle w:val="IPPArialTable"/>
            </w:pPr>
            <w:r>
              <w:rPr>
                <w:rStyle w:val="PleaseReviewParagraphId"/>
                <w:b w:val="off"/>
                <w:i w:val="off"/>
              </w:rPr>
              <w:t>[342]</w:t>
            </w:r>
            <w:r>
              <w:t>40</w:t>
            </w:r>
          </w:p>
        </w:tc>
      </w:tr>
      <w:tr w14:paraId="411FACBC" w14:textId="77777777">
        <w:tc>
          <w:tcPr>
            <w:tcW w:w="5103" w:type="dxa"/>
            <w:shd w:val="clear" w:color="auto" w:fill="auto"/>
          </w:tcPr>
          <w:p w14:paraId="5E0DBB6B" w14:textId="77777777">
            <w:pPr>
              <w:pStyle w:val="IPPArialTable"/>
              <w:numPr>
                <w:ilvl w:val="0"/>
                <w:numId w:val="80"/>
              </w:numPr>
              <w:ind w:left="284" w:hanging="142"/>
            </w:pPr>
            <w:r>
              <w:rPr>
                <w:rStyle w:val="PleaseReviewParagraphId"/>
                <w:b w:val="off"/>
                <w:i w:val="off"/>
              </w:rPr>
              <w:t>[343]</w:t>
            </w:r>
            <w:r>
              <w:t>Denaturation</w:t>
            </w:r>
          </w:p>
        </w:tc>
        <w:tc>
          <w:tcPr>
            <w:tcW w:w="3969" w:type="dxa"/>
            <w:shd w:val="clear" w:color="auto" w:fill="auto"/>
          </w:tcPr>
          <w:p w14:paraId="4FDBDFA5" w14:textId="0F566B78">
            <w:pPr>
              <w:pStyle w:val="IPPArialTable"/>
            </w:pPr>
            <w:r>
              <w:rPr>
                <w:rStyle w:val="PleaseReviewParagraphId"/>
                <w:b w:val="off"/>
                <w:i w:val="off"/>
              </w:rPr>
              <w:t>[344]</w:t>
            </w:r>
            <w:r>
              <w:t>95 °C for 15 s</w:t>
            </w:r>
          </w:p>
        </w:tc>
      </w:tr>
      <w:tr w14:paraId="36C73911" w14:textId="77777777">
        <w:tc>
          <w:tcPr>
            <w:tcW w:w="5103" w:type="dxa"/>
            <w:tcBorders>
              <w:bottom w:val="single" w:color="000000" w:sz="4" w:space="0"/>
            </w:tcBorders>
            <w:shd w:val="clear" w:color="auto" w:fill="auto"/>
          </w:tcPr>
          <w:p w14:paraId="7732826F" w14:textId="3377B2A3">
            <w:pPr>
              <w:pStyle w:val="IPPArialTable"/>
              <w:numPr>
                <w:ilvl w:val="0"/>
                <w:numId w:val="80"/>
              </w:numPr>
              <w:ind w:left="284" w:hanging="142"/>
            </w:pPr>
            <w:r>
              <w:rPr>
                <w:rStyle w:val="PleaseReviewParagraphId"/>
                <w:b w:val="off"/>
                <w:i w:val="off"/>
              </w:rPr>
              <w:t>[345]</w:t>
            </w:r>
            <w:r>
              <w:t>Annealing and elongation</w:t>
            </w:r>
          </w:p>
        </w:tc>
        <w:tc>
          <w:tcPr>
            <w:tcW w:w="3969" w:type="dxa"/>
            <w:tcBorders>
              <w:bottom w:val="single" w:color="000000" w:sz="4" w:space="0"/>
            </w:tcBorders>
            <w:shd w:val="clear" w:color="auto" w:fill="auto"/>
          </w:tcPr>
          <w:p w14:paraId="67C2C9DE" w14:textId="120CF58E">
            <w:pPr>
              <w:pStyle w:val="IPPArialTable"/>
            </w:pPr>
            <w:r>
              <w:rPr>
                <w:rStyle w:val="PleaseReviewParagraphId"/>
                <w:b w:val="off"/>
                <w:i w:val="off"/>
              </w:rPr>
              <w:t>[346]</w:t>
            </w:r>
            <w:r>
              <w:t>60 °C for 60 s</w:t>
            </w:r>
          </w:p>
        </w:tc>
      </w:tr>
    </w:tbl>
    <w:p w14:paraId="730EBB0F" w14:textId="2EA3CAFC">
      <w:pPr>
        <w:pStyle w:val="IPPArialFootnote"/>
        <w:rPr>
          <w:rStyle w:val="PleaseReviewParagraphId"/>
          <w:rFonts w:eastAsia="MS Mincho"/>
          <w:color w:val="auto"/>
          <w:vertAlign w:val="superscript"/>
        </w:rPr>
      </w:pPr>
      <w:r>
        <w:rPr>
          <w:rStyle w:val="PleaseReviewParagraphId"/>
          <w:b w:val="off"/>
          <w:i w:val="off"/>
        </w:rPr>
        <w:t>[347]</w:t>
      </w:r>
      <w:r>
        <w:rPr>
          <w:rStyle w:val="PleaseReviewParagraphId"/>
          <w:color w:val="auto"/>
          <w:vertAlign w:val="superscript"/>
        </w:rPr>
        <w:t>i</w:t>
      </w:r>
      <w:r>
        <w:rPr>
          <w:rStyle w:val="PleaseReviewParagraphId"/>
          <w:color w:val="auto"/>
        </w:rPr>
        <w:t xml:space="preserve"> For a final reaction volume of 12 </w:t>
      </w:r>
      <w:r>
        <w:rPr>
          <w:rStyle w:val="PleaseReviewParagraphId"/>
          <w:rFonts w:cs="Arial"/>
          <w:color w:val="auto"/>
        </w:rPr>
        <w:t>µ</w:t>
      </w:r>
      <w:r>
        <w:rPr>
          <w:rStyle w:val="PleaseReviewParagraphId"/>
          <w:color w:val="auto"/>
        </w:rPr>
        <w:t>L.</w:t>
      </w:r>
    </w:p>
    <w:p w14:paraId="54786587" w14:textId="0D78EC52">
      <w:pPr>
        <w:pStyle w:val="IPPArialFootnote"/>
        <w:rPr>
          <w:rStyle w:val="PleaseReviewParagraphId"/>
          <w:color w:val="auto"/>
        </w:rPr>
      </w:pPr>
      <w:r>
        <w:rPr>
          <w:rStyle w:val="PleaseReviewParagraphId"/>
          <w:b w:val="off"/>
          <w:i w:val="off"/>
        </w:rPr>
        <w:t>[348]</w:t>
      </w:r>
      <w:r>
        <w:rPr>
          <w:rStyle w:val="PleaseReviewParagraphId"/>
          <w:color w:val="auto"/>
          <w:vertAlign w:val="superscript"/>
        </w:rPr>
        <w:t>ii</w:t>
      </w:r>
      <w:r>
        <w:rPr>
          <w:rStyle w:val="PleaseReviewParagraphId"/>
          <w:color w:val="auto"/>
        </w:rPr>
        <w:t xml:space="preserve"> See page footnote 1.</w:t>
      </w:r>
    </w:p>
    <w:p w14:paraId="13E51ED7" w14:textId="09A13475">
      <w:pPr>
        <w:pStyle w:val="IPPArialTable"/>
        <w:spacing w:after="180"/>
        <w:rPr>
          <w:rStyle w:val="PleaseReviewParagraphId"/>
          <w:color w:val="auto"/>
        </w:rPr>
      </w:pPr>
      <w:r>
        <w:rPr>
          <w:rStyle w:val="PleaseReviewParagraphId"/>
          <w:b w:val="off"/>
          <w:i w:val="off"/>
        </w:rPr>
        <w:t>[349]</w:t>
      </w:r>
      <w:r>
        <w:rPr>
          <w:rStyle w:val="PleaseReviewParagraphId"/>
          <w:color w:val="auto"/>
        </w:rPr>
        <w:t>PCR, polymerase chain reaction.</w:t>
      </w:r>
    </w:p>
    <w:p w14:paraId="4DABCF70" w14:textId="24E454F5">
      <w:pPr>
        <w:pStyle w:val="IPPParagraphnumbering"/>
        <w:numPr>
          <w:ilvl w:val="0"/>
          <w:numId w:val="0"/>
        </w:numPr>
        <w:rPr>
          <w:rFonts w:ascii="AdvP4C4E74" w:hAnsi="AdvP4C4E74" w:eastAsia="Times New Roman" w:cs="AdvP4C4E74"/>
          <w:sz w:val="13"/>
          <w:szCs w:val="13"/>
          <w:lang w:val="en-GB" w:eastAsia="es-ES"/>
        </w:rPr>
      </w:pPr>
      <w:r>
        <w:rPr>
          <w:rStyle w:val="PleaseReviewParagraphId"/>
          <w:b w:val="off"/>
          <w:i w:val="off"/>
        </w:rPr>
        <w:t>[350]</w:t>
      </w:r>
      <w:r>
        <w:rPr>
          <w:lang w:val="en-GB" w:eastAsia="es-MX"/>
        </w:rPr>
        <w:t xml:space="preserve">A diagnostic kit, HLB 100, for use with immobilized plant tissue prints or vector squashes and this PCR method (with lyophilized master </w:t>
      </w:r>
      <w:r>
        <w:rPr>
          <w:lang w:val="en-GB"/>
        </w:rPr>
        <w:t>mix</w:t>
      </w:r>
      <w:r>
        <w:rPr>
          <w:lang w:val="en-GB" w:eastAsia="es-MX"/>
        </w:rPr>
        <w:t>), is commercially available from Plant Print Diagnostics</w:t>
      </w:r>
      <w:r>
        <w:rPr>
          <w:vertAlign w:val="superscript"/>
          <w:lang w:val="en-GB" w:eastAsia="es-MX"/>
        </w:rPr>
        <w:t>1</w:t>
      </w:r>
      <w:r>
        <w:rPr>
          <w:lang w:val="en-GB" w:eastAsia="es-MX"/>
        </w:rPr>
        <w:t xml:space="preserve"> (</w:t>
      </w:r>
      <w:hyperlink w:history="1" r:id="rId19">
        <w:r>
          <w:rPr>
            <w:rStyle w:val="Hyperlink"/>
            <w:szCs w:val="22"/>
            <w:lang w:val="en-GB" w:eastAsia="es-MX"/>
          </w:rPr>
          <w:t>www.plantprint.net</w:t>
        </w:r>
      </w:hyperlink>
      <w:r>
        <w:rPr>
          <w:lang w:val="en-GB" w:eastAsia="es-MX"/>
        </w:rPr>
        <w:t xml:space="preserve">). It has been used in surveys in Brazil, Réunion (France) and Spain, among other countries (Bertolini </w:t>
      </w:r>
      <w:r>
        <w:rPr>
          <w:i/>
          <w:iCs/>
          <w:lang w:val="en-GB" w:eastAsia="es-MX"/>
        </w:rPr>
        <w:t>et</w:t>
      </w:r>
      <w:r>
        <w:rPr>
          <w:rFonts w:eastAsia="Calibri"/>
          <w:i/>
          <w:iCs/>
          <w:lang w:val="en-GB" w:eastAsia="es-ES"/>
        </w:rPr>
        <w:t> </w:t>
      </w:r>
      <w:r>
        <w:rPr>
          <w:i/>
          <w:iCs/>
          <w:lang w:val="en-GB" w:eastAsia="es-MX"/>
        </w:rPr>
        <w:t>al.</w:t>
      </w:r>
      <w:r>
        <w:rPr>
          <w:lang w:val="en-GB" w:eastAsia="es-MX"/>
        </w:rPr>
        <w:t xml:space="preserve">, 2014; Siverio </w:t>
      </w:r>
      <w:r>
        <w:rPr>
          <w:i/>
          <w:iCs/>
          <w:lang w:val="en-GB" w:eastAsia="es-MX"/>
        </w:rPr>
        <w:t>et</w:t>
      </w:r>
      <w:r>
        <w:rPr>
          <w:rFonts w:eastAsia="Calibri"/>
          <w:i/>
          <w:iCs/>
          <w:lang w:val="en-GB" w:eastAsia="es-ES"/>
        </w:rPr>
        <w:t> </w:t>
      </w:r>
      <w:r>
        <w:rPr>
          <w:i/>
          <w:iCs/>
          <w:lang w:val="en-GB" w:eastAsia="es-MX"/>
        </w:rPr>
        <w:t>al.</w:t>
      </w:r>
      <w:r>
        <w:rPr>
          <w:lang w:val="en-GB" w:eastAsia="es-MX"/>
        </w:rPr>
        <w:t>, 2017).</w:t>
      </w:r>
    </w:p>
    <w:p w14:paraId="20C8E0C9" w14:textId="43ACB4D6">
      <w:pPr>
        <w:pStyle w:val="IPPHeading3"/>
        <w:rPr>
          <w:lang w:eastAsia="es-ES"/>
        </w:rPr>
      </w:pPr>
      <w:r>
        <w:rPr>
          <w:rStyle w:val="PleaseReviewParagraphId"/>
          <w:b w:val="off"/>
          <w:i w:val="off"/>
        </w:rPr>
        <w:t>[351]</w:t>
      </w:r>
      <w:r>
        <w:rPr>
          <w:lang w:eastAsia="es-ES"/>
        </w:rPr>
        <w:t>3.4.4.3</w:t>
        <w:tab/>
        <w:t xml:space="preserve">Real-time PCR using the primers and probes of Morgan </w:t>
      </w:r>
      <w:r>
        <w:rPr>
          <w:i w:val="0"/>
          <w:lang w:eastAsia="es-ES"/>
        </w:rPr>
        <w:t>et</w:t>
      </w:r>
      <w:r>
        <w:rPr>
          <w:rFonts w:eastAsia="Calibri"/>
          <w:i w:val="0"/>
          <w:lang w:eastAsia="es-ES"/>
        </w:rPr>
        <w:t> </w:t>
      </w:r>
      <w:r>
        <w:rPr>
          <w:i w:val="0"/>
          <w:lang w:eastAsia="es-ES"/>
        </w:rPr>
        <w:t>al.</w:t>
      </w:r>
      <w:r>
        <w:rPr>
          <w:lang w:eastAsia="es-ES"/>
        </w:rPr>
        <w:t xml:space="preserve"> (2012)</w:t>
      </w:r>
    </w:p>
    <w:p w14:paraId="55643BEF" w14:textId="2BE4E46E">
      <w:pPr>
        <w:pStyle w:val="IPPParagraphnumbering"/>
        <w:numPr>
          <w:ilvl w:val="0"/>
          <w:numId w:val="0"/>
        </w:numPr>
        <w:rPr>
          <w:rFonts w:eastAsia="Times New Roman"/>
          <w:szCs w:val="22"/>
          <w:lang w:val="en-GB" w:eastAsia="es-ES"/>
        </w:rPr>
      </w:pPr>
      <w:r>
        <w:rPr>
          <w:rStyle w:val="PleaseReviewParagraphId"/>
          <w:b w:val="off"/>
          <w:i w:val="off"/>
        </w:rPr>
        <w:t>[352]</w:t>
      </w:r>
      <w:r>
        <w:rPr>
          <w:rFonts w:eastAsia="Times New Roman"/>
          <w:bCs/>
          <w:szCs w:val="22"/>
          <w:lang w:val="en-GB" w:eastAsia="es-ES"/>
        </w:rPr>
        <w:t>This real-time PCR method</w:t>
      </w:r>
      <w:r>
        <w:rPr>
          <w:rFonts w:eastAsia="Times New Roman"/>
          <w:b/>
          <w:bCs/>
          <w:szCs w:val="22"/>
          <w:lang w:val="en-GB" w:eastAsia="es-ES"/>
        </w:rPr>
        <w:t xml:space="preserve"> </w:t>
      </w:r>
      <w:r>
        <w:rPr>
          <w:rFonts w:eastAsia="Times New Roman"/>
          <w:bCs/>
          <w:szCs w:val="22"/>
          <w:lang w:val="en-GB" w:eastAsia="es-ES"/>
        </w:rPr>
        <w:t>was developed</w:t>
      </w:r>
      <w:r>
        <w:rPr>
          <w:rFonts w:eastAsia="Times New Roman"/>
          <w:szCs w:val="22"/>
          <w:lang w:val="en-GB" w:eastAsia="es-ES"/>
        </w:rPr>
        <w:t xml:space="preserve"> </w:t>
      </w:r>
      <w:r>
        <w:rPr>
          <w:szCs w:val="22"/>
          <w:lang w:val="en-GB"/>
        </w:rPr>
        <w:t>for detection of ‘</w:t>
      </w:r>
      <w:r>
        <w:rPr>
          <w:i/>
          <w:iCs/>
          <w:szCs w:val="22"/>
          <w:lang w:val="en-GB"/>
        </w:rPr>
        <w:t>Ca. </w:t>
      </w:r>
      <w:r>
        <w:rPr>
          <w:szCs w:val="22"/>
          <w:lang w:val="en-GB"/>
        </w:rPr>
        <w:t xml:space="preserve">Liberibacter asiaticus’ and </w:t>
      </w:r>
      <w:r>
        <w:rPr>
          <w:rFonts w:eastAsia="Times New Roman"/>
          <w:szCs w:val="22"/>
          <w:lang w:val="en-GB" w:eastAsia="es-ES"/>
        </w:rPr>
        <w:t xml:space="preserve">uses </w:t>
      </w:r>
      <w:r>
        <w:rPr>
          <w:szCs w:val="22"/>
          <w:lang w:val="en-GB" w:eastAsia="es-MX"/>
        </w:rPr>
        <w:t xml:space="preserve">primers based on the internal 100 bp region of the 132 bp full repeat shared by the high copy </w:t>
      </w:r>
      <w:r>
        <w:rPr>
          <w:i/>
          <w:szCs w:val="22"/>
          <w:lang w:val="en-GB" w:eastAsia="es-MX"/>
        </w:rPr>
        <w:t xml:space="preserve">hyvI </w:t>
      </w:r>
      <w:r>
        <w:rPr>
          <w:iCs/>
          <w:szCs w:val="22"/>
          <w:lang w:val="en-GB" w:eastAsia="es-MX"/>
        </w:rPr>
        <w:t xml:space="preserve">and </w:t>
      </w:r>
      <w:r>
        <w:rPr>
          <w:i/>
          <w:szCs w:val="22"/>
          <w:lang w:val="en-GB" w:eastAsia="es-MX"/>
        </w:rPr>
        <w:t>hyvII</w:t>
      </w:r>
      <w:r>
        <w:rPr>
          <w:szCs w:val="22"/>
          <w:lang w:val="en-GB" w:eastAsia="es-MX"/>
        </w:rPr>
        <w:t xml:space="preserve"> genes. </w:t>
      </w:r>
    </w:p>
    <w:p w14:paraId="015C3385" w14:textId="77777777">
      <w:pPr>
        <w:pStyle w:val="IPPParagraphnumberingclose"/>
        <w:numPr>
          <w:ilvl w:val="0"/>
          <w:numId w:val="0"/>
        </w:numPr>
        <w:rPr>
          <w:lang w:val="en-GB" w:eastAsia="es-ES"/>
        </w:rPr>
      </w:pPr>
      <w:r>
        <w:rPr>
          <w:rStyle w:val="PleaseReviewParagraphId"/>
          <w:b w:val="off"/>
          <w:i w:val="off"/>
        </w:rPr>
        <w:t>[353]</w:t>
      </w:r>
      <w:r>
        <w:rPr>
          <w:lang w:val="en-GB" w:eastAsia="es-ES"/>
        </w:rPr>
        <w:t>The primers and probes used are:</w:t>
      </w:r>
    </w:p>
    <w:p w14:paraId="493113D0" w14:textId="656E185F">
      <w:pPr>
        <w:pStyle w:val="IPPIndentClose"/>
        <w:rPr>
          <w:lang w:eastAsia="es-ES"/>
        </w:rPr>
      </w:pPr>
      <w:r>
        <w:rPr>
          <w:rStyle w:val="PleaseReviewParagraphId"/>
          <w:b w:val="off"/>
          <w:i w:val="off"/>
        </w:rPr>
        <w:t>[354]</w:t>
      </w:r>
      <w:r>
        <w:rPr>
          <w:lang w:eastAsia="es-ES"/>
        </w:rPr>
        <w:t>LJ900f</w:t>
      </w:r>
      <w:r>
        <w:rPr>
          <w:vertAlign w:val="subscript"/>
          <w:lang w:eastAsia="es-ES"/>
        </w:rPr>
        <w:t>f</w:t>
      </w:r>
      <w:r>
        <w:rPr>
          <w:lang w:eastAsia="es-ES"/>
        </w:rPr>
        <w:t xml:space="preserve"> (forward primer): 5’- GCC GTT TTA ACA CAA AAG ATG AAT ATC </w:t>
      </w:r>
      <w:smartTag w:uri="urn:schemas-microsoft-com:office:smarttags" w:element="metricconverter">
        <w:smartTagPr>
          <w:attr w:name="ProductID" w:val="-3’"/>
        </w:smartTagPr>
        <w:r>
          <w:rPr>
            <w:lang w:eastAsia="es-ES"/>
          </w:rPr>
          <w:t>-3’</w:t>
        </w:r>
      </w:smartTag>
    </w:p>
    <w:p w14:paraId="7AD1E9A1" w14:textId="032D260B">
      <w:pPr>
        <w:pStyle w:val="IPPIndentClose"/>
        <w:rPr>
          <w:lang w:eastAsia="es-ES"/>
        </w:rPr>
      </w:pPr>
      <w:r>
        <w:rPr>
          <w:rStyle w:val="PleaseReviewParagraphId"/>
          <w:b w:val="off"/>
          <w:i w:val="off"/>
        </w:rPr>
        <w:t>[355]</w:t>
      </w:r>
      <w:r>
        <w:rPr>
          <w:lang w:eastAsia="es-ES"/>
        </w:rPr>
        <w:t>LJ900f</w:t>
      </w:r>
      <w:r>
        <w:rPr>
          <w:vertAlign w:val="subscript"/>
          <w:lang w:eastAsia="es-ES"/>
        </w:rPr>
        <w:t>r</w:t>
      </w:r>
      <w:r>
        <w:rPr>
          <w:lang w:eastAsia="es-ES"/>
        </w:rPr>
        <w:t xml:space="preserve"> (reverse primer): 5’- ATA AAT CAA TTT GTT CTA GTT TAC GAC </w:t>
      </w:r>
      <w:smartTag w:uri="urn:schemas-microsoft-com:office:smarttags" w:element="metricconverter">
        <w:smartTagPr>
          <w:attr w:name="ProductID" w:val="-3’"/>
        </w:smartTagPr>
        <w:r>
          <w:rPr>
            <w:lang w:eastAsia="es-ES"/>
          </w:rPr>
          <w:t>-3’</w:t>
        </w:r>
      </w:smartTag>
    </w:p>
    <w:p w14:paraId="61FCAD56" w14:textId="77777777">
      <w:pPr>
        <w:pStyle w:val="IPPIndent"/>
        <w:rPr>
          <w:lang w:eastAsia="es-ES"/>
        </w:rPr>
      </w:pPr>
      <w:r>
        <w:rPr>
          <w:rStyle w:val="PleaseReviewParagraphId"/>
          <w:b w:val="off"/>
          <w:i w:val="off"/>
        </w:rPr>
        <w:t>[356]</w:t>
      </w:r>
      <w:r>
        <w:rPr>
          <w:lang w:eastAsia="es-ES"/>
        </w:rPr>
        <w:t>Probe LJ900p</w:t>
      </w:r>
      <w:r>
        <w:rPr>
          <w:vertAlign w:val="subscript"/>
          <w:lang w:eastAsia="es-ES"/>
        </w:rPr>
        <w:t>p</w:t>
      </w:r>
      <w:r>
        <w:rPr>
          <w:lang w:eastAsia="es-ES"/>
        </w:rPr>
        <w:t>: FAM-ACA TCT TTC GTT TGA GTA GCT AGA TCA TTG A-Iowa Black FQ</w:t>
      </w:r>
    </w:p>
    <w:p w14:paraId="1D0859F8" w14:textId="440266A7">
      <w:pPr>
        <w:pStyle w:val="IPPParagraphnumbering"/>
        <w:numPr>
          <w:ilvl w:val="0"/>
          <w:numId w:val="0"/>
        </w:numPr>
        <w:rPr>
          <w:lang w:val="en-GB"/>
        </w:rPr>
      </w:pPr>
      <w:r>
        <w:rPr>
          <w:rStyle w:val="PleaseReviewParagraphId"/>
          <w:b w:val="off"/>
          <w:i w:val="off"/>
        </w:rPr>
        <w:t>[357]</w:t>
      </w:r>
      <w:r>
        <w:rPr>
          <w:lang w:val="en-GB"/>
        </w:rPr>
        <w:t xml:space="preserve">The master mix for the Morgan </w:t>
      </w:r>
      <w:r>
        <w:rPr>
          <w:i/>
          <w:lang w:val="en-GB"/>
        </w:rPr>
        <w:t>et al.</w:t>
      </w:r>
      <w:r>
        <w:rPr>
          <w:lang w:val="en-GB"/>
        </w:rPr>
        <w:t xml:space="preserve"> (2012) primers and probes is described in Table 6.</w:t>
      </w:r>
      <w:r>
        <w:rPr>
          <w:rFonts w:ascii="Arial" w:hAnsi="Arial" w:cs="Arial"/>
          <w:b/>
          <w:sz w:val="18"/>
          <w:szCs w:val="18"/>
          <w:lang w:val="en-GB"/>
        </w:rPr>
        <w:br w:type="page"/>
      </w:r>
    </w:p>
    <w:p w14:paraId="241D61F1" w14:textId="62C43A95">
      <w:pPr>
        <w:pStyle w:val="IPPParagraphnumbering"/>
        <w:numPr>
          <w:ilvl w:val="0"/>
          <w:numId w:val="0"/>
        </w:numPr>
        <w:rPr>
          <w:rFonts w:ascii="Arial" w:hAnsi="Arial" w:cs="Arial"/>
          <w:sz w:val="18"/>
          <w:szCs w:val="18"/>
          <w:lang w:val="en-GB"/>
        </w:rPr>
      </w:pPr>
      <w:r>
        <w:rPr>
          <w:rStyle w:val="PleaseReviewParagraphId"/>
          <w:b w:val="off"/>
          <w:i w:val="off"/>
        </w:rPr>
        <w:t>[358]</w:t>
      </w:r>
      <w:r>
        <w:rPr>
          <w:rFonts w:ascii="Arial" w:hAnsi="Arial" w:cs="Arial"/>
          <w:b/>
          <w:sz w:val="18"/>
          <w:szCs w:val="18"/>
          <w:lang w:val="en-GB"/>
        </w:rPr>
        <w:lastRenderedPageBreak/>
        <w:t>Table 6.</w:t>
      </w:r>
      <w:r>
        <w:rPr>
          <w:rFonts w:ascii="Arial" w:hAnsi="Arial" w:cs="Arial"/>
          <w:sz w:val="18"/>
          <w:szCs w:val="18"/>
          <w:lang w:val="en-GB"/>
        </w:rPr>
        <w:t xml:space="preserve"> Master mix composition and cycling conditions for real-time PCR using the primers and probes of Morgan </w:t>
      </w:r>
      <w:r>
        <w:rPr>
          <w:rFonts w:ascii="Arial" w:hAnsi="Arial" w:cs="Arial"/>
          <w:i/>
          <w:sz w:val="18"/>
          <w:szCs w:val="18"/>
          <w:lang w:val="en-GB"/>
        </w:rPr>
        <w:t>et al.</w:t>
      </w:r>
      <w:r>
        <w:rPr>
          <w:rFonts w:ascii="Arial" w:hAnsi="Arial" w:cs="Arial"/>
          <w:sz w:val="18"/>
          <w:szCs w:val="18"/>
          <w:lang w:val="en-GB"/>
        </w:rPr>
        <w:t xml:space="preserve"> (2012)</w:t>
      </w:r>
    </w:p>
    <w:tbl>
      <w:tblPr>
        <w:tblW w:w="9072" w:type="dxa"/>
        <w:tblLayout w:type="fixed"/>
        <w:tblLook w:val="0000" w:firstRow="0" w:lastRow="0" w:firstColumn="0" w:lastColumn="0" w:noHBand="0" w:noVBand="0"/>
      </w:tblPr>
      <w:tblGrid>
        <w:gridCol w:w="5103"/>
        <w:gridCol w:w="3969"/>
      </w:tblGrid>
      <w:tr w14:paraId="2E8BBA25" w14:textId="77777777">
        <w:tc>
          <w:tcPr>
            <w:tcW w:w="5103" w:type="dxa"/>
            <w:tcBorders>
              <w:top w:val="single" w:color="000000" w:sz="4" w:space="0"/>
              <w:bottom w:val="single" w:color="000000" w:sz="4" w:space="0"/>
            </w:tcBorders>
            <w:shd w:val="clear" w:color="auto" w:fill="BFBFBF"/>
          </w:tcPr>
          <w:p w14:paraId="164320B0" w14:textId="77777777">
            <w:pPr>
              <w:pStyle w:val="IPPArialTable"/>
              <w:rPr>
                <w:b/>
              </w:rPr>
            </w:pPr>
            <w:r>
              <w:rPr>
                <w:rStyle w:val="PleaseReviewParagraphId"/>
                <w:b w:val="off"/>
                <w:i w:val="off"/>
              </w:rPr>
              <w:t>[359]</w:t>
            </w:r>
            <w:r>
              <w:rPr>
                <w:b/>
              </w:rPr>
              <w:t>Reagents</w:t>
            </w:r>
          </w:p>
        </w:tc>
        <w:tc>
          <w:tcPr>
            <w:tcW w:w="3969" w:type="dxa"/>
            <w:tcBorders>
              <w:top w:val="single" w:color="000000" w:sz="4" w:space="0"/>
              <w:bottom w:val="single" w:color="000000" w:sz="4" w:space="0"/>
            </w:tcBorders>
            <w:shd w:val="clear" w:color="auto" w:fill="BFBFBF"/>
          </w:tcPr>
          <w:p w14:paraId="2849B404" w14:textId="77777777">
            <w:pPr>
              <w:pStyle w:val="IPPArialTable"/>
              <w:rPr>
                <w:b/>
              </w:rPr>
            </w:pPr>
            <w:r>
              <w:rPr>
                <w:rStyle w:val="PleaseReviewParagraphId"/>
                <w:b w:val="off"/>
                <w:i w:val="off"/>
              </w:rPr>
              <w:t>[360]</w:t>
            </w:r>
            <w:r>
              <w:rPr>
                <w:b/>
              </w:rPr>
              <w:t>Final concentration</w:t>
            </w:r>
          </w:p>
        </w:tc>
      </w:tr>
      <w:tr w14:paraId="72F62930" w14:textId="77777777">
        <w:tc>
          <w:tcPr>
            <w:tcW w:w="5103" w:type="dxa"/>
            <w:tcBorders>
              <w:top w:val="single" w:color="000000" w:sz="4" w:space="0"/>
            </w:tcBorders>
            <w:shd w:val="clear" w:color="auto" w:fill="auto"/>
          </w:tcPr>
          <w:p w14:paraId="4170FC3A" w14:textId="49E284F8">
            <w:pPr>
              <w:pStyle w:val="IPPArialTable"/>
            </w:pPr>
            <w:r>
              <w:rPr>
                <w:rStyle w:val="PleaseReviewParagraphId"/>
                <w:b w:val="off"/>
                <w:i w:val="off"/>
              </w:rPr>
              <w:t>[361]</w:t>
            </w:r>
            <w:r>
              <w:t>PCR-grade</w:t>
            </w:r>
            <w:r>
              <w:rPr>
                <w:vertAlign w:val="superscript"/>
              </w:rPr>
              <w:t xml:space="preserve"> </w:t>
            </w:r>
            <w:r>
              <w:t xml:space="preserve">water </w:t>
            </w:r>
          </w:p>
        </w:tc>
        <w:tc>
          <w:tcPr>
            <w:tcW w:w="3969" w:type="dxa"/>
            <w:tcBorders>
              <w:top w:val="single" w:color="000000" w:sz="4" w:space="0"/>
            </w:tcBorders>
            <w:shd w:val="clear" w:color="auto" w:fill="FFFFFF"/>
          </w:tcPr>
          <w:p w14:paraId="26890E4B" w14:textId="121401FA">
            <w:pPr>
              <w:pStyle w:val="IPPArialTable"/>
              <w:rPr>
                <w:shd w:val="clear" w:color="auto" w:fill="C0C0C0"/>
              </w:rPr>
            </w:pPr>
            <w:r>
              <w:rPr>
                <w:rStyle w:val="PleaseReviewParagraphId"/>
                <w:b w:val="off"/>
                <w:i w:val="off"/>
              </w:rPr>
              <w:t>[362]</w:t>
            </w:r>
            <w:r>
              <w:t>– </w:t>
            </w:r>
            <w:r>
              <w:rPr>
                <w:vertAlign w:val="superscript"/>
              </w:rPr>
              <w:t>i</w:t>
            </w:r>
          </w:p>
        </w:tc>
      </w:tr>
      <w:tr w14:paraId="6DDCC23A" w14:textId="77777777">
        <w:tc>
          <w:tcPr>
            <w:tcW w:w="5103" w:type="dxa"/>
            <w:shd w:val="clear" w:color="auto" w:fill="auto"/>
          </w:tcPr>
          <w:p w14:paraId="6896FD63" w14:textId="13A38AF3">
            <w:pPr>
              <w:pStyle w:val="IPPArialTable"/>
            </w:pPr>
            <w:r>
              <w:rPr>
                <w:rStyle w:val="PleaseReviewParagraphId"/>
                <w:b w:val="off"/>
                <w:i w:val="off"/>
              </w:rPr>
              <w:t>[363]</w:t>
            </w:r>
            <w:r>
              <w:t xml:space="preserve">PCR mix (Fast Universal </w:t>
            </w:r>
            <w:r>
              <w:rPr>
                <w:szCs w:val="22"/>
                <w:lang w:eastAsia="es-MX"/>
              </w:rPr>
              <w:t>PCR master mix)</w:t>
            </w:r>
            <w:r>
              <w:rPr>
                <w:szCs w:val="22"/>
                <w:vertAlign w:val="superscript"/>
                <w:lang w:eastAsia="es-MX"/>
              </w:rPr>
              <w:t>ii</w:t>
            </w:r>
          </w:p>
        </w:tc>
        <w:tc>
          <w:tcPr>
            <w:tcW w:w="3969" w:type="dxa"/>
            <w:shd w:val="clear" w:color="auto" w:fill="auto"/>
          </w:tcPr>
          <w:p w14:paraId="0383AEFD" w14:textId="77777777">
            <w:pPr>
              <w:pStyle w:val="IPPArialTable"/>
            </w:pPr>
            <w:r>
              <w:rPr>
                <w:rStyle w:val="PleaseReviewParagraphId"/>
                <w:b w:val="off"/>
                <w:i w:val="off"/>
              </w:rPr>
              <w:t>[364]</w:t>
            </w:r>
            <w:r>
              <w:t>1×</w:t>
            </w:r>
          </w:p>
        </w:tc>
      </w:tr>
      <w:tr w14:paraId="6BFAD5F8" w14:textId="77777777">
        <w:tc>
          <w:tcPr>
            <w:tcW w:w="5103" w:type="dxa"/>
            <w:shd w:val="clear" w:color="auto" w:fill="auto"/>
          </w:tcPr>
          <w:p w14:paraId="49140C41" w14:textId="77777777">
            <w:pPr>
              <w:pStyle w:val="IPPArialTable"/>
            </w:pPr>
            <w:r>
              <w:rPr>
                <w:rStyle w:val="PleaseReviewParagraphId"/>
                <w:b w:val="off"/>
                <w:i w:val="off"/>
              </w:rPr>
              <w:t>[365]</w:t>
            </w:r>
            <w:r>
              <w:rPr>
                <w:szCs w:val="22"/>
                <w:lang w:eastAsia="es-ES"/>
              </w:rPr>
              <w:t>Primer LJ900f</w:t>
            </w:r>
            <w:r>
              <w:rPr>
                <w:szCs w:val="22"/>
                <w:vertAlign w:val="subscript"/>
                <w:lang w:eastAsia="es-ES"/>
              </w:rPr>
              <w:t>f</w:t>
            </w:r>
            <w:r>
              <w:t xml:space="preserve"> (forward)</w:t>
            </w:r>
          </w:p>
        </w:tc>
        <w:tc>
          <w:tcPr>
            <w:tcW w:w="3969" w:type="dxa"/>
            <w:shd w:val="clear" w:color="auto" w:fill="auto"/>
          </w:tcPr>
          <w:p w14:paraId="2126E3B8" w14:textId="77777777">
            <w:pPr>
              <w:pStyle w:val="IPPArialTable"/>
            </w:pPr>
            <w:r>
              <w:rPr>
                <w:rStyle w:val="PleaseReviewParagraphId"/>
                <w:b w:val="off"/>
                <w:i w:val="off"/>
              </w:rPr>
              <w:t>[366]</w:t>
            </w:r>
            <w:r>
              <w:t>0.9 µM</w:t>
            </w:r>
          </w:p>
        </w:tc>
      </w:tr>
      <w:tr w14:paraId="75A6F0C8" w14:textId="77777777">
        <w:tc>
          <w:tcPr>
            <w:tcW w:w="5103" w:type="dxa"/>
            <w:shd w:val="clear" w:color="auto" w:fill="auto"/>
          </w:tcPr>
          <w:p w14:paraId="10EF79EA" w14:textId="77777777">
            <w:pPr>
              <w:pStyle w:val="IPPArialTable"/>
            </w:pPr>
            <w:r>
              <w:rPr>
                <w:rStyle w:val="PleaseReviewParagraphId"/>
                <w:b w:val="off"/>
                <w:i w:val="off"/>
              </w:rPr>
              <w:t>[367]</w:t>
            </w:r>
            <w:r>
              <w:rPr>
                <w:szCs w:val="22"/>
                <w:lang w:eastAsia="es-ES"/>
              </w:rPr>
              <w:t>Primer LJ900f</w:t>
            </w:r>
            <w:r>
              <w:rPr>
                <w:szCs w:val="22"/>
                <w:vertAlign w:val="subscript"/>
                <w:lang w:eastAsia="es-ES"/>
              </w:rPr>
              <w:t>r</w:t>
            </w:r>
            <w:r>
              <w:t xml:space="preserve"> (reverse)</w:t>
            </w:r>
          </w:p>
        </w:tc>
        <w:tc>
          <w:tcPr>
            <w:tcW w:w="3969" w:type="dxa"/>
            <w:shd w:val="clear" w:color="auto" w:fill="auto"/>
          </w:tcPr>
          <w:p w14:paraId="4E24D25C" w14:textId="77777777">
            <w:pPr>
              <w:pStyle w:val="IPPArialTable"/>
            </w:pPr>
            <w:r>
              <w:rPr>
                <w:rStyle w:val="PleaseReviewParagraphId"/>
                <w:b w:val="off"/>
                <w:i w:val="off"/>
              </w:rPr>
              <w:t>[368]</w:t>
            </w:r>
            <w:r>
              <w:t>0.9 µM</w:t>
            </w:r>
          </w:p>
        </w:tc>
      </w:tr>
      <w:tr w14:paraId="590ACF4F" w14:textId="77777777">
        <w:tc>
          <w:tcPr>
            <w:tcW w:w="5103" w:type="dxa"/>
            <w:shd w:val="clear" w:color="auto" w:fill="auto"/>
          </w:tcPr>
          <w:p w14:paraId="20700EF0" w14:textId="77777777">
            <w:pPr>
              <w:pStyle w:val="IPPArialTable"/>
            </w:pPr>
            <w:r>
              <w:rPr>
                <w:rStyle w:val="PleaseReviewParagraphId"/>
                <w:b w:val="off"/>
                <w:i w:val="off"/>
              </w:rPr>
              <w:t>[369]</w:t>
            </w:r>
            <w:r>
              <w:rPr>
                <w:szCs w:val="22"/>
                <w:lang w:eastAsia="es-ES"/>
              </w:rPr>
              <w:t>Probe LJ900p</w:t>
            </w:r>
            <w:r>
              <w:rPr>
                <w:szCs w:val="22"/>
                <w:vertAlign w:val="subscript"/>
                <w:lang w:eastAsia="es-ES"/>
              </w:rPr>
              <w:t>p</w:t>
            </w:r>
          </w:p>
        </w:tc>
        <w:tc>
          <w:tcPr>
            <w:tcW w:w="3969" w:type="dxa"/>
            <w:shd w:val="clear" w:color="auto" w:fill="auto"/>
          </w:tcPr>
          <w:p w14:paraId="05F9BE6B" w14:textId="77777777">
            <w:pPr>
              <w:pStyle w:val="IPPArialTable"/>
            </w:pPr>
            <w:r>
              <w:rPr>
                <w:rStyle w:val="PleaseReviewParagraphId"/>
                <w:b w:val="off"/>
                <w:i w:val="off"/>
              </w:rPr>
              <w:t>[370]</w:t>
            </w:r>
            <w:r>
              <w:t>0.5 µM</w:t>
            </w:r>
          </w:p>
        </w:tc>
      </w:tr>
      <w:tr w14:paraId="1125C26C" w14:textId="77777777">
        <w:tc>
          <w:tcPr>
            <w:tcW w:w="5103" w:type="dxa"/>
            <w:tcBorders>
              <w:top w:val="single" w:color="auto" w:sz="4" w:space="0"/>
              <w:bottom w:val="single" w:color="000000" w:sz="4" w:space="0"/>
            </w:tcBorders>
            <w:shd w:val="clear" w:color="auto" w:fill="auto"/>
          </w:tcPr>
          <w:p w14:paraId="0EBFEBA2" w14:textId="77777777">
            <w:pPr>
              <w:pStyle w:val="IPPArialTable"/>
            </w:pPr>
            <w:r>
              <w:rPr>
                <w:rStyle w:val="PleaseReviewParagraphId"/>
                <w:b w:val="off"/>
                <w:i w:val="off"/>
              </w:rPr>
              <w:t>[371]</w:t>
            </w:r>
            <w:r>
              <w:t>DNA volume</w:t>
            </w:r>
          </w:p>
        </w:tc>
        <w:tc>
          <w:tcPr>
            <w:tcW w:w="3969" w:type="dxa"/>
            <w:tcBorders>
              <w:top w:val="single" w:color="000000" w:sz="4" w:space="0"/>
              <w:bottom w:val="single" w:color="000000" w:sz="4" w:space="0"/>
            </w:tcBorders>
            <w:shd w:val="clear" w:color="auto" w:fill="auto"/>
          </w:tcPr>
          <w:p w14:paraId="73BF68D6" w14:textId="249C8C2B">
            <w:pPr>
              <w:pStyle w:val="IPPArialTable"/>
            </w:pPr>
            <w:r>
              <w:rPr>
                <w:rStyle w:val="PleaseReviewParagraphId"/>
                <w:b w:val="off"/>
                <w:i w:val="off"/>
              </w:rPr>
              <w:t>[372]</w:t>
            </w:r>
            <w:r>
              <w:t>2 µL DNA extract of plant tissue</w:t>
            </w:r>
          </w:p>
        </w:tc>
      </w:tr>
      <w:tr w14:paraId="1B51978D" w14:textId="77777777">
        <w:tc>
          <w:tcPr>
            <w:tcW w:w="5103" w:type="dxa"/>
            <w:tcBorders>
              <w:top w:val="single" w:color="000000" w:sz="4" w:space="0"/>
              <w:bottom w:val="single" w:color="000000" w:sz="4" w:space="0"/>
            </w:tcBorders>
            <w:shd w:val="clear" w:color="auto" w:fill="BFBFBF"/>
          </w:tcPr>
          <w:p w14:paraId="70A05344" w14:textId="77777777">
            <w:pPr>
              <w:pStyle w:val="IPPArialTable"/>
              <w:rPr>
                <w:b/>
              </w:rPr>
            </w:pPr>
            <w:r>
              <w:rPr>
                <w:rStyle w:val="PleaseReviewParagraphId"/>
                <w:b w:val="off"/>
                <w:i w:val="off"/>
              </w:rPr>
              <w:t>[373]</w:t>
            </w:r>
            <w:r>
              <w:rPr>
                <w:b/>
              </w:rPr>
              <w:t>Cycling parameters</w:t>
            </w:r>
          </w:p>
        </w:tc>
        <w:tc>
          <w:tcPr>
            <w:tcW w:w="3969" w:type="dxa"/>
            <w:tcBorders>
              <w:top w:val="single" w:color="000000" w:sz="4" w:space="0"/>
              <w:bottom w:val="single" w:color="000000" w:sz="4" w:space="0"/>
            </w:tcBorders>
            <w:shd w:val="clear" w:color="auto" w:fill="BFBFBF"/>
          </w:tcPr>
          <w:p w14:paraId="51A75415" w14:textId="77777777">
            <w:pPr>
              <w:pStyle w:val="IPPArialTable"/>
            </w:pPr>
            <w:r>
              <w:rPr>
                <w:rStyle w:val="PleaseReviewParagraphId"/>
                <w:b w:val="off"/>
                <w:i w:val="off"/>
              </w:rPr>
              <w:t>[374]</w:t>
            </w:r>
          </w:p>
        </w:tc>
      </w:tr>
      <w:tr w14:paraId="7D468348" w14:textId="77777777">
        <w:tc>
          <w:tcPr>
            <w:tcW w:w="5103" w:type="dxa"/>
            <w:tcBorders>
              <w:top w:val="single" w:color="000000" w:sz="4" w:space="0"/>
            </w:tcBorders>
            <w:shd w:val="clear" w:color="auto" w:fill="auto"/>
          </w:tcPr>
          <w:p w14:paraId="242FC19C" w14:textId="77777777">
            <w:pPr>
              <w:pStyle w:val="IPPArialTable"/>
            </w:pPr>
            <w:r>
              <w:rPr>
                <w:rStyle w:val="PleaseReviewParagraphId"/>
                <w:b w:val="off"/>
                <w:i w:val="off"/>
              </w:rPr>
              <w:t>[375]</w:t>
            </w:r>
            <w:r>
              <w:t>Initial denaturation</w:t>
            </w:r>
          </w:p>
        </w:tc>
        <w:tc>
          <w:tcPr>
            <w:tcW w:w="3969" w:type="dxa"/>
            <w:tcBorders>
              <w:top w:val="single" w:color="000000" w:sz="4" w:space="0"/>
            </w:tcBorders>
            <w:shd w:val="clear" w:color="auto" w:fill="auto"/>
          </w:tcPr>
          <w:p w14:paraId="572338CA" w14:textId="24BA17E1">
            <w:pPr>
              <w:pStyle w:val="IPPArialTable"/>
            </w:pPr>
            <w:r>
              <w:rPr>
                <w:rStyle w:val="PleaseReviewParagraphId"/>
                <w:b w:val="off"/>
                <w:i w:val="off"/>
              </w:rPr>
              <w:t>[376]</w:t>
            </w:r>
            <w:r>
              <w:t>95 °C for 30 s</w:t>
            </w:r>
          </w:p>
        </w:tc>
      </w:tr>
      <w:tr w14:paraId="58AE683A" w14:textId="77777777">
        <w:tc>
          <w:tcPr>
            <w:tcW w:w="5103" w:type="dxa"/>
            <w:shd w:val="clear" w:color="auto" w:fill="auto"/>
          </w:tcPr>
          <w:p w14:paraId="1527628F" w14:textId="77777777">
            <w:pPr>
              <w:pStyle w:val="IPPArialTable"/>
            </w:pPr>
            <w:r>
              <w:rPr>
                <w:rStyle w:val="PleaseReviewParagraphId"/>
                <w:b w:val="off"/>
                <w:i w:val="off"/>
              </w:rPr>
              <w:t>[377]</w:t>
            </w:r>
            <w:r>
              <w:t>Number of cycles</w:t>
            </w:r>
          </w:p>
        </w:tc>
        <w:tc>
          <w:tcPr>
            <w:tcW w:w="3969" w:type="dxa"/>
            <w:shd w:val="clear" w:color="auto" w:fill="auto"/>
          </w:tcPr>
          <w:p w14:paraId="22FCD61A" w14:textId="77777777">
            <w:pPr>
              <w:pStyle w:val="IPPArialTable"/>
            </w:pPr>
            <w:r>
              <w:rPr>
                <w:rStyle w:val="PleaseReviewParagraphId"/>
                <w:b w:val="off"/>
                <w:i w:val="off"/>
              </w:rPr>
              <w:t>[378]</w:t>
            </w:r>
            <w:r>
              <w:t>40</w:t>
            </w:r>
          </w:p>
        </w:tc>
      </w:tr>
      <w:tr w14:paraId="73DDAD0C" w14:textId="77777777">
        <w:tc>
          <w:tcPr>
            <w:tcW w:w="5103" w:type="dxa"/>
            <w:shd w:val="clear" w:color="auto" w:fill="auto"/>
          </w:tcPr>
          <w:p w14:paraId="35E16F88" w14:textId="77777777">
            <w:pPr>
              <w:pStyle w:val="IPPArialTable"/>
              <w:numPr>
                <w:ilvl w:val="0"/>
                <w:numId w:val="79"/>
              </w:numPr>
              <w:ind w:left="284" w:hanging="142"/>
            </w:pPr>
            <w:r>
              <w:rPr>
                <w:rStyle w:val="PleaseReviewParagraphId"/>
                <w:b w:val="off"/>
                <w:i w:val="off"/>
              </w:rPr>
              <w:t>[379]</w:t>
            </w:r>
            <w:r>
              <w:t>Denaturation</w:t>
            </w:r>
          </w:p>
        </w:tc>
        <w:tc>
          <w:tcPr>
            <w:tcW w:w="3969" w:type="dxa"/>
            <w:shd w:val="clear" w:color="auto" w:fill="auto"/>
          </w:tcPr>
          <w:p w14:paraId="248094EA" w14:textId="1232C671">
            <w:pPr>
              <w:pStyle w:val="IPPArialTable"/>
            </w:pPr>
            <w:r>
              <w:rPr>
                <w:rStyle w:val="PleaseReviewParagraphId"/>
                <w:b w:val="off"/>
                <w:i w:val="off"/>
              </w:rPr>
              <w:t>[380]</w:t>
            </w:r>
            <w:r>
              <w:t>95 °C for 3 s</w:t>
            </w:r>
          </w:p>
        </w:tc>
      </w:tr>
      <w:tr w14:paraId="43D468B7" w14:textId="77777777">
        <w:tc>
          <w:tcPr>
            <w:tcW w:w="5103" w:type="dxa"/>
            <w:tcBorders>
              <w:bottom w:val="single" w:color="000000" w:sz="4" w:space="0"/>
            </w:tcBorders>
            <w:shd w:val="clear" w:color="auto" w:fill="auto"/>
          </w:tcPr>
          <w:p w14:paraId="1A448F9C" w14:textId="5CE506BA">
            <w:pPr>
              <w:pStyle w:val="IPPArialTable"/>
              <w:numPr>
                <w:ilvl w:val="0"/>
                <w:numId w:val="79"/>
              </w:numPr>
              <w:ind w:left="284" w:hanging="142"/>
            </w:pPr>
            <w:r>
              <w:rPr>
                <w:rStyle w:val="PleaseReviewParagraphId"/>
                <w:b w:val="off"/>
                <w:i w:val="off"/>
              </w:rPr>
              <w:t>[381]</w:t>
            </w:r>
            <w:r>
              <w:t>Annealing and elongation</w:t>
            </w:r>
          </w:p>
        </w:tc>
        <w:tc>
          <w:tcPr>
            <w:tcW w:w="3969" w:type="dxa"/>
            <w:tcBorders>
              <w:bottom w:val="single" w:color="000000" w:sz="4" w:space="0"/>
            </w:tcBorders>
            <w:shd w:val="clear" w:color="auto" w:fill="auto"/>
          </w:tcPr>
          <w:p w14:paraId="53461D07" w14:textId="59400348">
            <w:pPr>
              <w:pStyle w:val="IPPArialTable"/>
            </w:pPr>
            <w:r>
              <w:rPr>
                <w:rStyle w:val="PleaseReviewParagraphId"/>
                <w:b w:val="off"/>
                <w:i w:val="off"/>
              </w:rPr>
              <w:t>[382]</w:t>
            </w:r>
            <w:r>
              <w:t>62 °C for 30 s</w:t>
            </w:r>
          </w:p>
        </w:tc>
      </w:tr>
    </w:tbl>
    <w:p w14:paraId="34FFEF8A" w14:textId="2FCD5CCA">
      <w:pPr>
        <w:pStyle w:val="IPPArialFootnote"/>
        <w:rPr>
          <w:rStyle w:val="PleaseReviewParagraphId"/>
          <w:rFonts w:eastAsia="MS Mincho"/>
          <w:color w:val="auto"/>
          <w:vertAlign w:val="superscript"/>
        </w:rPr>
      </w:pPr>
      <w:r>
        <w:rPr>
          <w:rStyle w:val="PleaseReviewParagraphId"/>
          <w:b w:val="off"/>
          <w:i w:val="off"/>
        </w:rPr>
        <w:t>[383]</w:t>
      </w:r>
      <w:r>
        <w:rPr>
          <w:rStyle w:val="PleaseReviewParagraphId"/>
          <w:color w:val="auto"/>
          <w:vertAlign w:val="superscript"/>
        </w:rPr>
        <w:t>i</w:t>
      </w:r>
      <w:r>
        <w:rPr>
          <w:rStyle w:val="PleaseReviewParagraphId"/>
          <w:color w:val="auto"/>
        </w:rPr>
        <w:t xml:space="preserve"> For a final reaction volume of 15 </w:t>
      </w:r>
      <w:r>
        <w:rPr>
          <w:rStyle w:val="PleaseReviewParagraphId"/>
          <w:rFonts w:cs="Arial"/>
          <w:color w:val="auto"/>
        </w:rPr>
        <w:t>µ</w:t>
      </w:r>
      <w:r>
        <w:rPr>
          <w:rStyle w:val="PleaseReviewParagraphId"/>
          <w:color w:val="auto"/>
        </w:rPr>
        <w:t>L.</w:t>
      </w:r>
    </w:p>
    <w:p w14:paraId="00CF1CFE" w14:textId="43EB4D44">
      <w:pPr>
        <w:pStyle w:val="IPPArialFootnote"/>
        <w:rPr>
          <w:rStyle w:val="PleaseReviewParagraphId"/>
          <w:color w:val="auto"/>
        </w:rPr>
      </w:pPr>
      <w:r>
        <w:rPr>
          <w:rStyle w:val="PleaseReviewParagraphId"/>
          <w:b w:val="off"/>
          <w:i w:val="off"/>
        </w:rPr>
        <w:t>[384]</w:t>
      </w:r>
      <w:r>
        <w:rPr>
          <w:rStyle w:val="PleaseReviewParagraphId"/>
          <w:color w:val="auto"/>
          <w:vertAlign w:val="superscript"/>
        </w:rPr>
        <w:t>ii</w:t>
      </w:r>
      <w:r>
        <w:rPr>
          <w:rStyle w:val="PleaseReviewParagraphId"/>
          <w:color w:val="auto"/>
        </w:rPr>
        <w:t xml:space="preserve"> See page footnote 1.</w:t>
      </w:r>
    </w:p>
    <w:p w14:paraId="46C1FFC9" w14:textId="07CAC8B6">
      <w:pPr>
        <w:pStyle w:val="IPPArialFootnote"/>
        <w:spacing w:after="180"/>
        <w:rPr>
          <w:rStyle w:val="PleaseReviewParagraphId"/>
          <w:color w:val="auto"/>
        </w:rPr>
      </w:pPr>
      <w:r>
        <w:rPr>
          <w:rStyle w:val="PleaseReviewParagraphId"/>
          <w:b w:val="off"/>
          <w:i w:val="off"/>
        </w:rPr>
        <w:t>[385]</w:t>
      </w:r>
      <w:r>
        <w:rPr>
          <w:rStyle w:val="PleaseReviewParagraphId"/>
          <w:color w:val="auto"/>
        </w:rPr>
        <w:t>PCR, polymerase chain reaction.</w:t>
      </w:r>
    </w:p>
    <w:p w14:paraId="60961677" w14:textId="4EF46FB0">
      <w:pPr>
        <w:pStyle w:val="IPPHeading3"/>
        <w:rPr>
          <w:lang w:eastAsia="es-ES"/>
        </w:rPr>
      </w:pPr>
      <w:r>
        <w:rPr>
          <w:rStyle w:val="PleaseReviewParagraphId"/>
          <w:b w:val="off"/>
          <w:i w:val="off"/>
        </w:rPr>
        <w:t>[386]</w:t>
      </w:r>
      <w:r>
        <w:rPr>
          <w:lang w:eastAsia="es-ES"/>
        </w:rPr>
        <w:t>3.4.4.4</w:t>
        <w:tab/>
        <w:t xml:space="preserve">A combined nested PCR and real-time PCR using the primers and probes of Lin </w:t>
      </w:r>
      <w:r>
        <w:rPr>
          <w:i w:val="0"/>
          <w:lang w:eastAsia="es-ES"/>
        </w:rPr>
        <w:t>et</w:t>
      </w:r>
      <w:r>
        <w:rPr>
          <w:rFonts w:eastAsia="Calibri"/>
          <w:i w:val="0"/>
          <w:lang w:eastAsia="es-ES"/>
        </w:rPr>
        <w:t> </w:t>
      </w:r>
      <w:r>
        <w:rPr>
          <w:i w:val="0"/>
          <w:lang w:eastAsia="es-ES"/>
        </w:rPr>
        <w:t>al.</w:t>
      </w:r>
      <w:r>
        <w:rPr>
          <w:lang w:eastAsia="es-ES"/>
        </w:rPr>
        <w:t xml:space="preserve"> (2010)</w:t>
      </w:r>
    </w:p>
    <w:p w14:paraId="78E8CBDD" w14:textId="6A38EA14">
      <w:pPr>
        <w:pStyle w:val="IPPParagraphnumberingclose"/>
        <w:numPr>
          <w:ilvl w:val="0"/>
          <w:numId w:val="0"/>
        </w:numPr>
        <w:rPr>
          <w:lang w:val="en-GB"/>
        </w:rPr>
      </w:pPr>
      <w:r>
        <w:rPr>
          <w:rStyle w:val="PleaseReviewParagraphId"/>
          <w:b w:val="off"/>
          <w:i w:val="off"/>
        </w:rPr>
        <w:t>[387]</w:t>
      </w:r>
      <w:r>
        <w:rPr>
          <w:lang w:val="en-GB"/>
        </w:rPr>
        <w:t>This TaqMan method was developed for detection of ‘</w:t>
      </w:r>
      <w:r>
        <w:rPr>
          <w:i/>
          <w:lang w:val="en-GB"/>
        </w:rPr>
        <w:t>Ca</w:t>
      </w:r>
      <w:r>
        <w:rPr>
          <w:lang w:val="en-GB"/>
        </w:rPr>
        <w:t xml:space="preserve">. Liberibacter asiaticus’. It combines nested PCR and TaqMan PCR in a single tube. </w:t>
      </w:r>
      <w:r>
        <w:rPr>
          <w:rFonts w:cs="Arial"/>
          <w:lang w:val="en-GB"/>
        </w:rPr>
        <w:t>The procedure involves two PCR steps using species-specific outer and inner primer pairs with different annealing temperatures, allowing both the first and the second rounds of PCR to be performed sequentially in the same closed tube. The pr</w:t>
      </w:r>
      <w:r>
        <w:rPr>
          <w:lang w:val="en-GB"/>
        </w:rPr>
        <w:t xml:space="preserve">imer–probe sets are as follows:  </w:t>
      </w:r>
    </w:p>
    <w:p w14:paraId="15E1C810" w14:textId="77777777">
      <w:pPr>
        <w:pStyle w:val="IPPIndentClose"/>
      </w:pPr>
      <w:r>
        <w:rPr>
          <w:rStyle w:val="PleaseReviewParagraphId"/>
          <w:b w:val="off"/>
          <w:i w:val="off"/>
        </w:rPr>
        <w:t>[388]</w:t>
      </w:r>
      <w:r>
        <w:t>Inner primers:</w:t>
      </w:r>
      <w:r>
        <w:rPr>
          <w:szCs w:val="22"/>
        </w:rPr>
        <w:t xml:space="preserve"> </w:t>
      </w:r>
    </w:p>
    <w:p w14:paraId="11C4BB26" w14:textId="7F6BCE8E">
      <w:pPr>
        <w:pStyle w:val="IPPIndentClose"/>
      </w:pPr>
      <w:r>
        <w:rPr>
          <w:rStyle w:val="PleaseReviewParagraphId"/>
          <w:b w:val="off"/>
          <w:i w:val="off"/>
        </w:rPr>
        <w:t>[389]</w:t>
      </w:r>
      <w:r>
        <w:t xml:space="preserve">Las-I-F (forward): (5′-CGA TTG GTG TTC TTG TAG CG-3′) </w:t>
      </w:r>
    </w:p>
    <w:p w14:paraId="434C5029" w14:textId="6281B917">
      <w:pPr>
        <w:pStyle w:val="IPPIndent"/>
      </w:pPr>
      <w:r>
        <w:rPr>
          <w:rStyle w:val="PleaseReviewParagraphId"/>
          <w:b w:val="off"/>
          <w:i w:val="off"/>
        </w:rPr>
        <w:t>[390]</w:t>
      </w:r>
      <w:r>
        <w:t xml:space="preserve">Las-I-R (reverse): (5′-AAC AATA GA AGG ATCA AGC ATCT-3′) </w:t>
      </w:r>
    </w:p>
    <w:p w14:paraId="61AC06F0" w14:textId="77777777">
      <w:pPr>
        <w:pStyle w:val="IPPIndentClose"/>
      </w:pPr>
      <w:r>
        <w:rPr>
          <w:rStyle w:val="PleaseReviewParagraphId"/>
          <w:b w:val="off"/>
          <w:i w:val="off"/>
        </w:rPr>
        <w:t>[391]</w:t>
      </w:r>
      <w:r>
        <w:t>Outer primers:</w:t>
      </w:r>
    </w:p>
    <w:p w14:paraId="1F93216C" w14:textId="0243AF7C">
      <w:pPr>
        <w:pStyle w:val="IPPIndentClose"/>
        <w:rPr>
          <w:szCs w:val="22"/>
        </w:rPr>
      </w:pPr>
      <w:r>
        <w:rPr>
          <w:rStyle w:val="PleaseReviewParagraphId"/>
          <w:b w:val="off"/>
          <w:i w:val="off"/>
        </w:rPr>
        <w:t>[392]</w:t>
      </w:r>
      <w:r>
        <w:rPr>
          <w:szCs w:val="22"/>
        </w:rPr>
        <w:t>Las-O-F (forward): (5′</w:t>
      </w:r>
      <w:r>
        <w:t>-CGG TGA ATG TAT TAAG CTG AGG CGT TCC-</w:t>
      </w:r>
      <w:r>
        <w:rPr>
          <w:szCs w:val="22"/>
        </w:rPr>
        <w:t>3′</w:t>
      </w:r>
      <w:r>
        <w:t xml:space="preserve">) </w:t>
      </w:r>
    </w:p>
    <w:p w14:paraId="6A75E5DA" w14:textId="683DEF9B">
      <w:pPr>
        <w:pStyle w:val="IPPIndent"/>
        <w:rPr>
          <w:szCs w:val="22"/>
        </w:rPr>
      </w:pPr>
      <w:r>
        <w:rPr>
          <w:rStyle w:val="PleaseReviewParagraphId"/>
          <w:b w:val="off"/>
          <w:i w:val="off"/>
        </w:rPr>
        <w:t>[393]</w:t>
      </w:r>
      <w:r>
        <w:rPr>
          <w:szCs w:val="22"/>
        </w:rPr>
        <w:t>Las-O-R (reverse): (5′-TAC CCA CAA C</w:t>
      </w:r>
      <w:r>
        <w:t>AA AAT GAG ATA CAC CAA CAA CTT C-</w:t>
      </w:r>
      <w:r>
        <w:rPr>
          <w:szCs w:val="22"/>
        </w:rPr>
        <w:t xml:space="preserve">3′) </w:t>
      </w:r>
    </w:p>
    <w:p w14:paraId="47FFD02F" w14:textId="77777777">
      <w:pPr>
        <w:pStyle w:val="IPPIndentClose"/>
      </w:pPr>
      <w:r>
        <w:rPr>
          <w:rStyle w:val="PleaseReviewParagraphId"/>
          <w:b w:val="off"/>
          <w:i w:val="off"/>
        </w:rPr>
        <w:t>[394]</w:t>
      </w:r>
      <w:r>
        <w:t>TaqMan probe:</w:t>
      </w:r>
    </w:p>
    <w:p w14:paraId="3BE27BCF" w14:textId="377E145B">
      <w:pPr>
        <w:pStyle w:val="IPPIndent"/>
      </w:pPr>
      <w:r>
        <w:rPr>
          <w:rStyle w:val="PleaseReviewParagraphId"/>
          <w:b w:val="off"/>
          <w:i w:val="off"/>
        </w:rPr>
        <w:t>[395]</w:t>
      </w:r>
      <w:r>
        <w:rPr>
          <w:szCs w:val="22"/>
        </w:rPr>
        <w:t xml:space="preserve">Las-P: (5′ FAM </w:t>
      </w:r>
      <w:r>
        <w:t xml:space="preserve">-AATCACCGAAGGAGAAGCCAGCATTACA- MGB </w:t>
      </w:r>
      <w:r>
        <w:rPr>
          <w:szCs w:val="22"/>
        </w:rPr>
        <w:t xml:space="preserve">3′) </w:t>
      </w:r>
    </w:p>
    <w:p w14:paraId="78D7288A" w14:textId="7680995A">
      <w:pPr>
        <w:pStyle w:val="IPPParagraphnumbering"/>
        <w:numPr>
          <w:ilvl w:val="0"/>
          <w:numId w:val="0"/>
        </w:numPr>
        <w:rPr>
          <w:lang w:val="en-GB"/>
        </w:rPr>
      </w:pPr>
      <w:r>
        <w:rPr>
          <w:rStyle w:val="PleaseReviewParagraphId"/>
          <w:b w:val="off"/>
          <w:i w:val="off"/>
        </w:rPr>
        <w:t>[396]</w:t>
      </w:r>
      <w:r>
        <w:rPr>
          <w:lang w:val="en-GB"/>
        </w:rPr>
        <w:t xml:space="preserve">Lin </w:t>
      </w:r>
      <w:r>
        <w:rPr>
          <w:i/>
          <w:lang w:val="en-GB"/>
        </w:rPr>
        <w:t>et</w:t>
      </w:r>
      <w:r>
        <w:rPr>
          <w:rFonts w:eastAsia="Calibri"/>
          <w:i/>
          <w:szCs w:val="22"/>
          <w:lang w:val="en-GB" w:eastAsia="es-ES"/>
        </w:rPr>
        <w:t> </w:t>
      </w:r>
      <w:r>
        <w:rPr>
          <w:i/>
          <w:lang w:val="en-GB"/>
        </w:rPr>
        <w:t>al.</w:t>
      </w:r>
      <w:r>
        <w:rPr>
          <w:lang w:val="en-GB"/>
        </w:rPr>
        <w:t xml:space="preserve"> (2010) evaluated the specificity (analytical specificity) of the method with over 70 strains of ‘</w:t>
      </w:r>
      <w:r>
        <w:rPr>
          <w:i/>
          <w:iCs/>
          <w:lang w:val="en-GB"/>
        </w:rPr>
        <w:t>Ca.</w:t>
      </w:r>
      <w:r>
        <w:rPr>
          <w:lang w:val="en-GB"/>
        </w:rPr>
        <w:t> L. asiaticus’ from six different countries and against several non-target pathogens of citrus including ‘</w:t>
      </w:r>
      <w:r>
        <w:rPr>
          <w:i/>
          <w:iCs/>
          <w:lang w:val="en-GB"/>
        </w:rPr>
        <w:t>Ca.</w:t>
      </w:r>
      <w:r>
        <w:rPr>
          <w:lang w:val="en-GB"/>
        </w:rPr>
        <w:t> L. africanus’, ‘</w:t>
      </w:r>
      <w:r>
        <w:rPr>
          <w:i/>
          <w:iCs/>
          <w:lang w:val="en-GB"/>
        </w:rPr>
        <w:t>Ca.</w:t>
      </w:r>
      <w:r>
        <w:rPr>
          <w:lang w:val="en-GB"/>
        </w:rPr>
        <w:t> L. americanus’ and ‘</w:t>
      </w:r>
      <w:r>
        <w:rPr>
          <w:i/>
          <w:iCs/>
          <w:lang w:val="en-GB"/>
        </w:rPr>
        <w:t>Ca.</w:t>
      </w:r>
      <w:r>
        <w:rPr>
          <w:lang w:val="en-GB"/>
        </w:rPr>
        <w:t xml:space="preserve"> L. solanacearum’, </w:t>
      </w:r>
      <w:r>
        <w:rPr>
          <w:i/>
          <w:iCs/>
          <w:lang w:val="en-GB"/>
        </w:rPr>
        <w:t>S. citri</w:t>
      </w:r>
      <w:r>
        <w:rPr>
          <w:lang w:val="en-GB"/>
        </w:rPr>
        <w:t xml:space="preserve">, </w:t>
      </w:r>
      <w:r>
        <w:rPr>
          <w:i/>
          <w:iCs/>
          <w:lang w:val="en-GB"/>
        </w:rPr>
        <w:t>Xanthomonas citri</w:t>
      </w:r>
      <w:r>
        <w:rPr>
          <w:lang w:val="en-GB"/>
        </w:rPr>
        <w:t xml:space="preserve"> subsp. </w:t>
      </w:r>
      <w:r>
        <w:rPr>
          <w:i/>
          <w:iCs/>
          <w:lang w:val="en-GB"/>
        </w:rPr>
        <w:t>citri</w:t>
      </w:r>
      <w:r>
        <w:rPr>
          <w:lang w:val="en-GB"/>
        </w:rPr>
        <w:t xml:space="preserve">, </w:t>
      </w:r>
      <w:r>
        <w:rPr>
          <w:i/>
          <w:iCs/>
          <w:lang w:val="en-GB"/>
        </w:rPr>
        <w:t>X. fastidiosa</w:t>
      </w:r>
      <w:r>
        <w:rPr>
          <w:lang w:val="en-GB"/>
        </w:rPr>
        <w:t>,. Only ‘</w:t>
      </w:r>
      <w:r>
        <w:rPr>
          <w:i/>
          <w:iCs/>
          <w:lang w:val="en-GB"/>
        </w:rPr>
        <w:t>Ca.</w:t>
      </w:r>
      <w:r>
        <w:rPr>
          <w:lang w:val="en-GB"/>
        </w:rPr>
        <w:t> L. asiaticus’ was detected. The sensitivity was estimated as 10</w:t>
      </w:r>
      <w:r>
        <w:rPr>
          <w:vertAlign w:val="superscript"/>
          <w:lang w:val="en-GB"/>
        </w:rPr>
        <w:t>3</w:t>
      </w:r>
      <w:r>
        <w:rPr>
          <w:lang w:val="en-GB"/>
        </w:rPr>
        <w:t xml:space="preserve"> copies of target DNA. No other performance data are available.</w:t>
      </w:r>
    </w:p>
    <w:p w14:paraId="5CD13D35" w14:textId="66933D0F">
      <w:pPr>
        <w:pStyle w:val="IPPParagraphnumbering"/>
        <w:numPr>
          <w:ilvl w:val="0"/>
          <w:numId w:val="0"/>
        </w:numPr>
        <w:rPr>
          <w:lang w:val="en-GB"/>
        </w:rPr>
      </w:pPr>
      <w:r>
        <w:rPr>
          <w:rStyle w:val="PleaseReviewParagraphId"/>
          <w:b w:val="off"/>
          <w:i w:val="off"/>
        </w:rPr>
        <w:t>[397]</w:t>
      </w:r>
      <w:r>
        <w:rPr>
          <w:lang w:val="en-GB"/>
        </w:rPr>
        <w:t xml:space="preserve">The master mix for the Lin </w:t>
      </w:r>
      <w:r>
        <w:rPr>
          <w:i/>
          <w:lang w:val="en-GB"/>
        </w:rPr>
        <w:t>et al.</w:t>
      </w:r>
      <w:r>
        <w:rPr>
          <w:lang w:val="en-GB"/>
        </w:rPr>
        <w:t xml:space="preserve"> (2010) primers and probes is described in Table 7.</w:t>
      </w:r>
      <w:r>
        <w:rPr>
          <w:rFonts w:ascii="Arial" w:hAnsi="Arial" w:cs="Arial"/>
          <w:b/>
          <w:sz w:val="18"/>
          <w:szCs w:val="18"/>
          <w:lang w:val="en-GB"/>
        </w:rPr>
        <w:br w:type="page"/>
      </w:r>
    </w:p>
    <w:p w14:paraId="05502DA2" w14:textId="2B28F1CE">
      <w:pPr>
        <w:pStyle w:val="IPPParagraphnumbering"/>
        <w:numPr>
          <w:ilvl w:val="0"/>
          <w:numId w:val="0"/>
        </w:numPr>
        <w:rPr>
          <w:rFonts w:ascii="Arial" w:hAnsi="Arial" w:cs="Arial"/>
          <w:sz w:val="18"/>
          <w:szCs w:val="18"/>
          <w:lang w:val="en-GB"/>
        </w:rPr>
      </w:pPr>
      <w:r>
        <w:rPr>
          <w:rStyle w:val="PleaseReviewParagraphId"/>
          <w:b w:val="off"/>
          <w:i w:val="off"/>
        </w:rPr>
        <w:t>[398]</w:t>
      </w:r>
      <w:r>
        <w:rPr>
          <w:rFonts w:ascii="Arial" w:hAnsi="Arial" w:cs="Arial"/>
          <w:b/>
          <w:sz w:val="18"/>
          <w:szCs w:val="18"/>
          <w:lang w:val="en-GB"/>
        </w:rPr>
        <w:lastRenderedPageBreak/>
        <w:t>Table 7.</w:t>
      </w:r>
      <w:r>
        <w:rPr>
          <w:rFonts w:ascii="Arial" w:hAnsi="Arial" w:cs="Arial"/>
          <w:sz w:val="18"/>
          <w:szCs w:val="18"/>
          <w:lang w:val="en-GB"/>
        </w:rPr>
        <w:t xml:space="preserve"> Master mix composition and cycling conditions for combined nested PCR and real-time PCR.</w:t>
      </w:r>
    </w:p>
    <w:tbl>
      <w:tblPr>
        <w:tblW w:w="9072" w:type="dxa"/>
        <w:tblLayout w:type="fixed"/>
        <w:tblLook w:val="0000" w:firstRow="0" w:lastRow="0" w:firstColumn="0" w:lastColumn="0" w:noHBand="0" w:noVBand="0"/>
      </w:tblPr>
      <w:tblGrid>
        <w:gridCol w:w="5103"/>
        <w:gridCol w:w="3969"/>
      </w:tblGrid>
      <w:tr w14:paraId="392BBB78" w14:textId="77777777">
        <w:tc>
          <w:tcPr>
            <w:tcW w:w="5103" w:type="dxa"/>
            <w:tcBorders>
              <w:top w:val="single" w:color="000000" w:sz="4" w:space="0"/>
              <w:bottom w:val="single" w:color="000000" w:sz="4" w:space="0"/>
            </w:tcBorders>
            <w:shd w:val="clear" w:color="auto" w:fill="BFBFBF"/>
          </w:tcPr>
          <w:p w14:paraId="668B3B45" w14:textId="77777777">
            <w:pPr>
              <w:pStyle w:val="IPPArialTable"/>
              <w:rPr>
                <w:b/>
              </w:rPr>
            </w:pPr>
            <w:r>
              <w:rPr>
                <w:rStyle w:val="PleaseReviewParagraphId"/>
                <w:b w:val="off"/>
                <w:i w:val="off"/>
              </w:rPr>
              <w:t>[399]</w:t>
            </w:r>
            <w:r>
              <w:rPr>
                <w:b/>
              </w:rPr>
              <w:t>Reagents</w:t>
            </w:r>
          </w:p>
        </w:tc>
        <w:tc>
          <w:tcPr>
            <w:tcW w:w="3969" w:type="dxa"/>
            <w:tcBorders>
              <w:top w:val="single" w:color="000000" w:sz="4" w:space="0"/>
              <w:bottom w:val="single" w:color="000000" w:sz="4" w:space="0"/>
            </w:tcBorders>
            <w:shd w:val="clear" w:color="auto" w:fill="BFBFBF"/>
          </w:tcPr>
          <w:p w14:paraId="066DB0FE" w14:textId="77777777">
            <w:pPr>
              <w:pStyle w:val="IPPArialTable"/>
              <w:rPr>
                <w:b/>
              </w:rPr>
            </w:pPr>
            <w:r>
              <w:rPr>
                <w:rStyle w:val="PleaseReviewParagraphId"/>
                <w:b w:val="off"/>
                <w:i w:val="off"/>
              </w:rPr>
              <w:t>[400]</w:t>
            </w:r>
            <w:r>
              <w:rPr>
                <w:b/>
              </w:rPr>
              <w:t>Final concentration</w:t>
            </w:r>
          </w:p>
        </w:tc>
      </w:tr>
      <w:tr w14:paraId="136A033D" w14:textId="77777777">
        <w:tc>
          <w:tcPr>
            <w:tcW w:w="5103" w:type="dxa"/>
            <w:tcBorders>
              <w:top w:val="single" w:color="000000" w:sz="4" w:space="0"/>
            </w:tcBorders>
            <w:shd w:val="clear" w:color="auto" w:fill="auto"/>
          </w:tcPr>
          <w:p w14:paraId="5DC3B11A" w14:textId="3FD2FE43">
            <w:pPr>
              <w:pStyle w:val="IPPArialTable"/>
            </w:pPr>
            <w:r>
              <w:rPr>
                <w:rStyle w:val="PleaseReviewParagraphId"/>
                <w:b w:val="off"/>
                <w:i w:val="off"/>
              </w:rPr>
              <w:t>[401]</w:t>
            </w:r>
            <w:r>
              <w:t>PCR-grade</w:t>
            </w:r>
            <w:r>
              <w:rPr>
                <w:vertAlign w:val="superscript"/>
              </w:rPr>
              <w:t xml:space="preserve"> </w:t>
            </w:r>
            <w:r>
              <w:t xml:space="preserve">water </w:t>
            </w:r>
          </w:p>
        </w:tc>
        <w:tc>
          <w:tcPr>
            <w:tcW w:w="3969" w:type="dxa"/>
            <w:tcBorders>
              <w:top w:val="single" w:color="000000" w:sz="4" w:space="0"/>
            </w:tcBorders>
            <w:shd w:val="clear" w:color="auto" w:fill="FFFFFF"/>
          </w:tcPr>
          <w:p w14:paraId="376E095D" w14:textId="1C7136FE">
            <w:pPr>
              <w:pStyle w:val="IPPArialTable"/>
              <w:rPr>
                <w:shd w:val="clear" w:color="auto" w:fill="C0C0C0"/>
              </w:rPr>
            </w:pPr>
            <w:r>
              <w:rPr>
                <w:rStyle w:val="PleaseReviewParagraphId"/>
                <w:b w:val="off"/>
                <w:i w:val="off"/>
              </w:rPr>
              <w:t>[402]</w:t>
            </w:r>
            <w:r>
              <w:t>– </w:t>
            </w:r>
            <w:r>
              <w:rPr>
                <w:vertAlign w:val="superscript"/>
              </w:rPr>
              <w:t>i</w:t>
            </w:r>
          </w:p>
        </w:tc>
      </w:tr>
      <w:tr w14:paraId="2B3CE5E8" w14:textId="77777777">
        <w:tc>
          <w:tcPr>
            <w:tcW w:w="5103" w:type="dxa"/>
            <w:shd w:val="clear" w:color="auto" w:fill="auto"/>
          </w:tcPr>
          <w:p w14:paraId="650AF574" w14:textId="4E5A4B5F">
            <w:pPr>
              <w:pStyle w:val="IPPArialTable"/>
            </w:pPr>
            <w:r>
              <w:rPr>
                <w:rStyle w:val="PleaseReviewParagraphId"/>
                <w:b w:val="off"/>
                <w:i w:val="off"/>
              </w:rPr>
              <w:t>[403]</w:t>
            </w:r>
            <w:r>
              <w:t>PCR mix (TaqMan</w:t>
            </w:r>
            <w:r>
              <w:rPr>
                <w:rFonts w:eastAsia="AdvTT5235d5a9"/>
              </w:rPr>
              <w:t xml:space="preserve"> </w:t>
            </w:r>
            <w:r>
              <w:rPr>
                <w:szCs w:val="22"/>
                <w:lang w:eastAsia="es-MX"/>
              </w:rPr>
              <w:t>master mix)</w:t>
            </w:r>
            <w:r>
              <w:rPr>
                <w:szCs w:val="22"/>
                <w:vertAlign w:val="superscript"/>
                <w:lang w:eastAsia="es-MX"/>
              </w:rPr>
              <w:t>ii</w:t>
            </w:r>
          </w:p>
        </w:tc>
        <w:tc>
          <w:tcPr>
            <w:tcW w:w="3969" w:type="dxa"/>
            <w:shd w:val="clear" w:color="auto" w:fill="auto"/>
          </w:tcPr>
          <w:p w14:paraId="7077491E" w14:textId="77777777">
            <w:pPr>
              <w:pStyle w:val="IPPArialTable"/>
            </w:pPr>
            <w:r>
              <w:rPr>
                <w:rStyle w:val="PleaseReviewParagraphId"/>
                <w:b w:val="off"/>
                <w:i w:val="off"/>
              </w:rPr>
              <w:t>[404]</w:t>
            </w:r>
            <w:r>
              <w:t>1×</w:t>
            </w:r>
          </w:p>
        </w:tc>
      </w:tr>
      <w:tr w14:paraId="41DE5E65" w14:textId="77777777">
        <w:tc>
          <w:tcPr>
            <w:tcW w:w="5103" w:type="dxa"/>
            <w:shd w:val="clear" w:color="auto" w:fill="auto"/>
          </w:tcPr>
          <w:p w14:paraId="5A4CBF3C" w14:textId="77777777">
            <w:pPr>
              <w:pStyle w:val="IPPArialTable"/>
            </w:pPr>
            <w:r>
              <w:rPr>
                <w:rStyle w:val="PleaseReviewParagraphId"/>
                <w:b w:val="off"/>
                <w:i w:val="off"/>
              </w:rPr>
              <w:t>[405]</w:t>
            </w:r>
            <w:r>
              <w:rPr>
                <w:szCs w:val="22"/>
                <w:lang w:eastAsia="es-ES"/>
              </w:rPr>
              <w:t xml:space="preserve">Inner Primer </w:t>
            </w:r>
            <w:r>
              <w:rPr>
                <w:rFonts w:eastAsia="AdvTT5235d5a9"/>
                <w:szCs w:val="22"/>
              </w:rPr>
              <w:t>Las-I-F</w:t>
            </w:r>
            <w:r>
              <w:rPr>
                <w:szCs w:val="22"/>
                <w:lang w:eastAsia="es-ES"/>
              </w:rPr>
              <w:t xml:space="preserve"> </w:t>
            </w:r>
            <w:r>
              <w:t>(forward)</w:t>
            </w:r>
          </w:p>
        </w:tc>
        <w:tc>
          <w:tcPr>
            <w:tcW w:w="3969" w:type="dxa"/>
            <w:shd w:val="clear" w:color="auto" w:fill="auto"/>
          </w:tcPr>
          <w:p w14:paraId="4D51455A" w14:textId="77777777">
            <w:pPr>
              <w:pStyle w:val="IPPArialTable"/>
            </w:pPr>
            <w:r>
              <w:rPr>
                <w:rStyle w:val="PleaseReviewParagraphId"/>
                <w:b w:val="off"/>
                <w:i w:val="off"/>
              </w:rPr>
              <w:t>[406]</w:t>
            </w:r>
            <w:r>
              <w:t>2.0 µM</w:t>
            </w:r>
          </w:p>
        </w:tc>
      </w:tr>
      <w:tr w14:paraId="0FF5108B" w14:textId="77777777">
        <w:tc>
          <w:tcPr>
            <w:tcW w:w="5103" w:type="dxa"/>
            <w:shd w:val="clear" w:color="auto" w:fill="auto"/>
          </w:tcPr>
          <w:p w14:paraId="0AD81439" w14:textId="77777777">
            <w:pPr>
              <w:pStyle w:val="IPPArialTable"/>
            </w:pPr>
            <w:r>
              <w:rPr>
                <w:rStyle w:val="PleaseReviewParagraphId"/>
                <w:b w:val="off"/>
                <w:i w:val="off"/>
              </w:rPr>
              <w:t>[407]</w:t>
            </w:r>
            <w:r>
              <w:rPr>
                <w:szCs w:val="22"/>
                <w:lang w:eastAsia="es-ES"/>
              </w:rPr>
              <w:t xml:space="preserve">Inner Primer </w:t>
            </w:r>
            <w:r>
              <w:rPr>
                <w:rFonts w:eastAsia="AdvTT5235d5a9"/>
                <w:szCs w:val="22"/>
              </w:rPr>
              <w:t>I-R</w:t>
            </w:r>
            <w:r>
              <w:rPr>
                <w:szCs w:val="22"/>
                <w:lang w:eastAsia="es-ES"/>
              </w:rPr>
              <w:t xml:space="preserve"> </w:t>
            </w:r>
            <w:r>
              <w:t>(reverse)</w:t>
            </w:r>
          </w:p>
        </w:tc>
        <w:tc>
          <w:tcPr>
            <w:tcW w:w="3969" w:type="dxa"/>
            <w:shd w:val="clear" w:color="auto" w:fill="auto"/>
          </w:tcPr>
          <w:p w14:paraId="1E8C85C8" w14:textId="77777777">
            <w:pPr>
              <w:pStyle w:val="IPPArialTable"/>
            </w:pPr>
            <w:r>
              <w:rPr>
                <w:rStyle w:val="PleaseReviewParagraphId"/>
                <w:b w:val="off"/>
                <w:i w:val="off"/>
              </w:rPr>
              <w:t>[408]</w:t>
            </w:r>
            <w:r>
              <w:t>2.0 µM</w:t>
            </w:r>
          </w:p>
        </w:tc>
      </w:tr>
      <w:tr w14:paraId="1CF3E1C8" w14:textId="77777777">
        <w:tc>
          <w:tcPr>
            <w:tcW w:w="5103" w:type="dxa"/>
            <w:shd w:val="clear" w:color="auto" w:fill="auto"/>
          </w:tcPr>
          <w:p w14:paraId="47885187" w14:textId="77777777">
            <w:pPr>
              <w:pStyle w:val="IPPArialTable"/>
              <w:rPr>
                <w:szCs w:val="22"/>
                <w:lang w:eastAsia="es-ES"/>
              </w:rPr>
            </w:pPr>
            <w:r>
              <w:rPr>
                <w:rStyle w:val="PleaseReviewParagraphId"/>
                <w:b w:val="off"/>
                <w:i w:val="off"/>
              </w:rPr>
              <w:t>[409]</w:t>
            </w:r>
            <w:r>
              <w:rPr>
                <w:szCs w:val="22"/>
                <w:lang w:eastAsia="es-ES"/>
              </w:rPr>
              <w:t xml:space="preserve">Outer Primer </w:t>
            </w:r>
            <w:r>
              <w:rPr>
                <w:rFonts w:eastAsia="AdvTT5235d5a9"/>
                <w:szCs w:val="22"/>
              </w:rPr>
              <w:t>Las-O-F</w:t>
            </w:r>
            <w:r>
              <w:t xml:space="preserve"> (forward)</w:t>
            </w:r>
          </w:p>
        </w:tc>
        <w:tc>
          <w:tcPr>
            <w:tcW w:w="3969" w:type="dxa"/>
            <w:shd w:val="clear" w:color="auto" w:fill="auto"/>
          </w:tcPr>
          <w:p w14:paraId="53AC8840" w14:textId="3E578245">
            <w:pPr>
              <w:pStyle w:val="IPPArialTable"/>
            </w:pPr>
            <w:r>
              <w:rPr>
                <w:rStyle w:val="PleaseReviewParagraphId"/>
                <w:b w:val="off"/>
                <w:i w:val="off"/>
              </w:rPr>
              <w:t>[410]</w:t>
            </w:r>
            <w:r>
              <w:t>0.05 µM</w:t>
            </w:r>
          </w:p>
        </w:tc>
      </w:tr>
      <w:tr w14:paraId="6913C891" w14:textId="77777777">
        <w:tc>
          <w:tcPr>
            <w:tcW w:w="5103" w:type="dxa"/>
            <w:shd w:val="clear" w:color="auto" w:fill="auto"/>
          </w:tcPr>
          <w:p w14:paraId="53298A06" w14:textId="77777777">
            <w:pPr>
              <w:pStyle w:val="IPPArialTable"/>
              <w:rPr>
                <w:szCs w:val="22"/>
                <w:lang w:eastAsia="es-ES"/>
              </w:rPr>
            </w:pPr>
            <w:r>
              <w:rPr>
                <w:rStyle w:val="PleaseReviewParagraphId"/>
                <w:b w:val="off"/>
                <w:i w:val="off"/>
              </w:rPr>
              <w:t>[411]</w:t>
            </w:r>
            <w:r>
              <w:rPr>
                <w:szCs w:val="22"/>
                <w:lang w:eastAsia="es-ES"/>
              </w:rPr>
              <w:t xml:space="preserve">Outer Primer </w:t>
            </w:r>
            <w:r>
              <w:rPr>
                <w:rFonts w:eastAsia="AdvTT5235d5a9"/>
                <w:szCs w:val="22"/>
              </w:rPr>
              <w:t>Las-O-R</w:t>
            </w:r>
            <w:r>
              <w:t xml:space="preserve"> (reverse)</w:t>
            </w:r>
          </w:p>
        </w:tc>
        <w:tc>
          <w:tcPr>
            <w:tcW w:w="3969" w:type="dxa"/>
            <w:shd w:val="clear" w:color="auto" w:fill="auto"/>
          </w:tcPr>
          <w:p w14:paraId="7BA0F63F" w14:textId="3E2D5C4B">
            <w:pPr>
              <w:pStyle w:val="IPPArialTable"/>
            </w:pPr>
            <w:r>
              <w:rPr>
                <w:rStyle w:val="PleaseReviewParagraphId"/>
                <w:b w:val="off"/>
                <w:i w:val="off"/>
              </w:rPr>
              <w:t>[412]</w:t>
            </w:r>
            <w:r>
              <w:t>0.05 µM</w:t>
            </w:r>
          </w:p>
        </w:tc>
      </w:tr>
      <w:tr w14:paraId="025FFD6A" w14:textId="77777777">
        <w:tc>
          <w:tcPr>
            <w:tcW w:w="5103" w:type="dxa"/>
            <w:shd w:val="clear" w:color="auto" w:fill="auto"/>
          </w:tcPr>
          <w:p w14:paraId="37026248" w14:textId="77777777">
            <w:pPr>
              <w:pStyle w:val="IPPArialTable"/>
            </w:pPr>
            <w:r>
              <w:rPr>
                <w:rStyle w:val="PleaseReviewParagraphId"/>
                <w:b w:val="off"/>
                <w:i w:val="off"/>
              </w:rPr>
              <w:t>[413]</w:t>
            </w:r>
            <w:r>
              <w:rPr>
                <w:szCs w:val="22"/>
                <w:lang w:eastAsia="es-ES"/>
              </w:rPr>
              <w:t xml:space="preserve">Probe </w:t>
            </w:r>
            <w:r>
              <w:rPr>
                <w:rFonts w:eastAsia="AdvTT5235d5a9"/>
                <w:szCs w:val="22"/>
              </w:rPr>
              <w:t>Las-P</w:t>
            </w:r>
          </w:p>
        </w:tc>
        <w:tc>
          <w:tcPr>
            <w:tcW w:w="3969" w:type="dxa"/>
            <w:shd w:val="clear" w:color="auto" w:fill="auto"/>
          </w:tcPr>
          <w:p w14:paraId="71812471" w14:textId="77777777">
            <w:pPr>
              <w:pStyle w:val="IPPArialTable"/>
            </w:pPr>
            <w:r>
              <w:rPr>
                <w:rStyle w:val="PleaseReviewParagraphId"/>
                <w:b w:val="off"/>
                <w:i w:val="off"/>
              </w:rPr>
              <w:t>[414]</w:t>
            </w:r>
            <w:r>
              <w:t>1.0 µM</w:t>
            </w:r>
          </w:p>
        </w:tc>
      </w:tr>
      <w:tr w14:paraId="0C3124F3" w14:textId="77777777">
        <w:tc>
          <w:tcPr>
            <w:tcW w:w="5103" w:type="dxa"/>
            <w:tcBorders>
              <w:top w:val="single" w:color="auto" w:sz="4" w:space="0"/>
              <w:bottom w:val="single" w:color="000000" w:sz="4" w:space="0"/>
            </w:tcBorders>
            <w:shd w:val="clear" w:color="auto" w:fill="auto"/>
          </w:tcPr>
          <w:p w14:paraId="37897073" w14:textId="77777777">
            <w:pPr>
              <w:pStyle w:val="IPPArialTable"/>
            </w:pPr>
            <w:r>
              <w:rPr>
                <w:rStyle w:val="PleaseReviewParagraphId"/>
                <w:b w:val="off"/>
                <w:i w:val="off"/>
              </w:rPr>
              <w:t>[415]</w:t>
            </w:r>
            <w:r>
              <w:t>DNA volume</w:t>
            </w:r>
          </w:p>
        </w:tc>
        <w:tc>
          <w:tcPr>
            <w:tcW w:w="3969" w:type="dxa"/>
            <w:tcBorders>
              <w:top w:val="single" w:color="000000" w:sz="4" w:space="0"/>
              <w:bottom w:val="single" w:color="000000" w:sz="4" w:space="0"/>
            </w:tcBorders>
            <w:shd w:val="clear" w:color="auto" w:fill="auto"/>
          </w:tcPr>
          <w:p w14:paraId="2EABB450" w14:textId="6D3A912B">
            <w:pPr>
              <w:pStyle w:val="IPPArialTable"/>
            </w:pPr>
            <w:r>
              <w:rPr>
                <w:rStyle w:val="PleaseReviewParagraphId"/>
                <w:b w:val="off"/>
                <w:i w:val="off"/>
              </w:rPr>
              <w:t>[416]</w:t>
            </w:r>
            <w:r>
              <w:t>2 µL DNA extract of plant tissue</w:t>
            </w:r>
          </w:p>
        </w:tc>
      </w:tr>
      <w:tr w14:paraId="23350EB4" w14:textId="77777777">
        <w:tc>
          <w:tcPr>
            <w:tcW w:w="5103" w:type="dxa"/>
            <w:tcBorders>
              <w:top w:val="single" w:color="000000" w:sz="4" w:space="0"/>
              <w:bottom w:val="single" w:color="000000" w:sz="4" w:space="0"/>
            </w:tcBorders>
            <w:shd w:val="clear" w:color="auto" w:fill="BFBFBF"/>
          </w:tcPr>
          <w:p w14:paraId="5463477B" w14:textId="77777777">
            <w:pPr>
              <w:pStyle w:val="IPPArialTable"/>
              <w:rPr>
                <w:b/>
              </w:rPr>
            </w:pPr>
            <w:r>
              <w:rPr>
                <w:rStyle w:val="PleaseReviewParagraphId"/>
                <w:b w:val="off"/>
                <w:i w:val="off"/>
              </w:rPr>
              <w:t>[417]</w:t>
            </w:r>
            <w:r>
              <w:rPr>
                <w:b/>
              </w:rPr>
              <w:t>Cycling parameters</w:t>
            </w:r>
          </w:p>
        </w:tc>
        <w:tc>
          <w:tcPr>
            <w:tcW w:w="3969" w:type="dxa"/>
            <w:tcBorders>
              <w:top w:val="single" w:color="000000" w:sz="4" w:space="0"/>
              <w:bottom w:val="single" w:color="000000" w:sz="4" w:space="0"/>
            </w:tcBorders>
            <w:shd w:val="clear" w:color="auto" w:fill="BFBFBF"/>
          </w:tcPr>
          <w:p w14:paraId="7FBA2547" w14:textId="77777777">
            <w:pPr>
              <w:pStyle w:val="IPPArialTable"/>
            </w:pPr>
            <w:r>
              <w:rPr>
                <w:rStyle w:val="PleaseReviewParagraphId"/>
                <w:b w:val="off"/>
                <w:i w:val="off"/>
              </w:rPr>
              <w:t>[418]</w:t>
            </w:r>
          </w:p>
        </w:tc>
      </w:tr>
      <w:tr w14:paraId="1A06F571" w14:textId="77777777">
        <w:tc>
          <w:tcPr>
            <w:tcW w:w="5103" w:type="dxa"/>
            <w:tcBorders>
              <w:top w:val="single" w:color="000000" w:sz="4" w:space="0"/>
            </w:tcBorders>
            <w:shd w:val="clear" w:color="auto" w:fill="auto"/>
          </w:tcPr>
          <w:p w14:paraId="4581D73F" w14:textId="77777777">
            <w:pPr>
              <w:pStyle w:val="IPPArialTable"/>
            </w:pPr>
            <w:r>
              <w:rPr>
                <w:rStyle w:val="PleaseReviewParagraphId"/>
                <w:b w:val="off"/>
                <w:i w:val="off"/>
              </w:rPr>
              <w:t>[419]</w:t>
            </w:r>
            <w:r>
              <w:t>Preincubation</w:t>
            </w:r>
          </w:p>
        </w:tc>
        <w:tc>
          <w:tcPr>
            <w:tcW w:w="3969" w:type="dxa"/>
            <w:tcBorders>
              <w:top w:val="single" w:color="000000" w:sz="4" w:space="0"/>
            </w:tcBorders>
            <w:shd w:val="clear" w:color="auto" w:fill="auto"/>
          </w:tcPr>
          <w:p w14:paraId="212B6D25" w14:textId="02AC7ABF">
            <w:pPr>
              <w:pStyle w:val="IPPArialTable"/>
            </w:pPr>
            <w:r>
              <w:rPr>
                <w:rStyle w:val="PleaseReviewParagraphId"/>
                <w:b w:val="off"/>
                <w:i w:val="off"/>
              </w:rPr>
              <w:t>[420]</w:t>
            </w:r>
            <w:r>
              <w:rPr>
                <w:rFonts w:eastAsia="AdvTT5235d5a9"/>
                <w:szCs w:val="22"/>
              </w:rPr>
              <w:t>50 °C for 2 m</w:t>
            </w:r>
            <w:r>
              <w:rPr>
                <w:rFonts w:eastAsia="AdvTT5235d5a9"/>
              </w:rPr>
              <w:t>in</w:t>
            </w:r>
          </w:p>
        </w:tc>
      </w:tr>
      <w:tr w14:paraId="3F237B15" w14:textId="77777777">
        <w:tc>
          <w:tcPr>
            <w:tcW w:w="5103" w:type="dxa"/>
            <w:shd w:val="clear" w:color="auto" w:fill="auto"/>
          </w:tcPr>
          <w:p w14:paraId="1802B117" w14:textId="77777777">
            <w:pPr>
              <w:pStyle w:val="IPPArialTable"/>
            </w:pPr>
            <w:r>
              <w:rPr>
                <w:rStyle w:val="PleaseReviewParagraphId"/>
                <w:b w:val="off"/>
                <w:i w:val="off"/>
              </w:rPr>
              <w:t>[421]</w:t>
            </w:r>
            <w:r>
              <w:t>Initial denaturation</w:t>
            </w:r>
          </w:p>
        </w:tc>
        <w:tc>
          <w:tcPr>
            <w:tcW w:w="3969" w:type="dxa"/>
            <w:shd w:val="clear" w:color="auto" w:fill="auto"/>
          </w:tcPr>
          <w:p w14:paraId="3A508C4F" w14:textId="2DEDA0F8">
            <w:pPr>
              <w:pStyle w:val="IPPArialTable"/>
            </w:pPr>
            <w:r>
              <w:rPr>
                <w:rStyle w:val="PleaseReviewParagraphId"/>
                <w:b w:val="off"/>
                <w:i w:val="off"/>
              </w:rPr>
              <w:t>[422]</w:t>
            </w:r>
            <w:r>
              <w:t>95 °C for 10 min</w:t>
            </w:r>
          </w:p>
        </w:tc>
      </w:tr>
      <w:tr w14:paraId="24F3CB0E" w14:textId="77777777">
        <w:tc>
          <w:tcPr>
            <w:tcW w:w="5103" w:type="dxa"/>
            <w:shd w:val="clear" w:color="auto" w:fill="auto"/>
          </w:tcPr>
          <w:p w14:paraId="4F3599F0" w14:textId="77777777">
            <w:pPr>
              <w:pStyle w:val="IPPArialTable"/>
            </w:pPr>
            <w:r>
              <w:rPr>
                <w:rStyle w:val="PleaseReviewParagraphId"/>
                <w:b w:val="off"/>
                <w:i w:val="off"/>
              </w:rPr>
              <w:t>[423]</w:t>
            </w:r>
            <w:r>
              <w:t>Number of cycles (1st round)</w:t>
            </w:r>
          </w:p>
        </w:tc>
        <w:tc>
          <w:tcPr>
            <w:tcW w:w="3969" w:type="dxa"/>
            <w:shd w:val="clear" w:color="auto" w:fill="auto"/>
          </w:tcPr>
          <w:p w14:paraId="565F66B3" w14:textId="77777777">
            <w:pPr>
              <w:pStyle w:val="IPPArialTable"/>
            </w:pPr>
            <w:r>
              <w:rPr>
                <w:rStyle w:val="PleaseReviewParagraphId"/>
                <w:b w:val="off"/>
                <w:i w:val="off"/>
              </w:rPr>
              <w:t>[424]</w:t>
            </w:r>
            <w:r>
              <w:t>20</w:t>
            </w:r>
          </w:p>
        </w:tc>
      </w:tr>
      <w:tr w14:paraId="2E4AFDBC" w14:textId="77777777">
        <w:tc>
          <w:tcPr>
            <w:tcW w:w="5103" w:type="dxa"/>
            <w:shd w:val="clear" w:color="auto" w:fill="auto"/>
          </w:tcPr>
          <w:p w14:paraId="37C18C63" w14:textId="77777777">
            <w:pPr>
              <w:pStyle w:val="IPPArialTable"/>
              <w:numPr>
                <w:ilvl w:val="0"/>
                <w:numId w:val="77"/>
              </w:numPr>
              <w:ind w:left="284" w:hanging="142"/>
            </w:pPr>
            <w:r>
              <w:rPr>
                <w:rStyle w:val="PleaseReviewParagraphId"/>
                <w:b w:val="off"/>
                <w:i w:val="off"/>
              </w:rPr>
              <w:t>[425]</w:t>
            </w:r>
            <w:r>
              <w:t>Denaturation</w:t>
            </w:r>
          </w:p>
        </w:tc>
        <w:tc>
          <w:tcPr>
            <w:tcW w:w="3969" w:type="dxa"/>
            <w:shd w:val="clear" w:color="auto" w:fill="auto"/>
          </w:tcPr>
          <w:p w14:paraId="17338391" w14:textId="10450AB0">
            <w:pPr>
              <w:pStyle w:val="IPPArialTable"/>
            </w:pPr>
            <w:r>
              <w:rPr>
                <w:rStyle w:val="PleaseReviewParagraphId"/>
                <w:b w:val="off"/>
                <w:i w:val="off"/>
              </w:rPr>
              <w:t>[426]</w:t>
            </w:r>
            <w:r>
              <w:t>95 °C for 30 s</w:t>
            </w:r>
          </w:p>
        </w:tc>
      </w:tr>
      <w:tr w14:paraId="264CC94A" w14:textId="77777777">
        <w:tc>
          <w:tcPr>
            <w:tcW w:w="5103" w:type="dxa"/>
            <w:shd w:val="clear" w:color="auto" w:fill="auto"/>
          </w:tcPr>
          <w:p w14:paraId="0DF4E7A5" w14:textId="77777777">
            <w:pPr>
              <w:pStyle w:val="IPPArialTable"/>
              <w:numPr>
                <w:ilvl w:val="0"/>
                <w:numId w:val="77"/>
              </w:numPr>
              <w:ind w:left="284" w:hanging="142"/>
            </w:pPr>
            <w:r>
              <w:rPr>
                <w:rStyle w:val="PleaseReviewParagraphId"/>
                <w:b w:val="off"/>
                <w:i w:val="off"/>
              </w:rPr>
              <w:t>[427]</w:t>
            </w:r>
            <w:r>
              <w:t xml:space="preserve">Annealing </w:t>
            </w:r>
          </w:p>
        </w:tc>
        <w:tc>
          <w:tcPr>
            <w:tcW w:w="3969" w:type="dxa"/>
            <w:shd w:val="clear" w:color="auto" w:fill="auto"/>
          </w:tcPr>
          <w:p w14:paraId="07677053" w14:textId="43B7BC15">
            <w:pPr>
              <w:pStyle w:val="IPPArialTable"/>
            </w:pPr>
            <w:r>
              <w:rPr>
                <w:rStyle w:val="PleaseReviewParagraphId"/>
                <w:b w:val="off"/>
                <w:i w:val="off"/>
              </w:rPr>
              <w:t>[428]</w:t>
            </w:r>
            <w:r>
              <w:t>67 °C for 45 s</w:t>
            </w:r>
          </w:p>
        </w:tc>
      </w:tr>
      <w:tr w14:paraId="4D92E9D6" w14:textId="77777777">
        <w:tc>
          <w:tcPr>
            <w:tcW w:w="5103" w:type="dxa"/>
            <w:shd w:val="clear" w:color="auto" w:fill="auto"/>
          </w:tcPr>
          <w:p w14:paraId="6AD2EB01" w14:textId="77777777">
            <w:pPr>
              <w:pStyle w:val="IPPArialTable"/>
              <w:numPr>
                <w:ilvl w:val="0"/>
                <w:numId w:val="77"/>
              </w:numPr>
              <w:ind w:left="284" w:hanging="142"/>
            </w:pPr>
            <w:r>
              <w:rPr>
                <w:rStyle w:val="PleaseReviewParagraphId"/>
                <w:b w:val="off"/>
                <w:i w:val="off"/>
              </w:rPr>
              <w:t>[429]</w:t>
            </w:r>
            <w:r>
              <w:t>Elongation</w:t>
            </w:r>
          </w:p>
        </w:tc>
        <w:tc>
          <w:tcPr>
            <w:tcW w:w="3969" w:type="dxa"/>
            <w:shd w:val="clear" w:color="auto" w:fill="auto"/>
          </w:tcPr>
          <w:p w14:paraId="388E7E60" w14:textId="64920F5E">
            <w:pPr>
              <w:pStyle w:val="IPPArialTable"/>
            </w:pPr>
            <w:r>
              <w:rPr>
                <w:rStyle w:val="PleaseReviewParagraphId"/>
                <w:b w:val="off"/>
                <w:i w:val="off"/>
              </w:rPr>
              <w:t>[430]</w:t>
            </w:r>
            <w:r>
              <w:t>72 °C for 45 s</w:t>
            </w:r>
          </w:p>
        </w:tc>
      </w:tr>
      <w:tr w14:paraId="3E083DDB" w14:textId="77777777">
        <w:tc>
          <w:tcPr>
            <w:tcW w:w="5103" w:type="dxa"/>
            <w:shd w:val="clear" w:color="auto" w:fill="auto"/>
          </w:tcPr>
          <w:p w14:paraId="1821A317" w14:textId="77777777">
            <w:pPr>
              <w:pStyle w:val="IPPArialTable"/>
            </w:pPr>
            <w:r>
              <w:rPr>
                <w:rStyle w:val="PleaseReviewParagraphId"/>
                <w:b w:val="off"/>
                <w:i w:val="off"/>
              </w:rPr>
              <w:t>[431]</w:t>
            </w:r>
            <w:r>
              <w:t>Number of cycles (2nd round)</w:t>
            </w:r>
          </w:p>
        </w:tc>
        <w:tc>
          <w:tcPr>
            <w:tcW w:w="3969" w:type="dxa"/>
            <w:shd w:val="clear" w:color="auto" w:fill="auto"/>
          </w:tcPr>
          <w:p w14:paraId="5D7A75DB" w14:textId="77777777">
            <w:pPr>
              <w:pStyle w:val="IPPArialTable"/>
            </w:pPr>
            <w:r>
              <w:rPr>
                <w:rStyle w:val="PleaseReviewParagraphId"/>
                <w:b w:val="off"/>
                <w:i w:val="off"/>
              </w:rPr>
              <w:t>[432]</w:t>
            </w:r>
            <w:r>
              <w:t>35</w:t>
            </w:r>
          </w:p>
        </w:tc>
      </w:tr>
      <w:tr w14:paraId="4F8CC8D6" w14:textId="77777777">
        <w:tc>
          <w:tcPr>
            <w:tcW w:w="5103" w:type="dxa"/>
            <w:shd w:val="clear" w:color="auto" w:fill="auto"/>
          </w:tcPr>
          <w:p w14:paraId="5D39D898" w14:textId="77777777">
            <w:pPr>
              <w:pStyle w:val="IPPArialTable"/>
              <w:numPr>
                <w:ilvl w:val="0"/>
                <w:numId w:val="78"/>
              </w:numPr>
              <w:ind w:left="284" w:hanging="142"/>
            </w:pPr>
            <w:r>
              <w:rPr>
                <w:rStyle w:val="PleaseReviewParagraphId"/>
                <w:b w:val="off"/>
                <w:i w:val="off"/>
              </w:rPr>
              <w:t>[433]</w:t>
            </w:r>
            <w:r>
              <w:t>Denaturation</w:t>
            </w:r>
          </w:p>
        </w:tc>
        <w:tc>
          <w:tcPr>
            <w:tcW w:w="3969" w:type="dxa"/>
            <w:shd w:val="clear" w:color="auto" w:fill="auto"/>
          </w:tcPr>
          <w:p w14:paraId="0F37177D" w14:textId="526478DE">
            <w:pPr>
              <w:pStyle w:val="IPPArialTable"/>
            </w:pPr>
            <w:r>
              <w:rPr>
                <w:rStyle w:val="PleaseReviewParagraphId"/>
                <w:b w:val="off"/>
                <w:i w:val="off"/>
              </w:rPr>
              <w:t>[434]</w:t>
            </w:r>
            <w:r>
              <w:t>95 °C for 30 s</w:t>
            </w:r>
          </w:p>
        </w:tc>
      </w:tr>
      <w:tr w14:paraId="3D932232" w14:textId="77777777">
        <w:tc>
          <w:tcPr>
            <w:tcW w:w="5103" w:type="dxa"/>
            <w:shd w:val="clear" w:color="auto" w:fill="auto"/>
          </w:tcPr>
          <w:p w14:paraId="67019CF2" w14:textId="77777777">
            <w:pPr>
              <w:pStyle w:val="IPPArialTable"/>
              <w:numPr>
                <w:ilvl w:val="0"/>
                <w:numId w:val="78"/>
              </w:numPr>
              <w:ind w:left="284" w:hanging="142"/>
            </w:pPr>
            <w:r>
              <w:rPr>
                <w:rStyle w:val="PleaseReviewParagraphId"/>
                <w:b w:val="off"/>
                <w:i w:val="off"/>
              </w:rPr>
              <w:t>[435]</w:t>
            </w:r>
            <w:r>
              <w:t xml:space="preserve">Annealing </w:t>
            </w:r>
          </w:p>
        </w:tc>
        <w:tc>
          <w:tcPr>
            <w:tcW w:w="3969" w:type="dxa"/>
            <w:shd w:val="clear" w:color="auto" w:fill="auto"/>
          </w:tcPr>
          <w:p w14:paraId="43EEDCA3" w14:textId="737DAFD1">
            <w:pPr>
              <w:pStyle w:val="IPPArialTable"/>
            </w:pPr>
            <w:r>
              <w:rPr>
                <w:rStyle w:val="PleaseReviewParagraphId"/>
                <w:b w:val="off"/>
                <w:i w:val="off"/>
              </w:rPr>
              <w:t>[436]</w:t>
            </w:r>
            <w:r>
              <w:t>57 °C for 45 s</w:t>
            </w:r>
          </w:p>
        </w:tc>
      </w:tr>
      <w:tr w14:paraId="6067AD40" w14:textId="77777777">
        <w:tc>
          <w:tcPr>
            <w:tcW w:w="5103" w:type="dxa"/>
            <w:tcBorders>
              <w:bottom w:val="single" w:color="000000" w:sz="4" w:space="0"/>
            </w:tcBorders>
            <w:shd w:val="clear" w:color="auto" w:fill="auto"/>
          </w:tcPr>
          <w:p w14:paraId="5093AEDB" w14:textId="77777777">
            <w:pPr>
              <w:pStyle w:val="IPPArialTable"/>
              <w:numPr>
                <w:ilvl w:val="0"/>
                <w:numId w:val="78"/>
              </w:numPr>
              <w:ind w:left="284" w:hanging="142"/>
            </w:pPr>
            <w:r>
              <w:rPr>
                <w:rStyle w:val="PleaseReviewParagraphId"/>
                <w:b w:val="off"/>
                <w:i w:val="off"/>
              </w:rPr>
              <w:t>[437]</w:t>
            </w:r>
            <w:r>
              <w:t>Elongation</w:t>
            </w:r>
          </w:p>
        </w:tc>
        <w:tc>
          <w:tcPr>
            <w:tcW w:w="3969" w:type="dxa"/>
            <w:tcBorders>
              <w:bottom w:val="single" w:color="000000" w:sz="4" w:space="0"/>
            </w:tcBorders>
            <w:shd w:val="clear" w:color="auto" w:fill="auto"/>
          </w:tcPr>
          <w:p w14:paraId="4CA7E777" w14:textId="150B4DD4">
            <w:pPr>
              <w:pStyle w:val="IPPArialTable"/>
            </w:pPr>
            <w:r>
              <w:rPr>
                <w:rStyle w:val="PleaseReviewParagraphId"/>
                <w:b w:val="off"/>
                <w:i w:val="off"/>
              </w:rPr>
              <w:t>[438]</w:t>
            </w:r>
            <w:r>
              <w:t>72 °C for 45 s</w:t>
            </w:r>
          </w:p>
        </w:tc>
      </w:tr>
    </w:tbl>
    <w:p w14:paraId="353BEF38" w14:textId="1E3AD7FE">
      <w:pPr>
        <w:pStyle w:val="IPPArialFootnote"/>
        <w:rPr>
          <w:rStyle w:val="PleaseReviewParagraphId"/>
          <w:color w:val="auto"/>
        </w:rPr>
      </w:pPr>
      <w:r>
        <w:rPr>
          <w:rStyle w:val="PleaseReviewParagraphId"/>
          <w:b w:val="off"/>
          <w:i w:val="off"/>
        </w:rPr>
        <w:t>[439]</w:t>
      </w:r>
      <w:r>
        <w:rPr>
          <w:rStyle w:val="PleaseReviewParagraphId"/>
          <w:color w:val="auto"/>
          <w:vertAlign w:val="superscript"/>
        </w:rPr>
        <w:t>i</w:t>
      </w:r>
      <w:r>
        <w:rPr>
          <w:rStyle w:val="PleaseReviewParagraphId"/>
          <w:color w:val="auto"/>
        </w:rPr>
        <w:t xml:space="preserve"> For a final reaction volume of 20 </w:t>
      </w:r>
      <w:r>
        <w:rPr>
          <w:rStyle w:val="PleaseReviewParagraphId"/>
          <w:rFonts w:cs="Arial"/>
          <w:color w:val="auto"/>
        </w:rPr>
        <w:t>µ</w:t>
      </w:r>
      <w:r>
        <w:rPr>
          <w:rStyle w:val="PleaseReviewParagraphId"/>
          <w:color w:val="auto"/>
        </w:rPr>
        <w:t>L.</w:t>
      </w:r>
    </w:p>
    <w:p w14:paraId="11B3B368" w14:textId="39A5A362">
      <w:pPr>
        <w:pStyle w:val="IPPArialFootnote"/>
        <w:rPr>
          <w:rStyle w:val="PleaseReviewParagraphId"/>
          <w:color w:val="auto"/>
        </w:rPr>
      </w:pPr>
      <w:r>
        <w:rPr>
          <w:rStyle w:val="PleaseReviewParagraphId"/>
          <w:b w:val="off"/>
          <w:i w:val="off"/>
        </w:rPr>
        <w:t>[440]</w:t>
      </w:r>
      <w:r>
        <w:rPr>
          <w:rStyle w:val="PleaseReviewParagraphId"/>
          <w:color w:val="auto"/>
          <w:vertAlign w:val="superscript"/>
        </w:rPr>
        <w:t>ii</w:t>
      </w:r>
      <w:r>
        <w:rPr>
          <w:rStyle w:val="PleaseReviewParagraphId"/>
          <w:color w:val="auto"/>
        </w:rPr>
        <w:t xml:space="preserve"> See page footnote 1.</w:t>
      </w:r>
    </w:p>
    <w:p w14:paraId="046E551C" w14:textId="6DB571DD">
      <w:pPr>
        <w:pStyle w:val="IPPArialFootnote"/>
        <w:spacing w:after="180"/>
        <w:rPr>
          <w:rStyle w:val="PleaseReviewParagraphId"/>
          <w:color w:val="auto"/>
        </w:rPr>
      </w:pPr>
      <w:r>
        <w:rPr>
          <w:rStyle w:val="PleaseReviewParagraphId"/>
          <w:b w:val="off"/>
          <w:i w:val="off"/>
        </w:rPr>
        <w:t>[441]</w:t>
      </w:r>
      <w:r>
        <w:rPr>
          <w:rStyle w:val="PleaseReviewParagraphId"/>
          <w:color w:val="auto"/>
        </w:rPr>
        <w:t>PCR, polymerase chain reaction.</w:t>
      </w:r>
    </w:p>
    <w:p w14:paraId="6E71672B" w14:textId="3EBD53F2">
      <w:pPr>
        <w:pStyle w:val="IPPHeading2"/>
        <w:rPr>
          <w:lang w:eastAsia="es-ES"/>
        </w:rPr>
      </w:pPr>
      <w:r>
        <w:rPr>
          <w:rStyle w:val="PleaseReviewParagraphId"/>
          <w:b w:val="off"/>
          <w:i w:val="off"/>
        </w:rPr>
        <w:t>[442]</w:t>
      </w:r>
      <w:r>
        <w:rPr>
          <w:lang w:eastAsia="es-ES"/>
        </w:rPr>
        <w:t>3.5</w:t>
        <w:tab/>
        <w:t>Controls for molecular testing</w:t>
      </w:r>
    </w:p>
    <w:p w14:paraId="18F93A02" w14:textId="3850AC4B">
      <w:pPr>
        <w:pStyle w:val="IPPParagraphnumbering"/>
        <w:numPr>
          <w:ilvl w:val="0"/>
          <w:numId w:val="0"/>
        </w:numPr>
        <w:spacing w:before="120"/>
        <w:rPr>
          <w:rFonts w:eastAsia="Calibri"/>
          <w:szCs w:val="22"/>
          <w:lang w:val="en-GB"/>
        </w:rPr>
      </w:pPr>
      <w:r>
        <w:rPr>
          <w:rStyle w:val="PleaseReviewParagraphId"/>
          <w:b w:val="off"/>
          <w:i w:val="off"/>
        </w:rPr>
        <w:t>[443]</w:t>
      </w:r>
      <w:r>
        <w:rPr>
          <w:rFonts w:eastAsia="Calibri"/>
          <w:szCs w:val="22"/>
          <w:lang w:val="en-GB"/>
        </w:rPr>
        <w:t>For the test result obtained to be considered reliable, appropriate controls – which will depend on the type of test used and the level of certainty required – should be considered for each series of nucleic acid isolations and amplifications of the target nucleic acid. For PCR, a positive nucleic acid control (consisting of the target ‘</w:t>
      </w:r>
      <w:r>
        <w:rPr>
          <w:rFonts w:eastAsia="Calibri"/>
          <w:i/>
          <w:iCs/>
          <w:szCs w:val="22"/>
          <w:lang w:val="en-GB"/>
        </w:rPr>
        <w:t>Ca.</w:t>
      </w:r>
      <w:r>
        <w:rPr>
          <w:rFonts w:eastAsia="Calibri"/>
          <w:szCs w:val="22"/>
          <w:lang w:val="en-GB"/>
        </w:rPr>
        <w:t> Liberibacter’ species, e.g. ‘</w:t>
      </w:r>
      <w:r>
        <w:rPr>
          <w:rFonts w:eastAsia="Calibri"/>
          <w:i/>
          <w:iCs/>
          <w:szCs w:val="22"/>
          <w:lang w:val="en-GB"/>
        </w:rPr>
        <w:t>Ca.</w:t>
      </w:r>
      <w:r>
        <w:rPr>
          <w:rFonts w:eastAsia="Calibri"/>
          <w:szCs w:val="22"/>
          <w:lang w:val="en-GB"/>
        </w:rPr>
        <w:t> L. asiaticus’) and a negative amplification control (no template control) are the minimum controls that should be used. Additional controls may be used for PCR as described below.</w:t>
      </w:r>
    </w:p>
    <w:p w14:paraId="2C332E87" w14:textId="09EE798A">
      <w:pPr>
        <w:pStyle w:val="IPPParagraphnumbering"/>
        <w:numPr>
          <w:ilvl w:val="0"/>
          <w:numId w:val="0"/>
        </w:numPr>
        <w:rPr>
          <w:rFonts w:eastAsia="Calibri"/>
          <w:szCs w:val="22"/>
          <w:lang w:val="en-GB"/>
        </w:rPr>
      </w:pPr>
      <w:r>
        <w:rPr>
          <w:rStyle w:val="PleaseReviewParagraphId"/>
          <w:b w:val="off"/>
          <w:i w:val="off"/>
        </w:rPr>
        <w:t>[444]</w:t>
      </w:r>
      <w:r>
        <w:rPr>
          <w:rFonts w:eastAsia="Calibri"/>
          <w:b/>
          <w:bCs/>
          <w:szCs w:val="22"/>
          <w:lang w:val="en-GB"/>
        </w:rPr>
        <w:t>Positive nucleic acid control.</w:t>
      </w:r>
      <w:r>
        <w:rPr>
          <w:rFonts w:eastAsia="Calibri"/>
          <w:szCs w:val="22"/>
          <w:lang w:val="en-GB"/>
        </w:rPr>
        <w:t xml:space="preserve"> This control is used to monitor the efficiency of PCR amplification. Pre-prepared (stored) nucleic acid, whole genomic DNA or a synthetic control (e.g. cloned PCR product) may be used. </w:t>
      </w:r>
    </w:p>
    <w:p w14:paraId="428CB5AD" w14:textId="5F04B16E">
      <w:pPr>
        <w:pStyle w:val="IPPParagraphnumbering"/>
        <w:numPr>
          <w:ilvl w:val="0"/>
          <w:numId w:val="0"/>
        </w:numPr>
        <w:rPr>
          <w:szCs w:val="22"/>
          <w:lang w:val="en-GB"/>
        </w:rPr>
      </w:pPr>
      <w:r>
        <w:rPr>
          <w:rStyle w:val="PleaseReviewParagraphId"/>
          <w:b w:val="off"/>
          <w:i w:val="off"/>
        </w:rPr>
        <w:t>[445]</w:t>
      </w:r>
      <w:r>
        <w:rPr>
          <w:rFonts w:eastAsia="Calibri"/>
          <w:b/>
          <w:bCs/>
          <w:szCs w:val="22"/>
          <w:lang w:val="en-GB"/>
        </w:rPr>
        <w:t>Internal control.</w:t>
      </w:r>
      <w:r>
        <w:rPr>
          <w:rFonts w:eastAsia="Calibri"/>
          <w:szCs w:val="22"/>
          <w:lang w:val="en-GB"/>
        </w:rPr>
        <w:t xml:space="preserve"> For conventional and real-time PCR, a plant housekeeping gene such as </w:t>
      </w:r>
      <w:r>
        <w:rPr>
          <w:rFonts w:eastAsia="Calibri"/>
          <w:i/>
          <w:iCs/>
          <w:szCs w:val="22"/>
          <w:lang w:val="en-GB"/>
        </w:rPr>
        <w:t>COX</w:t>
      </w:r>
      <w:r>
        <w:rPr>
          <w:rFonts w:eastAsia="Calibri"/>
          <w:szCs w:val="22"/>
          <w:lang w:val="en-GB"/>
        </w:rPr>
        <w:t xml:space="preserve"> (Weller </w:t>
      </w:r>
      <w:r>
        <w:rPr>
          <w:rFonts w:eastAsia="Calibri"/>
          <w:i/>
          <w:iCs/>
          <w:szCs w:val="22"/>
          <w:lang w:val="en-GB"/>
        </w:rPr>
        <w:t>et</w:t>
      </w:r>
      <w:r>
        <w:rPr>
          <w:rFonts w:eastAsia="Calibri"/>
          <w:i/>
          <w:iCs/>
          <w:szCs w:val="22"/>
          <w:lang w:val="en-GB" w:eastAsia="es-ES"/>
        </w:rPr>
        <w:t> </w:t>
      </w:r>
      <w:r>
        <w:rPr>
          <w:rFonts w:eastAsia="Calibri"/>
          <w:i/>
          <w:iCs/>
          <w:szCs w:val="22"/>
          <w:lang w:val="en-GB"/>
        </w:rPr>
        <w:t>al.</w:t>
      </w:r>
      <w:r>
        <w:rPr>
          <w:rFonts w:eastAsia="Calibri"/>
          <w:szCs w:val="22"/>
          <w:lang w:val="en-GB"/>
        </w:rPr>
        <w:t xml:space="preserve">, 2000; Li </w:t>
      </w:r>
      <w:r>
        <w:rPr>
          <w:rFonts w:eastAsia="Calibri"/>
          <w:i/>
          <w:iCs/>
          <w:szCs w:val="22"/>
          <w:lang w:val="en-GB"/>
        </w:rPr>
        <w:t>et</w:t>
      </w:r>
      <w:r>
        <w:rPr>
          <w:rFonts w:eastAsia="Calibri"/>
          <w:i/>
          <w:iCs/>
          <w:szCs w:val="22"/>
          <w:lang w:val="en-GB" w:eastAsia="es-ES"/>
        </w:rPr>
        <w:t> </w:t>
      </w:r>
      <w:r>
        <w:rPr>
          <w:rFonts w:eastAsia="Calibri"/>
          <w:i/>
          <w:iCs/>
          <w:szCs w:val="22"/>
          <w:lang w:val="en-GB"/>
        </w:rPr>
        <w:t>al.</w:t>
      </w:r>
      <w:r>
        <w:rPr>
          <w:rFonts w:eastAsia="Calibri"/>
          <w:szCs w:val="22"/>
          <w:lang w:val="en-GB"/>
        </w:rPr>
        <w:t xml:space="preserve">, 2006) should be used as an internal control to eliminate the possibility of PCR false negatives resulting either from nucleic acid extraction failure or degradation or from the presence of PCR inhibitors. </w:t>
      </w:r>
      <w:r>
        <w:rPr>
          <w:szCs w:val="22"/>
          <w:lang w:val="en-GB"/>
        </w:rPr>
        <w:t>For an internal control for vectors,</w:t>
      </w:r>
      <w:r>
        <w:rPr>
          <w:rFonts w:eastAsia="Calibri"/>
          <w:szCs w:val="22"/>
          <w:lang w:val="en-GB"/>
        </w:rPr>
        <w:t xml:space="preserve"> a primer–probe set based on the glycoprotein gene in psyllids may be used (Manjunath </w:t>
      </w:r>
      <w:r>
        <w:rPr>
          <w:rFonts w:eastAsia="Calibri"/>
          <w:i/>
          <w:iCs/>
          <w:szCs w:val="22"/>
          <w:lang w:val="en-GB"/>
        </w:rPr>
        <w:t>et</w:t>
      </w:r>
      <w:r>
        <w:rPr>
          <w:rFonts w:eastAsia="Calibri"/>
          <w:i/>
          <w:iCs/>
          <w:szCs w:val="22"/>
          <w:lang w:val="en-GB" w:eastAsia="es-ES"/>
        </w:rPr>
        <w:t> </w:t>
      </w:r>
      <w:r>
        <w:rPr>
          <w:rFonts w:eastAsia="Calibri"/>
          <w:i/>
          <w:iCs/>
          <w:szCs w:val="22"/>
          <w:lang w:val="en-GB"/>
        </w:rPr>
        <w:t>al.</w:t>
      </w:r>
      <w:r>
        <w:rPr>
          <w:rFonts w:eastAsia="Calibri"/>
          <w:szCs w:val="22"/>
          <w:lang w:val="en-GB"/>
        </w:rPr>
        <w:t>, 2008).</w:t>
      </w:r>
    </w:p>
    <w:p w14:paraId="2B229660" w14:textId="0126166B">
      <w:pPr>
        <w:pStyle w:val="IPPParagraphnumbering"/>
        <w:numPr>
          <w:ilvl w:val="0"/>
          <w:numId w:val="0"/>
        </w:numPr>
        <w:rPr>
          <w:rFonts w:eastAsia="Calibri"/>
          <w:szCs w:val="22"/>
          <w:lang w:val="en-GB"/>
        </w:rPr>
      </w:pPr>
      <w:r>
        <w:rPr>
          <w:rStyle w:val="PleaseReviewParagraphId"/>
          <w:b w:val="off"/>
          <w:i w:val="off"/>
        </w:rPr>
        <w:t>[446]</w:t>
      </w:r>
      <w:r>
        <w:rPr>
          <w:rFonts w:eastAsia="Calibri"/>
          <w:b/>
          <w:bCs/>
          <w:szCs w:val="22"/>
          <w:lang w:val="en-GB"/>
        </w:rPr>
        <w:t>Negative amplification control (no template control).</w:t>
      </w:r>
      <w:r>
        <w:rPr>
          <w:rFonts w:eastAsia="Calibri"/>
          <w:szCs w:val="22"/>
          <w:lang w:val="en-GB"/>
        </w:rPr>
        <w:t xml:space="preserve"> This control is necessary for conventional and real-time PCR to rule out false positives resulting from contamination during preparation of the reaction mixture. PCR-grade water that was used to prepare the reaction mixture, or sterile phosphate-buffered saline (PBS), is added at the amplification stage.</w:t>
      </w:r>
    </w:p>
    <w:p w14:paraId="68EFA342" w14:textId="12F27C4A">
      <w:pPr>
        <w:pStyle w:val="IPPParagraphnumbering"/>
        <w:numPr>
          <w:ilvl w:val="0"/>
          <w:numId w:val="0"/>
        </w:numPr>
        <w:rPr>
          <w:rFonts w:eastAsia="Calibri"/>
          <w:szCs w:val="22"/>
          <w:lang w:val="en-GB"/>
        </w:rPr>
      </w:pPr>
      <w:r>
        <w:rPr>
          <w:rStyle w:val="PleaseReviewParagraphId"/>
          <w:b w:val="off"/>
          <w:i w:val="off"/>
        </w:rPr>
        <w:t>[447]</w:t>
      </w:r>
      <w:r>
        <w:rPr>
          <w:rFonts w:eastAsia="Calibri"/>
          <w:b/>
          <w:bCs/>
          <w:szCs w:val="22"/>
          <w:lang w:val="en-GB"/>
        </w:rPr>
        <w:lastRenderedPageBreak/>
        <w:t>Positive extraction control.</w:t>
      </w:r>
      <w:r>
        <w:rPr>
          <w:rFonts w:eastAsia="Calibri"/>
          <w:szCs w:val="22"/>
          <w:lang w:val="en-GB"/>
        </w:rPr>
        <w:t xml:space="preserve"> This control is used to ensure that the nucleic acid from the target is of sufficient quantity and quality for PCR amplification. </w:t>
      </w:r>
      <w:r>
        <w:rPr>
          <w:szCs w:val="22"/>
          <w:lang w:val="en-GB"/>
        </w:rPr>
        <w:t>Nucleic acid is extracted from known infected host tissue or HLB-positive psyllid DNA.</w:t>
      </w:r>
    </w:p>
    <w:p w14:paraId="4C5718A2" w14:textId="5217BC46">
      <w:pPr>
        <w:pStyle w:val="IPPParagraphnumbering"/>
        <w:numPr>
          <w:ilvl w:val="0"/>
          <w:numId w:val="0"/>
        </w:numPr>
        <w:rPr>
          <w:rFonts w:eastAsia="Calibri"/>
          <w:szCs w:val="22"/>
          <w:lang w:val="en-GB"/>
        </w:rPr>
      </w:pPr>
      <w:r>
        <w:rPr>
          <w:rStyle w:val="PleaseReviewParagraphId"/>
          <w:b w:val="off"/>
          <w:i w:val="off"/>
        </w:rPr>
        <w:t>[448]</w:t>
      </w:r>
      <w:r>
        <w:rPr>
          <w:rFonts w:eastAsia="Calibri"/>
          <w:szCs w:val="22"/>
          <w:lang w:val="en-GB"/>
        </w:rPr>
        <w:t>The positive control should be approximately one-tenth of the amount of leaf tissue used per plant for the DNA extraction. For PCR, care needs to be taken to avoid cross-contamination resulting from aerosols from the positive control or from positive samples. If required, the positive control used in the laboratory should be sequenced so that this sequence can be readily compared with sequences obtained from PCR amplicons of the correct size. Alternatively, synthetic positive controls may be made with a known sequence that, again, can be compared with PCR amplicons of the correct size.</w:t>
      </w:r>
    </w:p>
    <w:p w14:paraId="4458C9C8" w14:textId="253424A7">
      <w:pPr>
        <w:pStyle w:val="IPPParagraphnumbering"/>
        <w:numPr>
          <w:ilvl w:val="0"/>
          <w:numId w:val="0"/>
        </w:numPr>
        <w:rPr>
          <w:rFonts w:eastAsia="Calibri"/>
          <w:szCs w:val="22"/>
          <w:lang w:val="en-GB"/>
        </w:rPr>
      </w:pPr>
      <w:r>
        <w:rPr>
          <w:rStyle w:val="PleaseReviewParagraphId"/>
          <w:b w:val="off"/>
          <w:i w:val="off"/>
        </w:rPr>
        <w:t>[449]</w:t>
      </w:r>
      <w:r>
        <w:rPr>
          <w:rFonts w:eastAsia="Calibri"/>
          <w:b/>
          <w:bCs/>
          <w:szCs w:val="22"/>
          <w:lang w:val="en-GB"/>
        </w:rPr>
        <w:t>Negative extraction control.</w:t>
      </w:r>
      <w:r>
        <w:rPr>
          <w:rFonts w:eastAsia="Calibri"/>
          <w:szCs w:val="22"/>
          <w:lang w:val="en-GB"/>
        </w:rPr>
        <w:t xml:space="preserve"> This control is used to monitor both contamination during nucleic acid extraction and cross-reaction with the host tissue. The control comprises nucleic acid that is extracted from healthy host plants of the same species but where not available other hosts can be used, such as periwinkle or sweet orange plants grown from seed or healthy psyllids reared on healthy plants.</w:t>
      </w:r>
    </w:p>
    <w:p w14:paraId="1D41C9B6" w14:textId="1425169F">
      <w:pPr>
        <w:pStyle w:val="IPPHeading2"/>
      </w:pPr>
      <w:r>
        <w:rPr>
          <w:rStyle w:val="PleaseReviewParagraphId"/>
          <w:b w:val="off"/>
          <w:i w:val="off"/>
        </w:rPr>
        <w:t>[450]</w:t>
      </w:r>
      <w:r>
        <w:t>3.6</w:t>
        <w:tab/>
        <w:t>Interpretation of results</w:t>
      </w:r>
    </w:p>
    <w:p w14:paraId="7FE40C9A" w14:textId="61643FA7">
      <w:pPr>
        <w:pStyle w:val="IPPHeading2"/>
      </w:pPr>
      <w:r>
        <w:rPr>
          <w:rStyle w:val="PleaseReviewParagraphId"/>
          <w:b w:val="off"/>
          <w:i w:val="off"/>
        </w:rPr>
        <w:t>[451]</w:t>
      </w:r>
      <w:r>
        <w:t>3.6.1</w:t>
        <w:tab/>
        <w:t>Conventional PCR</w:t>
      </w:r>
    </w:p>
    <w:p w14:paraId="6AC466B4" w14:textId="6DE19C63">
      <w:pPr>
        <w:pStyle w:val="IPPParagraphnumberingclose"/>
        <w:numPr>
          <w:ilvl w:val="0"/>
          <w:numId w:val="0"/>
        </w:numPr>
      </w:pPr>
      <w:r>
        <w:rPr>
          <w:rStyle w:val="PleaseReviewParagraphId"/>
          <w:b w:val="off"/>
          <w:i w:val="off"/>
        </w:rPr>
        <w:t>[452]</w:t>
      </w:r>
      <w:r>
        <w:rPr>
          <w:lang w:val="en-GB"/>
        </w:rPr>
        <w:t>The pathogen-specific PCR will be considered valid only if both the following criteria are met:</w:t>
      </w:r>
    </w:p>
    <w:p w14:paraId="0BA503DA" w14:textId="443B576B">
      <w:pPr>
        <w:pStyle w:val="IPPBullet1"/>
      </w:pPr>
      <w:r>
        <w:rPr>
          <w:rStyle w:val="PleaseReviewParagraphId"/>
          <w:b w:val="off"/>
          <w:i w:val="off"/>
        </w:rPr>
        <w:t>[453]</w:t>
      </w:r>
      <w:r>
        <w:rPr>
          <w:lang w:val="en-GB"/>
        </w:rPr>
        <w:t xml:space="preserve">the positive control produces the correct size amplicon; </w:t>
      </w:r>
    </w:p>
    <w:p w14:paraId="54916A6E" w14:textId="03397EE0">
      <w:pPr>
        <w:pStyle w:val="IPPBullet1Last"/>
      </w:pPr>
      <w:r>
        <w:rPr>
          <w:rStyle w:val="PleaseReviewParagraphId"/>
          <w:b w:val="off"/>
          <w:i w:val="off"/>
        </w:rPr>
        <w:t>[454]</w:t>
      </w:r>
      <w:r>
        <w:t>no amplicons of the correct size for the bacterium are produced in the negative extraction control or the negative amplification control.</w:t>
      </w:r>
    </w:p>
    <w:p w14:paraId="69ACEC8E" w14:textId="4FC5030F">
      <w:pPr>
        <w:pStyle w:val="IPPParagraphnumbering"/>
        <w:numPr>
          <w:ilvl w:val="0"/>
          <w:numId w:val="0"/>
        </w:numPr>
      </w:pPr>
      <w:r>
        <w:rPr>
          <w:rStyle w:val="PleaseReviewParagraphId"/>
          <w:b w:val="off"/>
          <w:i w:val="off"/>
        </w:rPr>
        <w:t>[455]</w:t>
      </w:r>
      <w:r>
        <w:rPr>
          <w:lang w:val="en-GB"/>
        </w:rPr>
        <w:t>A sample will be considered positive if it produces an amplicon of the correct size. The sample is considered negative when there is no amplification or when a band of the expected size is not produced.</w:t>
      </w:r>
    </w:p>
    <w:p w14:paraId="29FBE153" w14:textId="224E5D2F">
      <w:pPr>
        <w:pStyle w:val="IPPHeading2"/>
      </w:pPr>
      <w:r>
        <w:rPr>
          <w:rStyle w:val="PleaseReviewParagraphId"/>
          <w:b w:val="off"/>
          <w:i w:val="off"/>
        </w:rPr>
        <w:t>[456]</w:t>
      </w:r>
      <w:r>
        <w:t>3.6.2</w:t>
        <w:tab/>
        <w:t>Real-time PCR</w:t>
      </w:r>
    </w:p>
    <w:p w14:paraId="3EFFE98C" w14:textId="54132C52">
      <w:pPr>
        <w:pStyle w:val="IPPParagraphnumberingclose"/>
        <w:numPr>
          <w:ilvl w:val="0"/>
          <w:numId w:val="0"/>
        </w:numPr>
      </w:pPr>
      <w:r>
        <w:rPr>
          <w:rStyle w:val="PleaseReviewParagraphId"/>
          <w:b w:val="off"/>
          <w:i w:val="off"/>
        </w:rPr>
        <w:t>[457]</w:t>
      </w:r>
      <w:r>
        <w:rPr>
          <w:lang w:val="en-GB"/>
        </w:rPr>
        <w:t>The real-time PCR will be considered valid only if both the following criteria are met:</w:t>
      </w:r>
    </w:p>
    <w:p w14:paraId="7AAF62C4" w14:textId="0D7F73A8">
      <w:pPr>
        <w:pStyle w:val="IPPBullet1"/>
      </w:pPr>
      <w:r>
        <w:rPr>
          <w:rStyle w:val="PleaseReviewParagraphId"/>
          <w:b w:val="off"/>
          <w:i w:val="off"/>
        </w:rPr>
        <w:t>[458]</w:t>
      </w:r>
      <w:r>
        <w:rPr>
          <w:lang w:val="en-GB"/>
        </w:rPr>
        <w:t>the positive control produces an exponential amplification curve with the pathogen-specific primers and probe</w:t>
      </w:r>
    </w:p>
    <w:p w14:paraId="356D0146" w14:textId="2BA0A512">
      <w:pPr>
        <w:pStyle w:val="IPPBullet1Last"/>
      </w:pPr>
      <w:r>
        <w:rPr>
          <w:rStyle w:val="PleaseReviewParagraphId"/>
          <w:b w:val="off"/>
          <w:i w:val="off"/>
        </w:rPr>
        <w:t>[459]</w:t>
      </w:r>
      <w:r>
        <w:t>no amplification curve is seen (i.e. Ct value is 40) either with the negative extraction control or the negative amplification control.</w:t>
      </w:r>
    </w:p>
    <w:p w14:paraId="31D6AEE0" w14:textId="23C68F80">
      <w:pPr>
        <w:pStyle w:val="IPPParagraphnumbering"/>
        <w:numPr>
          <w:ilvl w:val="0"/>
          <w:numId w:val="0"/>
        </w:numPr>
      </w:pPr>
      <w:r>
        <w:rPr>
          <w:rStyle w:val="PleaseReviewParagraphId"/>
          <w:b w:val="off"/>
          <w:i w:val="off"/>
        </w:rPr>
        <w:t>[460]</w:t>
      </w:r>
      <w:r>
        <w:rPr>
          <w:lang w:val="en-GB"/>
        </w:rPr>
        <w:t xml:space="preserve">If the </w:t>
      </w:r>
      <w:r>
        <w:rPr>
          <w:i/>
          <w:lang w:val="en-GB"/>
        </w:rPr>
        <w:t>COX</w:t>
      </w:r>
      <w:r>
        <w:rPr>
          <w:lang w:val="en-GB"/>
        </w:rPr>
        <w:t xml:space="preserve"> internal control primers are also used, then the negative control (if used), the positive control, and each of the test samples must produce an amplification curve for the test to be considered valid. Failure of the samples to produce an amplification curve with the internal control primers suggests, for example, that the DNA extraction has failed, the DNA has not been included in the reaction mixture, compounds inhibitory to PCR are present in the DNA extract, or the nucleic acid has degraded.</w:t>
      </w:r>
    </w:p>
    <w:p w14:paraId="13FF960D" w14:textId="4CE95ECF">
      <w:pPr>
        <w:pStyle w:val="IPPParagraphnumbering"/>
        <w:numPr>
          <w:ilvl w:val="0"/>
          <w:numId w:val="0"/>
        </w:numPr>
      </w:pPr>
      <w:r>
        <w:rPr>
          <w:rStyle w:val="PleaseReviewParagraphId"/>
          <w:b w:val="off"/>
          <w:i w:val="off"/>
        </w:rPr>
        <w:t>[461]</w:t>
      </w:r>
      <w:r>
        <w:rPr>
          <w:lang w:val="en-GB"/>
        </w:rPr>
        <w:t xml:space="preserve">A sample will be considered positive if it produces an exponential amplification curve. The cycle cut-off value needs to be verified in each laboratory when implementing the method for the first time. Guidance on how to determine the cycle cut-off value can be found in Chandelier </w:t>
      </w:r>
      <w:r>
        <w:rPr>
          <w:i/>
          <w:lang w:val="en-GB"/>
        </w:rPr>
        <w:t>et al.</w:t>
      </w:r>
      <w:r>
        <w:rPr>
          <w:lang w:val="en-GB"/>
        </w:rPr>
        <w:t xml:space="preserve"> (2010).</w:t>
      </w:r>
    </w:p>
    <w:p w14:paraId="7908AB76" w14:textId="2AD1D7B4">
      <w:pPr>
        <w:pStyle w:val="IPPHeading1"/>
      </w:pPr>
      <w:r>
        <w:rPr>
          <w:rStyle w:val="PleaseReviewParagraphId"/>
          <w:b w:val="off"/>
          <w:i w:val="off"/>
        </w:rPr>
        <w:t>[462]</w:t>
      </w:r>
      <w:r>
        <w:t>4.</w:t>
        <w:tab/>
        <w:t xml:space="preserve">Identification </w:t>
      </w:r>
    </w:p>
    <w:p w14:paraId="5CA6B3B1" w14:textId="63F4A98A">
      <w:pPr>
        <w:pStyle w:val="IPPParagraphnumbering"/>
        <w:numPr>
          <w:ilvl w:val="0"/>
          <w:numId w:val="0"/>
        </w:numPr>
        <w:rPr>
          <w:szCs w:val="22"/>
          <w:lang w:val="en-GB"/>
        </w:rPr>
      </w:pPr>
      <w:r>
        <w:rPr>
          <w:rStyle w:val="PleaseReviewParagraphId"/>
          <w:b w:val="off"/>
          <w:i w:val="off"/>
        </w:rPr>
        <w:t>[463]</w:t>
      </w:r>
      <w:r>
        <w:rPr>
          <w:szCs w:val="22"/>
          <w:lang w:val="en-GB"/>
        </w:rPr>
        <w:t>The minimal identification requirements are two positive PCR amplifications (from PCR methods described in sections 3.4.3 and 3.4.4) based on sequences of different genes specific for ‘</w:t>
      </w:r>
      <w:r>
        <w:rPr>
          <w:i/>
          <w:iCs/>
          <w:szCs w:val="22"/>
          <w:lang w:val="en-GB"/>
        </w:rPr>
        <w:t>Ca. </w:t>
      </w:r>
      <w:r>
        <w:rPr>
          <w:szCs w:val="22"/>
          <w:lang w:val="en-GB"/>
        </w:rPr>
        <w:t>Liberibacter’ spp. or specific for ‘</w:t>
      </w:r>
      <w:r>
        <w:rPr>
          <w:i/>
          <w:szCs w:val="22"/>
          <w:lang w:val="en-GB"/>
        </w:rPr>
        <w:t>Ca</w:t>
      </w:r>
      <w:r>
        <w:rPr>
          <w:szCs w:val="22"/>
          <w:lang w:val="en-GB"/>
        </w:rPr>
        <w:t>. L. asiaticus’, ‘</w:t>
      </w:r>
      <w:r>
        <w:rPr>
          <w:i/>
          <w:szCs w:val="22"/>
          <w:lang w:val="en-GB"/>
        </w:rPr>
        <w:t>Ca</w:t>
      </w:r>
      <w:r>
        <w:rPr>
          <w:szCs w:val="22"/>
          <w:lang w:val="en-GB"/>
        </w:rPr>
        <w:t>. L. africanus’ or ‘</w:t>
      </w:r>
      <w:r>
        <w:rPr>
          <w:i/>
          <w:szCs w:val="22"/>
          <w:lang w:val="en-GB"/>
        </w:rPr>
        <w:t>Ca</w:t>
      </w:r>
      <w:r>
        <w:rPr>
          <w:szCs w:val="22"/>
          <w:lang w:val="en-GB"/>
        </w:rPr>
        <w:t xml:space="preserve">. L. americanus’. </w:t>
      </w:r>
    </w:p>
    <w:p w14:paraId="024887D0" w14:textId="5F813ED0">
      <w:pPr>
        <w:rPr>
          <w:bCs/>
          <w:szCs w:val="22"/>
        </w:rPr>
      </w:pPr>
      <w:r>
        <w:rPr>
          <w:rStyle w:val="PleaseReviewParagraphId"/>
          <w:b w:val="off"/>
          <w:i w:val="off"/>
        </w:rPr>
        <w:t>[464]</w:t>
      </w:r>
      <w:r>
        <w:rPr>
          <w:bCs/>
          <w:szCs w:val="22"/>
        </w:rPr>
        <w:t xml:space="preserve">If the outcome is critical (e.g. post-entry quarantine sample, new record), conventional PCRs that amplify the 16S rDNA gene (section 3.4.3) should be performed and the PCR products sequenced. The primers developed by Jagoueix et al. (1996) will amplify a 1160 bp product from </w:t>
      </w:r>
      <w:r>
        <w:rPr>
          <w:i/>
          <w:szCs w:val="22"/>
        </w:rPr>
        <w:t>Ca</w:t>
      </w:r>
      <w:r>
        <w:rPr>
          <w:szCs w:val="22"/>
        </w:rPr>
        <w:t>. L. asiaticus’, or ‘</w:t>
      </w:r>
      <w:r>
        <w:rPr>
          <w:i/>
          <w:szCs w:val="22"/>
        </w:rPr>
        <w:t>Ca</w:t>
      </w:r>
      <w:r>
        <w:rPr>
          <w:szCs w:val="22"/>
        </w:rPr>
        <w:t xml:space="preserve">. L. africanus’ and </w:t>
      </w:r>
      <w:r>
        <w:rPr>
          <w:bCs/>
          <w:szCs w:val="22"/>
        </w:rPr>
        <w:t xml:space="preserve">primers developed by Teixeira et al. (2005b) will amplify a 1027 bp product </w:t>
      </w:r>
      <w:r>
        <w:rPr>
          <w:szCs w:val="22"/>
        </w:rPr>
        <w:t>‘</w:t>
      </w:r>
      <w:r>
        <w:rPr>
          <w:i/>
          <w:szCs w:val="22"/>
        </w:rPr>
        <w:t>Ca</w:t>
      </w:r>
      <w:r>
        <w:rPr>
          <w:szCs w:val="22"/>
        </w:rPr>
        <w:t>. L. americanus’</w:t>
      </w:r>
      <w:r>
        <w:rPr>
          <w:bCs/>
          <w:szCs w:val="22"/>
        </w:rPr>
        <w:t xml:space="preserve">. </w:t>
      </w:r>
      <w:r>
        <w:rPr>
          <w:bCs/>
          <w:szCs w:val="22"/>
          <w:lang w:val="en-NZ"/>
        </w:rPr>
        <w:t xml:space="preserve">Sanger sequencing of these PCR products should be carried out using each primer to generate two independent DNA sequence reads in alternate directions. These sequences should be </w:t>
        <w:lastRenderedPageBreak/>
        <w:t xml:space="preserve">aligned to identify conflicting information. Chromatograms should be edited to resolve conflicting signals. If multiple peaks at a nucleotide are observed in the sequences generated using both the forward and reverse primers then the site should be assigned as an ambiguous base (i.e. N = A, C, T or G). The final edited sequence should be at least 900 base pairs (bp) in length for data interpretation. </w:t>
      </w:r>
      <w:r>
        <w:rPr>
          <w:bCs/>
          <w:szCs w:val="22"/>
        </w:rPr>
        <w:t>Sequence data can be analysed using the Basic Local Alignment Search Tool (BLASTN), available at the National Center for Biotechnology Information (</w:t>
      </w:r>
      <w:hyperlink w:history="1" r:id="rId20">
        <w:r>
          <w:rPr>
            <w:rStyle w:val="Hyperlink"/>
            <w:bCs/>
            <w:szCs w:val="22"/>
          </w:rPr>
          <w:t>http://www.ncbi.nlm.nih.gov/</w:t>
        </w:r>
      </w:hyperlink>
      <w:r>
        <w:rPr>
          <w:bCs/>
          <w:szCs w:val="22"/>
        </w:rPr>
        <w:t>). For species identification t</w:t>
      </w:r>
      <w:r>
        <w:rPr>
          <w:szCs w:val="22"/>
        </w:rPr>
        <w:t xml:space="preserve">he sequence should be at least 99% match to a published authentic sequence. </w:t>
      </w:r>
    </w:p>
    <w:p w14:paraId="0C9B7479" w14:textId="2DB5AD78">
      <w:pPr>
        <w:pStyle w:val="IPPHeading1"/>
      </w:pPr>
      <w:r>
        <w:rPr>
          <w:rStyle w:val="PleaseReviewParagraphId"/>
          <w:b w:val="off"/>
          <w:i w:val="off"/>
        </w:rPr>
        <w:t>[465]</w:t>
      </w:r>
      <w:r>
        <w:t>5.</w:t>
        <w:tab/>
        <w:t xml:space="preserve">Records </w:t>
      </w:r>
    </w:p>
    <w:p w14:paraId="42D14445" w14:textId="7833EA4A">
      <w:pPr>
        <w:pStyle w:val="IPPParagraphnumbering"/>
        <w:numPr>
          <w:ilvl w:val="0"/>
          <w:numId w:val="0"/>
        </w:numPr>
        <w:rPr>
          <w:szCs w:val="22"/>
          <w:lang w:val="en-GB"/>
        </w:rPr>
      </w:pPr>
      <w:r>
        <w:rPr>
          <w:rStyle w:val="PleaseReviewParagraphId"/>
          <w:b w:val="off"/>
          <w:i w:val="off"/>
        </w:rPr>
        <w:t>[466]</w:t>
      </w:r>
      <w:r>
        <w:rPr>
          <w:szCs w:val="22"/>
          <w:lang w:val="en-GB"/>
        </w:rPr>
        <w:t>Records and evidence should be retained as described in section 2.5 of ISPM 27 (</w:t>
      </w:r>
      <w:r>
        <w:rPr>
          <w:i/>
          <w:iCs/>
          <w:szCs w:val="22"/>
          <w:lang w:val="en-GB"/>
        </w:rPr>
        <w:t>Diagnostic protocols for regulated pests</w:t>
      </w:r>
      <w:r>
        <w:rPr>
          <w:szCs w:val="22"/>
          <w:lang w:val="en-GB"/>
        </w:rPr>
        <w:t>).</w:t>
      </w:r>
    </w:p>
    <w:p w14:paraId="7134D0F9" w14:textId="2767360A">
      <w:pPr>
        <w:pStyle w:val="IPPParagraphnumberingclose"/>
        <w:numPr>
          <w:ilvl w:val="0"/>
          <w:numId w:val="0"/>
        </w:numPr>
        <w:rPr>
          <w:lang w:val="en-GB"/>
        </w:rPr>
      </w:pPr>
      <w:r>
        <w:rPr>
          <w:rStyle w:val="PleaseReviewParagraphId"/>
          <w:b w:val="off"/>
          <w:i w:val="off"/>
        </w:rPr>
        <w:t>[467]</w:t>
      </w:r>
      <w:r>
        <w:rPr>
          <w:lang w:val="en-GB"/>
        </w:rPr>
        <w:t>In cases where other contracting parties may be affected by the results of the diagnosis, in particular in cases of non-compliance (ISPM 13 (</w:t>
      </w:r>
      <w:r>
        <w:rPr>
          <w:i/>
          <w:iCs/>
          <w:lang w:val="en-GB"/>
        </w:rPr>
        <w:t>Guidelines for the notification of non-compliance and emergency action</w:t>
      </w:r>
      <w:r>
        <w:rPr>
          <w:lang w:val="en-GB"/>
        </w:rPr>
        <w:t>)) and where ‘</w:t>
      </w:r>
      <w:r>
        <w:rPr>
          <w:i/>
          <w:lang w:val="en-GB"/>
        </w:rPr>
        <w:t>Ca</w:t>
      </w:r>
      <w:r>
        <w:rPr>
          <w:lang w:val="en-GB"/>
        </w:rPr>
        <w:t>. L. asiaticus’, ‘</w:t>
      </w:r>
      <w:r>
        <w:rPr>
          <w:i/>
          <w:lang w:val="en-GB"/>
        </w:rPr>
        <w:t>Ca</w:t>
      </w:r>
      <w:r>
        <w:rPr>
          <w:lang w:val="en-GB"/>
        </w:rPr>
        <w:t>. L. africanus’ or ‘</w:t>
      </w:r>
      <w:r>
        <w:rPr>
          <w:i/>
          <w:lang w:val="en-GB"/>
        </w:rPr>
        <w:t>Ca</w:t>
      </w:r>
      <w:r>
        <w:rPr>
          <w:lang w:val="en-GB"/>
        </w:rPr>
        <w:t>. L. americanus’ is found in an area for the first time, the following records and evidence and additional material should be kept for at least one year in a manner that ensures traceability:</w:t>
      </w:r>
    </w:p>
    <w:p w14:paraId="1241CC5B" w14:textId="11D9C40D">
      <w:pPr>
        <w:pStyle w:val="IPPBullet1"/>
      </w:pPr>
      <w:r>
        <w:rPr>
          <w:rStyle w:val="PleaseReviewParagraphId"/>
          <w:b w:val="off"/>
          <w:i w:val="off"/>
        </w:rPr>
        <w:t>[468]</w:t>
      </w:r>
      <w:r>
        <w:t>The original sample should be kept frozen at −80 °C, or freeze-dried, or dried over calcium chloride and kept at 4 °C.</w:t>
      </w:r>
    </w:p>
    <w:p w14:paraId="0149881E" w14:textId="6A42CFEE">
      <w:pPr>
        <w:pStyle w:val="IPPBullet1"/>
      </w:pPr>
      <w:r>
        <w:rPr>
          <w:rStyle w:val="PleaseReviewParagraphId"/>
          <w:b w:val="off"/>
          <w:i w:val="off"/>
        </w:rPr>
        <w:t>[469]</w:t>
      </w:r>
      <w:r>
        <w:t>If relevant, DNA extractions should be kept at −20 °C or at −80 °C, and plant extracts spotted on membranes should be kept at room temperature.</w:t>
      </w:r>
    </w:p>
    <w:p w14:paraId="7CF79E31" w14:textId="202FD9EB">
      <w:pPr>
        <w:pStyle w:val="IPPBullet1Last"/>
      </w:pPr>
      <w:r>
        <w:rPr>
          <w:rStyle w:val="PleaseReviewParagraphId"/>
          <w:b w:val="off"/>
          <w:i w:val="off"/>
        </w:rPr>
        <w:t>[470]</w:t>
      </w:r>
      <w:r>
        <w:t>If relevant, PCR amplification products should be kept at −20 °C or at −80 °C.</w:t>
      </w:r>
    </w:p>
    <w:p w14:paraId="427CBFF4" w14:textId="40082287">
      <w:pPr>
        <w:pStyle w:val="IPPHeading1"/>
      </w:pPr>
      <w:r>
        <w:rPr>
          <w:rStyle w:val="PleaseReviewParagraphId"/>
          <w:b w:val="off"/>
          <w:i w:val="off"/>
        </w:rPr>
        <w:t>[471]</w:t>
      </w:r>
      <w:r>
        <w:t>6.</w:t>
        <w:tab/>
        <w:t>Contact points for further information</w:t>
      </w:r>
    </w:p>
    <w:p w14:paraId="2D2E3571" w14:textId="228B497E">
      <w:pPr>
        <w:pStyle w:val="IPPParagraphnumbering"/>
        <w:numPr>
          <w:ilvl w:val="0"/>
          <w:numId w:val="0"/>
        </w:numPr>
        <w:rPr>
          <w:szCs w:val="22"/>
          <w:lang w:val="en-GB"/>
        </w:rPr>
      </w:pPr>
      <w:r>
        <w:rPr>
          <w:rStyle w:val="PleaseReviewParagraphId"/>
          <w:b w:val="off"/>
          <w:i w:val="off"/>
        </w:rPr>
        <w:t>[472]</w:t>
      </w:r>
      <w:r>
        <w:rPr>
          <w:szCs w:val="22"/>
          <w:lang w:val="en-GB"/>
        </w:rPr>
        <w:t>Further information on this protocol can be obtained from:</w:t>
      </w:r>
    </w:p>
    <w:p w14:paraId="46DCC649" w14:textId="186F7554">
      <w:pPr>
        <w:pStyle w:val="IPPParagraphnumbering"/>
        <w:numPr>
          <w:ilvl w:val="0"/>
          <w:numId w:val="0"/>
        </w:numPr>
        <w:rPr>
          <w:szCs w:val="22"/>
          <w:lang w:val="it-IT"/>
        </w:rPr>
      </w:pPr>
      <w:r>
        <w:rPr>
          <w:rStyle w:val="PleaseReviewParagraphId"/>
          <w:b w:val="off"/>
          <w:i w:val="off"/>
        </w:rPr>
        <w:t>[473]</w:t>
      </w:r>
      <w:r>
        <w:rPr>
          <w:szCs w:val="22"/>
          <w:lang w:val="en-GB"/>
        </w:rPr>
        <w:t xml:space="preserve">Laboratory of Plant Pest and Disease, National Agrifood Health and Quality Service (SENASA), Av. </w:t>
      </w:r>
      <w:r>
        <w:rPr>
          <w:szCs w:val="22"/>
          <w:lang w:val="it-IT"/>
        </w:rPr>
        <w:t xml:space="preserve">Paseo Colón 367, ACD1063, Argentina (Rita Lanfranchi; email: </w:t>
      </w:r>
      <w:hyperlink w:history="1" r:id="rId21">
        <w:r>
          <w:rPr>
            <w:rStyle w:val="Hyperlink"/>
            <w:szCs w:val="22"/>
            <w:lang w:val="it-IT"/>
          </w:rPr>
          <w:t>r</w:t>
        </w:r>
        <w:r>
          <w:rPr>
            <w:rStyle w:val="Hyperlink"/>
            <w:rFonts w:ascii="TimesNewRomanPSMT" w:hAnsi="TimesNewRomanPSMT" w:eastAsia="SimSun" w:cs="TimesNewRomanPSMT"/>
            <w:szCs w:val="22"/>
            <w:lang w:val="it-IT"/>
          </w:rPr>
          <w:t>italanfranchi@hotmail.com</w:t>
        </w:r>
      </w:hyperlink>
      <w:r>
        <w:rPr>
          <w:rFonts w:ascii="TimesNewRomanPSMT" w:hAnsi="TimesNewRomanPSMT" w:eastAsia="SimSun" w:cs="TimesNewRomanPSMT"/>
          <w:szCs w:val="22"/>
          <w:lang w:val="it-IT"/>
        </w:rPr>
        <w:t>).</w:t>
      </w:r>
    </w:p>
    <w:p w14:paraId="5842FBF1" w14:textId="6E82C0A3">
      <w:pPr>
        <w:pStyle w:val="IPPParagraphnumbering"/>
        <w:numPr>
          <w:ilvl w:val="0"/>
          <w:numId w:val="0"/>
        </w:numPr>
        <w:rPr>
          <w:szCs w:val="22"/>
          <w:lang w:val="en-GB" w:eastAsia="es-MX"/>
        </w:rPr>
      </w:pPr>
      <w:r>
        <w:rPr>
          <w:rStyle w:val="PleaseReviewParagraphId"/>
          <w:b w:val="off"/>
          <w:i w:val="off"/>
        </w:rPr>
        <w:t>[474]</w:t>
      </w:r>
      <w:r>
        <w:rPr>
          <w:szCs w:val="22"/>
          <w:lang w:val="en-GB" w:eastAsia="es-MX"/>
        </w:rPr>
        <w:t xml:space="preserve">Instituto Valenciano de Investigaciones Agrarias, Carretera de Moncada-Náquera Km 4.5, 46113 Moncada, Valencia, Spain (Ester Marco; email: </w:t>
      </w:r>
      <w:r>
        <w:rPr>
          <w:color w:val="0000FF"/>
          <w:szCs w:val="22"/>
          <w:u w:val="single"/>
          <w:lang w:val="en-GB" w:eastAsia="es-MX"/>
        </w:rPr>
        <w:fldChar w:fldCharType="begin">
          <w:fldData xml:space="preserve">ANDJ6nn5us4RjIIAqgBLqQsCAAAAFwAAABYAAABlAG0AYQByAGMAbwBiAGUAcgB0AG8AbABpAEAA
aQB2AGkAYQAuAGUAcwAAAODJ6nn5us4RjIIAqgBLqQtEAAAAbQBhAGkAbAB0AG8AOgBlAG0AYQBy
AGMAbwBAAGkAdgBpAGEALgBlAHMAAAB5WIH0Ox1/SK8sgl3EhSdjAAAAAKWrAAC=
</w:fldData>
        </w:fldChar>
      </w:r>
      <w:r>
        <w:rPr>
          <w:szCs w:val="22"/>
          <w:lang w:val="en-GB" w:eastAsia="es-MX"/>
        </w:rPr>
        <w:instrText xml:space="preserve">clor </w:instrText>
      </w:r>
      <w:r>
        <w:rPr>
          <w:color w:val="0000FF"/>
          <w:szCs w:val="22"/>
          <w:u w:val="single"/>
          <w:lang w:val="en-GB" w:eastAsia="es-MX"/>
        </w:rPr>
        <w:instrText xml:space="preserve"> HYPERLINK "mailto:emarco@ivia.es" </w:instrText>
      </w:r>
      <w:r>
        <w:rPr>
          <w:color w:val="0000FF"/>
          <w:szCs w:val="22"/>
          <w:u w:val="single"/>
          <w:lang w:val="en-GB" w:eastAsia="es-MX"/>
        </w:rPr>
      </w:r>
      <w:r>
        <w:rPr>
          <w:color w:val="0000FF"/>
          <w:szCs w:val="22"/>
          <w:u w:val="single"/>
          <w:lang w:val="en-GB" w:eastAsia="es-MX"/>
        </w:rPr>
        <w:fldChar w:fldCharType="separate"/>
      </w:r>
      <w:r>
        <w:rPr>
          <w:rStyle w:val="Hyperlink"/>
          <w:szCs w:val="22"/>
          <w:lang w:val="en-GB" w:eastAsia="es-MX"/>
        </w:rPr>
        <w:t>emarco@ivia.es</w:t>
      </w:r>
      <w:r>
        <w:rPr>
          <w:color w:val="0000FF"/>
          <w:szCs w:val="22"/>
          <w:u w:val="single"/>
          <w:lang w:val="en-GB" w:eastAsia="es-MX"/>
        </w:rPr>
        <w:fldChar w:fldCharType="end"/>
      </w:r>
      <w:r>
        <w:rPr>
          <w:rFonts w:ascii="TimesNewRomanPSMT" w:hAnsi="TimesNewRomanPSMT" w:eastAsia="SimSun" w:cs="TimesNewRomanPSMT"/>
          <w:szCs w:val="22"/>
          <w:lang w:val="en-GB"/>
        </w:rPr>
        <w:t>).</w:t>
      </w:r>
    </w:p>
    <w:p w14:paraId="1CC8438A" w14:textId="794EEFEA">
      <w:pPr>
        <w:pStyle w:val="IPPParagraphnumbering"/>
        <w:numPr>
          <w:ilvl w:val="0"/>
          <w:numId w:val="0"/>
        </w:numPr>
        <w:rPr>
          <w:lang w:val="en-GB"/>
        </w:rPr>
      </w:pPr>
      <w:r>
        <w:rPr>
          <w:rStyle w:val="PleaseReviewParagraphId"/>
          <w:b w:val="off"/>
          <w:i w:val="off"/>
        </w:rPr>
        <w:t>[475]</w:t>
      </w:r>
      <w:r>
        <w:rPr>
          <w:lang w:val="en-GB"/>
        </w:rPr>
        <w:t>A request for a revision to a diagnostic protocol may be submitted by national plant protection organizations (NPPOs), regional plant protection organizations (RPPOs) or Commission on Phytosanitary Measures (CPM) subsidiary bodies to the IPPC Secretariat (</w:t>
      </w:r>
      <w:hyperlink w:history="1" r:id="rId22">
        <w:r>
          <w:rPr>
            <w:rStyle w:val="Hyperlink"/>
            <w:lang w:val="en-GB"/>
          </w:rPr>
          <w:t>ippc@fao.org</w:t>
        </w:r>
      </w:hyperlink>
      <w:r>
        <w:rPr>
          <w:lang w:val="en-GB"/>
        </w:rPr>
        <w:t>), who will forward it to the Technical Panel on Diagnostic Protocols (TPDP).</w:t>
      </w:r>
    </w:p>
    <w:p w14:paraId="49D3C9B1" w14:textId="26E48589">
      <w:pPr>
        <w:pStyle w:val="IPPHeading1"/>
        <w:rPr>
          <w:bCs/>
        </w:rPr>
      </w:pPr>
      <w:r>
        <w:rPr>
          <w:rStyle w:val="PleaseReviewParagraphId"/>
          <w:b w:val="off"/>
          <w:i w:val="off"/>
        </w:rPr>
        <w:t>[476]</w:t>
      </w:r>
      <w:r>
        <w:t>7.</w:t>
        <w:tab/>
        <w:t xml:space="preserve">Acknowledgements </w:t>
      </w:r>
    </w:p>
    <w:p w14:paraId="2167135E" w14:textId="64CEA6BF">
      <w:pPr>
        <w:pStyle w:val="IPPParagraphnumbering"/>
        <w:numPr>
          <w:ilvl w:val="0"/>
          <w:numId w:val="0"/>
        </w:numPr>
      </w:pPr>
      <w:r>
        <w:rPr>
          <w:rStyle w:val="PleaseReviewParagraphId"/>
          <w:b w:val="off"/>
          <w:i w:val="off"/>
        </w:rPr>
        <w:t>[477]</w:t>
      </w:r>
      <w:r>
        <w:t>The first draft of this protocol was written by María M. López (</w:t>
      </w:r>
      <w:r>
        <w:rPr>
          <w:lang w:eastAsia="es-MX"/>
        </w:rPr>
        <w:t xml:space="preserve">Instituto </w:t>
      </w:r>
      <w:r>
        <w:t>Valenciano</w:t>
      </w:r>
      <w:r>
        <w:rPr>
          <w:lang w:eastAsia="es-MX"/>
        </w:rPr>
        <w:t xml:space="preserve"> de Investigaciones Agrarias, Valencia, Spain), </w:t>
      </w:r>
      <w:r>
        <w:rPr>
          <w:szCs w:val="22"/>
        </w:rPr>
        <w:t xml:space="preserve">Solke De Boer (Charlottetown Laboratory, Canadian Food Inspection Agency, Canada), </w:t>
      </w:r>
      <w:r>
        <w:t xml:space="preserve"> John Hartung (Molecular Plant Pathology Laboratory, Agricultural Research Service, United States Department of Agriculture, United States of America), </w:t>
      </w:r>
      <w:r>
        <w:rPr>
          <w:szCs w:val="22"/>
        </w:rPr>
        <w:t xml:space="preserve">Rita Lanfranchi (Laboratory of Plant Pest and Disease, SENASA, Argentina (see preceding section)), Takayuki Matsuura (Ministry of Agriculture, Forestry and Fisheries, Japan), </w:t>
      </w:r>
      <w:r>
        <w:t>Jacek Plazinski (Office of the Chief Plant Protection Officer, Division of Product Integrity, Animal and Plant Health, Australia), Changyong Zhou (Citrus Research Institute, Chinese Academy of Agricultural Sciences/Southwest University, Chonging, China).</w:t>
      </w:r>
    </w:p>
    <w:p w14:paraId="2B8021AD" w14:textId="033D7067">
      <w:pPr>
        <w:pStyle w:val="IPPParagraphnumbering"/>
        <w:numPr>
          <w:ilvl w:val="0"/>
          <w:numId w:val="0"/>
        </w:numPr>
        <w:spacing w:before="120"/>
        <w:jc w:val="left"/>
        <w:rPr>
          <w:szCs w:val="22"/>
          <w:lang w:val="en-GB"/>
        </w:rPr>
      </w:pPr>
      <w:r>
        <w:rPr>
          <w:rStyle w:val="PleaseReviewParagraphId"/>
          <w:b w:val="off"/>
          <w:i w:val="off"/>
        </w:rPr>
        <w:t>[478]</w:t>
      </w:r>
      <w:r>
        <w:rPr>
          <w:rStyle w:val="Signature1"/>
          <w:szCs w:val="22"/>
          <w:lang w:val="en-GB"/>
        </w:rPr>
        <w:t>[Acknowledgements to other contributors to be added later.]</w:t>
      </w:r>
    </w:p>
    <w:p w14:paraId="29C5D1A4" w14:textId="78FF0F4B">
      <w:pPr>
        <w:pStyle w:val="IPPHeading1"/>
      </w:pPr>
      <w:r>
        <w:rPr>
          <w:rStyle w:val="PleaseReviewParagraphId"/>
          <w:b w:val="off"/>
          <w:i w:val="off"/>
        </w:rPr>
        <w:t>[479]</w:t>
      </w:r>
      <w:r>
        <w:t>8.</w:t>
        <w:tab/>
        <w:t xml:space="preserve">References </w:t>
      </w:r>
    </w:p>
    <w:p w14:paraId="62423869" w14:textId="53A54DCD">
      <w:pPr>
        <w:pStyle w:val="IPPParagraphnumbering"/>
        <w:numPr>
          <w:ilvl w:val="0"/>
          <w:numId w:val="0"/>
        </w:numPr>
        <w:rPr>
          <w:bCs/>
          <w:szCs w:val="22"/>
          <w:lang w:val="en-GB"/>
        </w:rPr>
      </w:pPr>
      <w:r>
        <w:rPr>
          <w:rStyle w:val="PleaseReviewParagraphId"/>
          <w:b w:val="off"/>
          <w:i w:val="off"/>
        </w:rPr>
        <w:t>[480]</w:t>
      </w:r>
      <w:r>
        <w:rPr>
          <w:b/>
          <w:szCs w:val="22"/>
          <w:lang w:val="en-GB"/>
        </w:rPr>
        <w:t>Ammar, E.-D., Shatters Jr., R.G., Lynch, C. &amp; Hall, D.G</w:t>
      </w:r>
      <w:r>
        <w:rPr>
          <w:b/>
          <w:bCs/>
          <w:szCs w:val="22"/>
          <w:lang w:val="en-GB"/>
        </w:rPr>
        <w:t>.</w:t>
      </w:r>
      <w:r>
        <w:rPr>
          <w:szCs w:val="22"/>
          <w:lang w:val="en-GB"/>
        </w:rPr>
        <w:t xml:space="preserve"> 2011.</w:t>
      </w:r>
      <w:r>
        <w:rPr>
          <w:bCs/>
          <w:szCs w:val="22"/>
          <w:lang w:val="en-GB"/>
        </w:rPr>
        <w:t xml:space="preserve"> Detection and relative titer of </w:t>
      </w:r>
      <w:r>
        <w:rPr>
          <w:bCs/>
          <w:i/>
          <w:iCs/>
          <w:szCs w:val="22"/>
          <w:lang w:val="en-GB"/>
        </w:rPr>
        <w:t xml:space="preserve">Candidatus </w:t>
      </w:r>
      <w:r>
        <w:rPr>
          <w:bCs/>
          <w:szCs w:val="22"/>
          <w:lang w:val="en-GB"/>
        </w:rPr>
        <w:t xml:space="preserve">Liberibacter asiaticus in the salivary glands and alimentary canal of </w:t>
      </w:r>
      <w:r>
        <w:rPr>
          <w:bCs/>
          <w:i/>
          <w:iCs/>
          <w:szCs w:val="22"/>
          <w:lang w:val="en-GB"/>
        </w:rPr>
        <w:t>Diaphorina citri</w:t>
      </w:r>
      <w:r>
        <w:rPr>
          <w:bCs/>
          <w:szCs w:val="22"/>
          <w:lang w:val="en-GB"/>
        </w:rPr>
        <w:t xml:space="preserve"> </w:t>
        <w:lastRenderedPageBreak/>
        <w:t xml:space="preserve">(Hemiptera: Psyllidae) vector of citrus huanglongbing disease. </w:t>
      </w:r>
      <w:r>
        <w:rPr>
          <w:bCs/>
          <w:i/>
          <w:iCs/>
          <w:szCs w:val="22"/>
          <w:lang w:val="en-GB"/>
        </w:rPr>
        <w:t>Annals of the Entomological Society of America</w:t>
      </w:r>
      <w:r>
        <w:rPr>
          <w:szCs w:val="22"/>
          <w:lang w:val="en-GB"/>
        </w:rPr>
        <w:t>, 104(3): 526–533.</w:t>
      </w:r>
    </w:p>
    <w:p w14:paraId="217AFC39" w14:textId="30F4C437">
      <w:pPr>
        <w:pStyle w:val="IPPParagraphnumbering"/>
        <w:numPr>
          <w:ilvl w:val="0"/>
          <w:numId w:val="0"/>
        </w:numPr>
        <w:spacing w:before="120"/>
        <w:rPr>
          <w:szCs w:val="22"/>
          <w:lang w:val="en-GB"/>
        </w:rPr>
      </w:pPr>
      <w:r>
        <w:rPr>
          <w:rStyle w:val="PleaseReviewParagraphId"/>
          <w:b w:val="off"/>
          <w:i w:val="off"/>
        </w:rPr>
        <w:t>[481]</w:t>
      </w:r>
      <w:r>
        <w:rPr>
          <w:b/>
          <w:szCs w:val="22"/>
          <w:lang w:val="en-GB"/>
        </w:rPr>
        <w:t>Aubert, B.</w:t>
      </w:r>
      <w:r>
        <w:rPr>
          <w:szCs w:val="22"/>
          <w:lang w:val="en-GB"/>
        </w:rPr>
        <w:t xml:space="preserve"> 1987. </w:t>
      </w:r>
      <w:r>
        <w:rPr>
          <w:i/>
          <w:szCs w:val="22"/>
          <w:lang w:val="en-GB"/>
        </w:rPr>
        <w:t>Trioza erytreae</w:t>
      </w:r>
      <w:r>
        <w:rPr>
          <w:szCs w:val="22"/>
          <w:lang w:val="en-GB"/>
        </w:rPr>
        <w:t xml:space="preserve"> Del Guercio and </w:t>
      </w:r>
      <w:r>
        <w:rPr>
          <w:i/>
          <w:szCs w:val="22"/>
          <w:lang w:val="en-GB"/>
        </w:rPr>
        <w:t>Diaphorina</w:t>
      </w:r>
      <w:r>
        <w:rPr>
          <w:szCs w:val="22"/>
          <w:lang w:val="en-GB"/>
        </w:rPr>
        <w:t xml:space="preserve"> </w:t>
      </w:r>
      <w:r>
        <w:rPr>
          <w:i/>
          <w:szCs w:val="22"/>
          <w:lang w:val="en-GB"/>
        </w:rPr>
        <w:t>citri</w:t>
      </w:r>
      <w:r>
        <w:rPr>
          <w:szCs w:val="22"/>
          <w:lang w:val="en-GB"/>
        </w:rPr>
        <w:t xml:space="preserve"> Kuwayama (</w:t>
      </w:r>
      <w:r>
        <w:rPr>
          <w:i/>
          <w:szCs w:val="22"/>
          <w:lang w:val="en-GB"/>
        </w:rPr>
        <w:t>Homoptera</w:t>
      </w:r>
      <w:r>
        <w:rPr>
          <w:szCs w:val="22"/>
          <w:lang w:val="en-GB"/>
        </w:rPr>
        <w:t xml:space="preserve">: Psylloidea) the two vectors of citrus greening disease: Biological aspects and possible control strategies. </w:t>
      </w:r>
      <w:r>
        <w:rPr>
          <w:i/>
          <w:iCs/>
          <w:szCs w:val="22"/>
          <w:lang w:val="en-GB"/>
        </w:rPr>
        <w:t>Fruits</w:t>
      </w:r>
      <w:r>
        <w:rPr>
          <w:szCs w:val="22"/>
          <w:lang w:val="en-GB"/>
        </w:rPr>
        <w:t>, 42(3): 149–162</w:t>
      </w:r>
      <w:r>
        <w:rPr>
          <w:szCs w:val="22"/>
          <w:shd w:val="clear" w:color="auto" w:fill="FFFFFF"/>
          <w:lang w:val="en-GB"/>
        </w:rPr>
        <w:t>.</w:t>
      </w:r>
    </w:p>
    <w:p w14:paraId="29CFE989" w14:textId="2B8B3965">
      <w:pPr>
        <w:pStyle w:val="IPPParagraphnumbering"/>
        <w:numPr>
          <w:ilvl w:val="0"/>
          <w:numId w:val="0"/>
        </w:numPr>
        <w:rPr>
          <w:szCs w:val="22"/>
          <w:lang w:val="en-GB" w:eastAsia="es-MX"/>
        </w:rPr>
      </w:pPr>
      <w:r>
        <w:rPr>
          <w:rStyle w:val="PleaseReviewParagraphId"/>
          <w:b w:val="off"/>
          <w:i w:val="off"/>
        </w:rPr>
        <w:t>[482]</w:t>
      </w:r>
      <w:r>
        <w:rPr>
          <w:b/>
          <w:bCs/>
          <w:color w:val="222222"/>
          <w:lang w:val="en-GB"/>
        </w:rPr>
        <w:t>Barkley, P.B. &amp; Beattie, G.A.C.</w:t>
      </w:r>
      <w:r>
        <w:rPr>
          <w:color w:val="222222"/>
          <w:lang w:val="en-GB"/>
        </w:rPr>
        <w:t xml:space="preserve"> 2008. Contingency plans for HLB (Huanglongbing) and his vectors in Australia. </w:t>
      </w:r>
      <w:bookmarkStart w:name="_Hlk69403520" w:id="1"/>
      <w:r>
        <w:rPr>
          <w:i/>
          <w:iCs/>
          <w:color w:val="222222"/>
          <w:lang w:val="en-GB"/>
        </w:rPr>
        <w:t>In</w:t>
      </w:r>
      <w:r>
        <w:rPr>
          <w:color w:val="222222"/>
          <w:lang w:val="en-GB"/>
        </w:rPr>
        <w:t xml:space="preserve"> Proceedings of the </w:t>
      </w:r>
      <w:bookmarkEnd w:id="1"/>
      <w:r>
        <w:rPr>
          <w:color w:val="222222"/>
          <w:lang w:val="en-GB"/>
        </w:rPr>
        <w:t>First International Workshop on Citrus Huanglongbing, 2008, Mexico.</w:t>
      </w:r>
    </w:p>
    <w:p w14:paraId="38B7ED58" w14:textId="14C41EE1">
      <w:pPr>
        <w:pStyle w:val="IPPParagraphnumbering"/>
        <w:numPr>
          <w:ilvl w:val="0"/>
          <w:numId w:val="0"/>
        </w:numPr>
        <w:rPr>
          <w:szCs w:val="22"/>
          <w:lang w:val="en-GB" w:eastAsia="es-ES"/>
        </w:rPr>
      </w:pPr>
      <w:r>
        <w:rPr>
          <w:rStyle w:val="PleaseReviewParagraphId"/>
          <w:b w:val="off"/>
          <w:i w:val="off"/>
        </w:rPr>
        <w:t>[483]</w:t>
      </w:r>
      <w:r>
        <w:rPr>
          <w:b/>
          <w:bCs/>
          <w:szCs w:val="22"/>
          <w:lang w:val="en-GB" w:eastAsia="es-ES"/>
        </w:rPr>
        <w:t xml:space="preserve">Bertolini, E., Felipe, R.T.A., Sauer, A.V., Lopes, S.A., Arilla, A., Vidal, E., Mourão Filho, F.A.A. </w:t>
      </w:r>
      <w:r>
        <w:rPr>
          <w:b/>
          <w:bCs/>
          <w:i/>
          <w:iCs/>
          <w:szCs w:val="22"/>
          <w:lang w:val="en-GB" w:eastAsia="es-ES"/>
        </w:rPr>
        <w:t>et al</w:t>
      </w:r>
      <w:r>
        <w:rPr>
          <w:b/>
          <w:bCs/>
          <w:szCs w:val="22"/>
          <w:lang w:val="en-GB" w:eastAsia="es-ES"/>
        </w:rPr>
        <w:t xml:space="preserve">. </w:t>
      </w:r>
      <w:r>
        <w:rPr>
          <w:szCs w:val="22"/>
          <w:lang w:val="en-GB" w:eastAsia="es-ES"/>
        </w:rPr>
        <w:t>2014. Tissue‐print and squash real‐time PCR for direct detection of ‘</w:t>
      </w:r>
      <w:r>
        <w:rPr>
          <w:i/>
          <w:iCs/>
          <w:szCs w:val="22"/>
          <w:lang w:val="en-GB" w:eastAsia="es-ES"/>
        </w:rPr>
        <w:t>Candidatus</w:t>
      </w:r>
      <w:r>
        <w:rPr>
          <w:szCs w:val="22"/>
          <w:lang w:val="en-GB" w:eastAsia="es-ES"/>
        </w:rPr>
        <w:t xml:space="preserve"> Liberibacter’ species in citrus plants and psyllid vectors. </w:t>
      </w:r>
      <w:r>
        <w:rPr>
          <w:i/>
          <w:iCs/>
          <w:szCs w:val="22"/>
          <w:lang w:val="en-GB" w:eastAsia="es-ES"/>
        </w:rPr>
        <w:t>Plant Pathology</w:t>
      </w:r>
      <w:r>
        <w:rPr>
          <w:szCs w:val="22"/>
          <w:lang w:val="en-GB" w:eastAsia="es-ES"/>
        </w:rPr>
        <w:t>, 63:1149–1158.</w:t>
      </w:r>
    </w:p>
    <w:p w14:paraId="3450D58B" w14:textId="58742279">
      <w:pPr>
        <w:pStyle w:val="IPPParagraphnumbering"/>
        <w:numPr>
          <w:ilvl w:val="0"/>
          <w:numId w:val="0"/>
        </w:numPr>
        <w:rPr>
          <w:szCs w:val="22"/>
          <w:lang w:val="en-GB" w:eastAsia="es-ES"/>
        </w:rPr>
      </w:pPr>
      <w:r>
        <w:rPr>
          <w:rStyle w:val="PleaseReviewParagraphId"/>
          <w:b w:val="off"/>
          <w:i w:val="off"/>
        </w:rPr>
        <w:t>[484]</w:t>
      </w:r>
      <w:r>
        <w:rPr>
          <w:b/>
          <w:szCs w:val="22"/>
          <w:lang w:val="en-GB" w:eastAsia="es-ES"/>
        </w:rPr>
        <w:t xml:space="preserve">Bertolini, E., Moreno, A., Capote, N., Olmos, A., de Luis, A., Vidal, E., Pérez-Panades, J. &amp; Cambra, M. </w:t>
      </w:r>
      <w:r>
        <w:rPr>
          <w:szCs w:val="22"/>
          <w:lang w:val="en-GB" w:eastAsia="es-ES"/>
        </w:rPr>
        <w:t xml:space="preserve">2008. Quantitative detection of </w:t>
      </w:r>
      <w:r>
        <w:rPr>
          <w:i/>
          <w:iCs/>
          <w:szCs w:val="22"/>
          <w:lang w:val="en-GB" w:eastAsia="es-ES"/>
        </w:rPr>
        <w:t>Citrus tristeza virus</w:t>
      </w:r>
      <w:r>
        <w:rPr>
          <w:szCs w:val="22"/>
          <w:lang w:val="en-GB" w:eastAsia="es-ES"/>
        </w:rPr>
        <w:t xml:space="preserve"> in plant tissues and single aphids by real-time RT-PCR. </w:t>
      </w:r>
      <w:r>
        <w:rPr>
          <w:i/>
          <w:iCs/>
          <w:szCs w:val="22"/>
          <w:lang w:val="en-GB" w:eastAsia="es-ES"/>
        </w:rPr>
        <w:t>European Journal of Plant Pathology</w:t>
      </w:r>
      <w:r>
        <w:rPr>
          <w:szCs w:val="22"/>
          <w:lang w:val="en-GB" w:eastAsia="es-ES"/>
        </w:rPr>
        <w:t xml:space="preserve"> </w:t>
      </w:r>
      <w:r>
        <w:rPr>
          <w:bCs/>
          <w:szCs w:val="22"/>
          <w:lang w:val="en-GB" w:eastAsia="es-ES"/>
        </w:rPr>
        <w:t>120</w:t>
      </w:r>
      <w:r>
        <w:rPr>
          <w:szCs w:val="22"/>
          <w:lang w:val="en-GB" w:eastAsia="es-ES"/>
        </w:rPr>
        <w:t>, 177–188.</w:t>
      </w:r>
    </w:p>
    <w:p w14:paraId="1C1CFF9A" w14:textId="7A5B4EF9">
      <w:pPr>
        <w:pStyle w:val="IPPParagraphnumbering"/>
        <w:numPr>
          <w:ilvl w:val="0"/>
          <w:numId w:val="0"/>
        </w:numPr>
        <w:rPr>
          <w:szCs w:val="22"/>
          <w:lang w:val="en-GB"/>
        </w:rPr>
      </w:pPr>
      <w:r>
        <w:rPr>
          <w:rStyle w:val="PleaseReviewParagraphId"/>
          <w:b w:val="off"/>
          <w:i w:val="off"/>
        </w:rPr>
        <w:t>[485]</w:t>
      </w:r>
      <w:r>
        <w:rPr>
          <w:b/>
          <w:szCs w:val="22"/>
          <w:lang w:val="en-GB"/>
        </w:rPr>
        <w:t>Bové, J.M.</w:t>
      </w:r>
      <w:r>
        <w:rPr>
          <w:szCs w:val="22"/>
          <w:lang w:val="en-GB"/>
        </w:rPr>
        <w:t xml:space="preserve"> 2006. Huanglongbing: A destructive, newly-emerging, century-old disease of citrus. </w:t>
      </w:r>
      <w:r>
        <w:rPr>
          <w:i/>
          <w:szCs w:val="22"/>
          <w:lang w:val="en-GB"/>
        </w:rPr>
        <w:t>Journal of Plant Pathology,</w:t>
      </w:r>
      <w:r>
        <w:rPr>
          <w:szCs w:val="22"/>
          <w:lang w:val="en-GB"/>
        </w:rPr>
        <w:t xml:space="preserve"> 88: 7–37.</w:t>
      </w:r>
    </w:p>
    <w:p w14:paraId="1F868313" w14:textId="1BF1B08D">
      <w:pPr>
        <w:pStyle w:val="IPPParagraphnumbering"/>
        <w:numPr>
          <w:ilvl w:val="0"/>
          <w:numId w:val="0"/>
        </w:numPr>
        <w:rPr>
          <w:szCs w:val="22"/>
          <w:lang w:val="en-GB"/>
        </w:rPr>
      </w:pPr>
      <w:r>
        <w:rPr>
          <w:rStyle w:val="PleaseReviewParagraphId"/>
          <w:b w:val="off"/>
          <w:i w:val="off"/>
        </w:rPr>
        <w:t>[486]</w:t>
      </w:r>
      <w:r>
        <w:rPr>
          <w:b/>
          <w:szCs w:val="22"/>
          <w:lang w:val="en-GB"/>
        </w:rPr>
        <w:t>CABI.</w:t>
      </w:r>
      <w:r>
        <w:rPr>
          <w:bCs/>
          <w:szCs w:val="22"/>
          <w:lang w:val="en-GB"/>
        </w:rPr>
        <w:t xml:space="preserve"> 2021.</w:t>
      </w:r>
      <w:r>
        <w:rPr>
          <w:b/>
          <w:szCs w:val="22"/>
          <w:lang w:val="en-GB"/>
        </w:rPr>
        <w:t xml:space="preserve"> </w:t>
      </w:r>
      <w:r>
        <w:rPr>
          <w:bCs/>
          <w:szCs w:val="22"/>
          <w:lang w:val="en-GB"/>
        </w:rPr>
        <w:t>Citrus huanglongbing (greening) disease (citrus greening). Datasheet.</w:t>
      </w:r>
      <w:r>
        <w:rPr>
          <w:szCs w:val="22"/>
          <w:lang w:val="en-GB"/>
        </w:rPr>
        <w:t xml:space="preserve"> In: </w:t>
      </w:r>
      <w:r>
        <w:rPr>
          <w:i/>
          <w:iCs/>
          <w:szCs w:val="22"/>
          <w:lang w:val="en-GB"/>
        </w:rPr>
        <w:t>Invasive Species Compendium</w:t>
      </w:r>
      <w:r>
        <w:rPr>
          <w:szCs w:val="22"/>
          <w:lang w:val="en-GB"/>
        </w:rPr>
        <w:t xml:space="preserve"> [online]. Wallingford, UK, CABI. [Cited 15 April 2021].</w:t>
      </w:r>
      <w:r>
        <w:rPr>
          <w:i/>
          <w:iCs/>
          <w:szCs w:val="22"/>
          <w:lang w:val="en-GB"/>
        </w:rPr>
        <w:t xml:space="preserve"> </w:t>
      </w:r>
      <w:hyperlink w:history="1" r:id="rId23">
        <w:r>
          <w:rPr>
            <w:rStyle w:val="Hyperlink"/>
            <w:szCs w:val="22"/>
            <w:lang w:val="en-GB"/>
          </w:rPr>
          <w:t>www.cabi.org/isc/datasheet/16567</w:t>
        </w:r>
      </w:hyperlink>
    </w:p>
    <w:p w14:paraId="065F385D" w14:textId="1704498F">
      <w:pPr>
        <w:pStyle w:val="IPPParagraphnumbering"/>
        <w:numPr>
          <w:ilvl w:val="0"/>
          <w:numId w:val="0"/>
        </w:numPr>
        <w:rPr>
          <w:szCs w:val="22"/>
          <w:lang w:val="en-GB"/>
        </w:rPr>
      </w:pPr>
      <w:r>
        <w:rPr>
          <w:rStyle w:val="PleaseReviewParagraphId"/>
          <w:b w:val="off"/>
          <w:i w:val="off"/>
        </w:rPr>
        <w:t>[487]</w:t>
      </w:r>
      <w:r>
        <w:rPr>
          <w:b/>
          <w:bCs/>
          <w:color w:val="222222"/>
          <w:szCs w:val="22"/>
          <w:lang w:val="en-GB"/>
        </w:rPr>
        <w:t xml:space="preserve">Cellier, G., Redondo, C., Cubero, J., Roselló, M., de Andrade, E., Cruz, L., Ince, E. </w:t>
      </w:r>
      <w:r>
        <w:rPr>
          <w:b/>
          <w:bCs/>
          <w:i/>
          <w:iCs/>
          <w:color w:val="222222"/>
          <w:szCs w:val="22"/>
          <w:lang w:val="en-GB"/>
        </w:rPr>
        <w:t>et al</w:t>
      </w:r>
      <w:r>
        <w:rPr>
          <w:b/>
          <w:bCs/>
          <w:color w:val="222222"/>
          <w:szCs w:val="22"/>
          <w:lang w:val="en-GB"/>
        </w:rPr>
        <w:t>.</w:t>
      </w:r>
      <w:r>
        <w:rPr>
          <w:color w:val="222222"/>
          <w:szCs w:val="22"/>
          <w:lang w:val="en-GB"/>
        </w:rPr>
        <w:t xml:space="preserve"> 2020. Comparison of the performance of the main real-time and conventional PCR detection tests for ‘</w:t>
      </w:r>
      <w:r>
        <w:rPr>
          <w:i/>
          <w:iCs/>
          <w:color w:val="222222"/>
          <w:szCs w:val="22"/>
          <w:lang w:val="en-GB"/>
        </w:rPr>
        <w:t>Candidatus</w:t>
      </w:r>
      <w:r>
        <w:rPr>
          <w:color w:val="222222"/>
          <w:szCs w:val="22"/>
          <w:lang w:val="en-GB"/>
        </w:rPr>
        <w:t xml:space="preserve"> Liberibacter’spp., plant pathogenic bacteria causing the Huanglongbing disease in </w:t>
      </w:r>
      <w:r>
        <w:rPr>
          <w:i/>
          <w:iCs/>
          <w:color w:val="222222"/>
          <w:szCs w:val="22"/>
          <w:lang w:val="en-GB"/>
        </w:rPr>
        <w:t>Citrus</w:t>
      </w:r>
      <w:r>
        <w:rPr>
          <w:color w:val="222222"/>
          <w:szCs w:val="22"/>
          <w:lang w:val="en-GB"/>
        </w:rPr>
        <w:t xml:space="preserve"> spp. </w:t>
      </w:r>
      <w:r>
        <w:rPr>
          <w:i/>
          <w:iCs/>
          <w:color w:val="222222"/>
          <w:szCs w:val="22"/>
          <w:lang w:val="en-GB"/>
        </w:rPr>
        <w:t>European Journal of Plant Pathology</w:t>
      </w:r>
      <w:r>
        <w:rPr>
          <w:color w:val="222222"/>
          <w:szCs w:val="22"/>
          <w:lang w:val="en-GB"/>
        </w:rPr>
        <w:t>, 157: 919–941.</w:t>
      </w:r>
    </w:p>
    <w:p w14:paraId="7B08C26B" w14:textId="51A0C270">
      <w:pPr>
        <w:pStyle w:val="IPPParagraphnumbering"/>
        <w:numPr>
          <w:ilvl w:val="0"/>
          <w:numId w:val="0"/>
        </w:numPr>
        <w:rPr>
          <w:szCs w:val="22"/>
          <w:lang w:val="en-GB" w:eastAsia="es-MX"/>
        </w:rPr>
      </w:pPr>
      <w:r>
        <w:rPr>
          <w:rStyle w:val="PleaseReviewParagraphId"/>
          <w:b w:val="off"/>
          <w:i w:val="off"/>
        </w:rPr>
        <w:t>[488]</w:t>
      </w:r>
      <w:r>
        <w:rPr>
          <w:b/>
          <w:szCs w:val="22"/>
          <w:lang w:val="fr-BE" w:eastAsia="es-MX"/>
        </w:rPr>
        <w:t xml:space="preserve">Cen, Y., </w:t>
      </w:r>
      <w:r>
        <w:rPr>
          <w:rFonts w:eastAsia="SimSun"/>
          <w:b/>
          <w:szCs w:val="22"/>
          <w:lang w:val="fr-BE" w:eastAsia="zh-CN"/>
        </w:rPr>
        <w:t>Gao</w:t>
      </w:r>
      <w:r>
        <w:rPr>
          <w:b/>
          <w:szCs w:val="22"/>
          <w:lang w:val="fr-BE" w:eastAsia="es-MX"/>
        </w:rPr>
        <w:t xml:space="preserve">, </w:t>
      </w:r>
      <w:r>
        <w:rPr>
          <w:rFonts w:eastAsia="SimSun"/>
          <w:b/>
          <w:bCs/>
          <w:szCs w:val="22"/>
          <w:lang w:val="fr-BE" w:eastAsia="zh-CN"/>
        </w:rPr>
        <w:t>J</w:t>
      </w:r>
      <w:r>
        <w:rPr>
          <w:b/>
          <w:szCs w:val="22"/>
          <w:lang w:val="fr-BE" w:eastAsia="es-MX"/>
        </w:rPr>
        <w:t>., Deng, X., Xia, Y</w:t>
      </w:r>
      <w:r>
        <w:rPr>
          <w:rFonts w:eastAsia="SimSun"/>
          <w:b/>
          <w:szCs w:val="22"/>
          <w:lang w:val="fr-BE" w:eastAsia="zh-CN"/>
        </w:rPr>
        <w:t>.</w:t>
      </w:r>
      <w:r>
        <w:rPr>
          <w:b/>
          <w:szCs w:val="22"/>
          <w:lang w:val="fr-BE" w:eastAsia="es-MX"/>
        </w:rPr>
        <w:t xml:space="preserve">, </w:t>
      </w:r>
      <w:r>
        <w:rPr>
          <w:rFonts w:eastAsia="SimSun"/>
          <w:b/>
          <w:szCs w:val="22"/>
          <w:lang w:val="fr-BE" w:eastAsia="zh-CN"/>
        </w:rPr>
        <w:t>Chen</w:t>
      </w:r>
      <w:r>
        <w:rPr>
          <w:b/>
          <w:szCs w:val="22"/>
          <w:lang w:val="fr-BE" w:eastAsia="es-MX"/>
        </w:rPr>
        <w:t xml:space="preserve">, </w:t>
      </w:r>
      <w:r>
        <w:rPr>
          <w:rFonts w:eastAsia="SimSun"/>
          <w:b/>
          <w:szCs w:val="22"/>
          <w:lang w:val="fr-BE" w:eastAsia="zh-CN"/>
        </w:rPr>
        <w:t>J</w:t>
      </w:r>
      <w:r>
        <w:rPr>
          <w:b/>
          <w:szCs w:val="22"/>
          <w:lang w:val="fr-BE" w:eastAsia="es-MX"/>
        </w:rPr>
        <w:t xml:space="preserve">., </w:t>
      </w:r>
      <w:r>
        <w:rPr>
          <w:rFonts w:eastAsia="SimSun"/>
          <w:b/>
          <w:szCs w:val="22"/>
          <w:lang w:val="fr-BE" w:eastAsia="zh-CN"/>
        </w:rPr>
        <w:t>Zhang</w:t>
      </w:r>
      <w:r>
        <w:rPr>
          <w:b/>
          <w:szCs w:val="22"/>
          <w:lang w:val="fr-BE" w:eastAsia="es-MX"/>
        </w:rPr>
        <w:t xml:space="preserve">, </w:t>
      </w:r>
      <w:r>
        <w:rPr>
          <w:rFonts w:eastAsia="SimSun"/>
          <w:b/>
          <w:szCs w:val="22"/>
          <w:lang w:val="fr-BE" w:eastAsia="zh-CN"/>
        </w:rPr>
        <w:t>L.</w:t>
      </w:r>
      <w:r>
        <w:rPr>
          <w:b/>
          <w:szCs w:val="22"/>
          <w:lang w:val="fr-BE" w:eastAsia="es-MX"/>
        </w:rPr>
        <w:t xml:space="preserve">, </w:t>
      </w:r>
      <w:r>
        <w:rPr>
          <w:rFonts w:eastAsia="SimSun"/>
          <w:b/>
          <w:szCs w:val="22"/>
          <w:lang w:val="fr-BE" w:eastAsia="zh-CN"/>
        </w:rPr>
        <w:t xml:space="preserve">Guo, J. </w:t>
      </w:r>
      <w:r>
        <w:rPr>
          <w:rFonts w:eastAsia="SimSun"/>
          <w:b/>
          <w:i/>
          <w:iCs/>
          <w:szCs w:val="22"/>
          <w:lang w:val="fr-BE" w:eastAsia="zh-CN"/>
        </w:rPr>
        <w:t>et al</w:t>
      </w:r>
      <w:r>
        <w:rPr>
          <w:b/>
          <w:bCs/>
          <w:szCs w:val="22"/>
          <w:lang w:val="fr-BE" w:eastAsia="es-MX"/>
        </w:rPr>
        <w:t>.</w:t>
      </w:r>
      <w:r>
        <w:rPr>
          <w:szCs w:val="22"/>
          <w:lang w:val="fr-BE" w:eastAsia="es-MX"/>
        </w:rPr>
        <w:t xml:space="preserve"> 2012. </w:t>
      </w:r>
      <w:r>
        <w:rPr>
          <w:rFonts w:eastAsia="SimSun"/>
          <w:szCs w:val="22"/>
          <w:lang w:val="en-GB" w:eastAsia="zh-CN"/>
        </w:rPr>
        <w:t>A new insect vector</w:t>
      </w:r>
      <w:r>
        <w:rPr>
          <w:szCs w:val="22"/>
          <w:lang w:val="en-GB" w:eastAsia="es-MX"/>
        </w:rPr>
        <w:t xml:space="preserve"> of ‘</w:t>
      </w:r>
      <w:r>
        <w:rPr>
          <w:i/>
          <w:iCs/>
          <w:szCs w:val="22"/>
          <w:lang w:val="en-GB" w:eastAsia="es-MX"/>
        </w:rPr>
        <w:t xml:space="preserve">Candidatus </w:t>
      </w:r>
      <w:r>
        <w:rPr>
          <w:szCs w:val="22"/>
          <w:lang w:val="en-GB" w:eastAsia="es-MX"/>
        </w:rPr>
        <w:t>Liberibacter asiaticus’</w:t>
      </w:r>
      <w:r>
        <w:rPr>
          <w:rFonts w:eastAsia="SimSun"/>
          <w:szCs w:val="22"/>
          <w:lang w:val="en-GB" w:eastAsia="zh-CN"/>
        </w:rPr>
        <w:t>,</w:t>
      </w:r>
      <w:r>
        <w:rPr>
          <w:szCs w:val="22"/>
          <w:lang w:val="en-GB" w:eastAsia="es-MX"/>
        </w:rPr>
        <w:t xml:space="preserve"> </w:t>
      </w:r>
      <w:r>
        <w:rPr>
          <w:i/>
          <w:iCs/>
          <w:szCs w:val="22"/>
          <w:lang w:val="en-GB" w:eastAsia="es-MX"/>
        </w:rPr>
        <w:t xml:space="preserve">Cacopsylla </w:t>
      </w:r>
      <w:r>
        <w:rPr>
          <w:szCs w:val="22"/>
          <w:lang w:val="en-GB" w:eastAsia="es-MX"/>
        </w:rPr>
        <w:t>(</w:t>
      </w:r>
      <w:r>
        <w:rPr>
          <w:rFonts w:eastAsia="SimSun"/>
          <w:i/>
          <w:iCs/>
          <w:szCs w:val="22"/>
          <w:lang w:val="en-GB" w:eastAsia="zh-CN"/>
        </w:rPr>
        <w:t>P</w:t>
      </w:r>
      <w:r>
        <w:rPr>
          <w:i/>
          <w:iCs/>
          <w:szCs w:val="22"/>
          <w:lang w:val="en-GB" w:eastAsia="es-MX"/>
        </w:rPr>
        <w:t>sylla</w:t>
      </w:r>
      <w:r>
        <w:rPr>
          <w:szCs w:val="22"/>
          <w:lang w:val="en-GB" w:eastAsia="es-MX"/>
        </w:rPr>
        <w:t xml:space="preserve">) </w:t>
      </w:r>
      <w:r>
        <w:rPr>
          <w:i/>
          <w:iCs/>
          <w:szCs w:val="22"/>
          <w:lang w:val="en-GB" w:eastAsia="es-MX"/>
        </w:rPr>
        <w:t xml:space="preserve">citrisuga </w:t>
      </w:r>
      <w:r>
        <w:rPr>
          <w:szCs w:val="22"/>
          <w:lang w:val="en-GB" w:eastAsia="es-MX"/>
        </w:rPr>
        <w:t>(</w:t>
      </w:r>
      <w:r>
        <w:rPr>
          <w:rFonts w:eastAsia="SimSun"/>
          <w:szCs w:val="22"/>
          <w:lang w:val="en-GB" w:eastAsia="zh-CN"/>
        </w:rPr>
        <w:t>H</w:t>
      </w:r>
      <w:r>
        <w:rPr>
          <w:szCs w:val="22"/>
          <w:lang w:val="en-GB" w:eastAsia="es-MX"/>
        </w:rPr>
        <w:t xml:space="preserve">emiptera: </w:t>
      </w:r>
      <w:r>
        <w:rPr>
          <w:rFonts w:eastAsia="SimSun"/>
          <w:szCs w:val="22"/>
          <w:lang w:val="en-GB" w:eastAsia="zh-CN"/>
        </w:rPr>
        <w:t>P</w:t>
      </w:r>
      <w:r>
        <w:rPr>
          <w:szCs w:val="22"/>
          <w:lang w:val="en-GB" w:eastAsia="es-MX"/>
        </w:rPr>
        <w:t>syllidae).</w:t>
      </w:r>
      <w:r>
        <w:rPr>
          <w:i/>
          <w:iCs/>
          <w:szCs w:val="22"/>
          <w:lang w:val="en-GB" w:eastAsia="es-MX"/>
        </w:rPr>
        <w:t xml:space="preserve"> In </w:t>
      </w:r>
      <w:r>
        <w:rPr>
          <w:rFonts w:eastAsia="SimSun"/>
          <w:szCs w:val="22"/>
          <w:lang w:val="en-GB" w:eastAsia="zh-CN"/>
        </w:rPr>
        <w:t>Book of Abstracts of the XII International Citrus Congress</w:t>
      </w:r>
      <w:r>
        <w:rPr>
          <w:rFonts w:eastAsia="SimSun"/>
          <w:iCs/>
          <w:szCs w:val="22"/>
          <w:lang w:val="en-GB" w:eastAsia="zh-CN"/>
        </w:rPr>
        <w:t>, p. 1</w:t>
      </w:r>
      <w:r>
        <w:rPr>
          <w:szCs w:val="22"/>
          <w:lang w:val="en-GB" w:eastAsia="es-MX"/>
        </w:rPr>
        <w:t>9</w:t>
      </w:r>
      <w:r>
        <w:rPr>
          <w:rFonts w:eastAsia="SimSun"/>
          <w:szCs w:val="22"/>
          <w:lang w:val="en-GB" w:eastAsia="zh-CN"/>
        </w:rPr>
        <w:t>4</w:t>
      </w:r>
      <w:r>
        <w:rPr>
          <w:szCs w:val="22"/>
          <w:lang w:val="en-GB" w:eastAsia="es-MX"/>
        </w:rPr>
        <w:t>.</w:t>
      </w:r>
      <w:r>
        <w:rPr>
          <w:rFonts w:eastAsia="SimSun"/>
          <w:szCs w:val="22"/>
          <w:lang w:val="en-GB" w:eastAsia="zh-CN"/>
        </w:rPr>
        <w:t xml:space="preserve"> Valencia, Spain.</w:t>
      </w:r>
    </w:p>
    <w:p w14:paraId="5F12AB7E" w14:textId="104E0557">
      <w:pPr>
        <w:pStyle w:val="IPPParagraphnumbering"/>
        <w:numPr>
          <w:ilvl w:val="0"/>
          <w:numId w:val="0"/>
        </w:numPr>
        <w:rPr>
          <w:szCs w:val="22"/>
          <w:lang w:val="en-GB" w:eastAsia="es-MX"/>
        </w:rPr>
      </w:pPr>
      <w:r>
        <w:rPr>
          <w:rStyle w:val="PleaseReviewParagraphId"/>
          <w:b w:val="off"/>
          <w:i w:val="off"/>
        </w:rPr>
        <w:t>[489]</w:t>
      </w:r>
      <w:r>
        <w:rPr>
          <w:b/>
          <w:szCs w:val="22"/>
          <w:lang w:val="en-GB" w:eastAsia="es-MX"/>
        </w:rPr>
        <w:t xml:space="preserve">Cen, Y., Zhang, L., Xia, Y, Guo, J., Deng, X., Zhou, W., Sequeira, R. </w:t>
      </w:r>
      <w:r>
        <w:rPr>
          <w:b/>
          <w:i/>
          <w:iCs/>
          <w:szCs w:val="22"/>
          <w:lang w:val="en-GB" w:eastAsia="es-MX"/>
        </w:rPr>
        <w:t>et al</w:t>
      </w:r>
      <w:r>
        <w:rPr>
          <w:b/>
          <w:bCs/>
          <w:szCs w:val="22"/>
          <w:lang w:val="en-GB" w:eastAsia="es-MX"/>
        </w:rPr>
        <w:t>.</w:t>
      </w:r>
      <w:r>
        <w:rPr>
          <w:szCs w:val="22"/>
          <w:lang w:val="en-GB" w:eastAsia="es-MX"/>
        </w:rPr>
        <w:t xml:space="preserve"> 2012. Detection of ‘</w:t>
      </w:r>
      <w:r>
        <w:rPr>
          <w:i/>
          <w:iCs/>
          <w:szCs w:val="22"/>
          <w:lang w:val="en-GB" w:eastAsia="es-MX"/>
        </w:rPr>
        <w:t xml:space="preserve">Candidatus </w:t>
      </w:r>
      <w:r>
        <w:rPr>
          <w:szCs w:val="22"/>
          <w:lang w:val="en-GB" w:eastAsia="es-MX"/>
        </w:rPr>
        <w:t xml:space="preserve">Liberibacter asiaticus’ in </w:t>
      </w:r>
      <w:r>
        <w:rPr>
          <w:i/>
          <w:iCs/>
          <w:szCs w:val="22"/>
          <w:lang w:val="en-GB" w:eastAsia="es-MX"/>
        </w:rPr>
        <w:t xml:space="preserve">Cacopsylla </w:t>
      </w:r>
      <w:r>
        <w:rPr>
          <w:szCs w:val="22"/>
          <w:lang w:val="en-GB" w:eastAsia="es-MX"/>
        </w:rPr>
        <w:t>(</w:t>
      </w:r>
      <w:r>
        <w:rPr>
          <w:rFonts w:eastAsia="SimSun"/>
          <w:i/>
          <w:iCs/>
          <w:szCs w:val="22"/>
          <w:lang w:val="en-GB" w:eastAsia="zh-CN"/>
        </w:rPr>
        <w:t>P</w:t>
      </w:r>
      <w:r>
        <w:rPr>
          <w:i/>
          <w:iCs/>
          <w:szCs w:val="22"/>
          <w:lang w:val="en-GB" w:eastAsia="es-MX"/>
        </w:rPr>
        <w:t>sylla</w:t>
      </w:r>
      <w:r>
        <w:rPr>
          <w:szCs w:val="22"/>
          <w:lang w:val="en-GB" w:eastAsia="es-MX"/>
        </w:rPr>
        <w:t xml:space="preserve">) </w:t>
      </w:r>
      <w:r>
        <w:rPr>
          <w:i/>
          <w:iCs/>
          <w:szCs w:val="22"/>
          <w:lang w:val="en-GB" w:eastAsia="es-MX"/>
        </w:rPr>
        <w:t xml:space="preserve">citrisuga </w:t>
      </w:r>
      <w:r>
        <w:rPr>
          <w:szCs w:val="22"/>
          <w:lang w:val="en-GB" w:eastAsia="es-MX"/>
        </w:rPr>
        <w:t>(</w:t>
      </w:r>
      <w:r>
        <w:rPr>
          <w:rFonts w:eastAsia="SimSun"/>
          <w:szCs w:val="22"/>
          <w:lang w:val="en-GB" w:eastAsia="zh-CN"/>
        </w:rPr>
        <w:t>H</w:t>
      </w:r>
      <w:r>
        <w:rPr>
          <w:szCs w:val="22"/>
          <w:lang w:val="en-GB" w:eastAsia="es-MX"/>
        </w:rPr>
        <w:t xml:space="preserve">emiptera: </w:t>
      </w:r>
      <w:r>
        <w:rPr>
          <w:rFonts w:eastAsia="SimSun"/>
          <w:szCs w:val="22"/>
          <w:lang w:val="en-GB" w:eastAsia="zh-CN"/>
        </w:rPr>
        <w:t>P</w:t>
      </w:r>
      <w:r>
        <w:rPr>
          <w:szCs w:val="22"/>
          <w:lang w:val="en-GB" w:eastAsia="es-MX"/>
        </w:rPr>
        <w:t>syllidae).</w:t>
      </w:r>
      <w:r>
        <w:rPr>
          <w:i/>
          <w:iCs/>
          <w:szCs w:val="22"/>
          <w:lang w:val="en-GB" w:eastAsia="es-MX"/>
        </w:rPr>
        <w:t xml:space="preserve"> Florida Entomologist, </w:t>
      </w:r>
      <w:r>
        <w:rPr>
          <w:szCs w:val="22"/>
          <w:lang w:val="en-GB" w:eastAsia="es-MX"/>
        </w:rPr>
        <w:t>95: 304–311.</w:t>
      </w:r>
    </w:p>
    <w:p w14:paraId="0D27B33C" w14:textId="60D2888D">
      <w:pPr>
        <w:pStyle w:val="IPPParagraphnumbering"/>
        <w:numPr>
          <w:ilvl w:val="0"/>
          <w:numId w:val="0"/>
        </w:numPr>
        <w:rPr>
          <w:szCs w:val="22"/>
          <w:lang w:val="en-GB" w:eastAsia="es-MX"/>
        </w:rPr>
      </w:pPr>
      <w:r>
        <w:rPr>
          <w:rStyle w:val="PleaseReviewParagraphId"/>
          <w:b w:val="off"/>
          <w:i w:val="off"/>
        </w:rPr>
        <w:t>[490]</w:t>
      </w:r>
      <w:r>
        <w:rPr>
          <w:b/>
          <w:bCs/>
          <w:color w:val="222222"/>
        </w:rPr>
        <w:t>Chandelier, A., Planchon, V. and Oger, R.</w:t>
      </w:r>
      <w:r>
        <w:rPr>
          <w:color w:val="222222"/>
        </w:rPr>
        <w:t xml:space="preserve"> 2010. Determination of cycle cut off in real‐time PCR for the detection of regulated plant pathogens. </w:t>
      </w:r>
      <w:r>
        <w:rPr>
          <w:i/>
          <w:iCs/>
          <w:color w:val="222222"/>
        </w:rPr>
        <w:t>EPPO bulletin</w:t>
      </w:r>
      <w:r>
        <w:rPr>
          <w:color w:val="222222"/>
        </w:rPr>
        <w:t xml:space="preserve">, </w:t>
      </w:r>
      <w:r>
        <w:rPr>
          <w:i/>
          <w:iCs/>
          <w:color w:val="222222"/>
        </w:rPr>
        <w:t>40</w:t>
      </w:r>
      <w:r>
        <w:rPr>
          <w:color w:val="222222"/>
        </w:rPr>
        <w:t>: 52-58.</w:t>
      </w:r>
    </w:p>
    <w:p w14:paraId="77B5F5CF" w14:textId="3567EC0C">
      <w:pPr>
        <w:pStyle w:val="IPPParagraphnumbering"/>
        <w:numPr>
          <w:ilvl w:val="0"/>
          <w:numId w:val="0"/>
        </w:numPr>
        <w:rPr>
          <w:szCs w:val="22"/>
          <w:lang w:val="en-GB"/>
        </w:rPr>
      </w:pPr>
      <w:r>
        <w:rPr>
          <w:rStyle w:val="PleaseReviewParagraphId"/>
          <w:b w:val="off"/>
          <w:i w:val="off"/>
        </w:rPr>
        <w:t>[491]</w:t>
      </w:r>
      <w:r>
        <w:rPr>
          <w:b/>
          <w:bCs/>
          <w:szCs w:val="22"/>
          <w:lang w:val="en-GB"/>
        </w:rPr>
        <w:t>Choi, C.W., Hyun, J.W., Hwang, R.Y. and Powell, C.A.</w:t>
      </w:r>
      <w:r>
        <w:rPr>
          <w:szCs w:val="22"/>
          <w:lang w:val="en-GB"/>
        </w:rPr>
        <w:t xml:space="preserve"> 2018. Loop-mediated Isothermal Amplification assay for Detection of Candidatus Liberibacter asiaticus, a Causal Agent of Citrus Huanglongbing. </w:t>
      </w:r>
      <w:r>
        <w:rPr>
          <w:i/>
          <w:iCs/>
          <w:szCs w:val="22"/>
          <w:lang w:val="en-GB"/>
        </w:rPr>
        <w:t>The Plant Pathology Journal</w:t>
      </w:r>
      <w:r>
        <w:rPr>
          <w:szCs w:val="22"/>
          <w:lang w:val="en-GB"/>
        </w:rPr>
        <w:t>, 34:499.</w:t>
      </w:r>
    </w:p>
    <w:p w14:paraId="1A176D46" w14:textId="740E6B57">
      <w:pPr>
        <w:pStyle w:val="IPPParagraphnumbering"/>
        <w:numPr>
          <w:ilvl w:val="0"/>
          <w:numId w:val="0"/>
        </w:numPr>
        <w:rPr>
          <w:szCs w:val="22"/>
          <w:lang w:val="en-GB"/>
        </w:rPr>
      </w:pPr>
      <w:r>
        <w:rPr>
          <w:rStyle w:val="PleaseReviewParagraphId"/>
          <w:b w:val="off"/>
          <w:i w:val="off"/>
        </w:rPr>
        <w:t>[492]</w:t>
      </w:r>
      <w:r>
        <w:rPr>
          <w:b/>
          <w:szCs w:val="22"/>
          <w:lang w:val="en-GB"/>
        </w:rPr>
        <w:t>Da Graça, J</w:t>
      </w:r>
      <w:r>
        <w:rPr>
          <w:b/>
          <w:bCs/>
          <w:szCs w:val="22"/>
          <w:lang w:val="en-GB"/>
        </w:rPr>
        <w:t>.</w:t>
      </w:r>
      <w:r>
        <w:rPr>
          <w:szCs w:val="22"/>
          <w:lang w:val="en-GB"/>
        </w:rPr>
        <w:t xml:space="preserve"> 1991. Citrus greening disease. </w:t>
      </w:r>
      <w:r>
        <w:rPr>
          <w:i/>
          <w:szCs w:val="22"/>
          <w:lang w:val="en-GB"/>
        </w:rPr>
        <w:t>Annual Review of Phytopathology</w:t>
      </w:r>
      <w:r>
        <w:rPr>
          <w:szCs w:val="22"/>
          <w:lang w:val="en-GB"/>
        </w:rPr>
        <w:t>, 29: 109–136.</w:t>
      </w:r>
    </w:p>
    <w:p w14:paraId="69CFDABA" w14:textId="5D9D99D8">
      <w:pPr>
        <w:pStyle w:val="IPPParagraphnumbering"/>
        <w:numPr>
          <w:ilvl w:val="0"/>
          <w:numId w:val="0"/>
        </w:numPr>
        <w:rPr>
          <w:szCs w:val="22"/>
          <w:lang w:val="en-GB"/>
        </w:rPr>
      </w:pPr>
      <w:r>
        <w:rPr>
          <w:rStyle w:val="PleaseReviewParagraphId"/>
          <w:b w:val="off"/>
          <w:i w:val="off"/>
        </w:rPr>
        <w:t>[493]</w:t>
      </w:r>
      <w:r>
        <w:rPr>
          <w:b/>
          <w:bCs/>
          <w:szCs w:val="22"/>
          <w:lang w:val="en-GB"/>
        </w:rPr>
        <w:t>Da Graça, J.V. 2010.</w:t>
      </w:r>
      <w:r>
        <w:rPr>
          <w:szCs w:val="22"/>
          <w:lang w:val="en-GB"/>
        </w:rPr>
        <w:t xml:space="preserve"> Etiology, history and world situation of citrus Huanglongbing. </w:t>
      </w:r>
      <w:r>
        <w:rPr>
          <w:i/>
          <w:iCs/>
          <w:szCs w:val="22"/>
          <w:lang w:val="en-GB"/>
        </w:rPr>
        <w:t>In</w:t>
      </w:r>
      <w:r>
        <w:rPr>
          <w:szCs w:val="22"/>
          <w:lang w:val="en-GB"/>
        </w:rPr>
        <w:t xml:space="preserve"> </w:t>
      </w:r>
      <w:r>
        <w:rPr>
          <w:color w:val="222222"/>
          <w:lang w:val="en-GB"/>
        </w:rPr>
        <w:t>Proceedings of the Second</w:t>
      </w:r>
      <w:r>
        <w:rPr>
          <w:szCs w:val="22"/>
          <w:lang w:val="en-GB"/>
        </w:rPr>
        <w:t xml:space="preserve"> International Workshop on Citrus Huanglongbing and the Asian Citrus Psyllid. Mérida, Yucatán, Mexico.</w:t>
      </w:r>
    </w:p>
    <w:p w14:paraId="7127B0BE" w14:textId="54825DAC">
      <w:pPr>
        <w:pStyle w:val="IPPParagraphnumbering"/>
        <w:numPr>
          <w:ilvl w:val="0"/>
          <w:numId w:val="0"/>
        </w:numPr>
        <w:rPr>
          <w:szCs w:val="22"/>
          <w:lang w:val="en-GB"/>
        </w:rPr>
      </w:pPr>
      <w:r>
        <w:rPr>
          <w:rStyle w:val="PleaseReviewParagraphId"/>
          <w:b w:val="off"/>
          <w:i w:val="off"/>
        </w:rPr>
        <w:t>[494]</w:t>
      </w:r>
      <w:r>
        <w:rPr>
          <w:color w:val="222222"/>
        </w:rPr>
        <w:t xml:space="preserve">Deng, X., Lou, Z., Feng, Z., Li, H., Chen, J. and Civerolo, E.L., 2008. First report of ‘Candidatus Liberibacter asiaticus’ from </w:t>
      </w:r>
      <w:r>
        <w:rPr>
          <w:i/>
          <w:iCs/>
          <w:color w:val="222222"/>
        </w:rPr>
        <w:t>Atalantia buxifolia</w:t>
      </w:r>
      <w:r>
        <w:rPr>
          <w:color w:val="222222"/>
        </w:rPr>
        <w:t xml:space="preserve"> in Guangdong, China. </w:t>
      </w:r>
      <w:r>
        <w:rPr>
          <w:i/>
          <w:iCs/>
          <w:color w:val="222222"/>
        </w:rPr>
        <w:t>Plant disease</w:t>
      </w:r>
      <w:r>
        <w:rPr>
          <w:color w:val="222222"/>
        </w:rPr>
        <w:t xml:space="preserve"> 92: 314-314.</w:t>
      </w:r>
    </w:p>
    <w:p w14:paraId="7E321F9B" w14:textId="32B05F90">
      <w:pPr>
        <w:pStyle w:val="IPPParagraphnumbering"/>
        <w:numPr>
          <w:ilvl w:val="0"/>
          <w:numId w:val="0"/>
        </w:numPr>
        <w:rPr>
          <w:szCs w:val="22"/>
          <w:lang w:val="en-GB" w:eastAsia="es-ES"/>
        </w:rPr>
      </w:pPr>
      <w:r>
        <w:rPr>
          <w:rStyle w:val="PleaseReviewParagraphId"/>
          <w:b w:val="off"/>
          <w:i w:val="off"/>
        </w:rPr>
        <w:t>[495]</w:t>
      </w:r>
      <w:r>
        <w:rPr>
          <w:b/>
          <w:szCs w:val="22"/>
          <w:lang w:val="en-GB" w:eastAsia="es-ES"/>
        </w:rPr>
        <w:t>Donovan, N.J., Beattie, G.A.C., Chambers, G.A., Holford, P., Englezou, A., Hardy, S., Dorjee, Phuntsho Wangdi, Thinlay &amp; Namgay Om</w:t>
      </w:r>
      <w:r>
        <w:rPr>
          <w:b/>
          <w:bCs/>
          <w:szCs w:val="22"/>
          <w:lang w:val="en-GB" w:eastAsia="es-ES"/>
        </w:rPr>
        <w:t>.</w:t>
      </w:r>
      <w:r>
        <w:rPr>
          <w:szCs w:val="22"/>
          <w:lang w:val="en-GB" w:eastAsia="es-ES"/>
        </w:rPr>
        <w:t xml:space="preserve"> 2012. First report of ‘</w:t>
      </w:r>
      <w:r>
        <w:rPr>
          <w:i/>
          <w:iCs/>
          <w:szCs w:val="22"/>
          <w:lang w:val="en-GB" w:eastAsia="es-ES"/>
        </w:rPr>
        <w:t xml:space="preserve">Candidatus </w:t>
      </w:r>
      <w:r>
        <w:rPr>
          <w:szCs w:val="22"/>
          <w:lang w:val="en-GB" w:eastAsia="es-ES"/>
        </w:rPr>
        <w:t xml:space="preserve">Liberibacter asiaticus’ in </w:t>
      </w:r>
      <w:r>
        <w:rPr>
          <w:i/>
          <w:iCs/>
          <w:szCs w:val="22"/>
          <w:lang w:val="en-GB" w:eastAsia="es-ES"/>
        </w:rPr>
        <w:t>Diaphorina communis</w:t>
      </w:r>
      <w:r>
        <w:rPr>
          <w:szCs w:val="22"/>
          <w:lang w:val="en-GB" w:eastAsia="es-ES"/>
        </w:rPr>
        <w:t xml:space="preserve">. </w:t>
      </w:r>
      <w:r>
        <w:rPr>
          <w:i/>
          <w:iCs/>
          <w:szCs w:val="22"/>
          <w:lang w:val="en-GB" w:eastAsia="es-ES"/>
        </w:rPr>
        <w:t>Australasian Plant Disease Notes</w:t>
      </w:r>
      <w:r>
        <w:rPr>
          <w:szCs w:val="22"/>
          <w:lang w:val="en-GB" w:eastAsia="es-ES"/>
        </w:rPr>
        <w:t xml:space="preserve"> </w:t>
      </w:r>
      <w:r>
        <w:rPr>
          <w:bCs/>
          <w:szCs w:val="22"/>
          <w:lang w:val="en-GB" w:eastAsia="es-ES"/>
        </w:rPr>
        <w:t>7</w:t>
      </w:r>
      <w:r>
        <w:rPr>
          <w:szCs w:val="22"/>
          <w:lang w:val="en-GB" w:eastAsia="es-ES"/>
        </w:rPr>
        <w:t>, 1–4.</w:t>
      </w:r>
    </w:p>
    <w:p w14:paraId="64272840" w14:textId="4F563329">
      <w:pPr>
        <w:pStyle w:val="IPPParagraphnumbering"/>
        <w:numPr>
          <w:ilvl w:val="0"/>
          <w:numId w:val="0"/>
        </w:numPr>
        <w:rPr>
          <w:szCs w:val="22"/>
          <w:lang w:val="en-GB" w:eastAsia="es-MX"/>
        </w:rPr>
      </w:pPr>
      <w:r>
        <w:rPr>
          <w:rStyle w:val="PleaseReviewParagraphId"/>
          <w:b w:val="off"/>
          <w:i w:val="off"/>
        </w:rPr>
        <w:t>[496]</w:t>
      </w:r>
      <w:r>
        <w:rPr>
          <w:b/>
          <w:szCs w:val="22"/>
          <w:lang w:val="en-GB" w:eastAsia="es-MX"/>
        </w:rPr>
        <w:lastRenderedPageBreak/>
        <w:t xml:space="preserve">EPPO </w:t>
      </w:r>
      <w:r>
        <w:rPr>
          <w:bCs/>
          <w:szCs w:val="22"/>
          <w:lang w:val="en-GB" w:eastAsia="es-ES"/>
        </w:rPr>
        <w:t xml:space="preserve">(European and Mediterranean Plant Protection Organization). </w:t>
      </w:r>
      <w:r>
        <w:rPr>
          <w:bCs/>
          <w:szCs w:val="22"/>
          <w:lang w:val="en-GB" w:eastAsia="es-MX"/>
        </w:rPr>
        <w:t>2005.</w:t>
      </w:r>
      <w:r>
        <w:rPr>
          <w:b/>
          <w:szCs w:val="22"/>
          <w:lang w:val="en-GB" w:eastAsia="es-MX"/>
        </w:rPr>
        <w:t xml:space="preserve"> </w:t>
      </w:r>
      <w:r>
        <w:rPr>
          <w:bCs/>
          <w:i/>
          <w:iCs/>
          <w:szCs w:val="22"/>
          <w:lang w:val="en-GB" w:eastAsia="es-MX"/>
        </w:rPr>
        <w:t>Diaphorina citri</w:t>
      </w:r>
      <w:r>
        <w:rPr>
          <w:bCs/>
          <w:szCs w:val="22"/>
          <w:lang w:val="en-GB" w:eastAsia="es-MX"/>
        </w:rPr>
        <w:t xml:space="preserve">. </w:t>
      </w:r>
      <w:r>
        <w:rPr>
          <w:rFonts w:eastAsia="Times-Roman"/>
          <w:szCs w:val="22"/>
          <w:lang w:val="en-GB" w:eastAsia="es-MX"/>
        </w:rPr>
        <w:t>PM 7/</w:t>
      </w:r>
      <w:r>
        <w:rPr>
          <w:szCs w:val="22"/>
          <w:lang w:val="en-GB" w:eastAsia="es-MX"/>
        </w:rPr>
        <w:t>52.</w:t>
      </w:r>
      <w:r>
        <w:rPr>
          <w:i/>
          <w:iCs/>
          <w:szCs w:val="22"/>
          <w:lang w:val="en-GB" w:eastAsia="es-MX"/>
        </w:rPr>
        <w:t xml:space="preserve"> </w:t>
      </w:r>
      <w:r>
        <w:rPr>
          <w:i/>
          <w:szCs w:val="22"/>
          <w:lang w:val="en-GB" w:eastAsia="es-MX"/>
        </w:rPr>
        <w:t>EPPO Bulletin</w:t>
      </w:r>
      <w:r>
        <w:rPr>
          <w:iCs/>
          <w:szCs w:val="22"/>
          <w:lang w:val="en-GB" w:eastAsia="es-MX"/>
        </w:rPr>
        <w:t>,</w:t>
      </w:r>
      <w:r>
        <w:rPr>
          <w:rFonts w:eastAsia="Times New Roman"/>
          <w:szCs w:val="22"/>
          <w:lang w:val="en-GB" w:eastAsia="es-ES"/>
        </w:rPr>
        <w:t xml:space="preserve"> </w:t>
      </w:r>
      <w:r>
        <w:rPr>
          <w:bCs/>
          <w:szCs w:val="22"/>
          <w:lang w:val="en-GB" w:eastAsia="es-MX"/>
        </w:rPr>
        <w:t>35:</w:t>
      </w:r>
      <w:r>
        <w:rPr>
          <w:szCs w:val="22"/>
          <w:lang w:val="en-GB" w:eastAsia="es-MX"/>
        </w:rPr>
        <w:t xml:space="preserve"> 331–333.</w:t>
      </w:r>
    </w:p>
    <w:p w14:paraId="0E4E25E9" w14:textId="29CBBF6B">
      <w:pPr>
        <w:pStyle w:val="IPPParagraphnumbering"/>
        <w:numPr>
          <w:ilvl w:val="0"/>
          <w:numId w:val="0"/>
        </w:numPr>
        <w:rPr>
          <w:szCs w:val="22"/>
          <w:lang w:val="en-GB" w:eastAsia="es-ES"/>
        </w:rPr>
      </w:pPr>
      <w:r>
        <w:rPr>
          <w:rStyle w:val="PleaseReviewParagraphId"/>
          <w:b w:val="off"/>
          <w:i w:val="off"/>
        </w:rPr>
        <w:t>[497]</w:t>
      </w:r>
      <w:r>
        <w:rPr>
          <w:b/>
          <w:szCs w:val="22"/>
          <w:lang w:val="en-GB" w:eastAsia="es-ES"/>
        </w:rPr>
        <w:t xml:space="preserve">EPPO </w:t>
      </w:r>
      <w:r>
        <w:rPr>
          <w:bCs/>
          <w:szCs w:val="22"/>
          <w:lang w:val="en-GB" w:eastAsia="es-ES"/>
        </w:rPr>
        <w:t>(European and Mediterranean Plant Protection Organization). 2014.</w:t>
      </w:r>
      <w:r>
        <w:rPr>
          <w:b/>
          <w:szCs w:val="22"/>
          <w:lang w:val="en-GB" w:eastAsia="es-ES"/>
        </w:rPr>
        <w:t xml:space="preserve"> </w:t>
      </w:r>
      <w:r>
        <w:rPr>
          <w:szCs w:val="22"/>
          <w:lang w:val="en-GB" w:eastAsia="es-ES"/>
        </w:rPr>
        <w:t>‘</w:t>
      </w:r>
      <w:r>
        <w:rPr>
          <w:i/>
          <w:szCs w:val="22"/>
          <w:lang w:val="en-GB" w:eastAsia="es-ES"/>
        </w:rPr>
        <w:t>Candidatus</w:t>
      </w:r>
      <w:r>
        <w:rPr>
          <w:szCs w:val="22"/>
          <w:lang w:val="en-GB" w:eastAsia="es-ES"/>
        </w:rPr>
        <w:t xml:space="preserve"> Liberibacter africanus’, ‘</w:t>
      </w:r>
      <w:r>
        <w:rPr>
          <w:i/>
          <w:szCs w:val="22"/>
          <w:lang w:val="en-GB" w:eastAsia="es-ES"/>
        </w:rPr>
        <w:t>Candidatus</w:t>
      </w:r>
      <w:r>
        <w:rPr>
          <w:szCs w:val="22"/>
          <w:lang w:val="en-GB" w:eastAsia="es-ES"/>
        </w:rPr>
        <w:t xml:space="preserve"> Liberibacter americanus’ and ‘</w:t>
      </w:r>
      <w:r>
        <w:rPr>
          <w:i/>
          <w:szCs w:val="22"/>
          <w:lang w:val="en-GB" w:eastAsia="es-ES"/>
        </w:rPr>
        <w:t>Candidatus</w:t>
      </w:r>
      <w:r>
        <w:rPr>
          <w:szCs w:val="22"/>
          <w:lang w:val="en-GB" w:eastAsia="es-ES"/>
        </w:rPr>
        <w:t xml:space="preserve"> Liberibacter asiaticus’. PM 7/121(1). </w:t>
      </w:r>
      <w:r>
        <w:rPr>
          <w:i/>
          <w:iCs/>
          <w:szCs w:val="22"/>
          <w:lang w:val="en-GB" w:eastAsia="es-ES"/>
        </w:rPr>
        <w:t>EPPO Bulletin</w:t>
      </w:r>
      <w:r>
        <w:rPr>
          <w:szCs w:val="22"/>
          <w:lang w:val="en-GB" w:eastAsia="es-ES"/>
        </w:rPr>
        <w:t>, 44(3): 376–389.</w:t>
      </w:r>
    </w:p>
    <w:p w14:paraId="044B8A8C" w14:textId="4A50663E">
      <w:pPr>
        <w:pStyle w:val="IPPParagraphnumbering"/>
        <w:numPr>
          <w:ilvl w:val="0"/>
          <w:numId w:val="0"/>
        </w:numPr>
        <w:rPr>
          <w:bCs/>
          <w:szCs w:val="22"/>
          <w:lang w:val="en-GB"/>
        </w:rPr>
      </w:pPr>
      <w:r>
        <w:rPr>
          <w:rStyle w:val="PleaseReviewParagraphId"/>
          <w:b w:val="off"/>
          <w:i w:val="off"/>
        </w:rPr>
        <w:t>[498]</w:t>
      </w:r>
      <w:r>
        <w:rPr>
          <w:b/>
          <w:szCs w:val="22"/>
          <w:lang w:val="fr-BE"/>
        </w:rPr>
        <w:t xml:space="preserve">Garnier, M. &amp; Bové, J.M. </w:t>
      </w:r>
      <w:r>
        <w:rPr>
          <w:bCs/>
          <w:szCs w:val="22"/>
          <w:lang w:val="fr-BE"/>
        </w:rPr>
        <w:t xml:space="preserve">1983. </w:t>
      </w:r>
      <w:r>
        <w:rPr>
          <w:bCs/>
          <w:szCs w:val="22"/>
          <w:lang w:val="en-GB"/>
        </w:rPr>
        <w:t xml:space="preserve">Transmission of the organisms associated with citrus greening disease from sweet orange to periwinkle by dodder. </w:t>
      </w:r>
      <w:r>
        <w:rPr>
          <w:bCs/>
          <w:i/>
          <w:iCs/>
          <w:szCs w:val="22"/>
          <w:lang w:val="en-GB"/>
        </w:rPr>
        <w:t>Phytopathology</w:t>
      </w:r>
      <w:r>
        <w:rPr>
          <w:bCs/>
          <w:szCs w:val="22"/>
          <w:lang w:val="en-GB"/>
        </w:rPr>
        <w:t>, 73: 1358–1363.</w:t>
      </w:r>
    </w:p>
    <w:p w14:paraId="610EDB93" w14:textId="052C4563">
      <w:pPr>
        <w:pStyle w:val="IPPParagraphnumbering"/>
        <w:numPr>
          <w:ilvl w:val="0"/>
          <w:numId w:val="0"/>
        </w:numPr>
        <w:rPr>
          <w:szCs w:val="22"/>
          <w:lang w:val="en-GB"/>
        </w:rPr>
      </w:pPr>
      <w:r>
        <w:rPr>
          <w:rStyle w:val="PleaseReviewParagraphId"/>
          <w:b w:val="off"/>
          <w:i w:val="off"/>
        </w:rPr>
        <w:t>[499]</w:t>
      </w:r>
      <w:r>
        <w:rPr>
          <w:b/>
          <w:szCs w:val="22"/>
          <w:lang w:val="fr-BE"/>
        </w:rPr>
        <w:t>Garnier, M. &amp; Bové, M.J.</w:t>
      </w:r>
      <w:r>
        <w:rPr>
          <w:szCs w:val="22"/>
          <w:lang w:val="fr-BE"/>
        </w:rPr>
        <w:t xml:space="preserve"> 1993. </w:t>
      </w:r>
      <w:r>
        <w:rPr>
          <w:szCs w:val="22"/>
          <w:lang w:val="en-GB"/>
        </w:rPr>
        <w:t xml:space="preserve">Citrus greening disease and the greening bacterium. </w:t>
      </w:r>
      <w:r>
        <w:rPr>
          <w:i/>
          <w:iCs/>
          <w:szCs w:val="22"/>
          <w:lang w:val="en-GB"/>
        </w:rPr>
        <w:t>In</w:t>
      </w:r>
      <w:r>
        <w:rPr>
          <w:szCs w:val="22"/>
          <w:lang w:val="en-GB"/>
        </w:rPr>
        <w:t xml:space="preserve"> Proceedings of the Twelfth Conference of the International Organization of Citrus Virologists (IOCV), pp. 212–219. Riverside, USA, IOCV.</w:t>
      </w:r>
    </w:p>
    <w:p w14:paraId="120A7185" w14:textId="20020AC8">
      <w:pPr>
        <w:pStyle w:val="IPPParagraphnumbering"/>
        <w:numPr>
          <w:ilvl w:val="0"/>
          <w:numId w:val="0"/>
        </w:numPr>
        <w:rPr>
          <w:szCs w:val="22"/>
          <w:lang w:val="en-GB"/>
        </w:rPr>
      </w:pPr>
      <w:r>
        <w:rPr>
          <w:rStyle w:val="PleaseReviewParagraphId"/>
          <w:b w:val="off"/>
          <w:i w:val="off"/>
        </w:rPr>
        <w:t>[500]</w:t>
      </w:r>
      <w:r>
        <w:rPr>
          <w:b/>
          <w:szCs w:val="22"/>
          <w:lang w:val="fr-BE"/>
        </w:rPr>
        <w:t>Garnier, M., Danel, N. &amp; Bové, J.M.</w:t>
      </w:r>
      <w:r>
        <w:rPr>
          <w:szCs w:val="22"/>
          <w:lang w:val="fr-BE"/>
        </w:rPr>
        <w:t xml:space="preserve"> 1984. </w:t>
      </w:r>
      <w:r>
        <w:rPr>
          <w:szCs w:val="22"/>
          <w:lang w:val="en-GB"/>
        </w:rPr>
        <w:t xml:space="preserve">The greening organism is a Gram negative bacterium. </w:t>
      </w:r>
      <w:r>
        <w:rPr>
          <w:i/>
          <w:iCs/>
          <w:szCs w:val="22"/>
          <w:lang w:val="en-GB"/>
        </w:rPr>
        <w:t>In</w:t>
      </w:r>
      <w:r>
        <w:rPr>
          <w:szCs w:val="22"/>
          <w:lang w:val="en-GB"/>
        </w:rPr>
        <w:t xml:space="preserve"> Proceedings of the Ninth Conference of the International Organization of Citrus Virologists (IOCV),</w:t>
      </w:r>
      <w:r>
        <w:rPr>
          <w:i/>
          <w:szCs w:val="22"/>
          <w:lang w:val="en-GB"/>
        </w:rPr>
        <w:t xml:space="preserve"> </w:t>
      </w:r>
      <w:r>
        <w:rPr>
          <w:szCs w:val="22"/>
          <w:lang w:val="en-GB"/>
        </w:rPr>
        <w:t>pp. 115–124. Riverside, USA, IOCV.</w:t>
      </w:r>
    </w:p>
    <w:p w14:paraId="25862039" w14:textId="7E2BEABE">
      <w:pPr>
        <w:pStyle w:val="IPPParagraphnumbering"/>
        <w:numPr>
          <w:ilvl w:val="0"/>
          <w:numId w:val="0"/>
        </w:numPr>
        <w:rPr>
          <w:szCs w:val="22"/>
          <w:lang w:val="en-GB"/>
        </w:rPr>
      </w:pPr>
      <w:r>
        <w:rPr>
          <w:rStyle w:val="PleaseReviewParagraphId"/>
          <w:b w:val="off"/>
          <w:i w:val="off"/>
        </w:rPr>
        <w:t>[501]</w:t>
      </w:r>
      <w:r>
        <w:rPr>
          <w:b/>
          <w:szCs w:val="22"/>
          <w:lang w:val="fr-BE"/>
        </w:rPr>
        <w:t>Garnier, M., Jagoueix-Eveillard, S., Cronje, P.R. Le Roux, H.F. &amp; Bové, J.M.</w:t>
      </w:r>
      <w:r>
        <w:rPr>
          <w:szCs w:val="22"/>
          <w:lang w:val="fr-BE"/>
        </w:rPr>
        <w:t xml:space="preserve"> 2000. </w:t>
      </w:r>
      <w:r>
        <w:rPr>
          <w:szCs w:val="22"/>
          <w:lang w:val="en-GB"/>
        </w:rPr>
        <w:t xml:space="preserve">Genomic characterization of a liberibacter present in an ornamental rutaceous tree, </w:t>
      </w:r>
      <w:r>
        <w:rPr>
          <w:i/>
          <w:szCs w:val="22"/>
          <w:lang w:val="en-GB"/>
        </w:rPr>
        <w:t>Calodendrum capense</w:t>
      </w:r>
      <w:r>
        <w:rPr>
          <w:szCs w:val="22"/>
          <w:lang w:val="en-GB"/>
        </w:rPr>
        <w:t>, in the Western Cape province of South Africa. Proposal of” ‘</w:t>
      </w:r>
      <w:r>
        <w:rPr>
          <w:i/>
          <w:szCs w:val="22"/>
          <w:lang w:val="en-GB"/>
        </w:rPr>
        <w:t>Candidatus</w:t>
      </w:r>
      <w:r>
        <w:rPr>
          <w:szCs w:val="22"/>
          <w:lang w:val="en-GB"/>
        </w:rPr>
        <w:t xml:space="preserve"> Liberibacter africanus subsp. capensis’. </w:t>
      </w:r>
      <w:r>
        <w:rPr>
          <w:i/>
          <w:szCs w:val="22"/>
          <w:lang w:val="en-GB"/>
        </w:rPr>
        <w:t>International Journal of Systematic and Evolutionary Microbiology</w:t>
      </w:r>
      <w:r>
        <w:rPr>
          <w:iCs/>
          <w:szCs w:val="22"/>
          <w:lang w:val="en-GB"/>
        </w:rPr>
        <w:t>,</w:t>
      </w:r>
      <w:r>
        <w:rPr>
          <w:szCs w:val="22"/>
          <w:lang w:val="en-GB"/>
        </w:rPr>
        <w:t xml:space="preserve"> 50: 2119–2125.</w:t>
      </w:r>
    </w:p>
    <w:p w14:paraId="35B1A9FF" w14:textId="739D4DE8">
      <w:pPr>
        <w:pStyle w:val="IPPParagraphnumbering"/>
        <w:numPr>
          <w:ilvl w:val="0"/>
          <w:numId w:val="0"/>
        </w:numPr>
        <w:rPr>
          <w:szCs w:val="22"/>
          <w:lang w:val="en-GB"/>
        </w:rPr>
      </w:pPr>
      <w:r>
        <w:rPr>
          <w:rStyle w:val="PleaseReviewParagraphId"/>
          <w:b w:val="off"/>
          <w:i w:val="off"/>
        </w:rPr>
        <w:t>[502]</w:t>
      </w:r>
      <w:r>
        <w:rPr>
          <w:b/>
          <w:szCs w:val="22"/>
          <w:lang w:val="en-GB" w:eastAsia="es-ES"/>
        </w:rPr>
        <w:t>Gasparoto, M.C.G., Coletta-Filho, H.D., Bassanezi, R.B., Lopes, S.A., Lourenço, S.A. &amp; Amorim,</w:t>
      </w:r>
      <w:r>
        <w:rPr>
          <w:b/>
          <w:szCs w:val="22"/>
          <w:vertAlign w:val="superscript"/>
          <w:lang w:val="en-GB" w:eastAsia="es-ES"/>
        </w:rPr>
        <w:t xml:space="preserve"> </w:t>
      </w:r>
      <w:r>
        <w:rPr>
          <w:b/>
          <w:szCs w:val="22"/>
          <w:lang w:val="en-GB" w:eastAsia="es-ES"/>
        </w:rPr>
        <w:t xml:space="preserve">L. </w:t>
      </w:r>
      <w:r>
        <w:rPr>
          <w:szCs w:val="22"/>
          <w:lang w:val="en-GB" w:eastAsia="es-ES"/>
        </w:rPr>
        <w:t>2012.</w:t>
      </w:r>
      <w:r>
        <w:rPr>
          <w:szCs w:val="22"/>
          <w:vertAlign w:val="superscript"/>
          <w:lang w:val="en-GB" w:eastAsia="es-ES"/>
        </w:rPr>
        <w:t xml:space="preserve"> </w:t>
      </w:r>
      <w:r>
        <w:rPr>
          <w:rStyle w:val="maintitle"/>
          <w:rFonts w:eastAsia="MS Mincho"/>
          <w:szCs w:val="22"/>
          <w:lang w:val="en-GB"/>
        </w:rPr>
        <w:t>Influence of temperature on infection and establishment of ‘</w:t>
      </w:r>
      <w:r>
        <w:rPr>
          <w:rStyle w:val="Emphasis"/>
          <w:szCs w:val="22"/>
          <w:lang w:val="en-GB"/>
        </w:rPr>
        <w:t>Candidatus</w:t>
      </w:r>
      <w:r>
        <w:rPr>
          <w:rStyle w:val="maintitle"/>
          <w:rFonts w:eastAsia="MS Mincho"/>
          <w:szCs w:val="22"/>
          <w:lang w:val="en-GB"/>
        </w:rPr>
        <w:t xml:space="preserve"> Liberibacter americanus’ and ‘</w:t>
      </w:r>
      <w:r>
        <w:rPr>
          <w:rStyle w:val="Emphasis"/>
          <w:szCs w:val="22"/>
          <w:lang w:val="en-GB"/>
        </w:rPr>
        <w:t>Candidatus</w:t>
      </w:r>
      <w:r>
        <w:rPr>
          <w:rStyle w:val="maintitle"/>
          <w:rFonts w:eastAsia="MS Mincho"/>
          <w:szCs w:val="22"/>
          <w:lang w:val="en-GB"/>
        </w:rPr>
        <w:t xml:space="preserve"> Liberibacter asiaticus’ in citrus plants</w:t>
      </w:r>
      <w:r>
        <w:rPr>
          <w:rStyle w:val="maintitle"/>
          <w:szCs w:val="22"/>
          <w:lang w:val="en-GB"/>
        </w:rPr>
        <w:t xml:space="preserve">. </w:t>
      </w:r>
      <w:r>
        <w:rPr>
          <w:i/>
          <w:iCs/>
          <w:szCs w:val="22"/>
          <w:lang w:val="en-GB"/>
        </w:rPr>
        <w:t>Plant Pathology</w:t>
      </w:r>
      <w:r>
        <w:rPr>
          <w:szCs w:val="22"/>
          <w:lang w:val="en-GB"/>
        </w:rPr>
        <w:t>,</w:t>
      </w:r>
      <w:hyperlink w:history="1" r:id="rId24">
        <w:r>
          <w:rPr>
            <w:rStyle w:val="Hyperlink"/>
            <w:color w:val="auto"/>
            <w:szCs w:val="22"/>
            <w:u w:val="none"/>
            <w:lang w:val="en-GB"/>
          </w:rPr>
          <w:t xml:space="preserve"> 61</w:t>
        </w:r>
      </w:hyperlink>
      <w:r>
        <w:rPr>
          <w:rFonts w:eastAsia="SimSun"/>
          <w:szCs w:val="22"/>
          <w:lang w:val="en-GB" w:eastAsia="zh-CN"/>
        </w:rPr>
        <w:t>:</w:t>
      </w:r>
      <w:r>
        <w:rPr>
          <w:szCs w:val="22"/>
          <w:lang w:val="en-GB"/>
        </w:rPr>
        <w:t xml:space="preserve"> 658–664.</w:t>
      </w:r>
    </w:p>
    <w:p w14:paraId="3D249B2F" w14:textId="6A2BFAFC">
      <w:pPr>
        <w:pStyle w:val="IPPParagraphnumbering"/>
        <w:numPr>
          <w:ilvl w:val="0"/>
          <w:numId w:val="0"/>
        </w:numPr>
        <w:rPr>
          <w:rStyle w:val="ms-rtecustom-featuresbyline1"/>
          <w:b/>
          <w:sz w:val="22"/>
          <w:szCs w:val="22"/>
          <w:lang w:val="en-GB"/>
        </w:rPr>
      </w:pPr>
      <w:r>
        <w:rPr>
          <w:rStyle w:val="PleaseReviewParagraphId"/>
          <w:b w:val="off"/>
          <w:i w:val="off"/>
        </w:rPr>
        <w:t>[503]</w:t>
      </w:r>
      <w:r>
        <w:rPr>
          <w:b/>
          <w:bCs/>
          <w:color w:val="222222"/>
          <w:lang w:val="en-GB"/>
        </w:rPr>
        <w:t>Gottwald, T.R., Graça, J.V.D. &amp; Bassanezi, R.B.</w:t>
      </w:r>
      <w:r>
        <w:rPr>
          <w:color w:val="222222"/>
          <w:lang w:val="en-GB"/>
        </w:rPr>
        <w:t xml:space="preserve"> 2007. Citrus huanglongbing: the pathogen and its impact. </w:t>
      </w:r>
      <w:r>
        <w:rPr>
          <w:i/>
          <w:iCs/>
          <w:color w:val="222222"/>
          <w:lang w:val="en-GB"/>
        </w:rPr>
        <w:t>Plant Health Progress</w:t>
      </w:r>
      <w:r>
        <w:rPr>
          <w:color w:val="222222"/>
          <w:lang w:val="en-GB"/>
        </w:rPr>
        <w:t xml:space="preserve">, 8 [online]. [Cited 15 April 2021]. </w:t>
      </w:r>
      <w:hyperlink w:history="1" r:id="rId25">
        <w:r>
          <w:rPr>
            <w:rStyle w:val="Hyperlink"/>
            <w:szCs w:val="22"/>
            <w:lang w:val="en-GB" w:eastAsia="es-ES"/>
          </w:rPr>
          <w:t>https://doi.org/10.1094/PHP-2007-0906-01-RV</w:t>
        </w:r>
      </w:hyperlink>
    </w:p>
    <w:p w14:paraId="7B3D3041" w14:textId="115E7706">
      <w:pPr>
        <w:pStyle w:val="IPPParagraphnumbering"/>
        <w:numPr>
          <w:ilvl w:val="0"/>
          <w:numId w:val="0"/>
        </w:numPr>
        <w:rPr>
          <w:bCs/>
          <w:kern w:val="36"/>
          <w:szCs w:val="22"/>
          <w:lang w:val="en-GB" w:eastAsia="es-MX"/>
        </w:rPr>
      </w:pPr>
      <w:r>
        <w:rPr>
          <w:rStyle w:val="PleaseReviewParagraphId"/>
          <w:b w:val="off"/>
          <w:i w:val="off"/>
        </w:rPr>
        <w:t>[504]</w:t>
      </w:r>
      <w:r>
        <w:rPr>
          <w:b/>
          <w:szCs w:val="22"/>
          <w:lang w:val="en-GB" w:eastAsia="es-MX"/>
        </w:rPr>
        <w:t>Hall, D.G., Richardson, M.L., Ammar, E.-D. &amp; Halbet, S.E</w:t>
      </w:r>
      <w:r>
        <w:rPr>
          <w:b/>
          <w:bCs/>
          <w:szCs w:val="22"/>
          <w:lang w:val="en-GB" w:eastAsia="es-MX"/>
        </w:rPr>
        <w:t>.</w:t>
      </w:r>
      <w:r>
        <w:rPr>
          <w:szCs w:val="22"/>
          <w:lang w:val="en-GB" w:eastAsia="es-MX"/>
        </w:rPr>
        <w:t xml:space="preserve"> 2012.Asian citrus psyllid, </w:t>
      </w:r>
      <w:r>
        <w:rPr>
          <w:i/>
          <w:szCs w:val="22"/>
          <w:lang w:val="en-GB" w:eastAsia="es-MX"/>
        </w:rPr>
        <w:t>Diaphorina citri</w:t>
      </w:r>
      <w:r>
        <w:rPr>
          <w:szCs w:val="22"/>
          <w:lang w:val="en-GB" w:eastAsia="es-MX"/>
        </w:rPr>
        <w:t>, vector of citrus</w:t>
      </w:r>
      <w:r>
        <w:rPr>
          <w:rFonts w:eastAsia="SimSun"/>
          <w:szCs w:val="22"/>
          <w:lang w:val="en-GB" w:eastAsia="zh-CN"/>
        </w:rPr>
        <w:t xml:space="preserve"> </w:t>
      </w:r>
      <w:r>
        <w:rPr>
          <w:szCs w:val="22"/>
          <w:lang w:val="en-GB" w:eastAsia="es-MX"/>
        </w:rPr>
        <w:t xml:space="preserve">huanglongbing disease. </w:t>
      </w:r>
      <w:r>
        <w:rPr>
          <w:i/>
          <w:iCs/>
          <w:szCs w:val="22"/>
          <w:lang w:val="en-GB" w:eastAsia="es-MX"/>
        </w:rPr>
        <w:t>Entomologia Experimentalis et Applicata</w:t>
      </w:r>
      <w:r>
        <w:rPr>
          <w:szCs w:val="22"/>
          <w:lang w:val="en-GB" w:eastAsia="es-MX"/>
        </w:rPr>
        <w:t>,</w:t>
      </w:r>
      <w:r>
        <w:rPr>
          <w:i/>
          <w:iCs/>
          <w:szCs w:val="22"/>
          <w:lang w:val="en-GB" w:eastAsia="es-MX"/>
        </w:rPr>
        <w:t xml:space="preserve"> </w:t>
      </w:r>
      <w:r>
        <w:rPr>
          <w:szCs w:val="22"/>
          <w:lang w:val="en-GB" w:eastAsia="es-MX"/>
        </w:rPr>
        <w:t>146: 207–223.</w:t>
      </w:r>
    </w:p>
    <w:p w14:paraId="757130A9" w14:textId="26C7A1C8">
      <w:pPr>
        <w:pStyle w:val="IPPParagraphnumbering"/>
        <w:numPr>
          <w:ilvl w:val="0"/>
          <w:numId w:val="0"/>
        </w:numPr>
        <w:rPr>
          <w:szCs w:val="22"/>
          <w:lang w:val="en-GB"/>
        </w:rPr>
      </w:pPr>
      <w:r>
        <w:rPr>
          <w:rStyle w:val="PleaseReviewParagraphId"/>
          <w:b w:val="off"/>
          <w:i w:val="off"/>
        </w:rPr>
        <w:t>[505]</w:t>
      </w:r>
      <w:r>
        <w:rPr>
          <w:b/>
          <w:szCs w:val="22"/>
          <w:lang w:val="fr-BE"/>
        </w:rPr>
        <w:t>Hocquellet, A., Toorawa, P., Bové, J.-M. &amp; Garnier, M.</w:t>
      </w:r>
      <w:r>
        <w:rPr>
          <w:szCs w:val="22"/>
          <w:lang w:val="fr-BE"/>
        </w:rPr>
        <w:t xml:space="preserve"> 1999. </w:t>
      </w:r>
      <w:r>
        <w:rPr>
          <w:szCs w:val="22"/>
          <w:lang w:val="en-GB"/>
        </w:rPr>
        <w:t xml:space="preserve">Detection and identification of the two </w:t>
      </w:r>
      <w:r>
        <w:rPr>
          <w:i/>
          <w:szCs w:val="22"/>
          <w:lang w:val="en-GB"/>
        </w:rPr>
        <w:t xml:space="preserve">Candidatus </w:t>
      </w:r>
      <w:r>
        <w:rPr>
          <w:szCs w:val="22"/>
          <w:lang w:val="en-GB"/>
        </w:rPr>
        <w:t xml:space="preserve">Liberobacter species associated with citrus huanglongbing by PCR amplification of ribosomal protein genes of the ß operon. </w:t>
      </w:r>
      <w:r>
        <w:rPr>
          <w:i/>
          <w:szCs w:val="22"/>
          <w:lang w:val="en-GB"/>
        </w:rPr>
        <w:t>Molecular and Cellular Probes</w:t>
      </w:r>
      <w:r>
        <w:rPr>
          <w:szCs w:val="22"/>
          <w:lang w:val="en-GB"/>
        </w:rPr>
        <w:t>, 13: 373–379.</w:t>
      </w:r>
    </w:p>
    <w:p w14:paraId="1264B7C3" w14:textId="482CB00B">
      <w:pPr>
        <w:pStyle w:val="IPPParagraphnumbering"/>
        <w:numPr>
          <w:ilvl w:val="0"/>
          <w:numId w:val="0"/>
        </w:numPr>
        <w:rPr>
          <w:szCs w:val="22"/>
          <w:lang w:val="en-GB"/>
        </w:rPr>
      </w:pPr>
      <w:r>
        <w:rPr>
          <w:rStyle w:val="PleaseReviewParagraphId"/>
          <w:b w:val="off"/>
          <w:i w:val="off"/>
        </w:rPr>
        <w:t>[506]</w:t>
      </w:r>
      <w:r>
        <w:rPr>
          <w:b/>
          <w:szCs w:val="22"/>
          <w:lang w:val="fr-BE"/>
        </w:rPr>
        <w:t>Jagoueix, S., Bové, J.M. &amp; Garnier, M.</w:t>
      </w:r>
      <w:r>
        <w:rPr>
          <w:szCs w:val="22"/>
          <w:lang w:val="fr-BE"/>
        </w:rPr>
        <w:t xml:space="preserve"> 1994. </w:t>
      </w:r>
      <w:r>
        <w:rPr>
          <w:szCs w:val="22"/>
          <w:lang w:val="en-GB"/>
        </w:rPr>
        <w:t xml:space="preserve">The phloem-limited bacterium of greening disease of citrus is a member of the α subdivision of the </w:t>
      </w:r>
      <w:r>
        <w:rPr>
          <w:i/>
          <w:szCs w:val="22"/>
          <w:lang w:val="en-GB"/>
        </w:rPr>
        <w:t>Proteobacteria</w:t>
      </w:r>
      <w:r>
        <w:rPr>
          <w:szCs w:val="22"/>
          <w:lang w:val="en-GB"/>
        </w:rPr>
        <w:t xml:space="preserve">. </w:t>
      </w:r>
      <w:r>
        <w:rPr>
          <w:i/>
          <w:szCs w:val="22"/>
          <w:lang w:val="en-GB"/>
        </w:rPr>
        <w:t>International Journal of Systematic Bacteriology</w:t>
      </w:r>
      <w:r>
        <w:rPr>
          <w:szCs w:val="22"/>
          <w:lang w:val="en-GB"/>
        </w:rPr>
        <w:t>, 44: 379–386.</w:t>
      </w:r>
    </w:p>
    <w:p w14:paraId="3CEA6AC3" w14:textId="6052A1AD">
      <w:pPr>
        <w:pStyle w:val="IPPParagraphnumbering"/>
        <w:numPr>
          <w:ilvl w:val="0"/>
          <w:numId w:val="0"/>
        </w:numPr>
        <w:rPr>
          <w:szCs w:val="22"/>
          <w:lang w:val="en-GB"/>
        </w:rPr>
      </w:pPr>
      <w:r>
        <w:rPr>
          <w:rStyle w:val="PleaseReviewParagraphId"/>
          <w:b w:val="off"/>
          <w:i w:val="off"/>
        </w:rPr>
        <w:t>[507]</w:t>
      </w:r>
      <w:bookmarkStart w:name="_Hlk63937886" w:id="2"/>
      <w:r>
        <w:rPr>
          <w:b/>
          <w:szCs w:val="22"/>
          <w:lang w:val="fr-BE"/>
        </w:rPr>
        <w:t>Jagoueix, S., Bové, J.M. &amp; Garnier, M</w:t>
      </w:r>
      <w:r>
        <w:rPr>
          <w:b/>
          <w:bCs/>
          <w:szCs w:val="22"/>
          <w:lang w:val="fr-BE"/>
        </w:rPr>
        <w:t>.</w:t>
      </w:r>
      <w:r>
        <w:rPr>
          <w:szCs w:val="22"/>
          <w:lang w:val="fr-BE"/>
        </w:rPr>
        <w:t xml:space="preserve"> 1996. </w:t>
      </w:r>
      <w:r>
        <w:rPr>
          <w:szCs w:val="22"/>
          <w:lang w:val="en-GB"/>
        </w:rPr>
        <w:t xml:space="preserve">PCR detection of the two ‘Candidatus’ Liberobacter species associated with greening disease of citrus. </w:t>
      </w:r>
      <w:r>
        <w:rPr>
          <w:i/>
          <w:szCs w:val="22"/>
          <w:lang w:val="en-GB"/>
        </w:rPr>
        <w:t>Molecular and Cellular Probes</w:t>
      </w:r>
      <w:r>
        <w:rPr>
          <w:szCs w:val="22"/>
          <w:lang w:val="en-GB"/>
        </w:rPr>
        <w:t>, 10: 43–50.</w:t>
      </w:r>
    </w:p>
    <w:bookmarkEnd w:id="2"/>
    <w:p w14:paraId="080E9A27" w14:textId="6D52C0BE">
      <w:pPr>
        <w:pStyle w:val="IPPParagraphnumbering"/>
        <w:numPr>
          <w:ilvl w:val="0"/>
          <w:numId w:val="0"/>
        </w:numPr>
        <w:rPr>
          <w:szCs w:val="22"/>
          <w:lang w:val="en-GB"/>
        </w:rPr>
      </w:pPr>
      <w:r>
        <w:rPr>
          <w:rStyle w:val="PleaseReviewParagraphId"/>
          <w:b w:val="off"/>
          <w:i w:val="off"/>
        </w:rPr>
        <w:t>[508]</w:t>
      </w:r>
      <w:r>
        <w:rPr>
          <w:b/>
          <w:szCs w:val="22"/>
          <w:lang w:val="fr-BE"/>
        </w:rPr>
        <w:t>Jagoueix, S., Bové, J.M., Garnier, M.</w:t>
      </w:r>
      <w:r>
        <w:rPr>
          <w:szCs w:val="22"/>
          <w:lang w:val="fr-BE"/>
        </w:rPr>
        <w:t xml:space="preserve"> 1997. </w:t>
      </w:r>
      <w:r>
        <w:rPr>
          <w:szCs w:val="22"/>
          <w:lang w:val="en-GB"/>
        </w:rPr>
        <w:t>Comparison of 16S/23S ribosomal intergenic regions of “</w:t>
      </w:r>
      <w:r>
        <w:rPr>
          <w:i/>
          <w:szCs w:val="22"/>
          <w:lang w:val="en-GB"/>
        </w:rPr>
        <w:t xml:space="preserve">Candidatus </w:t>
      </w:r>
      <w:r>
        <w:rPr>
          <w:szCs w:val="22"/>
          <w:lang w:val="en-GB"/>
        </w:rPr>
        <w:t>Liberobacter asiaticum” and “</w:t>
      </w:r>
      <w:r>
        <w:rPr>
          <w:i/>
          <w:szCs w:val="22"/>
          <w:lang w:val="en-GB"/>
        </w:rPr>
        <w:t>Candidatus</w:t>
      </w:r>
      <w:r>
        <w:rPr>
          <w:szCs w:val="22"/>
          <w:lang w:val="en-GB"/>
        </w:rPr>
        <w:t xml:space="preserve"> Liberobacter africanum,” the two species associated with citrus huanglongbing (greening) disease. </w:t>
      </w:r>
      <w:r>
        <w:rPr>
          <w:i/>
          <w:szCs w:val="22"/>
          <w:lang w:val="en-GB"/>
        </w:rPr>
        <w:t>International Journal of Systematic Bacteriology</w:t>
      </w:r>
      <w:r>
        <w:rPr>
          <w:szCs w:val="22"/>
          <w:lang w:val="en-GB"/>
        </w:rPr>
        <w:t>, 47: 224–227.</w:t>
      </w:r>
    </w:p>
    <w:p w14:paraId="5DE699AD" w14:textId="68BFC745">
      <w:pPr>
        <w:pStyle w:val="IPPParagraphnumbering"/>
        <w:numPr>
          <w:ilvl w:val="0"/>
          <w:numId w:val="0"/>
        </w:numPr>
        <w:rPr>
          <w:szCs w:val="22"/>
          <w:lang w:val="en-GB" w:eastAsia="es-ES"/>
        </w:rPr>
      </w:pPr>
      <w:r>
        <w:rPr>
          <w:rStyle w:val="PleaseReviewParagraphId"/>
          <w:b w:val="off"/>
          <w:i w:val="off"/>
        </w:rPr>
        <w:t>[509]</w:t>
      </w:r>
      <w:r>
        <w:rPr>
          <w:b/>
          <w:bCs/>
          <w:color w:val="222222"/>
          <w:szCs w:val="22"/>
          <w:lang w:val="en-GB"/>
        </w:rPr>
        <w:t>Keremane, M.L., Ramadugu, C., Rodriguez, E., Kubota, R., Shibata, S., Hall, D.G., Roose, M.L., Jenkins, D. &amp; Lee, R.F.</w:t>
      </w:r>
      <w:r>
        <w:rPr>
          <w:color w:val="222222"/>
          <w:szCs w:val="22"/>
          <w:lang w:val="en-GB"/>
        </w:rPr>
        <w:t xml:space="preserve"> 2015. A rapid field detection system for citrus huanglongbing associated ‘</w:t>
      </w:r>
      <w:r>
        <w:rPr>
          <w:i/>
          <w:iCs/>
          <w:color w:val="222222"/>
          <w:szCs w:val="22"/>
          <w:lang w:val="en-GB"/>
        </w:rPr>
        <w:t>Candidatus</w:t>
      </w:r>
      <w:r>
        <w:rPr>
          <w:color w:val="222222"/>
          <w:szCs w:val="22"/>
          <w:lang w:val="en-GB"/>
        </w:rPr>
        <w:t xml:space="preserve"> Liberibacter asiaticus’ from the psyllid vector, </w:t>
      </w:r>
      <w:r>
        <w:rPr>
          <w:i/>
          <w:iCs/>
          <w:color w:val="222222"/>
          <w:szCs w:val="22"/>
          <w:lang w:val="en-GB"/>
        </w:rPr>
        <w:t>Diaphorina citri</w:t>
      </w:r>
      <w:r>
        <w:rPr>
          <w:color w:val="222222"/>
          <w:szCs w:val="22"/>
          <w:lang w:val="en-GB"/>
        </w:rPr>
        <w:t xml:space="preserve"> Kuwayama and its implications in disease management. </w:t>
      </w:r>
      <w:r>
        <w:rPr>
          <w:i/>
          <w:iCs/>
          <w:color w:val="222222"/>
          <w:szCs w:val="22"/>
          <w:lang w:val="en-GB"/>
        </w:rPr>
        <w:t>Crop Protection</w:t>
      </w:r>
      <w:r>
        <w:rPr>
          <w:color w:val="222222"/>
          <w:szCs w:val="22"/>
          <w:lang w:val="en-GB"/>
        </w:rPr>
        <w:t>, 68: 41–48.</w:t>
      </w:r>
    </w:p>
    <w:p w14:paraId="32F1F183" w14:textId="6D22ADD7">
      <w:pPr>
        <w:pStyle w:val="IPPParagraphnumbering"/>
        <w:numPr>
          <w:ilvl w:val="0"/>
          <w:numId w:val="0"/>
        </w:numPr>
        <w:rPr>
          <w:szCs w:val="22"/>
          <w:lang w:val="en-GB" w:eastAsia="es-ES"/>
        </w:rPr>
      </w:pPr>
      <w:r>
        <w:rPr>
          <w:rStyle w:val="PleaseReviewParagraphId"/>
          <w:b w:val="off"/>
          <w:i w:val="off"/>
        </w:rPr>
        <w:t>[510]</w:t>
      </w:r>
      <w:r>
        <w:rPr>
          <w:b/>
          <w:bCs/>
          <w:szCs w:val="22"/>
          <w:lang w:val="en-GB" w:eastAsia="es-ES"/>
        </w:rPr>
        <w:t>Li, W., Hartung, J. &amp; Levy, L</w:t>
      </w:r>
      <w:r>
        <w:rPr>
          <w:b/>
          <w:szCs w:val="22"/>
          <w:lang w:val="en-GB" w:eastAsia="es-ES"/>
        </w:rPr>
        <w:t>.</w:t>
      </w:r>
      <w:r>
        <w:rPr>
          <w:bCs/>
          <w:szCs w:val="22"/>
          <w:lang w:val="en-GB" w:eastAsia="es-ES"/>
        </w:rPr>
        <w:t xml:space="preserve"> 2006.</w:t>
      </w:r>
      <w:r>
        <w:rPr>
          <w:szCs w:val="22"/>
          <w:lang w:val="en-GB" w:eastAsia="es-ES"/>
        </w:rPr>
        <w:t xml:space="preserve"> Quantitative real-time PCR for detection and identification of </w:t>
      </w:r>
      <w:r>
        <w:rPr>
          <w:i/>
          <w:iCs/>
          <w:szCs w:val="22"/>
          <w:lang w:val="en-GB" w:eastAsia="es-ES"/>
        </w:rPr>
        <w:t>Candidatus</w:t>
      </w:r>
      <w:r>
        <w:rPr>
          <w:szCs w:val="22"/>
          <w:lang w:val="en-GB" w:eastAsia="es-ES"/>
        </w:rPr>
        <w:t xml:space="preserve"> </w:t>
      </w:r>
      <w:r>
        <w:rPr>
          <w:i/>
          <w:iCs/>
          <w:szCs w:val="22"/>
          <w:lang w:val="en-GB" w:eastAsia="es-ES"/>
        </w:rPr>
        <w:t>Liberibacter</w:t>
      </w:r>
      <w:r>
        <w:rPr>
          <w:szCs w:val="22"/>
          <w:lang w:val="en-GB" w:eastAsia="es-ES"/>
        </w:rPr>
        <w:t xml:space="preserve"> species associated with citrus huanglongbing. </w:t>
      </w:r>
      <w:r>
        <w:rPr>
          <w:i/>
          <w:iCs/>
          <w:szCs w:val="22"/>
          <w:lang w:val="en-GB" w:eastAsia="es-ES"/>
        </w:rPr>
        <w:t>Journal of Microbiological</w:t>
      </w:r>
      <w:r>
        <w:rPr>
          <w:szCs w:val="22"/>
          <w:lang w:val="en-GB" w:eastAsia="es-ES"/>
        </w:rPr>
        <w:t xml:space="preserve"> </w:t>
      </w:r>
      <w:r>
        <w:rPr>
          <w:i/>
          <w:iCs/>
          <w:szCs w:val="22"/>
          <w:lang w:val="en-GB" w:eastAsia="es-ES"/>
        </w:rPr>
        <w:t>Methods</w:t>
      </w:r>
      <w:r>
        <w:rPr>
          <w:szCs w:val="22"/>
          <w:lang w:val="en-GB" w:eastAsia="es-ES"/>
        </w:rPr>
        <w:t>, 66: 104–115.</w:t>
      </w:r>
    </w:p>
    <w:p w14:paraId="01981364" w14:textId="349E5DE6">
      <w:pPr>
        <w:pStyle w:val="IPPParagraphnumbering"/>
        <w:numPr>
          <w:ilvl w:val="0"/>
          <w:numId w:val="0"/>
        </w:numPr>
        <w:rPr>
          <w:szCs w:val="22"/>
          <w:lang w:val="en-GB" w:eastAsia="es-ES"/>
        </w:rPr>
      </w:pPr>
      <w:r>
        <w:rPr>
          <w:rStyle w:val="PleaseReviewParagraphId"/>
          <w:b w:val="off"/>
          <w:i w:val="off"/>
        </w:rPr>
        <w:t>[511]</w:t>
      </w:r>
      <w:r>
        <w:rPr>
          <w:b/>
          <w:szCs w:val="22"/>
          <w:lang w:val="en-GB" w:eastAsia="es-ES"/>
        </w:rPr>
        <w:lastRenderedPageBreak/>
        <w:t>Li, W., Hartung, J. &amp; Levy, L</w:t>
      </w:r>
      <w:r>
        <w:rPr>
          <w:b/>
          <w:bCs/>
          <w:szCs w:val="22"/>
          <w:lang w:val="en-GB" w:eastAsia="es-ES"/>
        </w:rPr>
        <w:t>.</w:t>
      </w:r>
      <w:r>
        <w:rPr>
          <w:szCs w:val="22"/>
          <w:lang w:val="en-GB" w:eastAsia="es-ES"/>
        </w:rPr>
        <w:t xml:space="preserve"> 2007. Evaluation of DNA amplification methods for improved detection</w:t>
      </w:r>
      <w:r>
        <w:rPr>
          <w:rFonts w:eastAsia="Times-Roman"/>
          <w:szCs w:val="22"/>
          <w:lang w:val="en-GB" w:eastAsia="es-ES"/>
        </w:rPr>
        <w:t xml:space="preserve"> </w:t>
      </w:r>
      <w:r>
        <w:rPr>
          <w:szCs w:val="22"/>
          <w:lang w:val="en-GB" w:eastAsia="es-ES"/>
        </w:rPr>
        <w:t>of “</w:t>
      </w:r>
      <w:r>
        <w:rPr>
          <w:i/>
          <w:iCs/>
          <w:szCs w:val="22"/>
          <w:lang w:val="en-GB" w:eastAsia="es-ES"/>
        </w:rPr>
        <w:t xml:space="preserve">Candidatus </w:t>
      </w:r>
      <w:r>
        <w:rPr>
          <w:szCs w:val="22"/>
          <w:lang w:val="en-GB" w:eastAsia="es-ES"/>
        </w:rPr>
        <w:t xml:space="preserve">Liberibacter species” associated with citrus huanglongbing. </w:t>
      </w:r>
      <w:r>
        <w:rPr>
          <w:i/>
          <w:iCs/>
          <w:szCs w:val="22"/>
          <w:lang w:val="en-GB" w:eastAsia="es-ES"/>
        </w:rPr>
        <w:t>Plant Disease</w:t>
      </w:r>
      <w:r>
        <w:rPr>
          <w:szCs w:val="22"/>
          <w:lang w:val="en-GB" w:eastAsia="es-ES"/>
        </w:rPr>
        <w:t>, 91, 51–58.</w:t>
      </w:r>
    </w:p>
    <w:p w14:paraId="06CAF1CE" w14:textId="3A95DB16">
      <w:pPr>
        <w:pStyle w:val="IPPParagraphnumbering"/>
        <w:numPr>
          <w:ilvl w:val="0"/>
          <w:numId w:val="0"/>
        </w:numPr>
        <w:rPr>
          <w:szCs w:val="22"/>
          <w:lang w:val="en-GB" w:eastAsia="es-ES"/>
        </w:rPr>
      </w:pPr>
      <w:r>
        <w:rPr>
          <w:rStyle w:val="PleaseReviewParagraphId"/>
          <w:b w:val="off"/>
          <w:i w:val="off"/>
        </w:rPr>
        <w:t>[512]</w:t>
      </w:r>
      <w:r>
        <w:rPr>
          <w:rFonts w:eastAsia="AdvTT5235d5a9"/>
          <w:b/>
          <w:color w:val="221E1F"/>
          <w:szCs w:val="22"/>
          <w:lang w:val="it-IT"/>
        </w:rPr>
        <w:t xml:space="preserve">Lin, H., Chen, C., Doddapaneni, </w:t>
      </w:r>
      <w:r>
        <w:rPr>
          <w:rFonts w:eastAsia="AdvTT5235d5a9"/>
          <w:b/>
          <w:szCs w:val="22"/>
          <w:lang w:val="it-IT"/>
        </w:rPr>
        <w:t>H.</w:t>
      </w:r>
      <w:r>
        <w:rPr>
          <w:rFonts w:eastAsia="AdvTT5235d5a9"/>
          <w:b/>
          <w:color w:val="221E1F"/>
          <w:szCs w:val="22"/>
          <w:lang w:val="it-IT"/>
        </w:rPr>
        <w:t>, Duan, Y., Civerolo, E.L., Bai, X. &amp; Zhao, X</w:t>
      </w:r>
      <w:r>
        <w:rPr>
          <w:rFonts w:eastAsia="AdvTT5235d5a9"/>
          <w:color w:val="221E1F"/>
          <w:szCs w:val="22"/>
          <w:lang w:val="it-IT"/>
        </w:rPr>
        <w:t xml:space="preserve">. </w:t>
      </w:r>
      <w:smartTag w:uri="urn:schemas-microsoft-com:office:smarttags" w:element="metricconverter">
        <w:smartTagPr>
          <w:attr w:name="ProductID" w:val="2010. A"/>
        </w:smartTagPr>
        <w:r>
          <w:rPr>
            <w:rFonts w:eastAsia="AdvTT5235d5a9"/>
            <w:color w:val="221E1F"/>
            <w:szCs w:val="22"/>
            <w:lang w:val="it-IT"/>
          </w:rPr>
          <w:t xml:space="preserve">2010. </w:t>
        </w:r>
        <w:r>
          <w:rPr>
            <w:rFonts w:eastAsia="AdvTT5235d5a9"/>
            <w:color w:val="221E1F"/>
            <w:szCs w:val="22"/>
            <w:lang w:val="en-GB"/>
          </w:rPr>
          <w:t>A</w:t>
        </w:r>
      </w:smartTag>
      <w:r>
        <w:rPr>
          <w:rFonts w:eastAsia="AdvTT5235d5a9"/>
          <w:color w:val="221E1F"/>
          <w:szCs w:val="22"/>
          <w:lang w:val="en-GB"/>
        </w:rPr>
        <w:t xml:space="preserve"> new diagnostic system for ultra-sensitive and specific detection and quantification of </w:t>
      </w:r>
      <w:r>
        <w:rPr>
          <w:rFonts w:eastAsia="AdvTT5235d5a9"/>
          <w:i/>
          <w:iCs/>
          <w:color w:val="221E1F"/>
          <w:szCs w:val="22"/>
          <w:lang w:val="en-GB"/>
        </w:rPr>
        <w:t>Candidatus</w:t>
      </w:r>
      <w:r>
        <w:rPr>
          <w:rFonts w:eastAsia="AdvTT5235d5a9"/>
          <w:color w:val="221E1F"/>
          <w:szCs w:val="22"/>
          <w:lang w:val="en-GB"/>
        </w:rPr>
        <w:t xml:space="preserve"> Liberibacter asiaticus, the bacterium associated with citrus Huanglongbing. </w:t>
      </w:r>
      <w:r>
        <w:rPr>
          <w:rFonts w:eastAsia="AdvTT5235d5a9"/>
          <w:i/>
          <w:iCs/>
          <w:color w:val="221E1F"/>
          <w:szCs w:val="22"/>
          <w:lang w:val="en-GB"/>
        </w:rPr>
        <w:t>Journal of Microbiological</w:t>
      </w:r>
      <w:r>
        <w:rPr>
          <w:rFonts w:eastAsia="AdvTT5235d5a9"/>
          <w:color w:val="221E1F"/>
          <w:szCs w:val="22"/>
          <w:lang w:val="en-GB"/>
        </w:rPr>
        <w:t xml:space="preserve"> </w:t>
      </w:r>
      <w:r>
        <w:rPr>
          <w:rFonts w:eastAsia="AdvTT5235d5a9"/>
          <w:i/>
          <w:iCs/>
          <w:color w:val="221E1F"/>
          <w:szCs w:val="22"/>
          <w:lang w:val="en-GB"/>
        </w:rPr>
        <w:t>Methods</w:t>
      </w:r>
      <w:r>
        <w:rPr>
          <w:rFonts w:eastAsia="AdvTT5235d5a9"/>
          <w:color w:val="221E1F"/>
          <w:szCs w:val="22"/>
          <w:lang w:val="en-GB"/>
        </w:rPr>
        <w:t>, 81: 17–25.</w:t>
      </w:r>
    </w:p>
    <w:p w14:paraId="69787642" w14:textId="3A850903">
      <w:pPr>
        <w:pStyle w:val="IPPParagraphnumbering"/>
        <w:numPr>
          <w:ilvl w:val="0"/>
          <w:numId w:val="0"/>
        </w:numPr>
        <w:rPr>
          <w:szCs w:val="22"/>
          <w:lang w:val="en-GB" w:eastAsia="es-MX"/>
        </w:rPr>
      </w:pPr>
      <w:r>
        <w:rPr>
          <w:rStyle w:val="PleaseReviewParagraphId"/>
          <w:b w:val="off"/>
          <w:i w:val="off"/>
        </w:rPr>
        <w:t>[513]</w:t>
      </w:r>
      <w:r>
        <w:rPr>
          <w:b/>
          <w:szCs w:val="22"/>
          <w:lang w:val="en-GB" w:eastAsia="es-MX"/>
        </w:rPr>
        <w:t>Lopes, S.A., Bertolini, E., Frare, G.F., Martins, E.C., Wulff, N.A., Teixeira, D.C., Fernandes, N.G. &amp; Cambra, M.</w:t>
      </w:r>
      <w:r>
        <w:rPr>
          <w:szCs w:val="22"/>
          <w:lang w:val="en-GB" w:eastAsia="es-MX"/>
        </w:rPr>
        <w:t xml:space="preserve"> 2009. Graft transmission efficiencies and multiplication of ‘</w:t>
      </w:r>
      <w:r>
        <w:rPr>
          <w:i/>
          <w:iCs/>
          <w:szCs w:val="22"/>
          <w:lang w:val="en-GB" w:eastAsia="es-MX"/>
        </w:rPr>
        <w:t xml:space="preserve">Candidatus </w:t>
      </w:r>
      <w:r>
        <w:rPr>
          <w:szCs w:val="22"/>
          <w:lang w:val="en-GB" w:eastAsia="es-MX"/>
        </w:rPr>
        <w:t>Liberibacter americanus’ and ‘</w:t>
      </w:r>
      <w:r>
        <w:rPr>
          <w:i/>
          <w:iCs/>
          <w:szCs w:val="22"/>
          <w:lang w:val="en-GB" w:eastAsia="es-MX"/>
        </w:rPr>
        <w:t xml:space="preserve">Ca. </w:t>
      </w:r>
      <w:r>
        <w:rPr>
          <w:szCs w:val="22"/>
          <w:lang w:val="en-GB" w:eastAsia="es-MX"/>
        </w:rPr>
        <w:t xml:space="preserve">Liberibacter asiaticus’ in citrus plants. </w:t>
      </w:r>
      <w:r>
        <w:rPr>
          <w:i/>
          <w:iCs/>
          <w:szCs w:val="22"/>
          <w:lang w:val="en-GB" w:eastAsia="es-MX"/>
        </w:rPr>
        <w:t>Phytopathology</w:t>
      </w:r>
      <w:r>
        <w:rPr>
          <w:szCs w:val="22"/>
          <w:lang w:val="en-GB" w:eastAsia="es-MX"/>
        </w:rPr>
        <w:t xml:space="preserve">, 99: 301–306. </w:t>
      </w:r>
    </w:p>
    <w:p w14:paraId="59B89135" w14:textId="1CB7845F">
      <w:pPr>
        <w:pStyle w:val="IPPParagraphnumbering"/>
        <w:numPr>
          <w:ilvl w:val="0"/>
          <w:numId w:val="0"/>
        </w:numPr>
        <w:rPr>
          <w:szCs w:val="22"/>
          <w:lang w:val="en-GB" w:eastAsia="es-MX"/>
        </w:rPr>
      </w:pPr>
      <w:r>
        <w:rPr>
          <w:rStyle w:val="PleaseReviewParagraphId"/>
          <w:b w:val="off"/>
          <w:i w:val="off"/>
        </w:rPr>
        <w:t>[514]</w:t>
      </w:r>
      <w:r>
        <w:rPr>
          <w:b/>
          <w:szCs w:val="22"/>
          <w:lang w:val="en-GB" w:eastAsia="es-MX"/>
        </w:rPr>
        <w:t>Lopes, S.A. &amp; Frare, G.F</w:t>
      </w:r>
      <w:r>
        <w:rPr>
          <w:b/>
          <w:bCs/>
          <w:szCs w:val="22"/>
          <w:lang w:val="en-GB" w:eastAsia="es-MX"/>
        </w:rPr>
        <w:t>.</w:t>
      </w:r>
      <w:r>
        <w:rPr>
          <w:szCs w:val="22"/>
          <w:lang w:val="en-GB" w:eastAsia="es-MX"/>
        </w:rPr>
        <w:t xml:space="preserve"> 2008. Graft transmission and cultivar reaction of citrus to ‘</w:t>
      </w:r>
      <w:r>
        <w:rPr>
          <w:i/>
          <w:iCs/>
          <w:szCs w:val="22"/>
          <w:lang w:val="en-GB" w:eastAsia="es-MX"/>
        </w:rPr>
        <w:t xml:space="preserve">Candidatus </w:t>
      </w:r>
      <w:r>
        <w:rPr>
          <w:szCs w:val="22"/>
          <w:lang w:val="en-GB" w:eastAsia="es-MX"/>
        </w:rPr>
        <w:t xml:space="preserve">Liberibacter americanus’. </w:t>
      </w:r>
      <w:r>
        <w:rPr>
          <w:i/>
          <w:iCs/>
          <w:szCs w:val="22"/>
          <w:lang w:val="en-GB" w:eastAsia="es-MX"/>
        </w:rPr>
        <w:t>Plant Disease</w:t>
      </w:r>
      <w:r>
        <w:rPr>
          <w:szCs w:val="22"/>
          <w:lang w:val="en-GB" w:eastAsia="es-MX"/>
        </w:rPr>
        <w:t>, 92:121–124.</w:t>
      </w:r>
    </w:p>
    <w:p w14:paraId="4D5DB883" w14:textId="2ECDB098">
      <w:pPr>
        <w:pStyle w:val="IPPParagraphnumbering"/>
        <w:numPr>
          <w:ilvl w:val="0"/>
          <w:numId w:val="0"/>
        </w:numPr>
        <w:rPr>
          <w:rStyle w:val="Strong"/>
          <w:b w:val="0"/>
          <w:szCs w:val="22"/>
          <w:lang w:val="en-GB"/>
        </w:rPr>
      </w:pPr>
      <w:r>
        <w:rPr>
          <w:rStyle w:val="PleaseReviewParagraphId"/>
          <w:b w:val="off"/>
          <w:i w:val="off"/>
        </w:rPr>
        <w:t>[515]</w:t>
      </w:r>
      <w:r>
        <w:rPr>
          <w:rStyle w:val="Strong"/>
          <w:szCs w:val="22"/>
          <w:lang w:val="en-GB"/>
        </w:rPr>
        <w:t>Lopes, S.A., Frare, G.F., Camargo, L.E.A., Wulff, N.A., Teixeira, D.C., Bassanezi, R.B., Beattie, G.A.C. &amp; Ayres, A.J.</w:t>
      </w:r>
      <w:r>
        <w:rPr>
          <w:rStyle w:val="Strong"/>
          <w:b w:val="0"/>
          <w:szCs w:val="22"/>
          <w:lang w:val="en-GB"/>
        </w:rPr>
        <w:t xml:space="preserve"> 2010. Liberibacters associated with orange jasmine in Brazil: Incidence in urban areas and relatedness to citrus liberibacters. </w:t>
      </w:r>
      <w:r>
        <w:rPr>
          <w:rStyle w:val="Strong"/>
          <w:b w:val="0"/>
          <w:i/>
          <w:iCs/>
          <w:szCs w:val="22"/>
          <w:lang w:val="en-GB"/>
        </w:rPr>
        <w:t>Plant Pathology</w:t>
      </w:r>
      <w:r>
        <w:rPr>
          <w:rStyle w:val="Strong"/>
          <w:b w:val="0"/>
          <w:szCs w:val="22"/>
          <w:lang w:val="en-GB"/>
        </w:rPr>
        <w:t>, 59: 1044–1053.</w:t>
      </w:r>
    </w:p>
    <w:p w14:paraId="1F7C6111" w14:textId="23FC7B55">
      <w:pPr>
        <w:pStyle w:val="IPPParagraphnumbering"/>
        <w:numPr>
          <w:ilvl w:val="0"/>
          <w:numId w:val="0"/>
        </w:numPr>
        <w:rPr>
          <w:szCs w:val="22"/>
          <w:lang w:val="en-GB" w:eastAsia="es-MX"/>
        </w:rPr>
      </w:pPr>
      <w:r>
        <w:rPr>
          <w:rStyle w:val="PleaseReviewParagraphId"/>
          <w:b w:val="off"/>
          <w:i w:val="off"/>
        </w:rPr>
        <w:t>[516]</w:t>
      </w:r>
      <w:r>
        <w:rPr>
          <w:rFonts w:eastAsia="Times-Roman"/>
          <w:b/>
          <w:szCs w:val="22"/>
          <w:lang w:val="en-GB" w:eastAsia="es-MX"/>
        </w:rPr>
        <w:t>Manjunath, K.L., Halbert, S.E., Ramadugu, C. Webb, S. &amp; Lee R.F</w:t>
      </w:r>
      <w:r>
        <w:rPr>
          <w:rFonts w:eastAsia="Times-Roman"/>
          <w:b/>
          <w:bCs/>
          <w:szCs w:val="22"/>
          <w:lang w:val="en-GB" w:eastAsia="es-MX"/>
        </w:rPr>
        <w:t>.</w:t>
      </w:r>
      <w:r>
        <w:rPr>
          <w:rFonts w:eastAsia="Times-Roman"/>
          <w:szCs w:val="22"/>
          <w:lang w:val="en-GB" w:eastAsia="es-MX"/>
        </w:rPr>
        <w:t xml:space="preserve"> 2008.</w:t>
      </w:r>
      <w:r>
        <w:rPr>
          <w:szCs w:val="22"/>
          <w:lang w:val="en-GB" w:eastAsia="es-MX"/>
        </w:rPr>
        <w:t xml:space="preserve"> Detection of ‘</w:t>
      </w:r>
      <w:r>
        <w:rPr>
          <w:i/>
          <w:iCs/>
          <w:szCs w:val="22"/>
          <w:lang w:val="en-GB" w:eastAsia="es-MX"/>
        </w:rPr>
        <w:t xml:space="preserve">Candidatus </w:t>
      </w:r>
      <w:r>
        <w:rPr>
          <w:szCs w:val="22"/>
          <w:lang w:val="en-GB" w:eastAsia="es-MX"/>
        </w:rPr>
        <w:t xml:space="preserve">Liberibacter asiaticus’ in </w:t>
      </w:r>
      <w:r>
        <w:rPr>
          <w:i/>
          <w:iCs/>
          <w:szCs w:val="22"/>
          <w:lang w:val="en-GB" w:eastAsia="es-MX"/>
        </w:rPr>
        <w:t xml:space="preserve">Diaphorina citri </w:t>
      </w:r>
      <w:r>
        <w:rPr>
          <w:szCs w:val="22"/>
          <w:lang w:val="en-GB" w:eastAsia="es-MX"/>
        </w:rPr>
        <w:t xml:space="preserve">and its importance in the management of citrus huanglongbing in Florida. </w:t>
      </w:r>
      <w:r>
        <w:rPr>
          <w:i/>
          <w:iCs/>
          <w:szCs w:val="22"/>
          <w:lang w:val="en-GB" w:eastAsia="es-MX"/>
        </w:rPr>
        <w:t>Phytopathology</w:t>
      </w:r>
      <w:r>
        <w:rPr>
          <w:szCs w:val="22"/>
          <w:lang w:val="en-GB" w:eastAsia="es-MX"/>
        </w:rPr>
        <w:t>, 98: 387–396.</w:t>
      </w:r>
      <w:r>
        <w:rPr>
          <w:szCs w:val="22"/>
          <w:lang w:val="en-GB"/>
        </w:rPr>
        <w:t xml:space="preserve"> </w:t>
      </w:r>
    </w:p>
    <w:p w14:paraId="01A49D19" w14:textId="281423A1">
      <w:pPr>
        <w:pStyle w:val="IPPParagraphnumbering"/>
        <w:numPr>
          <w:ilvl w:val="0"/>
          <w:numId w:val="0"/>
        </w:numPr>
        <w:rPr>
          <w:szCs w:val="22"/>
          <w:lang w:val="en-GB" w:eastAsia="es-MX"/>
        </w:rPr>
      </w:pPr>
      <w:r>
        <w:rPr>
          <w:rStyle w:val="PleaseReviewParagraphId"/>
          <w:b w:val="off"/>
          <w:i w:val="off"/>
        </w:rPr>
        <w:t>[517]</w:t>
      </w:r>
      <w:r>
        <w:rPr>
          <w:b/>
          <w:szCs w:val="22"/>
          <w:lang w:val="en-GB" w:eastAsia="es-MX"/>
        </w:rPr>
        <w:t xml:space="preserve">Morgan, J.K., Zhou, L., Li, W., Shatters, R.G., Keremane, M. &amp; Duan, Y.-P. </w:t>
      </w:r>
      <w:r>
        <w:rPr>
          <w:szCs w:val="22"/>
          <w:lang w:val="en-GB" w:eastAsia="es-MX"/>
        </w:rPr>
        <w:t>2012. Improved real-time PCR detection of ‘</w:t>
      </w:r>
      <w:r>
        <w:rPr>
          <w:i/>
          <w:szCs w:val="22"/>
          <w:lang w:val="en-GB" w:eastAsia="es-MX"/>
        </w:rPr>
        <w:t>Candidatus</w:t>
      </w:r>
      <w:r>
        <w:rPr>
          <w:szCs w:val="22"/>
          <w:lang w:val="en-GB" w:eastAsia="es-MX"/>
        </w:rPr>
        <w:t xml:space="preserve"> Liberibacter asiaticus’ from citrus and psyllid hosts by targeting the intragenic tandem-repeats of its prophage genes. </w:t>
      </w:r>
      <w:r>
        <w:rPr>
          <w:i/>
          <w:iCs/>
          <w:szCs w:val="22"/>
          <w:lang w:val="en-GB" w:eastAsia="es-MX"/>
        </w:rPr>
        <w:t>Molecular and Cellular Probes</w:t>
      </w:r>
      <w:r>
        <w:rPr>
          <w:szCs w:val="22"/>
          <w:lang w:val="en-GB" w:eastAsia="es-MX"/>
        </w:rPr>
        <w:t>, 26: 90–98.</w:t>
      </w:r>
    </w:p>
    <w:p w14:paraId="232B8C58" w14:textId="27A7905C">
      <w:pPr>
        <w:pStyle w:val="IPPParagraphnumbering"/>
        <w:numPr>
          <w:ilvl w:val="0"/>
          <w:numId w:val="0"/>
        </w:numPr>
        <w:rPr>
          <w:i/>
          <w:szCs w:val="22"/>
          <w:lang w:val="en-GB"/>
        </w:rPr>
      </w:pPr>
      <w:r>
        <w:rPr>
          <w:rStyle w:val="PleaseReviewParagraphId"/>
          <w:b w:val="off"/>
          <w:i w:val="off"/>
        </w:rPr>
        <w:t>[518]</w:t>
      </w:r>
      <w:r>
        <w:rPr>
          <w:b/>
          <w:szCs w:val="22"/>
          <w:lang w:val="en-GB"/>
        </w:rPr>
        <w:t>Murray, R.G.E. &amp; Schleifer, K.H.</w:t>
      </w:r>
      <w:r>
        <w:rPr>
          <w:szCs w:val="22"/>
          <w:lang w:val="en-GB"/>
        </w:rPr>
        <w:t xml:space="preserve"> 1994. Taxonomic notes: A proposal for recording the properties of putative taxa of procaryotes. </w:t>
      </w:r>
      <w:r>
        <w:rPr>
          <w:i/>
          <w:szCs w:val="22"/>
          <w:lang w:val="en-GB"/>
        </w:rPr>
        <w:t>International Journal of Systematic Bacteriology</w:t>
      </w:r>
      <w:r>
        <w:rPr>
          <w:iCs/>
          <w:szCs w:val="22"/>
          <w:lang w:val="en-GB"/>
        </w:rPr>
        <w:t>,</w:t>
      </w:r>
      <w:r>
        <w:rPr>
          <w:szCs w:val="22"/>
          <w:lang w:val="en-GB"/>
        </w:rPr>
        <w:t xml:space="preserve"> 44: 174–176.</w:t>
      </w:r>
    </w:p>
    <w:p w14:paraId="58B3D1A7" w14:textId="6259EE17">
      <w:pPr>
        <w:pStyle w:val="IPPParagraphnumbering"/>
        <w:numPr>
          <w:ilvl w:val="0"/>
          <w:numId w:val="0"/>
        </w:numPr>
        <w:rPr>
          <w:i/>
          <w:szCs w:val="22"/>
          <w:lang w:val="en-GB"/>
        </w:rPr>
      </w:pPr>
      <w:r>
        <w:rPr>
          <w:rStyle w:val="PleaseReviewParagraphId"/>
          <w:b w:val="off"/>
          <w:i w:val="off"/>
        </w:rPr>
        <w:t>[519]</w:t>
      </w:r>
      <w:r>
        <w:rPr>
          <w:b/>
          <w:szCs w:val="22"/>
          <w:lang w:val="en-GB"/>
        </w:rPr>
        <w:t>Murray, R.G.E. &amp; Stackebrandt, E.</w:t>
      </w:r>
      <w:r>
        <w:rPr>
          <w:szCs w:val="22"/>
          <w:lang w:val="en-GB"/>
        </w:rPr>
        <w:t xml:space="preserve"> 1995. Taxonomic Note: Implementation of the provisional status for incompletely described procaryotes. </w:t>
      </w:r>
      <w:r>
        <w:rPr>
          <w:i/>
          <w:szCs w:val="22"/>
          <w:lang w:val="en-GB"/>
        </w:rPr>
        <w:t>International Journal of Systematic Bacteriology</w:t>
      </w:r>
      <w:r>
        <w:rPr>
          <w:iCs/>
          <w:szCs w:val="22"/>
          <w:lang w:val="en-GB"/>
        </w:rPr>
        <w:t>,</w:t>
      </w:r>
      <w:r>
        <w:rPr>
          <w:szCs w:val="22"/>
          <w:lang w:val="en-GB"/>
        </w:rPr>
        <w:t xml:space="preserve"> 45: 186–187.</w:t>
      </w:r>
    </w:p>
    <w:p w14:paraId="057ED62A" w14:textId="19C00592">
      <w:pPr>
        <w:pStyle w:val="IPPParagraphnumbering"/>
        <w:numPr>
          <w:ilvl w:val="0"/>
          <w:numId w:val="0"/>
        </w:numPr>
        <w:rPr>
          <w:szCs w:val="22"/>
          <w:lang w:val="en-GB"/>
        </w:rPr>
      </w:pPr>
      <w:r>
        <w:rPr>
          <w:rStyle w:val="PleaseReviewParagraphId"/>
          <w:b w:val="off"/>
          <w:i w:val="off"/>
        </w:rPr>
        <w:t>[520]</w:t>
      </w:r>
      <w:r>
        <w:rPr>
          <w:b/>
          <w:szCs w:val="22"/>
          <w:lang w:val="en-GB"/>
        </w:rPr>
        <w:t>Nguyen, T.N.T. &amp; Le, T.H</w:t>
      </w:r>
      <w:r>
        <w:rPr>
          <w:b/>
          <w:bCs/>
          <w:szCs w:val="22"/>
          <w:lang w:val="en-GB"/>
        </w:rPr>
        <w:t>. &amp; Nguyen, T.N.</w:t>
      </w:r>
      <w:r>
        <w:rPr>
          <w:szCs w:val="22"/>
          <w:lang w:val="en-GB"/>
        </w:rPr>
        <w:t xml:space="preserve"> 2003. </w:t>
      </w:r>
      <w:r>
        <w:rPr>
          <w:i/>
          <w:iCs/>
          <w:szCs w:val="22"/>
          <w:lang w:val="en-GB"/>
        </w:rPr>
        <w:t>Preliminary quantification of DNA of citrus huanglongbing pathogen in the Mekong delta.</w:t>
      </w:r>
      <w:r>
        <w:rPr>
          <w:szCs w:val="22"/>
          <w:lang w:val="en-GB"/>
        </w:rPr>
        <w:t xml:space="preserve"> Research topics of fruit production in 2003, No. 5. Longdinh, Chauthanh, Tiengiang, Viet Nam, Southern Fruit Research Institute. </w:t>
      </w:r>
    </w:p>
    <w:p w14:paraId="6DEAC6FF" w14:textId="1C3E3936">
      <w:pPr>
        <w:pStyle w:val="IPPParagraphnumbering"/>
        <w:numPr>
          <w:ilvl w:val="0"/>
          <w:numId w:val="0"/>
        </w:numPr>
        <w:rPr>
          <w:szCs w:val="22"/>
          <w:lang w:val="en-GB"/>
        </w:rPr>
      </w:pPr>
      <w:r>
        <w:rPr>
          <w:rStyle w:val="PleaseReviewParagraphId"/>
          <w:b w:val="off"/>
          <w:i w:val="off"/>
        </w:rPr>
        <w:t>[521]</w:t>
      </w:r>
      <w:r>
        <w:rPr>
          <w:b/>
          <w:szCs w:val="22"/>
          <w:lang w:val="en-GB"/>
        </w:rPr>
        <w:t>NAPPO</w:t>
      </w:r>
      <w:r>
        <w:rPr>
          <w:szCs w:val="22"/>
          <w:lang w:val="en-GB"/>
        </w:rPr>
        <w:t xml:space="preserve"> (North American Plant Protection Organization). 2012. Citrus Huanglongbing [online]. Diagnostic Protocol (DP) 02. Ottawa, NAPPO. 10 pp. [Cited 15 April 2021]. </w:t>
      </w:r>
      <w:hyperlink w:history="1" r:id="rId26">
        <w:r>
          <w:rPr>
            <w:rStyle w:val="Hyperlink"/>
            <w:szCs w:val="22"/>
            <w:lang w:val="en-GB"/>
          </w:rPr>
          <w:t>https://www.nappo.org/application/files/6515/8322/7229/NAPPO_HLB_DP_2_2012-04-10-e.pdf</w:t>
        </w:r>
      </w:hyperlink>
      <w:r>
        <w:rPr>
          <w:szCs w:val="22"/>
          <w:lang w:val="en-GB"/>
        </w:rPr>
        <w:t xml:space="preserve">  </w:t>
      </w:r>
    </w:p>
    <w:p w14:paraId="62E11840" w14:textId="7D3FF8C9">
      <w:pPr>
        <w:pStyle w:val="IPPParagraphnumbering"/>
        <w:numPr>
          <w:ilvl w:val="0"/>
          <w:numId w:val="0"/>
        </w:numPr>
        <w:rPr>
          <w:szCs w:val="22"/>
          <w:lang w:val="en-GB"/>
        </w:rPr>
      </w:pPr>
      <w:r>
        <w:rPr>
          <w:rStyle w:val="PleaseReviewParagraphId"/>
          <w:b w:val="off"/>
          <w:i w:val="off"/>
        </w:rPr>
        <w:t>[522]</w:t>
      </w:r>
      <w:r>
        <w:rPr>
          <w:b/>
          <w:szCs w:val="22"/>
          <w:lang w:val="en-GB"/>
        </w:rPr>
        <w:t>Okuda, M., Matsumoto, M., Tanaka, Y., Subandiyah, S. &amp; Iwanami, T.</w:t>
      </w:r>
      <w:r>
        <w:rPr>
          <w:szCs w:val="22"/>
          <w:lang w:val="en-GB"/>
        </w:rPr>
        <w:t xml:space="preserve"> 2005 Characterization of the </w:t>
      </w:r>
      <w:r>
        <w:rPr>
          <w:i/>
          <w:iCs/>
          <w:szCs w:val="22"/>
          <w:lang w:val="en-GB"/>
        </w:rPr>
        <w:t>tuf</w:t>
      </w:r>
      <w:r>
        <w:rPr>
          <w:szCs w:val="22"/>
          <w:lang w:val="en-GB"/>
        </w:rPr>
        <w:t>B-</w:t>
      </w:r>
      <w:r>
        <w:rPr>
          <w:i/>
          <w:iCs/>
          <w:szCs w:val="22"/>
          <w:lang w:val="en-GB"/>
        </w:rPr>
        <w:t>sec</w:t>
      </w:r>
      <w:r>
        <w:rPr>
          <w:szCs w:val="22"/>
          <w:lang w:val="en-GB"/>
        </w:rPr>
        <w:t>E-</w:t>
      </w:r>
      <w:r>
        <w:rPr>
          <w:i/>
          <w:iCs/>
          <w:szCs w:val="22"/>
          <w:lang w:val="en-GB"/>
        </w:rPr>
        <w:t>nus</w:t>
      </w:r>
      <w:r>
        <w:rPr>
          <w:szCs w:val="22"/>
          <w:lang w:val="en-GB"/>
        </w:rPr>
        <w:t>G-</w:t>
      </w:r>
      <w:r>
        <w:rPr>
          <w:i/>
          <w:iCs/>
          <w:szCs w:val="22"/>
          <w:lang w:val="en-GB"/>
        </w:rPr>
        <w:t>rpl</w:t>
      </w:r>
      <w:r>
        <w:rPr>
          <w:szCs w:val="22"/>
          <w:lang w:val="en-GB"/>
        </w:rPr>
        <w:t>KAJL-</w:t>
      </w:r>
      <w:r>
        <w:rPr>
          <w:i/>
          <w:iCs/>
          <w:szCs w:val="22"/>
          <w:lang w:val="en-GB"/>
        </w:rPr>
        <w:t>rpo</w:t>
      </w:r>
      <w:r>
        <w:rPr>
          <w:szCs w:val="22"/>
          <w:lang w:val="en-GB"/>
        </w:rPr>
        <w:t xml:space="preserve">B gene cluster of the citrus greening organism and detection by loop-mediated isothermal amplification. </w:t>
      </w:r>
      <w:r>
        <w:rPr>
          <w:i/>
          <w:iCs/>
          <w:szCs w:val="22"/>
          <w:lang w:val="en-GB"/>
        </w:rPr>
        <w:t>Plant Dis</w:t>
      </w:r>
      <w:r>
        <w:rPr>
          <w:rFonts w:eastAsia="SimSun"/>
          <w:i/>
          <w:iCs/>
          <w:szCs w:val="22"/>
          <w:lang w:val="en-GB" w:eastAsia="zh-CN"/>
        </w:rPr>
        <w:t>ease</w:t>
      </w:r>
      <w:r>
        <w:rPr>
          <w:rFonts w:eastAsia="SimSun"/>
          <w:szCs w:val="22"/>
          <w:lang w:val="en-GB" w:eastAsia="zh-CN"/>
        </w:rPr>
        <w:t>,</w:t>
      </w:r>
      <w:r>
        <w:rPr>
          <w:szCs w:val="22"/>
          <w:lang w:val="en-GB"/>
        </w:rPr>
        <w:t xml:space="preserve"> 89:705–711.</w:t>
      </w:r>
    </w:p>
    <w:p w14:paraId="706C3394" w14:textId="06180DBE">
      <w:pPr>
        <w:pStyle w:val="IPPParagraphnumbering"/>
        <w:numPr>
          <w:ilvl w:val="0"/>
          <w:numId w:val="0"/>
        </w:numPr>
        <w:rPr>
          <w:rFonts w:eastAsia="Times New Roman"/>
          <w:i/>
          <w:iCs/>
          <w:szCs w:val="22"/>
          <w:lang w:val="en-GB" w:eastAsia="es-ES"/>
        </w:rPr>
      </w:pPr>
      <w:r>
        <w:rPr>
          <w:rStyle w:val="PleaseReviewParagraphId"/>
          <w:b w:val="off"/>
          <w:i w:val="off"/>
        </w:rPr>
        <w:t>[523]</w:t>
      </w:r>
      <w:r>
        <w:rPr>
          <w:b/>
          <w:szCs w:val="22"/>
          <w:lang w:val="en-GB"/>
        </w:rPr>
        <w:t xml:space="preserve">Pelz-Stelinsky, K.S., Brlansky, R.H., Ebert, T.A. &amp; Roger, M.E. </w:t>
      </w:r>
      <w:r>
        <w:rPr>
          <w:szCs w:val="22"/>
          <w:lang w:val="en-GB"/>
        </w:rPr>
        <w:t xml:space="preserve">2010. Transmission parameters for </w:t>
      </w:r>
      <w:r>
        <w:rPr>
          <w:i/>
          <w:szCs w:val="22"/>
          <w:lang w:val="en-GB"/>
        </w:rPr>
        <w:t xml:space="preserve">Candidatus </w:t>
      </w:r>
      <w:r>
        <w:rPr>
          <w:szCs w:val="22"/>
          <w:lang w:val="en-GB"/>
        </w:rPr>
        <w:t xml:space="preserve">Liberibacter asiaticus by Asian citrus psyllid (Hemiptera: Psyllidae). </w:t>
      </w:r>
      <w:r>
        <w:rPr>
          <w:i/>
          <w:iCs/>
          <w:szCs w:val="22"/>
          <w:lang w:val="en-GB"/>
        </w:rPr>
        <w:t>Journal of Economical Entomology</w:t>
      </w:r>
      <w:r>
        <w:rPr>
          <w:szCs w:val="22"/>
          <w:lang w:val="en-GB"/>
        </w:rPr>
        <w:t>,</w:t>
      </w:r>
      <w:r>
        <w:rPr>
          <w:i/>
          <w:iCs/>
          <w:szCs w:val="22"/>
          <w:lang w:val="en-GB"/>
        </w:rPr>
        <w:t xml:space="preserve"> </w:t>
      </w:r>
      <w:r>
        <w:rPr>
          <w:szCs w:val="22"/>
          <w:lang w:val="en-GB"/>
        </w:rPr>
        <w:t>103: 1531–1541</w:t>
      </w:r>
      <w:r>
        <w:rPr>
          <w:i/>
          <w:iCs/>
          <w:szCs w:val="22"/>
          <w:lang w:val="en-GB"/>
        </w:rPr>
        <w:t>.</w:t>
      </w:r>
    </w:p>
    <w:p w14:paraId="1BF013DC" w14:textId="4CC3E36A">
      <w:pPr>
        <w:pStyle w:val="IPPParagraphnumbering"/>
        <w:numPr>
          <w:ilvl w:val="0"/>
          <w:numId w:val="0"/>
        </w:numPr>
        <w:rPr>
          <w:color w:val="000000"/>
          <w:szCs w:val="22"/>
          <w:lang w:val="en-GB"/>
        </w:rPr>
      </w:pPr>
      <w:r>
        <w:rPr>
          <w:rStyle w:val="PleaseReviewParagraphId"/>
          <w:b w:val="off"/>
          <w:i w:val="off"/>
        </w:rPr>
        <w:t>[524]</w:t>
      </w:r>
      <w:r>
        <w:rPr>
          <w:b/>
          <w:bCs/>
          <w:color w:val="000000"/>
          <w:szCs w:val="22"/>
          <w:lang w:val="en-GB"/>
        </w:rPr>
        <w:t>Rigano, L.A., Malamud, F., Orce, I.G., Filippone, M.P., Marano, M.R., Do Amaral, A.M., Castagnaro, A.P. and Vojnov, A.A.</w:t>
      </w:r>
      <w:r>
        <w:rPr>
          <w:color w:val="000000"/>
          <w:szCs w:val="22"/>
          <w:lang w:val="en-GB"/>
        </w:rPr>
        <w:t xml:space="preserve"> 2014. Rapid and sensitive detection of Candidatus Liberibacter asiaticus by loop mediated isothermal amplification combined with a lateral flow dipstick. </w:t>
      </w:r>
      <w:r>
        <w:rPr>
          <w:i/>
          <w:iCs/>
          <w:color w:val="000000"/>
          <w:szCs w:val="22"/>
          <w:lang w:val="en-GB"/>
        </w:rPr>
        <w:t>BMC microbiology</w:t>
      </w:r>
      <w:r>
        <w:rPr>
          <w:color w:val="000000"/>
          <w:szCs w:val="22"/>
          <w:lang w:val="en-GB"/>
        </w:rPr>
        <w:t>, 14:1-9.</w:t>
      </w:r>
    </w:p>
    <w:p w14:paraId="020396ED" w14:textId="2BE6D35F">
      <w:pPr>
        <w:pStyle w:val="IPPParagraphnumbering"/>
        <w:numPr>
          <w:ilvl w:val="0"/>
          <w:numId w:val="0"/>
        </w:numPr>
        <w:rPr>
          <w:color w:val="000000"/>
          <w:szCs w:val="22"/>
          <w:lang w:val="en-GB"/>
        </w:rPr>
      </w:pPr>
      <w:r>
        <w:rPr>
          <w:rStyle w:val="PleaseReviewParagraphId"/>
          <w:b w:val="off"/>
          <w:i w:val="off"/>
        </w:rPr>
        <w:t>[525]</w:t>
      </w:r>
      <w:r>
        <w:rPr>
          <w:b/>
          <w:bCs/>
          <w:color w:val="000000"/>
          <w:szCs w:val="22"/>
          <w:lang w:val="en-GB"/>
        </w:rPr>
        <w:t xml:space="preserve">Roistacher, C.N. </w:t>
      </w:r>
      <w:r>
        <w:rPr>
          <w:color w:val="000000"/>
          <w:szCs w:val="22"/>
          <w:lang w:val="en-GB"/>
        </w:rPr>
        <w:t xml:space="preserve">1991. Techniques for biological detection of specific citrus graft-transmissible diseases. </w:t>
      </w:r>
      <w:r>
        <w:rPr>
          <w:i/>
          <w:iCs/>
          <w:color w:val="000000"/>
          <w:szCs w:val="22"/>
          <w:lang w:val="en-GB"/>
        </w:rPr>
        <w:t>In</w:t>
      </w:r>
      <w:r>
        <w:rPr>
          <w:color w:val="000000"/>
          <w:szCs w:val="22"/>
          <w:lang w:val="en-GB"/>
        </w:rPr>
        <w:t xml:space="preserve"> C.N. Roistacher. </w:t>
      </w:r>
      <w:r>
        <w:rPr>
          <w:i/>
          <w:iCs/>
          <w:color w:val="000000"/>
          <w:szCs w:val="22"/>
          <w:lang w:val="en-GB"/>
        </w:rPr>
        <w:t>Graft-transmissible diseases of citrus: Handbook for detection and diagnosis of graft-transmissable diseases of citrus</w:t>
      </w:r>
      <w:r>
        <w:rPr>
          <w:color w:val="000000"/>
          <w:szCs w:val="22"/>
          <w:lang w:val="en-GB"/>
        </w:rPr>
        <w:t>, Chapter 7, pp. 35–45. Rome, International Organization of Citrus Virologists and FAO.</w:t>
      </w:r>
    </w:p>
    <w:p w14:paraId="1FF350C2" w14:textId="141274D0">
      <w:pPr>
        <w:pStyle w:val="IPPParagraphnumbering"/>
        <w:numPr>
          <w:ilvl w:val="0"/>
          <w:numId w:val="0"/>
        </w:numPr>
        <w:rPr>
          <w:color w:val="000000"/>
          <w:szCs w:val="22"/>
          <w:lang w:val="en-GB"/>
        </w:rPr>
      </w:pPr>
      <w:r>
        <w:rPr>
          <w:rStyle w:val="PleaseReviewParagraphId"/>
          <w:b w:val="off"/>
          <w:i w:val="off"/>
        </w:rPr>
        <w:t>[526]</w:t>
      </w:r>
      <w:r>
        <w:rPr>
          <w:b/>
          <w:color w:val="000000"/>
          <w:szCs w:val="22"/>
          <w:lang w:val="en-GB"/>
        </w:rPr>
        <w:lastRenderedPageBreak/>
        <w:t>Siverio, F</w:t>
      </w:r>
      <w:r>
        <w:rPr>
          <w:b/>
          <w:bCs/>
          <w:color w:val="000000"/>
          <w:szCs w:val="22"/>
          <w:lang w:val="en-GB"/>
        </w:rPr>
        <w:t>.,</w:t>
      </w:r>
      <w:r>
        <w:rPr>
          <w:color w:val="000000"/>
          <w:szCs w:val="22"/>
          <w:lang w:val="en-GB"/>
        </w:rPr>
        <w:t xml:space="preserve"> </w:t>
      </w:r>
      <w:r>
        <w:rPr>
          <w:b/>
          <w:bCs/>
          <w:color w:val="000000"/>
          <w:szCs w:val="22"/>
          <w:lang w:val="en-GB"/>
        </w:rPr>
        <w:t xml:space="preserve">Marco-Noales, E., Bertolini, E., Teresani, R.G., Peñalver, J., Mansilla, P., Aguín, O. </w:t>
      </w:r>
      <w:r>
        <w:rPr>
          <w:b/>
          <w:bCs/>
          <w:i/>
          <w:iCs/>
          <w:color w:val="000000"/>
          <w:szCs w:val="22"/>
          <w:lang w:val="en-GB"/>
        </w:rPr>
        <w:t>et</w:t>
      </w:r>
      <w:r>
        <w:rPr>
          <w:rFonts w:eastAsia="Calibri"/>
          <w:b/>
          <w:bCs/>
          <w:i/>
          <w:iCs/>
          <w:szCs w:val="22"/>
          <w:lang w:val="en-GB" w:eastAsia="es-ES"/>
        </w:rPr>
        <w:t> </w:t>
      </w:r>
      <w:r>
        <w:rPr>
          <w:b/>
          <w:bCs/>
          <w:i/>
          <w:iCs/>
          <w:color w:val="000000"/>
          <w:szCs w:val="22"/>
          <w:lang w:val="en-GB"/>
        </w:rPr>
        <w:t>al.</w:t>
      </w:r>
      <w:r>
        <w:rPr>
          <w:color w:val="000000"/>
          <w:szCs w:val="22"/>
          <w:lang w:val="en-GB"/>
        </w:rPr>
        <w:t xml:space="preserve"> 2017. Survey of huanglongbing associated with </w:t>
      </w:r>
      <w:r>
        <w:rPr>
          <w:rStyle w:val="Emphasis"/>
          <w:color w:val="000000"/>
          <w:szCs w:val="22"/>
          <w:lang w:val="en-GB"/>
        </w:rPr>
        <w:t>‘Candidatus</w:t>
      </w:r>
      <w:r>
        <w:rPr>
          <w:color w:val="000000"/>
          <w:szCs w:val="22"/>
          <w:lang w:val="en-GB"/>
        </w:rPr>
        <w:t xml:space="preserve"> Liberibacter’ species in Spain: analyses of citrus plants and </w:t>
      </w:r>
      <w:r>
        <w:rPr>
          <w:rStyle w:val="Emphasis"/>
          <w:color w:val="000000"/>
          <w:szCs w:val="22"/>
          <w:lang w:val="en-GB"/>
        </w:rPr>
        <w:t>Trioza erytreae</w:t>
      </w:r>
      <w:r>
        <w:rPr>
          <w:color w:val="000000"/>
          <w:szCs w:val="22"/>
          <w:lang w:val="en-GB"/>
        </w:rPr>
        <w:t xml:space="preserve">. </w:t>
      </w:r>
      <w:r>
        <w:rPr>
          <w:rStyle w:val="Strong"/>
          <w:b w:val="0"/>
          <w:i/>
          <w:iCs/>
          <w:color w:val="000000"/>
          <w:szCs w:val="22"/>
          <w:lang w:val="en-GB"/>
        </w:rPr>
        <w:t>Phytopathologia Mediterranea</w:t>
      </w:r>
      <w:r>
        <w:rPr>
          <w:color w:val="000000"/>
          <w:szCs w:val="22"/>
          <w:lang w:val="en-GB"/>
        </w:rPr>
        <w:t>, 56: 98–110.</w:t>
      </w:r>
    </w:p>
    <w:p w14:paraId="1C5F3C2B" w14:textId="6D2ABD6E">
      <w:pPr>
        <w:pStyle w:val="IPPParagraphnumbering"/>
        <w:numPr>
          <w:ilvl w:val="0"/>
          <w:numId w:val="0"/>
        </w:numPr>
        <w:rPr>
          <w:color w:val="000000"/>
          <w:szCs w:val="22"/>
          <w:lang w:val="en-GB"/>
        </w:rPr>
      </w:pPr>
      <w:r>
        <w:rPr>
          <w:rStyle w:val="PleaseReviewParagraphId"/>
          <w:b w:val="off"/>
          <w:i w:val="off"/>
        </w:rPr>
        <w:t>[527]</w:t>
      </w:r>
      <w:r>
        <w:rPr>
          <w:b/>
          <w:bCs/>
          <w:color w:val="000000"/>
          <w:szCs w:val="22"/>
          <w:lang w:val="en-GB"/>
        </w:rPr>
        <w:t>Tatineni, S., Sagaram, U.S., Gowda, S., Robertson, C.J., Dawson, W.O., Iwanami, T. &amp; Wang, N.</w:t>
      </w:r>
      <w:r>
        <w:rPr>
          <w:color w:val="000000"/>
          <w:szCs w:val="22"/>
          <w:lang w:val="en-GB"/>
        </w:rPr>
        <w:t xml:space="preserve"> 2008. In planta distribution of ‘</w:t>
      </w:r>
      <w:r>
        <w:rPr>
          <w:i/>
          <w:iCs/>
          <w:color w:val="000000"/>
          <w:szCs w:val="22"/>
          <w:lang w:val="en-GB"/>
        </w:rPr>
        <w:t>Candidatus</w:t>
      </w:r>
      <w:r>
        <w:rPr>
          <w:color w:val="000000"/>
          <w:szCs w:val="22"/>
          <w:lang w:val="en-GB"/>
        </w:rPr>
        <w:t xml:space="preserve"> Liberibacter asiaticus’ as revealed by polymerase chain reaction (PCR) and real-time PCR. </w:t>
      </w:r>
      <w:r>
        <w:rPr>
          <w:i/>
          <w:iCs/>
          <w:color w:val="000000"/>
          <w:szCs w:val="22"/>
          <w:lang w:val="en-GB"/>
        </w:rPr>
        <w:t>Phytopathology</w:t>
      </w:r>
      <w:r>
        <w:rPr>
          <w:color w:val="000000"/>
          <w:szCs w:val="22"/>
          <w:lang w:val="en-GB"/>
        </w:rPr>
        <w:t>, 98: 592–599.</w:t>
      </w:r>
    </w:p>
    <w:p w14:paraId="400CCDEB" w14:textId="4DA7690D">
      <w:pPr>
        <w:pStyle w:val="IPPParagraphnumbering"/>
        <w:numPr>
          <w:ilvl w:val="0"/>
          <w:numId w:val="0"/>
        </w:numPr>
        <w:rPr>
          <w:szCs w:val="22"/>
          <w:lang w:val="en-GB"/>
        </w:rPr>
      </w:pPr>
      <w:r>
        <w:rPr>
          <w:rStyle w:val="PleaseReviewParagraphId"/>
          <w:b w:val="off"/>
          <w:i w:val="off"/>
        </w:rPr>
        <w:t>[528]</w:t>
      </w:r>
      <w:r>
        <w:rPr>
          <w:b/>
          <w:szCs w:val="22"/>
          <w:lang w:val="en-GB"/>
        </w:rPr>
        <w:t>Teixeira, D.C., Danet, J.L., Eveillard, S</w:t>
      </w:r>
      <w:r>
        <w:rPr>
          <w:b/>
          <w:i/>
          <w:szCs w:val="22"/>
          <w:lang w:val="en-GB"/>
        </w:rPr>
        <w:t>.</w:t>
      </w:r>
      <w:r>
        <w:rPr>
          <w:b/>
          <w:iCs/>
          <w:szCs w:val="22"/>
          <w:lang w:val="en-GB"/>
        </w:rPr>
        <w:t xml:space="preserve">, Martins, E.C., </w:t>
      </w:r>
      <w:r>
        <w:rPr>
          <w:b/>
          <w:szCs w:val="22"/>
          <w:lang w:val="en-GB"/>
        </w:rPr>
        <w:t xml:space="preserve">de Jesus Junior, W.C., Yamamoto, P.T., Lopes, S.A. </w:t>
      </w:r>
      <w:r>
        <w:rPr>
          <w:b/>
          <w:i/>
          <w:iCs/>
          <w:szCs w:val="22"/>
          <w:lang w:val="en-GB"/>
        </w:rPr>
        <w:t>et al.</w:t>
      </w:r>
      <w:r>
        <w:rPr>
          <w:szCs w:val="22"/>
          <w:lang w:val="en-GB"/>
        </w:rPr>
        <w:t xml:space="preserve"> 2005a. Citrus huanglongbing in São Paulo State, Brazil: PCR detection of the ‘</w:t>
      </w:r>
      <w:r>
        <w:rPr>
          <w:i/>
          <w:szCs w:val="22"/>
          <w:lang w:val="en-GB"/>
        </w:rPr>
        <w:t>Candidatus</w:t>
      </w:r>
      <w:r>
        <w:rPr>
          <w:iCs/>
          <w:szCs w:val="22"/>
          <w:lang w:val="en-GB"/>
        </w:rPr>
        <w:t>’</w:t>
      </w:r>
      <w:r>
        <w:rPr>
          <w:szCs w:val="22"/>
          <w:lang w:val="en-GB"/>
        </w:rPr>
        <w:t xml:space="preserve"> Liberibacter species associated with the disease. </w:t>
      </w:r>
      <w:r>
        <w:rPr>
          <w:i/>
          <w:szCs w:val="22"/>
          <w:lang w:val="en-GB"/>
        </w:rPr>
        <w:t>Molecular and Cellular Probes</w:t>
      </w:r>
      <w:r>
        <w:rPr>
          <w:iCs/>
          <w:szCs w:val="22"/>
          <w:lang w:val="en-GB"/>
        </w:rPr>
        <w:t>,</w:t>
      </w:r>
      <w:r>
        <w:rPr>
          <w:i/>
          <w:szCs w:val="22"/>
          <w:lang w:val="en-GB"/>
        </w:rPr>
        <w:t xml:space="preserve"> </w:t>
      </w:r>
      <w:r>
        <w:rPr>
          <w:szCs w:val="22"/>
          <w:lang w:val="en-GB"/>
        </w:rPr>
        <w:t>19: 173–179.</w:t>
      </w:r>
    </w:p>
    <w:p w14:paraId="5629DF51" w14:textId="683225A0">
      <w:pPr>
        <w:pStyle w:val="IPPParagraphnumbering"/>
        <w:numPr>
          <w:ilvl w:val="0"/>
          <w:numId w:val="0"/>
        </w:numPr>
        <w:rPr>
          <w:szCs w:val="22"/>
          <w:lang w:val="en-GB"/>
        </w:rPr>
      </w:pPr>
      <w:r>
        <w:rPr>
          <w:rStyle w:val="PleaseReviewParagraphId"/>
          <w:b w:val="off"/>
          <w:i w:val="off"/>
        </w:rPr>
        <w:t>[529]</w:t>
      </w:r>
      <w:r>
        <w:rPr>
          <w:b/>
          <w:szCs w:val="22"/>
          <w:lang w:val="en-GB"/>
        </w:rPr>
        <w:t xml:space="preserve">Teixeira, D.C., Lopes, S.A., Yamamoto, P.T., Eveillard, S., Martins, E.C., de Jesus Junior, W.C., Bassanezi, R.B. </w:t>
      </w:r>
      <w:r>
        <w:rPr>
          <w:b/>
          <w:i/>
          <w:iCs/>
          <w:szCs w:val="22"/>
          <w:lang w:val="en-GB"/>
        </w:rPr>
        <w:t>et al.</w:t>
      </w:r>
      <w:r>
        <w:rPr>
          <w:b/>
          <w:szCs w:val="22"/>
          <w:lang w:val="en-GB"/>
        </w:rPr>
        <w:t xml:space="preserve"> </w:t>
      </w:r>
      <w:r>
        <w:rPr>
          <w:szCs w:val="22"/>
          <w:lang w:val="en-GB"/>
        </w:rPr>
        <w:t>2005b. PCR detection of the two Liberibacter associated with citrus huanglongbing in São Paulo State, Brazil</w:t>
      </w:r>
      <w:r>
        <w:rPr>
          <w:i/>
          <w:szCs w:val="22"/>
          <w:lang w:val="en-GB"/>
        </w:rPr>
        <w:t xml:space="preserve">. </w:t>
      </w:r>
      <w:r>
        <w:rPr>
          <w:i/>
          <w:iCs/>
          <w:szCs w:val="22"/>
          <w:lang w:val="en-GB"/>
        </w:rPr>
        <w:t>In</w:t>
      </w:r>
      <w:r>
        <w:rPr>
          <w:szCs w:val="22"/>
          <w:lang w:val="en-GB"/>
        </w:rPr>
        <w:t>: Proceedings of the Sixteenth Conference of the International Organization of Citrus Virologists (IOCV), pp 432–438. Monterrey, Mexico, IOCV.</w:t>
      </w:r>
    </w:p>
    <w:p w14:paraId="464492E7" w14:textId="080979D0">
      <w:pPr>
        <w:pStyle w:val="IPPParagraphnumbering"/>
        <w:numPr>
          <w:ilvl w:val="0"/>
          <w:numId w:val="0"/>
        </w:numPr>
        <w:rPr>
          <w:szCs w:val="22"/>
          <w:lang w:val="en-GB"/>
        </w:rPr>
      </w:pPr>
      <w:r>
        <w:rPr>
          <w:rStyle w:val="PleaseReviewParagraphId"/>
          <w:b w:val="off"/>
          <w:i w:val="off"/>
        </w:rPr>
        <w:t>[530]</w:t>
      </w:r>
      <w:r>
        <w:rPr>
          <w:b/>
          <w:szCs w:val="22"/>
          <w:lang w:val="en-GB"/>
        </w:rPr>
        <w:t xml:space="preserve">Teixeira, D.C., Saillard, C., Eveillard, S, Danet, J.L., da Costa, P.I., Ayres, A.J. &amp; Bove, J. </w:t>
      </w:r>
      <w:r>
        <w:rPr>
          <w:szCs w:val="22"/>
          <w:lang w:val="en-GB"/>
        </w:rPr>
        <w:t>2005c. ‘</w:t>
      </w:r>
      <w:r>
        <w:rPr>
          <w:i/>
          <w:szCs w:val="22"/>
          <w:lang w:val="en-GB"/>
        </w:rPr>
        <w:t>Candidatus</w:t>
      </w:r>
      <w:r>
        <w:rPr>
          <w:szCs w:val="22"/>
          <w:lang w:val="en-GB"/>
        </w:rPr>
        <w:t xml:space="preserve"> Liberibacter americanus’, associated with citrus huanglongbing (greening disease) in São Paulo State, Brazil. </w:t>
      </w:r>
      <w:r>
        <w:rPr>
          <w:i/>
          <w:szCs w:val="22"/>
          <w:lang w:val="en-GB"/>
        </w:rPr>
        <w:t>International Journal of Systematic and Evolutionary Microbiology</w:t>
      </w:r>
      <w:r>
        <w:rPr>
          <w:szCs w:val="22"/>
          <w:lang w:val="en-GB"/>
        </w:rPr>
        <w:t>, 55: 1857–1862.</w:t>
      </w:r>
    </w:p>
    <w:p w14:paraId="4FC47C49" w14:textId="6E451780">
      <w:pPr>
        <w:pStyle w:val="IPPParagraphnumbering"/>
        <w:numPr>
          <w:ilvl w:val="0"/>
          <w:numId w:val="0"/>
        </w:numPr>
        <w:rPr>
          <w:szCs w:val="22"/>
          <w:lang w:val="en-GB"/>
        </w:rPr>
      </w:pPr>
      <w:r>
        <w:rPr>
          <w:rStyle w:val="PleaseReviewParagraphId"/>
          <w:b w:val="off"/>
          <w:i w:val="off"/>
        </w:rPr>
        <w:t>[531]</w:t>
      </w:r>
      <w:r>
        <w:rPr>
          <w:b/>
          <w:szCs w:val="22"/>
          <w:lang w:val="en-GB"/>
        </w:rPr>
        <w:t>Wang Z., Yin, Y., Hu, H., Yuan, Q., Peng, G. &amp; Xia, Y.</w:t>
      </w:r>
      <w:r>
        <w:rPr>
          <w:szCs w:val="22"/>
          <w:lang w:val="en-GB"/>
        </w:rPr>
        <w:t xml:space="preserve"> 2006. Development and application of molecular based diagnosis for ‘</w:t>
      </w:r>
      <w:r>
        <w:rPr>
          <w:i/>
          <w:iCs/>
          <w:szCs w:val="22"/>
          <w:lang w:val="en-GB"/>
        </w:rPr>
        <w:t xml:space="preserve">Candidatus </w:t>
      </w:r>
      <w:r>
        <w:rPr>
          <w:szCs w:val="22"/>
          <w:lang w:val="en-GB"/>
        </w:rPr>
        <w:t xml:space="preserve">Liberibacter asiaticus’, the causal pathogen of citrus huanglongbing. </w:t>
      </w:r>
      <w:r>
        <w:rPr>
          <w:i/>
          <w:szCs w:val="22"/>
          <w:lang w:val="en-GB"/>
        </w:rPr>
        <w:t>Plant Pathology</w:t>
      </w:r>
      <w:r>
        <w:rPr>
          <w:iCs/>
          <w:szCs w:val="22"/>
          <w:lang w:val="en-GB"/>
        </w:rPr>
        <w:t>,</w:t>
      </w:r>
      <w:r>
        <w:rPr>
          <w:szCs w:val="22"/>
          <w:lang w:val="en-GB"/>
        </w:rPr>
        <w:t xml:space="preserve"> 55: 630–638.</w:t>
      </w:r>
    </w:p>
    <w:p w14:paraId="3FE0972F" w14:textId="714B4029">
      <w:pPr>
        <w:pStyle w:val="IPPParagraphnumbering"/>
        <w:numPr>
          <w:ilvl w:val="0"/>
          <w:numId w:val="0"/>
        </w:numPr>
        <w:rPr>
          <w:szCs w:val="22"/>
          <w:lang w:val="en-GB"/>
        </w:rPr>
      </w:pPr>
      <w:r>
        <w:rPr>
          <w:rStyle w:val="PleaseReviewParagraphId"/>
          <w:b w:val="off"/>
          <w:i w:val="off"/>
        </w:rPr>
        <w:t>[532]</w:t>
      </w:r>
      <w:r>
        <w:rPr>
          <w:b/>
          <w:bCs/>
          <w:color w:val="222222"/>
        </w:rPr>
        <w:t>Weller, S.A., Elphinstone, J.G., Smith, N.C., Boonham, N. and Stead, D.</w:t>
      </w:r>
      <w:r>
        <w:rPr>
          <w:color w:val="222222"/>
        </w:rPr>
        <w:t xml:space="preserve"> 2000. Detection of </w:t>
      </w:r>
      <w:r>
        <w:rPr>
          <w:i/>
          <w:iCs/>
          <w:color w:val="222222"/>
        </w:rPr>
        <w:t>Ralstonia solanacearum</w:t>
      </w:r>
      <w:r>
        <w:rPr>
          <w:color w:val="222222"/>
        </w:rPr>
        <w:t xml:space="preserve"> strains with a quantitative, multiplex, real-time, fluorogenic PCR (TaqMan) assay. </w:t>
      </w:r>
      <w:r>
        <w:rPr>
          <w:i/>
          <w:iCs/>
          <w:color w:val="222222"/>
        </w:rPr>
        <w:t>Applied and environmental microbiology,</w:t>
      </w:r>
      <w:r>
        <w:rPr>
          <w:color w:val="222222"/>
        </w:rPr>
        <w:t xml:space="preserve"> 66: 2853-2858.</w:t>
      </w:r>
    </w:p>
    <w:p w14:paraId="0852F90E" w14:textId="7157BB3D">
      <w:pPr>
        <w:pStyle w:val="IPPParagraphnumbering"/>
        <w:numPr>
          <w:ilvl w:val="0"/>
          <w:numId w:val="0"/>
        </w:numPr>
        <w:rPr>
          <w:b/>
          <w:szCs w:val="22"/>
          <w:lang w:val="en-GB"/>
        </w:rPr>
      </w:pPr>
      <w:r>
        <w:rPr>
          <w:rStyle w:val="PleaseReviewParagraphId"/>
          <w:b w:val="off"/>
          <w:i w:val="off"/>
        </w:rPr>
        <w:t>[533]</w:t>
      </w:r>
      <w:r>
        <w:rPr>
          <w:b/>
          <w:szCs w:val="22"/>
          <w:lang w:val="en-GB"/>
        </w:rPr>
        <w:t>Yamamoto, P.T., Felippe, M.R., Garbim, L.F., Coelho, J.H.C., Martins, E.C. &amp; Leite, A.P.R.</w:t>
      </w:r>
      <w:r>
        <w:rPr>
          <w:szCs w:val="22"/>
          <w:lang w:val="en-GB"/>
        </w:rPr>
        <w:t xml:space="preserve"> 2006. </w:t>
      </w:r>
      <w:r>
        <w:rPr>
          <w:i/>
          <w:szCs w:val="22"/>
          <w:lang w:val="en-GB"/>
        </w:rPr>
        <w:t>Diaphorina citri</w:t>
      </w:r>
      <w:r>
        <w:rPr>
          <w:szCs w:val="22"/>
          <w:lang w:val="en-GB"/>
        </w:rPr>
        <w:t xml:space="preserve"> (Kuwayama) (Hemiptera: Psyllydae): Vector of the bacterium </w:t>
      </w:r>
      <w:r>
        <w:rPr>
          <w:i/>
          <w:szCs w:val="22"/>
          <w:lang w:val="en-GB"/>
        </w:rPr>
        <w:t>Candidatus</w:t>
      </w:r>
      <w:r>
        <w:rPr>
          <w:szCs w:val="22"/>
          <w:lang w:val="en-GB"/>
        </w:rPr>
        <w:t xml:space="preserve"> Liberibacter americanus. </w:t>
      </w:r>
      <w:r>
        <w:rPr>
          <w:i/>
          <w:iCs/>
          <w:szCs w:val="22"/>
          <w:lang w:val="en-GB"/>
        </w:rPr>
        <w:t>In:</w:t>
      </w:r>
      <w:r>
        <w:rPr>
          <w:szCs w:val="22"/>
          <w:lang w:val="en-GB"/>
        </w:rPr>
        <w:t xml:space="preserve"> Proceedings of the Huanglongbing-Greening International Workshop. Fundecitrus, Araraquara, p. 96. Ribeirão Preto, Brazil.</w:t>
      </w:r>
      <w:r>
        <w:rPr>
          <w:b/>
          <w:sz w:val="24"/>
        </w:rPr>
        <w:br w:type="page"/>
      </w:r>
    </w:p>
    <w:p w14:paraId="75B1BBA3" w14:textId="6E9940AC">
      <w:pPr>
        <w:pStyle w:val="IPPHeading1"/>
      </w:pPr>
      <w:r>
        <w:rPr>
          <w:rStyle w:val="PleaseReviewParagraphId"/>
          <w:b w:val="off"/>
          <w:i w:val="off"/>
        </w:rPr>
        <w:t>[534]</w:t>
      </w:r>
      <w:r>
        <w:lastRenderedPageBreak/>
        <w:t>9. Figures</w:t>
      </w:r>
    </w:p>
    <w:p w14:paraId="65682001" w14:textId="77777777">
      <w:pPr>
        <w:pStyle w:val="IPPNormal"/>
        <w:rPr>
          <w:b/>
          <w:bCs/>
        </w:rPr>
      </w:pPr>
      <w:r>
        <w:rPr>
          <w:rStyle w:val="PleaseReviewParagraphId"/>
          <w:b w:val="off"/>
          <w:i w:val="off"/>
        </w:rPr>
        <w:t>[535]</w:t>
      </w:r>
      <w:r>
        <w:rPr>
          <w:lang w:val="en-US"/>
        </w:rPr>
        <w:drawing>
          <wp:inline distT="0" distB="0" distL="0" distR="0" wp14:anchorId="51521EEA" wp14:editId="5678E500">
            <wp:extent cx="4236407" cy="3177540"/>
            <wp:effectExtent l="0" t="0" r="0" b="3810"/>
            <wp:docPr id="5" name="Picture 5"/>
            <wp:cNvGraphicFramePr>
              <a:graphicFrameLocks noChangeAspect="1"/>
            </wp:cNvGraphicFramePr>
            <a:graphic>
              <a:graphicData uri="http://schemas.openxmlformats.org/drawingml/2006/picture">
                <pic:pic>
                  <pic:nvPicPr>
                    <pic:cNvPr id="0" name="Picture 7"/>
                    <pic:cNvPicPr>
                      <a:picLocks noChangeAspect="1" noChangeArrowheads="1"/>
                    </pic:cNvPicPr>
                  </pic:nvPicPr>
                  <pic:blipFill>
                    <a:blip r:embed="rId27">
                      <a:extLst>
                        <a:ext uri="{28A0092B-C50C-407E-A947-70E740481C1C}">
                          <a14:useLocalDpi val="0"/>
                        </a:ext>
                      </a:extLst>
                    </a:blip>
                    <a:srcRect/>
                    <a:stretch>
                      <a:fillRect/>
                    </a:stretch>
                  </pic:blipFill>
                  <pic:spPr bwMode="auto">
                    <a:xfrm>
                      <a:off x="0" y="0"/>
                      <a:ext cx="4244776" cy="3183817"/>
                    </a:xfrm>
                    <a:prstGeom prst="rect">
                      <a:avLst/>
                    </a:prstGeom>
                    <a:noFill/>
                    <a:ln>
                      <a:noFill/>
                    </a:ln>
                  </pic:spPr>
                </pic:pic>
              </a:graphicData>
            </a:graphic>
          </wp:inline>
        </w:drawing>
      </w:r>
      <w:r>
        <w:rPr>
          <w:b/>
          <w:bCs/>
        </w:rPr>
        <w:t xml:space="preserve"> </w:t>
      </w:r>
    </w:p>
    <w:p w14:paraId="66A0C1C5" w14:textId="77777777">
      <w:pPr>
        <w:pStyle w:val="IPPParagraphnumbering"/>
        <w:numPr>
          <w:ilvl w:val="0"/>
          <w:numId w:val="0"/>
        </w:numPr>
        <w:rPr>
          <w:rFonts w:ascii="Arial" w:hAnsi="Arial" w:cs="Arial"/>
          <w:sz w:val="18"/>
          <w:szCs w:val="18"/>
        </w:rPr>
      </w:pPr>
      <w:r>
        <w:rPr>
          <w:rStyle w:val="PleaseReviewParagraphId"/>
          <w:b w:val="off"/>
          <w:i w:val="off"/>
        </w:rPr>
        <w:t>[536]</w:t>
      </w:r>
      <w:r>
        <w:rPr>
          <w:rFonts w:ascii="Arial" w:hAnsi="Arial" w:cs="Arial"/>
          <w:b/>
          <w:bCs/>
          <w:sz w:val="18"/>
          <w:szCs w:val="18"/>
        </w:rPr>
        <w:t>Figure 1.</w:t>
      </w:r>
      <w:r>
        <w:rPr>
          <w:rFonts w:ascii="Arial" w:hAnsi="Arial" w:cs="Arial"/>
          <w:sz w:val="18"/>
          <w:szCs w:val="18"/>
        </w:rPr>
        <w:t xml:space="preserve"> </w:t>
      </w:r>
      <w:r>
        <w:rPr>
          <w:rFonts w:ascii="Arial" w:hAnsi="Arial" w:cs="Arial"/>
          <w:i/>
          <w:iCs/>
          <w:sz w:val="18"/>
          <w:szCs w:val="18"/>
        </w:rPr>
        <w:t>Citrus sinensis</w:t>
      </w:r>
      <w:r>
        <w:rPr>
          <w:rFonts w:ascii="Arial" w:hAnsi="Arial" w:cs="Arial"/>
          <w:sz w:val="18"/>
          <w:szCs w:val="18"/>
        </w:rPr>
        <w:t xml:space="preserve"> (orange) tree on the left not infected with ‘</w:t>
      </w:r>
      <w:r>
        <w:rPr>
          <w:rFonts w:ascii="Arial" w:hAnsi="Arial" w:cs="Arial"/>
          <w:i/>
          <w:iCs/>
          <w:sz w:val="18"/>
          <w:szCs w:val="18"/>
        </w:rPr>
        <w:t>Candidatus</w:t>
      </w:r>
      <w:r>
        <w:rPr>
          <w:rFonts w:ascii="Arial" w:hAnsi="Arial" w:cs="Arial"/>
          <w:sz w:val="18"/>
          <w:szCs w:val="18"/>
        </w:rPr>
        <w:t xml:space="preserve"> Liberibacter asiaticus’ compared with tree on the right that is infected with first signs of stunting. Approximately 1 year after planting. Photo courtesy of Greg McCollum, Agricultural Research Service, United States Department of Agriculture, United States.</w:t>
      </w:r>
    </w:p>
    <w:p w14:paraId="063E08B9" w14:textId="77777777">
      <w:pPr>
        <w:pStyle w:val="IPPNormal"/>
      </w:pPr>
      <w:r>
        <w:rPr>
          <w:rStyle w:val="PleaseReviewParagraphId"/>
          <w:b w:val="off"/>
          <w:i w:val="off"/>
        </w:rPr>
        <w:t>[537]</w:t>
      </w:r>
      <w:r>
        <w:rPr>
          <w:lang w:val="en-US"/>
        </w:rPr>
        <w:drawing>
          <wp:inline distT="0" distB="0" distL="0" distR="0" wp14:anchorId="76F623B6" wp14:editId="5BC500D7">
            <wp:extent cx="1920240" cy="2558294"/>
            <wp:effectExtent l="0" t="0" r="3810" b="0"/>
            <wp:docPr id="2" name="Picture 2"/>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a:blip r:embed="rId28" cstate="print">
                      <a:extLst>
                        <a:ext uri="{28A0092B-C50C-407E-A947-70E740481C1C}">
                          <a14:useLocalDpi val="0"/>
                        </a:ext>
                      </a:extLst>
                    </a:blip>
                    <a:srcRect/>
                    <a:stretch>
                      <a:fillRect/>
                    </a:stretch>
                  </pic:blipFill>
                  <pic:spPr bwMode="auto">
                    <a:xfrm>
                      <a:off x="0" y="0"/>
                      <a:ext cx="1934146" cy="2576821"/>
                    </a:xfrm>
                    <a:prstGeom prst="rect">
                      <a:avLst/>
                    </a:prstGeom>
                    <a:noFill/>
                    <a:ln>
                      <a:noFill/>
                    </a:ln>
                  </pic:spPr>
                </pic:pic>
              </a:graphicData>
            </a:graphic>
          </wp:inline>
        </w:drawing>
      </w:r>
    </w:p>
    <w:p w14:paraId="14E15775" w14:textId="77777777">
      <w:pPr>
        <w:pStyle w:val="IPPParagraphnumbering"/>
        <w:numPr>
          <w:ilvl w:val="0"/>
          <w:numId w:val="0"/>
        </w:numPr>
        <w:rPr>
          <w:rFonts w:ascii="Arial" w:hAnsi="Arial" w:cs="Arial"/>
          <w:color w:val="1F497D"/>
          <w:sz w:val="18"/>
          <w:szCs w:val="18"/>
        </w:rPr>
      </w:pPr>
      <w:r>
        <w:rPr>
          <w:rStyle w:val="PleaseReviewParagraphId"/>
          <w:b w:val="off"/>
          <w:i w:val="off"/>
        </w:rPr>
        <w:t>[538]</w:t>
      </w:r>
      <w:r>
        <w:rPr>
          <w:rFonts w:ascii="Arial" w:hAnsi="Arial" w:cs="Arial"/>
          <w:b/>
          <w:bCs/>
          <w:sz w:val="18"/>
          <w:szCs w:val="18"/>
        </w:rPr>
        <w:t>Figure 2.</w:t>
      </w:r>
      <w:r>
        <w:rPr>
          <w:rFonts w:ascii="Arial" w:hAnsi="Arial" w:cs="Arial"/>
          <w:sz w:val="18"/>
          <w:szCs w:val="18"/>
        </w:rPr>
        <w:t xml:space="preserve"> Four-year-old </w:t>
      </w:r>
      <w:r>
        <w:rPr>
          <w:rFonts w:ascii="Arial" w:hAnsi="Arial" w:cs="Arial"/>
          <w:i/>
          <w:iCs/>
          <w:sz w:val="18"/>
          <w:szCs w:val="18"/>
        </w:rPr>
        <w:t>Citrus sinensis</w:t>
      </w:r>
      <w:r>
        <w:rPr>
          <w:rFonts w:ascii="Arial" w:hAnsi="Arial" w:cs="Arial"/>
          <w:sz w:val="18"/>
          <w:szCs w:val="18"/>
        </w:rPr>
        <w:t xml:space="preserve"> (orange) tree declining from Huanglonbing.  Small upright leaves near shoot tips (where transmission take place), leaf drop/canopy thinning, and dieback. Photo courtesy of Greg McCollum, Agricultural Research Service, United States Department of Agriculture, United States.</w:t>
      </w:r>
    </w:p>
    <w:p w14:paraId="20E18A8F" w14:textId="77777777">
      <w:pPr>
        <w:pStyle w:val="IPPNormal"/>
      </w:pPr>
      <w:r>
        <w:rPr>
          <w:rStyle w:val="PleaseReviewParagraphId"/>
          <w:b w:val="off"/>
          <w:i w:val="off"/>
        </w:rPr>
        <w:t>[539]</w:t>
      </w:r>
      <w:r>
        <w:rPr>
          <w:lang w:val="en-US"/>
        </w:rPr>
        <w:lastRenderedPageBreak/>
        <w:drawing>
          <wp:inline distT="0" distB="0" distL="0" distR="0" wp14:anchorId="2FBE1E89" wp14:editId="2BA62CDC">
            <wp:extent cx="5731510" cy="4298950"/>
            <wp:effectExtent l="0" t="0" r="2540" b="6350"/>
            <wp:docPr id="1" name="Picture 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29" cstate="print">
                      <a:extLst>
                        <a:ext uri="{28A0092B-C50C-407E-A947-70E740481C1C}">
                          <a14:useLocalDpi val="0"/>
                        </a:ext>
                      </a:extLst>
                    </a:blip>
                    <a:srcRect/>
                    <a:stretch>
                      <a:fillRect/>
                    </a:stretch>
                  </pic:blipFill>
                  <pic:spPr bwMode="auto">
                    <a:xfrm>
                      <a:off x="0" y="0"/>
                      <a:ext cx="5731510" cy="4298950"/>
                    </a:xfrm>
                    <a:prstGeom prst="rect">
                      <a:avLst/>
                    </a:prstGeom>
                    <a:noFill/>
                    <a:ln>
                      <a:noFill/>
                    </a:ln>
                  </pic:spPr>
                </pic:pic>
              </a:graphicData>
            </a:graphic>
          </wp:inline>
        </w:drawing>
      </w:r>
    </w:p>
    <w:p w14:paraId="078D430E" w14:textId="77777777">
      <w:pPr>
        <w:pStyle w:val="IPPParagraphnumbering"/>
        <w:numPr>
          <w:ilvl w:val="0"/>
          <w:numId w:val="0"/>
        </w:numPr>
        <w:rPr>
          <w:rFonts w:ascii="Arial" w:hAnsi="Arial" w:cs="Arial"/>
          <w:b/>
          <w:bCs/>
          <w:sz w:val="18"/>
          <w:szCs w:val="18"/>
        </w:rPr>
      </w:pPr>
      <w:r>
        <w:rPr>
          <w:rStyle w:val="PleaseReviewParagraphId"/>
          <w:b w:val="off"/>
          <w:i w:val="off"/>
        </w:rPr>
        <w:t>[540]</w:t>
      </w:r>
      <w:r>
        <w:rPr>
          <w:rFonts w:ascii="Arial" w:hAnsi="Arial" w:cs="Arial"/>
          <w:b/>
          <w:bCs/>
          <w:sz w:val="18"/>
          <w:szCs w:val="18"/>
        </w:rPr>
        <w:t>Figure 3.</w:t>
      </w:r>
      <w:r>
        <w:rPr>
          <w:rFonts w:ascii="Arial" w:hAnsi="Arial" w:cs="Arial"/>
          <w:sz w:val="18"/>
          <w:szCs w:val="18"/>
        </w:rPr>
        <w:t xml:space="preserve"> Two adjacent </w:t>
      </w:r>
      <w:r>
        <w:rPr>
          <w:rFonts w:ascii="Arial" w:hAnsi="Arial" w:cs="Arial"/>
          <w:i/>
          <w:iCs/>
          <w:sz w:val="18"/>
          <w:szCs w:val="18"/>
        </w:rPr>
        <w:t>Citrus sinensis</w:t>
      </w:r>
      <w:r>
        <w:rPr>
          <w:rFonts w:ascii="Arial" w:hAnsi="Arial" w:cs="Arial"/>
          <w:sz w:val="18"/>
          <w:szCs w:val="18"/>
        </w:rPr>
        <w:t xml:space="preserve"> (orange) trees infected with ‘</w:t>
      </w:r>
      <w:r>
        <w:rPr>
          <w:rFonts w:ascii="Arial" w:hAnsi="Arial" w:cs="Arial"/>
          <w:i/>
          <w:iCs/>
          <w:sz w:val="18"/>
          <w:szCs w:val="18"/>
        </w:rPr>
        <w:t>Candidatus</w:t>
      </w:r>
      <w:r>
        <w:rPr>
          <w:rFonts w:ascii="Arial" w:hAnsi="Arial" w:cs="Arial"/>
          <w:sz w:val="18"/>
          <w:szCs w:val="18"/>
        </w:rPr>
        <w:t xml:space="preserve"> Liberibacter asiaticus’ at different stages of Huanglonbing progression. Photo courtesy of Greg McCollum, Agricultural Research Service, United States Department of Agriculture, United States.</w:t>
      </w:r>
    </w:p>
    <w:sectPr>
      <w:pgSz w:w="11906" w:h="16838" w:code="9"/>
      <w:pgMar w:top="1440" w:right="1440" w:bottom="1440" w:left="1440" w:header="708" w:footer="708" w:gutter="0"/>
      <w:pgNumType w:start="1"/>
      <w:cols w:space="708"/>
      <w:titlePg/>
      <w:docGrid w:linePitch="360"/>
    </w:sectPr>
  </w:body>
</w:document>
</file>

<file path=word/commentsExtensible.xml><?xml version="1.0" encoding="utf-8"?>
<w16cex:commentsExtensible xmlns:w16cex="http://schemas.microsoft.com/office/word/2018/wordml/c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06447" w16cex:dateUtc="2021-04-13T17:41:00Z"/>
  <w16cex:commentExtensible w16cex:durableId="24206439" w16cex:dateUtc="2021-04-13T17:40:00Z"/>
  <w16cex:commentExtensible w16cex:durableId="2420659E" w16cex:dateUtc="2021-04-13T17:45:00Z"/>
  <w16cex:commentExtensible w16cex:durableId="24241F4E" w16cex:dateUtc="2021-04-16T13:35:00Z"/>
  <w16cex:commentExtensible w16cex:durableId="24368F3C" w16cex:dateUtc="2021-04-30T02:14:00Z"/>
  <w16cex:commentExtensible w16cex:durableId="24368FBC" w16cex:dateUtc="2021-04-16T13:42:00Z"/>
  <w16cex:commentExtensible w16cex:durableId="2423FFA2" w16cex:dateUtc="2021-04-16T11:20:00Z"/>
  <w16cex:commentExtensible w16cex:durableId="24285414" w16cex:dateUtc="2021-04-19T18:10:00Z"/>
  <w16cex:commentExtensible w16cex:durableId="24369674" w16cex:dateUtc="2021-04-30T02:45:00Z"/>
  <w16cex:commentExtensible w16cex:durableId="242680A5" w16cex:dateUtc="2021-04-18T08:55:00Z"/>
  <w16cex:commentExtensible w16cex:durableId="2436981D" w16cex:dateUtc="2021-04-30T02:52:00Z"/>
  <w16cex:commentExtensible w16cex:durableId="242850D6" w16cex:dateUtc="2021-04-19T17:56:00Z"/>
  <w16cex:commentExtensible w16cex:durableId="243699D5" w16cex:dateUtc="2021-04-30T02:59:00Z"/>
  <w16cex:commentExtensible w16cex:durableId="2422FC41" w16cex:dateUtc="2021-04-15T16:54:00Z"/>
  <w16cex:commentExtensible w16cex:durableId="24268315" w16cex:dateUtc="2021-04-18T09:06:00Z"/>
  <w16cex:commentExtensible w16cex:durableId="24369B88" w16cex:dateUtc="2021-04-30T03:06:00Z"/>
  <w16cex:commentExtensible w16cex:durableId="24268854" w16cex:dateUtc="2021-04-18T09:28:00Z"/>
  <w16cex:commentExtensible w16cex:durableId="24369C8F" w16cex:dateUtc="2021-04-30T03:11:00Z"/>
  <w16cex:commentExtensible w16cex:durableId="24268867" w16cex:dateUtc="2021-04-18T09:28:00Z"/>
  <w16cex:commentExtensible w16cex:durableId="24369CA5" w16cex:dateUtc="2021-04-30T03:11:00Z"/>
  <w16cex:commentExtensible w16cex:durableId="2426895B" w16cex:dateUtc="2021-04-18T09:32:00Z"/>
  <w16cex:commentExtensible w16cex:durableId="2426C922" w16cex:dateUtc="2021-04-18T14:05:00Z"/>
  <w16cex:commentExtensible w16cex:durableId="24293509" w16cex:dateUtc="2021-04-20T10:09:00Z"/>
  <w16cex:commentExtensible w16cex:durableId="24269A37" w16cex:dateUtc="2021-04-18T10:44:00Z"/>
  <w16cex:commentExtensible w16cex:durableId="24268D36" w16cex:dateUtc="2021-04-18T09:49:00Z"/>
  <w16cex:commentExtensible w16cex:durableId="242692F9" w16cex:dateUtc="2021-04-18T10:14:00Z"/>
  <w16cex:commentExtensible w16cex:durableId="2426929B" w16cex:dateUtc="2021-04-18T10:12:00Z"/>
  <w16cex:commentExtensible w16cex:durableId="24369E65" w16cex:dateUtc="2021-04-30T03:19:00Z"/>
  <w16cex:commentExtensible w16cex:durableId="24269782" w16cex:dateUtc="2021-04-18T10:33:00Z"/>
  <w16cex:commentExtensible w16cex:durableId="24369F43" w16cex:dateUtc="2021-04-30T03:22:00Z"/>
  <w16cex:commentExtensible w16cex:durableId="24269598" w16cex:dateUtc="2021-04-18T10:25:00Z"/>
  <w16cex:commentExtensible w16cex:durableId="2436A267" w16cex:dateUtc="2021-04-30T03:36:00Z"/>
  <w16cex:commentExtensible w16cex:durableId="242937A3" w16cex:dateUtc="2021-04-20T10:21:00Z"/>
  <w16cex:commentExtensible w16cex:durableId="24228DFF" w16cex:dateUtc="2021-04-15T09:03:00Z"/>
  <w16cex:commentExtensible w16cex:durableId="2436A68F" w16cex:dateUtc="2021-04-30T03:53:00Z"/>
  <w16cex:commentExtensible w16cex:durableId="24293B75" w16cex:dateUtc="2021-04-20T10:37:00Z"/>
  <w16cex:commentExtensible w16cex:durableId="2436A750" w16cex:dateUtc="2021-04-30T03:57:00Z"/>
  <w16cex:commentExtensible w16cex:durableId="24228EAA" w16cex:dateUtc="2021-04-15T09:06:00Z"/>
  <w16cex:commentExtensible w16cex:durableId="2436AA42" w16cex:dateUtc="2021-04-30T04:09:00Z"/>
  <w16cex:commentExtensible w16cex:durableId="24228D5F" w16cex:dateUtc="2021-04-15T09:01:00Z"/>
  <w16cex:commentExtensible w16cex:durableId="2436AD4A" w16cex:dateUtc="2021-04-30T04:22:00Z"/>
  <w16cex:commentExtensible w16cex:durableId="2422878D" w16cex:dateUtc="2021-04-15T08:36:00Z"/>
  <w16cex:commentExtensible w16cex:durableId="2436AD94" w16cex:dateUtc="2021-04-30T04:23:00Z"/>
  <w16cex:commentExtensible w16cex:durableId="2429374C" w16cex:dateUtc="2021-04-20T10:19:00Z"/>
  <w16cex:commentExtensible w16cex:durableId="2436AFD0" w16cex:dateUtc="2021-04-30T04:33:00Z"/>
  <w16cex:commentExtensible w16cex:durableId="2422BF86" w16cex:dateUtc="2021-04-15T12:35:00Z"/>
  <w16cex:commentExtensible w16cex:durableId="2436B260" w16cex:dateUtc="2021-04-30T04:44:00Z"/>
  <w16cex:commentExtensible w16cex:durableId="2422CB3D" w16cex:dateUtc="2021-04-15T13:25:00Z"/>
  <w16cex:commentExtensible w16cex:durableId="24451777" w16cex:dateUtc="2021-05-11T02:47:00Z"/>
  <w16cex:commentExtensible w16cex:durableId="2422C1DA" w16cex:dateUtc="2021-04-15T12:44:00Z"/>
  <w16cex:commentExtensible w16cex:durableId="24451B45" w16cex:dateUtc="2021-05-11T03:03:00Z"/>
  <w16cex:commentExtensible w16cex:durableId="24269951" w16cex:dateUtc="2021-04-18T10:41:00Z"/>
  <w16cex:commentExtensible w16cex:durableId="24451E49" w16cex:dateUtc="2021-05-11T03:16:00Z"/>
  <w16cex:commentExtensible w16cex:durableId="24451EA2" w16cex:dateUtc="2021-04-15T08:27:00Z"/>
  <w16cex:commentExtensible w16cex:durableId="24451EA1" w16cex:dateUtc="2021-04-15T08:18:00Z"/>
  <w16cex:commentExtensible w16cex:durableId="2422C7B3" w16cex:dateUtc="2021-04-15T13:09:00Z"/>
  <w16cex:commentExtensible w16cex:durableId="2422859C" w16cex:dateUtc="2021-04-15T08:27:00Z"/>
  <w16cex:commentExtensible w16cex:durableId="24228373" w16cex:dateUtc="2021-04-15T08:18:00Z"/>
  <w16cex:commentExtensible w16cex:durableId="2422E89D" w16cex:dateUtc="2021-04-15T15:30:00Z"/>
  <w16cex:commentExtensible w16cex:durableId="244521FD" w16cex:dateUtc="2021-05-11T03:32:00Z"/>
  <w16cex:commentExtensible w16cex:durableId="2422E8CE" w16cex:dateUtc="2021-04-15T15:31:00Z"/>
  <w16cex:commentExtensible w16cex:durableId="2422EE36" w16cex:dateUtc="2021-04-15T15:54:00Z"/>
  <w16cex:commentExtensible w16cex:durableId="2422E8A9" w16cex:dateUtc="2021-04-15T15:30:00Z"/>
  <w16cex:commentExtensible w16cex:durableId="24289347" w16cex:dateUtc="2021-04-19T22:39:00Z"/>
  <w16cex:commentExtensible w16cex:durableId="24249476" w16cex:dateUtc="2021-04-16T21:55:00Z"/>
  <w16cex:commentExtensible w16cex:durableId="242405F0" w16cex:dateUtc="2021-04-16T11:47:00Z"/>
  <w16cex:commentExtensible w16cex:durableId="24452D8A" w16cex:dateUtc="2021-05-11T04:21:00Z"/>
  <w16cex:commentExtensible w16cex:durableId="2426A74A" w16cex:dateUtc="2021-04-15T22:53:00Z"/>
  <w16cex:commentExtensible w16cex:durableId="24452E22" w16cex:dateUtc="2021-05-11T04:24:00Z"/>
  <w16cex:commentExtensible w16cex:durableId="2426AAFD" w16cex:dateUtc="2021-04-18T11:56:00Z"/>
  <w16cex:commentExtensible w16cex:durableId="24452E43" w16cex:dateUtc="2021-05-11T04:24:00Z"/>
  <w16cex:commentExtensible w16cex:durableId="24234337" w16cex:dateUtc="2021-04-15T21:56:00Z"/>
  <w16cex:commentExtensible w16cex:durableId="24273373" w16cex:dateUtc="2021-04-18T21:38:00Z"/>
  <w16cex:commentExtensible w16cex:durableId="2445309D" w16cex:dateUtc="2021-05-11T04:34:00Z"/>
  <w16cex:commentExtensible w16cex:durableId="2426BEB9" w16cex:dateUtc="2021-04-18T13:20:00Z"/>
  <w16cex:commentExtensible w16cex:durableId="242406C5" w16cex:dateUtc="2021-04-16T11:51:00Z"/>
  <w16cex:commentExtensible w16cex:durableId="244531FA" w16cex:dateUtc="2021-05-11T04:40:00Z"/>
  <w16cex:commentExtensible w16cex:durableId="242406F1" w16cex:dateUtc="2021-04-16T11:52:00Z"/>
  <w16cex:commentExtensible w16cex:durableId="2445341A" w16cex:dateUtc="2021-05-11T04:49:00Z"/>
  <w16cex:commentExtensible w16cex:durableId="2426C105" w16cex:dateUtc="2021-04-18T13:30:00Z"/>
  <w16cex:commentExtensible w16cex:durableId="24453475" w16cex:dateUtc="2021-05-11T04:51:00Z"/>
  <w16cex:commentExtensible w16cex:durableId="24293877" w16cex:dateUtc="2021-04-20T10:24:00Z"/>
  <w16cex:commentExtensible w16cex:durableId="2445348D" w16cex:dateUtc="2021-05-11T04:51:00Z"/>
  <w16cex:commentExtensible w16cex:durableId="2421426B" w16cex:dateUtc="2021-04-14T09:28:00Z"/>
  <w16cex:commentExtensible w16cex:durableId="2426C2BB" w16cex:dateUtc="2021-04-18T13:36:00Z"/>
  <w16cex:commentExtensible w16cex:durableId="2426C6F5" w16cex:dateUtc="2021-04-18T13:55:00Z"/>
  <w16cex:commentExtensible w16cex:durableId="2426C9DB" w16cex:dateUtc="2021-04-18T14:08:00Z"/>
  <w16cex:commentExtensible w16cex:durableId="2426C9C0" w16cex:dateUtc="2021-04-18T14:07:00Z"/>
  <w16cex:commentExtensible w16cex:durableId="24293963" w16cex:dateUtc="2021-04-20T10:28:00Z"/>
  <w16cex:commentExtensible w16cex:durableId="24453594" w16cex:dateUtc="2021-05-11T04:55:00Z"/>
  <w16cex:commentExtensible w16cex:durableId="2426CA28" w16cex:dateUtc="2021-04-18T14:09:00Z"/>
  <w16cex:commentExtensible w16cex:durableId="24453740" w16cex:dateUtc="2021-05-11T05:02:00Z"/>
  <w16cex:commentExtensible w16cex:durableId="2426C971" w16cex:dateUtc="2021-04-18T14:06:00Z"/>
  <w16cex:commentExtensible w16cex:durableId="2426CABC" w16cex:dateUtc="2021-04-18T14:11:00Z"/>
  <w16cex:commentExtensible w16cex:durableId="24453B38" w16cex:dateUtc="2021-05-11T05:19:00Z"/>
  <w16cex:commentExtensible w16cex:durableId="2426CCEB" w16cex:dateUtc="2021-04-18T14:21:00Z"/>
  <w16cex:commentExtensible w16cex:durableId="24453B52" w16cex:dateUtc="2021-05-11T05:20:00Z"/>
  <w16cex:commentExtensible w16cex:durableId="24272465" w16cex:dateUtc="2021-04-18T20:34:00Z"/>
  <w16cex:commentExtensible w16cex:durableId="24453B7B" w16cex:dateUtc="2021-05-11T05:20:00Z"/>
  <w16cex:commentExtensible w16cex:durableId="2426CE61" w16cex:dateUtc="2021-04-18T14:27:00Z"/>
  <w16cex:commentExtensible w16cex:durableId="24453B8D" w16cex:dateUtc="2021-05-11T05:21:00Z"/>
  <w16cex:commentExtensible w16cex:durableId="24271901" w16cex:dateUtc="2021-04-18T19:45:00Z"/>
  <w16cex:commentExtensible w16cex:durableId="2427104E" w16cex:dateUtc="2021-04-18T19:08:00Z"/>
  <w16cex:commentExtensible w16cex:durableId="24453C1A" w16cex:dateUtc="2021-05-11T05:23:00Z"/>
  <w16cex:commentExtensible w16cex:durableId="24271217" w16cex:dateUtc="2021-04-18T19:16:00Z"/>
  <w16cex:commentExtensible w16cex:durableId="242716FD" w16cex:dateUtc="2021-04-18T19:37:00Z"/>
  <w16cex:commentExtensible w16cex:durableId="24453C88" w16cex:dateUtc="2021-05-11T05:25:00Z"/>
  <w16cex:commentExtensible w16cex:durableId="242719DF" w16cex:dateUtc="2021-04-18T19:49:00Z"/>
  <w16cex:commentExtensible w16cex:durableId="242718D5" w16cex:dateUtc="2021-04-18T19:45:00Z"/>
  <w16cex:commentExtensible w16cex:durableId="24271C94" w16cex:dateUtc="2021-04-18T20:01:00Z"/>
  <w16cex:commentExtensible w16cex:durableId="24453D20" w16cex:dateUtc="2021-05-11T05:28:00Z"/>
  <w16cex:commentExtensible w16cex:durableId="24288C6A" w16cex:dateUtc="2021-04-19T22:09:00Z"/>
  <w16cex:commentExtensible w16cex:durableId="24453D40" w16cex:dateUtc="2021-05-11T05:28:00Z"/>
  <w16cex:commentExtensible w16cex:durableId="242717E8" w16cex:dateUtc="2021-04-18T19:41:00Z"/>
  <w16cex:commentExtensible w16cex:durableId="24453DBE" w16cex:dateUtc="2021-05-11T05:30:00Z"/>
  <w16cex:commentExtensible w16cex:durableId="2423438B" w16cex:dateUtc="2021-04-15T21:58:00Z"/>
  <w16cex:commentExtensible w16cex:durableId="24453EBF" w16cex:dateUtc="2021-05-11T05:34:00Z"/>
  <w16cex:commentExtensible w16cex:durableId="24453D9C" w16cex:dateUtc="2021-04-15T21:58:00Z"/>
  <w16cex:commentExtensible w16cex:durableId="24271A93" w16cex:dateUtc="2021-04-18T19:52:00Z"/>
  <w16cex:commentExtensible w16cex:durableId="24453F28" w16cex:dateUtc="2021-05-11T05:36:00Z"/>
  <w16cex:commentExtensible w16cex:durableId="24271CBE" w16cex:dateUtc="2021-04-18T20:01:00Z"/>
  <w16cex:commentExtensible w16cex:durableId="24453FA2" w16cex:dateUtc="2021-05-11T05:38:00Z"/>
  <w16cex:commentExtensible w16cex:durableId="24288C6B" w16cex:dateUtc="2021-04-19T22:10:00Z"/>
  <w16cex:commentExtensible w16cex:durableId="24271CE5" w16cex:dateUtc="2021-04-18T20:02:00Z"/>
  <w16cex:commentExtensible w16cex:durableId="24271D4D" w16cex:dateUtc="2021-04-18T20:04:00Z"/>
  <w16cex:commentExtensible w16cex:durableId="24271F53" w16cex:dateUtc="2021-04-18T20:12:00Z"/>
  <w16cex:commentExtensible w16cex:durableId="24454064" w16cex:dateUtc="2021-05-11T05:41:00Z"/>
  <w16cex:commentExtensible w16cex:durableId="24293AEF" w16cex:dateUtc="2021-04-20T10:35:00Z"/>
  <w16cex:commentExtensible w16cex:durableId="24293BC7" w16cex:dateUtc="2021-04-20T10:38:00Z"/>
  <w16cex:commentExtensible w16cex:durableId="24454105" w16cex:dateUtc="2021-05-11T05:44:00Z"/>
  <w16cex:commentExtensible w16cex:durableId="24293BF0" w16cex:dateUtc="2021-04-20T10:39:00Z"/>
  <w16cex:commentExtensible w16cex:durableId="24293BE9" w16cex:dateUtc="2021-04-20T10:39:00Z"/>
  <w16cex:commentExtensible w16cex:durableId="24293CC9" w16cex:dateUtc="2021-04-20T10:43:00Z"/>
  <w16cex:commentExtensible w16cex:durableId="24480B1A" w16cex:dateUtc="2021-05-13T08:31:00Z"/>
  <w16cex:commentExtensible w16cex:durableId="24234450" w16cex:dateUtc="2021-04-15T22:01:00Z"/>
  <w16cex:commentExtensible w16cex:durableId="24272274" w16cex:dateUtc="2021-04-18T20:26:00Z"/>
  <w16cex:commentExtensible w16cex:durableId="244543E2" w16cex:dateUtc="2021-05-11T05:56:00Z"/>
  <w16cex:commentExtensible w16cex:durableId="24293D5B" w16cex:dateUtc="2021-04-20T10:45:00Z"/>
  <w16cex:commentExtensible w16cex:durableId="2427238D" w16cex:dateUtc="2021-04-18T20:30:00Z"/>
  <w16cex:commentExtensible w16cex:durableId="24454407" w16cex:dateUtc="2021-05-11T05:57:00Z"/>
  <w16cex:commentExtensible w16cex:durableId="242724E2" w16cex:dateUtc="2021-04-18T20:36:00Z"/>
  <w16cex:commentExtensible w16cex:durableId="24454423" w16cex:dateUtc="2021-05-11T05:57:00Z"/>
  <w16cex:commentExtensible w16cex:durableId="24273267" w16cex:dateUtc="2021-04-18T21:34:00Z"/>
  <w16cex:commentExtensible w16cex:durableId="24293D92" w16cex:dateUtc="2021-04-20T10:46:00Z"/>
  <w16cex:commentExtensible w16cex:durableId="24480A3C" w16cex:dateUtc="2021-05-13T08:27:00Z"/>
  <w16cex:commentExtensible w16cex:durableId="2427379C" w16cex:dateUtc="2021-04-18T21:56:00Z"/>
  <w16cex:commentExtensible w16cex:durableId="242737F7" w16cex:dateUtc="2021-04-18T21:57:00Z"/>
  <w16cex:commentExtensible w16cex:durableId="24243380" w16cex:dateUtc="2021-04-16T15:02:00Z"/>
  <w16cex:commentExtensible w16cex:durableId="24293E4A" w16cex:dateUtc="2021-04-20T10:49:00Z"/>
  <w16cex:commentExtensible w16cex:durableId="2447823D" w16cex:dateUtc="2021-05-12T22:47:00Z"/>
  <w16cex:commentExtensible w16cex:durableId="24478256" w16cex:dateUtc="2021-05-12T22:47:00Z"/>
  <w16cex:commentExtensible w16cex:durableId="2427395E" w16cex:dateUtc="2021-04-18T22:03:00Z"/>
  <w16cex:commentExtensible w16cex:durableId="24246027" w16cex:dateUtc="2021-04-16T18:12:00Z"/>
  <w16cex:commentExtensible w16cex:durableId="24273C25" w16cex:dateUtc="2021-04-18T22:15:00Z"/>
  <w16cex:commentExtensible w16cex:durableId="24288E52" w16cex:dateUtc="2021-04-19T22:18:00Z"/>
  <w16cex:commentExtensible w16cex:durableId="244785D1" w16cex:dateUtc="2021-05-12T23:02:00Z"/>
  <w16cex:commentExtensible w16cex:durableId="24274035" w16cex:dateUtc="2021-04-18T22:33:00Z"/>
  <w16cex:commentExtensible w16cex:durableId="244786EF" w16cex:dateUtc="2021-05-12T23:07:00Z"/>
  <w16cex:commentExtensible w16cex:durableId="24288E2B" w16cex:dateUtc="2021-04-19T22:18:00Z"/>
  <w16cex:commentExtensible w16cex:durableId="24478719" w16cex:dateUtc="2021-05-12T23:08:00Z"/>
  <w16cex:commentExtensible w16cex:durableId="242942A6" w16cex:dateUtc="2021-04-20T11:08:00Z"/>
  <w16cex:commentExtensible w16cex:durableId="244787B3" w16cex:dateUtc="2021-05-12T23:10:00Z"/>
  <w16cex:commentExtensible w16cex:durableId="2427C893" w16cex:dateUtc="2021-04-19T08:14:00Z"/>
  <w16cex:commentExtensible w16cex:durableId="2427CAC8" w16cex:dateUtc="2021-04-19T08:24:00Z"/>
  <w16cex:commentExtensible w16cex:durableId="244787E3" w16cex:dateUtc="2021-05-12T23:11:00Z"/>
  <w16cex:commentExtensible w16cex:durableId="242069F8" w16cex:dateUtc="2021-04-13T18:05:00Z"/>
  <w16cex:commentExtensible w16cex:durableId="244788B2" w16cex:dateUtc="2021-05-12T23:14:00Z"/>
  <w16cex:commentExtensible w16cex:durableId="2424151E" w16cex:dateUtc="2021-04-16T12:52:00Z"/>
  <w16cex:commentExtensible w16cex:durableId="244788E1" w16cex:dateUtc="2021-05-12T23:15:00Z"/>
  <w16cex:commentExtensible w16cex:durableId="2424725F" w16cex:dateUtc="2021-04-16T19:30:00Z"/>
  <w16cex:commentExtensible w16cex:durableId="2427CD45" w16cex:dateUtc="2021-04-19T08:35:00Z"/>
  <w16cex:commentExtensible w16cex:durableId="2447897B" w16cex:dateUtc="2021-05-12T23:18:00Z"/>
  <w16cex:commentExtensible w16cex:durableId="2427CF13" w16cex:dateUtc="2021-04-19T08:42:00Z"/>
  <w16cex:commentExtensible w16cex:durableId="24478B76" w16cex:dateUtc="2021-05-12T23:26:00Z"/>
  <w16cex:commentExtensible w16cex:durableId="2427D444" w16cex:dateUtc="2021-04-19T09:04:00Z"/>
  <w16cex:commentExtensible w16cex:durableId="24478B8D" w16cex:dateUtc="2021-05-12T23:27:00Z"/>
  <w16cex:commentExtensible w16cex:durableId="24478BF5" w16cex:dateUtc="2021-04-19T08:49:00Z"/>
  <w16cex:commentExtensible w16cex:durableId="24479AF4" w16cex:dateUtc="2021-05-13T00:32:00Z"/>
  <w16cex:commentExtensible w16cex:durableId="24478C08" w16cex:dateUtc="2021-04-19T08:59:00Z"/>
  <w16cex:commentExtensible w16cex:durableId="2447CEE6" w16cex:dateUtc="2021-05-13T04:14:00Z"/>
  <w16cex:commentExtensible w16cex:durableId="2427D0BF" w16cex:dateUtc="2021-04-19T08:49:00Z"/>
  <w16cex:commentExtensible w16cex:durableId="2447CEF4" w16cex:dateUtc="2021-05-13T04:14:00Z"/>
  <w16cex:commentExtensible w16cex:durableId="2427D306" w16cex:dateUtc="2021-04-19T08:59:00Z"/>
  <w16cex:commentExtensible w16cex:durableId="24479B64" w16cex:dateUtc="2021-05-13T00:34:00Z"/>
  <w16cex:commentExtensible w16cex:durableId="2427E40B" w16cex:dateUtc="2021-04-19T10:12:00Z"/>
  <w16cex:commentExtensible w16cex:durableId="24479CF0" w16cex:dateUtc="2021-04-15T07:59:00Z"/>
  <w16cex:commentExtensible w16cex:durableId="24479CEF" w16cex:dateUtc="2021-05-13T00:39:00Z"/>
  <w16cex:commentExtensible w16cex:durableId="2427E01E" w16cex:dateUtc="2021-04-19T09:55:00Z"/>
  <w16cex:commentExtensible w16cex:durableId="24479CBA" w16cex:dateUtc="2021-05-13T00:40:00Z"/>
  <w16cex:commentExtensible w16cex:durableId="24228115" w16cex:dateUtc="2021-04-15T08:08:00Z"/>
  <w16cex:commentExtensible w16cex:durableId="24479C6B" w16cex:dateUtc="2021-05-13T00:39:00Z"/>
  <w16cex:commentExtensible w16cex:durableId="24479CFE" w16cex:dateUtc="2021-04-19T09:55:00Z"/>
  <w16cex:commentExtensible w16cex:durableId="24479CFD" w16cex:dateUtc="2021-05-13T00:40:00Z"/>
  <w16cex:commentExtensible w16cex:durableId="24479D2B" w16cex:dateUtc="2021-04-19T09:56:00Z"/>
  <w16cex:commentExtensible w16cex:durableId="24227EFF" w16cex:dateUtc="2021-04-15T07:59:00Z"/>
  <w16cex:commentExtensible w16cex:durableId="24479C87" w16cex:dateUtc="2021-05-13T00:39:00Z"/>
  <w16cex:commentExtensible w16cex:durableId="2427E041" w16cex:dateUtc="2021-04-19T09:56:00Z"/>
  <w16cex:commentExtensible w16cex:durableId="2447CF31" w16cex:dateUtc="2021-05-13T04:15:00Z"/>
  <w16cex:commentExtensible w16cex:durableId="2427E4DB" w16cex:dateUtc="2021-04-19T10:15:00Z"/>
  <w16cex:commentExtensible w16cex:durableId="2427E6CA" w16cex:dateUtc="2021-04-19T10:23:00Z"/>
  <w16cex:commentExtensible w16cex:durableId="2447CF5F" w16cex:dateUtc="2021-05-13T04:16:00Z"/>
  <w16cex:commentExtensible w16cex:durableId="2427E7BC" w16cex:dateUtc="2021-04-19T10:27:00Z"/>
  <w16cex:commentExtensible w16cex:durableId="2447CFBB" w16cex:dateUtc="2021-05-13T04:18:00Z"/>
  <w16cex:commentExtensible w16cex:durableId="2447CF89" w16cex:dateUtc="2021-04-19T10:27:00Z"/>
  <w16cex:commentExtensible w16cex:durableId="2447CFDA" w16cex:dateUtc="2021-05-13T04:18:00Z"/>
  <w16cex:commentExtensible w16cex:durableId="242351EE" w16cex:dateUtc="2021-04-15T22:59:00Z"/>
  <w16cex:commentExtensible w16cex:durableId="2447D063" w16cex:dateUtc="2021-05-13T04:20:00Z"/>
  <w16cex:commentExtensible w16cex:durableId="2427EACE" w16cex:dateUtc="2021-04-19T10:41:00Z"/>
  <w16cex:commentExtensible w16cex:durableId="2427ED55" w16cex:dateUtc="2021-04-19T10:51:00Z"/>
  <w16cex:commentExtensible w16cex:durableId="2427E891" w16cex:dateUtc="2021-04-19T10:30:00Z"/>
  <w16cex:commentExtensible w16cex:durableId="2447D0E5" w16cex:dateUtc="2021-05-13T04:23:00Z"/>
  <w16cex:commentExtensible w16cex:durableId="24280592" w16cex:dateUtc="2021-04-19T12:35:00Z"/>
  <w16cex:commentExtensible w16cex:durableId="2447D15B" w16cex:dateUtc="2021-04-15T08:26:00Z"/>
  <w16cex:commentExtensible w16cex:durableId="2447D15A" w16cex:dateUtc="2021-04-15T08:26:00Z"/>
  <w16cex:commentExtensible w16cex:durableId="2447D159" w16cex:dateUtc="2021-04-15T08:25:00Z"/>
  <w16cex:commentExtensible w16cex:durableId="24228557" w16cex:dateUtc="2021-04-15T08:26:00Z"/>
  <w16cex:commentExtensible w16cex:durableId="2422854E" w16cex:dateUtc="2021-04-15T08:26:00Z"/>
  <w16cex:commentExtensible w16cex:durableId="2422851C" w16cex:dateUtc="2021-04-15T08:25:00Z"/>
  <w16cex:commentExtensible w16cex:durableId="2447D265" w16cex:dateUtc="2021-05-13T04:29:00Z"/>
  <w16cex:commentExtensible w16cex:durableId="2447D126" w16cex:dateUtc="2021-04-19T12:35:00Z"/>
  <w16cex:commentExtensible w16cex:durableId="2447D27C" w16cex:dateUtc="2021-05-13T04:29:00Z"/>
  <w16cex:commentExtensible w16cex:durableId="242806CF" w16cex:dateUtc="2021-04-19T12:40:00Z"/>
  <w16cex:commentExtensible w16cex:durableId="24280714" w16cex:dateUtc="2021-04-19T12:41:00Z"/>
  <w16cex:commentExtensible w16cex:durableId="2447D28B" w16cex:dateUtc="2021-05-13T04:30:00Z"/>
  <w16cex:commentExtensible w16cex:durableId="242852C8" w16cex:dateUtc="2021-04-19T18:04:00Z"/>
  <w16cex:commentExtensible w16cex:durableId="24248DE9" w16cex:dateUtc="2021-04-16T21:27:00Z"/>
  <w16cex:commentExtensible w16cex:durableId="2447D2A0" w16cex:dateUtc="2021-05-13T04:30:00Z"/>
  <w16cex:commentExtensible w16cex:durableId="2447D38A" w16cex:dateUtc="2021-04-19T13:04:00Z"/>
  <w16cex:commentExtensible w16cex:durableId="2447D389" w16cex:dateUtc="2021-05-13T04:33:00Z"/>
  <w16cex:commentExtensible w16cex:durableId="24244EED" w16cex:dateUtc="2021-04-16T16:59:00Z"/>
  <w16cex:commentExtensible w16cex:durableId="2447D2D3" w16cex:dateUtc="2021-05-13T04:31:00Z"/>
  <w16cex:commentExtensible w16cex:durableId="24246BEF" w16cex:dateUtc="2021-04-16T19:02:00Z"/>
  <w16cex:commentExtensible w16cex:durableId="2447D2EA" w16cex:dateUtc="2021-05-13T04:31:00Z"/>
  <w16cex:commentExtensible w16cex:durableId="24280C85" w16cex:dateUtc="2021-04-19T13:04:00Z"/>
  <w16cex:commentExtensible w16cex:durableId="2447D371" w16cex:dateUtc="2021-05-13T04:33:00Z"/>
  <w16cex:commentExtensible w16cex:durableId="24281B49" w16cex:dateUtc="2021-04-19T14:07:00Z"/>
  <w16cex:commentExtensible w16cex:durableId="2447D497" w16cex:dateUtc="2021-05-13T04:38:00Z"/>
  <w16cex:commentExtensible w16cex:durableId="242079A3" w16cex:dateUtc="2021-04-13T19:12:00Z"/>
  <w16cex:commentExtensible w16cex:durableId="2447D4D8" w16cex:dateUtc="2021-05-13T04:39:00Z"/>
  <w16cex:commentExtensible w16cex:durableId="24281C85" w16cex:dateUtc="2021-04-19T14:13:00Z"/>
  <w16cex:commentExtensible w16cex:durableId="24281D83" w16cex:dateUtc="2021-04-19T14:17:00Z"/>
  <w16cex:commentExtensible w16cex:durableId="2447D553" w16cex:dateUtc="2021-05-13T04:41:00Z"/>
  <w16cex:commentExtensible w16cex:durableId="24246BDE" w16cex:dateUtc="2021-04-16T19:02:00Z"/>
  <w16cex:commentExtensible w16cex:durableId="2447D56E" w16cex:dateUtc="2021-05-13T04:42:00Z"/>
  <w16cex:commentExtensible w16cex:durableId="24281F72" w16cex:dateUtc="2021-04-19T14:25:00Z"/>
  <w16cex:commentExtensible w16cex:durableId="24281F4F" w16cex:dateUtc="2021-04-19T14:25:00Z"/>
  <w16cex:commentExtensible w16cex:durableId="24282C22" w16cex:dateUtc="2021-04-19T15:19:00Z"/>
  <w16cex:commentExtensible w16cex:durableId="2447D594" w16cex:dateUtc="2021-05-13T04:43:00Z"/>
  <w16cex:commentExtensible w16cex:durableId="24282C7F" w16cex:dateUtc="2021-04-19T15:21:00Z"/>
  <w16cex:commentExtensible w16cex:durableId="2447D5C8" w16cex:dateUtc="2021-05-13T04:43:00Z"/>
  <w16cex:commentExtensible w16cex:durableId="24246BB2" w16cex:dateUtc="2021-04-16T19:01:00Z"/>
  <w16cex:commentExtensible w16cex:durableId="2447D5D8" w16cex:dateUtc="2021-05-13T04:44:00Z"/>
  <w16cex:commentExtensible w16cex:durableId="242460BE" w16cex:dateUtc="2021-04-16T18:15:00Z"/>
  <w16cex:commentExtensible w16cex:durableId="24246107" w16cex:dateUtc="2021-04-16T18:16:00Z"/>
  <w16cex:commentExtensible w16cex:durableId="24282F27" w16cex:dateUtc="2021-04-19T15:32:00Z"/>
  <w16cex:commentExtensible w16cex:durableId="2447D5DF" w16cex:dateUtc="2021-05-13T04:44:00Z"/>
  <w16cex:commentExtensible w16cex:durableId="2447D609" w16cex:dateUtc="2021-04-19T15:32:00Z"/>
  <w16cex:commentExtensible w16cex:durableId="2447D608" w16cex:dateUtc="2021-05-13T04:44:00Z"/>
  <w16cex:commentExtensible w16cex:durableId="24246116" w16cex:dateUtc="2021-04-16T18:16:00Z"/>
  <w16cex:commentExtensible w16cex:durableId="24242D13" w16cex:dateUtc="2021-04-16T14:34:00Z"/>
  <w16cex:commentExtensible w16cex:durableId="2447D666" w16cex:dateUtc="2021-05-13T04:46:00Z"/>
  <w16cex:commentExtensible w16cex:durableId="242416C5" w16cex:dateUtc="2021-04-16T12:59:00Z"/>
  <w16cex:commentExtensible w16cex:durableId="2447D67B" w16cex:dateUtc="2021-05-13T04:46:00Z"/>
  <w16cex:commentExtensible w16cex:durableId="242430DC" w16cex:dateUtc="2021-04-16T14:50:00Z"/>
  <w16cex:commentExtensible w16cex:durableId="2447E0FF" w16cex:dateUtc="2021-05-13T05:31:00Z"/>
  <w16cex:commentExtensible w16cex:durableId="242947B3" w16cex:dateUtc="2021-04-20T11:29:00Z"/>
  <w16cex:commentExtensible w16cex:durableId="242434E9" w16cex:dateUtc="2021-04-16T15:08:00Z"/>
  <w16cex:commentExtensible w16cex:durableId="2447E132" w16cex:dateUtc="2021-05-13T05:32:00Z"/>
  <w16cex:commentExtensible w16cex:durableId="242435EB" w16cex:dateUtc="2021-04-16T15:12:00Z"/>
  <w16cex:commentExtensible w16cex:durableId="2447E144" w16cex:dateUtc="2021-05-13T05:32:00Z"/>
  <w16cex:commentExtensible w16cex:durableId="24293C53" w16cex:dateUtc="2021-04-20T10:41:00Z"/>
  <w16cex:commentExtensible w16cex:durableId="24241701" w16cex:dateUtc="2021-04-16T13:00:00Z"/>
  <w16cex:commentExtensible w16cex:durableId="2447E171" w16cex:dateUtc="2021-05-13T05:33:00Z"/>
  <w16cex:commentExtensible w16cex:durableId="24208164" w16cex:dateUtc="2021-04-13T08:45:00Z"/>
  <w16cex:commentExtensible w16cex:durableId="242422DC" w16cex:dateUtc="2021-04-16T13:51:00Z"/>
  <w16cex:commentExtensible w16cex:durableId="24288EAB" w16cex:dateUtc="2021-04-19T22:20:00Z"/>
  <w16cex:commentExtensible w16cex:durableId="24288ED6" w16cex:dateUtc="2021-04-19T22:20:00Z"/>
  <w16cex:commentExtensible w16cex:durableId="24288EF0" w16cex:dateUtc="2021-04-19T22:21:00Z"/>
  <w16cex:commentExtensible w16cex:durableId="2447E2B9" w16cex:dateUtc="2021-05-13T05:39:00Z"/>
  <w16cex:commentExtensible w16cex:durableId="242892D2" w16cex:dateUtc="2021-04-19T22:37:00Z"/>
  <w16cex:commentExtensible w16cex:durableId="24241B6A" w16cex:dateUtc="2021-04-16T13:19:00Z"/>
  <w16cex:commentExtensible w16cex:durableId="24480842" w16cex:dateUtc="2021-05-13T08:17:00Z"/>
  <w16cex:commentExtensible w16cex:durableId="242420CF" w16cex:dateUtc="2021-04-16T13:42:00Z"/>
  <w16cex:commentExtensible w16cex:durableId="24241FEF" w16cex:dateUtc="2021-04-16T13:38:00Z"/>
  <w16cex:commentExtensible w16cex:durableId="24242108" w16cex:dateUtc="2021-04-16T13:43:00Z"/>
  <w16cex:commentExtensible w16cex:durableId="2422F7F8" w16cex:dateUtc="2021-04-15T16:35:00Z"/>
  <w16cex:commentExtensible w16cex:durableId="242948A6" w16cex:dateUtc="2021-04-20T11:33:00Z"/>
  <w16cex:commentExtensible w16cex:durableId="2422FBD8" w16cex:dateUtc="2021-04-15T16:52:00Z"/>
  <w16cex:commentExtensible w16cex:durableId="242400B9" w16cex:dateUtc="2021-04-16T11:24:00Z"/>
  <w16cex:commentExtensible w16cex:durableId="242400E9" w16cex:dateUtc="2021-04-16T11:26:00Z"/>
  <w16cex:commentExtensible w16cex:durableId="24231B2B" w16cex:dateUtc="2021-04-15T19:06:00Z"/>
  <w16cex:commentExtensible w16cex:durableId="2423057E" w16cex:dateUtc="2021-04-15T17:33:00Z"/>
  <w16cex:commentExtensible w16cex:durableId="24241782" w16cex:dateUtc="2021-04-16T13:02:00Z"/>
  <w16cex:commentExtensible w16cex:durableId="24240157" w16cex:dateUtc="2021-04-16T11:28:00Z"/>
  <w16cex:commentExtensible w16cex:durableId="24240190" w16cex:dateUtc="2021-04-16T11:29:00Z"/>
  <w16cex:commentExtensible w16cex:durableId="242401BF" w16cex:dateUtc="2021-04-16T11:29:00Z"/>
  <w16cex:commentExtensible w16cex:durableId="242342C1" w16cex:dateUtc="2021-04-15T21:54:00Z"/>
  <w16cex:commentExtensible w16cex:durableId="24480886" w16cex:dateUtc="2021-05-13T08:20:00Z"/>
  <w16cex:commentExtensible w16cex:durableId="24240204" w16cex:dateUtc="2021-04-16T11:31:00Z"/>
  <w16cex:commentExtensible w16cex:durableId="242353A9" w16cex:dateUtc="2021-04-15T23:07:00Z"/>
  <w16cex:commentExtensible w16cex:durableId="24480940" w16cex:dateUtc="2021-05-13T08:23:00Z"/>
</w16cex:commentsExtensible>
</file>

<file path=word/commentsIds.xml><?xml version="1.0" encoding="utf-8"?>
<w16cid:commentsIds xmlns:w16cid="http://schemas.microsoft.com/office/word/2016/wordml/ci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BFD397" w16cid:durableId="24202F95"/>
  <w16cid:commentId w16cid:paraId="7968A7BA" w16cid:durableId="24206447"/>
  <w16cid:commentId w16cid:paraId="6D53DD1D" w16cid:durableId="24206439"/>
  <w16cid:commentId w16cid:paraId="483B1154" w16cid:durableId="2420659E"/>
  <w16cid:commentId w16cid:paraId="7DDD1B5D" w16cid:durableId="24241F4E"/>
  <w16cid:commentId w16cid:paraId="61074C3E" w16cid:durableId="24368F3C"/>
  <w16cid:commentId w16cid:paraId="7361F76D" w16cid:durableId="24368FBC"/>
  <w16cid:commentId w16cid:paraId="7A0CC0CD" w16cid:durableId="2423FFA2"/>
  <w16cid:commentId w16cid:paraId="6A07C88E" w16cid:durableId="24285414"/>
  <w16cid:commentId w16cid:paraId="3AB91680" w16cid:durableId="24369674"/>
  <w16cid:commentId w16cid:paraId="03A4623B" w16cid:durableId="242680A5"/>
  <w16cid:commentId w16cid:paraId="72DC4B17" w16cid:durableId="2436981D"/>
  <w16cid:commentId w16cid:paraId="09F814C8" w16cid:durableId="242850D6"/>
  <w16cid:commentId w16cid:paraId="38B65740" w16cid:durableId="243699D5"/>
  <w16cid:commentId w16cid:paraId="2DB43209" w16cid:durableId="2422FC41"/>
  <w16cid:commentId w16cid:paraId="1AA8519E" w16cid:durableId="24268315"/>
  <w16cid:commentId w16cid:paraId="5FBBD9EA" w16cid:durableId="24369B88"/>
  <w16cid:commentId w16cid:paraId="383974DF" w16cid:durableId="24268854"/>
  <w16cid:commentId w16cid:paraId="07BA012A" w16cid:durableId="24369C8F"/>
  <w16cid:commentId w16cid:paraId="74AD8939" w16cid:durableId="24268867"/>
  <w16cid:commentId w16cid:paraId="59B1F7CF" w16cid:durableId="24369CA5"/>
  <w16cid:commentId w16cid:paraId="1FF5BDBA" w16cid:durableId="2426895B"/>
  <w16cid:commentId w16cid:paraId="144260D2" w16cid:durableId="2426C922"/>
  <w16cid:commentId w16cid:paraId="05E5065E" w16cid:durableId="24293509"/>
  <w16cid:commentId w16cid:paraId="13D0C3F9" w16cid:durableId="24269A37"/>
  <w16cid:commentId w16cid:paraId="5164F18E" w16cid:durableId="24268D36"/>
  <w16cid:commentId w16cid:paraId="6FAEA82B" w16cid:durableId="242692F9"/>
  <w16cid:commentId w16cid:paraId="2C9D6311" w16cid:durableId="2426929B"/>
  <w16cid:commentId w16cid:paraId="1D493B4E" w16cid:durableId="24369E65"/>
  <w16cid:commentId w16cid:paraId="70A3311D" w16cid:durableId="24269782"/>
  <w16cid:commentId w16cid:paraId="19EE5EB8" w16cid:durableId="24369F43"/>
  <w16cid:commentId w16cid:paraId="15EA2A52" w16cid:durableId="24269598"/>
  <w16cid:commentId w16cid:paraId="77FC5E00" w16cid:durableId="2436A267"/>
  <w16cid:commentId w16cid:paraId="5DFC7FD3" w16cid:durableId="242937A3"/>
  <w16cid:commentId w16cid:paraId="35414A8F" w16cid:durableId="24228DFF"/>
  <w16cid:commentId w16cid:paraId="08FC42E7" w16cid:durableId="2436A68F"/>
  <w16cid:commentId w16cid:paraId="252C6A6A" w16cid:durableId="24293B75"/>
  <w16cid:commentId w16cid:paraId="2C885E55" w16cid:durableId="2436A750"/>
  <w16cid:commentId w16cid:paraId="5FA69A63" w16cid:durableId="24228EAA"/>
  <w16cid:commentId w16cid:paraId="46ACAD11" w16cid:durableId="2436AA42"/>
  <w16cid:commentId w16cid:paraId="34BA2440" w16cid:durableId="24228D5F"/>
  <w16cid:commentId w16cid:paraId="21DDE272" w16cid:durableId="2436AD4A"/>
  <w16cid:commentId w16cid:paraId="33410A50" w16cid:durableId="2422878D"/>
  <w16cid:commentId w16cid:paraId="3DC66AB8" w16cid:durableId="2436AD94"/>
  <w16cid:commentId w16cid:paraId="30050D18" w16cid:durableId="2429374C"/>
  <w16cid:commentId w16cid:paraId="7B0281F8" w16cid:durableId="2436AFD0"/>
  <w16cid:commentId w16cid:paraId="555A617C" w16cid:durableId="2422BF86"/>
  <w16cid:commentId w16cid:paraId="324D81A7" w16cid:durableId="2436B260"/>
  <w16cid:commentId w16cid:paraId="340B8417" w16cid:durableId="2422CB3D"/>
  <w16cid:commentId w16cid:paraId="1558F765" w16cid:durableId="24451777"/>
  <w16cid:commentId w16cid:paraId="6642AA4C" w16cid:durableId="2422C1DA"/>
  <w16cid:commentId w16cid:paraId="199DAE3F" w16cid:durableId="24451B45"/>
  <w16cid:commentId w16cid:paraId="05D30199" w16cid:durableId="24269951"/>
  <w16cid:commentId w16cid:paraId="2410AB50" w16cid:durableId="24451E49"/>
  <w16cid:commentId w16cid:paraId="3F3588AB" w16cid:durableId="24451EA2"/>
  <w16cid:commentId w16cid:paraId="03C8CB30" w16cid:durableId="24451EA1"/>
  <w16cid:commentId w16cid:paraId="140A79EF" w16cid:durableId="2422C7B3"/>
  <w16cid:commentId w16cid:paraId="230CB69C" w16cid:durableId="2422859C"/>
  <w16cid:commentId w16cid:paraId="217BC07A" w16cid:durableId="24228373"/>
  <w16cid:commentId w16cid:paraId="508853CC" w16cid:durableId="2422E89D"/>
  <w16cid:commentId w16cid:paraId="23774D5F" w16cid:durableId="244521FD"/>
  <w16cid:commentId w16cid:paraId="3F1ABE71" w16cid:durableId="2422E8CE"/>
  <w16cid:commentId w16cid:paraId="3D2A2DF0" w16cid:durableId="2422EE36"/>
  <w16cid:commentId w16cid:paraId="34836F28" w16cid:durableId="2422E8A9"/>
  <w16cid:commentId w16cid:paraId="394CDA82" w16cid:durableId="24289347"/>
  <w16cid:commentId w16cid:paraId="006FFD87" w16cid:durableId="24249476"/>
  <w16cid:commentId w16cid:paraId="56FA8FBD" w16cid:durableId="242405F0"/>
  <w16cid:commentId w16cid:paraId="57DFFD4A" w16cid:durableId="24452D8A"/>
  <w16cid:commentId w16cid:paraId="552CE59B" w16cid:durableId="2426A74A"/>
  <w16cid:commentId w16cid:paraId="61DA0A33" w16cid:durableId="24452E22"/>
  <w16cid:commentId w16cid:paraId="12B44D3E" w16cid:durableId="2426AAFD"/>
  <w16cid:commentId w16cid:paraId="1CB9152D" w16cid:durableId="24452E43"/>
  <w16cid:commentId w16cid:paraId="66BF4218" w16cid:durableId="24234337"/>
  <w16cid:commentId w16cid:paraId="47BD5F0F" w16cid:durableId="24273373"/>
  <w16cid:commentId w16cid:paraId="61A2DEA9" w16cid:durableId="2445309D"/>
  <w16cid:commentId w16cid:paraId="6FF79A07" w16cid:durableId="2426BEB9"/>
  <w16cid:commentId w16cid:paraId="64D066FD" w16cid:durableId="242406C5"/>
  <w16cid:commentId w16cid:paraId="12339F74" w16cid:durableId="244531FA"/>
  <w16cid:commentId w16cid:paraId="4B5DC6B9" w16cid:durableId="242406F1"/>
  <w16cid:commentId w16cid:paraId="0B0A11F3" w16cid:durableId="2445341A"/>
  <w16cid:commentId w16cid:paraId="4CF3EB1D" w16cid:durableId="2426C105"/>
  <w16cid:commentId w16cid:paraId="7B909FA1" w16cid:durableId="24453475"/>
  <w16cid:commentId w16cid:paraId="0B2EA49F" w16cid:durableId="24293877"/>
  <w16cid:commentId w16cid:paraId="7A54696F" w16cid:durableId="2445348D"/>
  <w16cid:commentId w16cid:paraId="0B8D8658" w16cid:durableId="2421426B"/>
  <w16cid:commentId w16cid:paraId="62D0641F" w16cid:durableId="2426C2BB"/>
  <w16cid:commentId w16cid:paraId="09BB75CD" w16cid:durableId="2426C6F5"/>
  <w16cid:commentId w16cid:paraId="237D7793" w16cid:durableId="2426C9DB"/>
  <w16cid:commentId w16cid:paraId="47E3B72E" w16cid:durableId="2426C9C0"/>
  <w16cid:commentId w16cid:paraId="61EF89D1" w16cid:durableId="24293963"/>
  <w16cid:commentId w16cid:paraId="4E0D288E" w16cid:durableId="24453594"/>
  <w16cid:commentId w16cid:paraId="594BA0BC" w16cid:durableId="2426CA28"/>
  <w16cid:commentId w16cid:paraId="16D893AC" w16cid:durableId="24453740"/>
  <w16cid:commentId w16cid:paraId="59FB9F46" w16cid:durableId="2426C971"/>
  <w16cid:commentId w16cid:paraId="5011FBF5" w16cid:durableId="2426CABC"/>
  <w16cid:commentId w16cid:paraId="0E5A31E5" w16cid:durableId="24453B38"/>
  <w16cid:commentId w16cid:paraId="095916BD" w16cid:durableId="2426CCEB"/>
  <w16cid:commentId w16cid:paraId="45314BA1" w16cid:durableId="24453B52"/>
  <w16cid:commentId w16cid:paraId="4331F700" w16cid:durableId="24272465"/>
  <w16cid:commentId w16cid:paraId="06E7537A" w16cid:durableId="24453B7B"/>
  <w16cid:commentId w16cid:paraId="2C4ADB61" w16cid:durableId="2426CE61"/>
  <w16cid:commentId w16cid:paraId="432453FC" w16cid:durableId="24453B8D"/>
  <w16cid:commentId w16cid:paraId="0721508F" w16cid:durableId="24271901"/>
  <w16cid:commentId w16cid:paraId="5B11E5AA" w16cid:durableId="2427104E"/>
  <w16cid:commentId w16cid:paraId="022104FE" w16cid:durableId="24453C1A"/>
  <w16cid:commentId w16cid:paraId="4B2BCB20" w16cid:durableId="24271217"/>
  <w16cid:commentId w16cid:paraId="7311B826" w16cid:durableId="242716FD"/>
  <w16cid:commentId w16cid:paraId="54D224F0" w16cid:durableId="24453C88"/>
  <w16cid:commentId w16cid:paraId="5BD9391B" w16cid:durableId="242719DF"/>
  <w16cid:commentId w16cid:paraId="58C89B9E" w16cid:durableId="242718D5"/>
  <w16cid:commentId w16cid:paraId="368185E9" w16cid:durableId="24271C94"/>
  <w16cid:commentId w16cid:paraId="3FB04DFD" w16cid:durableId="24453D20"/>
  <w16cid:commentId w16cid:paraId="0D330EED" w16cid:durableId="24288C6A"/>
  <w16cid:commentId w16cid:paraId="014D068A" w16cid:durableId="24453D40"/>
  <w16cid:commentId w16cid:paraId="4C7415A3" w16cid:durableId="242717E8"/>
  <w16cid:commentId w16cid:paraId="2DCED31A" w16cid:durableId="24453DBE"/>
  <w16cid:commentId w16cid:paraId="33848119" w16cid:durableId="2423438B"/>
  <w16cid:commentId w16cid:paraId="0C9440B3" w16cid:durableId="24453EBF"/>
  <w16cid:commentId w16cid:paraId="79B4B643" w16cid:durableId="24453D9C"/>
  <w16cid:commentId w16cid:paraId="4C5B889A" w16cid:durableId="24271A93"/>
  <w16cid:commentId w16cid:paraId="7A1FAE91" w16cid:durableId="24453F28"/>
  <w16cid:commentId w16cid:paraId="289414CA" w16cid:durableId="24271CBE"/>
  <w16cid:commentId w16cid:paraId="7978B7BF" w16cid:durableId="24453FA2"/>
  <w16cid:commentId w16cid:paraId="3BA59BD2" w16cid:durableId="24288C6B"/>
  <w16cid:commentId w16cid:paraId="63320476" w16cid:durableId="24271CE5"/>
  <w16cid:commentId w16cid:paraId="2133DDE7" w16cid:durableId="24271D4D"/>
  <w16cid:commentId w16cid:paraId="50A2E3AC" w16cid:durableId="24271F53"/>
  <w16cid:commentId w16cid:paraId="0DA470A0" w16cid:durableId="24454064"/>
  <w16cid:commentId w16cid:paraId="2FCB466A" w16cid:durableId="24293AEF"/>
  <w16cid:commentId w16cid:paraId="07261E73" w16cid:durableId="24293BC7"/>
  <w16cid:commentId w16cid:paraId="37D07475" w16cid:durableId="24454105"/>
  <w16cid:commentId w16cid:paraId="60AB9BFE" w16cid:durableId="24293BF0"/>
  <w16cid:commentId w16cid:paraId="005C94AF" w16cid:durableId="24293BE9"/>
  <w16cid:commentId w16cid:paraId="3FB47F68" w16cid:durableId="24293CC9"/>
  <w16cid:commentId w16cid:paraId="606A977E" w16cid:durableId="24480B1A"/>
  <w16cid:commentId w16cid:paraId="6C2895CD" w16cid:durableId="24234450"/>
  <w16cid:commentId w16cid:paraId="32B07DD1" w16cid:durableId="24272274"/>
  <w16cid:commentId w16cid:paraId="05D5378D" w16cid:durableId="244543E2"/>
  <w16cid:commentId w16cid:paraId="7F1A1A4E" w16cid:durableId="24293D5B"/>
  <w16cid:commentId w16cid:paraId="31980A77" w16cid:durableId="2427238D"/>
  <w16cid:commentId w16cid:paraId="29650D3C" w16cid:durableId="24454407"/>
  <w16cid:commentId w16cid:paraId="016AAEA2" w16cid:durableId="242724E2"/>
  <w16cid:commentId w16cid:paraId="776A50C5" w16cid:durableId="24454423"/>
  <w16cid:commentId w16cid:paraId="63C67157" w16cid:durableId="24273267"/>
  <w16cid:commentId w16cid:paraId="13D3DA64" w16cid:durableId="24293D92"/>
  <w16cid:commentId w16cid:paraId="12276179" w16cid:durableId="24480A3C"/>
  <w16cid:commentId w16cid:paraId="19DAC40B" w16cid:durableId="2427379C"/>
  <w16cid:commentId w16cid:paraId="2B864C93" w16cid:durableId="242737F7"/>
  <w16cid:commentId w16cid:paraId="3BB910DA" w16cid:durableId="24243380"/>
  <w16cid:commentId w16cid:paraId="1B44A338" w16cid:durableId="24293E4A"/>
  <w16cid:commentId w16cid:paraId="02BE8DC4" w16cid:durableId="2447823D"/>
  <w16cid:commentId w16cid:paraId="79C1F1A5" w16cid:durableId="24478256"/>
  <w16cid:commentId w16cid:paraId="36334C52" w16cid:durableId="2427395E"/>
  <w16cid:commentId w16cid:paraId="15F698A0" w16cid:durableId="24246027"/>
  <w16cid:commentId w16cid:paraId="245922AF" w16cid:durableId="24273C25"/>
  <w16cid:commentId w16cid:paraId="1C081F5A" w16cid:durableId="24288E52"/>
  <w16cid:commentId w16cid:paraId="2094FFD3" w16cid:durableId="244785D1"/>
  <w16cid:commentId w16cid:paraId="3543DE69" w16cid:durableId="24274035"/>
  <w16cid:commentId w16cid:paraId="174FD4BB" w16cid:durableId="244786EF"/>
  <w16cid:commentId w16cid:paraId="1A64C95F" w16cid:durableId="24288E2B"/>
  <w16cid:commentId w16cid:paraId="3351DE73" w16cid:durableId="24478719"/>
  <w16cid:commentId w16cid:paraId="7F4C8D6D" w16cid:durableId="242942A6"/>
  <w16cid:commentId w16cid:paraId="451CC3E5" w16cid:durableId="244787B3"/>
  <w16cid:commentId w16cid:paraId="23B715E6" w16cid:durableId="2427C893"/>
  <w16cid:commentId w16cid:paraId="3D6EA25C" w16cid:durableId="2427CAC8"/>
  <w16cid:commentId w16cid:paraId="46F1D440" w16cid:durableId="244787E3"/>
  <w16cid:commentId w16cid:paraId="51D24E2E" w16cid:durableId="242069F8"/>
  <w16cid:commentId w16cid:paraId="67782A34" w16cid:durableId="244788B2"/>
  <w16cid:commentId w16cid:paraId="24C7F82F" w16cid:durableId="2424151E"/>
  <w16cid:commentId w16cid:paraId="065A2558" w16cid:durableId="244788E1"/>
  <w16cid:commentId w16cid:paraId="52EDA421" w16cid:durableId="2424725F"/>
  <w16cid:commentId w16cid:paraId="13AD9800" w16cid:durableId="2427CD45"/>
  <w16cid:commentId w16cid:paraId="232CD15E" w16cid:durableId="2447897B"/>
  <w16cid:commentId w16cid:paraId="232D440A" w16cid:durableId="2427CF13"/>
  <w16cid:commentId w16cid:paraId="2FFC84CB" w16cid:durableId="24478B76"/>
  <w16cid:commentId w16cid:paraId="7FB73FD7" w16cid:durableId="2427D444"/>
  <w16cid:commentId w16cid:paraId="1792E75A" w16cid:durableId="24478B8D"/>
  <w16cid:commentId w16cid:paraId="386055B1" w16cid:durableId="24478BF5"/>
  <w16cid:commentId w16cid:paraId="529615F5" w16cid:durableId="24479AF4"/>
  <w16cid:commentId w16cid:paraId="153CCA38" w16cid:durableId="24478C08"/>
  <w16cid:commentId w16cid:paraId="424B4F83" w16cid:durableId="2447CEE6"/>
  <w16cid:commentId w16cid:paraId="0035A64E" w16cid:durableId="2427D0BF"/>
  <w16cid:commentId w16cid:paraId="0AE300A8" w16cid:durableId="2447CEF4"/>
  <w16cid:commentId w16cid:paraId="7C6F0FED" w16cid:durableId="2427D306"/>
  <w16cid:commentId w16cid:paraId="7639FE05" w16cid:durableId="24479B64"/>
  <w16cid:commentId w16cid:paraId="55EBFBCD" w16cid:durableId="2427E40B"/>
  <w16cid:commentId w16cid:paraId="5EA35CD8" w16cid:durableId="24479CF0"/>
  <w16cid:commentId w16cid:paraId="3C2DB1F2" w16cid:durableId="24479CEF"/>
  <w16cid:commentId w16cid:paraId="3FDA946E" w16cid:durableId="2427E01E"/>
  <w16cid:commentId w16cid:paraId="27AE9966" w16cid:durableId="24479CBA"/>
  <w16cid:commentId w16cid:paraId="620FFC5E" w16cid:durableId="24228115"/>
  <w16cid:commentId w16cid:paraId="1FA6C7CA" w16cid:durableId="24479C6B"/>
  <w16cid:commentId w16cid:paraId="6E78D5FF" w16cid:durableId="24479CFE"/>
  <w16cid:commentId w16cid:paraId="2CB684A9" w16cid:durableId="24479CFD"/>
  <w16cid:commentId w16cid:paraId="3676B041" w16cid:durableId="24479D2B"/>
  <w16cid:commentId w16cid:paraId="6C303056" w16cid:durableId="24227EFF"/>
  <w16cid:commentId w16cid:paraId="1354D03B" w16cid:durableId="24479C87"/>
  <w16cid:commentId w16cid:paraId="651DB8F6" w16cid:durableId="2427E041"/>
  <w16cid:commentId w16cid:paraId="36B8F743" w16cid:durableId="2447CF31"/>
  <w16cid:commentId w16cid:paraId="1B716B42" w16cid:durableId="2427E4DB"/>
  <w16cid:commentId w16cid:paraId="748487E4" w16cid:durableId="2427E6CA"/>
  <w16cid:commentId w16cid:paraId="227ADED3" w16cid:durableId="2447CF5F"/>
  <w16cid:commentId w16cid:paraId="39ACA155" w16cid:durableId="2427E7BC"/>
  <w16cid:commentId w16cid:paraId="087BDFE9" w16cid:durableId="2447CFBB"/>
  <w16cid:commentId w16cid:paraId="13D60FC8" w16cid:durableId="2447CF89"/>
  <w16cid:commentId w16cid:paraId="4448A184" w16cid:durableId="2447CFDA"/>
  <w16cid:commentId w16cid:paraId="4CF9F0F0" w16cid:durableId="242351EE"/>
  <w16cid:commentId w16cid:paraId="56FC3BFD" w16cid:durableId="2447D063"/>
  <w16cid:commentId w16cid:paraId="7B2DF9DB" w16cid:durableId="2427EACE"/>
  <w16cid:commentId w16cid:paraId="5C6A00DB" w16cid:durableId="2427ED55"/>
  <w16cid:commentId w16cid:paraId="1FE608F9" w16cid:durableId="2427E891"/>
  <w16cid:commentId w16cid:paraId="7032631B" w16cid:durableId="2447D0E5"/>
  <w16cid:commentId w16cid:paraId="05D195F6" w16cid:durableId="24280592"/>
  <w16cid:commentId w16cid:paraId="7F87C47D" w16cid:durableId="2447D15B"/>
  <w16cid:commentId w16cid:paraId="1689E619" w16cid:durableId="2447D15A"/>
  <w16cid:commentId w16cid:paraId="434D1C22" w16cid:durableId="2447D159"/>
  <w16cid:commentId w16cid:paraId="7E9712B7" w16cid:durableId="24228557"/>
  <w16cid:commentId w16cid:paraId="41166892" w16cid:durableId="2422854E"/>
  <w16cid:commentId w16cid:paraId="1FFBA71E" w16cid:durableId="2422851C"/>
  <w16cid:commentId w16cid:paraId="30A01795" w16cid:durableId="2447D265"/>
  <w16cid:commentId w16cid:paraId="48188B9B" w16cid:durableId="2447D126"/>
  <w16cid:commentId w16cid:paraId="15F4408E" w16cid:durableId="2447D27C"/>
  <w16cid:commentId w16cid:paraId="3010CE21" w16cid:durableId="242806CF"/>
  <w16cid:commentId w16cid:paraId="1641600A" w16cid:durableId="24280714"/>
  <w16cid:commentId w16cid:paraId="71B3ABBC" w16cid:durableId="2447D28B"/>
  <w16cid:commentId w16cid:paraId="4FB8B117" w16cid:durableId="242852C8"/>
  <w16cid:commentId w16cid:paraId="2842CB64" w16cid:durableId="24248DE9"/>
  <w16cid:commentId w16cid:paraId="598944A1" w16cid:durableId="2447D2A0"/>
  <w16cid:commentId w16cid:paraId="00F2DDA3" w16cid:durableId="2447D38A"/>
  <w16cid:commentId w16cid:paraId="002D62CD" w16cid:durableId="2447D389"/>
  <w16cid:commentId w16cid:paraId="5336F37D" w16cid:durableId="24244EED"/>
  <w16cid:commentId w16cid:paraId="2E9D352C" w16cid:durableId="2447D2D3"/>
  <w16cid:commentId w16cid:paraId="10111FE1" w16cid:durableId="24246BEF"/>
  <w16cid:commentId w16cid:paraId="7D77737F" w16cid:durableId="2447D2EA"/>
  <w16cid:commentId w16cid:paraId="621F10D3" w16cid:durableId="24280C85"/>
  <w16cid:commentId w16cid:paraId="30216F0F" w16cid:durableId="2447D371"/>
  <w16cid:commentId w16cid:paraId="0FE1AFAA" w16cid:durableId="24281B49"/>
  <w16cid:commentId w16cid:paraId="637EA61A" w16cid:durableId="2447D497"/>
  <w16cid:commentId w16cid:paraId="4300566F" w16cid:durableId="242079A3"/>
  <w16cid:commentId w16cid:paraId="5D7B932F" w16cid:durableId="2447D4D8"/>
  <w16cid:commentId w16cid:paraId="4555843C" w16cid:durableId="24281C85"/>
  <w16cid:commentId w16cid:paraId="5F596426" w16cid:durableId="24281D83"/>
  <w16cid:commentId w16cid:paraId="004A7DF9" w16cid:durableId="2447D553"/>
  <w16cid:commentId w16cid:paraId="6ABDB540" w16cid:durableId="24246BDE"/>
  <w16cid:commentId w16cid:paraId="5197C788" w16cid:durableId="2447D56E"/>
  <w16cid:commentId w16cid:paraId="3BA3F295" w16cid:durableId="24281F72"/>
  <w16cid:commentId w16cid:paraId="0DBDFECB" w16cid:durableId="24281F4F"/>
  <w16cid:commentId w16cid:paraId="5A8BE074" w16cid:durableId="24282C22"/>
  <w16cid:commentId w16cid:paraId="372648C6" w16cid:durableId="2447D594"/>
  <w16cid:commentId w16cid:paraId="09112F88" w16cid:durableId="24282C7F"/>
  <w16cid:commentId w16cid:paraId="64058D15" w16cid:durableId="2447D5C8"/>
  <w16cid:commentId w16cid:paraId="3905D6CA" w16cid:durableId="24246BB2"/>
  <w16cid:commentId w16cid:paraId="0B7D3764" w16cid:durableId="2447D5D8"/>
  <w16cid:commentId w16cid:paraId="6617BD92" w16cid:durableId="242460BE"/>
  <w16cid:commentId w16cid:paraId="65E2E06B" w16cid:durableId="24246107"/>
  <w16cid:commentId w16cid:paraId="6B809540" w16cid:durableId="24282F27"/>
  <w16cid:commentId w16cid:paraId="150717F3" w16cid:durableId="2447D5DF"/>
  <w16cid:commentId w16cid:paraId="3CA9D216" w16cid:durableId="2447D609"/>
  <w16cid:commentId w16cid:paraId="59ED5B00" w16cid:durableId="2447D608"/>
  <w16cid:commentId w16cid:paraId="6B1FB6FC" w16cid:durableId="24246116"/>
  <w16cid:commentId w16cid:paraId="17F49C51" w16cid:durableId="24242D13"/>
  <w16cid:commentId w16cid:paraId="26975AC6" w16cid:durableId="2447D666"/>
  <w16cid:commentId w16cid:paraId="117308A7" w16cid:durableId="242416C5"/>
  <w16cid:commentId w16cid:paraId="402B4088" w16cid:durableId="2447D67B"/>
  <w16cid:commentId w16cid:paraId="07DEA218" w16cid:durableId="242430DC"/>
  <w16cid:commentId w16cid:paraId="59EDA733" w16cid:durableId="2447E0FF"/>
  <w16cid:commentId w16cid:paraId="0E440F4D" w16cid:durableId="242947B3"/>
  <w16cid:commentId w16cid:paraId="1A27C194" w16cid:durableId="242434E9"/>
  <w16cid:commentId w16cid:paraId="7DC59A98" w16cid:durableId="2447E132"/>
  <w16cid:commentId w16cid:paraId="1EE9990A" w16cid:durableId="242435EB"/>
  <w16cid:commentId w16cid:paraId="41C37C04" w16cid:durableId="2447E144"/>
  <w16cid:commentId w16cid:paraId="6347E921" w16cid:durableId="24293C53"/>
  <w16cid:commentId w16cid:paraId="56F3D5EB" w16cid:durableId="24241701"/>
  <w16cid:commentId w16cid:paraId="2F27BCA2" w16cid:durableId="2447E171"/>
  <w16cid:commentId w16cid:paraId="03ABB413" w16cid:durableId="24202F9F"/>
  <w16cid:commentId w16cid:paraId="5FF34BB8" w16cid:durableId="24208164"/>
  <w16cid:commentId w16cid:paraId="715419C7" w16cid:durableId="242422DC"/>
  <w16cid:commentId w16cid:paraId="047CFA6F" w16cid:durableId="24288EAB"/>
  <w16cid:commentId w16cid:paraId="2A01C0F8" w16cid:durableId="24288ED6"/>
  <w16cid:commentId w16cid:paraId="3594AE6A" w16cid:durableId="24288EF0"/>
  <w16cid:commentId w16cid:paraId="2F31B493" w16cid:durableId="2447E2B9"/>
  <w16cid:commentId w16cid:paraId="1F29021C" w16cid:durableId="242892D2"/>
  <w16cid:commentId w16cid:paraId="28D44435" w16cid:durableId="24241B6A"/>
  <w16cid:commentId w16cid:paraId="6154175E" w16cid:durableId="24480842"/>
  <w16cid:commentId w16cid:paraId="5637D666" w16cid:durableId="242420CF"/>
  <w16cid:commentId w16cid:paraId="357BBBC0" w16cid:durableId="24241FEF"/>
  <w16cid:commentId w16cid:paraId="53B8A15D" w16cid:durableId="24242108"/>
  <w16cid:commentId w16cid:paraId="31CCDA68" w16cid:durableId="2422F7F8"/>
  <w16cid:commentId w16cid:paraId="32CDB083" w16cid:durableId="242948A6"/>
  <w16cid:commentId w16cid:paraId="0917CB4F" w16cid:durableId="2422FBD8"/>
  <w16cid:commentId w16cid:paraId="6A49ECF8" w16cid:durableId="242400B9"/>
  <w16cid:commentId w16cid:paraId="2BE76626" w16cid:durableId="242400E9"/>
  <w16cid:commentId w16cid:paraId="4D400407" w16cid:durableId="24231B2B"/>
  <w16cid:commentId w16cid:paraId="66491A02" w16cid:durableId="2423057E"/>
  <w16cid:commentId w16cid:paraId="7A23FC34" w16cid:durableId="24241782"/>
  <w16cid:commentId w16cid:paraId="258EFFE7" w16cid:durableId="24240157"/>
  <w16cid:commentId w16cid:paraId="422C96CE" w16cid:durableId="24240190"/>
  <w16cid:commentId w16cid:paraId="18A78296" w16cid:durableId="242401BF"/>
  <w16cid:commentId w16cid:paraId="138B0A9C" w16cid:durableId="242342C1"/>
  <w16cid:commentId w16cid:paraId="5E8E9DBF" w16cid:durableId="24480886"/>
  <w16cid:commentId w16cid:paraId="1F690AC2" w16cid:durableId="24240204"/>
  <w16cid:commentId w16cid:paraId="71820BC6" w16cid:durableId="242353A9"/>
  <w16cid:commentId w16cid:paraId="51D0D5AE" w16cid:durableId="24480940"/>
</w16cid:commentsIds>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B2783" w14:textId="77777777">
      <w:r>
        <w:rPr>
          <w:rStyle w:val="PleaseReviewParagraphId"/>
          <w:b w:val="off"/>
          <w:i w:val="off"/>
        </w:rPr>
        <w:t>[]</w:t>
      </w:r>
      <w:r>
        <w:separator/>
      </w:r>
    </w:p>
  </w:endnote>
  <w:endnote w:type="continuationSeparator" w:id="0">
    <w:p w14:paraId="6F8410B6" w14:textId="77777777">
      <w:r>
        <w:rPr>
          <w:rStyle w:val="PleaseReviewParagraphId"/>
          <w:b w:val="off"/>
          <w:i w:val="off"/>
        </w:rPr>
        <w:t>[]</w:t>
      </w: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Italic">
    <w:altName w:val="Arial"/>
    <w:panose1 w:val="020B060402020209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dvTT5235d5a9">
    <w:altName w:val="MS Gothic"/>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ewCenturySchlbk">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Roman-SC700">
    <w:altName w:val="Palatino Linotype"/>
    <w:panose1 w:val="00000000000000000000"/>
    <w:charset w:val="00"/>
    <w:family w:val="roman"/>
    <w:notTrueType/>
    <w:pitch w:val="default"/>
  </w:font>
  <w:font w:name="Palatino-Roman">
    <w:altName w:val="Palatino Linotype"/>
    <w:panose1 w:val="00000000000000000000"/>
    <w:charset w:val="00"/>
    <w:family w:val="roman"/>
    <w:notTrueType/>
    <w:pitch w:val="default"/>
  </w:font>
  <w:font w:name="Times-Roman">
    <w:altName w:val="Arial Unicode MS"/>
    <w:panose1 w:val="00000000000000000000"/>
    <w:charset w:val="00"/>
    <w:family w:val="auto"/>
    <w:notTrueType/>
    <w:pitch w:val="default"/>
    <w:sig w:usb0="00000003" w:usb1="00000000" w:usb2="00000000" w:usb3="00000000" w:csb0="00000001" w:csb1="00000000"/>
  </w:font>
  <w:font w:name="AdvPSSAB-R">
    <w:altName w:val="Times New Roman"/>
    <w:panose1 w:val="00000000000000000000"/>
    <w:charset w:val="00"/>
    <w:family w:val="roman"/>
    <w:notTrueType/>
    <w:pitch w:val="default"/>
    <w:sig w:usb0="00000003" w:usb1="00000000" w:usb2="00000000" w:usb3="00000000" w:csb0="00000001" w:csb1="00000000"/>
  </w:font>
  <w:font w:name="AdvPSSAB-I">
    <w:altName w:val="Times New Roman"/>
    <w:panose1 w:val="00000000000000000000"/>
    <w:charset w:val="00"/>
    <w:family w:val="roman"/>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4744C" w14:textId="77777777">
      <w:r>
        <w:rPr>
          <w:rStyle w:val="PleaseReviewParagraphId"/>
          <w:b w:val="off"/>
          <w:i w:val="off"/>
        </w:rPr>
        <w:t>[]</w:t>
      </w:r>
      <w:r>
        <w:separator/>
      </w:r>
    </w:p>
  </w:footnote>
  <w:footnote w:type="continuationSeparator" w:id="0">
    <w:p w14:paraId="0A6EEF5A" w14:textId="77777777">
      <w:r>
        <w:rPr>
          <w:rStyle w:val="PleaseReviewParagraphId"/>
          <w:b w:val="off"/>
          <w:i w:val="off"/>
        </w:rPr>
        <w:t>[]</w:t>
      </w:r>
      <w:r>
        <w:continuationSeparator/>
      </w:r>
    </w:p>
  </w:footnote>
  <w:footnote w:id="1">
    <w:p w14:paraId="61935333" w14:textId="36B42E8B">
      <w:pPr>
        <w:pStyle w:val="FootnoteText"/>
        <w:rPr>
          <w:lang w:val="en-GB"/>
        </w:rPr>
      </w:pPr>
      <w:r>
        <w:rPr>
          <w:rStyle w:val="PleaseReviewParagraphId"/>
          <w:b w:val="off"/>
          <w:i w:val="off"/>
        </w:rPr>
        <w:t>[44]</w:t>
      </w:r>
      <w:r>
        <w:rPr>
          <w:rStyle w:val="FootnoteReference"/>
        </w:rPr>
        <w:footnoteRef/>
      </w:r>
      <w:r>
        <w:t xml:space="preserve"> </w:t>
      </w:r>
      <w:r>
        <w:rPr>
          <w:i/>
        </w:rPr>
        <w:t>Citrus</w:t>
      </w:r>
      <w:r>
        <w:t xml:space="preserve"> species</w:t>
      </w:r>
      <w:r>
        <w:rPr>
          <w:lang w:val="en-GB"/>
        </w:rPr>
        <w:t>, cultivars</w:t>
      </w:r>
      <w:r>
        <w:t xml:space="preserve"> and hybrids are named according to the</w:t>
      </w:r>
      <w:r>
        <w:rPr>
          <w:lang w:val="en-GB"/>
        </w:rPr>
        <w:t xml:space="preserve"> </w:t>
      </w:r>
      <w:r>
        <w:rPr>
          <w:szCs w:val="20"/>
        </w:rPr>
        <w:t>Int</w:t>
      </w:r>
      <w:r>
        <w:rPr>
          <w:szCs w:val="20"/>
          <w:lang w:val="en-GB"/>
        </w:rPr>
        <w:t>ernational</w:t>
      </w:r>
      <w:r>
        <w:rPr>
          <w:szCs w:val="20"/>
        </w:rPr>
        <w:t xml:space="preserve"> Plant Names Index</w:t>
      </w:r>
      <w:r>
        <w:rPr>
          <w:szCs w:val="20"/>
          <w:lang w:val="en-GB"/>
        </w:rPr>
        <w:t xml:space="preserve">: </w:t>
      </w:r>
      <w:hyperlink w:history="1" r:id="rId1">
        <w:r>
          <w:rPr>
            <w:rStyle w:val="Hyperlink"/>
            <w:szCs w:val="20"/>
          </w:rPr>
          <w:t>https://www.ipni.org</w:t>
        </w:r>
      </w:hyperlink>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1A7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225E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F061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5245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9E38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CE830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861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A21D2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BC247E8"/>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3DEFC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96CF2B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C9181C12"/>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12" w15:restartNumberingAfterBreak="0">
    <w:nsid w:val="019B5003"/>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3"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BE405E"/>
    <w:multiLevelType w:val="hybridMultilevel"/>
    <w:tmpl w:val="7A325120"/>
    <w:lvl w:ilvl="0" w:tplc="EA88EF14">
      <w:start w:val="3"/>
      <w:numFmt w:val="bullet"/>
      <w:lvlText w:val="-"/>
      <w:lvlJc w:val="left"/>
      <w:pPr>
        <w:tabs>
          <w:tab w:val="num" w:pos="405"/>
        </w:tabs>
        <w:ind w:left="405" w:hanging="360"/>
      </w:pPr>
      <w:rPr>
        <w:rFonts w:ascii="Arial" w:eastAsia="SimSun" w:hAnsi="Arial" w:cs="Arial" w:hint="default"/>
        <w:b/>
      </w:rPr>
    </w:lvl>
    <w:lvl w:ilvl="1" w:tplc="0C0A0003" w:tentative="1">
      <w:start w:val="1"/>
      <w:numFmt w:val="bullet"/>
      <w:lvlText w:val="o"/>
      <w:lvlJc w:val="left"/>
      <w:pPr>
        <w:tabs>
          <w:tab w:val="num" w:pos="1125"/>
        </w:tabs>
        <w:ind w:left="1125" w:hanging="360"/>
      </w:pPr>
      <w:rPr>
        <w:rFonts w:ascii="Courier New" w:hAnsi="Courier New" w:cs="Courier New" w:hint="default"/>
      </w:rPr>
    </w:lvl>
    <w:lvl w:ilvl="2" w:tplc="0C0A0005" w:tentative="1">
      <w:start w:val="1"/>
      <w:numFmt w:val="bullet"/>
      <w:lvlText w:val=""/>
      <w:lvlJc w:val="left"/>
      <w:pPr>
        <w:tabs>
          <w:tab w:val="num" w:pos="1845"/>
        </w:tabs>
        <w:ind w:left="1845" w:hanging="360"/>
      </w:pPr>
      <w:rPr>
        <w:rFonts w:ascii="Wingdings" w:hAnsi="Wingdings" w:hint="default"/>
      </w:rPr>
    </w:lvl>
    <w:lvl w:ilvl="3" w:tplc="0C0A0001" w:tentative="1">
      <w:start w:val="1"/>
      <w:numFmt w:val="bullet"/>
      <w:lvlText w:val=""/>
      <w:lvlJc w:val="left"/>
      <w:pPr>
        <w:tabs>
          <w:tab w:val="num" w:pos="2565"/>
        </w:tabs>
        <w:ind w:left="2565" w:hanging="360"/>
      </w:pPr>
      <w:rPr>
        <w:rFonts w:ascii="Symbol" w:hAnsi="Symbol" w:hint="default"/>
      </w:rPr>
    </w:lvl>
    <w:lvl w:ilvl="4" w:tplc="0C0A0003" w:tentative="1">
      <w:start w:val="1"/>
      <w:numFmt w:val="bullet"/>
      <w:lvlText w:val="o"/>
      <w:lvlJc w:val="left"/>
      <w:pPr>
        <w:tabs>
          <w:tab w:val="num" w:pos="3285"/>
        </w:tabs>
        <w:ind w:left="3285" w:hanging="360"/>
      </w:pPr>
      <w:rPr>
        <w:rFonts w:ascii="Courier New" w:hAnsi="Courier New" w:cs="Courier New" w:hint="default"/>
      </w:rPr>
    </w:lvl>
    <w:lvl w:ilvl="5" w:tplc="0C0A0005" w:tentative="1">
      <w:start w:val="1"/>
      <w:numFmt w:val="bullet"/>
      <w:lvlText w:val=""/>
      <w:lvlJc w:val="left"/>
      <w:pPr>
        <w:tabs>
          <w:tab w:val="num" w:pos="4005"/>
        </w:tabs>
        <w:ind w:left="4005" w:hanging="360"/>
      </w:pPr>
      <w:rPr>
        <w:rFonts w:ascii="Wingdings" w:hAnsi="Wingdings" w:hint="default"/>
      </w:rPr>
    </w:lvl>
    <w:lvl w:ilvl="6" w:tplc="0C0A0001" w:tentative="1">
      <w:start w:val="1"/>
      <w:numFmt w:val="bullet"/>
      <w:lvlText w:val=""/>
      <w:lvlJc w:val="left"/>
      <w:pPr>
        <w:tabs>
          <w:tab w:val="num" w:pos="4725"/>
        </w:tabs>
        <w:ind w:left="4725" w:hanging="360"/>
      </w:pPr>
      <w:rPr>
        <w:rFonts w:ascii="Symbol" w:hAnsi="Symbol" w:hint="default"/>
      </w:rPr>
    </w:lvl>
    <w:lvl w:ilvl="7" w:tplc="0C0A0003" w:tentative="1">
      <w:start w:val="1"/>
      <w:numFmt w:val="bullet"/>
      <w:lvlText w:val="o"/>
      <w:lvlJc w:val="left"/>
      <w:pPr>
        <w:tabs>
          <w:tab w:val="num" w:pos="5445"/>
        </w:tabs>
        <w:ind w:left="5445" w:hanging="360"/>
      </w:pPr>
      <w:rPr>
        <w:rFonts w:ascii="Courier New" w:hAnsi="Courier New" w:cs="Courier New" w:hint="default"/>
      </w:rPr>
    </w:lvl>
    <w:lvl w:ilvl="8" w:tplc="0C0A0005" w:tentative="1">
      <w:start w:val="1"/>
      <w:numFmt w:val="bullet"/>
      <w:lvlText w:val=""/>
      <w:lvlJc w:val="left"/>
      <w:pPr>
        <w:tabs>
          <w:tab w:val="num" w:pos="6165"/>
        </w:tabs>
        <w:ind w:left="6165" w:hanging="360"/>
      </w:pPr>
      <w:rPr>
        <w:rFonts w:ascii="Wingdings" w:hAnsi="Wingdings" w:hint="default"/>
      </w:rPr>
    </w:lvl>
  </w:abstractNum>
  <w:abstractNum w:abstractNumId="15" w15:restartNumberingAfterBreak="0">
    <w:nsid w:val="06FE5CF2"/>
    <w:multiLevelType w:val="hybridMultilevel"/>
    <w:tmpl w:val="CDFA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4C0A6C"/>
    <w:multiLevelType w:val="multilevel"/>
    <w:tmpl w:val="06E871E4"/>
    <w:numStyleLink w:val="IPPParagraphnumberedlist"/>
  </w:abstractNum>
  <w:abstractNum w:abstractNumId="17" w15:restartNumberingAfterBreak="0">
    <w:nsid w:val="08500A03"/>
    <w:multiLevelType w:val="hybridMultilevel"/>
    <w:tmpl w:val="9B2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AB2E5B"/>
    <w:multiLevelType w:val="hybridMultilevel"/>
    <w:tmpl w:val="3964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C05DED"/>
    <w:multiLevelType w:val="hybridMultilevel"/>
    <w:tmpl w:val="377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6F2173"/>
    <w:multiLevelType w:val="hybridMultilevel"/>
    <w:tmpl w:val="BE5AF6E4"/>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17421D"/>
    <w:multiLevelType w:val="hybridMultilevel"/>
    <w:tmpl w:val="2C96E558"/>
    <w:lvl w:ilvl="0" w:tplc="04090001">
      <w:start w:val="1"/>
      <w:numFmt w:val="bullet"/>
      <w:lvlText w:val=""/>
      <w:lvlJc w:val="left"/>
      <w:pPr>
        <w:ind w:left="238" w:hanging="360"/>
      </w:pPr>
      <w:rPr>
        <w:rFonts w:ascii="Symbol" w:hAnsi="Symbol" w:hint="default"/>
      </w:rPr>
    </w:lvl>
    <w:lvl w:ilvl="1" w:tplc="04090003" w:tentative="1">
      <w:start w:val="1"/>
      <w:numFmt w:val="bullet"/>
      <w:lvlText w:val="o"/>
      <w:lvlJc w:val="left"/>
      <w:pPr>
        <w:ind w:left="958" w:hanging="360"/>
      </w:pPr>
      <w:rPr>
        <w:rFonts w:ascii="Courier New" w:hAnsi="Courier New" w:cs="Courier New" w:hint="default"/>
      </w:rPr>
    </w:lvl>
    <w:lvl w:ilvl="2" w:tplc="04090005" w:tentative="1">
      <w:start w:val="1"/>
      <w:numFmt w:val="bullet"/>
      <w:lvlText w:val=""/>
      <w:lvlJc w:val="left"/>
      <w:pPr>
        <w:ind w:left="1678" w:hanging="360"/>
      </w:pPr>
      <w:rPr>
        <w:rFonts w:ascii="Wingdings" w:hAnsi="Wingdings" w:hint="default"/>
      </w:rPr>
    </w:lvl>
    <w:lvl w:ilvl="3" w:tplc="04090001" w:tentative="1">
      <w:start w:val="1"/>
      <w:numFmt w:val="bullet"/>
      <w:lvlText w:val=""/>
      <w:lvlJc w:val="left"/>
      <w:pPr>
        <w:ind w:left="2398" w:hanging="360"/>
      </w:pPr>
      <w:rPr>
        <w:rFonts w:ascii="Symbol" w:hAnsi="Symbol" w:hint="default"/>
      </w:rPr>
    </w:lvl>
    <w:lvl w:ilvl="4" w:tplc="04090003" w:tentative="1">
      <w:start w:val="1"/>
      <w:numFmt w:val="bullet"/>
      <w:lvlText w:val="o"/>
      <w:lvlJc w:val="left"/>
      <w:pPr>
        <w:ind w:left="3118" w:hanging="360"/>
      </w:pPr>
      <w:rPr>
        <w:rFonts w:ascii="Courier New" w:hAnsi="Courier New" w:cs="Courier New" w:hint="default"/>
      </w:rPr>
    </w:lvl>
    <w:lvl w:ilvl="5" w:tplc="04090005" w:tentative="1">
      <w:start w:val="1"/>
      <w:numFmt w:val="bullet"/>
      <w:lvlText w:val=""/>
      <w:lvlJc w:val="left"/>
      <w:pPr>
        <w:ind w:left="3838" w:hanging="360"/>
      </w:pPr>
      <w:rPr>
        <w:rFonts w:ascii="Wingdings" w:hAnsi="Wingdings" w:hint="default"/>
      </w:rPr>
    </w:lvl>
    <w:lvl w:ilvl="6" w:tplc="04090001" w:tentative="1">
      <w:start w:val="1"/>
      <w:numFmt w:val="bullet"/>
      <w:lvlText w:val=""/>
      <w:lvlJc w:val="left"/>
      <w:pPr>
        <w:ind w:left="4558" w:hanging="360"/>
      </w:pPr>
      <w:rPr>
        <w:rFonts w:ascii="Symbol" w:hAnsi="Symbol" w:hint="default"/>
      </w:rPr>
    </w:lvl>
    <w:lvl w:ilvl="7" w:tplc="04090003" w:tentative="1">
      <w:start w:val="1"/>
      <w:numFmt w:val="bullet"/>
      <w:lvlText w:val="o"/>
      <w:lvlJc w:val="left"/>
      <w:pPr>
        <w:ind w:left="5278" w:hanging="360"/>
      </w:pPr>
      <w:rPr>
        <w:rFonts w:ascii="Courier New" w:hAnsi="Courier New" w:cs="Courier New" w:hint="default"/>
      </w:rPr>
    </w:lvl>
    <w:lvl w:ilvl="8" w:tplc="04090005" w:tentative="1">
      <w:start w:val="1"/>
      <w:numFmt w:val="bullet"/>
      <w:lvlText w:val=""/>
      <w:lvlJc w:val="left"/>
      <w:pPr>
        <w:ind w:left="5998" w:hanging="360"/>
      </w:pPr>
      <w:rPr>
        <w:rFonts w:ascii="Wingdings" w:hAnsi="Wingdings" w:hint="default"/>
      </w:rPr>
    </w:lvl>
  </w:abstractNum>
  <w:abstractNum w:abstractNumId="2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B56038D"/>
    <w:multiLevelType w:val="hybridMultilevel"/>
    <w:tmpl w:val="E5E89FD6"/>
    <w:lvl w:ilvl="0" w:tplc="08090001">
      <w:start w:val="1"/>
      <w:numFmt w:val="bullet"/>
      <w:lvlText w:val=""/>
      <w:lvlJc w:val="left"/>
      <w:pPr>
        <w:ind w:left="-122" w:hanging="360"/>
      </w:pPr>
      <w:rPr>
        <w:rFonts w:ascii="Symbol" w:hAnsi="Symbol" w:hint="default"/>
      </w:rPr>
    </w:lvl>
    <w:lvl w:ilvl="1" w:tplc="080A0003" w:tentative="1">
      <w:start w:val="1"/>
      <w:numFmt w:val="bullet"/>
      <w:lvlText w:val="o"/>
      <w:lvlJc w:val="left"/>
      <w:pPr>
        <w:ind w:left="598" w:hanging="360"/>
      </w:pPr>
      <w:rPr>
        <w:rFonts w:ascii="Courier New" w:hAnsi="Courier New" w:cs="Courier New" w:hint="default"/>
      </w:rPr>
    </w:lvl>
    <w:lvl w:ilvl="2" w:tplc="080A0005" w:tentative="1">
      <w:start w:val="1"/>
      <w:numFmt w:val="bullet"/>
      <w:lvlText w:val=""/>
      <w:lvlJc w:val="left"/>
      <w:pPr>
        <w:ind w:left="1318" w:hanging="360"/>
      </w:pPr>
      <w:rPr>
        <w:rFonts w:ascii="Wingdings" w:hAnsi="Wingdings" w:hint="default"/>
      </w:rPr>
    </w:lvl>
    <w:lvl w:ilvl="3" w:tplc="080A0001" w:tentative="1">
      <w:start w:val="1"/>
      <w:numFmt w:val="bullet"/>
      <w:lvlText w:val=""/>
      <w:lvlJc w:val="left"/>
      <w:pPr>
        <w:ind w:left="2038" w:hanging="360"/>
      </w:pPr>
      <w:rPr>
        <w:rFonts w:ascii="Symbol" w:hAnsi="Symbol" w:hint="default"/>
      </w:rPr>
    </w:lvl>
    <w:lvl w:ilvl="4" w:tplc="080A0003" w:tentative="1">
      <w:start w:val="1"/>
      <w:numFmt w:val="bullet"/>
      <w:lvlText w:val="o"/>
      <w:lvlJc w:val="left"/>
      <w:pPr>
        <w:ind w:left="2758" w:hanging="360"/>
      </w:pPr>
      <w:rPr>
        <w:rFonts w:ascii="Courier New" w:hAnsi="Courier New" w:cs="Courier New" w:hint="default"/>
      </w:rPr>
    </w:lvl>
    <w:lvl w:ilvl="5" w:tplc="080A0005" w:tentative="1">
      <w:start w:val="1"/>
      <w:numFmt w:val="bullet"/>
      <w:lvlText w:val=""/>
      <w:lvlJc w:val="left"/>
      <w:pPr>
        <w:ind w:left="3478" w:hanging="360"/>
      </w:pPr>
      <w:rPr>
        <w:rFonts w:ascii="Wingdings" w:hAnsi="Wingdings" w:hint="default"/>
      </w:rPr>
    </w:lvl>
    <w:lvl w:ilvl="6" w:tplc="080A0001" w:tentative="1">
      <w:start w:val="1"/>
      <w:numFmt w:val="bullet"/>
      <w:lvlText w:val=""/>
      <w:lvlJc w:val="left"/>
      <w:pPr>
        <w:ind w:left="4198" w:hanging="360"/>
      </w:pPr>
      <w:rPr>
        <w:rFonts w:ascii="Symbol" w:hAnsi="Symbol" w:hint="default"/>
      </w:rPr>
    </w:lvl>
    <w:lvl w:ilvl="7" w:tplc="080A0003" w:tentative="1">
      <w:start w:val="1"/>
      <w:numFmt w:val="bullet"/>
      <w:lvlText w:val="o"/>
      <w:lvlJc w:val="left"/>
      <w:pPr>
        <w:ind w:left="4918" w:hanging="360"/>
      </w:pPr>
      <w:rPr>
        <w:rFonts w:ascii="Courier New" w:hAnsi="Courier New" w:cs="Courier New" w:hint="default"/>
      </w:rPr>
    </w:lvl>
    <w:lvl w:ilvl="8" w:tplc="080A0005" w:tentative="1">
      <w:start w:val="1"/>
      <w:numFmt w:val="bullet"/>
      <w:lvlText w:val=""/>
      <w:lvlJc w:val="left"/>
      <w:pPr>
        <w:ind w:left="5638" w:hanging="360"/>
      </w:pPr>
      <w:rPr>
        <w:rFonts w:ascii="Wingdings" w:hAnsi="Wingdings" w:hint="default"/>
      </w:rPr>
    </w:lvl>
  </w:abstractNum>
  <w:abstractNum w:abstractNumId="24" w15:restartNumberingAfterBreak="0">
    <w:nsid w:val="0C9027CB"/>
    <w:multiLevelType w:val="hybridMultilevel"/>
    <w:tmpl w:val="8730C0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0CEA3146"/>
    <w:multiLevelType w:val="hybridMultilevel"/>
    <w:tmpl w:val="F9B0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B7785B"/>
    <w:multiLevelType w:val="hybridMultilevel"/>
    <w:tmpl w:val="1AF211E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995FDB"/>
    <w:multiLevelType w:val="hybridMultilevel"/>
    <w:tmpl w:val="CCCEBAF6"/>
    <w:lvl w:ilvl="0" w:tplc="04090001">
      <w:start w:val="1"/>
      <w:numFmt w:val="bullet"/>
      <w:lvlText w:val=""/>
      <w:lvlJc w:val="left"/>
      <w:pPr>
        <w:ind w:left="2070" w:hanging="360"/>
      </w:pPr>
      <w:rPr>
        <w:rFonts w:ascii="Symbol" w:hAnsi="Symbol" w:hint="default"/>
      </w:rPr>
    </w:lvl>
    <w:lvl w:ilvl="1" w:tplc="14090001">
      <w:start w:val="1"/>
      <w:numFmt w:val="bullet"/>
      <w:lvlText w:val=""/>
      <w:lvlJc w:val="left"/>
      <w:pPr>
        <w:ind w:left="2790" w:hanging="360"/>
      </w:pPr>
      <w:rPr>
        <w:rFonts w:ascii="Symbol" w:hAnsi="Symbol"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8" w15:restartNumberingAfterBreak="0">
    <w:nsid w:val="1A82222E"/>
    <w:multiLevelType w:val="hybridMultilevel"/>
    <w:tmpl w:val="0EB0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1E9B5D3F"/>
    <w:multiLevelType w:val="hybridMultilevel"/>
    <w:tmpl w:val="0A0CC6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24D11769"/>
    <w:multiLevelType w:val="hybridMultilevel"/>
    <w:tmpl w:val="9572D5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7B23C3"/>
    <w:multiLevelType w:val="hybridMultilevel"/>
    <w:tmpl w:val="767A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74273B"/>
    <w:multiLevelType w:val="multilevel"/>
    <w:tmpl w:val="692C4B8A"/>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bullet"/>
      <w:lvlText w:val=""/>
      <w:lvlJc w:val="left"/>
      <w:pPr>
        <w:tabs>
          <w:tab w:val="num" w:pos="0"/>
        </w:tabs>
        <w:ind w:left="0" w:hanging="482"/>
      </w:pPr>
      <w:rPr>
        <w:rFonts w:ascii="Symbol" w:hAnsi="Symbol"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5" w15:restartNumberingAfterBreak="0">
    <w:nsid w:val="33A04805"/>
    <w:multiLevelType w:val="hybridMultilevel"/>
    <w:tmpl w:val="52C49AF8"/>
    <w:lvl w:ilvl="0" w:tplc="3462EAA4">
      <w:start w:val="1"/>
      <w:numFmt w:val="bullet"/>
      <w:lvlText w:val="-"/>
      <w:lvlJc w:val="left"/>
      <w:pPr>
        <w:ind w:left="720" w:hanging="360"/>
      </w:pPr>
      <w:rPr>
        <w:rFonts w:ascii="Times New Roman" w:eastAsia="Time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40699C"/>
    <w:multiLevelType w:val="hybridMultilevel"/>
    <w:tmpl w:val="CB6A1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A42097"/>
    <w:multiLevelType w:val="hybridMultilevel"/>
    <w:tmpl w:val="E642231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B2D7F18"/>
    <w:multiLevelType w:val="hybridMultilevel"/>
    <w:tmpl w:val="046AA17C"/>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D87FD4"/>
    <w:multiLevelType w:val="hybridMultilevel"/>
    <w:tmpl w:val="9124A5E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3C7579"/>
    <w:multiLevelType w:val="multilevel"/>
    <w:tmpl w:val="FA8216E6"/>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bullet"/>
      <w:lvlText w:val=""/>
      <w:lvlJc w:val="left"/>
      <w:pPr>
        <w:tabs>
          <w:tab w:val="num" w:pos="0"/>
        </w:tabs>
        <w:ind w:left="0" w:hanging="482"/>
      </w:pPr>
      <w:rPr>
        <w:rFonts w:ascii="Symbol" w:hAnsi="Symbol"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42" w15:restartNumberingAfterBreak="0">
    <w:nsid w:val="44A77F46"/>
    <w:multiLevelType w:val="hybridMultilevel"/>
    <w:tmpl w:val="D906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A81EAC"/>
    <w:multiLevelType w:val="hybridMultilevel"/>
    <w:tmpl w:val="E94E0444"/>
    <w:lvl w:ilvl="0" w:tplc="A920D390">
      <w:start w:val="57"/>
      <w:numFmt w:val="bullet"/>
      <w:lvlText w:val="-"/>
      <w:lvlJc w:val="left"/>
      <w:pPr>
        <w:ind w:left="720" w:hanging="360"/>
      </w:pPr>
      <w:rPr>
        <w:rFonts w:ascii="Times New Roman" w:eastAsia="AdvTT5235d5a9"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01448B"/>
    <w:multiLevelType w:val="multilevel"/>
    <w:tmpl w:val="AFBEA0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967505"/>
    <w:multiLevelType w:val="hybridMultilevel"/>
    <w:tmpl w:val="A1B2A180"/>
    <w:lvl w:ilvl="0" w:tplc="3B9C4D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3F437E"/>
    <w:multiLevelType w:val="hybridMultilevel"/>
    <w:tmpl w:val="0064549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8" w15:restartNumberingAfterBreak="0">
    <w:nsid w:val="4D434434"/>
    <w:multiLevelType w:val="hybridMultilevel"/>
    <w:tmpl w:val="6636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804D91"/>
    <w:multiLevelType w:val="multilevel"/>
    <w:tmpl w:val="F936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D86981"/>
    <w:multiLevelType w:val="hybridMultilevel"/>
    <w:tmpl w:val="8DF0AC7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C959BD"/>
    <w:multiLevelType w:val="hybridMultilevel"/>
    <w:tmpl w:val="FB300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56845F7C"/>
    <w:multiLevelType w:val="hybridMultilevel"/>
    <w:tmpl w:val="C64A8AAE"/>
    <w:lvl w:ilvl="0" w:tplc="10F4CFFE">
      <w:start w:val="1"/>
      <w:numFmt w:val="decimal"/>
      <w:lvlText w:val="%1."/>
      <w:lvlJc w:val="left"/>
      <w:pPr>
        <w:ind w:left="720" w:hanging="360"/>
      </w:pPr>
      <w:rPr>
        <w:rFonts w:ascii="Times New Roman" w:eastAsia="MS Mincho"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592DD6"/>
    <w:multiLevelType w:val="hybridMultilevel"/>
    <w:tmpl w:val="63F4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143421"/>
    <w:multiLevelType w:val="hybridMultilevel"/>
    <w:tmpl w:val="3F4A8A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684D30"/>
    <w:multiLevelType w:val="hybridMultilevel"/>
    <w:tmpl w:val="E214A07C"/>
    <w:lvl w:ilvl="0" w:tplc="080A000F">
      <w:start w:val="1"/>
      <w:numFmt w:val="decimal"/>
      <w:lvlText w:val="%1."/>
      <w:lvlJc w:val="left"/>
      <w:pPr>
        <w:ind w:left="1202" w:hanging="360"/>
      </w:pPr>
    </w:lvl>
    <w:lvl w:ilvl="1" w:tplc="080A0019" w:tentative="1">
      <w:start w:val="1"/>
      <w:numFmt w:val="lowerLetter"/>
      <w:lvlText w:val="%2."/>
      <w:lvlJc w:val="left"/>
      <w:pPr>
        <w:ind w:left="1922" w:hanging="360"/>
      </w:pPr>
    </w:lvl>
    <w:lvl w:ilvl="2" w:tplc="080A001B" w:tentative="1">
      <w:start w:val="1"/>
      <w:numFmt w:val="lowerRoman"/>
      <w:lvlText w:val="%3."/>
      <w:lvlJc w:val="right"/>
      <w:pPr>
        <w:ind w:left="2642" w:hanging="180"/>
      </w:pPr>
    </w:lvl>
    <w:lvl w:ilvl="3" w:tplc="080A000F" w:tentative="1">
      <w:start w:val="1"/>
      <w:numFmt w:val="decimal"/>
      <w:lvlText w:val="%4."/>
      <w:lvlJc w:val="left"/>
      <w:pPr>
        <w:ind w:left="3362" w:hanging="360"/>
      </w:pPr>
    </w:lvl>
    <w:lvl w:ilvl="4" w:tplc="080A0019" w:tentative="1">
      <w:start w:val="1"/>
      <w:numFmt w:val="lowerLetter"/>
      <w:lvlText w:val="%5."/>
      <w:lvlJc w:val="left"/>
      <w:pPr>
        <w:ind w:left="4082" w:hanging="360"/>
      </w:pPr>
    </w:lvl>
    <w:lvl w:ilvl="5" w:tplc="080A001B" w:tentative="1">
      <w:start w:val="1"/>
      <w:numFmt w:val="lowerRoman"/>
      <w:lvlText w:val="%6."/>
      <w:lvlJc w:val="right"/>
      <w:pPr>
        <w:ind w:left="4802" w:hanging="180"/>
      </w:pPr>
    </w:lvl>
    <w:lvl w:ilvl="6" w:tplc="080A000F" w:tentative="1">
      <w:start w:val="1"/>
      <w:numFmt w:val="decimal"/>
      <w:lvlText w:val="%7."/>
      <w:lvlJc w:val="left"/>
      <w:pPr>
        <w:ind w:left="5522" w:hanging="360"/>
      </w:pPr>
    </w:lvl>
    <w:lvl w:ilvl="7" w:tplc="080A0019" w:tentative="1">
      <w:start w:val="1"/>
      <w:numFmt w:val="lowerLetter"/>
      <w:lvlText w:val="%8."/>
      <w:lvlJc w:val="left"/>
      <w:pPr>
        <w:ind w:left="6242" w:hanging="360"/>
      </w:pPr>
    </w:lvl>
    <w:lvl w:ilvl="8" w:tplc="080A001B" w:tentative="1">
      <w:start w:val="1"/>
      <w:numFmt w:val="lowerRoman"/>
      <w:lvlText w:val="%9."/>
      <w:lvlJc w:val="right"/>
      <w:pPr>
        <w:ind w:left="6962" w:hanging="180"/>
      </w:pPr>
    </w:lvl>
  </w:abstractNum>
  <w:abstractNum w:abstractNumId="57" w15:restartNumberingAfterBreak="0">
    <w:nsid w:val="5CF03A03"/>
    <w:multiLevelType w:val="hybridMultilevel"/>
    <w:tmpl w:val="8610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9F4976"/>
    <w:multiLevelType w:val="hybridMultilevel"/>
    <w:tmpl w:val="093A479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CA3751"/>
    <w:multiLevelType w:val="hybridMultilevel"/>
    <w:tmpl w:val="A9F6D9E4"/>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A7615E"/>
    <w:multiLevelType w:val="hybridMultilevel"/>
    <w:tmpl w:val="20E681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1" w15:restartNumberingAfterBreak="0">
    <w:nsid w:val="63B01B79"/>
    <w:multiLevelType w:val="hybridMultilevel"/>
    <w:tmpl w:val="DF5426C2"/>
    <w:lvl w:ilvl="0" w:tplc="3C24BC5E">
      <w:start w:val="4"/>
      <w:numFmt w:val="bullet"/>
      <w:lvlText w:val="-"/>
      <w:lvlJc w:val="left"/>
      <w:pPr>
        <w:ind w:left="720" w:hanging="360"/>
      </w:pPr>
      <w:rPr>
        <w:rFonts w:ascii="Calibri" w:eastAsia="SimSu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4C47ECD"/>
    <w:multiLevelType w:val="hybridMultilevel"/>
    <w:tmpl w:val="A282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AE0D6D"/>
    <w:multiLevelType w:val="hybridMultilevel"/>
    <w:tmpl w:val="4FE224AA"/>
    <w:lvl w:ilvl="0" w:tplc="462A3BA6">
      <w:start w:val="1"/>
      <w:numFmt w:val="lowerLetter"/>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B21E49"/>
    <w:multiLevelType w:val="hybridMultilevel"/>
    <w:tmpl w:val="00CA807E"/>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5317EB"/>
    <w:multiLevelType w:val="hybridMultilevel"/>
    <w:tmpl w:val="8AD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7F7FA4"/>
    <w:multiLevelType w:val="hybridMultilevel"/>
    <w:tmpl w:val="7CB6B0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63261FD6">
      <w:start w:val="3"/>
      <w:numFmt w:val="bullet"/>
      <w:lvlText w:val="-"/>
      <w:lvlJc w:val="left"/>
      <w:pPr>
        <w:ind w:left="3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D73371"/>
    <w:multiLevelType w:val="hybridMultilevel"/>
    <w:tmpl w:val="8838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017ACA"/>
    <w:multiLevelType w:val="hybridMultilevel"/>
    <w:tmpl w:val="F040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81792D"/>
    <w:multiLevelType w:val="hybridMultilevel"/>
    <w:tmpl w:val="2BD01CB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F152C0B"/>
    <w:multiLevelType w:val="hybridMultilevel"/>
    <w:tmpl w:val="A410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4"/>
  </w:num>
  <w:num w:numId="5">
    <w:abstractNumId w:val="63"/>
  </w:num>
  <w:num w:numId="6">
    <w:abstractNumId w:val="22"/>
  </w:num>
  <w:num w:numId="7">
    <w:abstractNumId w:val="34"/>
  </w:num>
  <w:num w:numId="8">
    <w:abstractNumId w:val="68"/>
  </w:num>
  <w:num w:numId="9">
    <w:abstractNumId w:val="52"/>
  </w:num>
  <w:num w:numId="10">
    <w:abstractNumId w:val="38"/>
  </w:num>
  <w:num w:numId="11">
    <w:abstractNumId w:val="72"/>
  </w:num>
  <w:num w:numId="12">
    <w:abstractNumId w:val="13"/>
  </w:num>
  <w:num w:numId="13">
    <w:abstractNumId w:val="65"/>
  </w:num>
  <w:num w:numId="14">
    <w:abstractNumId w:val="16"/>
  </w:num>
  <w:num w:numId="15">
    <w:abstractNumId w:val="29"/>
  </w:num>
  <w:num w:numId="16">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16"/>
    <w:lvlOverride w:ilvl="0">
      <w:lvl w:ilvl="0">
        <w:start w:val="1"/>
        <w:numFmt w:val="decimal"/>
        <w:pStyle w:val="IPPParagraphnumbering"/>
        <w:lvlText w:val="[%1]"/>
        <w:lvlJc w:val="left"/>
        <w:pPr>
          <w:tabs>
            <w:tab w:val="num" w:pos="482"/>
          </w:tabs>
          <w:ind w:left="482"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8">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9">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1">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2">
    <w:abstractNumId w:val="45"/>
  </w:num>
  <w:num w:numId="23">
    <w:abstractNumId w:val="55"/>
  </w:num>
  <w:num w:numId="24">
    <w:abstractNumId w:val="28"/>
  </w:num>
  <w:num w:numId="25">
    <w:abstractNumId w:val="48"/>
  </w:num>
  <w:num w:numId="26">
    <w:abstractNumId w:val="69"/>
  </w:num>
  <w:num w:numId="27">
    <w:abstractNumId w:val="17"/>
  </w:num>
  <w:num w:numId="28">
    <w:abstractNumId w:val="32"/>
  </w:num>
  <w:num w:numId="29">
    <w:abstractNumId w:val="51"/>
  </w:num>
  <w:num w:numId="30">
    <w:abstractNumId w:val="24"/>
  </w:num>
  <w:num w:numId="31">
    <w:abstractNumId w:val="60"/>
  </w:num>
  <w:num w:numId="32">
    <w:abstractNumId w:val="15"/>
  </w:num>
  <w:num w:numId="33">
    <w:abstractNumId w:val="11"/>
    <w:lvlOverride w:ilvl="0">
      <w:lvl w:ilvl="0">
        <w:start w:val="1"/>
        <w:numFmt w:val="decimal"/>
        <w:lvlText w:val="[%1]"/>
        <w:lvlJc w:val="left"/>
        <w:pPr>
          <w:tabs>
            <w:tab w:val="num" w:pos="0"/>
          </w:tabs>
          <w:ind w:left="0" w:hanging="482"/>
        </w:pPr>
        <w:rPr>
          <w:rFonts w:ascii="Arial" w:hAnsi="Arial" w:hint="default"/>
          <w:b w:val="0"/>
          <w:i/>
          <w:color w:val="0000FF"/>
          <w:sz w:val="16"/>
        </w:rPr>
      </w:lvl>
    </w:lvlOverride>
    <w:lvlOverride w:ilvl="1">
      <w:lvl w:ilvl="1">
        <w:start w:val="1"/>
        <w:numFmt w:val="none"/>
        <w:lvlText w:val=""/>
        <w:lvlJc w:val="left"/>
        <w:pPr>
          <w:tabs>
            <w:tab w:val="num" w:pos="0"/>
          </w:tabs>
          <w:ind w:left="0" w:hanging="482"/>
        </w:pPr>
        <w:rPr>
          <w:rFonts w:hint="default"/>
        </w:rPr>
      </w:lvl>
    </w:lvlOverride>
    <w:lvlOverride w:ilvl="2">
      <w:lvl w:ilvl="2">
        <w:start w:val="1"/>
        <w:numFmt w:val="none"/>
        <w:lvlText w:val=""/>
        <w:lvlJc w:val="left"/>
        <w:pPr>
          <w:tabs>
            <w:tab w:val="num" w:pos="0"/>
          </w:tabs>
          <w:ind w:left="0" w:hanging="482"/>
        </w:pPr>
        <w:rPr>
          <w:rFonts w:hint="default"/>
        </w:rPr>
      </w:lvl>
    </w:lvlOverride>
    <w:lvlOverride w:ilvl="3">
      <w:lvl w:ilvl="3">
        <w:start w:val="1"/>
        <w:numFmt w:val="none"/>
        <w:lvlText w:val=""/>
        <w:lvlJc w:val="left"/>
        <w:pPr>
          <w:tabs>
            <w:tab w:val="num" w:pos="0"/>
          </w:tabs>
          <w:ind w:left="0" w:hanging="482"/>
        </w:pPr>
        <w:rPr>
          <w:rFonts w:hint="default"/>
        </w:rPr>
      </w:lvl>
    </w:lvlOverride>
    <w:lvlOverride w:ilvl="4">
      <w:lvl w:ilvl="4">
        <w:start w:val="1"/>
        <w:numFmt w:val="none"/>
        <w:lvlText w:val=""/>
        <w:lvlJc w:val="left"/>
        <w:pPr>
          <w:tabs>
            <w:tab w:val="num" w:pos="0"/>
          </w:tabs>
          <w:ind w:left="0" w:hanging="482"/>
        </w:pPr>
        <w:rPr>
          <w:rFonts w:hint="default"/>
        </w:rPr>
      </w:lvl>
    </w:lvlOverride>
    <w:lvlOverride w:ilvl="5">
      <w:lvl w:ilvl="5">
        <w:start w:val="1"/>
        <w:numFmt w:val="none"/>
        <w:lvlText w:val=""/>
        <w:lvlJc w:val="left"/>
        <w:pPr>
          <w:tabs>
            <w:tab w:val="num" w:pos="0"/>
          </w:tabs>
          <w:ind w:left="0" w:hanging="482"/>
        </w:pPr>
        <w:rPr>
          <w:rFonts w:hint="default"/>
        </w:rPr>
      </w:lvl>
    </w:lvlOverride>
    <w:lvlOverride w:ilvl="6">
      <w:lvl w:ilvl="6">
        <w:start w:val="1"/>
        <w:numFmt w:val="none"/>
        <w:lvlText w:val=""/>
        <w:lvlJc w:val="left"/>
        <w:pPr>
          <w:tabs>
            <w:tab w:val="num" w:pos="0"/>
          </w:tabs>
          <w:ind w:left="0" w:hanging="482"/>
        </w:pPr>
        <w:rPr>
          <w:rFonts w:hint="default"/>
        </w:rPr>
      </w:lvl>
    </w:lvlOverride>
    <w:lvlOverride w:ilvl="7">
      <w:lvl w:ilvl="7">
        <w:start w:val="1"/>
        <w:numFmt w:val="none"/>
        <w:lvlText w:val=""/>
        <w:lvlJc w:val="left"/>
        <w:pPr>
          <w:tabs>
            <w:tab w:val="num" w:pos="0"/>
          </w:tabs>
          <w:ind w:left="0" w:hanging="482"/>
        </w:pPr>
        <w:rPr>
          <w:rFonts w:hint="default"/>
        </w:rPr>
      </w:lvl>
    </w:lvlOverride>
    <w:lvlOverride w:ilvl="8">
      <w:lvl w:ilvl="8">
        <w:start w:val="1"/>
        <w:numFmt w:val="none"/>
        <w:lvlText w:val=""/>
        <w:lvlJc w:val="left"/>
        <w:pPr>
          <w:tabs>
            <w:tab w:val="num" w:pos="0"/>
          </w:tabs>
          <w:ind w:left="0" w:hanging="482"/>
        </w:pPr>
        <w:rPr>
          <w:rFonts w:hint="default"/>
        </w:rPr>
      </w:lvl>
    </w:lvlOverride>
  </w:num>
  <w:num w:numId="34">
    <w:abstractNumId w:val="0"/>
  </w:num>
  <w:num w:numId="35">
    <w:abstractNumId w:val="53"/>
  </w:num>
  <w:num w:numId="36">
    <w:abstractNumId w:val="49"/>
  </w:num>
  <w:num w:numId="37">
    <w:abstractNumId w:val="1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8">
    <w:abstractNumId w:val="43"/>
  </w:num>
  <w:num w:numId="39">
    <w:abstractNumId w:val="23"/>
  </w:num>
  <w:num w:numId="40">
    <w:abstractNumId w:val="56"/>
  </w:num>
  <w:num w:numId="41">
    <w:abstractNumId w:val="70"/>
  </w:num>
  <w:num w:numId="42">
    <w:abstractNumId w:val="73"/>
  </w:num>
  <w:num w:numId="43">
    <w:abstractNumId w:val="31"/>
  </w:num>
  <w:num w:numId="44">
    <w:abstractNumId w:val="36"/>
  </w:num>
  <w:num w:numId="45">
    <w:abstractNumId w:val="67"/>
  </w:num>
  <w:num w:numId="46">
    <w:abstractNumId w:val="47"/>
  </w:num>
  <w:num w:numId="47">
    <w:abstractNumId w:val="33"/>
  </w:num>
  <w:num w:numId="48">
    <w:abstractNumId w:val="41"/>
  </w:num>
  <w:num w:numId="49">
    <w:abstractNumId w:val="21"/>
  </w:num>
  <w:num w:numId="50">
    <w:abstractNumId w:val="71"/>
  </w:num>
  <w:num w:numId="51">
    <w:abstractNumId w:val="27"/>
  </w:num>
  <w:num w:numId="52">
    <w:abstractNumId w:val="18"/>
  </w:num>
  <w:num w:numId="53">
    <w:abstractNumId w:val="42"/>
  </w:num>
  <w:num w:numId="54">
    <w:abstractNumId w:val="19"/>
  </w:num>
  <w:num w:numId="55">
    <w:abstractNumId w:val="54"/>
  </w:num>
  <w:num w:numId="56">
    <w:abstractNumId w:val="46"/>
  </w:num>
  <w:num w:numId="57">
    <w:abstractNumId w:val="66"/>
  </w:num>
  <w:num w:numId="58">
    <w:abstractNumId w:val="62"/>
  </w:num>
  <w:num w:numId="59">
    <w:abstractNumId w:val="30"/>
  </w:num>
  <w:num w:numId="60">
    <w:abstractNumId w:val="25"/>
  </w:num>
  <w:num w:numId="61">
    <w:abstractNumId w:val="35"/>
  </w:num>
  <w:num w:numId="62">
    <w:abstractNumId w:val="12"/>
  </w:num>
  <w:num w:numId="63">
    <w:abstractNumId w:val="61"/>
  </w:num>
  <w:num w:numId="64">
    <w:abstractNumId w:val="57"/>
  </w:num>
  <w:num w:numId="65">
    <w:abstractNumId w:val="44"/>
  </w:num>
  <w:num w:numId="66">
    <w:abstractNumId w:val="6"/>
  </w:num>
  <w:num w:numId="67">
    <w:abstractNumId w:val="5"/>
  </w:num>
  <w:num w:numId="68">
    <w:abstractNumId w:val="9"/>
  </w:num>
  <w:num w:numId="69">
    <w:abstractNumId w:val="4"/>
  </w:num>
  <w:num w:numId="70">
    <w:abstractNumId w:val="3"/>
  </w:num>
  <w:num w:numId="71">
    <w:abstractNumId w:val="2"/>
  </w:num>
  <w:num w:numId="72">
    <w:abstractNumId w:val="1"/>
  </w:num>
  <w:num w:numId="73">
    <w:abstractNumId w:val="39"/>
  </w:num>
  <w:num w:numId="74">
    <w:abstractNumId w:val="40"/>
  </w:num>
  <w:num w:numId="75">
    <w:abstractNumId w:val="20"/>
  </w:num>
  <w:num w:numId="76">
    <w:abstractNumId w:val="59"/>
  </w:num>
  <w:num w:numId="77">
    <w:abstractNumId w:val="50"/>
  </w:num>
  <w:num w:numId="78">
    <w:abstractNumId w:val="58"/>
  </w:num>
  <w:num w:numId="79">
    <w:abstractNumId w:val="26"/>
  </w:num>
  <w:num w:numId="80">
    <w:abstractNumId w:val="37"/>
  </w:num>
  <w:num w:numId="81">
    <w:abstractNumId w:val="64"/>
  </w:num>
  <w:numIdMacAtCleanup w:val="72"/>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it-IT"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0"/>
  <w:activeWritingStyle w:appName="MSWord" w:lang="es-ES"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FR" w:vendorID="64" w:dllVersion="0" w:nlCheck="1" w:checkStyle="0"/>
  <w:activeWritingStyle w:appName="MSWord" w:lang="es-ES"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es-ES" w:vendorID="64" w:dllVersion="131078" w:nlCheck="1" w:checkStyle="0"/>
  <w:activeWritingStyle w:appName="MSWord" w:lang="fr-BE" w:vendorID="64" w:dllVersion="131078" w:nlCheck="1" w:checkStyle="0"/>
  <w:proofState w:grammar="clean"/>
  <w:attachedTemplate r:id="rId1"/>
  <w:linkStyle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sDA0MTExNzWzNDZS0lEKTi0uzszPAymwqAUA0iml2SwAAAA="/>
  </w:docVars>
  <w:rsids>
    <w:rsidRoot w:val="001B6320"/>
    <w:rsid w:val="00000197"/>
    <w:rsid w:val="00000A01"/>
    <w:rsid w:val="00000B74"/>
    <w:rsid w:val="00001BAC"/>
    <w:rsid w:val="000024C2"/>
    <w:rsid w:val="000026B5"/>
    <w:rsid w:val="00002E84"/>
    <w:rsid w:val="0000588C"/>
    <w:rsid w:val="00005C22"/>
    <w:rsid w:val="00005CE0"/>
    <w:rsid w:val="000070EA"/>
    <w:rsid w:val="0000744D"/>
    <w:rsid w:val="000104FA"/>
    <w:rsid w:val="000109D0"/>
    <w:rsid w:val="00010BF5"/>
    <w:rsid w:val="00011B95"/>
    <w:rsid w:val="00011CA8"/>
    <w:rsid w:val="00011CB9"/>
    <w:rsid w:val="0001295D"/>
    <w:rsid w:val="00012C00"/>
    <w:rsid w:val="0001347E"/>
    <w:rsid w:val="00013B91"/>
    <w:rsid w:val="00014F8F"/>
    <w:rsid w:val="00015D0F"/>
    <w:rsid w:val="000168C7"/>
    <w:rsid w:val="000169A7"/>
    <w:rsid w:val="00016F72"/>
    <w:rsid w:val="00017859"/>
    <w:rsid w:val="0002220E"/>
    <w:rsid w:val="00022805"/>
    <w:rsid w:val="00022A09"/>
    <w:rsid w:val="00023504"/>
    <w:rsid w:val="00023518"/>
    <w:rsid w:val="00023976"/>
    <w:rsid w:val="00024233"/>
    <w:rsid w:val="000246A3"/>
    <w:rsid w:val="000257BB"/>
    <w:rsid w:val="00027480"/>
    <w:rsid w:val="000276A2"/>
    <w:rsid w:val="000312F7"/>
    <w:rsid w:val="000315EA"/>
    <w:rsid w:val="00031837"/>
    <w:rsid w:val="0003240A"/>
    <w:rsid w:val="0003275F"/>
    <w:rsid w:val="00032CF8"/>
    <w:rsid w:val="0003320F"/>
    <w:rsid w:val="00034B7D"/>
    <w:rsid w:val="00034B94"/>
    <w:rsid w:val="00035739"/>
    <w:rsid w:val="00035D19"/>
    <w:rsid w:val="0003623B"/>
    <w:rsid w:val="00040968"/>
    <w:rsid w:val="00042C64"/>
    <w:rsid w:val="00042EBF"/>
    <w:rsid w:val="0004399C"/>
    <w:rsid w:val="00043F39"/>
    <w:rsid w:val="00043F93"/>
    <w:rsid w:val="000445B9"/>
    <w:rsid w:val="000446C0"/>
    <w:rsid w:val="00044B9B"/>
    <w:rsid w:val="00046A1C"/>
    <w:rsid w:val="00046BE7"/>
    <w:rsid w:val="00046D82"/>
    <w:rsid w:val="000473E7"/>
    <w:rsid w:val="00047D89"/>
    <w:rsid w:val="00050B2C"/>
    <w:rsid w:val="0005134E"/>
    <w:rsid w:val="000516F5"/>
    <w:rsid w:val="000529DF"/>
    <w:rsid w:val="000533DD"/>
    <w:rsid w:val="000536F8"/>
    <w:rsid w:val="00053834"/>
    <w:rsid w:val="00055CA9"/>
    <w:rsid w:val="00056DC6"/>
    <w:rsid w:val="00057CA2"/>
    <w:rsid w:val="000628B4"/>
    <w:rsid w:val="00062CB0"/>
    <w:rsid w:val="00063328"/>
    <w:rsid w:val="00063AF5"/>
    <w:rsid w:val="00063F2A"/>
    <w:rsid w:val="000641A8"/>
    <w:rsid w:val="000649B3"/>
    <w:rsid w:val="00064B5D"/>
    <w:rsid w:val="00064CCD"/>
    <w:rsid w:val="00064CCF"/>
    <w:rsid w:val="000665B7"/>
    <w:rsid w:val="000666B8"/>
    <w:rsid w:val="00067240"/>
    <w:rsid w:val="00067F2C"/>
    <w:rsid w:val="00071C28"/>
    <w:rsid w:val="000749FA"/>
    <w:rsid w:val="00074D47"/>
    <w:rsid w:val="00076E21"/>
    <w:rsid w:val="00080244"/>
    <w:rsid w:val="00080D7D"/>
    <w:rsid w:val="00081322"/>
    <w:rsid w:val="0008238E"/>
    <w:rsid w:val="000837E0"/>
    <w:rsid w:val="00083C15"/>
    <w:rsid w:val="00084F7A"/>
    <w:rsid w:val="000855D2"/>
    <w:rsid w:val="00085ADB"/>
    <w:rsid w:val="00085B47"/>
    <w:rsid w:val="00085C5F"/>
    <w:rsid w:val="00086F4B"/>
    <w:rsid w:val="0008700D"/>
    <w:rsid w:val="00087B67"/>
    <w:rsid w:val="0009014C"/>
    <w:rsid w:val="0009069A"/>
    <w:rsid w:val="00090B76"/>
    <w:rsid w:val="000912E4"/>
    <w:rsid w:val="0009147A"/>
    <w:rsid w:val="00091C8A"/>
    <w:rsid w:val="000921B8"/>
    <w:rsid w:val="0009285C"/>
    <w:rsid w:val="00093E3A"/>
    <w:rsid w:val="000940B7"/>
    <w:rsid w:val="00094D59"/>
    <w:rsid w:val="0009509A"/>
    <w:rsid w:val="00096492"/>
    <w:rsid w:val="000965F2"/>
    <w:rsid w:val="0009727E"/>
    <w:rsid w:val="00097A05"/>
    <w:rsid w:val="00097D62"/>
    <w:rsid w:val="00097F07"/>
    <w:rsid w:val="000A0302"/>
    <w:rsid w:val="000A0355"/>
    <w:rsid w:val="000A03F1"/>
    <w:rsid w:val="000A0B2F"/>
    <w:rsid w:val="000A25B4"/>
    <w:rsid w:val="000A33F5"/>
    <w:rsid w:val="000A4093"/>
    <w:rsid w:val="000A4750"/>
    <w:rsid w:val="000A4D41"/>
    <w:rsid w:val="000A566F"/>
    <w:rsid w:val="000A590A"/>
    <w:rsid w:val="000A7F5E"/>
    <w:rsid w:val="000B0063"/>
    <w:rsid w:val="000B08ED"/>
    <w:rsid w:val="000B23AA"/>
    <w:rsid w:val="000B2D8E"/>
    <w:rsid w:val="000B3783"/>
    <w:rsid w:val="000B3B1C"/>
    <w:rsid w:val="000B4632"/>
    <w:rsid w:val="000B4DA0"/>
    <w:rsid w:val="000B513A"/>
    <w:rsid w:val="000B5975"/>
    <w:rsid w:val="000B60C6"/>
    <w:rsid w:val="000B65D3"/>
    <w:rsid w:val="000B668F"/>
    <w:rsid w:val="000B6692"/>
    <w:rsid w:val="000B6B49"/>
    <w:rsid w:val="000B7B11"/>
    <w:rsid w:val="000C0AD6"/>
    <w:rsid w:val="000C1062"/>
    <w:rsid w:val="000C177D"/>
    <w:rsid w:val="000C1EE5"/>
    <w:rsid w:val="000C40F1"/>
    <w:rsid w:val="000C469F"/>
    <w:rsid w:val="000C497E"/>
    <w:rsid w:val="000C65E8"/>
    <w:rsid w:val="000C67E2"/>
    <w:rsid w:val="000C7A57"/>
    <w:rsid w:val="000C7ECC"/>
    <w:rsid w:val="000D0EF0"/>
    <w:rsid w:val="000D17CC"/>
    <w:rsid w:val="000D17E9"/>
    <w:rsid w:val="000D2845"/>
    <w:rsid w:val="000D331D"/>
    <w:rsid w:val="000D5FF6"/>
    <w:rsid w:val="000D60B2"/>
    <w:rsid w:val="000D75BF"/>
    <w:rsid w:val="000E15E2"/>
    <w:rsid w:val="000E2202"/>
    <w:rsid w:val="000E37E4"/>
    <w:rsid w:val="000E41F5"/>
    <w:rsid w:val="000E5B52"/>
    <w:rsid w:val="000E6135"/>
    <w:rsid w:val="000F091C"/>
    <w:rsid w:val="000F0F4B"/>
    <w:rsid w:val="000F2EF0"/>
    <w:rsid w:val="000F2FC9"/>
    <w:rsid w:val="000F4282"/>
    <w:rsid w:val="000F55CE"/>
    <w:rsid w:val="000F709D"/>
    <w:rsid w:val="0010036B"/>
    <w:rsid w:val="001011A5"/>
    <w:rsid w:val="00101CD2"/>
    <w:rsid w:val="00101E01"/>
    <w:rsid w:val="001022DD"/>
    <w:rsid w:val="00102D08"/>
    <w:rsid w:val="00104333"/>
    <w:rsid w:val="0010643D"/>
    <w:rsid w:val="0010674D"/>
    <w:rsid w:val="0010704F"/>
    <w:rsid w:val="00107615"/>
    <w:rsid w:val="001103CB"/>
    <w:rsid w:val="0011084C"/>
    <w:rsid w:val="00111A78"/>
    <w:rsid w:val="00113094"/>
    <w:rsid w:val="00113AC6"/>
    <w:rsid w:val="00114080"/>
    <w:rsid w:val="001159C2"/>
    <w:rsid w:val="00115B06"/>
    <w:rsid w:val="00115F14"/>
    <w:rsid w:val="00116A3E"/>
    <w:rsid w:val="0011721E"/>
    <w:rsid w:val="0012009F"/>
    <w:rsid w:val="00120336"/>
    <w:rsid w:val="00120A88"/>
    <w:rsid w:val="00120A91"/>
    <w:rsid w:val="00120C52"/>
    <w:rsid w:val="0012112A"/>
    <w:rsid w:val="00121DA3"/>
    <w:rsid w:val="0012204E"/>
    <w:rsid w:val="00123081"/>
    <w:rsid w:val="0012338B"/>
    <w:rsid w:val="0012364D"/>
    <w:rsid w:val="00123A5E"/>
    <w:rsid w:val="0012460D"/>
    <w:rsid w:val="00124A2D"/>
    <w:rsid w:val="00124D8C"/>
    <w:rsid w:val="0012538D"/>
    <w:rsid w:val="00125715"/>
    <w:rsid w:val="00125C95"/>
    <w:rsid w:val="00127FA0"/>
    <w:rsid w:val="001309CF"/>
    <w:rsid w:val="00130F94"/>
    <w:rsid w:val="00131317"/>
    <w:rsid w:val="00133720"/>
    <w:rsid w:val="00134E0C"/>
    <w:rsid w:val="001361E9"/>
    <w:rsid w:val="001368A7"/>
    <w:rsid w:val="00136A0E"/>
    <w:rsid w:val="00136F73"/>
    <w:rsid w:val="00137905"/>
    <w:rsid w:val="00142014"/>
    <w:rsid w:val="00143A70"/>
    <w:rsid w:val="00143CC2"/>
    <w:rsid w:val="00144BA5"/>
    <w:rsid w:val="00145421"/>
    <w:rsid w:val="00146537"/>
    <w:rsid w:val="00147CCB"/>
    <w:rsid w:val="00150170"/>
    <w:rsid w:val="00153BD6"/>
    <w:rsid w:val="00153C8C"/>
    <w:rsid w:val="00153F9B"/>
    <w:rsid w:val="001545F1"/>
    <w:rsid w:val="00155848"/>
    <w:rsid w:val="00155E15"/>
    <w:rsid w:val="00156837"/>
    <w:rsid w:val="0015731A"/>
    <w:rsid w:val="001578B8"/>
    <w:rsid w:val="001606F7"/>
    <w:rsid w:val="00161119"/>
    <w:rsid w:val="0016128C"/>
    <w:rsid w:val="00161D69"/>
    <w:rsid w:val="00163EF2"/>
    <w:rsid w:val="0016434A"/>
    <w:rsid w:val="00165F75"/>
    <w:rsid w:val="0016637F"/>
    <w:rsid w:val="0017039F"/>
    <w:rsid w:val="00172582"/>
    <w:rsid w:val="001740B4"/>
    <w:rsid w:val="001742A4"/>
    <w:rsid w:val="00174543"/>
    <w:rsid w:val="001745DB"/>
    <w:rsid w:val="0017730A"/>
    <w:rsid w:val="001775BF"/>
    <w:rsid w:val="00177CBB"/>
    <w:rsid w:val="001803A7"/>
    <w:rsid w:val="00180E6C"/>
    <w:rsid w:val="0018107E"/>
    <w:rsid w:val="00181541"/>
    <w:rsid w:val="00181E26"/>
    <w:rsid w:val="00181F44"/>
    <w:rsid w:val="001834EF"/>
    <w:rsid w:val="00184328"/>
    <w:rsid w:val="001859A2"/>
    <w:rsid w:val="00186631"/>
    <w:rsid w:val="001870D0"/>
    <w:rsid w:val="00187709"/>
    <w:rsid w:val="0019068F"/>
    <w:rsid w:val="00190D4A"/>
    <w:rsid w:val="00191167"/>
    <w:rsid w:val="00191A70"/>
    <w:rsid w:val="001927E0"/>
    <w:rsid w:val="00192B63"/>
    <w:rsid w:val="00193509"/>
    <w:rsid w:val="00193CC2"/>
    <w:rsid w:val="00193F1F"/>
    <w:rsid w:val="00194D04"/>
    <w:rsid w:val="00194DD4"/>
    <w:rsid w:val="001952CB"/>
    <w:rsid w:val="00196B77"/>
    <w:rsid w:val="001A031F"/>
    <w:rsid w:val="001A03F0"/>
    <w:rsid w:val="001A097A"/>
    <w:rsid w:val="001A16CC"/>
    <w:rsid w:val="001A1FC9"/>
    <w:rsid w:val="001A1FD6"/>
    <w:rsid w:val="001A20FB"/>
    <w:rsid w:val="001A262F"/>
    <w:rsid w:val="001A4A88"/>
    <w:rsid w:val="001A4F7E"/>
    <w:rsid w:val="001A58EF"/>
    <w:rsid w:val="001A5990"/>
    <w:rsid w:val="001A69A4"/>
    <w:rsid w:val="001A6A11"/>
    <w:rsid w:val="001A6D10"/>
    <w:rsid w:val="001A7CA0"/>
    <w:rsid w:val="001A7E17"/>
    <w:rsid w:val="001B2CD1"/>
    <w:rsid w:val="001B379C"/>
    <w:rsid w:val="001B38B2"/>
    <w:rsid w:val="001B47BB"/>
    <w:rsid w:val="001B4C78"/>
    <w:rsid w:val="001B5B75"/>
    <w:rsid w:val="001B6320"/>
    <w:rsid w:val="001B7715"/>
    <w:rsid w:val="001B7C48"/>
    <w:rsid w:val="001C07A2"/>
    <w:rsid w:val="001C0A9F"/>
    <w:rsid w:val="001C0DA9"/>
    <w:rsid w:val="001C1620"/>
    <w:rsid w:val="001C25DE"/>
    <w:rsid w:val="001C3BC3"/>
    <w:rsid w:val="001C3D65"/>
    <w:rsid w:val="001C468B"/>
    <w:rsid w:val="001C4C67"/>
    <w:rsid w:val="001C4F59"/>
    <w:rsid w:val="001C5198"/>
    <w:rsid w:val="001C5272"/>
    <w:rsid w:val="001C6608"/>
    <w:rsid w:val="001C68D5"/>
    <w:rsid w:val="001D1600"/>
    <w:rsid w:val="001D2094"/>
    <w:rsid w:val="001D334D"/>
    <w:rsid w:val="001D3BDB"/>
    <w:rsid w:val="001D423B"/>
    <w:rsid w:val="001D47A8"/>
    <w:rsid w:val="001D4F90"/>
    <w:rsid w:val="001D5888"/>
    <w:rsid w:val="001D688E"/>
    <w:rsid w:val="001D6C70"/>
    <w:rsid w:val="001D7C68"/>
    <w:rsid w:val="001E006E"/>
    <w:rsid w:val="001E1751"/>
    <w:rsid w:val="001E355C"/>
    <w:rsid w:val="001E5DE5"/>
    <w:rsid w:val="001E70E9"/>
    <w:rsid w:val="001E72A8"/>
    <w:rsid w:val="001E78E9"/>
    <w:rsid w:val="001F0A2F"/>
    <w:rsid w:val="001F10EF"/>
    <w:rsid w:val="001F174A"/>
    <w:rsid w:val="001F1A37"/>
    <w:rsid w:val="001F290B"/>
    <w:rsid w:val="001F38C7"/>
    <w:rsid w:val="001F397D"/>
    <w:rsid w:val="001F4E22"/>
    <w:rsid w:val="001F533B"/>
    <w:rsid w:val="001F544B"/>
    <w:rsid w:val="001F66CE"/>
    <w:rsid w:val="001F6B2D"/>
    <w:rsid w:val="001F6F3C"/>
    <w:rsid w:val="001F6FF7"/>
    <w:rsid w:val="001F751D"/>
    <w:rsid w:val="002010A5"/>
    <w:rsid w:val="002013EB"/>
    <w:rsid w:val="00201FE9"/>
    <w:rsid w:val="00202444"/>
    <w:rsid w:val="00202EF8"/>
    <w:rsid w:val="0020327D"/>
    <w:rsid w:val="002032CA"/>
    <w:rsid w:val="00203838"/>
    <w:rsid w:val="00203A14"/>
    <w:rsid w:val="00204031"/>
    <w:rsid w:val="00204133"/>
    <w:rsid w:val="0020446A"/>
    <w:rsid w:val="00204D85"/>
    <w:rsid w:val="00205724"/>
    <w:rsid w:val="002064A6"/>
    <w:rsid w:val="00206E27"/>
    <w:rsid w:val="0020770B"/>
    <w:rsid w:val="002102A6"/>
    <w:rsid w:val="002104F7"/>
    <w:rsid w:val="00210840"/>
    <w:rsid w:val="002122AC"/>
    <w:rsid w:val="00212E54"/>
    <w:rsid w:val="00212E72"/>
    <w:rsid w:val="00213BFD"/>
    <w:rsid w:val="00213DD4"/>
    <w:rsid w:val="00214513"/>
    <w:rsid w:val="0021564C"/>
    <w:rsid w:val="00215B43"/>
    <w:rsid w:val="002160F3"/>
    <w:rsid w:val="00222C6E"/>
    <w:rsid w:val="00223E65"/>
    <w:rsid w:val="0022425B"/>
    <w:rsid w:val="0022564D"/>
    <w:rsid w:val="00225AEF"/>
    <w:rsid w:val="0022672C"/>
    <w:rsid w:val="00231CBA"/>
    <w:rsid w:val="00231F30"/>
    <w:rsid w:val="0023278F"/>
    <w:rsid w:val="00233035"/>
    <w:rsid w:val="002331E6"/>
    <w:rsid w:val="0023366F"/>
    <w:rsid w:val="00233847"/>
    <w:rsid w:val="002342B0"/>
    <w:rsid w:val="0023505E"/>
    <w:rsid w:val="002364E2"/>
    <w:rsid w:val="00236687"/>
    <w:rsid w:val="002367EF"/>
    <w:rsid w:val="00236F73"/>
    <w:rsid w:val="0023755D"/>
    <w:rsid w:val="002403C5"/>
    <w:rsid w:val="00240919"/>
    <w:rsid w:val="0024097A"/>
    <w:rsid w:val="00240B63"/>
    <w:rsid w:val="00242DD5"/>
    <w:rsid w:val="00242FAC"/>
    <w:rsid w:val="00243956"/>
    <w:rsid w:val="0024574A"/>
    <w:rsid w:val="0024672D"/>
    <w:rsid w:val="00246ED1"/>
    <w:rsid w:val="00247076"/>
    <w:rsid w:val="00250FF5"/>
    <w:rsid w:val="00251EE5"/>
    <w:rsid w:val="00253818"/>
    <w:rsid w:val="0025397C"/>
    <w:rsid w:val="00253A53"/>
    <w:rsid w:val="00255109"/>
    <w:rsid w:val="00257350"/>
    <w:rsid w:val="00257C28"/>
    <w:rsid w:val="00261DD5"/>
    <w:rsid w:val="002621B8"/>
    <w:rsid w:val="002627F8"/>
    <w:rsid w:val="00262E5D"/>
    <w:rsid w:val="00264A9D"/>
    <w:rsid w:val="00265513"/>
    <w:rsid w:val="00265713"/>
    <w:rsid w:val="00265B73"/>
    <w:rsid w:val="00266725"/>
    <w:rsid w:val="00266C28"/>
    <w:rsid w:val="00267253"/>
    <w:rsid w:val="00271311"/>
    <w:rsid w:val="00271820"/>
    <w:rsid w:val="00271BF2"/>
    <w:rsid w:val="0027232D"/>
    <w:rsid w:val="00272CC2"/>
    <w:rsid w:val="0027332E"/>
    <w:rsid w:val="00273EF3"/>
    <w:rsid w:val="0027589B"/>
    <w:rsid w:val="0027642C"/>
    <w:rsid w:val="002767A7"/>
    <w:rsid w:val="00280F4B"/>
    <w:rsid w:val="00282126"/>
    <w:rsid w:val="00282FFF"/>
    <w:rsid w:val="002849F2"/>
    <w:rsid w:val="00286530"/>
    <w:rsid w:val="00287081"/>
    <w:rsid w:val="00287262"/>
    <w:rsid w:val="002876AD"/>
    <w:rsid w:val="00287DE6"/>
    <w:rsid w:val="00291D07"/>
    <w:rsid w:val="00291ED8"/>
    <w:rsid w:val="002942DB"/>
    <w:rsid w:val="00294810"/>
    <w:rsid w:val="00297A9C"/>
    <w:rsid w:val="002A08DE"/>
    <w:rsid w:val="002A2782"/>
    <w:rsid w:val="002A2FF5"/>
    <w:rsid w:val="002A38E0"/>
    <w:rsid w:val="002A4566"/>
    <w:rsid w:val="002A63EF"/>
    <w:rsid w:val="002A662D"/>
    <w:rsid w:val="002A68E3"/>
    <w:rsid w:val="002A697C"/>
    <w:rsid w:val="002A6DDB"/>
    <w:rsid w:val="002A748F"/>
    <w:rsid w:val="002A7836"/>
    <w:rsid w:val="002B0782"/>
    <w:rsid w:val="002B07C4"/>
    <w:rsid w:val="002B0BD5"/>
    <w:rsid w:val="002B101F"/>
    <w:rsid w:val="002B1817"/>
    <w:rsid w:val="002B1C39"/>
    <w:rsid w:val="002B3742"/>
    <w:rsid w:val="002B392D"/>
    <w:rsid w:val="002B3C86"/>
    <w:rsid w:val="002B4714"/>
    <w:rsid w:val="002B4D0D"/>
    <w:rsid w:val="002B4E2D"/>
    <w:rsid w:val="002B4FBD"/>
    <w:rsid w:val="002B56ED"/>
    <w:rsid w:val="002B5C5A"/>
    <w:rsid w:val="002B5E82"/>
    <w:rsid w:val="002B63CD"/>
    <w:rsid w:val="002B6A60"/>
    <w:rsid w:val="002C151A"/>
    <w:rsid w:val="002C47E6"/>
    <w:rsid w:val="002C4DC1"/>
    <w:rsid w:val="002C4EE7"/>
    <w:rsid w:val="002C5575"/>
    <w:rsid w:val="002C5D5E"/>
    <w:rsid w:val="002C6EDE"/>
    <w:rsid w:val="002C75E8"/>
    <w:rsid w:val="002C7A5A"/>
    <w:rsid w:val="002C7CFA"/>
    <w:rsid w:val="002D0103"/>
    <w:rsid w:val="002D08DC"/>
    <w:rsid w:val="002D1842"/>
    <w:rsid w:val="002D1D31"/>
    <w:rsid w:val="002D2E3E"/>
    <w:rsid w:val="002D3E18"/>
    <w:rsid w:val="002D4532"/>
    <w:rsid w:val="002D4954"/>
    <w:rsid w:val="002D4988"/>
    <w:rsid w:val="002D545C"/>
    <w:rsid w:val="002D57EC"/>
    <w:rsid w:val="002D790F"/>
    <w:rsid w:val="002D7B4E"/>
    <w:rsid w:val="002D7B8B"/>
    <w:rsid w:val="002E0950"/>
    <w:rsid w:val="002E1A4B"/>
    <w:rsid w:val="002E1A6D"/>
    <w:rsid w:val="002E2123"/>
    <w:rsid w:val="002E26EE"/>
    <w:rsid w:val="002E289B"/>
    <w:rsid w:val="002E3AA5"/>
    <w:rsid w:val="002E4177"/>
    <w:rsid w:val="002E43BA"/>
    <w:rsid w:val="002E5130"/>
    <w:rsid w:val="002E5361"/>
    <w:rsid w:val="002E5682"/>
    <w:rsid w:val="002E68CF"/>
    <w:rsid w:val="002E6C33"/>
    <w:rsid w:val="002E715E"/>
    <w:rsid w:val="002E71B4"/>
    <w:rsid w:val="002E756B"/>
    <w:rsid w:val="002E768C"/>
    <w:rsid w:val="002E7FA3"/>
    <w:rsid w:val="002F1F4F"/>
    <w:rsid w:val="002F259F"/>
    <w:rsid w:val="002F2A2E"/>
    <w:rsid w:val="002F3ECA"/>
    <w:rsid w:val="002F50C3"/>
    <w:rsid w:val="002F5210"/>
    <w:rsid w:val="002F7987"/>
    <w:rsid w:val="0030085E"/>
    <w:rsid w:val="00300EAF"/>
    <w:rsid w:val="0030117C"/>
    <w:rsid w:val="003025EC"/>
    <w:rsid w:val="003056D0"/>
    <w:rsid w:val="00305D19"/>
    <w:rsid w:val="00306414"/>
    <w:rsid w:val="0030771A"/>
    <w:rsid w:val="003101B7"/>
    <w:rsid w:val="0031046C"/>
    <w:rsid w:val="00310E20"/>
    <w:rsid w:val="0031253A"/>
    <w:rsid w:val="00312980"/>
    <w:rsid w:val="00312EB5"/>
    <w:rsid w:val="00314262"/>
    <w:rsid w:val="00314CC4"/>
    <w:rsid w:val="00315364"/>
    <w:rsid w:val="00315474"/>
    <w:rsid w:val="003154EA"/>
    <w:rsid w:val="00315DA3"/>
    <w:rsid w:val="003163A9"/>
    <w:rsid w:val="00316528"/>
    <w:rsid w:val="00316B45"/>
    <w:rsid w:val="00317629"/>
    <w:rsid w:val="00317F31"/>
    <w:rsid w:val="003203E1"/>
    <w:rsid w:val="00320CF3"/>
    <w:rsid w:val="0032124D"/>
    <w:rsid w:val="003212D9"/>
    <w:rsid w:val="003213E2"/>
    <w:rsid w:val="00321CAF"/>
    <w:rsid w:val="003220CA"/>
    <w:rsid w:val="0032392E"/>
    <w:rsid w:val="00324C5C"/>
    <w:rsid w:val="00324D80"/>
    <w:rsid w:val="003259B9"/>
    <w:rsid w:val="00325EA2"/>
    <w:rsid w:val="00325F96"/>
    <w:rsid w:val="00326233"/>
    <w:rsid w:val="00326B35"/>
    <w:rsid w:val="00326D4B"/>
    <w:rsid w:val="00326EEC"/>
    <w:rsid w:val="00327AE6"/>
    <w:rsid w:val="0033043C"/>
    <w:rsid w:val="003314AB"/>
    <w:rsid w:val="00331EE2"/>
    <w:rsid w:val="00333AF1"/>
    <w:rsid w:val="0033403E"/>
    <w:rsid w:val="0033590A"/>
    <w:rsid w:val="00335A6F"/>
    <w:rsid w:val="003364EA"/>
    <w:rsid w:val="0034006B"/>
    <w:rsid w:val="00340569"/>
    <w:rsid w:val="00340FFD"/>
    <w:rsid w:val="00341270"/>
    <w:rsid w:val="00341579"/>
    <w:rsid w:val="003442C8"/>
    <w:rsid w:val="00344875"/>
    <w:rsid w:val="003472C1"/>
    <w:rsid w:val="003502EF"/>
    <w:rsid w:val="003503BF"/>
    <w:rsid w:val="00352734"/>
    <w:rsid w:val="00352949"/>
    <w:rsid w:val="00353036"/>
    <w:rsid w:val="00353B4F"/>
    <w:rsid w:val="00353E56"/>
    <w:rsid w:val="00354557"/>
    <w:rsid w:val="00355437"/>
    <w:rsid w:val="00356142"/>
    <w:rsid w:val="003563BC"/>
    <w:rsid w:val="00356701"/>
    <w:rsid w:val="003571F0"/>
    <w:rsid w:val="003626B3"/>
    <w:rsid w:val="003629BD"/>
    <w:rsid w:val="00363376"/>
    <w:rsid w:val="003633DE"/>
    <w:rsid w:val="003638A6"/>
    <w:rsid w:val="0036544D"/>
    <w:rsid w:val="0036576E"/>
    <w:rsid w:val="00370552"/>
    <w:rsid w:val="00370C1A"/>
    <w:rsid w:val="003713D0"/>
    <w:rsid w:val="0037143D"/>
    <w:rsid w:val="00372F5A"/>
    <w:rsid w:val="00373158"/>
    <w:rsid w:val="00373287"/>
    <w:rsid w:val="00374DA2"/>
    <w:rsid w:val="00375911"/>
    <w:rsid w:val="00376D10"/>
    <w:rsid w:val="0037775E"/>
    <w:rsid w:val="0038009D"/>
    <w:rsid w:val="00380148"/>
    <w:rsid w:val="00381714"/>
    <w:rsid w:val="00381EDF"/>
    <w:rsid w:val="00382422"/>
    <w:rsid w:val="003825A1"/>
    <w:rsid w:val="0038282A"/>
    <w:rsid w:val="003844C9"/>
    <w:rsid w:val="0038476E"/>
    <w:rsid w:val="0038485D"/>
    <w:rsid w:val="003857C3"/>
    <w:rsid w:val="00385D4A"/>
    <w:rsid w:val="003866E3"/>
    <w:rsid w:val="00386CD5"/>
    <w:rsid w:val="003879C5"/>
    <w:rsid w:val="00387F9E"/>
    <w:rsid w:val="00390175"/>
    <w:rsid w:val="00390B84"/>
    <w:rsid w:val="00390B9E"/>
    <w:rsid w:val="00390DDE"/>
    <w:rsid w:val="003916C8"/>
    <w:rsid w:val="003917B7"/>
    <w:rsid w:val="003938A7"/>
    <w:rsid w:val="00394F20"/>
    <w:rsid w:val="00395526"/>
    <w:rsid w:val="00395788"/>
    <w:rsid w:val="00395AD9"/>
    <w:rsid w:val="00396B3D"/>
    <w:rsid w:val="00396C5A"/>
    <w:rsid w:val="0039764E"/>
    <w:rsid w:val="00397746"/>
    <w:rsid w:val="00397805"/>
    <w:rsid w:val="003A0A70"/>
    <w:rsid w:val="003A0D32"/>
    <w:rsid w:val="003A109B"/>
    <w:rsid w:val="003A1932"/>
    <w:rsid w:val="003A1DD5"/>
    <w:rsid w:val="003A212A"/>
    <w:rsid w:val="003A2197"/>
    <w:rsid w:val="003A3352"/>
    <w:rsid w:val="003A3D1C"/>
    <w:rsid w:val="003A3F00"/>
    <w:rsid w:val="003A409A"/>
    <w:rsid w:val="003A46C1"/>
    <w:rsid w:val="003A5FCF"/>
    <w:rsid w:val="003A699A"/>
    <w:rsid w:val="003A705E"/>
    <w:rsid w:val="003B052C"/>
    <w:rsid w:val="003B0889"/>
    <w:rsid w:val="003B0E0A"/>
    <w:rsid w:val="003B0EA0"/>
    <w:rsid w:val="003B0FFF"/>
    <w:rsid w:val="003B1A23"/>
    <w:rsid w:val="003B36DA"/>
    <w:rsid w:val="003B3EC4"/>
    <w:rsid w:val="003B46CA"/>
    <w:rsid w:val="003B6289"/>
    <w:rsid w:val="003B6B4B"/>
    <w:rsid w:val="003B6EA0"/>
    <w:rsid w:val="003B70BF"/>
    <w:rsid w:val="003B7ABB"/>
    <w:rsid w:val="003C054B"/>
    <w:rsid w:val="003C117B"/>
    <w:rsid w:val="003C11A1"/>
    <w:rsid w:val="003C2A5A"/>
    <w:rsid w:val="003C3140"/>
    <w:rsid w:val="003C3464"/>
    <w:rsid w:val="003C3696"/>
    <w:rsid w:val="003C3ED0"/>
    <w:rsid w:val="003C424E"/>
    <w:rsid w:val="003C4ABA"/>
    <w:rsid w:val="003C4C8C"/>
    <w:rsid w:val="003C5403"/>
    <w:rsid w:val="003C65E5"/>
    <w:rsid w:val="003C6C1C"/>
    <w:rsid w:val="003C6CE7"/>
    <w:rsid w:val="003C6E49"/>
    <w:rsid w:val="003D24D4"/>
    <w:rsid w:val="003D2CAF"/>
    <w:rsid w:val="003D2CB3"/>
    <w:rsid w:val="003D3134"/>
    <w:rsid w:val="003D3B81"/>
    <w:rsid w:val="003D3C9C"/>
    <w:rsid w:val="003D4DE8"/>
    <w:rsid w:val="003D6374"/>
    <w:rsid w:val="003E0DFF"/>
    <w:rsid w:val="003E1277"/>
    <w:rsid w:val="003E13EF"/>
    <w:rsid w:val="003E2F1E"/>
    <w:rsid w:val="003E3040"/>
    <w:rsid w:val="003E3700"/>
    <w:rsid w:val="003E4A80"/>
    <w:rsid w:val="003E5851"/>
    <w:rsid w:val="003E6408"/>
    <w:rsid w:val="003E7482"/>
    <w:rsid w:val="003F0E4B"/>
    <w:rsid w:val="003F2309"/>
    <w:rsid w:val="003F2737"/>
    <w:rsid w:val="003F3CE7"/>
    <w:rsid w:val="003F52E8"/>
    <w:rsid w:val="003F6342"/>
    <w:rsid w:val="003F6BE6"/>
    <w:rsid w:val="003F6CAE"/>
    <w:rsid w:val="00400FAF"/>
    <w:rsid w:val="00401851"/>
    <w:rsid w:val="00401FE1"/>
    <w:rsid w:val="004035AD"/>
    <w:rsid w:val="004043C7"/>
    <w:rsid w:val="00404B04"/>
    <w:rsid w:val="00405FCA"/>
    <w:rsid w:val="004068CE"/>
    <w:rsid w:val="004100D3"/>
    <w:rsid w:val="00410561"/>
    <w:rsid w:val="004106BC"/>
    <w:rsid w:val="004117AC"/>
    <w:rsid w:val="004119DA"/>
    <w:rsid w:val="00413A89"/>
    <w:rsid w:val="00413F18"/>
    <w:rsid w:val="00414412"/>
    <w:rsid w:val="00414AA9"/>
    <w:rsid w:val="00414F7B"/>
    <w:rsid w:val="00415341"/>
    <w:rsid w:val="004154F5"/>
    <w:rsid w:val="004155A2"/>
    <w:rsid w:val="00415934"/>
    <w:rsid w:val="00416D33"/>
    <w:rsid w:val="00417631"/>
    <w:rsid w:val="00421848"/>
    <w:rsid w:val="00423281"/>
    <w:rsid w:val="00423449"/>
    <w:rsid w:val="004236E1"/>
    <w:rsid w:val="00424E55"/>
    <w:rsid w:val="00425A61"/>
    <w:rsid w:val="004265B8"/>
    <w:rsid w:val="0042679A"/>
    <w:rsid w:val="004267EF"/>
    <w:rsid w:val="00427838"/>
    <w:rsid w:val="00430484"/>
    <w:rsid w:val="00430939"/>
    <w:rsid w:val="00432459"/>
    <w:rsid w:val="00433049"/>
    <w:rsid w:val="004358DB"/>
    <w:rsid w:val="00435BEF"/>
    <w:rsid w:val="004361BA"/>
    <w:rsid w:val="0044067F"/>
    <w:rsid w:val="00440F49"/>
    <w:rsid w:val="00441F01"/>
    <w:rsid w:val="00442F94"/>
    <w:rsid w:val="004432E8"/>
    <w:rsid w:val="004451A4"/>
    <w:rsid w:val="00445217"/>
    <w:rsid w:val="00445FA0"/>
    <w:rsid w:val="0044666D"/>
    <w:rsid w:val="00450958"/>
    <w:rsid w:val="00451840"/>
    <w:rsid w:val="00452FE7"/>
    <w:rsid w:val="00453FED"/>
    <w:rsid w:val="00455959"/>
    <w:rsid w:val="00455AB1"/>
    <w:rsid w:val="00456349"/>
    <w:rsid w:val="00456C27"/>
    <w:rsid w:val="0045764E"/>
    <w:rsid w:val="00460316"/>
    <w:rsid w:val="0046050B"/>
    <w:rsid w:val="00460608"/>
    <w:rsid w:val="00461DBD"/>
    <w:rsid w:val="00463020"/>
    <w:rsid w:val="0046469C"/>
    <w:rsid w:val="0046475B"/>
    <w:rsid w:val="004652DE"/>
    <w:rsid w:val="00465330"/>
    <w:rsid w:val="004654D5"/>
    <w:rsid w:val="004655D8"/>
    <w:rsid w:val="0046693B"/>
    <w:rsid w:val="00467B5B"/>
    <w:rsid w:val="0047052C"/>
    <w:rsid w:val="00470D77"/>
    <w:rsid w:val="00471175"/>
    <w:rsid w:val="00472647"/>
    <w:rsid w:val="0047278A"/>
    <w:rsid w:val="004740CC"/>
    <w:rsid w:val="004755AE"/>
    <w:rsid w:val="004765BD"/>
    <w:rsid w:val="00476716"/>
    <w:rsid w:val="004769C3"/>
    <w:rsid w:val="00476B6C"/>
    <w:rsid w:val="00477237"/>
    <w:rsid w:val="004803F3"/>
    <w:rsid w:val="0048045B"/>
    <w:rsid w:val="00480657"/>
    <w:rsid w:val="00480CF5"/>
    <w:rsid w:val="00481406"/>
    <w:rsid w:val="00481645"/>
    <w:rsid w:val="004819DB"/>
    <w:rsid w:val="00482AB4"/>
    <w:rsid w:val="00482BAA"/>
    <w:rsid w:val="004844E9"/>
    <w:rsid w:val="00484509"/>
    <w:rsid w:val="00484AE6"/>
    <w:rsid w:val="004864D2"/>
    <w:rsid w:val="0048679A"/>
    <w:rsid w:val="0048690A"/>
    <w:rsid w:val="00487484"/>
    <w:rsid w:val="00487772"/>
    <w:rsid w:val="00487D8F"/>
    <w:rsid w:val="00491CFB"/>
    <w:rsid w:val="00491FB3"/>
    <w:rsid w:val="004925C0"/>
    <w:rsid w:val="0049279B"/>
    <w:rsid w:val="00494544"/>
    <w:rsid w:val="0049566B"/>
    <w:rsid w:val="0049587C"/>
    <w:rsid w:val="00495909"/>
    <w:rsid w:val="00495CBF"/>
    <w:rsid w:val="00497D9B"/>
    <w:rsid w:val="004A081D"/>
    <w:rsid w:val="004A0D6A"/>
    <w:rsid w:val="004A0DF5"/>
    <w:rsid w:val="004A13C7"/>
    <w:rsid w:val="004A1CB8"/>
    <w:rsid w:val="004A24DE"/>
    <w:rsid w:val="004A3AB8"/>
    <w:rsid w:val="004A3CD2"/>
    <w:rsid w:val="004A570A"/>
    <w:rsid w:val="004A7B24"/>
    <w:rsid w:val="004B01C6"/>
    <w:rsid w:val="004B0464"/>
    <w:rsid w:val="004B11FA"/>
    <w:rsid w:val="004B1C1F"/>
    <w:rsid w:val="004B334B"/>
    <w:rsid w:val="004B4192"/>
    <w:rsid w:val="004B45B7"/>
    <w:rsid w:val="004B54BD"/>
    <w:rsid w:val="004C09C5"/>
    <w:rsid w:val="004C0F0A"/>
    <w:rsid w:val="004C0F0F"/>
    <w:rsid w:val="004C2D0F"/>
    <w:rsid w:val="004C2D41"/>
    <w:rsid w:val="004C3BFD"/>
    <w:rsid w:val="004C3E61"/>
    <w:rsid w:val="004C4D12"/>
    <w:rsid w:val="004C55F0"/>
    <w:rsid w:val="004C57B0"/>
    <w:rsid w:val="004C670C"/>
    <w:rsid w:val="004C70A0"/>
    <w:rsid w:val="004C761E"/>
    <w:rsid w:val="004C7AB8"/>
    <w:rsid w:val="004D0AD3"/>
    <w:rsid w:val="004D2001"/>
    <w:rsid w:val="004D2B99"/>
    <w:rsid w:val="004D2F33"/>
    <w:rsid w:val="004D3A0E"/>
    <w:rsid w:val="004D4E8D"/>
    <w:rsid w:val="004D5C0F"/>
    <w:rsid w:val="004D6762"/>
    <w:rsid w:val="004D6CA5"/>
    <w:rsid w:val="004D7205"/>
    <w:rsid w:val="004D7434"/>
    <w:rsid w:val="004D7851"/>
    <w:rsid w:val="004E0AE5"/>
    <w:rsid w:val="004E1A02"/>
    <w:rsid w:val="004E326B"/>
    <w:rsid w:val="004E3954"/>
    <w:rsid w:val="004E398A"/>
    <w:rsid w:val="004E39F2"/>
    <w:rsid w:val="004E3FB5"/>
    <w:rsid w:val="004E4486"/>
    <w:rsid w:val="004E4A66"/>
    <w:rsid w:val="004E555C"/>
    <w:rsid w:val="004F08C8"/>
    <w:rsid w:val="004F0AB9"/>
    <w:rsid w:val="004F1712"/>
    <w:rsid w:val="004F1A8F"/>
    <w:rsid w:val="004F23F1"/>
    <w:rsid w:val="004F2E69"/>
    <w:rsid w:val="004F42FA"/>
    <w:rsid w:val="004F5587"/>
    <w:rsid w:val="004F7814"/>
    <w:rsid w:val="004F7BC4"/>
    <w:rsid w:val="00500550"/>
    <w:rsid w:val="0050139A"/>
    <w:rsid w:val="00502400"/>
    <w:rsid w:val="00502DB6"/>
    <w:rsid w:val="005032B4"/>
    <w:rsid w:val="0050558C"/>
    <w:rsid w:val="00505966"/>
    <w:rsid w:val="005066D4"/>
    <w:rsid w:val="005067D6"/>
    <w:rsid w:val="0050689D"/>
    <w:rsid w:val="00506DCB"/>
    <w:rsid w:val="0050774A"/>
    <w:rsid w:val="0050786C"/>
    <w:rsid w:val="00510162"/>
    <w:rsid w:val="00510C94"/>
    <w:rsid w:val="00510E15"/>
    <w:rsid w:val="00512782"/>
    <w:rsid w:val="00514BF5"/>
    <w:rsid w:val="005154F1"/>
    <w:rsid w:val="00515F31"/>
    <w:rsid w:val="005167D5"/>
    <w:rsid w:val="0052057A"/>
    <w:rsid w:val="00520733"/>
    <w:rsid w:val="005209E1"/>
    <w:rsid w:val="0052120F"/>
    <w:rsid w:val="00521B40"/>
    <w:rsid w:val="00521C3E"/>
    <w:rsid w:val="00521FCE"/>
    <w:rsid w:val="00522D62"/>
    <w:rsid w:val="005240D9"/>
    <w:rsid w:val="00525BEC"/>
    <w:rsid w:val="00525D08"/>
    <w:rsid w:val="005278D2"/>
    <w:rsid w:val="0052792E"/>
    <w:rsid w:val="0053006F"/>
    <w:rsid w:val="005304BB"/>
    <w:rsid w:val="00532DA5"/>
    <w:rsid w:val="00533254"/>
    <w:rsid w:val="00533C53"/>
    <w:rsid w:val="00533E2E"/>
    <w:rsid w:val="00534FA6"/>
    <w:rsid w:val="00536781"/>
    <w:rsid w:val="005371E7"/>
    <w:rsid w:val="00537F90"/>
    <w:rsid w:val="0054037E"/>
    <w:rsid w:val="005411CA"/>
    <w:rsid w:val="0054188C"/>
    <w:rsid w:val="00542B36"/>
    <w:rsid w:val="00543177"/>
    <w:rsid w:val="00543A09"/>
    <w:rsid w:val="0054427D"/>
    <w:rsid w:val="00544424"/>
    <w:rsid w:val="00544FF2"/>
    <w:rsid w:val="00545191"/>
    <w:rsid w:val="005451FE"/>
    <w:rsid w:val="00546F92"/>
    <w:rsid w:val="00547370"/>
    <w:rsid w:val="00547C4F"/>
    <w:rsid w:val="00550961"/>
    <w:rsid w:val="005516C5"/>
    <w:rsid w:val="005517E2"/>
    <w:rsid w:val="00551EBB"/>
    <w:rsid w:val="0055230B"/>
    <w:rsid w:val="0055253A"/>
    <w:rsid w:val="005527C6"/>
    <w:rsid w:val="00552CBD"/>
    <w:rsid w:val="0055570B"/>
    <w:rsid w:val="005568EE"/>
    <w:rsid w:val="00557837"/>
    <w:rsid w:val="00560157"/>
    <w:rsid w:val="005603FD"/>
    <w:rsid w:val="00560804"/>
    <w:rsid w:val="00560D34"/>
    <w:rsid w:val="005617B6"/>
    <w:rsid w:val="00562777"/>
    <w:rsid w:val="005627F0"/>
    <w:rsid w:val="005628A1"/>
    <w:rsid w:val="00563D32"/>
    <w:rsid w:val="00563D50"/>
    <w:rsid w:val="005643DC"/>
    <w:rsid w:val="0056461B"/>
    <w:rsid w:val="005651D1"/>
    <w:rsid w:val="00565910"/>
    <w:rsid w:val="00565B5B"/>
    <w:rsid w:val="0056614E"/>
    <w:rsid w:val="005668C1"/>
    <w:rsid w:val="00566A81"/>
    <w:rsid w:val="00567682"/>
    <w:rsid w:val="005707D5"/>
    <w:rsid w:val="00570E19"/>
    <w:rsid w:val="0057245F"/>
    <w:rsid w:val="0057280A"/>
    <w:rsid w:val="00572CB2"/>
    <w:rsid w:val="00572FC4"/>
    <w:rsid w:val="00574A82"/>
    <w:rsid w:val="00575E9A"/>
    <w:rsid w:val="00576475"/>
    <w:rsid w:val="00576AF7"/>
    <w:rsid w:val="00581828"/>
    <w:rsid w:val="00582A3F"/>
    <w:rsid w:val="00582B9D"/>
    <w:rsid w:val="00582E31"/>
    <w:rsid w:val="00583E79"/>
    <w:rsid w:val="005840F7"/>
    <w:rsid w:val="00584856"/>
    <w:rsid w:val="0058580A"/>
    <w:rsid w:val="00585C13"/>
    <w:rsid w:val="00585DF3"/>
    <w:rsid w:val="00586B60"/>
    <w:rsid w:val="0058784F"/>
    <w:rsid w:val="005879AF"/>
    <w:rsid w:val="00590DBF"/>
    <w:rsid w:val="005910D2"/>
    <w:rsid w:val="00591744"/>
    <w:rsid w:val="00592005"/>
    <w:rsid w:val="00592A43"/>
    <w:rsid w:val="00594704"/>
    <w:rsid w:val="0059644F"/>
    <w:rsid w:val="005966AD"/>
    <w:rsid w:val="00596FCC"/>
    <w:rsid w:val="005A1138"/>
    <w:rsid w:val="005A13BE"/>
    <w:rsid w:val="005A276C"/>
    <w:rsid w:val="005A4220"/>
    <w:rsid w:val="005A4994"/>
    <w:rsid w:val="005A4FAB"/>
    <w:rsid w:val="005A55F8"/>
    <w:rsid w:val="005A6021"/>
    <w:rsid w:val="005B01AC"/>
    <w:rsid w:val="005B0225"/>
    <w:rsid w:val="005B09AB"/>
    <w:rsid w:val="005B17C3"/>
    <w:rsid w:val="005B2401"/>
    <w:rsid w:val="005B39BE"/>
    <w:rsid w:val="005B3F74"/>
    <w:rsid w:val="005B47A9"/>
    <w:rsid w:val="005B4D86"/>
    <w:rsid w:val="005B5C38"/>
    <w:rsid w:val="005B7628"/>
    <w:rsid w:val="005C0CE4"/>
    <w:rsid w:val="005C2DFB"/>
    <w:rsid w:val="005C3093"/>
    <w:rsid w:val="005C3B6F"/>
    <w:rsid w:val="005C3CF6"/>
    <w:rsid w:val="005C548A"/>
    <w:rsid w:val="005C5905"/>
    <w:rsid w:val="005C5A9F"/>
    <w:rsid w:val="005C65C1"/>
    <w:rsid w:val="005C6AD8"/>
    <w:rsid w:val="005C70C0"/>
    <w:rsid w:val="005C76AA"/>
    <w:rsid w:val="005C7FB5"/>
    <w:rsid w:val="005D04B5"/>
    <w:rsid w:val="005D080E"/>
    <w:rsid w:val="005D0A48"/>
    <w:rsid w:val="005D0FC9"/>
    <w:rsid w:val="005D1615"/>
    <w:rsid w:val="005D1C36"/>
    <w:rsid w:val="005D2607"/>
    <w:rsid w:val="005D28B4"/>
    <w:rsid w:val="005D2DDA"/>
    <w:rsid w:val="005D3665"/>
    <w:rsid w:val="005D3778"/>
    <w:rsid w:val="005D4654"/>
    <w:rsid w:val="005D47CE"/>
    <w:rsid w:val="005D611F"/>
    <w:rsid w:val="005D62EA"/>
    <w:rsid w:val="005E079D"/>
    <w:rsid w:val="005E1513"/>
    <w:rsid w:val="005E4FFE"/>
    <w:rsid w:val="005E5928"/>
    <w:rsid w:val="005E67ED"/>
    <w:rsid w:val="005E69A9"/>
    <w:rsid w:val="005E7C89"/>
    <w:rsid w:val="005E7F24"/>
    <w:rsid w:val="005F1427"/>
    <w:rsid w:val="005F28D8"/>
    <w:rsid w:val="005F2BF4"/>
    <w:rsid w:val="005F3316"/>
    <w:rsid w:val="005F3F95"/>
    <w:rsid w:val="005F4027"/>
    <w:rsid w:val="005F73EC"/>
    <w:rsid w:val="00600A16"/>
    <w:rsid w:val="00600BD4"/>
    <w:rsid w:val="006016E6"/>
    <w:rsid w:val="006018E2"/>
    <w:rsid w:val="00601D49"/>
    <w:rsid w:val="0060215F"/>
    <w:rsid w:val="00602A8C"/>
    <w:rsid w:val="00602D04"/>
    <w:rsid w:val="006057A2"/>
    <w:rsid w:val="00605FA2"/>
    <w:rsid w:val="006063CD"/>
    <w:rsid w:val="006069E6"/>
    <w:rsid w:val="00607B47"/>
    <w:rsid w:val="00607C56"/>
    <w:rsid w:val="0061047C"/>
    <w:rsid w:val="0061084D"/>
    <w:rsid w:val="0061090E"/>
    <w:rsid w:val="00610E76"/>
    <w:rsid w:val="00611F48"/>
    <w:rsid w:val="0061558E"/>
    <w:rsid w:val="0061605B"/>
    <w:rsid w:val="00616135"/>
    <w:rsid w:val="00617062"/>
    <w:rsid w:val="0062075A"/>
    <w:rsid w:val="00620D81"/>
    <w:rsid w:val="006212DA"/>
    <w:rsid w:val="00621E38"/>
    <w:rsid w:val="0062258F"/>
    <w:rsid w:val="00622672"/>
    <w:rsid w:val="00622BF4"/>
    <w:rsid w:val="00624BCA"/>
    <w:rsid w:val="00625F8F"/>
    <w:rsid w:val="00626B08"/>
    <w:rsid w:val="00627DD4"/>
    <w:rsid w:val="006300F8"/>
    <w:rsid w:val="0063210B"/>
    <w:rsid w:val="00633A16"/>
    <w:rsid w:val="00633AE8"/>
    <w:rsid w:val="00633ED8"/>
    <w:rsid w:val="00634122"/>
    <w:rsid w:val="006345E6"/>
    <w:rsid w:val="00635317"/>
    <w:rsid w:val="006366D7"/>
    <w:rsid w:val="0063741F"/>
    <w:rsid w:val="00637807"/>
    <w:rsid w:val="0064072E"/>
    <w:rsid w:val="00642887"/>
    <w:rsid w:val="006439AA"/>
    <w:rsid w:val="006449CC"/>
    <w:rsid w:val="00646BB7"/>
    <w:rsid w:val="00647240"/>
    <w:rsid w:val="006478B8"/>
    <w:rsid w:val="006479B6"/>
    <w:rsid w:val="006507C4"/>
    <w:rsid w:val="00653078"/>
    <w:rsid w:val="00653DC1"/>
    <w:rsid w:val="00654A00"/>
    <w:rsid w:val="00654ACC"/>
    <w:rsid w:val="00654C0C"/>
    <w:rsid w:val="00655396"/>
    <w:rsid w:val="00655FDF"/>
    <w:rsid w:val="00656EB5"/>
    <w:rsid w:val="006578E3"/>
    <w:rsid w:val="006579BD"/>
    <w:rsid w:val="00657B7D"/>
    <w:rsid w:val="00660AFC"/>
    <w:rsid w:val="00661568"/>
    <w:rsid w:val="00661DC9"/>
    <w:rsid w:val="00661EE1"/>
    <w:rsid w:val="006626A0"/>
    <w:rsid w:val="00663B61"/>
    <w:rsid w:val="00663FCD"/>
    <w:rsid w:val="006643EE"/>
    <w:rsid w:val="00665A94"/>
    <w:rsid w:val="00665FAA"/>
    <w:rsid w:val="006664EC"/>
    <w:rsid w:val="00667F3F"/>
    <w:rsid w:val="006701B3"/>
    <w:rsid w:val="00670AEB"/>
    <w:rsid w:val="0067185B"/>
    <w:rsid w:val="006718D5"/>
    <w:rsid w:val="00672788"/>
    <w:rsid w:val="00674C6F"/>
    <w:rsid w:val="006751C4"/>
    <w:rsid w:val="006753CD"/>
    <w:rsid w:val="00676624"/>
    <w:rsid w:val="00676C7D"/>
    <w:rsid w:val="00676D78"/>
    <w:rsid w:val="00677B1F"/>
    <w:rsid w:val="00677EB5"/>
    <w:rsid w:val="0068021A"/>
    <w:rsid w:val="006810C9"/>
    <w:rsid w:val="00681C98"/>
    <w:rsid w:val="00683B0A"/>
    <w:rsid w:val="00685095"/>
    <w:rsid w:val="00685177"/>
    <w:rsid w:val="00685986"/>
    <w:rsid w:val="006866A4"/>
    <w:rsid w:val="0068750F"/>
    <w:rsid w:val="00690130"/>
    <w:rsid w:val="006901B9"/>
    <w:rsid w:val="00690E40"/>
    <w:rsid w:val="006913A7"/>
    <w:rsid w:val="0069154D"/>
    <w:rsid w:val="00691CB6"/>
    <w:rsid w:val="006927EF"/>
    <w:rsid w:val="00692B99"/>
    <w:rsid w:val="00692FA4"/>
    <w:rsid w:val="00692FF5"/>
    <w:rsid w:val="006930FF"/>
    <w:rsid w:val="00693C84"/>
    <w:rsid w:val="00694FF5"/>
    <w:rsid w:val="006950D8"/>
    <w:rsid w:val="006958C9"/>
    <w:rsid w:val="0069633A"/>
    <w:rsid w:val="00697341"/>
    <w:rsid w:val="006976B9"/>
    <w:rsid w:val="006978A7"/>
    <w:rsid w:val="006A2131"/>
    <w:rsid w:val="006A2485"/>
    <w:rsid w:val="006A276A"/>
    <w:rsid w:val="006A2829"/>
    <w:rsid w:val="006A2C82"/>
    <w:rsid w:val="006A3D57"/>
    <w:rsid w:val="006A5879"/>
    <w:rsid w:val="006A5E1F"/>
    <w:rsid w:val="006A7851"/>
    <w:rsid w:val="006A7E4F"/>
    <w:rsid w:val="006B0820"/>
    <w:rsid w:val="006B0954"/>
    <w:rsid w:val="006B1B99"/>
    <w:rsid w:val="006B1C24"/>
    <w:rsid w:val="006B25B6"/>
    <w:rsid w:val="006B2712"/>
    <w:rsid w:val="006B27A0"/>
    <w:rsid w:val="006B2B68"/>
    <w:rsid w:val="006B3136"/>
    <w:rsid w:val="006B33E6"/>
    <w:rsid w:val="006B3B75"/>
    <w:rsid w:val="006B3F09"/>
    <w:rsid w:val="006B5756"/>
    <w:rsid w:val="006B5FAF"/>
    <w:rsid w:val="006B67C8"/>
    <w:rsid w:val="006B6BB4"/>
    <w:rsid w:val="006B70FD"/>
    <w:rsid w:val="006B730A"/>
    <w:rsid w:val="006B7CB3"/>
    <w:rsid w:val="006C0ADE"/>
    <w:rsid w:val="006C0E05"/>
    <w:rsid w:val="006C2363"/>
    <w:rsid w:val="006C24E5"/>
    <w:rsid w:val="006C25B5"/>
    <w:rsid w:val="006C2BB5"/>
    <w:rsid w:val="006C375D"/>
    <w:rsid w:val="006C3932"/>
    <w:rsid w:val="006C3B09"/>
    <w:rsid w:val="006C4CA9"/>
    <w:rsid w:val="006C597D"/>
    <w:rsid w:val="006C5E98"/>
    <w:rsid w:val="006C6355"/>
    <w:rsid w:val="006C7488"/>
    <w:rsid w:val="006C7D3F"/>
    <w:rsid w:val="006D0141"/>
    <w:rsid w:val="006D0C5F"/>
    <w:rsid w:val="006D3746"/>
    <w:rsid w:val="006D43DF"/>
    <w:rsid w:val="006D5D56"/>
    <w:rsid w:val="006D76DA"/>
    <w:rsid w:val="006D7A58"/>
    <w:rsid w:val="006E0702"/>
    <w:rsid w:val="006E0B30"/>
    <w:rsid w:val="006E1178"/>
    <w:rsid w:val="006E149B"/>
    <w:rsid w:val="006E2B32"/>
    <w:rsid w:val="006E470D"/>
    <w:rsid w:val="006E479B"/>
    <w:rsid w:val="006E5F1E"/>
    <w:rsid w:val="006E7C37"/>
    <w:rsid w:val="006E7D0F"/>
    <w:rsid w:val="006E7E64"/>
    <w:rsid w:val="006F0970"/>
    <w:rsid w:val="006F14DF"/>
    <w:rsid w:val="006F1A1C"/>
    <w:rsid w:val="006F30D0"/>
    <w:rsid w:val="006F3AA9"/>
    <w:rsid w:val="006F4349"/>
    <w:rsid w:val="006F4C36"/>
    <w:rsid w:val="006F5ADF"/>
    <w:rsid w:val="006F6771"/>
    <w:rsid w:val="0070019A"/>
    <w:rsid w:val="007009C8"/>
    <w:rsid w:val="00700C51"/>
    <w:rsid w:val="007011F3"/>
    <w:rsid w:val="00701961"/>
    <w:rsid w:val="00703409"/>
    <w:rsid w:val="007038EB"/>
    <w:rsid w:val="00706615"/>
    <w:rsid w:val="0070788F"/>
    <w:rsid w:val="00712302"/>
    <w:rsid w:val="00712A3D"/>
    <w:rsid w:val="00713DEA"/>
    <w:rsid w:val="007144DD"/>
    <w:rsid w:val="00714AFB"/>
    <w:rsid w:val="007151F6"/>
    <w:rsid w:val="00715AD2"/>
    <w:rsid w:val="00717A23"/>
    <w:rsid w:val="00717D48"/>
    <w:rsid w:val="007209F4"/>
    <w:rsid w:val="00721D79"/>
    <w:rsid w:val="00722497"/>
    <w:rsid w:val="0072268A"/>
    <w:rsid w:val="00723570"/>
    <w:rsid w:val="00725006"/>
    <w:rsid w:val="00725910"/>
    <w:rsid w:val="00726661"/>
    <w:rsid w:val="00726963"/>
    <w:rsid w:val="00726F74"/>
    <w:rsid w:val="007279D1"/>
    <w:rsid w:val="00731008"/>
    <w:rsid w:val="00732021"/>
    <w:rsid w:val="00732926"/>
    <w:rsid w:val="00733F6F"/>
    <w:rsid w:val="0073444E"/>
    <w:rsid w:val="0073583A"/>
    <w:rsid w:val="007364E6"/>
    <w:rsid w:val="00740221"/>
    <w:rsid w:val="007408BD"/>
    <w:rsid w:val="007413E1"/>
    <w:rsid w:val="0074198A"/>
    <w:rsid w:val="007430AA"/>
    <w:rsid w:val="0074384B"/>
    <w:rsid w:val="00744291"/>
    <w:rsid w:val="007443B9"/>
    <w:rsid w:val="0074463C"/>
    <w:rsid w:val="007446E2"/>
    <w:rsid w:val="00744A54"/>
    <w:rsid w:val="007459E7"/>
    <w:rsid w:val="00745F9D"/>
    <w:rsid w:val="0074639B"/>
    <w:rsid w:val="0074683F"/>
    <w:rsid w:val="0074713C"/>
    <w:rsid w:val="0075033D"/>
    <w:rsid w:val="00752009"/>
    <w:rsid w:val="007520E0"/>
    <w:rsid w:val="0075221E"/>
    <w:rsid w:val="00752574"/>
    <w:rsid w:val="00752BB5"/>
    <w:rsid w:val="00752DA4"/>
    <w:rsid w:val="007539AF"/>
    <w:rsid w:val="00753BFD"/>
    <w:rsid w:val="007549A2"/>
    <w:rsid w:val="00754C1D"/>
    <w:rsid w:val="00755192"/>
    <w:rsid w:val="00757405"/>
    <w:rsid w:val="00757CCF"/>
    <w:rsid w:val="00760B1C"/>
    <w:rsid w:val="0076141C"/>
    <w:rsid w:val="007616CE"/>
    <w:rsid w:val="00761E00"/>
    <w:rsid w:val="0076287A"/>
    <w:rsid w:val="00763300"/>
    <w:rsid w:val="00764056"/>
    <w:rsid w:val="00764C3A"/>
    <w:rsid w:val="00765B29"/>
    <w:rsid w:val="0076663F"/>
    <w:rsid w:val="00767E91"/>
    <w:rsid w:val="00770563"/>
    <w:rsid w:val="00770A1A"/>
    <w:rsid w:val="00771D5A"/>
    <w:rsid w:val="00771E37"/>
    <w:rsid w:val="0077323C"/>
    <w:rsid w:val="00773250"/>
    <w:rsid w:val="00773989"/>
    <w:rsid w:val="00773D15"/>
    <w:rsid w:val="00774809"/>
    <w:rsid w:val="00775725"/>
    <w:rsid w:val="0077646E"/>
    <w:rsid w:val="0077699B"/>
    <w:rsid w:val="00777B35"/>
    <w:rsid w:val="007811AC"/>
    <w:rsid w:val="007812CA"/>
    <w:rsid w:val="0078176E"/>
    <w:rsid w:val="00781F6C"/>
    <w:rsid w:val="007820AF"/>
    <w:rsid w:val="00782583"/>
    <w:rsid w:val="0078338B"/>
    <w:rsid w:val="007837A8"/>
    <w:rsid w:val="00785424"/>
    <w:rsid w:val="00785857"/>
    <w:rsid w:val="00786C41"/>
    <w:rsid w:val="00790C72"/>
    <w:rsid w:val="00791033"/>
    <w:rsid w:val="00791733"/>
    <w:rsid w:val="00791B75"/>
    <w:rsid w:val="00792AD3"/>
    <w:rsid w:val="00794142"/>
    <w:rsid w:val="00794DF0"/>
    <w:rsid w:val="00795441"/>
    <w:rsid w:val="00795F38"/>
    <w:rsid w:val="00796BDE"/>
    <w:rsid w:val="0079724B"/>
    <w:rsid w:val="007A0011"/>
    <w:rsid w:val="007A06B8"/>
    <w:rsid w:val="007A0F1F"/>
    <w:rsid w:val="007A128D"/>
    <w:rsid w:val="007A1C1D"/>
    <w:rsid w:val="007A2606"/>
    <w:rsid w:val="007A2B91"/>
    <w:rsid w:val="007A4020"/>
    <w:rsid w:val="007A4677"/>
    <w:rsid w:val="007A467D"/>
    <w:rsid w:val="007A4EB9"/>
    <w:rsid w:val="007A5BEF"/>
    <w:rsid w:val="007B09D6"/>
    <w:rsid w:val="007B31E9"/>
    <w:rsid w:val="007B3461"/>
    <w:rsid w:val="007B398A"/>
    <w:rsid w:val="007B5314"/>
    <w:rsid w:val="007B6269"/>
    <w:rsid w:val="007B7902"/>
    <w:rsid w:val="007C0C8D"/>
    <w:rsid w:val="007C2036"/>
    <w:rsid w:val="007C34D4"/>
    <w:rsid w:val="007C3A69"/>
    <w:rsid w:val="007C4AFB"/>
    <w:rsid w:val="007C5A96"/>
    <w:rsid w:val="007C5B59"/>
    <w:rsid w:val="007C6FB0"/>
    <w:rsid w:val="007D05E2"/>
    <w:rsid w:val="007D0F81"/>
    <w:rsid w:val="007D183A"/>
    <w:rsid w:val="007D2BBA"/>
    <w:rsid w:val="007D2E57"/>
    <w:rsid w:val="007D517C"/>
    <w:rsid w:val="007D5856"/>
    <w:rsid w:val="007E03DE"/>
    <w:rsid w:val="007E0577"/>
    <w:rsid w:val="007E0DCA"/>
    <w:rsid w:val="007E285E"/>
    <w:rsid w:val="007E33DF"/>
    <w:rsid w:val="007E4075"/>
    <w:rsid w:val="007E4C56"/>
    <w:rsid w:val="007E5076"/>
    <w:rsid w:val="007E58DE"/>
    <w:rsid w:val="007E6AE6"/>
    <w:rsid w:val="007E7487"/>
    <w:rsid w:val="007F0C6D"/>
    <w:rsid w:val="007F1B29"/>
    <w:rsid w:val="007F200A"/>
    <w:rsid w:val="007F2F04"/>
    <w:rsid w:val="007F3ACD"/>
    <w:rsid w:val="007F3D82"/>
    <w:rsid w:val="007F4806"/>
    <w:rsid w:val="007F4D1A"/>
    <w:rsid w:val="007F56D8"/>
    <w:rsid w:val="007F5781"/>
    <w:rsid w:val="007F5C2C"/>
    <w:rsid w:val="007F61C7"/>
    <w:rsid w:val="007F6FC3"/>
    <w:rsid w:val="007F7B1C"/>
    <w:rsid w:val="0080181F"/>
    <w:rsid w:val="0080186C"/>
    <w:rsid w:val="008025C6"/>
    <w:rsid w:val="00802678"/>
    <w:rsid w:val="008027A3"/>
    <w:rsid w:val="00802CF9"/>
    <w:rsid w:val="00803539"/>
    <w:rsid w:val="00803599"/>
    <w:rsid w:val="00804A1A"/>
    <w:rsid w:val="00805BA0"/>
    <w:rsid w:val="00806992"/>
    <w:rsid w:val="00807117"/>
    <w:rsid w:val="008075EC"/>
    <w:rsid w:val="00810DAC"/>
    <w:rsid w:val="00811C94"/>
    <w:rsid w:val="00811F6E"/>
    <w:rsid w:val="00811FC5"/>
    <w:rsid w:val="00812648"/>
    <w:rsid w:val="00812730"/>
    <w:rsid w:val="00812F4A"/>
    <w:rsid w:val="00813D51"/>
    <w:rsid w:val="00813F56"/>
    <w:rsid w:val="00814431"/>
    <w:rsid w:val="00815033"/>
    <w:rsid w:val="008157DF"/>
    <w:rsid w:val="00816ADD"/>
    <w:rsid w:val="00816AF2"/>
    <w:rsid w:val="00816AFF"/>
    <w:rsid w:val="00820570"/>
    <w:rsid w:val="008206F1"/>
    <w:rsid w:val="00821ABB"/>
    <w:rsid w:val="00821C26"/>
    <w:rsid w:val="00822084"/>
    <w:rsid w:val="00823912"/>
    <w:rsid w:val="008242AA"/>
    <w:rsid w:val="00824571"/>
    <w:rsid w:val="00824FE6"/>
    <w:rsid w:val="008252AC"/>
    <w:rsid w:val="008261FE"/>
    <w:rsid w:val="008279B5"/>
    <w:rsid w:val="00827A3F"/>
    <w:rsid w:val="008303DC"/>
    <w:rsid w:val="00830765"/>
    <w:rsid w:val="00831479"/>
    <w:rsid w:val="0083248C"/>
    <w:rsid w:val="008327AD"/>
    <w:rsid w:val="00833C5F"/>
    <w:rsid w:val="0083435B"/>
    <w:rsid w:val="008343AA"/>
    <w:rsid w:val="008351A7"/>
    <w:rsid w:val="00835A4B"/>
    <w:rsid w:val="00835F69"/>
    <w:rsid w:val="0083655A"/>
    <w:rsid w:val="008404AF"/>
    <w:rsid w:val="00840D2C"/>
    <w:rsid w:val="0084140B"/>
    <w:rsid w:val="00842D28"/>
    <w:rsid w:val="00842E31"/>
    <w:rsid w:val="008435D6"/>
    <w:rsid w:val="00843643"/>
    <w:rsid w:val="00843E3A"/>
    <w:rsid w:val="00844706"/>
    <w:rsid w:val="00844FCA"/>
    <w:rsid w:val="00845739"/>
    <w:rsid w:val="00845855"/>
    <w:rsid w:val="00846171"/>
    <w:rsid w:val="008462BA"/>
    <w:rsid w:val="0084692B"/>
    <w:rsid w:val="00846B01"/>
    <w:rsid w:val="0085011A"/>
    <w:rsid w:val="0085085E"/>
    <w:rsid w:val="0085110A"/>
    <w:rsid w:val="00851367"/>
    <w:rsid w:val="00851508"/>
    <w:rsid w:val="00852E05"/>
    <w:rsid w:val="00853615"/>
    <w:rsid w:val="00853775"/>
    <w:rsid w:val="00853D53"/>
    <w:rsid w:val="00854FC9"/>
    <w:rsid w:val="008551F5"/>
    <w:rsid w:val="008558B1"/>
    <w:rsid w:val="008566B8"/>
    <w:rsid w:val="00857060"/>
    <w:rsid w:val="0085794C"/>
    <w:rsid w:val="00860916"/>
    <w:rsid w:val="00860BFB"/>
    <w:rsid w:val="00860D6A"/>
    <w:rsid w:val="008618F6"/>
    <w:rsid w:val="00861F43"/>
    <w:rsid w:val="00862346"/>
    <w:rsid w:val="00862348"/>
    <w:rsid w:val="0086365A"/>
    <w:rsid w:val="00863AE2"/>
    <w:rsid w:val="00864959"/>
    <w:rsid w:val="00866CBF"/>
    <w:rsid w:val="0086748E"/>
    <w:rsid w:val="008707E2"/>
    <w:rsid w:val="00870931"/>
    <w:rsid w:val="00871FB2"/>
    <w:rsid w:val="008723DC"/>
    <w:rsid w:val="00873382"/>
    <w:rsid w:val="00873DB0"/>
    <w:rsid w:val="008740CD"/>
    <w:rsid w:val="00874558"/>
    <w:rsid w:val="00874DEA"/>
    <w:rsid w:val="0087505E"/>
    <w:rsid w:val="00875A82"/>
    <w:rsid w:val="0087758B"/>
    <w:rsid w:val="008779B2"/>
    <w:rsid w:val="008805F7"/>
    <w:rsid w:val="00881E80"/>
    <w:rsid w:val="008821CD"/>
    <w:rsid w:val="008824D9"/>
    <w:rsid w:val="00883209"/>
    <w:rsid w:val="008837A1"/>
    <w:rsid w:val="00883E4D"/>
    <w:rsid w:val="008846A1"/>
    <w:rsid w:val="008848C6"/>
    <w:rsid w:val="0088499D"/>
    <w:rsid w:val="008865FE"/>
    <w:rsid w:val="00887324"/>
    <w:rsid w:val="00887D06"/>
    <w:rsid w:val="00887EAC"/>
    <w:rsid w:val="00890211"/>
    <w:rsid w:val="00890F1D"/>
    <w:rsid w:val="0089133E"/>
    <w:rsid w:val="00891B04"/>
    <w:rsid w:val="00892E5C"/>
    <w:rsid w:val="00895077"/>
    <w:rsid w:val="00895948"/>
    <w:rsid w:val="0089687C"/>
    <w:rsid w:val="00896A65"/>
    <w:rsid w:val="00897170"/>
    <w:rsid w:val="00897E91"/>
    <w:rsid w:val="008A1235"/>
    <w:rsid w:val="008A1CDE"/>
    <w:rsid w:val="008A1E6C"/>
    <w:rsid w:val="008A1F6B"/>
    <w:rsid w:val="008A24AF"/>
    <w:rsid w:val="008A314F"/>
    <w:rsid w:val="008A3A6F"/>
    <w:rsid w:val="008A5333"/>
    <w:rsid w:val="008A5C9F"/>
    <w:rsid w:val="008A5E52"/>
    <w:rsid w:val="008A6236"/>
    <w:rsid w:val="008A6284"/>
    <w:rsid w:val="008A7AAA"/>
    <w:rsid w:val="008A7B1F"/>
    <w:rsid w:val="008B0D1E"/>
    <w:rsid w:val="008B0F09"/>
    <w:rsid w:val="008B1097"/>
    <w:rsid w:val="008B21D7"/>
    <w:rsid w:val="008B2765"/>
    <w:rsid w:val="008B29BF"/>
    <w:rsid w:val="008B336E"/>
    <w:rsid w:val="008B3832"/>
    <w:rsid w:val="008B3CB6"/>
    <w:rsid w:val="008B4B2D"/>
    <w:rsid w:val="008B59F4"/>
    <w:rsid w:val="008B5D9E"/>
    <w:rsid w:val="008B6F48"/>
    <w:rsid w:val="008B75E6"/>
    <w:rsid w:val="008B75FC"/>
    <w:rsid w:val="008B76E7"/>
    <w:rsid w:val="008B7A0E"/>
    <w:rsid w:val="008B7FA7"/>
    <w:rsid w:val="008C0C09"/>
    <w:rsid w:val="008C1828"/>
    <w:rsid w:val="008C1E33"/>
    <w:rsid w:val="008C2607"/>
    <w:rsid w:val="008C4036"/>
    <w:rsid w:val="008C420E"/>
    <w:rsid w:val="008C42E7"/>
    <w:rsid w:val="008C4D64"/>
    <w:rsid w:val="008C5951"/>
    <w:rsid w:val="008C5B8F"/>
    <w:rsid w:val="008C666B"/>
    <w:rsid w:val="008D0229"/>
    <w:rsid w:val="008D18A5"/>
    <w:rsid w:val="008D39AD"/>
    <w:rsid w:val="008D3F79"/>
    <w:rsid w:val="008D443E"/>
    <w:rsid w:val="008D5162"/>
    <w:rsid w:val="008D5F49"/>
    <w:rsid w:val="008D721D"/>
    <w:rsid w:val="008D76C1"/>
    <w:rsid w:val="008D7F2A"/>
    <w:rsid w:val="008E0078"/>
    <w:rsid w:val="008E08EE"/>
    <w:rsid w:val="008E0F9B"/>
    <w:rsid w:val="008E1386"/>
    <w:rsid w:val="008E1D8F"/>
    <w:rsid w:val="008E21C4"/>
    <w:rsid w:val="008E2294"/>
    <w:rsid w:val="008E3378"/>
    <w:rsid w:val="008E3900"/>
    <w:rsid w:val="008E4043"/>
    <w:rsid w:val="008E476B"/>
    <w:rsid w:val="008E47A3"/>
    <w:rsid w:val="008E4E1A"/>
    <w:rsid w:val="008E548E"/>
    <w:rsid w:val="008E5C44"/>
    <w:rsid w:val="008E612B"/>
    <w:rsid w:val="008E745B"/>
    <w:rsid w:val="008E7578"/>
    <w:rsid w:val="008F08CF"/>
    <w:rsid w:val="008F131C"/>
    <w:rsid w:val="008F1B88"/>
    <w:rsid w:val="008F2BD7"/>
    <w:rsid w:val="008F5E15"/>
    <w:rsid w:val="008F769D"/>
    <w:rsid w:val="008F7B3F"/>
    <w:rsid w:val="00901AE2"/>
    <w:rsid w:val="00901D92"/>
    <w:rsid w:val="009037C4"/>
    <w:rsid w:val="00904520"/>
    <w:rsid w:val="00907DD4"/>
    <w:rsid w:val="009100AF"/>
    <w:rsid w:val="00910504"/>
    <w:rsid w:val="009106D4"/>
    <w:rsid w:val="00910907"/>
    <w:rsid w:val="009112E4"/>
    <w:rsid w:val="0091166C"/>
    <w:rsid w:val="00913515"/>
    <w:rsid w:val="00913C93"/>
    <w:rsid w:val="00914004"/>
    <w:rsid w:val="009147C3"/>
    <w:rsid w:val="00914A62"/>
    <w:rsid w:val="00915DCF"/>
    <w:rsid w:val="0091729B"/>
    <w:rsid w:val="00920106"/>
    <w:rsid w:val="00920207"/>
    <w:rsid w:val="0092077F"/>
    <w:rsid w:val="00922291"/>
    <w:rsid w:val="00922433"/>
    <w:rsid w:val="00922A5F"/>
    <w:rsid w:val="00923A04"/>
    <w:rsid w:val="009258EF"/>
    <w:rsid w:val="00925EDB"/>
    <w:rsid w:val="00925F6A"/>
    <w:rsid w:val="009266EC"/>
    <w:rsid w:val="00927A6A"/>
    <w:rsid w:val="00930A28"/>
    <w:rsid w:val="00930E1D"/>
    <w:rsid w:val="00930EA5"/>
    <w:rsid w:val="00931836"/>
    <w:rsid w:val="0093355A"/>
    <w:rsid w:val="00933A2C"/>
    <w:rsid w:val="0093502A"/>
    <w:rsid w:val="009358A0"/>
    <w:rsid w:val="009401A2"/>
    <w:rsid w:val="0094178E"/>
    <w:rsid w:val="00941D90"/>
    <w:rsid w:val="00942D7D"/>
    <w:rsid w:val="009435CA"/>
    <w:rsid w:val="00944039"/>
    <w:rsid w:val="00944BEC"/>
    <w:rsid w:val="0094583E"/>
    <w:rsid w:val="00945DDE"/>
    <w:rsid w:val="00947011"/>
    <w:rsid w:val="009477FF"/>
    <w:rsid w:val="009479BF"/>
    <w:rsid w:val="00947EBB"/>
    <w:rsid w:val="00947F02"/>
    <w:rsid w:val="00950378"/>
    <w:rsid w:val="00951237"/>
    <w:rsid w:val="00952751"/>
    <w:rsid w:val="00952876"/>
    <w:rsid w:val="00952B98"/>
    <w:rsid w:val="00953454"/>
    <w:rsid w:val="00954766"/>
    <w:rsid w:val="0095548E"/>
    <w:rsid w:val="00956948"/>
    <w:rsid w:val="00957984"/>
    <w:rsid w:val="00960088"/>
    <w:rsid w:val="00960462"/>
    <w:rsid w:val="00961E6C"/>
    <w:rsid w:val="00964049"/>
    <w:rsid w:val="009649A6"/>
    <w:rsid w:val="00964BDC"/>
    <w:rsid w:val="00967DF9"/>
    <w:rsid w:val="009707F8"/>
    <w:rsid w:val="00971C66"/>
    <w:rsid w:val="00971DE1"/>
    <w:rsid w:val="00972AF4"/>
    <w:rsid w:val="00974360"/>
    <w:rsid w:val="00981779"/>
    <w:rsid w:val="00981C33"/>
    <w:rsid w:val="0098201B"/>
    <w:rsid w:val="009828EE"/>
    <w:rsid w:val="0098372D"/>
    <w:rsid w:val="00984D65"/>
    <w:rsid w:val="009853F3"/>
    <w:rsid w:val="0098563C"/>
    <w:rsid w:val="009858C3"/>
    <w:rsid w:val="0098765E"/>
    <w:rsid w:val="009878E7"/>
    <w:rsid w:val="0099050D"/>
    <w:rsid w:val="009906E8"/>
    <w:rsid w:val="00990B02"/>
    <w:rsid w:val="009917DC"/>
    <w:rsid w:val="009919EC"/>
    <w:rsid w:val="009921B0"/>
    <w:rsid w:val="009923CD"/>
    <w:rsid w:val="009923FA"/>
    <w:rsid w:val="009926BA"/>
    <w:rsid w:val="00992F3D"/>
    <w:rsid w:val="00994B66"/>
    <w:rsid w:val="00995008"/>
    <w:rsid w:val="0099530B"/>
    <w:rsid w:val="009960BD"/>
    <w:rsid w:val="00996495"/>
    <w:rsid w:val="009A0C3C"/>
    <w:rsid w:val="009A2B4A"/>
    <w:rsid w:val="009A30E1"/>
    <w:rsid w:val="009A3655"/>
    <w:rsid w:val="009A4546"/>
    <w:rsid w:val="009A5996"/>
    <w:rsid w:val="009A72D0"/>
    <w:rsid w:val="009A7A9F"/>
    <w:rsid w:val="009A7D9B"/>
    <w:rsid w:val="009B0808"/>
    <w:rsid w:val="009B0D94"/>
    <w:rsid w:val="009B224D"/>
    <w:rsid w:val="009B2E49"/>
    <w:rsid w:val="009B3561"/>
    <w:rsid w:val="009B35D2"/>
    <w:rsid w:val="009B3F62"/>
    <w:rsid w:val="009B41C6"/>
    <w:rsid w:val="009B493E"/>
    <w:rsid w:val="009B49E7"/>
    <w:rsid w:val="009B4DA2"/>
    <w:rsid w:val="009B4F46"/>
    <w:rsid w:val="009B5E67"/>
    <w:rsid w:val="009B68FC"/>
    <w:rsid w:val="009B78F1"/>
    <w:rsid w:val="009C0485"/>
    <w:rsid w:val="009C0502"/>
    <w:rsid w:val="009C0A85"/>
    <w:rsid w:val="009C0FD6"/>
    <w:rsid w:val="009C105A"/>
    <w:rsid w:val="009C244D"/>
    <w:rsid w:val="009C35D3"/>
    <w:rsid w:val="009C4E91"/>
    <w:rsid w:val="009C65CC"/>
    <w:rsid w:val="009C6EF6"/>
    <w:rsid w:val="009D01FA"/>
    <w:rsid w:val="009D0F66"/>
    <w:rsid w:val="009D1692"/>
    <w:rsid w:val="009D21F0"/>
    <w:rsid w:val="009D2B60"/>
    <w:rsid w:val="009D36BA"/>
    <w:rsid w:val="009D451F"/>
    <w:rsid w:val="009D544D"/>
    <w:rsid w:val="009D627B"/>
    <w:rsid w:val="009D7052"/>
    <w:rsid w:val="009E0083"/>
    <w:rsid w:val="009E12D0"/>
    <w:rsid w:val="009E1DFB"/>
    <w:rsid w:val="009E2D43"/>
    <w:rsid w:val="009E3674"/>
    <w:rsid w:val="009E3C70"/>
    <w:rsid w:val="009E3D48"/>
    <w:rsid w:val="009E3E60"/>
    <w:rsid w:val="009E4E21"/>
    <w:rsid w:val="009E68EF"/>
    <w:rsid w:val="009F05B1"/>
    <w:rsid w:val="009F1847"/>
    <w:rsid w:val="009F1CAC"/>
    <w:rsid w:val="009F27DD"/>
    <w:rsid w:val="009F3502"/>
    <w:rsid w:val="009F4068"/>
    <w:rsid w:val="009F4D57"/>
    <w:rsid w:val="009F565C"/>
    <w:rsid w:val="009F5675"/>
    <w:rsid w:val="009F600A"/>
    <w:rsid w:val="009F6410"/>
    <w:rsid w:val="009F72C0"/>
    <w:rsid w:val="009F7535"/>
    <w:rsid w:val="009F7FC3"/>
    <w:rsid w:val="00A009AC"/>
    <w:rsid w:val="00A00C76"/>
    <w:rsid w:val="00A01A31"/>
    <w:rsid w:val="00A03F58"/>
    <w:rsid w:val="00A05F67"/>
    <w:rsid w:val="00A05FBB"/>
    <w:rsid w:val="00A063E0"/>
    <w:rsid w:val="00A06988"/>
    <w:rsid w:val="00A06A57"/>
    <w:rsid w:val="00A07E85"/>
    <w:rsid w:val="00A115DF"/>
    <w:rsid w:val="00A117F1"/>
    <w:rsid w:val="00A11E26"/>
    <w:rsid w:val="00A11F8D"/>
    <w:rsid w:val="00A134C7"/>
    <w:rsid w:val="00A13BE6"/>
    <w:rsid w:val="00A15150"/>
    <w:rsid w:val="00A155EF"/>
    <w:rsid w:val="00A15CD0"/>
    <w:rsid w:val="00A15D5E"/>
    <w:rsid w:val="00A15FAA"/>
    <w:rsid w:val="00A17B57"/>
    <w:rsid w:val="00A20786"/>
    <w:rsid w:val="00A20C73"/>
    <w:rsid w:val="00A20E3F"/>
    <w:rsid w:val="00A224CE"/>
    <w:rsid w:val="00A249D2"/>
    <w:rsid w:val="00A25479"/>
    <w:rsid w:val="00A25638"/>
    <w:rsid w:val="00A26497"/>
    <w:rsid w:val="00A26A16"/>
    <w:rsid w:val="00A26CB3"/>
    <w:rsid w:val="00A27A41"/>
    <w:rsid w:val="00A30247"/>
    <w:rsid w:val="00A32097"/>
    <w:rsid w:val="00A3257C"/>
    <w:rsid w:val="00A326ED"/>
    <w:rsid w:val="00A33A4F"/>
    <w:rsid w:val="00A3422E"/>
    <w:rsid w:val="00A34618"/>
    <w:rsid w:val="00A34DCB"/>
    <w:rsid w:val="00A35692"/>
    <w:rsid w:val="00A365CC"/>
    <w:rsid w:val="00A367AB"/>
    <w:rsid w:val="00A37082"/>
    <w:rsid w:val="00A401D6"/>
    <w:rsid w:val="00A404C1"/>
    <w:rsid w:val="00A40882"/>
    <w:rsid w:val="00A40FC7"/>
    <w:rsid w:val="00A4139B"/>
    <w:rsid w:val="00A414F0"/>
    <w:rsid w:val="00A416E9"/>
    <w:rsid w:val="00A41C8D"/>
    <w:rsid w:val="00A42A7D"/>
    <w:rsid w:val="00A43E69"/>
    <w:rsid w:val="00A44534"/>
    <w:rsid w:val="00A449BB"/>
    <w:rsid w:val="00A45157"/>
    <w:rsid w:val="00A462E0"/>
    <w:rsid w:val="00A4668A"/>
    <w:rsid w:val="00A46A78"/>
    <w:rsid w:val="00A47540"/>
    <w:rsid w:val="00A500A7"/>
    <w:rsid w:val="00A50190"/>
    <w:rsid w:val="00A5028C"/>
    <w:rsid w:val="00A511F0"/>
    <w:rsid w:val="00A52005"/>
    <w:rsid w:val="00A52AB4"/>
    <w:rsid w:val="00A53BB7"/>
    <w:rsid w:val="00A543AC"/>
    <w:rsid w:val="00A551B6"/>
    <w:rsid w:val="00A55809"/>
    <w:rsid w:val="00A55DA5"/>
    <w:rsid w:val="00A55E46"/>
    <w:rsid w:val="00A56771"/>
    <w:rsid w:val="00A600AC"/>
    <w:rsid w:val="00A608CC"/>
    <w:rsid w:val="00A60D33"/>
    <w:rsid w:val="00A618EE"/>
    <w:rsid w:val="00A62239"/>
    <w:rsid w:val="00A623B8"/>
    <w:rsid w:val="00A6275A"/>
    <w:rsid w:val="00A62780"/>
    <w:rsid w:val="00A62AB8"/>
    <w:rsid w:val="00A6337A"/>
    <w:rsid w:val="00A636D4"/>
    <w:rsid w:val="00A63AA8"/>
    <w:rsid w:val="00A63EA9"/>
    <w:rsid w:val="00A647DF"/>
    <w:rsid w:val="00A64B2F"/>
    <w:rsid w:val="00A64DBD"/>
    <w:rsid w:val="00A65770"/>
    <w:rsid w:val="00A657BE"/>
    <w:rsid w:val="00A658FF"/>
    <w:rsid w:val="00A65B53"/>
    <w:rsid w:val="00A65BBB"/>
    <w:rsid w:val="00A66733"/>
    <w:rsid w:val="00A70912"/>
    <w:rsid w:val="00A70B7E"/>
    <w:rsid w:val="00A72692"/>
    <w:rsid w:val="00A73BA9"/>
    <w:rsid w:val="00A7437D"/>
    <w:rsid w:val="00A748B8"/>
    <w:rsid w:val="00A74CCF"/>
    <w:rsid w:val="00A76F2A"/>
    <w:rsid w:val="00A80B22"/>
    <w:rsid w:val="00A81F6B"/>
    <w:rsid w:val="00A826CE"/>
    <w:rsid w:val="00A83581"/>
    <w:rsid w:val="00A83645"/>
    <w:rsid w:val="00A848D2"/>
    <w:rsid w:val="00A84CB1"/>
    <w:rsid w:val="00A84FB3"/>
    <w:rsid w:val="00A85451"/>
    <w:rsid w:val="00A85C41"/>
    <w:rsid w:val="00A86E42"/>
    <w:rsid w:val="00A86EE3"/>
    <w:rsid w:val="00A86EF2"/>
    <w:rsid w:val="00A900B0"/>
    <w:rsid w:val="00A90533"/>
    <w:rsid w:val="00A9078C"/>
    <w:rsid w:val="00A907F0"/>
    <w:rsid w:val="00A91E76"/>
    <w:rsid w:val="00A924CF"/>
    <w:rsid w:val="00A948BF"/>
    <w:rsid w:val="00A94E74"/>
    <w:rsid w:val="00A94F7B"/>
    <w:rsid w:val="00A9769B"/>
    <w:rsid w:val="00A9774F"/>
    <w:rsid w:val="00A97958"/>
    <w:rsid w:val="00A97A00"/>
    <w:rsid w:val="00AA058B"/>
    <w:rsid w:val="00AA0DBE"/>
    <w:rsid w:val="00AA125E"/>
    <w:rsid w:val="00AA22C3"/>
    <w:rsid w:val="00AA27E2"/>
    <w:rsid w:val="00AA32A1"/>
    <w:rsid w:val="00AA3D4E"/>
    <w:rsid w:val="00AA4BEF"/>
    <w:rsid w:val="00AA4C2D"/>
    <w:rsid w:val="00AA60D2"/>
    <w:rsid w:val="00AA6469"/>
    <w:rsid w:val="00AA65E7"/>
    <w:rsid w:val="00AA77F4"/>
    <w:rsid w:val="00AB0849"/>
    <w:rsid w:val="00AB27EC"/>
    <w:rsid w:val="00AB2AF5"/>
    <w:rsid w:val="00AB3415"/>
    <w:rsid w:val="00AB461A"/>
    <w:rsid w:val="00AB4BBC"/>
    <w:rsid w:val="00AB4DCD"/>
    <w:rsid w:val="00AB7A92"/>
    <w:rsid w:val="00AC0167"/>
    <w:rsid w:val="00AC0248"/>
    <w:rsid w:val="00AC1CB4"/>
    <w:rsid w:val="00AC1CDC"/>
    <w:rsid w:val="00AC2C85"/>
    <w:rsid w:val="00AC343A"/>
    <w:rsid w:val="00AC364F"/>
    <w:rsid w:val="00AC419B"/>
    <w:rsid w:val="00AC4515"/>
    <w:rsid w:val="00AC4FE7"/>
    <w:rsid w:val="00AC5BC9"/>
    <w:rsid w:val="00AC6202"/>
    <w:rsid w:val="00AC6F6E"/>
    <w:rsid w:val="00AC7C17"/>
    <w:rsid w:val="00AD0FAB"/>
    <w:rsid w:val="00AD15DB"/>
    <w:rsid w:val="00AD294A"/>
    <w:rsid w:val="00AD359F"/>
    <w:rsid w:val="00AD4795"/>
    <w:rsid w:val="00AD48B4"/>
    <w:rsid w:val="00AD587F"/>
    <w:rsid w:val="00AD5B12"/>
    <w:rsid w:val="00AD6877"/>
    <w:rsid w:val="00AD6BFE"/>
    <w:rsid w:val="00AD75A5"/>
    <w:rsid w:val="00AD7D49"/>
    <w:rsid w:val="00AD7D6F"/>
    <w:rsid w:val="00AE1551"/>
    <w:rsid w:val="00AE1E70"/>
    <w:rsid w:val="00AE2765"/>
    <w:rsid w:val="00AE3044"/>
    <w:rsid w:val="00AE3673"/>
    <w:rsid w:val="00AE435D"/>
    <w:rsid w:val="00AE53A1"/>
    <w:rsid w:val="00AE7933"/>
    <w:rsid w:val="00AF0731"/>
    <w:rsid w:val="00AF18B8"/>
    <w:rsid w:val="00AF1AB3"/>
    <w:rsid w:val="00AF2C92"/>
    <w:rsid w:val="00AF3B04"/>
    <w:rsid w:val="00AF5188"/>
    <w:rsid w:val="00AF59B4"/>
    <w:rsid w:val="00AF5FB1"/>
    <w:rsid w:val="00AF6483"/>
    <w:rsid w:val="00AF7892"/>
    <w:rsid w:val="00AF7988"/>
    <w:rsid w:val="00B00D61"/>
    <w:rsid w:val="00B01707"/>
    <w:rsid w:val="00B052F0"/>
    <w:rsid w:val="00B063A9"/>
    <w:rsid w:val="00B06C4E"/>
    <w:rsid w:val="00B07677"/>
    <w:rsid w:val="00B078B2"/>
    <w:rsid w:val="00B10129"/>
    <w:rsid w:val="00B10976"/>
    <w:rsid w:val="00B10C76"/>
    <w:rsid w:val="00B114F4"/>
    <w:rsid w:val="00B1188E"/>
    <w:rsid w:val="00B11D8C"/>
    <w:rsid w:val="00B1254B"/>
    <w:rsid w:val="00B12552"/>
    <w:rsid w:val="00B12BE7"/>
    <w:rsid w:val="00B1378F"/>
    <w:rsid w:val="00B1421E"/>
    <w:rsid w:val="00B14851"/>
    <w:rsid w:val="00B159DE"/>
    <w:rsid w:val="00B163B1"/>
    <w:rsid w:val="00B16CAD"/>
    <w:rsid w:val="00B178DC"/>
    <w:rsid w:val="00B17E7C"/>
    <w:rsid w:val="00B2065B"/>
    <w:rsid w:val="00B219EF"/>
    <w:rsid w:val="00B21AAB"/>
    <w:rsid w:val="00B221EF"/>
    <w:rsid w:val="00B230E2"/>
    <w:rsid w:val="00B2345D"/>
    <w:rsid w:val="00B23511"/>
    <w:rsid w:val="00B23621"/>
    <w:rsid w:val="00B24790"/>
    <w:rsid w:val="00B253E0"/>
    <w:rsid w:val="00B25CF9"/>
    <w:rsid w:val="00B26753"/>
    <w:rsid w:val="00B27FCF"/>
    <w:rsid w:val="00B30C59"/>
    <w:rsid w:val="00B31091"/>
    <w:rsid w:val="00B3113B"/>
    <w:rsid w:val="00B31417"/>
    <w:rsid w:val="00B3196C"/>
    <w:rsid w:val="00B31DD5"/>
    <w:rsid w:val="00B320DC"/>
    <w:rsid w:val="00B32F95"/>
    <w:rsid w:val="00B34169"/>
    <w:rsid w:val="00B3430B"/>
    <w:rsid w:val="00B34410"/>
    <w:rsid w:val="00B35A4F"/>
    <w:rsid w:val="00B3604D"/>
    <w:rsid w:val="00B36722"/>
    <w:rsid w:val="00B36A4C"/>
    <w:rsid w:val="00B371D4"/>
    <w:rsid w:val="00B3742D"/>
    <w:rsid w:val="00B37B3A"/>
    <w:rsid w:val="00B37EE2"/>
    <w:rsid w:val="00B4014D"/>
    <w:rsid w:val="00B41404"/>
    <w:rsid w:val="00B414DD"/>
    <w:rsid w:val="00B41C40"/>
    <w:rsid w:val="00B41E34"/>
    <w:rsid w:val="00B4212B"/>
    <w:rsid w:val="00B426AE"/>
    <w:rsid w:val="00B4310B"/>
    <w:rsid w:val="00B439B9"/>
    <w:rsid w:val="00B447A3"/>
    <w:rsid w:val="00B47543"/>
    <w:rsid w:val="00B50419"/>
    <w:rsid w:val="00B51860"/>
    <w:rsid w:val="00B5194B"/>
    <w:rsid w:val="00B519E7"/>
    <w:rsid w:val="00B51E02"/>
    <w:rsid w:val="00B52706"/>
    <w:rsid w:val="00B5671B"/>
    <w:rsid w:val="00B5694E"/>
    <w:rsid w:val="00B56BBC"/>
    <w:rsid w:val="00B5724A"/>
    <w:rsid w:val="00B57E24"/>
    <w:rsid w:val="00B60509"/>
    <w:rsid w:val="00B60ADD"/>
    <w:rsid w:val="00B6122B"/>
    <w:rsid w:val="00B612B1"/>
    <w:rsid w:val="00B63C41"/>
    <w:rsid w:val="00B63D48"/>
    <w:rsid w:val="00B64270"/>
    <w:rsid w:val="00B6440C"/>
    <w:rsid w:val="00B64A39"/>
    <w:rsid w:val="00B64ADD"/>
    <w:rsid w:val="00B65758"/>
    <w:rsid w:val="00B658BD"/>
    <w:rsid w:val="00B65C11"/>
    <w:rsid w:val="00B661F7"/>
    <w:rsid w:val="00B66751"/>
    <w:rsid w:val="00B678C8"/>
    <w:rsid w:val="00B702A6"/>
    <w:rsid w:val="00B70585"/>
    <w:rsid w:val="00B706A0"/>
    <w:rsid w:val="00B71208"/>
    <w:rsid w:val="00B71F15"/>
    <w:rsid w:val="00B72F39"/>
    <w:rsid w:val="00B73E67"/>
    <w:rsid w:val="00B74F23"/>
    <w:rsid w:val="00B75371"/>
    <w:rsid w:val="00B77604"/>
    <w:rsid w:val="00B77629"/>
    <w:rsid w:val="00B77D53"/>
    <w:rsid w:val="00B83318"/>
    <w:rsid w:val="00B83C77"/>
    <w:rsid w:val="00B83FB3"/>
    <w:rsid w:val="00B84348"/>
    <w:rsid w:val="00B84E2D"/>
    <w:rsid w:val="00B85491"/>
    <w:rsid w:val="00B85CB9"/>
    <w:rsid w:val="00B866C3"/>
    <w:rsid w:val="00B87AA4"/>
    <w:rsid w:val="00B87E4E"/>
    <w:rsid w:val="00B91D38"/>
    <w:rsid w:val="00B92E72"/>
    <w:rsid w:val="00B94338"/>
    <w:rsid w:val="00B95374"/>
    <w:rsid w:val="00B954DC"/>
    <w:rsid w:val="00B95B69"/>
    <w:rsid w:val="00B96DA0"/>
    <w:rsid w:val="00B9780F"/>
    <w:rsid w:val="00BA0374"/>
    <w:rsid w:val="00BA108C"/>
    <w:rsid w:val="00BA1AAE"/>
    <w:rsid w:val="00BA2369"/>
    <w:rsid w:val="00BA239A"/>
    <w:rsid w:val="00BA2943"/>
    <w:rsid w:val="00BA48A7"/>
    <w:rsid w:val="00BA68E7"/>
    <w:rsid w:val="00BA6A5C"/>
    <w:rsid w:val="00BA6BD2"/>
    <w:rsid w:val="00BA78F6"/>
    <w:rsid w:val="00BB0896"/>
    <w:rsid w:val="00BB0AAA"/>
    <w:rsid w:val="00BB1561"/>
    <w:rsid w:val="00BB199A"/>
    <w:rsid w:val="00BB1B64"/>
    <w:rsid w:val="00BB1D2C"/>
    <w:rsid w:val="00BB28D7"/>
    <w:rsid w:val="00BB2A62"/>
    <w:rsid w:val="00BB2BBF"/>
    <w:rsid w:val="00BB2E91"/>
    <w:rsid w:val="00BB37D8"/>
    <w:rsid w:val="00BB3A37"/>
    <w:rsid w:val="00BB3D33"/>
    <w:rsid w:val="00BB4D3A"/>
    <w:rsid w:val="00BB51CC"/>
    <w:rsid w:val="00BB58BB"/>
    <w:rsid w:val="00BB69C6"/>
    <w:rsid w:val="00BC07EB"/>
    <w:rsid w:val="00BC0C42"/>
    <w:rsid w:val="00BC170D"/>
    <w:rsid w:val="00BC1949"/>
    <w:rsid w:val="00BC1A2D"/>
    <w:rsid w:val="00BC295F"/>
    <w:rsid w:val="00BC44F9"/>
    <w:rsid w:val="00BC4ACE"/>
    <w:rsid w:val="00BC4B5F"/>
    <w:rsid w:val="00BC4F1B"/>
    <w:rsid w:val="00BC52CB"/>
    <w:rsid w:val="00BC5359"/>
    <w:rsid w:val="00BC59FF"/>
    <w:rsid w:val="00BD065F"/>
    <w:rsid w:val="00BD0C3C"/>
    <w:rsid w:val="00BD213B"/>
    <w:rsid w:val="00BD2A80"/>
    <w:rsid w:val="00BD4EAB"/>
    <w:rsid w:val="00BD5C96"/>
    <w:rsid w:val="00BD6087"/>
    <w:rsid w:val="00BD683C"/>
    <w:rsid w:val="00BD7022"/>
    <w:rsid w:val="00BD7337"/>
    <w:rsid w:val="00BD785A"/>
    <w:rsid w:val="00BD7DEC"/>
    <w:rsid w:val="00BE00A5"/>
    <w:rsid w:val="00BE020D"/>
    <w:rsid w:val="00BE0588"/>
    <w:rsid w:val="00BE0BA7"/>
    <w:rsid w:val="00BE1606"/>
    <w:rsid w:val="00BE171B"/>
    <w:rsid w:val="00BE1ED6"/>
    <w:rsid w:val="00BE2189"/>
    <w:rsid w:val="00BE245D"/>
    <w:rsid w:val="00BE3224"/>
    <w:rsid w:val="00BE3D42"/>
    <w:rsid w:val="00BE45D7"/>
    <w:rsid w:val="00BE5FF5"/>
    <w:rsid w:val="00BE61F2"/>
    <w:rsid w:val="00BE627A"/>
    <w:rsid w:val="00BE6EAF"/>
    <w:rsid w:val="00BE78A5"/>
    <w:rsid w:val="00BF0D27"/>
    <w:rsid w:val="00BF0E09"/>
    <w:rsid w:val="00BF11E6"/>
    <w:rsid w:val="00BF18E7"/>
    <w:rsid w:val="00BF19F7"/>
    <w:rsid w:val="00BF1A79"/>
    <w:rsid w:val="00BF4019"/>
    <w:rsid w:val="00BF482A"/>
    <w:rsid w:val="00BF5877"/>
    <w:rsid w:val="00BF608F"/>
    <w:rsid w:val="00BF660E"/>
    <w:rsid w:val="00BF6A23"/>
    <w:rsid w:val="00BF73BA"/>
    <w:rsid w:val="00BF751E"/>
    <w:rsid w:val="00BF7E6C"/>
    <w:rsid w:val="00C00043"/>
    <w:rsid w:val="00C00BCD"/>
    <w:rsid w:val="00C018E5"/>
    <w:rsid w:val="00C02899"/>
    <w:rsid w:val="00C02A8F"/>
    <w:rsid w:val="00C02BFF"/>
    <w:rsid w:val="00C0384C"/>
    <w:rsid w:val="00C03965"/>
    <w:rsid w:val="00C03D2F"/>
    <w:rsid w:val="00C04148"/>
    <w:rsid w:val="00C0478C"/>
    <w:rsid w:val="00C11019"/>
    <w:rsid w:val="00C11108"/>
    <w:rsid w:val="00C112F1"/>
    <w:rsid w:val="00C11E71"/>
    <w:rsid w:val="00C13543"/>
    <w:rsid w:val="00C13E7D"/>
    <w:rsid w:val="00C13F5F"/>
    <w:rsid w:val="00C1415E"/>
    <w:rsid w:val="00C14898"/>
    <w:rsid w:val="00C1500C"/>
    <w:rsid w:val="00C153D2"/>
    <w:rsid w:val="00C15461"/>
    <w:rsid w:val="00C1578B"/>
    <w:rsid w:val="00C15DFA"/>
    <w:rsid w:val="00C16D55"/>
    <w:rsid w:val="00C1702D"/>
    <w:rsid w:val="00C1721D"/>
    <w:rsid w:val="00C211C9"/>
    <w:rsid w:val="00C21549"/>
    <w:rsid w:val="00C22421"/>
    <w:rsid w:val="00C22FD4"/>
    <w:rsid w:val="00C2330C"/>
    <w:rsid w:val="00C24005"/>
    <w:rsid w:val="00C24205"/>
    <w:rsid w:val="00C24387"/>
    <w:rsid w:val="00C24EB0"/>
    <w:rsid w:val="00C251AB"/>
    <w:rsid w:val="00C2722C"/>
    <w:rsid w:val="00C276D9"/>
    <w:rsid w:val="00C27C80"/>
    <w:rsid w:val="00C306E2"/>
    <w:rsid w:val="00C31991"/>
    <w:rsid w:val="00C32864"/>
    <w:rsid w:val="00C32CD0"/>
    <w:rsid w:val="00C33DE5"/>
    <w:rsid w:val="00C33F7C"/>
    <w:rsid w:val="00C35017"/>
    <w:rsid w:val="00C353C3"/>
    <w:rsid w:val="00C3660B"/>
    <w:rsid w:val="00C36A3B"/>
    <w:rsid w:val="00C376AB"/>
    <w:rsid w:val="00C37747"/>
    <w:rsid w:val="00C410B9"/>
    <w:rsid w:val="00C41BBB"/>
    <w:rsid w:val="00C42445"/>
    <w:rsid w:val="00C42832"/>
    <w:rsid w:val="00C42BC2"/>
    <w:rsid w:val="00C443E1"/>
    <w:rsid w:val="00C44A66"/>
    <w:rsid w:val="00C451AB"/>
    <w:rsid w:val="00C45898"/>
    <w:rsid w:val="00C4679A"/>
    <w:rsid w:val="00C472E6"/>
    <w:rsid w:val="00C47A13"/>
    <w:rsid w:val="00C505E3"/>
    <w:rsid w:val="00C5348D"/>
    <w:rsid w:val="00C534AF"/>
    <w:rsid w:val="00C5540F"/>
    <w:rsid w:val="00C565D9"/>
    <w:rsid w:val="00C56C15"/>
    <w:rsid w:val="00C5798D"/>
    <w:rsid w:val="00C57A13"/>
    <w:rsid w:val="00C60612"/>
    <w:rsid w:val="00C60F0F"/>
    <w:rsid w:val="00C614A7"/>
    <w:rsid w:val="00C62933"/>
    <w:rsid w:val="00C6364B"/>
    <w:rsid w:val="00C63845"/>
    <w:rsid w:val="00C63AA6"/>
    <w:rsid w:val="00C645B8"/>
    <w:rsid w:val="00C646B3"/>
    <w:rsid w:val="00C66479"/>
    <w:rsid w:val="00C67C25"/>
    <w:rsid w:val="00C701DC"/>
    <w:rsid w:val="00C70D28"/>
    <w:rsid w:val="00C728C5"/>
    <w:rsid w:val="00C728CC"/>
    <w:rsid w:val="00C729B9"/>
    <w:rsid w:val="00C751C1"/>
    <w:rsid w:val="00C75295"/>
    <w:rsid w:val="00C757F0"/>
    <w:rsid w:val="00C76007"/>
    <w:rsid w:val="00C762AA"/>
    <w:rsid w:val="00C764E0"/>
    <w:rsid w:val="00C76680"/>
    <w:rsid w:val="00C76D61"/>
    <w:rsid w:val="00C7730A"/>
    <w:rsid w:val="00C77559"/>
    <w:rsid w:val="00C80981"/>
    <w:rsid w:val="00C8163C"/>
    <w:rsid w:val="00C817FC"/>
    <w:rsid w:val="00C81863"/>
    <w:rsid w:val="00C82C99"/>
    <w:rsid w:val="00C83B66"/>
    <w:rsid w:val="00C83EF7"/>
    <w:rsid w:val="00C84118"/>
    <w:rsid w:val="00C846B9"/>
    <w:rsid w:val="00C84D40"/>
    <w:rsid w:val="00C85225"/>
    <w:rsid w:val="00C86955"/>
    <w:rsid w:val="00C87163"/>
    <w:rsid w:val="00C9001A"/>
    <w:rsid w:val="00C90332"/>
    <w:rsid w:val="00C928AF"/>
    <w:rsid w:val="00C92A57"/>
    <w:rsid w:val="00C92B11"/>
    <w:rsid w:val="00C92B7B"/>
    <w:rsid w:val="00C93FF9"/>
    <w:rsid w:val="00C94AB4"/>
    <w:rsid w:val="00C94FBF"/>
    <w:rsid w:val="00CA0906"/>
    <w:rsid w:val="00CA2CFE"/>
    <w:rsid w:val="00CA2D2F"/>
    <w:rsid w:val="00CA35FA"/>
    <w:rsid w:val="00CA418A"/>
    <w:rsid w:val="00CA4D7D"/>
    <w:rsid w:val="00CB0524"/>
    <w:rsid w:val="00CB27A1"/>
    <w:rsid w:val="00CB3E0F"/>
    <w:rsid w:val="00CB49BB"/>
    <w:rsid w:val="00CB5208"/>
    <w:rsid w:val="00CB5933"/>
    <w:rsid w:val="00CB6EB2"/>
    <w:rsid w:val="00CB71AA"/>
    <w:rsid w:val="00CB7890"/>
    <w:rsid w:val="00CC05B0"/>
    <w:rsid w:val="00CC06A4"/>
    <w:rsid w:val="00CC22AE"/>
    <w:rsid w:val="00CC3234"/>
    <w:rsid w:val="00CC4350"/>
    <w:rsid w:val="00CC467B"/>
    <w:rsid w:val="00CC50CF"/>
    <w:rsid w:val="00CC57B1"/>
    <w:rsid w:val="00CC6626"/>
    <w:rsid w:val="00CC7A7C"/>
    <w:rsid w:val="00CD007E"/>
    <w:rsid w:val="00CD0C6E"/>
    <w:rsid w:val="00CD13F2"/>
    <w:rsid w:val="00CD1A12"/>
    <w:rsid w:val="00CD1D30"/>
    <w:rsid w:val="00CD2C1E"/>
    <w:rsid w:val="00CD6730"/>
    <w:rsid w:val="00CE0740"/>
    <w:rsid w:val="00CE3F9C"/>
    <w:rsid w:val="00CE479E"/>
    <w:rsid w:val="00CE5BDD"/>
    <w:rsid w:val="00CE65F2"/>
    <w:rsid w:val="00CE6C5E"/>
    <w:rsid w:val="00CE7300"/>
    <w:rsid w:val="00CF02F3"/>
    <w:rsid w:val="00CF12FC"/>
    <w:rsid w:val="00CF1385"/>
    <w:rsid w:val="00CF2068"/>
    <w:rsid w:val="00CF295C"/>
    <w:rsid w:val="00CF32F3"/>
    <w:rsid w:val="00CF39C8"/>
    <w:rsid w:val="00CF3AB3"/>
    <w:rsid w:val="00CF3B21"/>
    <w:rsid w:val="00CF3C6D"/>
    <w:rsid w:val="00CF5669"/>
    <w:rsid w:val="00CF6631"/>
    <w:rsid w:val="00D01CDE"/>
    <w:rsid w:val="00D01F38"/>
    <w:rsid w:val="00D026E0"/>
    <w:rsid w:val="00D0467E"/>
    <w:rsid w:val="00D05216"/>
    <w:rsid w:val="00D052E8"/>
    <w:rsid w:val="00D0575F"/>
    <w:rsid w:val="00D05CB3"/>
    <w:rsid w:val="00D06108"/>
    <w:rsid w:val="00D0754A"/>
    <w:rsid w:val="00D10E59"/>
    <w:rsid w:val="00D11B0D"/>
    <w:rsid w:val="00D12DC4"/>
    <w:rsid w:val="00D13967"/>
    <w:rsid w:val="00D14DC6"/>
    <w:rsid w:val="00D14FB1"/>
    <w:rsid w:val="00D16E2C"/>
    <w:rsid w:val="00D177D6"/>
    <w:rsid w:val="00D17C2E"/>
    <w:rsid w:val="00D2011D"/>
    <w:rsid w:val="00D2029E"/>
    <w:rsid w:val="00D238D6"/>
    <w:rsid w:val="00D254BE"/>
    <w:rsid w:val="00D25BB0"/>
    <w:rsid w:val="00D27D73"/>
    <w:rsid w:val="00D30232"/>
    <w:rsid w:val="00D32329"/>
    <w:rsid w:val="00D3368B"/>
    <w:rsid w:val="00D33FB2"/>
    <w:rsid w:val="00D3478F"/>
    <w:rsid w:val="00D35278"/>
    <w:rsid w:val="00D3639F"/>
    <w:rsid w:val="00D3669E"/>
    <w:rsid w:val="00D36F59"/>
    <w:rsid w:val="00D3757B"/>
    <w:rsid w:val="00D37B1C"/>
    <w:rsid w:val="00D40D6E"/>
    <w:rsid w:val="00D42172"/>
    <w:rsid w:val="00D4226D"/>
    <w:rsid w:val="00D42565"/>
    <w:rsid w:val="00D42A9E"/>
    <w:rsid w:val="00D435BB"/>
    <w:rsid w:val="00D442AD"/>
    <w:rsid w:val="00D45016"/>
    <w:rsid w:val="00D455B8"/>
    <w:rsid w:val="00D45C6D"/>
    <w:rsid w:val="00D467C1"/>
    <w:rsid w:val="00D47CF8"/>
    <w:rsid w:val="00D50489"/>
    <w:rsid w:val="00D50654"/>
    <w:rsid w:val="00D51DB2"/>
    <w:rsid w:val="00D52080"/>
    <w:rsid w:val="00D524C2"/>
    <w:rsid w:val="00D5281A"/>
    <w:rsid w:val="00D537A6"/>
    <w:rsid w:val="00D53FB3"/>
    <w:rsid w:val="00D56239"/>
    <w:rsid w:val="00D5624F"/>
    <w:rsid w:val="00D56763"/>
    <w:rsid w:val="00D56978"/>
    <w:rsid w:val="00D57157"/>
    <w:rsid w:val="00D57630"/>
    <w:rsid w:val="00D57AD6"/>
    <w:rsid w:val="00D60188"/>
    <w:rsid w:val="00D60BB7"/>
    <w:rsid w:val="00D60D85"/>
    <w:rsid w:val="00D634FD"/>
    <w:rsid w:val="00D63FD1"/>
    <w:rsid w:val="00D6491C"/>
    <w:rsid w:val="00D65933"/>
    <w:rsid w:val="00D6758F"/>
    <w:rsid w:val="00D72FA4"/>
    <w:rsid w:val="00D7366D"/>
    <w:rsid w:val="00D738AB"/>
    <w:rsid w:val="00D73F7B"/>
    <w:rsid w:val="00D7543A"/>
    <w:rsid w:val="00D76A84"/>
    <w:rsid w:val="00D81199"/>
    <w:rsid w:val="00D8119F"/>
    <w:rsid w:val="00D81CB9"/>
    <w:rsid w:val="00D82992"/>
    <w:rsid w:val="00D82A10"/>
    <w:rsid w:val="00D83358"/>
    <w:rsid w:val="00D83815"/>
    <w:rsid w:val="00D83C49"/>
    <w:rsid w:val="00D84721"/>
    <w:rsid w:val="00D85121"/>
    <w:rsid w:val="00D868D4"/>
    <w:rsid w:val="00D871FA"/>
    <w:rsid w:val="00D90751"/>
    <w:rsid w:val="00D90934"/>
    <w:rsid w:val="00D91784"/>
    <w:rsid w:val="00D93425"/>
    <w:rsid w:val="00D93648"/>
    <w:rsid w:val="00D93F1A"/>
    <w:rsid w:val="00D94DBD"/>
    <w:rsid w:val="00D95074"/>
    <w:rsid w:val="00D9515F"/>
    <w:rsid w:val="00D954DB"/>
    <w:rsid w:val="00D9576A"/>
    <w:rsid w:val="00D97087"/>
    <w:rsid w:val="00D974D0"/>
    <w:rsid w:val="00DA0C2B"/>
    <w:rsid w:val="00DA0D7D"/>
    <w:rsid w:val="00DA19C5"/>
    <w:rsid w:val="00DA1F76"/>
    <w:rsid w:val="00DA2FB4"/>
    <w:rsid w:val="00DA3624"/>
    <w:rsid w:val="00DA4574"/>
    <w:rsid w:val="00DA4C17"/>
    <w:rsid w:val="00DA4CC4"/>
    <w:rsid w:val="00DA59C1"/>
    <w:rsid w:val="00DA6EE6"/>
    <w:rsid w:val="00DB2602"/>
    <w:rsid w:val="00DB30D8"/>
    <w:rsid w:val="00DB3241"/>
    <w:rsid w:val="00DB3E2A"/>
    <w:rsid w:val="00DB4869"/>
    <w:rsid w:val="00DB4D65"/>
    <w:rsid w:val="00DB4DE2"/>
    <w:rsid w:val="00DB4E5D"/>
    <w:rsid w:val="00DB4EB3"/>
    <w:rsid w:val="00DB663B"/>
    <w:rsid w:val="00DB69BF"/>
    <w:rsid w:val="00DC1DF7"/>
    <w:rsid w:val="00DC2B9E"/>
    <w:rsid w:val="00DC3704"/>
    <w:rsid w:val="00DC4338"/>
    <w:rsid w:val="00DC4918"/>
    <w:rsid w:val="00DC4FA2"/>
    <w:rsid w:val="00DC7C55"/>
    <w:rsid w:val="00DD0A32"/>
    <w:rsid w:val="00DD1553"/>
    <w:rsid w:val="00DD22C0"/>
    <w:rsid w:val="00DD2306"/>
    <w:rsid w:val="00DD380A"/>
    <w:rsid w:val="00DD3846"/>
    <w:rsid w:val="00DD41FB"/>
    <w:rsid w:val="00DD47F8"/>
    <w:rsid w:val="00DD4C8A"/>
    <w:rsid w:val="00DD4EB7"/>
    <w:rsid w:val="00DD4F1D"/>
    <w:rsid w:val="00DD5980"/>
    <w:rsid w:val="00DD5C11"/>
    <w:rsid w:val="00DD7E13"/>
    <w:rsid w:val="00DD7EB6"/>
    <w:rsid w:val="00DE0F71"/>
    <w:rsid w:val="00DE2BC8"/>
    <w:rsid w:val="00DE49FE"/>
    <w:rsid w:val="00DE4DA6"/>
    <w:rsid w:val="00DE5A08"/>
    <w:rsid w:val="00DE5C29"/>
    <w:rsid w:val="00DE61AE"/>
    <w:rsid w:val="00DE6873"/>
    <w:rsid w:val="00DE742C"/>
    <w:rsid w:val="00DE7825"/>
    <w:rsid w:val="00DF05BB"/>
    <w:rsid w:val="00DF0BE4"/>
    <w:rsid w:val="00DF0BFF"/>
    <w:rsid w:val="00DF2880"/>
    <w:rsid w:val="00DF365B"/>
    <w:rsid w:val="00DF3AC2"/>
    <w:rsid w:val="00DF4231"/>
    <w:rsid w:val="00DF57E2"/>
    <w:rsid w:val="00DF60E5"/>
    <w:rsid w:val="00DF706D"/>
    <w:rsid w:val="00DF76B6"/>
    <w:rsid w:val="00DF7A61"/>
    <w:rsid w:val="00E00096"/>
    <w:rsid w:val="00E00539"/>
    <w:rsid w:val="00E008F7"/>
    <w:rsid w:val="00E021A2"/>
    <w:rsid w:val="00E028A9"/>
    <w:rsid w:val="00E029BF"/>
    <w:rsid w:val="00E029FB"/>
    <w:rsid w:val="00E03406"/>
    <w:rsid w:val="00E03992"/>
    <w:rsid w:val="00E03D60"/>
    <w:rsid w:val="00E040B6"/>
    <w:rsid w:val="00E050FC"/>
    <w:rsid w:val="00E0554B"/>
    <w:rsid w:val="00E05A68"/>
    <w:rsid w:val="00E07912"/>
    <w:rsid w:val="00E07A02"/>
    <w:rsid w:val="00E11911"/>
    <w:rsid w:val="00E11EA7"/>
    <w:rsid w:val="00E14CFE"/>
    <w:rsid w:val="00E156F0"/>
    <w:rsid w:val="00E15F01"/>
    <w:rsid w:val="00E1616D"/>
    <w:rsid w:val="00E16CD7"/>
    <w:rsid w:val="00E2127D"/>
    <w:rsid w:val="00E216BA"/>
    <w:rsid w:val="00E2218D"/>
    <w:rsid w:val="00E231E6"/>
    <w:rsid w:val="00E23419"/>
    <w:rsid w:val="00E243AC"/>
    <w:rsid w:val="00E247A3"/>
    <w:rsid w:val="00E24959"/>
    <w:rsid w:val="00E24ECA"/>
    <w:rsid w:val="00E25503"/>
    <w:rsid w:val="00E25643"/>
    <w:rsid w:val="00E25894"/>
    <w:rsid w:val="00E25B17"/>
    <w:rsid w:val="00E27002"/>
    <w:rsid w:val="00E270BC"/>
    <w:rsid w:val="00E272BC"/>
    <w:rsid w:val="00E275D6"/>
    <w:rsid w:val="00E30433"/>
    <w:rsid w:val="00E30676"/>
    <w:rsid w:val="00E30E73"/>
    <w:rsid w:val="00E32CA0"/>
    <w:rsid w:val="00E32D6F"/>
    <w:rsid w:val="00E333C1"/>
    <w:rsid w:val="00E334C5"/>
    <w:rsid w:val="00E33863"/>
    <w:rsid w:val="00E357D5"/>
    <w:rsid w:val="00E3597D"/>
    <w:rsid w:val="00E3627B"/>
    <w:rsid w:val="00E36F7D"/>
    <w:rsid w:val="00E37897"/>
    <w:rsid w:val="00E40ED6"/>
    <w:rsid w:val="00E416D7"/>
    <w:rsid w:val="00E43977"/>
    <w:rsid w:val="00E44044"/>
    <w:rsid w:val="00E456B6"/>
    <w:rsid w:val="00E46F5A"/>
    <w:rsid w:val="00E500EE"/>
    <w:rsid w:val="00E5555B"/>
    <w:rsid w:val="00E5570E"/>
    <w:rsid w:val="00E56AD5"/>
    <w:rsid w:val="00E57170"/>
    <w:rsid w:val="00E607FE"/>
    <w:rsid w:val="00E6134D"/>
    <w:rsid w:val="00E615C2"/>
    <w:rsid w:val="00E6277C"/>
    <w:rsid w:val="00E6316B"/>
    <w:rsid w:val="00E635EC"/>
    <w:rsid w:val="00E63AA5"/>
    <w:rsid w:val="00E63DA8"/>
    <w:rsid w:val="00E64081"/>
    <w:rsid w:val="00E64566"/>
    <w:rsid w:val="00E64591"/>
    <w:rsid w:val="00E675C6"/>
    <w:rsid w:val="00E70C18"/>
    <w:rsid w:val="00E7252F"/>
    <w:rsid w:val="00E72A26"/>
    <w:rsid w:val="00E7344C"/>
    <w:rsid w:val="00E74673"/>
    <w:rsid w:val="00E752CB"/>
    <w:rsid w:val="00E7550D"/>
    <w:rsid w:val="00E7628E"/>
    <w:rsid w:val="00E768E1"/>
    <w:rsid w:val="00E770CB"/>
    <w:rsid w:val="00E807C2"/>
    <w:rsid w:val="00E808FE"/>
    <w:rsid w:val="00E81A60"/>
    <w:rsid w:val="00E822F7"/>
    <w:rsid w:val="00E8319E"/>
    <w:rsid w:val="00E83B73"/>
    <w:rsid w:val="00E84833"/>
    <w:rsid w:val="00E849CE"/>
    <w:rsid w:val="00E85251"/>
    <w:rsid w:val="00E853F8"/>
    <w:rsid w:val="00E85CC1"/>
    <w:rsid w:val="00E86543"/>
    <w:rsid w:val="00E86F4C"/>
    <w:rsid w:val="00E871ED"/>
    <w:rsid w:val="00E925B9"/>
    <w:rsid w:val="00E94C04"/>
    <w:rsid w:val="00E94D5E"/>
    <w:rsid w:val="00E94F64"/>
    <w:rsid w:val="00E94FBD"/>
    <w:rsid w:val="00E96031"/>
    <w:rsid w:val="00E96C1C"/>
    <w:rsid w:val="00E96DB6"/>
    <w:rsid w:val="00E973FA"/>
    <w:rsid w:val="00EA24A6"/>
    <w:rsid w:val="00EA25AE"/>
    <w:rsid w:val="00EA28DE"/>
    <w:rsid w:val="00EA3C8A"/>
    <w:rsid w:val="00EA4269"/>
    <w:rsid w:val="00EA499B"/>
    <w:rsid w:val="00EA5EE0"/>
    <w:rsid w:val="00EA6646"/>
    <w:rsid w:val="00EB0E25"/>
    <w:rsid w:val="00EB1F85"/>
    <w:rsid w:val="00EB2335"/>
    <w:rsid w:val="00EB271E"/>
    <w:rsid w:val="00EB2FAD"/>
    <w:rsid w:val="00EB3059"/>
    <w:rsid w:val="00EB3175"/>
    <w:rsid w:val="00EC088F"/>
    <w:rsid w:val="00EC0EDA"/>
    <w:rsid w:val="00EC2041"/>
    <w:rsid w:val="00EC20A0"/>
    <w:rsid w:val="00EC25AF"/>
    <w:rsid w:val="00EC26EC"/>
    <w:rsid w:val="00EC417C"/>
    <w:rsid w:val="00EC4DE7"/>
    <w:rsid w:val="00ED0C04"/>
    <w:rsid w:val="00ED0C30"/>
    <w:rsid w:val="00ED243E"/>
    <w:rsid w:val="00ED2646"/>
    <w:rsid w:val="00ED2706"/>
    <w:rsid w:val="00ED34B8"/>
    <w:rsid w:val="00ED45FD"/>
    <w:rsid w:val="00ED46C8"/>
    <w:rsid w:val="00ED5600"/>
    <w:rsid w:val="00ED59E0"/>
    <w:rsid w:val="00ED5A59"/>
    <w:rsid w:val="00ED7190"/>
    <w:rsid w:val="00ED72AD"/>
    <w:rsid w:val="00EE06A4"/>
    <w:rsid w:val="00EE0E69"/>
    <w:rsid w:val="00EE122F"/>
    <w:rsid w:val="00EE276A"/>
    <w:rsid w:val="00EE2F78"/>
    <w:rsid w:val="00EE327D"/>
    <w:rsid w:val="00EE34BF"/>
    <w:rsid w:val="00EE35FE"/>
    <w:rsid w:val="00EE3CAA"/>
    <w:rsid w:val="00EE4099"/>
    <w:rsid w:val="00EE4811"/>
    <w:rsid w:val="00EE48B2"/>
    <w:rsid w:val="00EE4D28"/>
    <w:rsid w:val="00EE5A13"/>
    <w:rsid w:val="00EE5B8C"/>
    <w:rsid w:val="00EE60E4"/>
    <w:rsid w:val="00EE692E"/>
    <w:rsid w:val="00EE6F32"/>
    <w:rsid w:val="00EE797B"/>
    <w:rsid w:val="00EF043A"/>
    <w:rsid w:val="00EF136B"/>
    <w:rsid w:val="00EF1D70"/>
    <w:rsid w:val="00EF2A73"/>
    <w:rsid w:val="00EF2DA0"/>
    <w:rsid w:val="00EF31A2"/>
    <w:rsid w:val="00EF50C8"/>
    <w:rsid w:val="00EF575B"/>
    <w:rsid w:val="00EF5885"/>
    <w:rsid w:val="00EF5D44"/>
    <w:rsid w:val="00EF6AA9"/>
    <w:rsid w:val="00EF6C26"/>
    <w:rsid w:val="00F000CC"/>
    <w:rsid w:val="00F02360"/>
    <w:rsid w:val="00F03B52"/>
    <w:rsid w:val="00F045DC"/>
    <w:rsid w:val="00F051C5"/>
    <w:rsid w:val="00F058C6"/>
    <w:rsid w:val="00F05C1D"/>
    <w:rsid w:val="00F06C31"/>
    <w:rsid w:val="00F06E1E"/>
    <w:rsid w:val="00F0767E"/>
    <w:rsid w:val="00F10FD9"/>
    <w:rsid w:val="00F1105A"/>
    <w:rsid w:val="00F1116A"/>
    <w:rsid w:val="00F11295"/>
    <w:rsid w:val="00F11979"/>
    <w:rsid w:val="00F1306B"/>
    <w:rsid w:val="00F139FB"/>
    <w:rsid w:val="00F14712"/>
    <w:rsid w:val="00F147EA"/>
    <w:rsid w:val="00F16734"/>
    <w:rsid w:val="00F16E61"/>
    <w:rsid w:val="00F171EE"/>
    <w:rsid w:val="00F21676"/>
    <w:rsid w:val="00F22844"/>
    <w:rsid w:val="00F22980"/>
    <w:rsid w:val="00F24A7C"/>
    <w:rsid w:val="00F24BFF"/>
    <w:rsid w:val="00F25715"/>
    <w:rsid w:val="00F25C4E"/>
    <w:rsid w:val="00F25E5F"/>
    <w:rsid w:val="00F27015"/>
    <w:rsid w:val="00F27834"/>
    <w:rsid w:val="00F31380"/>
    <w:rsid w:val="00F31C84"/>
    <w:rsid w:val="00F324FC"/>
    <w:rsid w:val="00F33669"/>
    <w:rsid w:val="00F33DB8"/>
    <w:rsid w:val="00F340CC"/>
    <w:rsid w:val="00F369DB"/>
    <w:rsid w:val="00F37137"/>
    <w:rsid w:val="00F37F94"/>
    <w:rsid w:val="00F43DE1"/>
    <w:rsid w:val="00F4460C"/>
    <w:rsid w:val="00F454CC"/>
    <w:rsid w:val="00F464E9"/>
    <w:rsid w:val="00F46B96"/>
    <w:rsid w:val="00F47A04"/>
    <w:rsid w:val="00F507AD"/>
    <w:rsid w:val="00F514DF"/>
    <w:rsid w:val="00F542C7"/>
    <w:rsid w:val="00F542CD"/>
    <w:rsid w:val="00F5609C"/>
    <w:rsid w:val="00F56C36"/>
    <w:rsid w:val="00F57C42"/>
    <w:rsid w:val="00F60537"/>
    <w:rsid w:val="00F616C2"/>
    <w:rsid w:val="00F63EBB"/>
    <w:rsid w:val="00F64051"/>
    <w:rsid w:val="00F64522"/>
    <w:rsid w:val="00F64DD6"/>
    <w:rsid w:val="00F667F8"/>
    <w:rsid w:val="00F6703E"/>
    <w:rsid w:val="00F67261"/>
    <w:rsid w:val="00F67BF7"/>
    <w:rsid w:val="00F67CD3"/>
    <w:rsid w:val="00F703B1"/>
    <w:rsid w:val="00F70542"/>
    <w:rsid w:val="00F718B0"/>
    <w:rsid w:val="00F750E8"/>
    <w:rsid w:val="00F75685"/>
    <w:rsid w:val="00F75F8D"/>
    <w:rsid w:val="00F76D69"/>
    <w:rsid w:val="00F80E5B"/>
    <w:rsid w:val="00F80F6D"/>
    <w:rsid w:val="00F81F84"/>
    <w:rsid w:val="00F820A2"/>
    <w:rsid w:val="00F827AC"/>
    <w:rsid w:val="00F82AEA"/>
    <w:rsid w:val="00F83A3D"/>
    <w:rsid w:val="00F84AFB"/>
    <w:rsid w:val="00F84B6E"/>
    <w:rsid w:val="00F854D0"/>
    <w:rsid w:val="00F85926"/>
    <w:rsid w:val="00F85E6C"/>
    <w:rsid w:val="00F8629D"/>
    <w:rsid w:val="00F86B3B"/>
    <w:rsid w:val="00F872CB"/>
    <w:rsid w:val="00F877D4"/>
    <w:rsid w:val="00F87894"/>
    <w:rsid w:val="00F87A40"/>
    <w:rsid w:val="00F903ED"/>
    <w:rsid w:val="00F9063E"/>
    <w:rsid w:val="00F929E3"/>
    <w:rsid w:val="00F930CD"/>
    <w:rsid w:val="00F93319"/>
    <w:rsid w:val="00F9543E"/>
    <w:rsid w:val="00F958B2"/>
    <w:rsid w:val="00F96D78"/>
    <w:rsid w:val="00F96DA9"/>
    <w:rsid w:val="00F977B2"/>
    <w:rsid w:val="00FA04E2"/>
    <w:rsid w:val="00FA13E8"/>
    <w:rsid w:val="00FA150D"/>
    <w:rsid w:val="00FA16F6"/>
    <w:rsid w:val="00FA19DF"/>
    <w:rsid w:val="00FA28F6"/>
    <w:rsid w:val="00FA3C9D"/>
    <w:rsid w:val="00FA3E31"/>
    <w:rsid w:val="00FA41D3"/>
    <w:rsid w:val="00FA4285"/>
    <w:rsid w:val="00FA5521"/>
    <w:rsid w:val="00FA6021"/>
    <w:rsid w:val="00FA6DF2"/>
    <w:rsid w:val="00FA7557"/>
    <w:rsid w:val="00FA76D8"/>
    <w:rsid w:val="00FB00B9"/>
    <w:rsid w:val="00FB0DB6"/>
    <w:rsid w:val="00FB1EC5"/>
    <w:rsid w:val="00FB2BA7"/>
    <w:rsid w:val="00FB3735"/>
    <w:rsid w:val="00FB3E0B"/>
    <w:rsid w:val="00FB5B1B"/>
    <w:rsid w:val="00FB6420"/>
    <w:rsid w:val="00FB6884"/>
    <w:rsid w:val="00FB6B70"/>
    <w:rsid w:val="00FB7442"/>
    <w:rsid w:val="00FC110B"/>
    <w:rsid w:val="00FC11F5"/>
    <w:rsid w:val="00FC17FD"/>
    <w:rsid w:val="00FC1EDA"/>
    <w:rsid w:val="00FC24C9"/>
    <w:rsid w:val="00FC2BA4"/>
    <w:rsid w:val="00FC3067"/>
    <w:rsid w:val="00FC36DC"/>
    <w:rsid w:val="00FC3EFB"/>
    <w:rsid w:val="00FC4D18"/>
    <w:rsid w:val="00FC513C"/>
    <w:rsid w:val="00FC689D"/>
    <w:rsid w:val="00FC7255"/>
    <w:rsid w:val="00FC73C4"/>
    <w:rsid w:val="00FC7DF8"/>
    <w:rsid w:val="00FD007F"/>
    <w:rsid w:val="00FD123D"/>
    <w:rsid w:val="00FD1B84"/>
    <w:rsid w:val="00FD1DB6"/>
    <w:rsid w:val="00FD3221"/>
    <w:rsid w:val="00FD3A58"/>
    <w:rsid w:val="00FD47E7"/>
    <w:rsid w:val="00FD55C6"/>
    <w:rsid w:val="00FD5AFA"/>
    <w:rsid w:val="00FD6679"/>
    <w:rsid w:val="00FD7E98"/>
    <w:rsid w:val="00FE0A88"/>
    <w:rsid w:val="00FE1EAC"/>
    <w:rsid w:val="00FE388A"/>
    <w:rsid w:val="00FE3B36"/>
    <w:rsid w:val="00FE440C"/>
    <w:rsid w:val="00FE4FDF"/>
    <w:rsid w:val="00FE5DBC"/>
    <w:rsid w:val="00FE69FC"/>
    <w:rsid w:val="00FE6EA1"/>
    <w:rsid w:val="00FE6F73"/>
    <w:rsid w:val="00FE7D82"/>
    <w:rsid w:val="00FF06A6"/>
    <w:rsid w:val="00FF1F68"/>
    <w:rsid w:val="00FF2CF1"/>
    <w:rsid w:val="00FF2D10"/>
    <w:rsid w:val="00FF4CD0"/>
    <w:rsid w:val="00FF55E3"/>
    <w:rsid w:val="00FF5FFC"/>
    <w:rsid w:val="00FF6058"/>
    <w:rsid w:val="00FF6FA8"/>
    <w:rsid w:val="00FF7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4BE3696"/>
  <w15:chartTrackingRefBased/>
  <w15:docId w15:val="{C3EB42A9-FA4A-4996-99AA-2520E98AD10C}"/>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New Roman" w:eastAsia="MS Mincho" w:hAnsi="Times New Roman"/>
      <w:sz w:val="22"/>
      <w:szCs w:val="24"/>
      <w:lang w:val="en-GB"/>
    </w:rPr>
  </w:style>
  <w:style w:type="paragraph" w:styleId="Heading1">
    <w:name w:val="heading 1"/>
    <w:basedOn w:val="Normal"/>
    <w:next w:val="Normal"/>
    <w:link w:val="Heading1Char"/>
    <w:qFormat/>
    <w:locked/>
    <w:pPr>
      <w:keepNext/>
      <w:overflowPunct w:val="0"/>
      <w:autoSpaceDE w:val="0"/>
      <w:autoSpaceDN w:val="0"/>
      <w:adjustRightInd w:val="0"/>
      <w:textAlignment w:val="baseline"/>
      <w:outlineLvl w:val="0"/>
    </w:pPr>
    <w:rPr>
      <w:b/>
      <w:bCs/>
      <w:lang w:val="x-none"/>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locked/>
    <w:pPr>
      <w:keepNext/>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locked/>
    <w:pPr>
      <w:keepNext/>
      <w:spacing w:before="240" w:after="60"/>
      <w:outlineLvl w:val="3"/>
    </w:pPr>
    <w:rPr>
      <w:rFonts w:ascii="Calibri" w:eastAsia="Times New Roman" w:hAnsi="Calibri"/>
      <w:b/>
      <w:bCs/>
      <w:sz w:val="28"/>
      <w:szCs w:val="28"/>
      <w:lang w:val="es-ES"/>
    </w:rPr>
  </w:style>
  <w:style w:type="paragraph" w:styleId="Heading5">
    <w:name w:val="heading 5"/>
    <w:basedOn w:val="Normal"/>
    <w:next w:val="Normal"/>
    <w:link w:val="Heading5Char"/>
    <w:qFormat/>
    <w:locked/>
    <w:pPr>
      <w:spacing w:before="240" w:after="60"/>
      <w:outlineLvl w:val="4"/>
    </w:pPr>
    <w:rPr>
      <w:rFonts w:ascii="Calibri" w:eastAsia="Times New Roman" w:hAnsi="Calibri"/>
      <w:b/>
      <w:bCs/>
      <w:i/>
      <w:iCs/>
      <w:sz w:val="26"/>
      <w:szCs w:val="26"/>
      <w:lang w:val="es-ES"/>
    </w:rPr>
  </w:style>
  <w:style w:type="paragraph" w:styleId="Heading7">
    <w:name w:val="heading 7"/>
    <w:basedOn w:val="Normal"/>
    <w:next w:val="Normal"/>
    <w:link w:val="Heading7Char"/>
    <w:qFormat/>
    <w:locked/>
    <w:pPr>
      <w:spacing w:before="240" w:after="60"/>
      <w:outlineLvl w:val="6"/>
    </w:pPr>
    <w:rPr>
      <w:rFonts w:ascii="Calibri" w:eastAsia="Times New Roman" w:hAnsi="Calibri"/>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Pr>
      <w:rFonts w:eastAsia="MS Mincho"/>
      <w:b/>
      <w:bCs/>
      <w:i/>
      <w:iCs/>
      <w:sz w:val="28"/>
      <w:szCs w:val="28"/>
      <w:lang w:eastAsia="en-US"/>
    </w:rPr>
  </w:style>
  <w:style w:type="character" w:styleId="Hyperlink">
    <w:name w:val="Hyperlink"/>
    <w:uiPriority w:val="99"/>
    <w:rPr>
      <w:rFonts w:cs="Times New Roman"/>
      <w:color w:val="0000FF"/>
      <w:u w:val="single"/>
    </w:rPr>
  </w:style>
  <w:style w:type="paragraph" w:styleId="Footer">
    <w:name w:val="footer"/>
    <w:basedOn w:val="Normal"/>
    <w:link w:val="FooterChar"/>
    <w:uiPriority w:val="99"/>
    <w:pPr>
      <w:tabs>
        <w:tab w:val="center" w:pos="4680"/>
        <w:tab w:val="right" w:pos="9360"/>
      </w:tabs>
    </w:pPr>
    <w:rPr>
      <w:lang w:val="x-none"/>
    </w:rPr>
  </w:style>
  <w:style w:type="character" w:customStyle="1" w:styleId="FooterChar">
    <w:name w:val="Footer Char"/>
    <w:link w:val="Footer"/>
    <w:uiPriority w:val="99"/>
    <w:locked/>
    <w:rPr>
      <w:rFonts w:ascii="Times New Roman" w:eastAsia="MS Mincho" w:hAnsi="Times New Roman"/>
      <w:sz w:val="22"/>
      <w:szCs w:val="24"/>
      <w:lang w:eastAsia="en-US"/>
    </w:rPr>
  </w:style>
  <w:style w:type="table" w:styleId="TableGrid">
    <w:name w:val="Table Grid"/>
    <w:basedOn w:val="TableNormal"/>
    <w:rPr>
      <w:rFonts w:ascii="Cambria" w:eastAsia="MS Mincho"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character" w:customStyle="1" w:styleId="Heading7Char">
    <w:name w:val="Heading 7 Char"/>
    <w:link w:val="Heading7"/>
    <w:semiHidden/>
    <w:rPr>
      <w:rFonts w:ascii="Calibri" w:eastAsia="Times New Roman" w:hAnsi="Calibri" w:cs="Times New Roman"/>
      <w:sz w:val="24"/>
      <w:szCs w:val="24"/>
      <w:lang w:eastAsia="en-US"/>
    </w:rPr>
  </w:style>
  <w:style w:type="paragraph" w:customStyle="1" w:styleId="Default">
    <w:name w:val="Default"/>
    <w:pPr>
      <w:autoSpaceDE w:val="0"/>
      <w:autoSpaceDN w:val="0"/>
      <w:adjustRightInd w:val="0"/>
    </w:pPr>
    <w:rPr>
      <w:rFonts w:ascii="Times New Roman" w:hAnsi="Times New Roman"/>
      <w:color w:val="000000"/>
      <w:sz w:val="24"/>
      <w:szCs w:val="24"/>
      <w:lang w:val="es-ES" w:eastAsia="es-ES"/>
    </w:rPr>
  </w:style>
  <w:style w:type="paragraph" w:customStyle="1" w:styleId="Prrafodelista1">
    <w:name w:val="Párrafo de lista1"/>
    <w:basedOn w:val="Normal"/>
    <w:uiPriority w:val="34"/>
    <w:qFormat/>
    <w:pPr>
      <w:ind w:left="720"/>
      <w:contextualSpacing/>
    </w:pPr>
    <w:rPr>
      <w:rFonts w:eastAsia="Times New Roman"/>
      <w:sz w:val="24"/>
      <w:lang w:eastAsia="es-ES"/>
    </w:rPr>
  </w:style>
  <w:style w:type="paragraph" w:styleId="BalloonText">
    <w:name w:val="Balloon Text"/>
    <w:basedOn w:val="Normal"/>
    <w:link w:val="BalloonTextChar"/>
    <w:rPr>
      <w:rFonts w:ascii="Tahoma" w:hAnsi="Tahoma"/>
      <w:sz w:val="16"/>
      <w:szCs w:val="16"/>
      <w:lang w:val="x-none"/>
    </w:rPr>
  </w:style>
  <w:style w:type="paragraph" w:styleId="Header">
    <w:name w:val="header"/>
    <w:basedOn w:val="Normal"/>
    <w:link w:val="HeaderChar"/>
    <w:pPr>
      <w:tabs>
        <w:tab w:val="center" w:pos="4680"/>
        <w:tab w:val="right" w:pos="9360"/>
      </w:tabs>
    </w:pPr>
    <w:rPr>
      <w:lang w:val="x-none"/>
    </w:rPr>
  </w:style>
  <w:style w:type="character" w:customStyle="1" w:styleId="HeaderChar">
    <w:name w:val="Header Char"/>
    <w:link w:val="Header"/>
    <w:rPr>
      <w:rFonts w:ascii="Times New Roman" w:eastAsia="MS Mincho" w:hAnsi="Times New Roman"/>
      <w:sz w:val="22"/>
      <w:szCs w:val="24"/>
      <w:lang w:eastAsia="en-US"/>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1"/>
    <w:uiPriority w:val="99"/>
    <w:unhideWhenUsed/>
    <w:qFormat/>
    <w:rPr>
      <w:rFonts w:ascii="Calibri" w:eastAsia="SimSun" w:hAnsi="Calibri"/>
      <w:sz w:val="20"/>
      <w:szCs w:val="20"/>
      <w:lang w:val="es-ES"/>
    </w:rPr>
  </w:style>
  <w:style w:type="character" w:customStyle="1" w:styleId="CommentTextChar1">
    <w:name w:val="Comment Text Char1"/>
    <w:link w:val="CommentText"/>
    <w:uiPriority w:val="99"/>
    <w:rPr>
      <w:lang w:val="es-E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s-ES" w:eastAsia="en-US"/>
    </w:rPr>
  </w:style>
  <w:style w:type="character" w:styleId="FootnoteReference">
    <w:name w:val="footnote reference"/>
    <w:aliases w:val="Footnote text,Ref,de nota al pie,Footnote Reference1,Ref1,de nota al pie1,註腳內容,de nota al pie + (Asian) MS Mincho,11 pt,16 Point,Superscript 6 Point"/>
    <w:rPr>
      <w:vertAlign w:val="superscript"/>
    </w:rPr>
  </w:style>
  <w:style w:type="paragraph" w:customStyle="1" w:styleId="Revision1">
    <w:name w:val="Revision1"/>
    <w:hidden/>
    <w:uiPriority w:val="99"/>
    <w:semiHidden/>
    <w:rPr>
      <w:sz w:val="22"/>
      <w:szCs w:val="22"/>
      <w:lang w:val="es-ES"/>
    </w:rPr>
  </w:style>
  <w:style w:type="paragraph" w:styleId="NormalWeb">
    <w:name w:val="Normal (Web)"/>
    <w:basedOn w:val="Normal"/>
    <w:link w:val="NormalWebChar"/>
    <w:uiPriority w:val="99"/>
    <w:pPr>
      <w:spacing w:before="100" w:beforeAutospacing="1" w:after="100" w:afterAutospacing="1"/>
    </w:pPr>
    <w:rPr>
      <w:rFonts w:eastAsia="Times New Roman"/>
      <w:sz w:val="24"/>
    </w:rPr>
  </w:style>
  <w:style w:type="character" w:customStyle="1" w:styleId="NormalWebChar">
    <w:name w:val="Normal (Web) Char"/>
    <w:link w:val="NormalWeb"/>
    <w:uiPriority w:val="99"/>
    <w:rPr>
      <w:rFonts w:ascii="Times New Roman" w:eastAsia="Times New Roman" w:hAnsi="Times New Roman"/>
      <w:sz w:val="24"/>
      <w:szCs w:val="24"/>
      <w:lang w:val="en-GB" w:eastAsia="en-US"/>
    </w:rPr>
  </w:style>
  <w:style w:type="character" w:customStyle="1" w:styleId="Heading4Char">
    <w:name w:val="Heading 4 Char"/>
    <w:link w:val="Heading4"/>
    <w:semiHidden/>
    <w:rPr>
      <w:rFonts w:ascii="Calibri" w:eastAsia="Times New Roman" w:hAnsi="Calibri" w:cs="Times New Roman"/>
      <w:b/>
      <w:bCs/>
      <w:sz w:val="28"/>
      <w:szCs w:val="28"/>
      <w:lang w:val="es-ES" w:eastAsia="en-US"/>
    </w:rPr>
  </w:style>
  <w:style w:type="character" w:customStyle="1" w:styleId="smalltext1">
    <w:name w:val="smalltext1"/>
    <w:rPr>
      <w:rFonts w:ascii="Symbol" w:hAnsi="Symbol" w:hint="default"/>
      <w:color w:val="000000"/>
      <w:sz w:val="10"/>
      <w:szCs w:val="10"/>
    </w:rPr>
  </w:style>
  <w:style w:type="paragraph" w:styleId="BodyText">
    <w:name w:val="Body Text"/>
    <w:basedOn w:val="Normal"/>
    <w:link w:val="BodyTextChar"/>
    <w:pPr>
      <w:spacing w:after="120"/>
    </w:pPr>
    <w:rPr>
      <w:rFonts w:eastAsia="Times New Roman"/>
      <w:sz w:val="24"/>
      <w:lang w:eastAsia="x-none"/>
    </w:rPr>
  </w:style>
  <w:style w:type="character" w:customStyle="1" w:styleId="BodyTextChar">
    <w:name w:val="Body Text Char"/>
    <w:link w:val="BodyText"/>
    <w:rPr>
      <w:rFonts w:ascii="Times New Roman" w:eastAsia="Times New Roman" w:hAnsi="Times New Roman"/>
      <w:sz w:val="24"/>
      <w:szCs w:val="24"/>
      <w:lang w:val="en-GB" w:eastAsia="x-none"/>
    </w:rPr>
  </w:style>
  <w:style w:type="character" w:styleId="FollowedHyperlink">
    <w:name w:val="FollowedHyperlink"/>
    <w:uiPriority w:val="99"/>
    <w:semiHidden/>
    <w:unhideWhenUsed/>
    <w:rPr>
      <w:color w:val="954F72"/>
      <w:u w:val="single"/>
    </w:rPr>
  </w:style>
  <w:style w:type="character" w:styleId="Emphasis">
    <w:name w:val="Emphasis"/>
    <w:uiPriority w:val="20"/>
    <w:qFormat/>
    <w:locked/>
    <w:rPr>
      <w:i/>
      <w:iCs/>
    </w:rPr>
  </w:style>
  <w:style w:type="paragraph" w:styleId="FootnoteText">
    <w:name w:val="footnote text"/>
    <w:basedOn w:val="Normal"/>
    <w:link w:val="FootnoteTextChar"/>
    <w:pPr>
      <w:spacing w:before="60"/>
    </w:pPr>
    <w:rPr>
      <w:sz w:val="20"/>
      <w:lang w:val="x-none"/>
    </w:rPr>
  </w:style>
  <w:style w:type="character" w:customStyle="1" w:styleId="FootnoteTextChar">
    <w:name w:val="Footnote Text Char"/>
    <w:link w:val="FootnoteText"/>
    <w:rPr>
      <w:rFonts w:ascii="Times New Roman" w:eastAsia="MS Mincho" w:hAnsi="Times New Roman"/>
      <w:szCs w:val="24"/>
      <w:lang w:eastAsia="en-US"/>
    </w:rPr>
  </w:style>
  <w:style w:type="paragraph" w:styleId="List2">
    <w:name w:val="List 2"/>
    <w:basedOn w:val="Normal"/>
    <w:unhideWhenUsed/>
    <w:pPr>
      <w:ind w:left="566" w:hanging="283"/>
      <w:contextualSpacing/>
    </w:pPr>
    <w:rPr>
      <w:rFonts w:ascii="Tahoma" w:eastAsia="Tahoma" w:hAnsi="Tahoma"/>
      <w:lang w:val="en-US"/>
    </w:rPr>
  </w:style>
  <w:style w:type="character" w:customStyle="1" w:styleId="goohl1">
    <w:name w:val="goohl1"/>
  </w:style>
  <w:style w:type="paragraph" w:styleId="Subtitle">
    <w:name w:val="Subtitle"/>
    <w:basedOn w:val="Normal"/>
    <w:next w:val="Normal"/>
    <w:link w:val="SubtitleChar"/>
    <w:qFormat/>
    <w:locked/>
    <w:pPr>
      <w:spacing w:after="60"/>
      <w:jc w:val="center"/>
      <w:outlineLvl w:val="1"/>
    </w:pPr>
    <w:rPr>
      <w:rFonts w:ascii="Cambria" w:eastAsia="Times New Roman" w:hAnsi="Cambria"/>
      <w:sz w:val="24"/>
      <w:lang w:val="x-none"/>
    </w:rPr>
  </w:style>
  <w:style w:type="character" w:customStyle="1" w:styleId="SubtitleChar">
    <w:name w:val="Subtitle Char"/>
    <w:link w:val="Subtitle"/>
    <w:rPr>
      <w:rFonts w:ascii="Cambria" w:eastAsia="Times New Roman" w:hAnsi="Cambria" w:cs="Times New Roman"/>
      <w:sz w:val="24"/>
      <w:szCs w:val="24"/>
      <w:lang w:eastAsia="en-US"/>
    </w:rPr>
  </w:style>
  <w:style w:type="character" w:styleId="Strong">
    <w:name w:val="Strong"/>
    <w:qFormat/>
    <w:locked/>
    <w:rPr>
      <w:b/>
      <w:bCs/>
    </w:rPr>
  </w:style>
  <w:style w:type="character" w:customStyle="1" w:styleId="author2">
    <w:name w:val="author2"/>
    <w:rPr>
      <w:rFonts w:ascii="Verdana" w:hAnsi="Verdana" w:hint="default"/>
      <w:color w:val="666666"/>
      <w:sz w:val="20"/>
      <w:szCs w:val="20"/>
    </w:rPr>
  </w:style>
  <w:style w:type="character" w:customStyle="1" w:styleId="text061">
    <w:name w:val="text061"/>
    <w:rPr>
      <w:rFonts w:ascii="Verdana" w:hAnsi="Verdana" w:hint="default"/>
      <w:color w:val="006600"/>
      <w:sz w:val="23"/>
      <w:szCs w:val="23"/>
    </w:rPr>
  </w:style>
  <w:style w:type="character" w:customStyle="1" w:styleId="Heading1Char">
    <w:name w:val="Heading 1 Char"/>
    <w:link w:val="Heading1"/>
    <w:rPr>
      <w:rFonts w:ascii="Times New Roman" w:eastAsia="MS Mincho" w:hAnsi="Times New Roman"/>
      <w:b/>
      <w:bCs/>
      <w:sz w:val="22"/>
      <w:szCs w:val="24"/>
      <w:lang w:eastAsia="en-US"/>
    </w:rPr>
  </w:style>
  <w:style w:type="character" w:customStyle="1" w:styleId="ms-rtecustom-featuresbyline1">
    <w:name w:val="ms-rtecustom-featuresbyline1"/>
    <w:rPr>
      <w:b w:val="0"/>
      <w:bCs w:val="0"/>
      <w:sz w:val="17"/>
      <w:szCs w:val="17"/>
    </w:rPr>
  </w:style>
  <w:style w:type="paragraph" w:styleId="BodyText3">
    <w:name w:val="Body Text 3"/>
    <w:basedOn w:val="Normal"/>
    <w:link w:val="BodyText3Char"/>
    <w:uiPriority w:val="99"/>
    <w:semiHidden/>
    <w:unhideWhenUsed/>
    <w:pPr>
      <w:spacing w:after="120"/>
    </w:pPr>
    <w:rPr>
      <w:rFonts w:ascii="Calibri" w:eastAsia="SimSun" w:hAnsi="Calibri"/>
      <w:sz w:val="16"/>
      <w:szCs w:val="16"/>
      <w:lang w:val="es-ES"/>
    </w:rPr>
  </w:style>
  <w:style w:type="character" w:customStyle="1" w:styleId="BodyText3Char">
    <w:name w:val="Body Text 3 Char"/>
    <w:link w:val="BodyText3"/>
    <w:uiPriority w:val="99"/>
    <w:semiHidden/>
    <w:rPr>
      <w:sz w:val="16"/>
      <w:szCs w:val="16"/>
      <w:lang w:val="es-ES" w:eastAsia="en-US"/>
    </w:rPr>
  </w:style>
  <w:style w:type="paragraph" w:customStyle="1" w:styleId="Pa8">
    <w:name w:val="Pa8"/>
    <w:basedOn w:val="Default"/>
    <w:next w:val="Default"/>
    <w:uiPriority w:val="99"/>
    <w:pPr>
      <w:spacing w:line="181" w:lineRule="atLeast"/>
    </w:pPr>
    <w:rPr>
      <w:rFonts w:ascii="NewCenturySchlbk" w:hAnsi="NewCenturySchlbk"/>
      <w:color w:val="auto"/>
      <w:lang w:val="es-MX" w:eastAsia="es-MX"/>
    </w:rPr>
  </w:style>
  <w:style w:type="character" w:customStyle="1" w:styleId="Signature1">
    <w:name w:val="Signature1"/>
  </w:style>
  <w:style w:type="paragraph" w:styleId="HTMLPreformatted">
    <w:name w:val="HTML Preformatted"/>
    <w:basedOn w:val="Normal"/>
    <w:link w:val="HTMLPreformattedChar"/>
    <w:uiPriority w:val="99"/>
    <w:unhideWhenUsed/>
    <w:rPr>
      <w:rFonts w:ascii="Courier New" w:eastAsia="SimSun" w:hAnsi="Courier New"/>
      <w:sz w:val="20"/>
      <w:szCs w:val="20"/>
      <w:lang w:val="es-ES"/>
    </w:rPr>
  </w:style>
  <w:style w:type="character" w:customStyle="1" w:styleId="HTMLPreformattedChar">
    <w:name w:val="HTML Preformatted Char"/>
    <w:link w:val="HTMLPreformatted"/>
    <w:uiPriority w:val="99"/>
    <w:rPr>
      <w:rFonts w:ascii="Courier New" w:hAnsi="Courier New" w:cs="Courier New"/>
      <w:lang w:val="es-ES" w:eastAsia="en-US"/>
    </w:rPr>
  </w:style>
  <w:style w:type="character" w:customStyle="1" w:styleId="A4">
    <w:name w:val="A4"/>
    <w:uiPriority w:val="99"/>
    <w:rPr>
      <w:color w:val="000000"/>
      <w:sz w:val="22"/>
      <w:szCs w:val="22"/>
    </w:rPr>
  </w:style>
  <w:style w:type="character" w:styleId="PageNumber">
    <w:name w:val="page number"/>
    <w:rPr>
      <w:rFonts w:ascii="Arial" w:hAnsi="Arial"/>
      <w:b/>
      <w:sz w:val="18"/>
    </w:rPr>
  </w:style>
  <w:style w:type="paragraph" w:styleId="BodyTextIndent2">
    <w:name w:val="Body Text Indent 2"/>
    <w:basedOn w:val="Normal"/>
    <w:pPr>
      <w:spacing w:after="120" w:line="480" w:lineRule="auto"/>
      <w:ind w:left="283"/>
    </w:pPr>
  </w:style>
  <w:style w:type="character" w:customStyle="1" w:styleId="Heading3Char">
    <w:name w:val="Heading 3 Char"/>
    <w:link w:val="Heading3"/>
    <w:rPr>
      <w:rFonts w:eastAsia="MS Mincho"/>
      <w:b/>
      <w:bCs/>
      <w:sz w:val="26"/>
      <w:szCs w:val="26"/>
      <w:lang w:eastAsia="en-US"/>
    </w:rPr>
  </w:style>
  <w:style w:type="character" w:customStyle="1" w:styleId="Heading5Char">
    <w:name w:val="Heading 5 Char"/>
    <w:link w:val="Heading5"/>
    <w:rPr>
      <w:rFonts w:ascii="Calibri" w:eastAsia="Times New Roman" w:hAnsi="Calibri" w:cs="Times New Roman"/>
      <w:b/>
      <w:bCs/>
      <w:i/>
      <w:iCs/>
      <w:sz w:val="26"/>
      <w:szCs w:val="26"/>
      <w:lang w:val="es-ES" w:eastAsia="en-US"/>
    </w:rPr>
  </w:style>
  <w:style w:type="paragraph" w:styleId="List">
    <w:name w:val="List"/>
    <w:basedOn w:val="Normal"/>
    <w:uiPriority w:val="99"/>
    <w:unhideWhenUsed/>
    <w:pPr>
      <w:ind w:left="283" w:hanging="283"/>
      <w:contextualSpacing/>
    </w:pPr>
  </w:style>
  <w:style w:type="paragraph" w:styleId="List3">
    <w:name w:val="List 3"/>
    <w:basedOn w:val="Normal"/>
    <w:uiPriority w:val="99"/>
    <w:unhideWhenUsed/>
    <w:pPr>
      <w:ind w:left="849" w:hanging="283"/>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pPr>
      <w:numPr>
        <w:numId w:val="2"/>
      </w:numPr>
      <w:contextualSpacing/>
    </w:pPr>
  </w:style>
  <w:style w:type="paragraph" w:styleId="ListBullet3">
    <w:name w:val="List Bullet 3"/>
    <w:basedOn w:val="Normal"/>
    <w:uiPriority w:val="99"/>
    <w:unhideWhenUsed/>
    <w:pPr>
      <w:numPr>
        <w:numId w:val="3"/>
      </w:numPr>
      <w:contextualSpacing/>
    </w:pPr>
  </w:style>
  <w:style w:type="paragraph" w:styleId="ListContinue">
    <w:name w:val="List Continue"/>
    <w:basedOn w:val="Normal"/>
    <w:uiPriority w:val="99"/>
    <w:unhideWhenUsed/>
    <w:pPr>
      <w:spacing w:after="120"/>
      <w:ind w:left="283"/>
      <w:contextualSpacing/>
    </w:pPr>
  </w:style>
  <w:style w:type="paragraph" w:styleId="ListContinue2">
    <w:name w:val="List Continue 2"/>
    <w:basedOn w:val="Normal"/>
    <w:uiPriority w:val="99"/>
    <w:unhideWhenUsed/>
    <w:pPr>
      <w:spacing w:after="120"/>
      <w:ind w:left="566"/>
      <w:contextualSpacing/>
    </w:pPr>
  </w:style>
  <w:style w:type="paragraph" w:styleId="ListContinue3">
    <w:name w:val="List Continue 3"/>
    <w:basedOn w:val="Normal"/>
    <w:uiPriority w:val="99"/>
    <w:unhideWhenUsed/>
    <w:pPr>
      <w:spacing w:after="120"/>
      <w:ind w:left="849"/>
      <w:contextualSpacing/>
    </w:pPr>
  </w:style>
  <w:style w:type="paragraph" w:customStyle="1" w:styleId="Imagen">
    <w:name w:val="Imagen"/>
    <w:basedOn w:val="Normal"/>
  </w:style>
  <w:style w:type="paragraph" w:styleId="Caption">
    <w:name w:val="caption"/>
    <w:basedOn w:val="Normal"/>
    <w:next w:val="Normal"/>
    <w:qFormat/>
    <w:locked/>
    <w:rPr>
      <w:b/>
      <w:bCs/>
      <w:sz w:val="20"/>
      <w:szCs w:val="20"/>
    </w:rPr>
  </w:style>
  <w:style w:type="paragraph" w:styleId="BodyTextIndent">
    <w:name w:val="Body Text Indent"/>
    <w:basedOn w:val="Normal"/>
    <w:link w:val="BodyTextIndentChar"/>
    <w:uiPriority w:val="99"/>
    <w:semiHidden/>
    <w:unhideWhenUsed/>
    <w:pPr>
      <w:spacing w:after="120"/>
      <w:ind w:left="283"/>
    </w:pPr>
    <w:rPr>
      <w:rFonts w:ascii="Calibri" w:eastAsia="SimSun" w:hAnsi="Calibri"/>
      <w:szCs w:val="22"/>
      <w:lang w:val="es-ES"/>
    </w:rPr>
  </w:style>
  <w:style w:type="character" w:customStyle="1" w:styleId="BodyTextIndentChar">
    <w:name w:val="Body Text Indent Char"/>
    <w:link w:val="BodyTextIndent"/>
    <w:uiPriority w:val="99"/>
    <w:semiHidden/>
    <w:rPr>
      <w:sz w:val="22"/>
      <w:szCs w:val="22"/>
      <w:lang w:val="es-ES" w:eastAsia="en-US"/>
    </w:rPr>
  </w:style>
  <w:style w:type="paragraph" w:styleId="BodyTextFirstIndent2">
    <w:name w:val="Body Text First Indent 2"/>
    <w:basedOn w:val="BodyTextIndent"/>
    <w:link w:val="BodyTextFirstIndent2Char"/>
    <w:uiPriority w:val="99"/>
    <w:unhideWhenUsed/>
    <w:pPr>
      <w:ind w:firstLine="210"/>
    </w:pPr>
  </w:style>
  <w:style w:type="character" w:customStyle="1" w:styleId="BodyTextFirstIndent2Char">
    <w:name w:val="Body Text First Indent 2 Char"/>
    <w:basedOn w:val="BodyTextIndentChar"/>
    <w:link w:val="BodyTextFirstIndent2"/>
    <w:uiPriority w:val="99"/>
    <w:rPr>
      <w:sz w:val="22"/>
      <w:szCs w:val="22"/>
      <w:lang w:val="es-ES" w:eastAsia="en-US"/>
    </w:rPr>
  </w:style>
  <w:style w:type="paragraph" w:customStyle="1" w:styleId="Revision2">
    <w:name w:val="Revision2"/>
    <w:hidden/>
    <w:uiPriority w:val="99"/>
    <w:semiHidden/>
    <w:rPr>
      <w:sz w:val="22"/>
      <w:szCs w:val="22"/>
      <w:lang w:val="es-ES"/>
    </w:rPr>
  </w:style>
  <w:style w:type="character" w:customStyle="1" w:styleId="hps">
    <w:name w:val="hps"/>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numPr>
        <w:numId w:val="8"/>
      </w:numPr>
      <w:tabs>
        <w:tab w:val="left" w:pos="1134"/>
      </w:tabs>
      <w:spacing w:after="60"/>
      <w:ind w:left="1134" w:hanging="567"/>
    </w:pPr>
  </w:style>
  <w:style w:type="character" w:customStyle="1" w:styleId="BalloonTextChar">
    <w:name w:val="Balloon Text Char"/>
    <w:link w:val="BalloonText"/>
    <w:rPr>
      <w:rFonts w:ascii="Tahoma" w:eastAsia="MS Mincho" w:hAnsi="Tahoma" w:cs="Tahoma"/>
      <w:sz w:val="16"/>
      <w:szCs w:val="16"/>
      <w:lang w:eastAsia="en-US"/>
    </w:r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rPr>
      <w:rFonts w:ascii="Times New Roman" w:hAnsi="Times New Roman"/>
      <w:i/>
      <w:sz w:val="22"/>
      <w:lang w:val="en-US"/>
    </w:rPr>
  </w:style>
  <w:style w:type="character" w:customStyle="1" w:styleId="IPPNormalbold">
    <w:name w:val="IPP Normal bold"/>
    <w:rPr>
      <w:rFonts w:ascii="Times New Roman" w:eastAsia="Times" w:hAnsi="Times New Roman"/>
      <w:b/>
      <w:sz w:val="22"/>
      <w:szCs w:val="21"/>
      <w:lang w:val="en-AU" w:eastAsia="en-US"/>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rPr>
      <w:rFonts w:ascii="Times New Roman" w:hAnsi="Times New Roman"/>
      <w:sz w:val="22"/>
      <w:u w:val="single"/>
      <w:lang w:val="en-US"/>
    </w:rPr>
  </w:style>
  <w:style w:type="paragraph" w:customStyle="1" w:styleId="IPPBullet1">
    <w:name w:val="IPP Bullet1"/>
    <w:basedOn w:val="IPPBullet1Last"/>
    <w:qFormat/>
    <w:pPr>
      <w:numPr>
        <w:numId w:val="13"/>
      </w:numPr>
      <w:spacing w:after="60"/>
      <w:ind w:left="567" w:hanging="567"/>
    </w:pPr>
    <w:rPr>
      <w:lang w:val="en-US"/>
    </w:rPr>
  </w:style>
  <w:style w:type="paragraph" w:customStyle="1" w:styleId="IPPBullet1Last">
    <w:name w:val="IPP Bullet1Last"/>
    <w:basedOn w:val="IPPNormal"/>
    <w:next w:val="IPPNormal"/>
    <w:autoRedefine/>
    <w:qFormat/>
    <w:pPr>
      <w:numPr>
        <w:numId w:val="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7"/>
      </w:numPr>
    </w:p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link w:val="IPPHeading2Char"/>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locked/>
    <w:pPr>
      <w:tabs>
        <w:tab w:val="right" w:leader="dot" w:pos="9072"/>
      </w:tabs>
      <w:spacing w:before="240"/>
      <w:ind w:left="567" w:hanging="567"/>
    </w:pPr>
  </w:style>
  <w:style w:type="paragraph" w:styleId="TOC2">
    <w:name w:val="toc 2"/>
    <w:basedOn w:val="TOC1"/>
    <w:next w:val="Normal"/>
    <w:autoRedefine/>
    <w:uiPriority w:val="39"/>
    <w:locked/>
    <w:pPr>
      <w:keepNext w:val="0"/>
      <w:tabs>
        <w:tab w:val="left" w:pos="425"/>
      </w:tabs>
      <w:spacing w:before="120" w:after="0"/>
      <w:ind w:left="425" w:right="284" w:hanging="425"/>
    </w:pPr>
  </w:style>
  <w:style w:type="paragraph" w:styleId="TOC3">
    <w:name w:val="toc 3"/>
    <w:basedOn w:val="TOC2"/>
    <w:next w:val="Normal"/>
    <w:autoRedefine/>
    <w:uiPriority w:val="39"/>
    <w:locked/>
    <w:pPr>
      <w:tabs>
        <w:tab w:val="left" w:pos="1276"/>
      </w:tabs>
      <w:spacing w:before="60"/>
      <w:ind w:left="1276" w:hanging="851"/>
    </w:pPr>
    <w:rPr>
      <w:rFonts w:eastAsia="Times"/>
    </w:rPr>
  </w:style>
  <w:style w:type="paragraph" w:styleId="TOC4">
    <w:name w:val="toc 4"/>
    <w:basedOn w:val="Normal"/>
    <w:next w:val="Normal"/>
    <w:autoRedefine/>
    <w:uiPriority w:val="39"/>
    <w:locked/>
    <w:pPr>
      <w:spacing w:after="120"/>
      <w:ind w:left="660"/>
    </w:pPr>
    <w:rPr>
      <w:rFonts w:eastAsia="Times"/>
      <w:lang w:val="en-AU"/>
    </w:rPr>
  </w:style>
  <w:style w:type="paragraph" w:styleId="TOC5">
    <w:name w:val="toc 5"/>
    <w:basedOn w:val="Normal"/>
    <w:next w:val="Normal"/>
    <w:autoRedefine/>
    <w:uiPriority w:val="39"/>
    <w:locked/>
    <w:pPr>
      <w:spacing w:after="120"/>
      <w:ind w:left="880"/>
    </w:pPr>
    <w:rPr>
      <w:rFonts w:eastAsia="Times"/>
      <w:lang w:val="en-AU"/>
    </w:rPr>
  </w:style>
  <w:style w:type="paragraph" w:styleId="TOC6">
    <w:name w:val="toc 6"/>
    <w:basedOn w:val="Normal"/>
    <w:next w:val="Normal"/>
    <w:autoRedefine/>
    <w:uiPriority w:val="39"/>
    <w:locked/>
    <w:pPr>
      <w:spacing w:after="120"/>
      <w:ind w:left="1100"/>
    </w:pPr>
    <w:rPr>
      <w:rFonts w:eastAsia="Times"/>
      <w:lang w:val="en-AU"/>
    </w:rPr>
  </w:style>
  <w:style w:type="paragraph" w:styleId="TOC7">
    <w:name w:val="toc 7"/>
    <w:basedOn w:val="Normal"/>
    <w:next w:val="Normal"/>
    <w:autoRedefine/>
    <w:uiPriority w:val="39"/>
    <w:locked/>
    <w:pPr>
      <w:spacing w:after="120"/>
      <w:ind w:left="1320"/>
    </w:pPr>
    <w:rPr>
      <w:rFonts w:eastAsia="Times"/>
      <w:lang w:val="en-AU"/>
    </w:rPr>
  </w:style>
  <w:style w:type="paragraph" w:styleId="TOC8">
    <w:name w:val="toc 8"/>
    <w:basedOn w:val="Normal"/>
    <w:next w:val="Normal"/>
    <w:autoRedefine/>
    <w:uiPriority w:val="39"/>
    <w:locked/>
    <w:pPr>
      <w:spacing w:after="120"/>
      <w:ind w:left="1540"/>
    </w:pPr>
    <w:rPr>
      <w:rFonts w:eastAsia="Times"/>
      <w:lang w:val="en-AU"/>
    </w:rPr>
  </w:style>
  <w:style w:type="paragraph" w:styleId="TOC9">
    <w:name w:val="toc 9"/>
    <w:basedOn w:val="Normal"/>
    <w:next w:val="Normal"/>
    <w:autoRedefine/>
    <w:uiPriority w:val="39"/>
    <w:locked/>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ArialTable">
    <w:name w:val="IPP Arial Table"/>
    <w:basedOn w:val="IPPArial"/>
    <w:qFormat/>
    <w:pPr>
      <w:spacing w:before="60" w:after="60"/>
      <w:jc w:val="left"/>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character" w:customStyle="1" w:styleId="PlainTextChar">
    <w:name w:val="Plain Text Char"/>
    <w:link w:val="PlainText"/>
    <w:uiPriority w:val="99"/>
    <w:rPr>
      <w:rFonts w:ascii="Courier" w:eastAsia="Times" w:hAnsi="Courier"/>
      <w:sz w:val="21"/>
      <w:szCs w:val="21"/>
      <w:lang w:val="en-AU" w:eastAsia="en-US"/>
    </w:rPr>
  </w:style>
  <w:style w:type="paragraph" w:customStyle="1" w:styleId="IPPLetterList">
    <w:name w:val="IPP LetterList"/>
    <w:basedOn w:val="IPPBullet2"/>
    <w:qFormat/>
    <w:pPr>
      <w:tabs>
        <w:tab w:val="num" w:pos="1134"/>
      </w:tabs>
      <w:jc w:val="left"/>
    </w:pPr>
  </w:style>
  <w:style w:type="paragraph" w:customStyle="1" w:styleId="IPPLetterListIndent">
    <w:name w:val="IPP LetterList Indent"/>
    <w:basedOn w:val="IPPLetterList"/>
    <w:qFormat/>
    <w:pPr>
      <w:numPr>
        <w:numId w:val="6"/>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0"/>
      </w:numPr>
    </w:pPr>
  </w:style>
  <w:style w:type="paragraph" w:customStyle="1" w:styleId="IPPHdg2Num">
    <w:name w:val="IPP Hdg2Num"/>
    <w:basedOn w:val="IPPHeading2"/>
    <w:next w:val="IPPNormal"/>
    <w:qFormat/>
    <w:pPr>
      <w:numPr>
        <w:ilvl w:val="1" numString="1.1. "/>
        <w:numId w:val="11"/>
      </w:numPr>
    </w:pPr>
  </w:style>
  <w:style w:type="paragraph" w:customStyle="1" w:styleId="IPPNumberedList">
    <w:name w:val="IPP NumberedList"/>
    <w:basedOn w:val="IPPBullet1"/>
    <w:qFormat/>
    <w:pPr>
      <w:numPr>
        <w:numId w:val="12"/>
      </w:numPr>
    </w:pPr>
  </w:style>
  <w:style w:type="paragraph" w:customStyle="1" w:styleId="ColorfulList-Accent11">
    <w:name w:val="Colorful List - Accent 11"/>
    <w:basedOn w:val="Normal"/>
    <w:uiPriority w:val="34"/>
    <w:qFormat/>
    <w:pPr>
      <w:spacing w:line="240" w:lineRule="atLeast"/>
      <w:ind w:leftChars="400" w:left="800"/>
    </w:pPr>
    <w:rPr>
      <w:rFonts w:ascii="Verdana" w:eastAsia="Times New Roman" w:hAnsi="Verdana"/>
      <w:sz w:val="20"/>
      <w:lang w:val="nl-NL" w:eastAsia="nl-NL"/>
    </w:rPr>
  </w:style>
  <w:style w:type="paragraph" w:customStyle="1" w:styleId="IPPParagraphnumbering">
    <w:name w:val="IPP Paragraph numbering"/>
    <w:basedOn w:val="IPPNormal"/>
    <w:qFormat/>
    <w:pPr>
      <w:numPr>
        <w:numId w:val="16"/>
      </w:numPr>
    </w:pPr>
    <w:rPr>
      <w:lang w:val="en-U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paragraph" w:customStyle="1" w:styleId="western">
    <w:name w:val="western"/>
    <w:basedOn w:val="Normal"/>
    <w:pPr>
      <w:spacing w:before="100" w:beforeAutospacing="1" w:after="100" w:afterAutospacing="1"/>
    </w:pPr>
    <w:rPr>
      <w:rFonts w:eastAsia="Times New Roman"/>
      <w:sz w:val="24"/>
    </w:rPr>
  </w:style>
  <w:style w:type="paragraph" w:styleId="EndnoteText">
    <w:name w:val="endnote text"/>
    <w:basedOn w:val="Normal"/>
    <w:link w:val="EndnoteTextChar"/>
    <w:uiPriority w:val="99"/>
    <w:semiHidden/>
    <w:unhideWhenUsed/>
    <w:rPr>
      <w:sz w:val="20"/>
      <w:szCs w:val="20"/>
      <w:lang w:val="x-none"/>
    </w:rPr>
  </w:style>
  <w:style w:type="character" w:customStyle="1" w:styleId="EndnoteTextChar">
    <w:name w:val="Endnote Text Char"/>
    <w:link w:val="EndnoteText"/>
    <w:uiPriority w:val="99"/>
    <w:semiHidden/>
    <w:rPr>
      <w:rFonts w:ascii="Times New Roman" w:eastAsia="MS Mincho" w:hAnsi="Times New Roman"/>
      <w:lang w:eastAsia="en-US"/>
    </w:rPr>
  </w:style>
  <w:style w:type="character" w:styleId="EndnoteReference">
    <w:name w:val="endnote reference"/>
    <w:uiPriority w:val="99"/>
    <w:semiHidden/>
    <w:unhideWhenUsed/>
    <w:rPr>
      <w:vertAlign w:val="superscript"/>
    </w:rPr>
  </w:style>
  <w:style w:type="paragraph" w:customStyle="1" w:styleId="IPPPargraphnumbering">
    <w:name w:val="IPP Pargraph numbering"/>
    <w:basedOn w:val="IPPNormal"/>
    <w:uiPriority w:val="99"/>
    <w:qFormat/>
    <w:pPr>
      <w:tabs>
        <w:tab w:val="num" w:pos="360"/>
      </w:tabs>
      <w:ind w:left="360" w:hanging="360"/>
    </w:pPr>
    <w:rPr>
      <w:rFonts w:eastAsia="Times New Roman"/>
      <w:lang w:val="en-US"/>
    </w:rPr>
  </w:style>
  <w:style w:type="paragraph" w:customStyle="1" w:styleId="a">
    <w:name w:val="列出段落"/>
    <w:basedOn w:val="Normal"/>
    <w:uiPriority w:val="34"/>
    <w:qFormat/>
    <w:pPr>
      <w:spacing w:line="240" w:lineRule="atLeast"/>
      <w:ind w:leftChars="400" w:left="800"/>
    </w:pPr>
    <w:rPr>
      <w:rFonts w:ascii="Verdana" w:eastAsia="Times New Roman" w:hAnsi="Verdana"/>
      <w:sz w:val="20"/>
      <w:lang w:val="nl-NL" w:eastAsia="nl-NL"/>
    </w:rPr>
  </w:style>
  <w:style w:type="character" w:customStyle="1" w:styleId="maintitle">
    <w:name w:val="maintitle"/>
    <w:basedOn w:val="DefaultParagraphFont"/>
  </w:style>
  <w:style w:type="paragraph" w:customStyle="1" w:styleId="articledetails">
    <w:name w:val="articledetails"/>
    <w:basedOn w:val="Normal"/>
    <w:pPr>
      <w:spacing w:before="100" w:beforeAutospacing="1" w:after="100" w:afterAutospacing="1"/>
      <w:jc w:val="left"/>
    </w:pPr>
    <w:rPr>
      <w:rFonts w:eastAsia="Times New Roman"/>
      <w:sz w:val="24"/>
      <w:lang w:val="es-ES" w:eastAsia="es-ES"/>
    </w:rPr>
  </w:style>
  <w:style w:type="character" w:customStyle="1" w:styleId="CommentTextChar">
    <w:name w:val="Comment Text Char"/>
    <w:uiPriority w:val="99"/>
    <w:qFormat/>
    <w:locked/>
    <w:rPr>
      <w:rFonts w:cs="Times New Roman"/>
      <w:kern w:val="2"/>
      <w:sz w:val="20"/>
      <w:szCs w:val="20"/>
      <w:lang w:val="x-none" w:eastAsia="ja-JP"/>
    </w:rPr>
  </w:style>
  <w:style w:type="paragraph" w:customStyle="1" w:styleId="Revisin">
    <w:name w:val="Revisión"/>
    <w:hidden/>
    <w:uiPriority w:val="99"/>
    <w:semiHidden/>
    <w:rPr>
      <w:rFonts w:ascii="Times New Roman" w:eastAsia="MS Mincho" w:hAnsi="Times New Roman"/>
      <w:sz w:val="22"/>
      <w:szCs w:val="24"/>
      <w:lang w:val="en-GB"/>
    </w:rPr>
  </w:style>
  <w:style w:type="character" w:customStyle="1" w:styleId="cit">
    <w:name w:val="cit"/>
  </w:style>
  <w:style w:type="character" w:customStyle="1" w:styleId="UnresolvedMention1">
    <w:name w:val="Unresolved Mention1"/>
    <w:uiPriority w:val="99"/>
    <w:semiHidden/>
    <w:unhideWhenUsed/>
    <w:rPr>
      <w:color w:val="605E5C"/>
      <w:shd w:val="clear" w:color="auto" w:fill="E1DFDD"/>
    </w:rPr>
  </w:style>
  <w:style w:type="character" w:customStyle="1" w:styleId="IPPHeading2Char">
    <w:name w:val="IPP Heading2 Char"/>
    <w:link w:val="IPPHeading2"/>
    <w:locked/>
    <w:rPr>
      <w:rFonts w:ascii="Times New Roman" w:eastAsia="Times" w:hAnsi="Times New Roman"/>
      <w:b/>
      <w:sz w:val="24"/>
      <w:szCs w:val="24"/>
      <w:lang w:val="en-GB" w:eastAsia="en-US"/>
    </w:rPr>
  </w:style>
  <w:style w:type="character" w:customStyle="1" w:styleId="PleaseReviewParagraphId">
    <w:name w:val="PleaseReviewParagraphId"/>
    <w:rPr>
      <w:rFonts w:ascii="Arial" w:hAnsi="Arial"/>
      <w:b w:val="0"/>
      <w:i w:val="0"/>
      <w:color w:val="000080"/>
      <w:sz w:val="16"/>
      <w:u w:val="none"/>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CommentText0">
    <w:name w:val="CommentText"/>
    <w:basedOn w:val="Normal"/>
    <w:rPr>
      <w:sz w:val="20"/>
      <w:szCs w:val="22"/>
    </w:rPr>
  </w:style>
  <w:style w:type="paragraph" w:styleId="Revision">
    <w:name w:val="Revision"/>
    <w:hidden/>
    <w:uiPriority w:val="99"/>
    <w:semiHidden/>
    <w:rPr>
      <w:rFonts w:ascii="Times New Roman" w:eastAsia="MS Mincho" w:hAnsi="Times New Roman"/>
      <w:sz w:val="22"/>
      <w:szCs w:val="24"/>
      <w:lang w:val="en-GB"/>
    </w:rPr>
  </w:style>
  <w:style w:type="character" w:customStyle="1" w:styleId="fontstyle01">
    <w:name w:val="fontstyle01"/>
    <w:basedOn w:val="DefaultParagraphFont"/>
    <w:rPr>
      <w:rFonts w:ascii="Palatino-Roman-SC700" w:hAnsi="Palatino-Roman-SC700" w:hint="default"/>
      <w:b w:val="0"/>
      <w:bCs w:val="0"/>
      <w:i w:val="0"/>
      <w:iCs w:val="0"/>
      <w:color w:val="000000"/>
      <w:sz w:val="18"/>
      <w:szCs w:val="18"/>
    </w:rPr>
  </w:style>
  <w:style w:type="character" w:customStyle="1" w:styleId="fontstyle21">
    <w:name w:val="fontstyle21"/>
    <w:basedOn w:val="DefaultParagraphFont"/>
    <w:rPr>
      <w:rFonts w:ascii="Palatino-Roman" w:hAnsi="Palatino-Roman" w:hint="default"/>
      <w:b w:val="0"/>
      <w:bCs w:val="0"/>
      <w:i w:val="0"/>
      <w:iCs w:val="0"/>
      <w:color w:val="000000"/>
      <w:sz w:val="18"/>
      <w:szCs w:val="18"/>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epub-sectionitem">
    <w:name w:val="epub-section__item"/>
    <w:basedOn w:val="DefaultParagraphFont"/>
  </w:style>
  <w:style w:type="character" w:customStyle="1" w:styleId="epub-sectiondate">
    <w:name w:val="epub-section__date"/>
    <w:basedOn w:val="DefaultParagraphFont"/>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60443790">
      <w:bodyDiv w:val="1"/>
      <w:marLeft w:val="0"/>
      <w:marRight w:val="0"/>
      <w:marTop w:val="0"/>
      <w:marBottom w:val="0"/>
      <w:divBdr>
        <w:top w:val="none" w:sz="0" w:space="0" w:color="auto"/>
        <w:left w:val="none" w:sz="0" w:space="0" w:color="auto"/>
        <w:bottom w:val="none" w:sz="0" w:space="0" w:color="auto"/>
        <w:right w:val="none" w:sz="0" w:space="0" w:color="auto"/>
      </w:divBdr>
    </w:div>
    <w:div w:id="121119817">
      <w:bodyDiv w:val="1"/>
      <w:marLeft w:val="0"/>
      <w:marRight w:val="0"/>
      <w:marTop w:val="0"/>
      <w:marBottom w:val="0"/>
      <w:divBdr>
        <w:top w:val="none" w:sz="0" w:space="0" w:color="auto"/>
        <w:left w:val="none" w:sz="0" w:space="0" w:color="auto"/>
        <w:bottom w:val="none" w:sz="0" w:space="0" w:color="auto"/>
        <w:right w:val="none" w:sz="0" w:space="0" w:color="auto"/>
      </w:divBdr>
    </w:div>
    <w:div w:id="237250797">
      <w:bodyDiv w:val="1"/>
      <w:marLeft w:val="0"/>
      <w:marRight w:val="0"/>
      <w:marTop w:val="0"/>
      <w:marBottom w:val="0"/>
      <w:divBdr>
        <w:top w:val="none" w:sz="0" w:space="0" w:color="auto"/>
        <w:left w:val="none" w:sz="0" w:space="0" w:color="auto"/>
        <w:bottom w:val="none" w:sz="0" w:space="0" w:color="auto"/>
        <w:right w:val="none" w:sz="0" w:space="0" w:color="auto"/>
      </w:divBdr>
    </w:div>
    <w:div w:id="272832354">
      <w:bodyDiv w:val="1"/>
      <w:marLeft w:val="0"/>
      <w:marRight w:val="0"/>
      <w:marTop w:val="0"/>
      <w:marBottom w:val="0"/>
      <w:divBdr>
        <w:top w:val="none" w:sz="0" w:space="0" w:color="auto"/>
        <w:left w:val="none" w:sz="0" w:space="0" w:color="auto"/>
        <w:bottom w:val="none" w:sz="0" w:space="0" w:color="auto"/>
        <w:right w:val="none" w:sz="0" w:space="0" w:color="auto"/>
      </w:divBdr>
    </w:div>
    <w:div w:id="376205255">
      <w:bodyDiv w:val="1"/>
      <w:marLeft w:val="0"/>
      <w:marRight w:val="0"/>
      <w:marTop w:val="0"/>
      <w:marBottom w:val="0"/>
      <w:divBdr>
        <w:top w:val="none" w:sz="0" w:space="0" w:color="auto"/>
        <w:left w:val="none" w:sz="0" w:space="0" w:color="auto"/>
        <w:bottom w:val="none" w:sz="0" w:space="0" w:color="auto"/>
        <w:right w:val="none" w:sz="0" w:space="0" w:color="auto"/>
      </w:divBdr>
      <w:divsChild>
        <w:div w:id="352152883">
          <w:marLeft w:val="0"/>
          <w:marRight w:val="0"/>
          <w:marTop w:val="0"/>
          <w:marBottom w:val="0"/>
          <w:divBdr>
            <w:top w:val="none" w:sz="0" w:space="0" w:color="auto"/>
            <w:left w:val="none" w:sz="0" w:space="0" w:color="auto"/>
            <w:bottom w:val="none" w:sz="0" w:space="0" w:color="auto"/>
            <w:right w:val="none" w:sz="0" w:space="0" w:color="auto"/>
          </w:divBdr>
        </w:div>
        <w:div w:id="474877228">
          <w:marLeft w:val="0"/>
          <w:marRight w:val="0"/>
          <w:marTop w:val="0"/>
          <w:marBottom w:val="0"/>
          <w:divBdr>
            <w:top w:val="none" w:sz="0" w:space="0" w:color="auto"/>
            <w:left w:val="none" w:sz="0" w:space="0" w:color="auto"/>
            <w:bottom w:val="none" w:sz="0" w:space="0" w:color="auto"/>
            <w:right w:val="none" w:sz="0" w:space="0" w:color="auto"/>
          </w:divBdr>
        </w:div>
        <w:div w:id="736905292">
          <w:marLeft w:val="0"/>
          <w:marRight w:val="0"/>
          <w:marTop w:val="0"/>
          <w:marBottom w:val="0"/>
          <w:divBdr>
            <w:top w:val="none" w:sz="0" w:space="0" w:color="auto"/>
            <w:left w:val="none" w:sz="0" w:space="0" w:color="auto"/>
            <w:bottom w:val="none" w:sz="0" w:space="0" w:color="auto"/>
            <w:right w:val="none" w:sz="0" w:space="0" w:color="auto"/>
          </w:divBdr>
        </w:div>
        <w:div w:id="1214850988">
          <w:marLeft w:val="0"/>
          <w:marRight w:val="0"/>
          <w:marTop w:val="0"/>
          <w:marBottom w:val="0"/>
          <w:divBdr>
            <w:top w:val="none" w:sz="0" w:space="0" w:color="auto"/>
            <w:left w:val="none" w:sz="0" w:space="0" w:color="auto"/>
            <w:bottom w:val="none" w:sz="0" w:space="0" w:color="auto"/>
            <w:right w:val="none" w:sz="0" w:space="0" w:color="auto"/>
          </w:divBdr>
        </w:div>
        <w:div w:id="1443913027">
          <w:marLeft w:val="0"/>
          <w:marRight w:val="0"/>
          <w:marTop w:val="0"/>
          <w:marBottom w:val="0"/>
          <w:divBdr>
            <w:top w:val="none" w:sz="0" w:space="0" w:color="auto"/>
            <w:left w:val="none" w:sz="0" w:space="0" w:color="auto"/>
            <w:bottom w:val="none" w:sz="0" w:space="0" w:color="auto"/>
            <w:right w:val="none" w:sz="0" w:space="0" w:color="auto"/>
          </w:divBdr>
        </w:div>
        <w:div w:id="1810124744">
          <w:marLeft w:val="0"/>
          <w:marRight w:val="0"/>
          <w:marTop w:val="0"/>
          <w:marBottom w:val="0"/>
          <w:divBdr>
            <w:top w:val="none" w:sz="0" w:space="0" w:color="auto"/>
            <w:left w:val="none" w:sz="0" w:space="0" w:color="auto"/>
            <w:bottom w:val="none" w:sz="0" w:space="0" w:color="auto"/>
            <w:right w:val="none" w:sz="0" w:space="0" w:color="auto"/>
          </w:divBdr>
        </w:div>
        <w:div w:id="1875462814">
          <w:marLeft w:val="0"/>
          <w:marRight w:val="0"/>
          <w:marTop w:val="0"/>
          <w:marBottom w:val="0"/>
          <w:divBdr>
            <w:top w:val="none" w:sz="0" w:space="0" w:color="auto"/>
            <w:left w:val="none" w:sz="0" w:space="0" w:color="auto"/>
            <w:bottom w:val="none" w:sz="0" w:space="0" w:color="auto"/>
            <w:right w:val="none" w:sz="0" w:space="0" w:color="auto"/>
          </w:divBdr>
        </w:div>
      </w:divsChild>
    </w:div>
    <w:div w:id="378021540">
      <w:bodyDiv w:val="1"/>
      <w:marLeft w:val="0"/>
      <w:marRight w:val="0"/>
      <w:marTop w:val="0"/>
      <w:marBottom w:val="0"/>
      <w:divBdr>
        <w:top w:val="none" w:sz="0" w:space="0" w:color="auto"/>
        <w:left w:val="none" w:sz="0" w:space="0" w:color="auto"/>
        <w:bottom w:val="none" w:sz="0" w:space="0" w:color="auto"/>
        <w:right w:val="none" w:sz="0" w:space="0" w:color="auto"/>
      </w:divBdr>
      <w:divsChild>
        <w:div w:id="1311447803">
          <w:marLeft w:val="0"/>
          <w:marRight w:val="0"/>
          <w:marTop w:val="100"/>
          <w:marBottom w:val="100"/>
          <w:divBdr>
            <w:top w:val="none" w:sz="0" w:space="0" w:color="auto"/>
            <w:left w:val="none" w:sz="0" w:space="0" w:color="auto"/>
            <w:bottom w:val="none" w:sz="0" w:space="0" w:color="auto"/>
            <w:right w:val="none" w:sz="0" w:space="0" w:color="auto"/>
          </w:divBdr>
          <w:divsChild>
            <w:div w:id="487596957">
              <w:marLeft w:val="0"/>
              <w:marRight w:val="0"/>
              <w:marTop w:val="0"/>
              <w:marBottom w:val="0"/>
              <w:divBdr>
                <w:top w:val="none" w:sz="0" w:space="0" w:color="auto"/>
                <w:left w:val="none" w:sz="0" w:space="0" w:color="auto"/>
                <w:bottom w:val="none" w:sz="0" w:space="0" w:color="auto"/>
                <w:right w:val="none" w:sz="0" w:space="0" w:color="auto"/>
              </w:divBdr>
              <w:divsChild>
                <w:div w:id="1058434066">
                  <w:marLeft w:val="0"/>
                  <w:marRight w:val="0"/>
                  <w:marTop w:val="0"/>
                  <w:marBottom w:val="0"/>
                  <w:divBdr>
                    <w:top w:val="none" w:sz="0" w:space="0" w:color="auto"/>
                    <w:left w:val="none" w:sz="0" w:space="0" w:color="auto"/>
                    <w:bottom w:val="none" w:sz="0" w:space="0" w:color="auto"/>
                    <w:right w:val="none" w:sz="0" w:space="0" w:color="auto"/>
                  </w:divBdr>
                  <w:divsChild>
                    <w:div w:id="1223714364">
                      <w:marLeft w:val="0"/>
                      <w:marRight w:val="0"/>
                      <w:marTop w:val="0"/>
                      <w:marBottom w:val="0"/>
                      <w:divBdr>
                        <w:top w:val="none" w:sz="0" w:space="0" w:color="auto"/>
                        <w:left w:val="none" w:sz="0" w:space="0" w:color="auto"/>
                        <w:bottom w:val="none" w:sz="0" w:space="0" w:color="auto"/>
                        <w:right w:val="none" w:sz="0" w:space="0" w:color="auto"/>
                      </w:divBdr>
                      <w:divsChild>
                        <w:div w:id="901673583">
                          <w:marLeft w:val="0"/>
                          <w:marRight w:val="0"/>
                          <w:marTop w:val="0"/>
                          <w:marBottom w:val="0"/>
                          <w:divBdr>
                            <w:top w:val="none" w:sz="0" w:space="0" w:color="auto"/>
                            <w:left w:val="none" w:sz="0" w:space="0" w:color="auto"/>
                            <w:bottom w:val="none" w:sz="0" w:space="0" w:color="auto"/>
                            <w:right w:val="none" w:sz="0" w:space="0" w:color="auto"/>
                          </w:divBdr>
                          <w:divsChild>
                            <w:div w:id="18878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688214">
      <w:bodyDiv w:val="1"/>
      <w:marLeft w:val="0"/>
      <w:marRight w:val="0"/>
      <w:marTop w:val="0"/>
      <w:marBottom w:val="0"/>
      <w:divBdr>
        <w:top w:val="none" w:sz="0" w:space="0" w:color="auto"/>
        <w:left w:val="none" w:sz="0" w:space="0" w:color="auto"/>
        <w:bottom w:val="none" w:sz="0" w:space="0" w:color="auto"/>
        <w:right w:val="none" w:sz="0" w:space="0" w:color="auto"/>
      </w:divBdr>
      <w:divsChild>
        <w:div w:id="1325280418">
          <w:marLeft w:val="0"/>
          <w:marRight w:val="0"/>
          <w:marTop w:val="0"/>
          <w:marBottom w:val="0"/>
          <w:divBdr>
            <w:top w:val="none" w:sz="0" w:space="0" w:color="auto"/>
            <w:left w:val="none" w:sz="0" w:space="0" w:color="auto"/>
            <w:bottom w:val="none" w:sz="0" w:space="0" w:color="auto"/>
            <w:right w:val="none" w:sz="0" w:space="0" w:color="auto"/>
          </w:divBdr>
        </w:div>
        <w:div w:id="1432699062">
          <w:marLeft w:val="0"/>
          <w:marRight w:val="0"/>
          <w:marTop w:val="0"/>
          <w:marBottom w:val="0"/>
          <w:divBdr>
            <w:top w:val="none" w:sz="0" w:space="0" w:color="auto"/>
            <w:left w:val="none" w:sz="0" w:space="0" w:color="auto"/>
            <w:bottom w:val="none" w:sz="0" w:space="0" w:color="auto"/>
            <w:right w:val="none" w:sz="0" w:space="0" w:color="auto"/>
          </w:divBdr>
        </w:div>
      </w:divsChild>
    </w:div>
    <w:div w:id="526329203">
      <w:bodyDiv w:val="1"/>
      <w:marLeft w:val="0"/>
      <w:marRight w:val="0"/>
      <w:marTop w:val="0"/>
      <w:marBottom w:val="0"/>
      <w:divBdr>
        <w:top w:val="none" w:sz="0" w:space="0" w:color="auto"/>
        <w:left w:val="none" w:sz="0" w:space="0" w:color="auto"/>
        <w:bottom w:val="none" w:sz="0" w:space="0" w:color="auto"/>
        <w:right w:val="none" w:sz="0" w:space="0" w:color="auto"/>
      </w:divBdr>
      <w:divsChild>
        <w:div w:id="1014215">
          <w:marLeft w:val="0"/>
          <w:marRight w:val="0"/>
          <w:marTop w:val="0"/>
          <w:marBottom w:val="0"/>
          <w:divBdr>
            <w:top w:val="none" w:sz="0" w:space="0" w:color="auto"/>
            <w:left w:val="none" w:sz="0" w:space="0" w:color="auto"/>
            <w:bottom w:val="none" w:sz="0" w:space="0" w:color="auto"/>
            <w:right w:val="none" w:sz="0" w:space="0" w:color="auto"/>
          </w:divBdr>
        </w:div>
        <w:div w:id="99113021">
          <w:marLeft w:val="0"/>
          <w:marRight w:val="0"/>
          <w:marTop w:val="0"/>
          <w:marBottom w:val="0"/>
          <w:divBdr>
            <w:top w:val="none" w:sz="0" w:space="0" w:color="auto"/>
            <w:left w:val="none" w:sz="0" w:space="0" w:color="auto"/>
            <w:bottom w:val="none" w:sz="0" w:space="0" w:color="auto"/>
            <w:right w:val="none" w:sz="0" w:space="0" w:color="auto"/>
          </w:divBdr>
        </w:div>
        <w:div w:id="144517743">
          <w:marLeft w:val="0"/>
          <w:marRight w:val="0"/>
          <w:marTop w:val="0"/>
          <w:marBottom w:val="0"/>
          <w:divBdr>
            <w:top w:val="none" w:sz="0" w:space="0" w:color="auto"/>
            <w:left w:val="none" w:sz="0" w:space="0" w:color="auto"/>
            <w:bottom w:val="none" w:sz="0" w:space="0" w:color="auto"/>
            <w:right w:val="none" w:sz="0" w:space="0" w:color="auto"/>
          </w:divBdr>
        </w:div>
        <w:div w:id="145629091">
          <w:marLeft w:val="0"/>
          <w:marRight w:val="0"/>
          <w:marTop w:val="0"/>
          <w:marBottom w:val="0"/>
          <w:divBdr>
            <w:top w:val="none" w:sz="0" w:space="0" w:color="auto"/>
            <w:left w:val="none" w:sz="0" w:space="0" w:color="auto"/>
            <w:bottom w:val="none" w:sz="0" w:space="0" w:color="auto"/>
            <w:right w:val="none" w:sz="0" w:space="0" w:color="auto"/>
          </w:divBdr>
        </w:div>
        <w:div w:id="275336772">
          <w:marLeft w:val="0"/>
          <w:marRight w:val="0"/>
          <w:marTop w:val="0"/>
          <w:marBottom w:val="0"/>
          <w:divBdr>
            <w:top w:val="none" w:sz="0" w:space="0" w:color="auto"/>
            <w:left w:val="none" w:sz="0" w:space="0" w:color="auto"/>
            <w:bottom w:val="none" w:sz="0" w:space="0" w:color="auto"/>
            <w:right w:val="none" w:sz="0" w:space="0" w:color="auto"/>
          </w:divBdr>
        </w:div>
        <w:div w:id="367754202">
          <w:marLeft w:val="0"/>
          <w:marRight w:val="0"/>
          <w:marTop w:val="0"/>
          <w:marBottom w:val="0"/>
          <w:divBdr>
            <w:top w:val="none" w:sz="0" w:space="0" w:color="auto"/>
            <w:left w:val="none" w:sz="0" w:space="0" w:color="auto"/>
            <w:bottom w:val="none" w:sz="0" w:space="0" w:color="auto"/>
            <w:right w:val="none" w:sz="0" w:space="0" w:color="auto"/>
          </w:divBdr>
        </w:div>
        <w:div w:id="398097876">
          <w:marLeft w:val="0"/>
          <w:marRight w:val="0"/>
          <w:marTop w:val="0"/>
          <w:marBottom w:val="0"/>
          <w:divBdr>
            <w:top w:val="none" w:sz="0" w:space="0" w:color="auto"/>
            <w:left w:val="none" w:sz="0" w:space="0" w:color="auto"/>
            <w:bottom w:val="none" w:sz="0" w:space="0" w:color="auto"/>
            <w:right w:val="none" w:sz="0" w:space="0" w:color="auto"/>
          </w:divBdr>
        </w:div>
        <w:div w:id="496262344">
          <w:marLeft w:val="0"/>
          <w:marRight w:val="0"/>
          <w:marTop w:val="0"/>
          <w:marBottom w:val="0"/>
          <w:divBdr>
            <w:top w:val="none" w:sz="0" w:space="0" w:color="auto"/>
            <w:left w:val="none" w:sz="0" w:space="0" w:color="auto"/>
            <w:bottom w:val="none" w:sz="0" w:space="0" w:color="auto"/>
            <w:right w:val="none" w:sz="0" w:space="0" w:color="auto"/>
          </w:divBdr>
        </w:div>
        <w:div w:id="649553950">
          <w:marLeft w:val="0"/>
          <w:marRight w:val="0"/>
          <w:marTop w:val="0"/>
          <w:marBottom w:val="0"/>
          <w:divBdr>
            <w:top w:val="none" w:sz="0" w:space="0" w:color="auto"/>
            <w:left w:val="none" w:sz="0" w:space="0" w:color="auto"/>
            <w:bottom w:val="none" w:sz="0" w:space="0" w:color="auto"/>
            <w:right w:val="none" w:sz="0" w:space="0" w:color="auto"/>
          </w:divBdr>
        </w:div>
        <w:div w:id="853349037">
          <w:marLeft w:val="0"/>
          <w:marRight w:val="0"/>
          <w:marTop w:val="0"/>
          <w:marBottom w:val="0"/>
          <w:divBdr>
            <w:top w:val="none" w:sz="0" w:space="0" w:color="auto"/>
            <w:left w:val="none" w:sz="0" w:space="0" w:color="auto"/>
            <w:bottom w:val="none" w:sz="0" w:space="0" w:color="auto"/>
            <w:right w:val="none" w:sz="0" w:space="0" w:color="auto"/>
          </w:divBdr>
        </w:div>
        <w:div w:id="1057320646">
          <w:marLeft w:val="0"/>
          <w:marRight w:val="0"/>
          <w:marTop w:val="0"/>
          <w:marBottom w:val="0"/>
          <w:divBdr>
            <w:top w:val="none" w:sz="0" w:space="0" w:color="auto"/>
            <w:left w:val="none" w:sz="0" w:space="0" w:color="auto"/>
            <w:bottom w:val="none" w:sz="0" w:space="0" w:color="auto"/>
            <w:right w:val="none" w:sz="0" w:space="0" w:color="auto"/>
          </w:divBdr>
        </w:div>
        <w:div w:id="1103527088">
          <w:marLeft w:val="0"/>
          <w:marRight w:val="0"/>
          <w:marTop w:val="0"/>
          <w:marBottom w:val="0"/>
          <w:divBdr>
            <w:top w:val="none" w:sz="0" w:space="0" w:color="auto"/>
            <w:left w:val="none" w:sz="0" w:space="0" w:color="auto"/>
            <w:bottom w:val="none" w:sz="0" w:space="0" w:color="auto"/>
            <w:right w:val="none" w:sz="0" w:space="0" w:color="auto"/>
          </w:divBdr>
        </w:div>
        <w:div w:id="1150750954">
          <w:marLeft w:val="0"/>
          <w:marRight w:val="0"/>
          <w:marTop w:val="0"/>
          <w:marBottom w:val="0"/>
          <w:divBdr>
            <w:top w:val="none" w:sz="0" w:space="0" w:color="auto"/>
            <w:left w:val="none" w:sz="0" w:space="0" w:color="auto"/>
            <w:bottom w:val="none" w:sz="0" w:space="0" w:color="auto"/>
            <w:right w:val="none" w:sz="0" w:space="0" w:color="auto"/>
          </w:divBdr>
        </w:div>
        <w:div w:id="1166163270">
          <w:marLeft w:val="0"/>
          <w:marRight w:val="0"/>
          <w:marTop w:val="0"/>
          <w:marBottom w:val="0"/>
          <w:divBdr>
            <w:top w:val="none" w:sz="0" w:space="0" w:color="auto"/>
            <w:left w:val="none" w:sz="0" w:space="0" w:color="auto"/>
            <w:bottom w:val="none" w:sz="0" w:space="0" w:color="auto"/>
            <w:right w:val="none" w:sz="0" w:space="0" w:color="auto"/>
          </w:divBdr>
        </w:div>
        <w:div w:id="1214384282">
          <w:marLeft w:val="0"/>
          <w:marRight w:val="0"/>
          <w:marTop w:val="0"/>
          <w:marBottom w:val="0"/>
          <w:divBdr>
            <w:top w:val="none" w:sz="0" w:space="0" w:color="auto"/>
            <w:left w:val="none" w:sz="0" w:space="0" w:color="auto"/>
            <w:bottom w:val="none" w:sz="0" w:space="0" w:color="auto"/>
            <w:right w:val="none" w:sz="0" w:space="0" w:color="auto"/>
          </w:divBdr>
        </w:div>
        <w:div w:id="1226062306">
          <w:marLeft w:val="0"/>
          <w:marRight w:val="0"/>
          <w:marTop w:val="0"/>
          <w:marBottom w:val="0"/>
          <w:divBdr>
            <w:top w:val="none" w:sz="0" w:space="0" w:color="auto"/>
            <w:left w:val="none" w:sz="0" w:space="0" w:color="auto"/>
            <w:bottom w:val="none" w:sz="0" w:space="0" w:color="auto"/>
            <w:right w:val="none" w:sz="0" w:space="0" w:color="auto"/>
          </w:divBdr>
        </w:div>
        <w:div w:id="1324236573">
          <w:marLeft w:val="0"/>
          <w:marRight w:val="0"/>
          <w:marTop w:val="0"/>
          <w:marBottom w:val="0"/>
          <w:divBdr>
            <w:top w:val="none" w:sz="0" w:space="0" w:color="auto"/>
            <w:left w:val="none" w:sz="0" w:space="0" w:color="auto"/>
            <w:bottom w:val="none" w:sz="0" w:space="0" w:color="auto"/>
            <w:right w:val="none" w:sz="0" w:space="0" w:color="auto"/>
          </w:divBdr>
        </w:div>
        <w:div w:id="1365910377">
          <w:marLeft w:val="0"/>
          <w:marRight w:val="0"/>
          <w:marTop w:val="0"/>
          <w:marBottom w:val="0"/>
          <w:divBdr>
            <w:top w:val="none" w:sz="0" w:space="0" w:color="auto"/>
            <w:left w:val="none" w:sz="0" w:space="0" w:color="auto"/>
            <w:bottom w:val="none" w:sz="0" w:space="0" w:color="auto"/>
            <w:right w:val="none" w:sz="0" w:space="0" w:color="auto"/>
          </w:divBdr>
        </w:div>
        <w:div w:id="1474642931">
          <w:marLeft w:val="0"/>
          <w:marRight w:val="0"/>
          <w:marTop w:val="0"/>
          <w:marBottom w:val="0"/>
          <w:divBdr>
            <w:top w:val="none" w:sz="0" w:space="0" w:color="auto"/>
            <w:left w:val="none" w:sz="0" w:space="0" w:color="auto"/>
            <w:bottom w:val="none" w:sz="0" w:space="0" w:color="auto"/>
            <w:right w:val="none" w:sz="0" w:space="0" w:color="auto"/>
          </w:divBdr>
        </w:div>
        <w:div w:id="1570991832">
          <w:marLeft w:val="0"/>
          <w:marRight w:val="0"/>
          <w:marTop w:val="0"/>
          <w:marBottom w:val="0"/>
          <w:divBdr>
            <w:top w:val="none" w:sz="0" w:space="0" w:color="auto"/>
            <w:left w:val="none" w:sz="0" w:space="0" w:color="auto"/>
            <w:bottom w:val="none" w:sz="0" w:space="0" w:color="auto"/>
            <w:right w:val="none" w:sz="0" w:space="0" w:color="auto"/>
          </w:divBdr>
        </w:div>
        <w:div w:id="1579945039">
          <w:marLeft w:val="0"/>
          <w:marRight w:val="0"/>
          <w:marTop w:val="0"/>
          <w:marBottom w:val="0"/>
          <w:divBdr>
            <w:top w:val="none" w:sz="0" w:space="0" w:color="auto"/>
            <w:left w:val="none" w:sz="0" w:space="0" w:color="auto"/>
            <w:bottom w:val="none" w:sz="0" w:space="0" w:color="auto"/>
            <w:right w:val="none" w:sz="0" w:space="0" w:color="auto"/>
          </w:divBdr>
        </w:div>
        <w:div w:id="1650330653">
          <w:marLeft w:val="0"/>
          <w:marRight w:val="0"/>
          <w:marTop w:val="0"/>
          <w:marBottom w:val="0"/>
          <w:divBdr>
            <w:top w:val="none" w:sz="0" w:space="0" w:color="auto"/>
            <w:left w:val="none" w:sz="0" w:space="0" w:color="auto"/>
            <w:bottom w:val="none" w:sz="0" w:space="0" w:color="auto"/>
            <w:right w:val="none" w:sz="0" w:space="0" w:color="auto"/>
          </w:divBdr>
        </w:div>
        <w:div w:id="1735002717">
          <w:marLeft w:val="0"/>
          <w:marRight w:val="0"/>
          <w:marTop w:val="0"/>
          <w:marBottom w:val="0"/>
          <w:divBdr>
            <w:top w:val="none" w:sz="0" w:space="0" w:color="auto"/>
            <w:left w:val="none" w:sz="0" w:space="0" w:color="auto"/>
            <w:bottom w:val="none" w:sz="0" w:space="0" w:color="auto"/>
            <w:right w:val="none" w:sz="0" w:space="0" w:color="auto"/>
          </w:divBdr>
        </w:div>
        <w:div w:id="2066641346">
          <w:marLeft w:val="0"/>
          <w:marRight w:val="0"/>
          <w:marTop w:val="0"/>
          <w:marBottom w:val="0"/>
          <w:divBdr>
            <w:top w:val="none" w:sz="0" w:space="0" w:color="auto"/>
            <w:left w:val="none" w:sz="0" w:space="0" w:color="auto"/>
            <w:bottom w:val="none" w:sz="0" w:space="0" w:color="auto"/>
            <w:right w:val="none" w:sz="0" w:space="0" w:color="auto"/>
          </w:divBdr>
        </w:div>
        <w:div w:id="2145392455">
          <w:marLeft w:val="0"/>
          <w:marRight w:val="0"/>
          <w:marTop w:val="0"/>
          <w:marBottom w:val="0"/>
          <w:divBdr>
            <w:top w:val="none" w:sz="0" w:space="0" w:color="auto"/>
            <w:left w:val="none" w:sz="0" w:space="0" w:color="auto"/>
            <w:bottom w:val="none" w:sz="0" w:space="0" w:color="auto"/>
            <w:right w:val="none" w:sz="0" w:space="0" w:color="auto"/>
          </w:divBdr>
        </w:div>
      </w:divsChild>
    </w:div>
    <w:div w:id="539167659">
      <w:bodyDiv w:val="1"/>
      <w:marLeft w:val="0"/>
      <w:marRight w:val="0"/>
      <w:marTop w:val="0"/>
      <w:marBottom w:val="0"/>
      <w:divBdr>
        <w:top w:val="none" w:sz="0" w:space="0" w:color="auto"/>
        <w:left w:val="none" w:sz="0" w:space="0" w:color="auto"/>
        <w:bottom w:val="none" w:sz="0" w:space="0" w:color="auto"/>
        <w:right w:val="none" w:sz="0" w:space="0" w:color="auto"/>
      </w:divBdr>
    </w:div>
    <w:div w:id="559634952">
      <w:bodyDiv w:val="1"/>
      <w:marLeft w:val="0"/>
      <w:marRight w:val="0"/>
      <w:marTop w:val="0"/>
      <w:marBottom w:val="0"/>
      <w:divBdr>
        <w:top w:val="none" w:sz="0" w:space="0" w:color="auto"/>
        <w:left w:val="none" w:sz="0" w:space="0" w:color="auto"/>
        <w:bottom w:val="none" w:sz="0" w:space="0" w:color="auto"/>
        <w:right w:val="none" w:sz="0" w:space="0" w:color="auto"/>
      </w:divBdr>
    </w:div>
    <w:div w:id="576204765">
      <w:bodyDiv w:val="1"/>
      <w:marLeft w:val="0"/>
      <w:marRight w:val="0"/>
      <w:marTop w:val="0"/>
      <w:marBottom w:val="0"/>
      <w:divBdr>
        <w:top w:val="none" w:sz="0" w:space="0" w:color="auto"/>
        <w:left w:val="none" w:sz="0" w:space="0" w:color="auto"/>
        <w:bottom w:val="none" w:sz="0" w:space="0" w:color="auto"/>
        <w:right w:val="none" w:sz="0" w:space="0" w:color="auto"/>
      </w:divBdr>
    </w:div>
    <w:div w:id="714309055">
      <w:bodyDiv w:val="1"/>
      <w:marLeft w:val="0"/>
      <w:marRight w:val="0"/>
      <w:marTop w:val="0"/>
      <w:marBottom w:val="0"/>
      <w:divBdr>
        <w:top w:val="none" w:sz="0" w:space="0" w:color="auto"/>
        <w:left w:val="none" w:sz="0" w:space="0" w:color="auto"/>
        <w:bottom w:val="none" w:sz="0" w:space="0" w:color="auto"/>
        <w:right w:val="none" w:sz="0" w:space="0" w:color="auto"/>
      </w:divBdr>
      <w:divsChild>
        <w:div w:id="248195199">
          <w:marLeft w:val="0"/>
          <w:marRight w:val="0"/>
          <w:marTop w:val="0"/>
          <w:marBottom w:val="0"/>
          <w:divBdr>
            <w:top w:val="none" w:sz="0" w:space="0" w:color="auto"/>
            <w:left w:val="none" w:sz="0" w:space="0" w:color="auto"/>
            <w:bottom w:val="none" w:sz="0" w:space="0" w:color="auto"/>
            <w:right w:val="none" w:sz="0" w:space="0" w:color="auto"/>
          </w:divBdr>
        </w:div>
        <w:div w:id="414934594">
          <w:marLeft w:val="0"/>
          <w:marRight w:val="0"/>
          <w:marTop w:val="0"/>
          <w:marBottom w:val="0"/>
          <w:divBdr>
            <w:top w:val="none" w:sz="0" w:space="0" w:color="auto"/>
            <w:left w:val="none" w:sz="0" w:space="0" w:color="auto"/>
            <w:bottom w:val="none" w:sz="0" w:space="0" w:color="auto"/>
            <w:right w:val="none" w:sz="0" w:space="0" w:color="auto"/>
          </w:divBdr>
        </w:div>
        <w:div w:id="615598129">
          <w:marLeft w:val="0"/>
          <w:marRight w:val="0"/>
          <w:marTop w:val="0"/>
          <w:marBottom w:val="0"/>
          <w:divBdr>
            <w:top w:val="none" w:sz="0" w:space="0" w:color="auto"/>
            <w:left w:val="none" w:sz="0" w:space="0" w:color="auto"/>
            <w:bottom w:val="none" w:sz="0" w:space="0" w:color="auto"/>
            <w:right w:val="none" w:sz="0" w:space="0" w:color="auto"/>
          </w:divBdr>
        </w:div>
      </w:divsChild>
    </w:div>
    <w:div w:id="825978843">
      <w:bodyDiv w:val="1"/>
      <w:marLeft w:val="0"/>
      <w:marRight w:val="0"/>
      <w:marTop w:val="0"/>
      <w:marBottom w:val="0"/>
      <w:divBdr>
        <w:top w:val="none" w:sz="0" w:space="0" w:color="auto"/>
        <w:left w:val="none" w:sz="0" w:space="0" w:color="auto"/>
        <w:bottom w:val="none" w:sz="0" w:space="0" w:color="auto"/>
        <w:right w:val="none" w:sz="0" w:space="0" w:color="auto"/>
      </w:divBdr>
      <w:divsChild>
        <w:div w:id="48261084">
          <w:marLeft w:val="0"/>
          <w:marRight w:val="0"/>
          <w:marTop w:val="0"/>
          <w:marBottom w:val="0"/>
          <w:divBdr>
            <w:top w:val="none" w:sz="0" w:space="0" w:color="auto"/>
            <w:left w:val="none" w:sz="0" w:space="0" w:color="auto"/>
            <w:bottom w:val="none" w:sz="0" w:space="0" w:color="auto"/>
            <w:right w:val="none" w:sz="0" w:space="0" w:color="auto"/>
          </w:divBdr>
        </w:div>
        <w:div w:id="285895338">
          <w:marLeft w:val="0"/>
          <w:marRight w:val="0"/>
          <w:marTop w:val="0"/>
          <w:marBottom w:val="0"/>
          <w:divBdr>
            <w:top w:val="none" w:sz="0" w:space="0" w:color="auto"/>
            <w:left w:val="none" w:sz="0" w:space="0" w:color="auto"/>
            <w:bottom w:val="none" w:sz="0" w:space="0" w:color="auto"/>
            <w:right w:val="none" w:sz="0" w:space="0" w:color="auto"/>
          </w:divBdr>
        </w:div>
        <w:div w:id="1059868126">
          <w:marLeft w:val="0"/>
          <w:marRight w:val="0"/>
          <w:marTop w:val="0"/>
          <w:marBottom w:val="0"/>
          <w:divBdr>
            <w:top w:val="none" w:sz="0" w:space="0" w:color="auto"/>
            <w:left w:val="none" w:sz="0" w:space="0" w:color="auto"/>
            <w:bottom w:val="none" w:sz="0" w:space="0" w:color="auto"/>
            <w:right w:val="none" w:sz="0" w:space="0" w:color="auto"/>
          </w:divBdr>
        </w:div>
        <w:div w:id="1266885661">
          <w:marLeft w:val="0"/>
          <w:marRight w:val="0"/>
          <w:marTop w:val="0"/>
          <w:marBottom w:val="0"/>
          <w:divBdr>
            <w:top w:val="none" w:sz="0" w:space="0" w:color="auto"/>
            <w:left w:val="none" w:sz="0" w:space="0" w:color="auto"/>
            <w:bottom w:val="none" w:sz="0" w:space="0" w:color="auto"/>
            <w:right w:val="none" w:sz="0" w:space="0" w:color="auto"/>
          </w:divBdr>
        </w:div>
        <w:div w:id="2096509732">
          <w:marLeft w:val="0"/>
          <w:marRight w:val="0"/>
          <w:marTop w:val="0"/>
          <w:marBottom w:val="0"/>
          <w:divBdr>
            <w:top w:val="none" w:sz="0" w:space="0" w:color="auto"/>
            <w:left w:val="none" w:sz="0" w:space="0" w:color="auto"/>
            <w:bottom w:val="none" w:sz="0" w:space="0" w:color="auto"/>
            <w:right w:val="none" w:sz="0" w:space="0" w:color="auto"/>
          </w:divBdr>
        </w:div>
      </w:divsChild>
    </w:div>
    <w:div w:id="914825914">
      <w:bodyDiv w:val="1"/>
      <w:marLeft w:val="0"/>
      <w:marRight w:val="0"/>
      <w:marTop w:val="0"/>
      <w:marBottom w:val="0"/>
      <w:divBdr>
        <w:top w:val="none" w:sz="0" w:space="0" w:color="auto"/>
        <w:left w:val="none" w:sz="0" w:space="0" w:color="auto"/>
        <w:bottom w:val="none" w:sz="0" w:space="0" w:color="auto"/>
        <w:right w:val="none" w:sz="0" w:space="0" w:color="auto"/>
      </w:divBdr>
      <w:divsChild>
        <w:div w:id="936641364">
          <w:marLeft w:val="0"/>
          <w:marRight w:val="0"/>
          <w:marTop w:val="100"/>
          <w:marBottom w:val="100"/>
          <w:divBdr>
            <w:top w:val="none" w:sz="0" w:space="0" w:color="auto"/>
            <w:left w:val="none" w:sz="0" w:space="0" w:color="auto"/>
            <w:bottom w:val="none" w:sz="0" w:space="0" w:color="auto"/>
            <w:right w:val="none" w:sz="0" w:space="0" w:color="auto"/>
          </w:divBdr>
          <w:divsChild>
            <w:div w:id="2134521461">
              <w:marLeft w:val="0"/>
              <w:marRight w:val="0"/>
              <w:marTop w:val="0"/>
              <w:marBottom w:val="0"/>
              <w:divBdr>
                <w:top w:val="none" w:sz="0" w:space="0" w:color="auto"/>
                <w:left w:val="none" w:sz="0" w:space="0" w:color="auto"/>
                <w:bottom w:val="none" w:sz="0" w:space="0" w:color="auto"/>
                <w:right w:val="none" w:sz="0" w:space="0" w:color="auto"/>
              </w:divBdr>
              <w:divsChild>
                <w:div w:id="168260120">
                  <w:marLeft w:val="0"/>
                  <w:marRight w:val="0"/>
                  <w:marTop w:val="0"/>
                  <w:marBottom w:val="0"/>
                  <w:divBdr>
                    <w:top w:val="none" w:sz="0" w:space="0" w:color="auto"/>
                    <w:left w:val="none" w:sz="0" w:space="0" w:color="auto"/>
                    <w:bottom w:val="none" w:sz="0" w:space="0" w:color="auto"/>
                    <w:right w:val="none" w:sz="0" w:space="0" w:color="auto"/>
                  </w:divBdr>
                  <w:divsChild>
                    <w:div w:id="1423336929">
                      <w:marLeft w:val="0"/>
                      <w:marRight w:val="0"/>
                      <w:marTop w:val="0"/>
                      <w:marBottom w:val="0"/>
                      <w:divBdr>
                        <w:top w:val="none" w:sz="0" w:space="0" w:color="auto"/>
                        <w:left w:val="none" w:sz="0" w:space="0" w:color="auto"/>
                        <w:bottom w:val="none" w:sz="0" w:space="0" w:color="auto"/>
                        <w:right w:val="none" w:sz="0" w:space="0" w:color="auto"/>
                      </w:divBdr>
                      <w:divsChild>
                        <w:div w:id="20692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607717">
      <w:bodyDiv w:val="1"/>
      <w:marLeft w:val="0"/>
      <w:marRight w:val="0"/>
      <w:marTop w:val="0"/>
      <w:marBottom w:val="0"/>
      <w:divBdr>
        <w:top w:val="none" w:sz="0" w:space="0" w:color="auto"/>
        <w:left w:val="none" w:sz="0" w:space="0" w:color="auto"/>
        <w:bottom w:val="none" w:sz="0" w:space="0" w:color="auto"/>
        <w:right w:val="none" w:sz="0" w:space="0" w:color="auto"/>
      </w:divBdr>
      <w:divsChild>
        <w:div w:id="463043020">
          <w:marLeft w:val="0"/>
          <w:marRight w:val="0"/>
          <w:marTop w:val="0"/>
          <w:marBottom w:val="0"/>
          <w:divBdr>
            <w:top w:val="none" w:sz="0" w:space="0" w:color="auto"/>
            <w:left w:val="none" w:sz="0" w:space="0" w:color="auto"/>
            <w:bottom w:val="none" w:sz="0" w:space="0" w:color="auto"/>
            <w:right w:val="none" w:sz="0" w:space="0" w:color="auto"/>
          </w:divBdr>
        </w:div>
        <w:div w:id="851802989">
          <w:marLeft w:val="0"/>
          <w:marRight w:val="0"/>
          <w:marTop w:val="0"/>
          <w:marBottom w:val="0"/>
          <w:divBdr>
            <w:top w:val="none" w:sz="0" w:space="0" w:color="auto"/>
            <w:left w:val="none" w:sz="0" w:space="0" w:color="auto"/>
            <w:bottom w:val="none" w:sz="0" w:space="0" w:color="auto"/>
            <w:right w:val="none" w:sz="0" w:space="0" w:color="auto"/>
          </w:divBdr>
        </w:div>
        <w:div w:id="1081221970">
          <w:marLeft w:val="0"/>
          <w:marRight w:val="0"/>
          <w:marTop w:val="0"/>
          <w:marBottom w:val="0"/>
          <w:divBdr>
            <w:top w:val="none" w:sz="0" w:space="0" w:color="auto"/>
            <w:left w:val="none" w:sz="0" w:space="0" w:color="auto"/>
            <w:bottom w:val="none" w:sz="0" w:space="0" w:color="auto"/>
            <w:right w:val="none" w:sz="0" w:space="0" w:color="auto"/>
          </w:divBdr>
        </w:div>
      </w:divsChild>
    </w:div>
    <w:div w:id="1374310047">
      <w:bodyDiv w:val="1"/>
      <w:marLeft w:val="0"/>
      <w:marRight w:val="0"/>
      <w:marTop w:val="0"/>
      <w:marBottom w:val="0"/>
      <w:divBdr>
        <w:top w:val="none" w:sz="0" w:space="0" w:color="auto"/>
        <w:left w:val="none" w:sz="0" w:space="0" w:color="auto"/>
        <w:bottom w:val="none" w:sz="0" w:space="0" w:color="auto"/>
        <w:right w:val="none" w:sz="0" w:space="0" w:color="auto"/>
      </w:divBdr>
      <w:divsChild>
        <w:div w:id="389618768">
          <w:marLeft w:val="547"/>
          <w:marRight w:val="0"/>
          <w:marTop w:val="77"/>
          <w:marBottom w:val="0"/>
          <w:divBdr>
            <w:top w:val="none" w:sz="0" w:space="0" w:color="auto"/>
            <w:left w:val="none" w:sz="0" w:space="0" w:color="auto"/>
            <w:bottom w:val="none" w:sz="0" w:space="0" w:color="auto"/>
            <w:right w:val="none" w:sz="0" w:space="0" w:color="auto"/>
          </w:divBdr>
        </w:div>
        <w:div w:id="1097286117">
          <w:marLeft w:val="547"/>
          <w:marRight w:val="0"/>
          <w:marTop w:val="77"/>
          <w:marBottom w:val="0"/>
          <w:divBdr>
            <w:top w:val="none" w:sz="0" w:space="0" w:color="auto"/>
            <w:left w:val="none" w:sz="0" w:space="0" w:color="auto"/>
            <w:bottom w:val="none" w:sz="0" w:space="0" w:color="auto"/>
            <w:right w:val="none" w:sz="0" w:space="0" w:color="auto"/>
          </w:divBdr>
        </w:div>
        <w:div w:id="1304581061">
          <w:marLeft w:val="547"/>
          <w:marRight w:val="0"/>
          <w:marTop w:val="77"/>
          <w:marBottom w:val="0"/>
          <w:divBdr>
            <w:top w:val="none" w:sz="0" w:space="0" w:color="auto"/>
            <w:left w:val="none" w:sz="0" w:space="0" w:color="auto"/>
            <w:bottom w:val="none" w:sz="0" w:space="0" w:color="auto"/>
            <w:right w:val="none" w:sz="0" w:space="0" w:color="auto"/>
          </w:divBdr>
        </w:div>
        <w:div w:id="1398434103">
          <w:marLeft w:val="547"/>
          <w:marRight w:val="0"/>
          <w:marTop w:val="77"/>
          <w:marBottom w:val="0"/>
          <w:divBdr>
            <w:top w:val="none" w:sz="0" w:space="0" w:color="auto"/>
            <w:left w:val="none" w:sz="0" w:space="0" w:color="auto"/>
            <w:bottom w:val="none" w:sz="0" w:space="0" w:color="auto"/>
            <w:right w:val="none" w:sz="0" w:space="0" w:color="auto"/>
          </w:divBdr>
        </w:div>
        <w:div w:id="1990203462">
          <w:marLeft w:val="547"/>
          <w:marRight w:val="0"/>
          <w:marTop w:val="77"/>
          <w:marBottom w:val="0"/>
          <w:divBdr>
            <w:top w:val="none" w:sz="0" w:space="0" w:color="auto"/>
            <w:left w:val="none" w:sz="0" w:space="0" w:color="auto"/>
            <w:bottom w:val="none" w:sz="0" w:space="0" w:color="auto"/>
            <w:right w:val="none" w:sz="0" w:space="0" w:color="auto"/>
          </w:divBdr>
        </w:div>
        <w:div w:id="2073969219">
          <w:marLeft w:val="547"/>
          <w:marRight w:val="0"/>
          <w:marTop w:val="77"/>
          <w:marBottom w:val="0"/>
          <w:divBdr>
            <w:top w:val="none" w:sz="0" w:space="0" w:color="auto"/>
            <w:left w:val="none" w:sz="0" w:space="0" w:color="auto"/>
            <w:bottom w:val="none" w:sz="0" w:space="0" w:color="auto"/>
            <w:right w:val="none" w:sz="0" w:space="0" w:color="auto"/>
          </w:divBdr>
        </w:div>
      </w:divsChild>
    </w:div>
    <w:div w:id="1381244276">
      <w:bodyDiv w:val="1"/>
      <w:marLeft w:val="0"/>
      <w:marRight w:val="0"/>
      <w:marTop w:val="0"/>
      <w:marBottom w:val="0"/>
      <w:divBdr>
        <w:top w:val="none" w:sz="0" w:space="0" w:color="auto"/>
        <w:left w:val="none" w:sz="0" w:space="0" w:color="auto"/>
        <w:bottom w:val="none" w:sz="0" w:space="0" w:color="auto"/>
        <w:right w:val="none" w:sz="0" w:space="0" w:color="auto"/>
      </w:divBdr>
      <w:divsChild>
        <w:div w:id="25716018">
          <w:marLeft w:val="0"/>
          <w:marRight w:val="0"/>
          <w:marTop w:val="0"/>
          <w:marBottom w:val="0"/>
          <w:divBdr>
            <w:top w:val="none" w:sz="0" w:space="0" w:color="auto"/>
            <w:left w:val="none" w:sz="0" w:space="0" w:color="auto"/>
            <w:bottom w:val="none" w:sz="0" w:space="0" w:color="auto"/>
            <w:right w:val="none" w:sz="0" w:space="0" w:color="auto"/>
          </w:divBdr>
        </w:div>
        <w:div w:id="998272844">
          <w:marLeft w:val="0"/>
          <w:marRight w:val="0"/>
          <w:marTop w:val="0"/>
          <w:marBottom w:val="0"/>
          <w:divBdr>
            <w:top w:val="none" w:sz="0" w:space="0" w:color="auto"/>
            <w:left w:val="none" w:sz="0" w:space="0" w:color="auto"/>
            <w:bottom w:val="none" w:sz="0" w:space="0" w:color="auto"/>
            <w:right w:val="none" w:sz="0" w:space="0" w:color="auto"/>
          </w:divBdr>
        </w:div>
        <w:div w:id="1399985186">
          <w:marLeft w:val="0"/>
          <w:marRight w:val="0"/>
          <w:marTop w:val="0"/>
          <w:marBottom w:val="0"/>
          <w:divBdr>
            <w:top w:val="none" w:sz="0" w:space="0" w:color="auto"/>
            <w:left w:val="none" w:sz="0" w:space="0" w:color="auto"/>
            <w:bottom w:val="none" w:sz="0" w:space="0" w:color="auto"/>
            <w:right w:val="none" w:sz="0" w:space="0" w:color="auto"/>
          </w:divBdr>
        </w:div>
        <w:div w:id="2020042230">
          <w:marLeft w:val="0"/>
          <w:marRight w:val="0"/>
          <w:marTop w:val="0"/>
          <w:marBottom w:val="0"/>
          <w:divBdr>
            <w:top w:val="none" w:sz="0" w:space="0" w:color="auto"/>
            <w:left w:val="none" w:sz="0" w:space="0" w:color="auto"/>
            <w:bottom w:val="none" w:sz="0" w:space="0" w:color="auto"/>
            <w:right w:val="none" w:sz="0" w:space="0" w:color="auto"/>
          </w:divBdr>
        </w:div>
      </w:divsChild>
    </w:div>
    <w:div w:id="1406417177">
      <w:bodyDiv w:val="1"/>
      <w:marLeft w:val="0"/>
      <w:marRight w:val="0"/>
      <w:marTop w:val="0"/>
      <w:marBottom w:val="0"/>
      <w:divBdr>
        <w:top w:val="none" w:sz="0" w:space="0" w:color="auto"/>
        <w:left w:val="none" w:sz="0" w:space="0" w:color="auto"/>
        <w:bottom w:val="none" w:sz="0" w:space="0" w:color="auto"/>
        <w:right w:val="none" w:sz="0" w:space="0" w:color="auto"/>
      </w:divBdr>
      <w:divsChild>
        <w:div w:id="1449734006">
          <w:marLeft w:val="0"/>
          <w:marRight w:val="0"/>
          <w:marTop w:val="0"/>
          <w:marBottom w:val="0"/>
          <w:divBdr>
            <w:top w:val="none" w:sz="0" w:space="0" w:color="auto"/>
            <w:left w:val="none" w:sz="0" w:space="0" w:color="auto"/>
            <w:bottom w:val="none" w:sz="0" w:space="0" w:color="auto"/>
            <w:right w:val="none" w:sz="0" w:space="0" w:color="auto"/>
          </w:divBdr>
          <w:divsChild>
            <w:div w:id="1560360572">
              <w:marLeft w:val="0"/>
              <w:marRight w:val="0"/>
              <w:marTop w:val="0"/>
              <w:marBottom w:val="0"/>
              <w:divBdr>
                <w:top w:val="none" w:sz="0" w:space="0" w:color="auto"/>
                <w:left w:val="none" w:sz="0" w:space="0" w:color="auto"/>
                <w:bottom w:val="none" w:sz="0" w:space="0" w:color="auto"/>
                <w:right w:val="none" w:sz="0" w:space="0" w:color="auto"/>
              </w:divBdr>
              <w:divsChild>
                <w:div w:id="2086687936">
                  <w:marLeft w:val="0"/>
                  <w:marRight w:val="0"/>
                  <w:marTop w:val="0"/>
                  <w:marBottom w:val="0"/>
                  <w:divBdr>
                    <w:top w:val="none" w:sz="0" w:space="0" w:color="auto"/>
                    <w:left w:val="none" w:sz="0" w:space="0" w:color="auto"/>
                    <w:bottom w:val="none" w:sz="0" w:space="0" w:color="auto"/>
                    <w:right w:val="none" w:sz="0" w:space="0" w:color="auto"/>
                  </w:divBdr>
                  <w:divsChild>
                    <w:div w:id="769594002">
                      <w:marLeft w:val="-225"/>
                      <w:marRight w:val="-225"/>
                      <w:marTop w:val="0"/>
                      <w:marBottom w:val="0"/>
                      <w:divBdr>
                        <w:top w:val="none" w:sz="0" w:space="0" w:color="auto"/>
                        <w:left w:val="none" w:sz="0" w:space="0" w:color="auto"/>
                        <w:bottom w:val="none" w:sz="0" w:space="0" w:color="auto"/>
                        <w:right w:val="none" w:sz="0" w:space="0" w:color="auto"/>
                      </w:divBdr>
                      <w:divsChild>
                        <w:div w:id="582832962">
                          <w:marLeft w:val="0"/>
                          <w:marRight w:val="0"/>
                          <w:marTop w:val="0"/>
                          <w:marBottom w:val="0"/>
                          <w:divBdr>
                            <w:top w:val="none" w:sz="0" w:space="0" w:color="auto"/>
                            <w:left w:val="none" w:sz="0" w:space="0" w:color="auto"/>
                            <w:bottom w:val="none" w:sz="0" w:space="0" w:color="auto"/>
                            <w:right w:val="none" w:sz="0" w:space="0" w:color="auto"/>
                          </w:divBdr>
                          <w:divsChild>
                            <w:div w:id="1929384949">
                              <w:marLeft w:val="0"/>
                              <w:marRight w:val="0"/>
                              <w:marTop w:val="0"/>
                              <w:marBottom w:val="0"/>
                              <w:divBdr>
                                <w:top w:val="none" w:sz="0" w:space="0" w:color="auto"/>
                                <w:left w:val="none" w:sz="0" w:space="0" w:color="auto"/>
                                <w:bottom w:val="none" w:sz="0" w:space="0" w:color="auto"/>
                                <w:right w:val="none" w:sz="0" w:space="0" w:color="auto"/>
                              </w:divBdr>
                              <w:divsChild>
                                <w:div w:id="12245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943120">
      <w:bodyDiv w:val="1"/>
      <w:marLeft w:val="0"/>
      <w:marRight w:val="0"/>
      <w:marTop w:val="0"/>
      <w:marBottom w:val="0"/>
      <w:divBdr>
        <w:top w:val="none" w:sz="0" w:space="0" w:color="auto"/>
        <w:left w:val="none" w:sz="0" w:space="0" w:color="auto"/>
        <w:bottom w:val="none" w:sz="0" w:space="0" w:color="auto"/>
        <w:right w:val="none" w:sz="0" w:space="0" w:color="auto"/>
      </w:divBdr>
      <w:divsChild>
        <w:div w:id="754520281">
          <w:marLeft w:val="0"/>
          <w:marRight w:val="0"/>
          <w:marTop w:val="0"/>
          <w:marBottom w:val="0"/>
          <w:divBdr>
            <w:top w:val="none" w:sz="0" w:space="0" w:color="auto"/>
            <w:left w:val="none" w:sz="0" w:space="0" w:color="auto"/>
            <w:bottom w:val="none" w:sz="0" w:space="0" w:color="auto"/>
            <w:right w:val="none" w:sz="0" w:space="0" w:color="auto"/>
          </w:divBdr>
        </w:div>
        <w:div w:id="778337096">
          <w:marLeft w:val="0"/>
          <w:marRight w:val="0"/>
          <w:marTop w:val="0"/>
          <w:marBottom w:val="0"/>
          <w:divBdr>
            <w:top w:val="none" w:sz="0" w:space="0" w:color="auto"/>
            <w:left w:val="none" w:sz="0" w:space="0" w:color="auto"/>
            <w:bottom w:val="none" w:sz="0" w:space="0" w:color="auto"/>
            <w:right w:val="none" w:sz="0" w:space="0" w:color="auto"/>
          </w:divBdr>
        </w:div>
        <w:div w:id="852183474">
          <w:marLeft w:val="0"/>
          <w:marRight w:val="0"/>
          <w:marTop w:val="0"/>
          <w:marBottom w:val="0"/>
          <w:divBdr>
            <w:top w:val="none" w:sz="0" w:space="0" w:color="auto"/>
            <w:left w:val="none" w:sz="0" w:space="0" w:color="auto"/>
            <w:bottom w:val="none" w:sz="0" w:space="0" w:color="auto"/>
            <w:right w:val="none" w:sz="0" w:space="0" w:color="auto"/>
          </w:divBdr>
        </w:div>
        <w:div w:id="903756121">
          <w:marLeft w:val="0"/>
          <w:marRight w:val="0"/>
          <w:marTop w:val="0"/>
          <w:marBottom w:val="0"/>
          <w:divBdr>
            <w:top w:val="none" w:sz="0" w:space="0" w:color="auto"/>
            <w:left w:val="none" w:sz="0" w:space="0" w:color="auto"/>
            <w:bottom w:val="none" w:sz="0" w:space="0" w:color="auto"/>
            <w:right w:val="none" w:sz="0" w:space="0" w:color="auto"/>
          </w:divBdr>
        </w:div>
        <w:div w:id="1129740394">
          <w:marLeft w:val="0"/>
          <w:marRight w:val="0"/>
          <w:marTop w:val="0"/>
          <w:marBottom w:val="0"/>
          <w:divBdr>
            <w:top w:val="none" w:sz="0" w:space="0" w:color="auto"/>
            <w:left w:val="none" w:sz="0" w:space="0" w:color="auto"/>
            <w:bottom w:val="none" w:sz="0" w:space="0" w:color="auto"/>
            <w:right w:val="none" w:sz="0" w:space="0" w:color="auto"/>
          </w:divBdr>
        </w:div>
        <w:div w:id="1200974183">
          <w:marLeft w:val="0"/>
          <w:marRight w:val="0"/>
          <w:marTop w:val="0"/>
          <w:marBottom w:val="0"/>
          <w:divBdr>
            <w:top w:val="none" w:sz="0" w:space="0" w:color="auto"/>
            <w:left w:val="none" w:sz="0" w:space="0" w:color="auto"/>
            <w:bottom w:val="none" w:sz="0" w:space="0" w:color="auto"/>
            <w:right w:val="none" w:sz="0" w:space="0" w:color="auto"/>
          </w:divBdr>
        </w:div>
        <w:div w:id="1400056099">
          <w:marLeft w:val="0"/>
          <w:marRight w:val="0"/>
          <w:marTop w:val="0"/>
          <w:marBottom w:val="0"/>
          <w:divBdr>
            <w:top w:val="none" w:sz="0" w:space="0" w:color="auto"/>
            <w:left w:val="none" w:sz="0" w:space="0" w:color="auto"/>
            <w:bottom w:val="none" w:sz="0" w:space="0" w:color="auto"/>
            <w:right w:val="none" w:sz="0" w:space="0" w:color="auto"/>
          </w:divBdr>
        </w:div>
        <w:div w:id="1537692129">
          <w:marLeft w:val="0"/>
          <w:marRight w:val="0"/>
          <w:marTop w:val="0"/>
          <w:marBottom w:val="0"/>
          <w:divBdr>
            <w:top w:val="none" w:sz="0" w:space="0" w:color="auto"/>
            <w:left w:val="none" w:sz="0" w:space="0" w:color="auto"/>
            <w:bottom w:val="none" w:sz="0" w:space="0" w:color="auto"/>
            <w:right w:val="none" w:sz="0" w:space="0" w:color="auto"/>
          </w:divBdr>
        </w:div>
      </w:divsChild>
    </w:div>
    <w:div w:id="1548298762">
      <w:bodyDiv w:val="1"/>
      <w:marLeft w:val="0"/>
      <w:marRight w:val="0"/>
      <w:marTop w:val="0"/>
      <w:marBottom w:val="0"/>
      <w:divBdr>
        <w:top w:val="none" w:sz="0" w:space="0" w:color="auto"/>
        <w:left w:val="none" w:sz="0" w:space="0" w:color="auto"/>
        <w:bottom w:val="none" w:sz="0" w:space="0" w:color="auto"/>
        <w:right w:val="none" w:sz="0" w:space="0" w:color="auto"/>
      </w:divBdr>
    </w:div>
    <w:div w:id="1609388816">
      <w:bodyDiv w:val="1"/>
      <w:marLeft w:val="0"/>
      <w:marRight w:val="0"/>
      <w:marTop w:val="0"/>
      <w:marBottom w:val="0"/>
      <w:divBdr>
        <w:top w:val="none" w:sz="0" w:space="0" w:color="auto"/>
        <w:left w:val="none" w:sz="0" w:space="0" w:color="auto"/>
        <w:bottom w:val="none" w:sz="0" w:space="0" w:color="auto"/>
        <w:right w:val="none" w:sz="0" w:space="0" w:color="auto"/>
      </w:divBdr>
    </w:div>
    <w:div w:id="1877739029">
      <w:bodyDiv w:val="1"/>
      <w:marLeft w:val="0"/>
      <w:marRight w:val="0"/>
      <w:marTop w:val="0"/>
      <w:marBottom w:val="0"/>
      <w:divBdr>
        <w:top w:val="none" w:sz="0" w:space="0" w:color="auto"/>
        <w:left w:val="none" w:sz="0" w:space="0" w:color="auto"/>
        <w:bottom w:val="none" w:sz="0" w:space="0" w:color="auto"/>
        <w:right w:val="none" w:sz="0" w:space="0" w:color="auto"/>
      </w:divBdr>
      <w:divsChild>
        <w:div w:id="1624771254">
          <w:marLeft w:val="0"/>
          <w:marRight w:val="0"/>
          <w:marTop w:val="0"/>
          <w:marBottom w:val="0"/>
          <w:divBdr>
            <w:top w:val="none" w:sz="0" w:space="0" w:color="auto"/>
            <w:left w:val="none" w:sz="0" w:space="0" w:color="auto"/>
            <w:bottom w:val="none" w:sz="0" w:space="0" w:color="auto"/>
            <w:right w:val="none" w:sz="0" w:space="0" w:color="auto"/>
          </w:divBdr>
          <w:divsChild>
            <w:div w:id="529296808">
              <w:marLeft w:val="0"/>
              <w:marRight w:val="0"/>
              <w:marTop w:val="0"/>
              <w:marBottom w:val="0"/>
              <w:divBdr>
                <w:top w:val="none" w:sz="0" w:space="0" w:color="auto"/>
                <w:left w:val="none" w:sz="0" w:space="0" w:color="auto"/>
                <w:bottom w:val="none" w:sz="0" w:space="0" w:color="auto"/>
                <w:right w:val="none" w:sz="0" w:space="0" w:color="auto"/>
              </w:divBdr>
              <w:divsChild>
                <w:div w:id="133645429">
                  <w:marLeft w:val="0"/>
                  <w:marRight w:val="0"/>
                  <w:marTop w:val="0"/>
                  <w:marBottom w:val="0"/>
                  <w:divBdr>
                    <w:top w:val="none" w:sz="0" w:space="0" w:color="auto"/>
                    <w:left w:val="none" w:sz="0" w:space="0" w:color="auto"/>
                    <w:bottom w:val="none" w:sz="0" w:space="0" w:color="auto"/>
                    <w:right w:val="none" w:sz="0" w:space="0" w:color="auto"/>
                  </w:divBdr>
                </w:div>
                <w:div w:id="170146770">
                  <w:marLeft w:val="0"/>
                  <w:marRight w:val="0"/>
                  <w:marTop w:val="0"/>
                  <w:marBottom w:val="0"/>
                  <w:divBdr>
                    <w:top w:val="none" w:sz="0" w:space="0" w:color="auto"/>
                    <w:left w:val="none" w:sz="0" w:space="0" w:color="auto"/>
                    <w:bottom w:val="none" w:sz="0" w:space="0" w:color="auto"/>
                    <w:right w:val="none" w:sz="0" w:space="0" w:color="auto"/>
                  </w:divBdr>
                </w:div>
                <w:div w:id="231238649">
                  <w:marLeft w:val="0"/>
                  <w:marRight w:val="0"/>
                  <w:marTop w:val="0"/>
                  <w:marBottom w:val="0"/>
                  <w:divBdr>
                    <w:top w:val="none" w:sz="0" w:space="0" w:color="auto"/>
                    <w:left w:val="none" w:sz="0" w:space="0" w:color="auto"/>
                    <w:bottom w:val="none" w:sz="0" w:space="0" w:color="auto"/>
                    <w:right w:val="none" w:sz="0" w:space="0" w:color="auto"/>
                  </w:divBdr>
                </w:div>
                <w:div w:id="255328674">
                  <w:marLeft w:val="0"/>
                  <w:marRight w:val="0"/>
                  <w:marTop w:val="0"/>
                  <w:marBottom w:val="0"/>
                  <w:divBdr>
                    <w:top w:val="none" w:sz="0" w:space="0" w:color="auto"/>
                    <w:left w:val="none" w:sz="0" w:space="0" w:color="auto"/>
                    <w:bottom w:val="none" w:sz="0" w:space="0" w:color="auto"/>
                    <w:right w:val="none" w:sz="0" w:space="0" w:color="auto"/>
                  </w:divBdr>
                </w:div>
                <w:div w:id="316035244">
                  <w:marLeft w:val="0"/>
                  <w:marRight w:val="0"/>
                  <w:marTop w:val="0"/>
                  <w:marBottom w:val="0"/>
                  <w:divBdr>
                    <w:top w:val="none" w:sz="0" w:space="0" w:color="auto"/>
                    <w:left w:val="none" w:sz="0" w:space="0" w:color="auto"/>
                    <w:bottom w:val="none" w:sz="0" w:space="0" w:color="auto"/>
                    <w:right w:val="none" w:sz="0" w:space="0" w:color="auto"/>
                  </w:divBdr>
                </w:div>
                <w:div w:id="331415796">
                  <w:marLeft w:val="0"/>
                  <w:marRight w:val="0"/>
                  <w:marTop w:val="0"/>
                  <w:marBottom w:val="0"/>
                  <w:divBdr>
                    <w:top w:val="none" w:sz="0" w:space="0" w:color="auto"/>
                    <w:left w:val="none" w:sz="0" w:space="0" w:color="auto"/>
                    <w:bottom w:val="none" w:sz="0" w:space="0" w:color="auto"/>
                    <w:right w:val="none" w:sz="0" w:space="0" w:color="auto"/>
                  </w:divBdr>
                </w:div>
                <w:div w:id="368457785">
                  <w:marLeft w:val="0"/>
                  <w:marRight w:val="0"/>
                  <w:marTop w:val="0"/>
                  <w:marBottom w:val="0"/>
                  <w:divBdr>
                    <w:top w:val="none" w:sz="0" w:space="0" w:color="auto"/>
                    <w:left w:val="none" w:sz="0" w:space="0" w:color="auto"/>
                    <w:bottom w:val="none" w:sz="0" w:space="0" w:color="auto"/>
                    <w:right w:val="none" w:sz="0" w:space="0" w:color="auto"/>
                  </w:divBdr>
                </w:div>
                <w:div w:id="453865229">
                  <w:marLeft w:val="0"/>
                  <w:marRight w:val="0"/>
                  <w:marTop w:val="0"/>
                  <w:marBottom w:val="0"/>
                  <w:divBdr>
                    <w:top w:val="none" w:sz="0" w:space="0" w:color="auto"/>
                    <w:left w:val="none" w:sz="0" w:space="0" w:color="auto"/>
                    <w:bottom w:val="none" w:sz="0" w:space="0" w:color="auto"/>
                    <w:right w:val="none" w:sz="0" w:space="0" w:color="auto"/>
                  </w:divBdr>
                </w:div>
                <w:div w:id="468742815">
                  <w:marLeft w:val="0"/>
                  <w:marRight w:val="0"/>
                  <w:marTop w:val="0"/>
                  <w:marBottom w:val="0"/>
                  <w:divBdr>
                    <w:top w:val="none" w:sz="0" w:space="0" w:color="auto"/>
                    <w:left w:val="none" w:sz="0" w:space="0" w:color="auto"/>
                    <w:bottom w:val="none" w:sz="0" w:space="0" w:color="auto"/>
                    <w:right w:val="none" w:sz="0" w:space="0" w:color="auto"/>
                  </w:divBdr>
                </w:div>
                <w:div w:id="478500892">
                  <w:marLeft w:val="0"/>
                  <w:marRight w:val="0"/>
                  <w:marTop w:val="0"/>
                  <w:marBottom w:val="0"/>
                  <w:divBdr>
                    <w:top w:val="none" w:sz="0" w:space="0" w:color="auto"/>
                    <w:left w:val="none" w:sz="0" w:space="0" w:color="auto"/>
                    <w:bottom w:val="none" w:sz="0" w:space="0" w:color="auto"/>
                    <w:right w:val="none" w:sz="0" w:space="0" w:color="auto"/>
                  </w:divBdr>
                </w:div>
                <w:div w:id="710770019">
                  <w:marLeft w:val="0"/>
                  <w:marRight w:val="0"/>
                  <w:marTop w:val="0"/>
                  <w:marBottom w:val="0"/>
                  <w:divBdr>
                    <w:top w:val="none" w:sz="0" w:space="0" w:color="auto"/>
                    <w:left w:val="none" w:sz="0" w:space="0" w:color="auto"/>
                    <w:bottom w:val="none" w:sz="0" w:space="0" w:color="auto"/>
                    <w:right w:val="none" w:sz="0" w:space="0" w:color="auto"/>
                  </w:divBdr>
                </w:div>
                <w:div w:id="917251246">
                  <w:marLeft w:val="0"/>
                  <w:marRight w:val="0"/>
                  <w:marTop w:val="0"/>
                  <w:marBottom w:val="0"/>
                  <w:divBdr>
                    <w:top w:val="none" w:sz="0" w:space="0" w:color="auto"/>
                    <w:left w:val="none" w:sz="0" w:space="0" w:color="auto"/>
                    <w:bottom w:val="none" w:sz="0" w:space="0" w:color="auto"/>
                    <w:right w:val="none" w:sz="0" w:space="0" w:color="auto"/>
                  </w:divBdr>
                </w:div>
                <w:div w:id="991788821">
                  <w:marLeft w:val="0"/>
                  <w:marRight w:val="0"/>
                  <w:marTop w:val="0"/>
                  <w:marBottom w:val="0"/>
                  <w:divBdr>
                    <w:top w:val="none" w:sz="0" w:space="0" w:color="auto"/>
                    <w:left w:val="none" w:sz="0" w:space="0" w:color="auto"/>
                    <w:bottom w:val="none" w:sz="0" w:space="0" w:color="auto"/>
                    <w:right w:val="none" w:sz="0" w:space="0" w:color="auto"/>
                  </w:divBdr>
                </w:div>
                <w:div w:id="994643958">
                  <w:marLeft w:val="0"/>
                  <w:marRight w:val="0"/>
                  <w:marTop w:val="0"/>
                  <w:marBottom w:val="0"/>
                  <w:divBdr>
                    <w:top w:val="none" w:sz="0" w:space="0" w:color="auto"/>
                    <w:left w:val="none" w:sz="0" w:space="0" w:color="auto"/>
                    <w:bottom w:val="none" w:sz="0" w:space="0" w:color="auto"/>
                    <w:right w:val="none" w:sz="0" w:space="0" w:color="auto"/>
                  </w:divBdr>
                </w:div>
                <w:div w:id="1065445451">
                  <w:marLeft w:val="0"/>
                  <w:marRight w:val="0"/>
                  <w:marTop w:val="0"/>
                  <w:marBottom w:val="0"/>
                  <w:divBdr>
                    <w:top w:val="none" w:sz="0" w:space="0" w:color="auto"/>
                    <w:left w:val="none" w:sz="0" w:space="0" w:color="auto"/>
                    <w:bottom w:val="none" w:sz="0" w:space="0" w:color="auto"/>
                    <w:right w:val="none" w:sz="0" w:space="0" w:color="auto"/>
                  </w:divBdr>
                </w:div>
                <w:div w:id="1205828624">
                  <w:marLeft w:val="0"/>
                  <w:marRight w:val="0"/>
                  <w:marTop w:val="0"/>
                  <w:marBottom w:val="0"/>
                  <w:divBdr>
                    <w:top w:val="none" w:sz="0" w:space="0" w:color="auto"/>
                    <w:left w:val="none" w:sz="0" w:space="0" w:color="auto"/>
                    <w:bottom w:val="none" w:sz="0" w:space="0" w:color="auto"/>
                    <w:right w:val="none" w:sz="0" w:space="0" w:color="auto"/>
                  </w:divBdr>
                </w:div>
                <w:div w:id="1229610881">
                  <w:marLeft w:val="0"/>
                  <w:marRight w:val="0"/>
                  <w:marTop w:val="0"/>
                  <w:marBottom w:val="0"/>
                  <w:divBdr>
                    <w:top w:val="none" w:sz="0" w:space="0" w:color="auto"/>
                    <w:left w:val="none" w:sz="0" w:space="0" w:color="auto"/>
                    <w:bottom w:val="none" w:sz="0" w:space="0" w:color="auto"/>
                    <w:right w:val="none" w:sz="0" w:space="0" w:color="auto"/>
                  </w:divBdr>
                </w:div>
                <w:div w:id="1393458225">
                  <w:marLeft w:val="0"/>
                  <w:marRight w:val="0"/>
                  <w:marTop w:val="0"/>
                  <w:marBottom w:val="0"/>
                  <w:divBdr>
                    <w:top w:val="none" w:sz="0" w:space="0" w:color="auto"/>
                    <w:left w:val="none" w:sz="0" w:space="0" w:color="auto"/>
                    <w:bottom w:val="none" w:sz="0" w:space="0" w:color="auto"/>
                    <w:right w:val="none" w:sz="0" w:space="0" w:color="auto"/>
                  </w:divBdr>
                </w:div>
                <w:div w:id="1477988281">
                  <w:marLeft w:val="0"/>
                  <w:marRight w:val="0"/>
                  <w:marTop w:val="0"/>
                  <w:marBottom w:val="0"/>
                  <w:divBdr>
                    <w:top w:val="none" w:sz="0" w:space="0" w:color="auto"/>
                    <w:left w:val="none" w:sz="0" w:space="0" w:color="auto"/>
                    <w:bottom w:val="none" w:sz="0" w:space="0" w:color="auto"/>
                    <w:right w:val="none" w:sz="0" w:space="0" w:color="auto"/>
                  </w:divBdr>
                </w:div>
                <w:div w:id="1592619297">
                  <w:marLeft w:val="0"/>
                  <w:marRight w:val="0"/>
                  <w:marTop w:val="0"/>
                  <w:marBottom w:val="0"/>
                  <w:divBdr>
                    <w:top w:val="none" w:sz="0" w:space="0" w:color="auto"/>
                    <w:left w:val="none" w:sz="0" w:space="0" w:color="auto"/>
                    <w:bottom w:val="none" w:sz="0" w:space="0" w:color="auto"/>
                    <w:right w:val="none" w:sz="0" w:space="0" w:color="auto"/>
                  </w:divBdr>
                </w:div>
                <w:div w:id="1595674417">
                  <w:marLeft w:val="0"/>
                  <w:marRight w:val="0"/>
                  <w:marTop w:val="0"/>
                  <w:marBottom w:val="0"/>
                  <w:divBdr>
                    <w:top w:val="none" w:sz="0" w:space="0" w:color="auto"/>
                    <w:left w:val="none" w:sz="0" w:space="0" w:color="auto"/>
                    <w:bottom w:val="none" w:sz="0" w:space="0" w:color="auto"/>
                    <w:right w:val="none" w:sz="0" w:space="0" w:color="auto"/>
                  </w:divBdr>
                </w:div>
                <w:div w:id="1613971181">
                  <w:marLeft w:val="0"/>
                  <w:marRight w:val="0"/>
                  <w:marTop w:val="0"/>
                  <w:marBottom w:val="0"/>
                  <w:divBdr>
                    <w:top w:val="none" w:sz="0" w:space="0" w:color="auto"/>
                    <w:left w:val="none" w:sz="0" w:space="0" w:color="auto"/>
                    <w:bottom w:val="none" w:sz="0" w:space="0" w:color="auto"/>
                    <w:right w:val="none" w:sz="0" w:space="0" w:color="auto"/>
                  </w:divBdr>
                </w:div>
                <w:div w:id="1624924584">
                  <w:marLeft w:val="0"/>
                  <w:marRight w:val="0"/>
                  <w:marTop w:val="0"/>
                  <w:marBottom w:val="0"/>
                  <w:divBdr>
                    <w:top w:val="none" w:sz="0" w:space="0" w:color="auto"/>
                    <w:left w:val="none" w:sz="0" w:space="0" w:color="auto"/>
                    <w:bottom w:val="none" w:sz="0" w:space="0" w:color="auto"/>
                    <w:right w:val="none" w:sz="0" w:space="0" w:color="auto"/>
                  </w:divBdr>
                </w:div>
                <w:div w:id="1629118373">
                  <w:marLeft w:val="0"/>
                  <w:marRight w:val="0"/>
                  <w:marTop w:val="0"/>
                  <w:marBottom w:val="0"/>
                  <w:divBdr>
                    <w:top w:val="none" w:sz="0" w:space="0" w:color="auto"/>
                    <w:left w:val="none" w:sz="0" w:space="0" w:color="auto"/>
                    <w:bottom w:val="none" w:sz="0" w:space="0" w:color="auto"/>
                    <w:right w:val="none" w:sz="0" w:space="0" w:color="auto"/>
                  </w:divBdr>
                </w:div>
                <w:div w:id="1742823315">
                  <w:marLeft w:val="0"/>
                  <w:marRight w:val="0"/>
                  <w:marTop w:val="0"/>
                  <w:marBottom w:val="0"/>
                  <w:divBdr>
                    <w:top w:val="none" w:sz="0" w:space="0" w:color="auto"/>
                    <w:left w:val="none" w:sz="0" w:space="0" w:color="auto"/>
                    <w:bottom w:val="none" w:sz="0" w:space="0" w:color="auto"/>
                    <w:right w:val="none" w:sz="0" w:space="0" w:color="auto"/>
                  </w:divBdr>
                </w:div>
                <w:div w:id="1845852165">
                  <w:marLeft w:val="0"/>
                  <w:marRight w:val="0"/>
                  <w:marTop w:val="0"/>
                  <w:marBottom w:val="0"/>
                  <w:divBdr>
                    <w:top w:val="none" w:sz="0" w:space="0" w:color="auto"/>
                    <w:left w:val="none" w:sz="0" w:space="0" w:color="auto"/>
                    <w:bottom w:val="none" w:sz="0" w:space="0" w:color="auto"/>
                    <w:right w:val="none" w:sz="0" w:space="0" w:color="auto"/>
                  </w:divBdr>
                </w:div>
                <w:div w:id="1896500756">
                  <w:marLeft w:val="0"/>
                  <w:marRight w:val="0"/>
                  <w:marTop w:val="0"/>
                  <w:marBottom w:val="0"/>
                  <w:divBdr>
                    <w:top w:val="none" w:sz="0" w:space="0" w:color="auto"/>
                    <w:left w:val="none" w:sz="0" w:space="0" w:color="auto"/>
                    <w:bottom w:val="none" w:sz="0" w:space="0" w:color="auto"/>
                    <w:right w:val="none" w:sz="0" w:space="0" w:color="auto"/>
                  </w:divBdr>
                </w:div>
                <w:div w:id="1898473356">
                  <w:marLeft w:val="0"/>
                  <w:marRight w:val="0"/>
                  <w:marTop w:val="0"/>
                  <w:marBottom w:val="0"/>
                  <w:divBdr>
                    <w:top w:val="none" w:sz="0" w:space="0" w:color="auto"/>
                    <w:left w:val="none" w:sz="0" w:space="0" w:color="auto"/>
                    <w:bottom w:val="none" w:sz="0" w:space="0" w:color="auto"/>
                    <w:right w:val="none" w:sz="0" w:space="0" w:color="auto"/>
                  </w:divBdr>
                </w:div>
                <w:div w:id="1906061385">
                  <w:marLeft w:val="0"/>
                  <w:marRight w:val="0"/>
                  <w:marTop w:val="0"/>
                  <w:marBottom w:val="0"/>
                  <w:divBdr>
                    <w:top w:val="none" w:sz="0" w:space="0" w:color="auto"/>
                    <w:left w:val="none" w:sz="0" w:space="0" w:color="auto"/>
                    <w:bottom w:val="none" w:sz="0" w:space="0" w:color="auto"/>
                    <w:right w:val="none" w:sz="0" w:space="0" w:color="auto"/>
                  </w:divBdr>
                </w:div>
                <w:div w:id="1942251882">
                  <w:marLeft w:val="0"/>
                  <w:marRight w:val="0"/>
                  <w:marTop w:val="0"/>
                  <w:marBottom w:val="0"/>
                  <w:divBdr>
                    <w:top w:val="none" w:sz="0" w:space="0" w:color="auto"/>
                    <w:left w:val="none" w:sz="0" w:space="0" w:color="auto"/>
                    <w:bottom w:val="none" w:sz="0" w:space="0" w:color="auto"/>
                    <w:right w:val="none" w:sz="0" w:space="0" w:color="auto"/>
                  </w:divBdr>
                </w:div>
                <w:div w:id="1973898710">
                  <w:marLeft w:val="0"/>
                  <w:marRight w:val="0"/>
                  <w:marTop w:val="0"/>
                  <w:marBottom w:val="0"/>
                  <w:divBdr>
                    <w:top w:val="none" w:sz="0" w:space="0" w:color="auto"/>
                    <w:left w:val="none" w:sz="0" w:space="0" w:color="auto"/>
                    <w:bottom w:val="none" w:sz="0" w:space="0" w:color="auto"/>
                    <w:right w:val="none" w:sz="0" w:space="0" w:color="auto"/>
                  </w:divBdr>
                </w:div>
                <w:div w:id="1980307930">
                  <w:marLeft w:val="0"/>
                  <w:marRight w:val="0"/>
                  <w:marTop w:val="0"/>
                  <w:marBottom w:val="0"/>
                  <w:divBdr>
                    <w:top w:val="none" w:sz="0" w:space="0" w:color="auto"/>
                    <w:left w:val="none" w:sz="0" w:space="0" w:color="auto"/>
                    <w:bottom w:val="none" w:sz="0" w:space="0" w:color="auto"/>
                    <w:right w:val="none" w:sz="0" w:space="0" w:color="auto"/>
                  </w:divBdr>
                </w:div>
                <w:div w:id="1990018142">
                  <w:marLeft w:val="0"/>
                  <w:marRight w:val="0"/>
                  <w:marTop w:val="0"/>
                  <w:marBottom w:val="0"/>
                  <w:divBdr>
                    <w:top w:val="none" w:sz="0" w:space="0" w:color="auto"/>
                    <w:left w:val="none" w:sz="0" w:space="0" w:color="auto"/>
                    <w:bottom w:val="none" w:sz="0" w:space="0" w:color="auto"/>
                    <w:right w:val="none" w:sz="0" w:space="0" w:color="auto"/>
                  </w:divBdr>
                </w:div>
                <w:div w:id="2033452867">
                  <w:marLeft w:val="0"/>
                  <w:marRight w:val="0"/>
                  <w:marTop w:val="0"/>
                  <w:marBottom w:val="0"/>
                  <w:divBdr>
                    <w:top w:val="none" w:sz="0" w:space="0" w:color="auto"/>
                    <w:left w:val="none" w:sz="0" w:space="0" w:color="auto"/>
                    <w:bottom w:val="none" w:sz="0" w:space="0" w:color="auto"/>
                    <w:right w:val="none" w:sz="0" w:space="0" w:color="auto"/>
                  </w:divBdr>
                </w:div>
                <w:div w:id="2057003245">
                  <w:marLeft w:val="0"/>
                  <w:marRight w:val="0"/>
                  <w:marTop w:val="0"/>
                  <w:marBottom w:val="0"/>
                  <w:divBdr>
                    <w:top w:val="none" w:sz="0" w:space="0" w:color="auto"/>
                    <w:left w:val="none" w:sz="0" w:space="0" w:color="auto"/>
                    <w:bottom w:val="none" w:sz="0" w:space="0" w:color="auto"/>
                    <w:right w:val="none" w:sz="0" w:space="0" w:color="auto"/>
                  </w:divBdr>
                </w:div>
                <w:div w:id="2116486160">
                  <w:marLeft w:val="0"/>
                  <w:marRight w:val="0"/>
                  <w:marTop w:val="0"/>
                  <w:marBottom w:val="0"/>
                  <w:divBdr>
                    <w:top w:val="none" w:sz="0" w:space="0" w:color="auto"/>
                    <w:left w:val="none" w:sz="0" w:space="0" w:color="auto"/>
                    <w:bottom w:val="none" w:sz="0" w:space="0" w:color="auto"/>
                    <w:right w:val="none" w:sz="0" w:space="0" w:color="auto"/>
                  </w:divBdr>
                </w:div>
                <w:div w:id="2141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9515">
      <w:bodyDiv w:val="1"/>
      <w:marLeft w:val="0"/>
      <w:marRight w:val="0"/>
      <w:marTop w:val="0"/>
      <w:marBottom w:val="0"/>
      <w:divBdr>
        <w:top w:val="none" w:sz="0" w:space="0" w:color="auto"/>
        <w:left w:val="none" w:sz="0" w:space="0" w:color="auto"/>
        <w:bottom w:val="none" w:sz="0" w:space="0" w:color="auto"/>
        <w:right w:val="none" w:sz="0" w:space="0" w:color="auto"/>
      </w:divBdr>
      <w:divsChild>
        <w:div w:id="2043164001">
          <w:marLeft w:val="547"/>
          <w:marRight w:val="0"/>
          <w:marTop w:val="77"/>
          <w:marBottom w:val="0"/>
          <w:divBdr>
            <w:top w:val="none" w:sz="0" w:space="0" w:color="auto"/>
            <w:left w:val="none" w:sz="0" w:space="0" w:color="auto"/>
            <w:bottom w:val="none" w:sz="0" w:space="0" w:color="auto"/>
            <w:right w:val="none" w:sz="0" w:space="0" w:color="auto"/>
          </w:divBdr>
        </w:div>
      </w:divsChild>
    </w:div>
    <w:div w:id="1941252579">
      <w:bodyDiv w:val="1"/>
      <w:marLeft w:val="0"/>
      <w:marRight w:val="0"/>
      <w:marTop w:val="0"/>
      <w:marBottom w:val="0"/>
      <w:divBdr>
        <w:top w:val="none" w:sz="0" w:space="0" w:color="auto"/>
        <w:left w:val="none" w:sz="0" w:space="0" w:color="auto"/>
        <w:bottom w:val="none" w:sz="0" w:space="0" w:color="auto"/>
        <w:right w:val="none" w:sz="0" w:space="0" w:color="auto"/>
      </w:divBdr>
      <w:divsChild>
        <w:div w:id="904923279">
          <w:marLeft w:val="0"/>
          <w:marRight w:val="0"/>
          <w:marTop w:val="0"/>
          <w:marBottom w:val="0"/>
          <w:divBdr>
            <w:top w:val="none" w:sz="0" w:space="0" w:color="auto"/>
            <w:left w:val="none" w:sz="0" w:space="0" w:color="auto"/>
            <w:bottom w:val="none" w:sz="0" w:space="0" w:color="auto"/>
            <w:right w:val="none" w:sz="0" w:space="0" w:color="auto"/>
          </w:divBdr>
        </w:div>
        <w:div w:id="1672874011">
          <w:marLeft w:val="0"/>
          <w:marRight w:val="0"/>
          <w:marTop w:val="0"/>
          <w:marBottom w:val="0"/>
          <w:divBdr>
            <w:top w:val="none" w:sz="0" w:space="0" w:color="auto"/>
            <w:left w:val="none" w:sz="0" w:space="0" w:color="auto"/>
            <w:bottom w:val="none" w:sz="0" w:space="0" w:color="auto"/>
            <w:right w:val="none" w:sz="0" w:space="0" w:color="auto"/>
          </w:divBdr>
        </w:div>
      </w:divsChild>
    </w:div>
    <w:div w:id="1961183059">
      <w:bodyDiv w:val="1"/>
      <w:marLeft w:val="0"/>
      <w:marRight w:val="0"/>
      <w:marTop w:val="0"/>
      <w:marBottom w:val="0"/>
      <w:divBdr>
        <w:top w:val="none" w:sz="0" w:space="0" w:color="auto"/>
        <w:left w:val="none" w:sz="0" w:space="0" w:color="auto"/>
        <w:bottom w:val="none" w:sz="0" w:space="0" w:color="auto"/>
        <w:right w:val="none" w:sz="0" w:space="0" w:color="auto"/>
      </w:divBdr>
      <w:divsChild>
        <w:div w:id="1122724160">
          <w:marLeft w:val="0"/>
          <w:marRight w:val="0"/>
          <w:marTop w:val="0"/>
          <w:marBottom w:val="0"/>
          <w:divBdr>
            <w:top w:val="none" w:sz="0" w:space="0" w:color="auto"/>
            <w:left w:val="none" w:sz="0" w:space="0" w:color="auto"/>
            <w:bottom w:val="none" w:sz="0" w:space="0" w:color="auto"/>
            <w:right w:val="none" w:sz="0" w:space="0" w:color="auto"/>
          </w:divBdr>
          <w:divsChild>
            <w:div w:id="11560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iocv.ucr.edu/sites/g/files/rcwecm4696/files/huanglongbing-011.jpg" TargetMode="External" Id="rId13" /><Relationship Type="http://schemas.openxmlformats.org/officeDocument/2006/relationships/hyperlink" Target="https://iocv.ucr.edu/citrus-diseases/huanglongbing" TargetMode="External" Id="rId18" /><Relationship Type="http://schemas.openxmlformats.org/officeDocument/2006/relationships/hyperlink" Target="https://www.nappo.org/application/files/6515/8322/7229/NAPPO_HLB_DP_2_2012-04-10-e.pdf" TargetMode="External" Id="rId26" /><Relationship Type="http://schemas.openxmlformats.org/officeDocument/2006/relationships/customXml" Target="../customXml/item3.xml" Id="rId3" /><Relationship Type="http://schemas.openxmlformats.org/officeDocument/2006/relationships/hyperlink" Target="mailto:ritalanfranchi@hotmail.com" TargetMode="External" Id="rId21" /><Relationship Type="http://schemas.microsoft.com/office/2018/08/relationships/commentsExtensible" Target="commentsExtensible.xml" Id="rId42" /><Relationship Type="http://schemas.openxmlformats.org/officeDocument/2006/relationships/settings" Target="settings.xml" Id="rId7" /><Relationship Type="http://schemas.openxmlformats.org/officeDocument/2006/relationships/hyperlink" Target="https://gd.eppo.int/taxon/LIBEAS/hosts" TargetMode="External" Id="rId12" /><Relationship Type="http://schemas.openxmlformats.org/officeDocument/2006/relationships/hyperlink" Target="https://gd.eppo.int/taxon/LIBEAS/photos" TargetMode="External" Id="rId17" /><Relationship Type="http://schemas.openxmlformats.org/officeDocument/2006/relationships/hyperlink" Target="https://doi.org/10.1094/PHP-2007-0906-01-RV" TargetMode="External" Id="rId25" /><Relationship Type="http://schemas.openxmlformats.org/officeDocument/2006/relationships/customXml" Target="../customXml/item2.xml" Id="rId2" /><Relationship Type="http://schemas.openxmlformats.org/officeDocument/2006/relationships/hyperlink" Target="https://iocv.ucr.edu/sites/g/files/rcwecm4696/files/huanglongbing-092.jpg" TargetMode="External" Id="rId16" /><Relationship Type="http://schemas.openxmlformats.org/officeDocument/2006/relationships/hyperlink" Target="http://www.ncbi.nlm.nih.gov/" TargetMode="External" Id="rId20" /><Relationship Type="http://schemas.openxmlformats.org/officeDocument/2006/relationships/image" Target="media/image3.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onlinelibrary.wiley.com/doi/10.1111/j.1365-3059.2011.02569.x/full" TargetMode="External" Id="rId11" /><Relationship Type="http://schemas.openxmlformats.org/officeDocument/2006/relationships/hyperlink" Target="http://onlinelibrary.wiley.com/doi/10.1111/ppa.2012.61.issue-4/issuetoc" TargetMode="External" Id="rId24" /><Relationship Type="http://schemas.openxmlformats.org/officeDocument/2006/relationships/numbering" Target="numbering.xml" Id="rId5" /><Relationship Type="http://schemas.openxmlformats.org/officeDocument/2006/relationships/hyperlink" Target="https://iocv.ucr.edu/sites/g/files/rcwecm4696/files/huanglongbing-085.jpg" TargetMode="External" Id="rId15" /><Relationship Type="http://schemas.openxmlformats.org/officeDocument/2006/relationships/hyperlink" Target="http://www.cabi.org/isc/datasheet/16567" TargetMode="External" Id="rId23" /><Relationship Type="http://schemas.openxmlformats.org/officeDocument/2006/relationships/image" Target="media/image2.jpeg" Id="rId28" /><Relationship Type="http://schemas.openxmlformats.org/officeDocument/2006/relationships/endnotes" Target="endnotes.xml" Id="rId10" /><Relationship Type="http://schemas.openxmlformats.org/officeDocument/2006/relationships/hyperlink" Target="http://www.plantprint.net"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ocv.ucr.edu/sites/g/files/rcwecm4696/files/huanglongbing-041.jpg" TargetMode="External" Id="rId14" /><Relationship Type="http://schemas.openxmlformats.org/officeDocument/2006/relationships/hyperlink" Target="mailto:ippc@fao.org" TargetMode="External" Id="rId22" /><Relationship Type="http://schemas.openxmlformats.org/officeDocument/2006/relationships/image" Target="media/image1.jpeg" Id="rId27" /><Relationship Type="http://schemas.openxmlformats.org/officeDocument/2006/relationships/fontTable" Target="fontTable.xml" Id="rId30" /><Relationship Type="http://schemas.microsoft.com/office/2016/09/relationships/commentsIds" Target="commentsIds.xml" Id="rId43" /></Relationships>
</file>

<file path=word/_rels/footnotes.xml.rels>&#65279;<?xml version="1.0" encoding="utf-8"?><Relationships xmlns="http://schemas.openxmlformats.org/package/2006/relationships"><Relationship Type="http://schemas.openxmlformats.org/officeDocument/2006/relationships/hyperlink" Target="https://www.ipni.org" TargetMode="External" Id="rId1" /></Relationships>
</file>

<file path=word/_rels/settings.xml.rels>&#65279;<?xml version="1.0" encoding="utf-8"?><Relationships xmlns="http://schemas.openxmlformats.org/package/2006/relationships"><Relationship Type="http://schemas.openxmlformats.org/officeDocument/2006/relationships/attachedTemplate" Target="file:///C:\Users\Farren\AppData\Roaming\Microsoft\Templates\IPPC_2015-06-04.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BD0429AE8DB8F499923929AD5E18047" ma:contentTypeVersion="12" ma:contentTypeDescription="Creare un nuovo documento." ma:contentTypeScope="" ma:versionID="d459041d72f89507b1bf647c1baea088">
  <xsd:schema xmlns:xs="http://www.w3.org/2001/XMLSchema" xmlns:xsd="http://www.w3.org/2001/XMLSchema" xmlns:p="http://schemas.microsoft.com/office/2006/metadata/properties" xmlns:ns3="76105e0c-327b-433a-9e75-53728691b749" xmlns:ns4="51ab70a9-5969-41e5-973a-d34a556b0a1b" targetNamespace="http://schemas.microsoft.com/office/2006/metadata/properties" ma:root="true" ma:fieldsID="a9f11d43a7988ea1e2d3b11f2ecfebe4" ns3:_="" ns4:_="">
    <xsd:import namespace="76105e0c-327b-433a-9e75-53728691b749"/>
    <xsd:import namespace="51ab70a9-5969-41e5-973a-d34a556b0a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76105e0c-327b-433a-9e75-53728691b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http://www.w3.org/2001/XMLSchema" xmlns:xsd="http://www.w3.org/2001/XMLSchema" xmlns:dms="http://schemas.microsoft.com/office/2006/documentManagement/types" xmlns:pc="http://schemas.microsoft.com/office/infopath/2007/PartnerControls" targetNamespace="51ab70a9-5969-41e5-973a-d34a556b0a1b"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C2EFA8C-EE59-40BD-A0F1-FA91BE875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105e0c-327b-433a-9e75-53728691b749"/>
    <ds:schemaRef ds:uri="51ab70a9-5969-41e5-973a-d34a556b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DA4E8-FC0D-49C8-AEFE-0466306C4117}">
  <ds:schemaRefs>
    <ds:schemaRef ds:uri="http://schemas.microsoft.com/sharepoint/v3/contenttype/forms"/>
  </ds:schemaRefs>
</ds:datastoreItem>
</file>

<file path=customXml/itemProps3.xml><?xml version="1.0" encoding="utf-8"?>
<ds:datastoreItem xmlns:ds="http://schemas.openxmlformats.org/officeDocument/2006/customXml" ds:itemID="{64B5D50C-AF69-469B-B048-C5CFA3A33E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FEDD1B-5083-4EC8-BA88-14DFE8B7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30</TotalTime>
  <Pages>23</Pages>
  <Words>9728</Words>
  <Characters>55450</Characters>
  <Application>Microsoft Office Word</Application>
  <DocSecurity>0</DocSecurity>
  <Lines>462</Lines>
  <Paragraphs>130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Date of this document</vt:lpstr>
      <vt:lpstr>Date of this document</vt:lpstr>
    </vt:vector>
  </TitlesOfParts>
  <Company>Toshiba</Company>
  <LinksUpToDate>false</LinksUpToDate>
  <CharactersWithSpaces>65048</CharactersWithSpaces>
  <SharedDoc>false</SharedDoc>
  <HLinks>
    <vt:vector size="72" baseType="variant">
      <vt:variant>
        <vt:i4>3080238</vt:i4>
      </vt:variant>
      <vt:variant>
        <vt:i4>35</vt:i4>
      </vt:variant>
      <vt:variant>
        <vt:i4>0</vt:i4>
      </vt:variant>
      <vt:variant>
        <vt:i4>5</vt:i4>
      </vt:variant>
      <vt:variant>
        <vt:lpwstr>https://www.nappo.org/application/files/6515/8322/7229/NAPPO_HLB_DP_2_2012-04-10-e.pdf</vt:lpwstr>
      </vt:variant>
      <vt:variant>
        <vt:lpwstr/>
      </vt:variant>
      <vt:variant>
        <vt:i4>7864355</vt:i4>
      </vt:variant>
      <vt:variant>
        <vt:i4>32</vt:i4>
      </vt:variant>
      <vt:variant>
        <vt:i4>0</vt:i4>
      </vt:variant>
      <vt:variant>
        <vt:i4>5</vt:i4>
      </vt:variant>
      <vt:variant>
        <vt:lpwstr>http://onlinelibrary.wiley.com/doi/10.1111/ppa.2012.61.issue-4/issuetoc</vt:lpwstr>
      </vt:variant>
      <vt:variant>
        <vt:lpwstr/>
      </vt:variant>
      <vt:variant>
        <vt:i4>2555948</vt:i4>
      </vt:variant>
      <vt:variant>
        <vt:i4>29</vt:i4>
      </vt:variant>
      <vt:variant>
        <vt:i4>0</vt:i4>
      </vt:variant>
      <vt:variant>
        <vt:i4>5</vt:i4>
      </vt:variant>
      <vt:variant>
        <vt:lpwstr>http://www.cabi.org/isc/datasheet/16567</vt:lpwstr>
      </vt:variant>
      <vt:variant>
        <vt:lpwstr/>
      </vt:variant>
      <vt:variant>
        <vt:i4>2752513</vt:i4>
      </vt:variant>
      <vt:variant>
        <vt:i4>23</vt:i4>
      </vt:variant>
      <vt:variant>
        <vt:i4>0</vt:i4>
      </vt:variant>
      <vt:variant>
        <vt:i4>5</vt:i4>
      </vt:variant>
      <vt:variant>
        <vt:lpwstr>mailto:john.hartung@ars.usda.gov</vt:lpwstr>
      </vt:variant>
      <vt:variant>
        <vt:lpwstr/>
      </vt:variant>
      <vt:variant>
        <vt:i4>4980814</vt:i4>
      </vt:variant>
      <vt:variant>
        <vt:i4>20</vt:i4>
      </vt:variant>
      <vt:variant>
        <vt:i4>0</vt:i4>
      </vt:variant>
      <vt:variant>
        <vt:i4>5</vt:i4>
      </vt:variant>
      <vt:variant>
        <vt:lpwstr>http://www.ncbi.nlm.nih.gov/</vt:lpwstr>
      </vt:variant>
      <vt:variant>
        <vt:lpwstr/>
      </vt:variant>
      <vt:variant>
        <vt:i4>3538981</vt:i4>
      </vt:variant>
      <vt:variant>
        <vt:i4>17</vt:i4>
      </vt:variant>
      <vt:variant>
        <vt:i4>0</vt:i4>
      </vt:variant>
      <vt:variant>
        <vt:i4>5</vt:i4>
      </vt:variant>
      <vt:variant>
        <vt:lpwstr>http://www.plantprint.net/</vt:lpwstr>
      </vt:variant>
      <vt:variant>
        <vt:lpwstr/>
      </vt:variant>
      <vt:variant>
        <vt:i4>3407907</vt:i4>
      </vt:variant>
      <vt:variant>
        <vt:i4>14</vt:i4>
      </vt:variant>
      <vt:variant>
        <vt:i4>0</vt:i4>
      </vt:variant>
      <vt:variant>
        <vt:i4>5</vt:i4>
      </vt:variant>
      <vt:variant>
        <vt:lpwstr>https://iocv.ucr.edu/citrus-diseases/huanglongbing</vt:lpwstr>
      </vt:variant>
      <vt:variant>
        <vt:lpwstr/>
      </vt:variant>
      <vt:variant>
        <vt:i4>4063293</vt:i4>
      </vt:variant>
      <vt:variant>
        <vt:i4>11</vt:i4>
      </vt:variant>
      <vt:variant>
        <vt:i4>0</vt:i4>
      </vt:variant>
      <vt:variant>
        <vt:i4>5</vt:i4>
      </vt:variant>
      <vt:variant>
        <vt:lpwstr>http://www.aphis.usda.gov/import_export/plants/plant_exports/downloads/NAPPO_HLB_DP_2_2012-05-30-e.pdf</vt:lpwstr>
      </vt:variant>
      <vt:variant>
        <vt:lpwstr/>
      </vt:variant>
      <vt:variant>
        <vt:i4>2555946</vt:i4>
      </vt:variant>
      <vt:variant>
        <vt:i4>8</vt:i4>
      </vt:variant>
      <vt:variant>
        <vt:i4>0</vt:i4>
      </vt:variant>
      <vt:variant>
        <vt:i4>5</vt:i4>
      </vt:variant>
      <vt:variant>
        <vt:lpwstr>http://www.fundecitrus.com.br/manuais/html</vt:lpwstr>
      </vt:variant>
      <vt:variant>
        <vt:lpwstr/>
      </vt:variant>
      <vt:variant>
        <vt:i4>262153</vt:i4>
      </vt:variant>
      <vt:variant>
        <vt:i4>6</vt:i4>
      </vt:variant>
      <vt:variant>
        <vt:i4>0</vt:i4>
      </vt:variant>
      <vt:variant>
        <vt:i4>5</vt:i4>
      </vt:variant>
      <vt:variant>
        <vt:lpwstr>http:///</vt:lpwstr>
      </vt:variant>
      <vt:variant>
        <vt:lpwstr/>
      </vt:variant>
      <vt:variant>
        <vt:i4>6750268</vt:i4>
      </vt:variant>
      <vt:variant>
        <vt:i4>3</vt:i4>
      </vt:variant>
      <vt:variant>
        <vt:i4>0</vt:i4>
      </vt:variant>
      <vt:variant>
        <vt:i4>5</vt:i4>
      </vt:variant>
      <vt:variant>
        <vt:lpwstr>http://onlinelibrary.wiley.com/doi/10.1111/j.1365-3059.2011.02569.x/full</vt:lpwstr>
      </vt:variant>
      <vt:variant>
        <vt:lpwstr>b16</vt:lpwstr>
      </vt:variant>
      <vt:variant>
        <vt:i4>6750268</vt:i4>
      </vt:variant>
      <vt:variant>
        <vt:i4>0</vt:i4>
      </vt:variant>
      <vt:variant>
        <vt:i4>0</vt:i4>
      </vt:variant>
      <vt:variant>
        <vt:i4>5</vt:i4>
      </vt:variant>
      <vt:variant>
        <vt:lpwstr>http://onlinelibrary.wiley.com/doi/10.1111/j.1365-3059.2011.02569.x/full</vt:lpwstr>
      </vt:variant>
      <vt:variant>
        <vt:lpwstr>b16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this document</dc:title>
  <dc:subject/>
  <dc:creator>Rita Lanfranchi</dc:creator>
  <cp:keywords/>
  <cp:lastModifiedBy>Cassin, Aoife (NSP)</cp:lastModifiedBy>
  <cp:revision>8</cp:revision>
  <cp:lastPrinted>2021-04-30T02:06:00Z</cp:lastPrinted>
  <dcterms:created xsi:type="dcterms:W3CDTF">2021-05-27T11:55:00Z</dcterms:created>
  <dcterms:modified xsi:type="dcterms:W3CDTF">2021-06-30T12:50:00Z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0x0101001BD0429AE8DB8F499923929AD5E18047</vt:lpwstr>
  </property>
</Properties>
</file>