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2021 ICD Draft Specification: Contingency planning, Guide (2019-012). Document title: 2021_ICD_DraftSpecification_GuideContingencyPlanning(2019-012)_EN.docx]</w:t>
      </w:r>
    </w:p>
    <w:p w14:paraId="174ECAE5" w14:textId="17037AAB">
      <w:pPr>
        <w:keepNext/>
        <w:spacing w:before="240" w:after="120" w:line="276" w:lineRule="auto"/>
        <w:outlineLvl w:val="1"/>
        <w:rPr>
          <w:rFonts w:ascii="Times New Roman" w:hAnsi="Times New Roman" w:eastAsia="MS Mincho" w:cs="Times New Roman"/>
          <w:b/>
          <w:bCs/>
          <w:iCs/>
          <w:sz w:val="28"/>
          <w:szCs w:val="28"/>
          <w:lang w:val="en-GB"/>
        </w:rPr>
      </w:pPr>
      <w:r>
        <w:rPr>
          <w:rStyle w:val="PleaseReviewParagraphId"/>
          <w:b w:val="off"/>
          <w:i w:val="off"/>
        </w:rPr>
        <w:t>[1]</w:t>
      </w:r>
      <w:r>
        <w:rPr>
          <w:rFonts w:ascii="Times New Roman" w:hAnsi="Times New Roman" w:eastAsia="MS Mincho" w:cs="Times New Roman"/>
          <w:b/>
          <w:bCs/>
          <w:iCs/>
          <w:sz w:val="28"/>
          <w:szCs w:val="28"/>
          <w:lang w:val="en-GB"/>
        </w:rPr>
        <w:t>Draft Specification for Guide on Contingency Planning</w:t>
      </w:r>
    </w:p>
    <w:p w14:paraId="44CA695D" w14:textId="77777777">
      <w:pPr>
        <w:spacing w:before="60" w:after="60" w:line="276" w:lineRule="auto"/>
        <w:rPr>
          <w:rFonts w:ascii="Times New Roman" w:hAnsi="Times New Roman" w:eastAsia="Times" w:cs="Times New Roman"/>
          <w:b/>
          <w:bCs/>
          <w:lang w:val="en-CA" w:eastAsia="ja-JP"/>
        </w:rPr>
      </w:pPr>
      <w:r>
        <w:rPr>
          <w:rStyle w:val="PleaseReviewParagraphId"/>
          <w:b w:val="off"/>
          <w:i w:val="off"/>
        </w:rPr>
        <w:t>[2]</w:t>
      </w:r>
      <w:r>
        <w:rPr>
          <w:rFonts w:ascii="Times New Roman" w:hAnsi="Times New Roman" w:eastAsia="Times" w:cs="Times New Roman"/>
          <w:b/>
          <w:bCs/>
          <w:lang w:val="en-CA" w:eastAsia="ja-JP"/>
        </w:rPr>
        <w:t>Status box</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1"/>
        <w:gridCol w:w="6749"/>
      </w:tblGrid>
      <w:tr w14:paraId="39074C33" w14:textId="77777777">
        <w:trPr>
          <w:trHeight w:val="286"/>
        </w:trPr>
        <w:tc>
          <w:tcPr>
            <w:tcW w:w="9020" w:type="dxa"/>
            <w:gridSpan w:val="2"/>
          </w:tcPr>
          <w:p w14:paraId="2438FB24" w14:textId="77777777">
            <w:pPr>
              <w:spacing w:before="60" w:after="60" w:line="276" w:lineRule="auto"/>
              <w:rPr>
                <w:rFonts w:ascii="Arial" w:hAnsi="Arial" w:eastAsia="Times" w:cs="Arial"/>
                <w:sz w:val="18"/>
                <w:szCs w:val="18"/>
                <w:lang w:val="en-CA" w:eastAsia="ja-JP"/>
              </w:rPr>
            </w:pPr>
            <w:r>
              <w:rPr>
                <w:rStyle w:val="PleaseReviewParagraphId"/>
                <w:b w:val="off"/>
                <w:i w:val="off"/>
              </w:rPr>
              <w:t>[3]</w:t>
            </w:r>
            <w:r>
              <w:rPr>
                <w:rFonts w:ascii="Arial" w:hAnsi="Arial" w:eastAsia="Times" w:cs="Arial"/>
                <w:sz w:val="18"/>
                <w:szCs w:val="18"/>
                <w:lang w:val="en-CA" w:eastAsia="ja-JP"/>
              </w:rPr>
              <w:t>This status box is not an official part of the Guide and will be modified by the IPPC Secretariat</w:t>
            </w:r>
          </w:p>
        </w:tc>
      </w:tr>
      <w:tr w14:paraId="11BDFDF3" w14:textId="77777777">
        <w:trPr>
          <w:trHeight w:val="286"/>
        </w:trPr>
        <w:tc>
          <w:tcPr>
            <w:tcW w:w="2271" w:type="dxa"/>
          </w:tcPr>
          <w:p w14:paraId="68031C3D" w14:textId="77777777">
            <w:pPr>
              <w:spacing w:before="60" w:after="60" w:line="276" w:lineRule="auto"/>
              <w:rPr>
                <w:rFonts w:ascii="Arial" w:hAnsi="Arial" w:eastAsia="Times" w:cs="Arial"/>
                <w:b/>
                <w:bCs/>
                <w:sz w:val="18"/>
                <w:szCs w:val="18"/>
                <w:lang w:val="en-CA" w:eastAsia="ja-JP"/>
              </w:rPr>
            </w:pPr>
            <w:r>
              <w:rPr>
                <w:rStyle w:val="PleaseReviewParagraphId"/>
                <w:b w:val="off"/>
                <w:i w:val="off"/>
              </w:rPr>
              <w:t>[4]</w:t>
            </w:r>
            <w:r>
              <w:rPr>
                <w:rFonts w:ascii="Arial" w:hAnsi="Arial" w:eastAsia="Times" w:cs="Arial"/>
                <w:b/>
                <w:bCs/>
                <w:sz w:val="18"/>
                <w:szCs w:val="18"/>
                <w:lang w:val="en-CA" w:eastAsia="ja-JP"/>
              </w:rPr>
              <w:t>Topic number</w:t>
            </w:r>
          </w:p>
        </w:tc>
        <w:tc>
          <w:tcPr>
            <w:tcW w:w="6749" w:type="dxa"/>
          </w:tcPr>
          <w:p w14:paraId="5A5F3696" w14:textId="77CD00BE">
            <w:pPr>
              <w:spacing w:before="60" w:after="60" w:line="276" w:lineRule="auto"/>
              <w:rPr>
                <w:rFonts w:ascii="Arial" w:hAnsi="Arial" w:eastAsia="Times" w:cs="Arial"/>
                <w:sz w:val="18"/>
                <w:szCs w:val="18"/>
                <w:lang w:val="en-CA" w:eastAsia="ja-JP"/>
              </w:rPr>
            </w:pPr>
            <w:r>
              <w:rPr>
                <w:rStyle w:val="PleaseReviewParagraphId"/>
                <w:b w:val="off"/>
                <w:i w:val="off"/>
              </w:rPr>
              <w:t>[5]</w:t>
            </w:r>
            <w:r>
              <w:rPr>
                <w:rFonts w:ascii="Arial" w:hAnsi="Arial" w:eastAsia="Times" w:cs="Arial"/>
                <w:sz w:val="18"/>
                <w:szCs w:val="18"/>
                <w:lang w:val="en-CA" w:eastAsia="ja-JP"/>
              </w:rPr>
              <w:t>2019-012</w:t>
            </w:r>
          </w:p>
        </w:tc>
      </w:tr>
      <w:tr w14:paraId="4B78EEB0" w14:textId="77777777">
        <w:trPr>
          <w:trHeight w:val="286"/>
        </w:trPr>
        <w:tc>
          <w:tcPr>
            <w:tcW w:w="2271" w:type="dxa"/>
          </w:tcPr>
          <w:p w14:paraId="40C40481" w14:textId="77777777">
            <w:pPr>
              <w:spacing w:before="60" w:after="60" w:line="276" w:lineRule="auto"/>
              <w:rPr>
                <w:rFonts w:ascii="Arial" w:hAnsi="Arial" w:eastAsia="Times" w:cs="Arial"/>
                <w:b/>
                <w:bCs/>
                <w:sz w:val="18"/>
                <w:szCs w:val="18"/>
                <w:lang w:val="en-CA" w:eastAsia="ja-JP"/>
              </w:rPr>
            </w:pPr>
            <w:r>
              <w:rPr>
                <w:rStyle w:val="PleaseReviewParagraphId"/>
                <w:b w:val="off"/>
                <w:i w:val="off"/>
              </w:rPr>
              <w:t>[6]</w:t>
            </w:r>
            <w:r>
              <w:rPr>
                <w:rFonts w:ascii="Arial" w:hAnsi="Arial" w:eastAsia="Times" w:cs="Arial"/>
                <w:b/>
                <w:bCs/>
                <w:sz w:val="18"/>
                <w:szCs w:val="18"/>
                <w:lang w:val="en-CA" w:eastAsia="ja-JP"/>
              </w:rPr>
              <w:t>Title</w:t>
            </w:r>
          </w:p>
        </w:tc>
        <w:tc>
          <w:tcPr>
            <w:tcW w:w="6749" w:type="dxa"/>
          </w:tcPr>
          <w:p w14:paraId="3AEDAFAA" w14:textId="3BF724E9">
            <w:pPr>
              <w:spacing w:before="60" w:after="60" w:line="276" w:lineRule="auto"/>
              <w:rPr>
                <w:rFonts w:ascii="Arial" w:hAnsi="Arial" w:eastAsia="Times" w:cs="Arial"/>
                <w:sz w:val="18"/>
                <w:szCs w:val="18"/>
                <w:lang w:val="en-CA" w:eastAsia="ja-JP"/>
              </w:rPr>
            </w:pPr>
            <w:r>
              <w:rPr>
                <w:rStyle w:val="PleaseReviewParagraphId"/>
                <w:b w:val="off"/>
                <w:i w:val="off"/>
              </w:rPr>
              <w:t>[7]</w:t>
            </w:r>
            <w:r>
              <w:rPr>
                <w:rFonts w:ascii="Arial" w:hAnsi="Arial" w:eastAsia="Times" w:cs="Arial"/>
                <w:sz w:val="18"/>
                <w:szCs w:val="18"/>
                <w:lang w:val="en-CA" w:eastAsia="ja-JP"/>
              </w:rPr>
              <w:t>Guide on Contingency Planning</w:t>
            </w:r>
          </w:p>
        </w:tc>
      </w:tr>
      <w:tr w14:paraId="63FE1A8F" w14:textId="77777777">
        <w:trPr>
          <w:trHeight w:val="286"/>
        </w:trPr>
        <w:tc>
          <w:tcPr>
            <w:tcW w:w="2271" w:type="dxa"/>
          </w:tcPr>
          <w:p w14:paraId="7969BF49" w14:textId="77777777">
            <w:pPr>
              <w:spacing w:before="60" w:after="60" w:line="276" w:lineRule="auto"/>
              <w:rPr>
                <w:rFonts w:ascii="Arial" w:hAnsi="Arial" w:eastAsia="Times" w:cs="Arial"/>
                <w:b/>
                <w:bCs/>
                <w:sz w:val="18"/>
                <w:szCs w:val="18"/>
                <w:lang w:val="en-CA" w:eastAsia="ja-JP"/>
              </w:rPr>
            </w:pPr>
            <w:r>
              <w:rPr>
                <w:rStyle w:val="PleaseReviewParagraphId"/>
                <w:b w:val="off"/>
                <w:i w:val="off"/>
              </w:rPr>
              <w:t>[8]</w:t>
            </w:r>
            <w:r>
              <w:rPr>
                <w:rFonts w:ascii="Arial" w:hAnsi="Arial" w:eastAsia="Times" w:cs="Arial"/>
                <w:b/>
                <w:bCs/>
                <w:sz w:val="18"/>
                <w:szCs w:val="18"/>
                <w:lang w:val="en-CA" w:eastAsia="ja-JP"/>
              </w:rPr>
              <w:t>Type of implementation resource</w:t>
            </w:r>
          </w:p>
        </w:tc>
        <w:tc>
          <w:tcPr>
            <w:tcW w:w="6749" w:type="dxa"/>
          </w:tcPr>
          <w:p w14:paraId="68DC3C31" w14:textId="2F6144D4">
            <w:pPr>
              <w:spacing w:before="60" w:after="60" w:line="276" w:lineRule="auto"/>
              <w:rPr>
                <w:rFonts w:ascii="Arial" w:hAnsi="Arial" w:eastAsia="Times" w:cs="Arial"/>
                <w:sz w:val="18"/>
                <w:szCs w:val="18"/>
                <w:lang w:val="en-CA" w:eastAsia="ja-JP"/>
              </w:rPr>
            </w:pPr>
            <w:r>
              <w:rPr>
                <w:rStyle w:val="PleaseReviewParagraphId"/>
                <w:b w:val="off"/>
                <w:i w:val="off"/>
              </w:rPr>
              <w:t>[9]</w:t>
            </w:r>
            <w:r>
              <w:rPr>
                <w:rFonts w:ascii="Arial" w:hAnsi="Arial" w:eastAsia="Times" w:cs="Arial"/>
                <w:sz w:val="18"/>
                <w:szCs w:val="18"/>
                <w:lang w:val="en-CA" w:eastAsia="ja-JP"/>
              </w:rPr>
              <w:t>IPPC Guide</w:t>
            </w:r>
          </w:p>
        </w:tc>
      </w:tr>
      <w:tr w14:paraId="6F883E12" w14:textId="77777777">
        <w:trPr>
          <w:trHeight w:val="286"/>
        </w:trPr>
        <w:tc>
          <w:tcPr>
            <w:tcW w:w="2271" w:type="dxa"/>
          </w:tcPr>
          <w:p w14:paraId="264DDC55" w14:textId="77777777">
            <w:pPr>
              <w:spacing w:before="60" w:after="60" w:line="276" w:lineRule="auto"/>
              <w:rPr>
                <w:rFonts w:ascii="Arial" w:hAnsi="Arial" w:eastAsia="Times" w:cs="Arial"/>
                <w:b/>
                <w:bCs/>
                <w:sz w:val="18"/>
                <w:szCs w:val="18"/>
                <w:lang w:val="en-CA" w:eastAsia="ja-JP"/>
              </w:rPr>
            </w:pPr>
            <w:r>
              <w:rPr>
                <w:rStyle w:val="PleaseReviewParagraphId"/>
                <w:b w:val="off"/>
                <w:i w:val="off"/>
              </w:rPr>
              <w:t>[10]</w:t>
            </w:r>
            <w:r>
              <w:rPr>
                <w:rFonts w:ascii="Arial" w:hAnsi="Arial" w:eastAsia="Times" w:cs="Arial"/>
                <w:b/>
                <w:bCs/>
                <w:sz w:val="18"/>
                <w:szCs w:val="18"/>
                <w:lang w:val="en-CA" w:eastAsia="ja-JP"/>
              </w:rPr>
              <w:t>Date of this document</w:t>
            </w:r>
          </w:p>
        </w:tc>
        <w:tc>
          <w:tcPr>
            <w:tcW w:w="6749" w:type="dxa"/>
          </w:tcPr>
          <w:p w14:paraId="140A7070" w14:textId="23A61D6B">
            <w:pPr>
              <w:spacing w:before="60" w:after="60" w:line="276" w:lineRule="auto"/>
              <w:rPr>
                <w:rFonts w:ascii="Arial" w:hAnsi="Arial" w:eastAsia="Times" w:cs="Arial"/>
                <w:sz w:val="18"/>
                <w:szCs w:val="18"/>
                <w:lang w:val="en-CA" w:eastAsia="ja-JP"/>
              </w:rPr>
            </w:pPr>
            <w:r>
              <w:rPr>
                <w:rStyle w:val="PleaseReviewParagraphId"/>
                <w:b w:val="off"/>
                <w:i w:val="off"/>
              </w:rPr>
              <w:t>[11]</w:t>
            </w:r>
            <w:r>
              <w:rPr>
                <w:rFonts w:ascii="Arial" w:hAnsi="Arial" w:eastAsia="Times" w:cs="Arial"/>
                <w:sz w:val="18"/>
                <w:szCs w:val="18"/>
                <w:lang w:val="en-CA" w:eastAsia="ja-JP"/>
              </w:rPr>
              <w:t>2021-04-15</w:t>
            </w:r>
          </w:p>
        </w:tc>
      </w:tr>
      <w:tr w14:paraId="5936A8C0" w14:textId="77777777">
        <w:trPr>
          <w:trHeight w:val="299"/>
        </w:trPr>
        <w:tc>
          <w:tcPr>
            <w:tcW w:w="2271" w:type="dxa"/>
          </w:tcPr>
          <w:p w14:paraId="58C21A05" w14:textId="77777777">
            <w:pPr>
              <w:spacing w:before="60" w:after="60" w:line="276" w:lineRule="auto"/>
              <w:rPr>
                <w:rFonts w:ascii="Arial" w:hAnsi="Arial" w:eastAsia="Times" w:cs="Arial"/>
                <w:b/>
                <w:bCs/>
                <w:sz w:val="18"/>
                <w:szCs w:val="18"/>
                <w:lang w:val="en-CA" w:eastAsia="ja-JP"/>
              </w:rPr>
            </w:pPr>
            <w:r>
              <w:rPr>
                <w:rStyle w:val="PleaseReviewParagraphId"/>
                <w:b w:val="off"/>
                <w:i w:val="off"/>
              </w:rPr>
              <w:t>[12]</w:t>
            </w:r>
            <w:r>
              <w:rPr>
                <w:rFonts w:ascii="Arial" w:hAnsi="Arial" w:eastAsia="Times" w:cs="Arial"/>
                <w:b/>
                <w:bCs/>
                <w:sz w:val="18"/>
                <w:szCs w:val="18"/>
                <w:lang w:val="en-CA" w:eastAsia="ja-JP"/>
              </w:rPr>
              <w:t>Current document stage</w:t>
            </w:r>
          </w:p>
        </w:tc>
        <w:tc>
          <w:tcPr>
            <w:tcW w:w="6749" w:type="dxa"/>
          </w:tcPr>
          <w:p w14:paraId="296D17CC" w14:textId="77777777">
            <w:pPr>
              <w:spacing w:before="60" w:after="60" w:line="276" w:lineRule="auto"/>
              <w:rPr>
                <w:rFonts w:ascii="Arial" w:hAnsi="Arial" w:eastAsia="Times" w:cs="Arial"/>
                <w:sz w:val="18"/>
                <w:szCs w:val="18"/>
                <w:lang w:val="en-CA" w:eastAsia="ja-JP"/>
              </w:rPr>
            </w:pPr>
            <w:r>
              <w:rPr>
                <w:rStyle w:val="PleaseReviewParagraphId"/>
                <w:b w:val="off"/>
                <w:i w:val="off"/>
              </w:rPr>
              <w:t>[13]</w:t>
            </w:r>
            <w:r>
              <w:rPr>
                <w:rFonts w:ascii="Arial" w:hAnsi="Arial" w:eastAsia="Times" w:cs="Arial"/>
                <w:sz w:val="18"/>
                <w:szCs w:val="18"/>
                <w:lang w:val="en-CA" w:eastAsia="ja-JP"/>
              </w:rPr>
              <w:t>Draft Specification</w:t>
            </w:r>
          </w:p>
        </w:tc>
      </w:tr>
      <w:tr w14:paraId="2EABDDBD" w14:textId="77777777">
        <w:trPr>
          <w:trHeight w:val="491"/>
        </w:trPr>
        <w:tc>
          <w:tcPr>
            <w:tcW w:w="2271" w:type="dxa"/>
          </w:tcPr>
          <w:p w14:paraId="20F4BE12" w14:textId="77777777">
            <w:pPr>
              <w:spacing w:before="60" w:after="60" w:line="276" w:lineRule="auto"/>
              <w:rPr>
                <w:rFonts w:ascii="Arial" w:hAnsi="Arial" w:eastAsia="Times" w:cs="Arial"/>
                <w:b/>
                <w:bCs/>
                <w:sz w:val="18"/>
                <w:szCs w:val="18"/>
                <w:lang w:val="en-CA" w:eastAsia="ja-JP"/>
              </w:rPr>
            </w:pPr>
            <w:r>
              <w:rPr>
                <w:rStyle w:val="PleaseReviewParagraphId"/>
                <w:b w:val="off"/>
                <w:i w:val="off"/>
              </w:rPr>
              <w:t>[14]</w:t>
            </w:r>
            <w:r>
              <w:rPr>
                <w:rFonts w:ascii="Arial" w:hAnsi="Arial" w:eastAsia="Times" w:cs="Arial"/>
                <w:b/>
                <w:bCs/>
                <w:sz w:val="18"/>
                <w:szCs w:val="18"/>
                <w:lang w:val="en-CA" w:eastAsia="ja-JP"/>
              </w:rPr>
              <w:t>Major stages completed</w:t>
            </w:r>
          </w:p>
        </w:tc>
        <w:tc>
          <w:tcPr>
            <w:tcW w:w="6749" w:type="dxa"/>
          </w:tcPr>
          <w:p w14:paraId="6DF9EA3E" w14:textId="46356456">
            <w:pPr>
              <w:spacing w:after="60" w:line="276" w:lineRule="auto"/>
              <w:rPr>
                <w:rFonts w:ascii="Arial" w:hAnsi="Arial" w:eastAsia="Times" w:cs="Arial"/>
                <w:sz w:val="18"/>
                <w:szCs w:val="18"/>
                <w:lang w:val="en-CA" w:eastAsia="ja-JP"/>
              </w:rPr>
            </w:pPr>
            <w:r>
              <w:rPr>
                <w:rStyle w:val="PleaseReviewParagraphId"/>
                <w:b w:val="off"/>
                <w:i w:val="off"/>
              </w:rPr>
              <w:t>[15]</w:t>
            </w:r>
            <w:r>
              <w:rPr>
                <w:rFonts w:ascii="Arial" w:hAnsi="Arial" w:eastAsia="Times" w:cs="Arial"/>
                <w:b/>
                <w:sz w:val="18"/>
                <w:szCs w:val="18"/>
                <w:lang w:val="en-CA" w:eastAsia="ja-JP"/>
              </w:rPr>
              <w:t>2019-11:</w:t>
            </w:r>
            <w:r>
              <w:rPr>
                <w:rFonts w:ascii="Arial" w:hAnsi="Arial" w:eastAsia="Times" w:cs="Arial"/>
                <w:sz w:val="18"/>
                <w:szCs w:val="18"/>
                <w:lang w:val="en-CA" w:eastAsia="ja-JP"/>
              </w:rPr>
              <w:t xml:space="preserve"> Implementation and Capacity Development Committee (IC) recommends adding this topic to the  List of Implementation and Capacity Development (ICD) Topics; priority 1</w:t>
            </w:r>
          </w:p>
          <w:p w14:paraId="0CD3B4A3" w14:textId="5EF7A752">
            <w:pPr>
              <w:spacing w:after="60" w:line="276" w:lineRule="auto"/>
              <w:rPr>
                <w:rFonts w:ascii="Arial" w:hAnsi="Arial" w:eastAsia="Times" w:cs="Arial"/>
                <w:sz w:val="18"/>
                <w:szCs w:val="18"/>
                <w:lang w:val="en-CA" w:eastAsia="ja-JP"/>
              </w:rPr>
            </w:pPr>
            <w:r>
              <w:rPr>
                <w:rStyle w:val="PleaseReviewParagraphId"/>
                <w:b w:val="off"/>
                <w:i w:val="off"/>
              </w:rPr>
              <w:t>[16]</w:t>
            </w:r>
            <w:r>
              <w:rPr>
                <w:rFonts w:ascii="Arial" w:hAnsi="Arial" w:eastAsia="Times" w:cs="Arial"/>
                <w:b/>
                <w:sz w:val="18"/>
                <w:szCs w:val="18"/>
                <w:lang w:val="en-CA" w:eastAsia="ja-JP"/>
              </w:rPr>
              <w:t>2020-11:</w:t>
            </w:r>
            <w:r>
              <w:rPr>
                <w:rFonts w:ascii="Arial" w:hAnsi="Arial" w:eastAsia="Times" w:cs="Arial"/>
                <w:sz w:val="18"/>
                <w:szCs w:val="18"/>
                <w:lang w:val="en-CA" w:eastAsia="ja-JP"/>
              </w:rPr>
              <w:t xml:space="preserve"> IC lead identified (Olga LAVRENTJEVA)</w:t>
            </w:r>
          </w:p>
          <w:p w14:paraId="6288E0CE" w14:textId="278E013C">
            <w:pPr>
              <w:spacing w:after="60" w:line="276" w:lineRule="auto"/>
              <w:rPr>
                <w:rFonts w:ascii="Arial" w:hAnsi="Arial" w:eastAsia="Times" w:cs="Arial"/>
                <w:sz w:val="18"/>
                <w:szCs w:val="18"/>
                <w:lang w:val="en-CA" w:eastAsia="ja-JP"/>
              </w:rPr>
            </w:pPr>
            <w:r>
              <w:rPr>
                <w:rStyle w:val="PleaseReviewParagraphId"/>
                <w:b w:val="off"/>
                <w:i w:val="off"/>
              </w:rPr>
              <w:t>[17]</w:t>
            </w:r>
            <w:r>
              <w:rPr>
                <w:rFonts w:ascii="Arial" w:hAnsi="Arial" w:eastAsia="Times" w:cs="Arial"/>
                <w:b/>
                <w:sz w:val="18"/>
                <w:szCs w:val="18"/>
                <w:lang w:val="en-CA" w:eastAsia="ja-JP"/>
              </w:rPr>
              <w:t>2021-03:</w:t>
            </w:r>
            <w:r>
              <w:rPr>
                <w:rFonts w:ascii="Arial" w:hAnsi="Arial" w:eastAsia="Times" w:cs="Arial"/>
                <w:sz w:val="18"/>
                <w:szCs w:val="18"/>
                <w:lang w:val="en-CA" w:eastAsia="ja-JP"/>
              </w:rPr>
              <w:t xml:space="preserve"> CPM-15 added this topic to List ICD Topics; priority 1</w:t>
            </w:r>
          </w:p>
          <w:p w14:paraId="7E982AB8" w14:textId="36A14ED1">
            <w:pPr>
              <w:spacing w:after="60" w:line="276" w:lineRule="auto"/>
              <w:rPr>
                <w:rFonts w:ascii="Arial" w:hAnsi="Arial" w:eastAsia="Times" w:cs="Arial"/>
                <w:sz w:val="18"/>
                <w:szCs w:val="18"/>
                <w:lang w:val="en-CA" w:eastAsia="ja-JP"/>
              </w:rPr>
            </w:pPr>
            <w:r>
              <w:rPr>
                <w:rStyle w:val="PleaseReviewParagraphId"/>
                <w:b w:val="off"/>
                <w:i w:val="off"/>
              </w:rPr>
              <w:t>[18]</w:t>
            </w:r>
            <w:r>
              <w:rPr>
                <w:rFonts w:ascii="Arial" w:hAnsi="Arial" w:eastAsia="Times" w:cs="Arial"/>
                <w:b/>
                <w:sz w:val="18"/>
                <w:szCs w:val="18"/>
                <w:lang w:val="en-CA" w:eastAsia="ja-JP"/>
              </w:rPr>
              <w:t>2021-04:</w:t>
            </w:r>
            <w:r>
              <w:rPr>
                <w:rFonts w:ascii="Arial" w:hAnsi="Arial" w:eastAsia="Times" w:cs="Arial"/>
                <w:sz w:val="18"/>
                <w:szCs w:val="18"/>
                <w:lang w:val="en-CA" w:eastAsia="ja-JP"/>
              </w:rPr>
              <w:t xml:space="preserve"> IC review of draft Specification </w:t>
            </w:r>
          </w:p>
        </w:tc>
      </w:tr>
      <w:tr w14:paraId="13B88640" w14:textId="77777777">
        <w:trPr>
          <w:trHeight w:val="491"/>
        </w:trPr>
        <w:tc>
          <w:tcPr>
            <w:tcW w:w="2271" w:type="dxa"/>
          </w:tcPr>
          <w:p w14:paraId="1266701C" w14:textId="77777777">
            <w:pPr>
              <w:spacing w:before="60" w:after="60" w:line="276" w:lineRule="auto"/>
              <w:rPr>
                <w:rFonts w:ascii="Arial" w:hAnsi="Arial" w:eastAsia="Times" w:cs="Arial"/>
                <w:b/>
                <w:bCs/>
                <w:sz w:val="18"/>
                <w:szCs w:val="18"/>
                <w:lang w:val="en-CA" w:eastAsia="ja-JP"/>
              </w:rPr>
            </w:pPr>
            <w:r>
              <w:rPr>
                <w:rStyle w:val="PleaseReviewParagraphId"/>
                <w:b w:val="off"/>
                <w:i w:val="off"/>
              </w:rPr>
              <w:t>[19]</w:t>
            </w:r>
            <w:r>
              <w:rPr>
                <w:rFonts w:ascii="Arial" w:hAnsi="Arial" w:eastAsia="Times" w:cs="Arial"/>
                <w:b/>
                <w:bCs/>
                <w:sz w:val="18"/>
                <w:szCs w:val="18"/>
                <w:lang w:val="en-CA" w:eastAsia="ja-JP"/>
              </w:rPr>
              <w:t>Implementation and Capacity Development Committee (IC) lead</w:t>
            </w:r>
          </w:p>
        </w:tc>
        <w:tc>
          <w:tcPr>
            <w:tcW w:w="6749" w:type="dxa"/>
          </w:tcPr>
          <w:p w14:paraId="7EE78A7B" w14:textId="0CCBA6CC">
            <w:pPr>
              <w:spacing w:before="60" w:after="60" w:line="276" w:lineRule="auto"/>
              <w:rPr>
                <w:rFonts w:ascii="Arial" w:hAnsi="Arial" w:eastAsia="Times" w:cs="Arial"/>
                <w:sz w:val="18"/>
                <w:szCs w:val="18"/>
                <w:lang w:val="en-CA" w:eastAsia="ja-JP"/>
              </w:rPr>
            </w:pPr>
            <w:r>
              <w:rPr>
                <w:rStyle w:val="PleaseReviewParagraphId"/>
                <w:b w:val="off"/>
                <w:i w:val="off"/>
              </w:rPr>
              <w:t>[20]</w:t>
            </w:r>
            <w:r>
              <w:rPr>
                <w:rFonts w:ascii="Arial" w:hAnsi="Arial" w:eastAsia="Times" w:cs="Arial"/>
                <w:b/>
                <w:sz w:val="18"/>
                <w:szCs w:val="18"/>
                <w:lang w:val="en-CA" w:eastAsia="ja-JP"/>
              </w:rPr>
              <w:t>2020</w:t>
            </w:r>
            <w:r>
              <w:rPr>
                <w:rFonts w:ascii="Arial" w:hAnsi="Arial" w:eastAsia="Times" w:cs="Arial"/>
                <w:b/>
                <w:color w:val="000000"/>
                <w:sz w:val="18"/>
                <w:szCs w:val="18"/>
                <w:lang w:val="en-CA" w:eastAsia="ja-JP"/>
              </w:rPr>
              <w:t>-11:</w:t>
            </w:r>
            <w:r>
              <w:rPr>
                <w:rFonts w:ascii="Arial" w:hAnsi="Arial" w:eastAsia="Times" w:cs="Arial"/>
                <w:color w:val="000000"/>
                <w:sz w:val="18"/>
                <w:szCs w:val="18"/>
                <w:lang w:val="en-CA" w:eastAsia="ja-JP"/>
              </w:rPr>
              <w:t xml:space="preserve">  </w:t>
            </w:r>
            <w:r>
              <w:rPr>
                <w:rFonts w:ascii="Arial" w:hAnsi="Arial" w:eastAsia="Times" w:cs="Arial"/>
                <w:sz w:val="18"/>
                <w:szCs w:val="18"/>
                <w:lang w:val="en-CA" w:eastAsia="ja-JP"/>
              </w:rPr>
              <w:t xml:space="preserve"> Olga LAVRENTJEVA</w:t>
            </w:r>
          </w:p>
        </w:tc>
      </w:tr>
      <w:tr w14:paraId="13045522" w14:textId="77777777">
        <w:trPr>
          <w:trHeight w:val="491"/>
        </w:trPr>
        <w:tc>
          <w:tcPr>
            <w:tcW w:w="2271" w:type="dxa"/>
          </w:tcPr>
          <w:p w14:paraId="2902F894" w14:textId="77777777">
            <w:pPr>
              <w:spacing w:before="60" w:after="60" w:line="276" w:lineRule="auto"/>
              <w:rPr>
                <w:rFonts w:ascii="Arial" w:hAnsi="Arial" w:eastAsia="Times" w:cs="Arial"/>
                <w:b/>
                <w:bCs/>
                <w:sz w:val="18"/>
                <w:szCs w:val="18"/>
                <w:lang w:val="en-CA" w:eastAsia="ja-JP"/>
              </w:rPr>
            </w:pPr>
            <w:r>
              <w:rPr>
                <w:rStyle w:val="PleaseReviewParagraphId"/>
                <w:b w:val="off"/>
                <w:i w:val="off"/>
              </w:rPr>
              <w:t>[21]</w:t>
            </w:r>
            <w:r>
              <w:rPr>
                <w:rFonts w:ascii="Arial" w:hAnsi="Arial" w:eastAsia="Times" w:cs="Arial"/>
                <w:b/>
                <w:bCs/>
                <w:sz w:val="18"/>
                <w:szCs w:val="18"/>
                <w:lang w:val="en-CA" w:eastAsia="ja-JP"/>
              </w:rPr>
              <w:t>IPPC Secretariat lead</w:t>
            </w:r>
          </w:p>
        </w:tc>
        <w:tc>
          <w:tcPr>
            <w:tcW w:w="6749" w:type="dxa"/>
          </w:tcPr>
          <w:p w14:paraId="72070980" w14:textId="557622BB">
            <w:pPr>
              <w:spacing w:before="60" w:after="60" w:line="276" w:lineRule="auto"/>
              <w:rPr>
                <w:rFonts w:ascii="Arial" w:hAnsi="Arial" w:eastAsia="Times" w:cs="Arial"/>
                <w:sz w:val="18"/>
                <w:szCs w:val="18"/>
                <w:lang w:val="en-CA" w:eastAsia="ja-JP"/>
              </w:rPr>
            </w:pPr>
            <w:r>
              <w:rPr>
                <w:rStyle w:val="PleaseReviewParagraphId"/>
                <w:b w:val="off"/>
                <w:i w:val="off"/>
              </w:rPr>
              <w:t>[22]</w:t>
            </w:r>
            <w:r>
              <w:rPr>
                <w:rFonts w:ascii="Arial" w:hAnsi="Arial" w:eastAsia="Times" w:cs="Arial"/>
                <w:b/>
                <w:bCs/>
                <w:sz w:val="18"/>
                <w:szCs w:val="18"/>
                <w:lang w:val="en-CA" w:eastAsia="ja-JP"/>
              </w:rPr>
              <w:t>2021-02</w:t>
            </w:r>
            <w:r>
              <w:rPr>
                <w:rFonts w:ascii="Arial" w:hAnsi="Arial" w:eastAsia="Times" w:cs="Arial"/>
                <w:sz w:val="18"/>
                <w:szCs w:val="18"/>
                <w:lang w:val="en-CA" w:eastAsia="ja-JP"/>
              </w:rPr>
              <w:t>: Sarah BRUNEL</w:t>
            </w:r>
          </w:p>
        </w:tc>
      </w:tr>
      <w:tr w14:paraId="29AAB548" w14:textId="77777777">
        <w:trPr>
          <w:trHeight w:val="491"/>
        </w:trPr>
        <w:tc>
          <w:tcPr>
            <w:tcW w:w="2271" w:type="dxa"/>
            <w:tcBorders>
              <w:bottom w:val="single" w:color="7F7F7F" w:themeColor="text1" w:themeTint="80" w:sz="2" w:space="0"/>
            </w:tcBorders>
          </w:tcPr>
          <w:p w14:paraId="2842C6E7" w14:textId="77777777">
            <w:pPr>
              <w:spacing w:before="60" w:after="60" w:line="276" w:lineRule="auto"/>
              <w:rPr>
                <w:rFonts w:ascii="Arial" w:hAnsi="Arial" w:eastAsia="Times" w:cs="Arial"/>
                <w:b/>
                <w:bCs/>
                <w:sz w:val="18"/>
                <w:szCs w:val="18"/>
                <w:lang w:val="en-CA" w:eastAsia="ja-JP"/>
              </w:rPr>
            </w:pPr>
            <w:r>
              <w:rPr>
                <w:rStyle w:val="PleaseReviewParagraphId"/>
                <w:b w:val="off"/>
                <w:i w:val="off"/>
              </w:rPr>
              <w:t>[23]</w:t>
            </w:r>
            <w:r>
              <w:rPr>
                <w:rFonts w:ascii="Arial" w:hAnsi="Arial" w:eastAsia="Times" w:cs="Arial"/>
                <w:b/>
                <w:bCs/>
                <w:sz w:val="18"/>
                <w:szCs w:val="18"/>
                <w:lang w:val="en-CA" w:eastAsia="ja-JP"/>
              </w:rPr>
              <w:t xml:space="preserve">Working Group experts </w:t>
            </w:r>
          </w:p>
        </w:tc>
        <w:tc>
          <w:tcPr>
            <w:tcW w:w="6749" w:type="dxa"/>
            <w:tcBorders>
              <w:bottom w:val="single" w:color="7F7F7F" w:themeColor="text1" w:themeTint="80" w:sz="2" w:space="0"/>
            </w:tcBorders>
          </w:tcPr>
          <w:p w14:paraId="24D565AF" w14:textId="77777777">
            <w:pPr>
              <w:spacing w:before="60" w:after="60" w:line="276" w:lineRule="auto"/>
              <w:rPr>
                <w:rFonts w:ascii="Arial" w:hAnsi="Arial" w:eastAsia="Times" w:cs="Arial"/>
                <w:sz w:val="18"/>
                <w:szCs w:val="18"/>
                <w:lang w:val="en-CA" w:eastAsia="ja-JP"/>
              </w:rPr>
            </w:pPr>
            <w:r>
              <w:rPr>
                <w:rStyle w:val="PleaseReviewParagraphId"/>
                <w:b w:val="off"/>
                <w:i w:val="off"/>
              </w:rPr>
              <w:t>[24]</w:t>
            </w:r>
          </w:p>
        </w:tc>
      </w:tr>
      <w:tr w14:paraId="511C98B6" w14:textId="77777777">
        <w:trPr>
          <w:trHeight w:val="491"/>
        </w:trPr>
        <w:tc>
          <w:tcPr>
            <w:tcW w:w="2271" w:type="dxa"/>
            <w:tcBorders>
              <w:bottom w:val="single" w:color="auto" w:sz="4" w:space="0"/>
            </w:tcBorders>
          </w:tcPr>
          <w:p w14:paraId="14F9424E" w14:textId="77777777">
            <w:pPr>
              <w:spacing w:before="60" w:after="60" w:line="276" w:lineRule="auto"/>
              <w:rPr>
                <w:rFonts w:ascii="Arial" w:hAnsi="Arial" w:eastAsia="Times" w:cs="Arial"/>
                <w:b/>
                <w:bCs/>
                <w:sz w:val="18"/>
                <w:szCs w:val="18"/>
                <w:lang w:val="en-CA" w:eastAsia="ja-JP"/>
              </w:rPr>
            </w:pPr>
            <w:r>
              <w:rPr>
                <w:rStyle w:val="PleaseReviewParagraphId"/>
                <w:b w:val="off"/>
                <w:i w:val="off"/>
              </w:rPr>
              <w:t>[25]</w:t>
            </w:r>
            <w:r>
              <w:rPr>
                <w:rFonts w:ascii="Arial" w:hAnsi="Arial" w:eastAsia="Times" w:cs="Arial"/>
                <w:b/>
                <w:bCs/>
                <w:sz w:val="18"/>
                <w:szCs w:val="18"/>
                <w:lang w:val="en-CA" w:eastAsia="ja-JP"/>
              </w:rPr>
              <w:t>Notes</w:t>
            </w:r>
          </w:p>
        </w:tc>
        <w:tc>
          <w:tcPr>
            <w:tcW w:w="6749" w:type="dxa"/>
            <w:tcBorders>
              <w:bottom w:val="single" w:color="auto" w:sz="4" w:space="0"/>
            </w:tcBorders>
          </w:tcPr>
          <w:p w14:paraId="39717830" w14:textId="77777777">
            <w:pPr>
              <w:spacing w:after="180" w:line="276" w:lineRule="auto"/>
              <w:rPr>
                <w:rFonts w:ascii="Arial" w:hAnsi="Arial" w:eastAsia="Times" w:cs="Arial"/>
                <w:sz w:val="18"/>
                <w:szCs w:val="18"/>
                <w:lang w:val="en-CA" w:eastAsia="ja-JP"/>
              </w:rPr>
            </w:pPr>
            <w:r>
              <w:rPr>
                <w:rStyle w:val="PleaseReviewParagraphId"/>
                <w:b w:val="off"/>
                <w:i w:val="off"/>
              </w:rPr>
              <w:t>[26]</w:t>
            </w:r>
          </w:p>
        </w:tc>
      </w:tr>
    </w:tbl>
    <w:p w14:paraId="220CD80A" w14:textId="77777777">
      <w:pPr>
        <w:spacing w:after="0" w:line="240" w:lineRule="auto"/>
        <w:rPr>
          <w:rFonts w:ascii="Times New Roman" w:hAnsi="Times New Roman" w:eastAsia="MS Mincho" w:cs="Times New Roman"/>
          <w:bCs/>
          <w:iCs/>
          <w:lang w:val="en-GB" w:eastAsia="ja-JP"/>
        </w:rPr>
      </w:pPr>
      <w:r>
        <w:rPr>
          <w:rStyle w:val="PleaseReviewParagraphId"/>
          <w:b w:val="off"/>
          <w:i w:val="off"/>
        </w:rPr>
        <w:t>[27]</w:t>
      </w:r>
      <w:r>
        <w:rPr>
          <w:rFonts w:ascii="Times New Roman" w:hAnsi="Times New Roman" w:eastAsia="MS Mincho" w:cs="Times New Roman"/>
          <w:bCs/>
          <w:iCs/>
          <w:lang w:val="en-GB" w:eastAsia="ja-JP"/>
        </w:rPr>
        <w:br w:type="page"/>
      </w:r>
    </w:p>
    <w:p w14:paraId="61C8B765" w14:textId="00B35C07">
      <w:pPr>
        <w:keepNext/>
        <w:tabs>
          <w:tab w:val="left" w:pos="567"/>
        </w:tabs>
        <w:spacing w:before="240" w:after="120" w:line="276" w:lineRule="auto"/>
        <w:ind w:left="567" w:hanging="567"/>
        <w:outlineLvl w:val="1"/>
        <w:rPr>
          <w:rFonts w:ascii="Times New Roman" w:hAnsi="Times New Roman" w:eastAsia="Times" w:cs="Times New Roman"/>
          <w:b/>
          <w:szCs w:val="24"/>
          <w:lang w:val="en-US"/>
        </w:rPr>
      </w:pPr>
      <w:r>
        <w:rPr>
          <w:rStyle w:val="PleaseReviewParagraphId"/>
          <w:b w:val="off"/>
          <w:i w:val="off"/>
        </w:rPr>
        <w:t>[28]</w:t>
      </w:r>
      <w:r>
        <w:rPr>
          <w:rFonts w:ascii="Times New Roman" w:hAnsi="Times New Roman" w:eastAsia="Times" w:cs="Times New Roman"/>
          <w:b/>
          <w:szCs w:val="24"/>
          <w:lang w:val="en-US"/>
        </w:rPr>
        <w:lastRenderedPageBreak/>
        <w:t>1. Title</w:t>
      </w:r>
    </w:p>
    <w:p w14:paraId="6C308DA2" w14:textId="02FC181C">
      <w:pPr>
        <w:keepNext/>
        <w:tabs>
          <w:tab w:val="left" w:pos="567"/>
        </w:tabs>
        <w:spacing w:before="240" w:after="120" w:line="276" w:lineRule="auto"/>
        <w:ind w:left="567" w:hanging="567"/>
        <w:outlineLvl w:val="1"/>
        <w:rPr>
          <w:rFonts w:ascii="Times New Roman" w:hAnsi="Times New Roman" w:eastAsia="MS Mincho" w:cs="Times New Roman"/>
          <w:lang w:val="en-GB"/>
        </w:rPr>
      </w:pPr>
      <w:r>
        <w:rPr>
          <w:rStyle w:val="PleaseReviewParagraphId"/>
          <w:b w:val="off"/>
          <w:i w:val="off"/>
        </w:rPr>
        <w:t>[29]</w:t>
      </w:r>
      <w:r>
        <w:rPr>
          <w:rFonts w:ascii="Calibri" w:hAnsi="Calibri" w:eastAsia="Times" w:cs="Arial"/>
          <w:b/>
          <w:bCs/>
          <w:sz w:val="24"/>
          <w:szCs w:val="24"/>
          <w:lang w:val="en-US"/>
        </w:rPr>
        <w:t xml:space="preserve"> </w:t>
      </w:r>
      <w:r>
        <w:rPr>
          <w:rFonts w:ascii="Times New Roman" w:hAnsi="Times New Roman" w:eastAsia="MS Mincho" w:cs="Times New Roman"/>
          <w:lang w:val="en-GB"/>
        </w:rPr>
        <w:t>Guide on Contingency Planning (2019-012)</w:t>
      </w:r>
    </w:p>
    <w:p w14:paraId="1DB667EE" w14:textId="77777777">
      <w:pPr>
        <w:keepNext/>
        <w:tabs>
          <w:tab w:val="left" w:pos="567"/>
        </w:tabs>
        <w:spacing w:before="240" w:after="120" w:line="276" w:lineRule="auto"/>
        <w:ind w:left="567" w:hanging="567"/>
        <w:outlineLvl w:val="1"/>
        <w:rPr>
          <w:rFonts w:ascii="Times New Roman" w:hAnsi="Times New Roman" w:eastAsia="Times" w:cs="Times New Roman"/>
          <w:szCs w:val="24"/>
          <w:lang w:val="en-US"/>
        </w:rPr>
      </w:pPr>
      <w:r>
        <w:rPr>
          <w:rStyle w:val="PleaseReviewParagraphId"/>
          <w:b w:val="off"/>
          <w:i w:val="off"/>
        </w:rPr>
        <w:t>[30]</w:t>
      </w:r>
      <w:r>
        <w:rPr>
          <w:rFonts w:ascii="Times New Roman" w:hAnsi="Times New Roman" w:eastAsia="Times" w:cs="Times New Roman"/>
          <w:b/>
          <w:szCs w:val="24"/>
          <w:lang w:val="en-US"/>
        </w:rPr>
        <w:t>2. Type of implementation resource</w:t>
      </w:r>
    </w:p>
    <w:p w14:paraId="79BDD479" w14:textId="46A11B69">
      <w:pPr>
        <w:tabs>
          <w:tab w:val="left" w:pos="720"/>
        </w:tabs>
        <w:spacing w:after="180" w:line="276" w:lineRule="auto"/>
        <w:rPr>
          <w:rFonts w:ascii="Times New Roman" w:hAnsi="Times New Roman" w:eastAsia="MS Mincho" w:cs="Times New Roman"/>
          <w:lang w:val="en-GB"/>
        </w:rPr>
      </w:pPr>
      <w:r>
        <w:rPr>
          <w:rStyle w:val="PleaseReviewParagraphId"/>
          <w:b w:val="off"/>
          <w:i w:val="off"/>
        </w:rPr>
        <w:t>[31]</w:t>
      </w:r>
      <w:r>
        <w:rPr>
          <w:rFonts w:ascii="Times New Roman" w:hAnsi="Times New Roman" w:eastAsia="MS Mincho" w:cs="Times New Roman"/>
          <w:lang w:val="en-GB"/>
        </w:rPr>
        <w:t>IPPC Guide</w:t>
      </w:r>
    </w:p>
    <w:p w14:paraId="028D1CF2" w14:textId="77777777">
      <w:pPr>
        <w:keepNext/>
        <w:tabs>
          <w:tab w:val="left" w:pos="567"/>
        </w:tabs>
        <w:spacing w:before="240" w:after="120" w:line="276" w:lineRule="auto"/>
        <w:ind w:left="567" w:hanging="567"/>
        <w:outlineLvl w:val="1"/>
        <w:rPr>
          <w:rFonts w:ascii="Times New Roman" w:hAnsi="Times New Roman" w:eastAsia="Times" w:cs="Times New Roman"/>
          <w:szCs w:val="24"/>
          <w:lang w:val="en-US"/>
        </w:rPr>
      </w:pPr>
      <w:r>
        <w:rPr>
          <w:rStyle w:val="PleaseReviewParagraphId"/>
          <w:b w:val="off"/>
          <w:i w:val="off"/>
        </w:rPr>
        <w:t>[32]</w:t>
      </w:r>
      <w:r>
        <w:rPr>
          <w:rFonts w:ascii="Times New Roman" w:hAnsi="Times New Roman" w:eastAsia="Times" w:cs="Times New Roman"/>
          <w:b/>
          <w:szCs w:val="24"/>
          <w:lang w:val="en-US"/>
        </w:rPr>
        <w:t>3. Convention articles, ISPMs and CPM recommendations to be addressed by the proposed implementation resource</w:t>
      </w:r>
    </w:p>
    <w:p w14:paraId="7A9C3478" w14:textId="77777777">
      <w:pPr>
        <w:spacing w:after="180" w:line="276" w:lineRule="auto"/>
        <w:rPr>
          <w:rFonts w:ascii="Times New Roman" w:hAnsi="Times New Roman" w:eastAsia="MS Mincho" w:cs="Times New Roman"/>
          <w:bCs/>
          <w:iCs/>
          <w:lang w:val="en-US"/>
        </w:rPr>
      </w:pPr>
      <w:r>
        <w:rPr>
          <w:rStyle w:val="PleaseReviewParagraphId"/>
          <w:b w:val="off"/>
          <w:i w:val="off"/>
        </w:rPr>
        <w:t>[33]</w:t>
      </w:r>
      <w:r>
        <w:rPr>
          <w:rFonts w:ascii="Times New Roman" w:hAnsi="Times New Roman" w:eastAsia="Times" w:cs="Times New Roman"/>
          <w:lang w:val="en-US"/>
        </w:rPr>
        <w:t>International Plant Protection Convention</w:t>
      </w:r>
      <w:r>
        <w:rPr>
          <w:rFonts w:ascii="Times New Roman" w:hAnsi="Times New Roman" w:eastAsia="MS Mincho" w:cs="Times New Roman"/>
          <w:bCs/>
          <w:iCs/>
          <w:color w:val="0000FF"/>
          <w:u w:val="single"/>
          <w:vertAlign w:val="superscript"/>
          <w:lang w:val="en-US"/>
        </w:rPr>
        <w:footnoteReference w:id="1"/>
      </w:r>
      <w:r>
        <w:rPr>
          <w:rFonts w:ascii="Times New Roman" w:hAnsi="Times New Roman" w:eastAsia="MS Mincho" w:cs="Times New Roman"/>
          <w:bCs/>
          <w:iCs/>
          <w:lang w:val="en-US"/>
        </w:rPr>
        <w:t xml:space="preserve"> (Article IV. 2. (e). </w:t>
      </w:r>
    </w:p>
    <w:p w14:paraId="5595E784" w14:textId="77777777">
      <w:pPr>
        <w:spacing w:after="120" w:line="276" w:lineRule="auto"/>
        <w:rPr>
          <w:rFonts w:ascii="Times New Roman" w:hAnsi="Times New Roman" w:eastAsia="Times" w:cs="Times New Roman"/>
          <w:lang w:val="en-US"/>
        </w:rPr>
      </w:pPr>
      <w:r>
        <w:rPr>
          <w:rStyle w:val="PleaseReviewParagraphId"/>
          <w:b w:val="off"/>
          <w:i w:val="off"/>
        </w:rPr>
        <w:t>[35]</w:t>
      </w:r>
      <w:r>
        <w:rPr>
          <w:rFonts w:ascii="Times New Roman" w:hAnsi="Times New Roman" w:eastAsia="Times" w:cs="Times New Roman"/>
          <w:lang w:val="en-US"/>
        </w:rPr>
        <w:t>ISPM 4: Requirements for the establishment of pest free areas</w:t>
      </w:r>
      <w:r>
        <w:rPr>
          <w:rFonts w:ascii="Times New Roman" w:hAnsi="Times New Roman" w:eastAsia="Times" w:cs="Times New Roman"/>
          <w:vertAlign w:val="superscript"/>
          <w:lang w:val="en-US"/>
        </w:rPr>
        <w:footnoteReference w:id="2"/>
      </w:r>
    </w:p>
    <w:p w14:paraId="72DF9089" w14:textId="77777777">
      <w:pPr>
        <w:shd w:val="clear" w:color="auto" w:fill="FFFFFF"/>
        <w:spacing w:after="120" w:line="240" w:lineRule="auto"/>
        <w:rPr>
          <w:rFonts w:ascii="Times New Roman" w:hAnsi="Times New Roman" w:eastAsia="Times New Roman" w:cs="Times New Roman"/>
          <w:color w:val="1B1E24"/>
          <w:lang w:val="en-US"/>
        </w:rPr>
      </w:pPr>
      <w:r>
        <w:rPr>
          <w:rStyle w:val="PleaseReviewParagraphId"/>
          <w:b w:val="off"/>
          <w:i w:val="off"/>
        </w:rPr>
        <w:t>[37]</w:t>
      </w:r>
      <w:hyperlink w:history="1" r:id="rId7">
        <w:r>
          <w:rPr>
            <w:rFonts w:ascii="Times New Roman" w:hAnsi="Times New Roman" w:eastAsia="Times" w:cs="Times New Roman"/>
            <w:lang w:val="en-US"/>
          </w:rPr>
          <w:t xml:space="preserve">ISPM 6: </w:t>
        </w:r>
      </w:hyperlink>
      <w:r>
        <w:rPr>
          <w:rFonts w:ascii="Times New Roman" w:hAnsi="Times New Roman" w:eastAsia="Times" w:cs="Times New Roman"/>
          <w:lang w:val="en-US"/>
        </w:rPr>
        <w:t>Surveillance</w:t>
      </w:r>
      <w:r>
        <w:rPr>
          <w:rFonts w:ascii="Times New Roman" w:hAnsi="Times New Roman" w:eastAsia="Times" w:cs="Times New Roman"/>
          <w:vertAlign w:val="superscript"/>
          <w:lang w:val="en-US"/>
        </w:rPr>
        <w:footnoteReference w:id="3"/>
      </w:r>
      <w:r>
        <w:rPr>
          <w:rFonts w:ascii="Times New Roman" w:hAnsi="Times New Roman" w:eastAsia="MS Mincho" w:cs="Times New Roman"/>
          <w:color w:val="1B1E24"/>
          <w:lang w:val="en-CA" w:eastAsia="ja-JP"/>
        </w:rPr>
        <w:t xml:space="preserve"> </w:t>
      </w:r>
    </w:p>
    <w:p w14:paraId="05B8D2F5" w14:textId="77777777">
      <w:pPr>
        <w:spacing w:after="120" w:line="276" w:lineRule="auto"/>
        <w:rPr>
          <w:rFonts w:ascii="Times New Roman" w:hAnsi="Times New Roman" w:eastAsia="Times" w:cs="Times New Roman"/>
          <w:lang w:val="en-US"/>
        </w:rPr>
      </w:pPr>
      <w:r>
        <w:rPr>
          <w:rStyle w:val="PleaseReviewParagraphId"/>
          <w:b w:val="off"/>
          <w:i w:val="off"/>
        </w:rPr>
        <w:t>[39]</w:t>
      </w:r>
      <w:r>
        <w:rPr>
          <w:rFonts w:ascii="Times New Roman" w:hAnsi="Times New Roman" w:eastAsia="Times" w:cs="Times New Roman"/>
          <w:lang w:val="en-US"/>
        </w:rPr>
        <w:t>ISPM 8: Determination of pest status in an area</w:t>
      </w:r>
      <w:r>
        <w:rPr>
          <w:rFonts w:ascii="Times New Roman" w:hAnsi="Times New Roman" w:eastAsia="Times" w:cs="Times New Roman"/>
          <w:vertAlign w:val="superscript"/>
          <w:lang w:val="en-US"/>
        </w:rPr>
        <w:footnoteReference w:id="4"/>
      </w:r>
      <w:r>
        <w:rPr>
          <w:rFonts w:ascii="Times New Roman" w:hAnsi="Times New Roman" w:eastAsia="Times" w:cs="Times New Roman"/>
          <w:lang w:val="en-US"/>
        </w:rPr>
        <w:t xml:space="preserve"> </w:t>
      </w:r>
    </w:p>
    <w:p w14:paraId="1E81A5CC" w14:textId="77777777">
      <w:pPr>
        <w:spacing w:after="120" w:line="276" w:lineRule="auto"/>
        <w:rPr>
          <w:rFonts w:ascii="Times New Roman" w:hAnsi="Times New Roman" w:eastAsia="Times" w:cs="Times New Roman"/>
          <w:lang w:val="en-US"/>
        </w:rPr>
      </w:pPr>
      <w:r>
        <w:rPr>
          <w:rStyle w:val="PleaseReviewParagraphId"/>
          <w:b w:val="off"/>
          <w:i w:val="off"/>
        </w:rPr>
        <w:t>[41]</w:t>
      </w:r>
      <w:r>
        <w:rPr>
          <w:rFonts w:ascii="Times New Roman" w:hAnsi="Times New Roman" w:eastAsia="Times" w:cs="Times New Roman"/>
          <w:lang w:val="en-US"/>
        </w:rPr>
        <w:t>ISPM 9: Guidelines for Pest eradication programmes</w:t>
      </w:r>
      <w:r>
        <w:rPr>
          <w:rFonts w:ascii="Times New Roman" w:hAnsi="Times New Roman" w:eastAsia="Times" w:cs="Times New Roman"/>
          <w:vertAlign w:val="superscript"/>
          <w:lang w:val="en-US"/>
        </w:rPr>
        <w:footnoteReference w:id="5"/>
      </w:r>
      <w:r>
        <w:rPr>
          <w:rFonts w:ascii="Times New Roman" w:hAnsi="Times New Roman" w:eastAsia="Times" w:cs="Times New Roman"/>
          <w:lang w:val="en-US"/>
        </w:rPr>
        <w:t xml:space="preserve"> </w:t>
      </w:r>
    </w:p>
    <w:p w14:paraId="6EC23DB3" w14:textId="77777777">
      <w:pPr>
        <w:spacing w:after="120" w:line="276" w:lineRule="auto"/>
        <w:rPr>
          <w:rFonts w:ascii="Times New Roman" w:hAnsi="Times New Roman" w:eastAsia="Times" w:cs="Times New Roman"/>
          <w:lang w:val="en-CA"/>
        </w:rPr>
      </w:pPr>
      <w:r>
        <w:rPr>
          <w:rStyle w:val="PleaseReviewParagraphId"/>
          <w:b w:val="off"/>
          <w:i w:val="off"/>
        </w:rPr>
        <w:t>[43]</w:t>
      </w:r>
      <w:r>
        <w:rPr>
          <w:rFonts w:ascii="Times New Roman" w:hAnsi="Times New Roman" w:eastAsia="Times" w:cs="Times New Roman"/>
          <w:lang w:val="en-CA"/>
        </w:rPr>
        <w:t>ISPM 10: Requirements for the establishment of pest free places of production and pest free production sites</w:t>
      </w:r>
      <w:r>
        <w:rPr>
          <w:rFonts w:ascii="Times New Roman" w:hAnsi="Times New Roman" w:eastAsia="Times" w:cs="Times New Roman"/>
          <w:vertAlign w:val="superscript"/>
          <w:lang w:val="en-CA"/>
        </w:rPr>
        <w:footnoteReference w:id="6"/>
      </w:r>
      <w:r>
        <w:rPr>
          <w:rFonts w:ascii="Times New Roman" w:hAnsi="Times New Roman" w:eastAsia="Times" w:cs="Times New Roman"/>
          <w:lang w:val="en-CA"/>
        </w:rPr>
        <w:t xml:space="preserve"> </w:t>
      </w:r>
    </w:p>
    <w:p w14:paraId="2CC5FDE1" w14:textId="5C97C441">
      <w:pPr>
        <w:spacing w:after="120" w:line="276" w:lineRule="auto"/>
        <w:rPr>
          <w:rFonts w:ascii="Times New Roman" w:hAnsi="Times New Roman" w:eastAsia="Times" w:cs="Times New Roman"/>
          <w:lang w:val="en-CA"/>
        </w:rPr>
      </w:pPr>
      <w:r>
        <w:rPr>
          <w:rStyle w:val="PleaseReviewParagraphId"/>
          <w:b w:val="off"/>
          <w:i w:val="off"/>
        </w:rPr>
        <w:t>[45]</w:t>
      </w:r>
      <w:r>
        <w:rPr>
          <w:rFonts w:ascii="Times New Roman" w:hAnsi="Times New Roman" w:eastAsia="Times" w:cs="Times New Roman"/>
          <w:lang w:val="en-CA"/>
        </w:rPr>
        <w:t>ISPM 14: The use of integrated measures in a systems approach for pest risk management</w:t>
      </w:r>
      <w:r>
        <w:rPr>
          <w:rFonts w:ascii="Times New Roman" w:hAnsi="Times New Roman" w:eastAsia="Times" w:cs="Times New Roman"/>
          <w:vertAlign w:val="superscript"/>
          <w:lang w:val="en-CA"/>
        </w:rPr>
        <w:footnoteReference w:id="7"/>
      </w:r>
      <w:r>
        <w:rPr>
          <w:rFonts w:ascii="Times New Roman" w:hAnsi="Times New Roman" w:eastAsia="Times" w:cs="Times New Roman"/>
          <w:lang w:val="en-CA"/>
        </w:rPr>
        <w:t xml:space="preserve"> </w:t>
      </w:r>
    </w:p>
    <w:p w14:paraId="42A97256" w14:textId="4550C8C1">
      <w:pPr>
        <w:spacing w:after="120" w:line="276" w:lineRule="auto"/>
        <w:rPr>
          <w:rFonts w:ascii="Times New Roman" w:hAnsi="Times New Roman" w:eastAsia="Times" w:cs="Times New Roman"/>
          <w:lang w:val="en-CA"/>
        </w:rPr>
      </w:pPr>
      <w:r>
        <w:rPr>
          <w:rStyle w:val="PleaseReviewParagraphId"/>
          <w:b w:val="off"/>
          <w:i w:val="off"/>
        </w:rPr>
        <w:t>[47]</w:t>
      </w:r>
      <w:r>
        <w:rPr>
          <w:rFonts w:ascii="Times New Roman" w:hAnsi="Times New Roman" w:eastAsia="Times" w:cs="Times New Roman"/>
          <w:lang w:val="en-CA"/>
        </w:rPr>
        <w:t>ISPM 17: Pest reporting</w:t>
      </w:r>
      <w:r>
        <w:rPr>
          <w:rFonts w:ascii="Times New Roman" w:hAnsi="Times New Roman" w:eastAsia="Times" w:cs="Times New Roman"/>
          <w:vertAlign w:val="superscript"/>
          <w:lang w:val="en-CA"/>
        </w:rPr>
        <w:footnoteReference w:id="8"/>
      </w:r>
    </w:p>
    <w:p w14:paraId="79941FA9" w14:textId="47327778">
      <w:pPr>
        <w:spacing w:after="120" w:line="276" w:lineRule="auto"/>
        <w:rPr>
          <w:rFonts w:ascii="Times New Roman" w:hAnsi="Times New Roman" w:eastAsia="Times" w:cs="Times New Roman"/>
          <w:lang w:val="en-CA"/>
        </w:rPr>
      </w:pPr>
      <w:r>
        <w:rPr>
          <w:rStyle w:val="PleaseReviewParagraphId"/>
          <w:b w:val="off"/>
          <w:i w:val="off"/>
        </w:rPr>
        <w:t>[49]</w:t>
      </w:r>
      <w:r>
        <w:rPr>
          <w:rFonts w:ascii="Times New Roman" w:hAnsi="Times New Roman" w:eastAsia="Times" w:cs="Times New Roman"/>
          <w:lang w:val="en-CA"/>
        </w:rPr>
        <w:t>ISPM 22: Requirements for the establishment of areas of low pest prevalence</w:t>
      </w:r>
      <w:r>
        <w:rPr>
          <w:rFonts w:ascii="Times New Roman" w:hAnsi="Times New Roman" w:eastAsia="Times" w:cs="Times New Roman"/>
          <w:vertAlign w:val="superscript"/>
          <w:lang w:val="en-CA"/>
        </w:rPr>
        <w:footnoteReference w:id="9"/>
      </w:r>
    </w:p>
    <w:p w14:paraId="428F8F1B" w14:textId="761E0AE3">
      <w:pPr>
        <w:spacing w:after="120" w:line="276" w:lineRule="auto"/>
        <w:rPr>
          <w:rFonts w:ascii="Times New Roman" w:hAnsi="Times New Roman" w:eastAsia="Times" w:cs="Times New Roman"/>
          <w:lang w:val="en-CA"/>
        </w:rPr>
      </w:pPr>
      <w:r>
        <w:rPr>
          <w:rStyle w:val="PleaseReviewParagraphId"/>
          <w:b w:val="off"/>
          <w:i w:val="off"/>
        </w:rPr>
        <w:t>[51]</w:t>
      </w:r>
      <w:r>
        <w:rPr>
          <w:rFonts w:ascii="Times New Roman" w:hAnsi="Times New Roman" w:eastAsia="Times" w:cs="Times New Roman"/>
          <w:lang w:val="en-CA"/>
        </w:rPr>
        <w:t>ISPM 27: Diagnostic protocols for regulated pests</w:t>
      </w:r>
      <w:r>
        <w:rPr>
          <w:rFonts w:ascii="Times New Roman" w:hAnsi="Times New Roman" w:eastAsia="Times" w:cs="Times New Roman"/>
          <w:vertAlign w:val="superscript"/>
          <w:lang w:val="en-CA"/>
        </w:rPr>
        <w:footnoteReference w:id="10"/>
      </w:r>
    </w:p>
    <w:p w14:paraId="1871CA44" w14:textId="77777777">
      <w:pPr>
        <w:keepNext/>
        <w:tabs>
          <w:tab w:val="left" w:pos="567"/>
        </w:tabs>
        <w:spacing w:before="240" w:after="120" w:line="276" w:lineRule="auto"/>
        <w:ind w:left="567" w:hanging="567"/>
        <w:outlineLvl w:val="1"/>
        <w:rPr>
          <w:rFonts w:ascii="Times New Roman" w:hAnsi="Times New Roman" w:eastAsia="MS Mincho" w:cs="Times New Roman"/>
          <w:bCs/>
          <w:iCs/>
          <w:lang w:val="en-US"/>
        </w:rPr>
      </w:pPr>
      <w:r>
        <w:rPr>
          <w:rStyle w:val="PleaseReviewParagraphId"/>
          <w:b w:val="off"/>
          <w:i w:val="off"/>
        </w:rPr>
        <w:t>[53]</w:t>
      </w:r>
      <w:r>
        <w:rPr>
          <w:rFonts w:ascii="Times New Roman" w:hAnsi="Times New Roman" w:eastAsia="MS Mincho" w:cs="Times New Roman"/>
          <w:b/>
          <w:bCs/>
          <w:iCs/>
          <w:lang w:val="en-US"/>
        </w:rPr>
        <w:t xml:space="preserve">4. </w:t>
      </w:r>
      <w:r>
        <w:rPr>
          <w:rFonts w:ascii="Times New Roman" w:hAnsi="Times New Roman" w:eastAsia="Times" w:cs="Times New Roman"/>
          <w:b/>
          <w:szCs w:val="24"/>
          <w:lang w:val="en-US"/>
        </w:rPr>
        <w:t>Scope</w:t>
      </w:r>
      <w:r>
        <w:rPr>
          <w:rFonts w:ascii="Times New Roman" w:hAnsi="Times New Roman" w:eastAsia="MS Mincho" w:cs="Times New Roman"/>
          <w:b/>
          <w:bCs/>
          <w:iCs/>
          <w:lang w:val="en-US"/>
        </w:rPr>
        <w:t xml:space="preserve"> </w:t>
      </w:r>
    </w:p>
    <w:p w14:paraId="606942CE" w14:textId="7D2CE5F0">
      <w:pPr>
        <w:keepNext/>
        <w:spacing w:before="240" w:after="120" w:line="276" w:lineRule="auto"/>
        <w:jc w:val="both"/>
        <w:outlineLvl w:val="1"/>
        <w:rPr>
          <w:rFonts w:ascii="Times New Roman" w:hAnsi="Times New Roman" w:eastAsia="MS Mincho" w:cs="Times New Roman"/>
          <w:lang w:val="en-US"/>
        </w:rPr>
      </w:pPr>
      <w:r>
        <w:rPr>
          <w:rStyle w:val="PleaseReviewParagraphId"/>
          <w:b w:val="off"/>
          <w:i w:val="off"/>
        </w:rPr>
        <w:t>[54]</w:t>
      </w:r>
      <w:r>
        <w:rPr>
          <w:rFonts w:ascii="Times New Roman" w:hAnsi="Times New Roman" w:eastAsia="MS Mincho" w:cs="Times New Roman"/>
          <w:lang w:val="en-US"/>
        </w:rPr>
        <w:t xml:space="preserve">This guide aims to provide concrete implementation resources and examples to National Plant Protection Organizations (NPPOs), Regional Plant Protection Organizations (RPPOs) and relevant institutions to set </w:t>
        <w:lastRenderedPageBreak/>
        <w:t xml:space="preserve">and implement effective contingency plans to address incursions or outbreaks of quarantine pests. Much of this guidance is also expected to be of relevance for responding to other pests of economic importance. </w:t>
      </w:r>
    </w:p>
    <w:p w14:paraId="4134CA34" w14:textId="77777777">
      <w:pPr>
        <w:keepNext/>
        <w:spacing w:before="240" w:after="120" w:line="276" w:lineRule="auto"/>
        <w:outlineLvl w:val="1"/>
        <w:rPr>
          <w:rFonts w:ascii="Times New Roman" w:hAnsi="Times New Roman" w:eastAsia="MS Mincho" w:cs="Times New Roman"/>
          <w:b/>
          <w:lang w:val="en-US"/>
        </w:rPr>
      </w:pPr>
      <w:r>
        <w:rPr>
          <w:rStyle w:val="PleaseReviewParagraphId"/>
          <w:b w:val="off"/>
          <w:i w:val="off"/>
        </w:rPr>
        <w:t>[55]</w:t>
      </w:r>
      <w:r>
        <w:rPr>
          <w:rFonts w:ascii="Times New Roman" w:hAnsi="Times New Roman" w:eastAsia="MS Mincho" w:cs="Times New Roman"/>
          <w:b/>
          <w:lang w:val="en-US"/>
        </w:rPr>
        <w:t xml:space="preserve">5. Purpose </w:t>
      </w:r>
    </w:p>
    <w:p w14:paraId="213DFFEA" w14:textId="1162F6DB">
      <w:pPr>
        <w:keepNext/>
        <w:tabs>
          <w:tab w:val="left" w:pos="0"/>
        </w:tabs>
        <w:spacing w:before="240" w:after="120" w:line="276" w:lineRule="auto"/>
        <w:jc w:val="both"/>
        <w:outlineLvl w:val="1"/>
        <w:rPr>
          <w:rFonts w:ascii="Times New Roman" w:hAnsi="Times New Roman" w:eastAsia="MS Mincho" w:cs="Times New Roman"/>
          <w:lang w:val="en-US"/>
        </w:rPr>
      </w:pPr>
      <w:r>
        <w:rPr>
          <w:rStyle w:val="PleaseReviewParagraphId"/>
          <w:b w:val="off"/>
          <w:i w:val="off"/>
        </w:rPr>
        <w:t>[56]</w:t>
      </w:r>
      <w:r>
        <w:rPr>
          <w:rFonts w:ascii="Times New Roman" w:hAnsi="Times New Roman" w:eastAsia="MS Mincho" w:cs="Times New Roman"/>
          <w:lang w:val="en-US"/>
        </w:rPr>
        <w:t>In today’s globalized world, trade is a driver for economic development. Many countries depend on trading large quantities of plants and plant products to sustain their economies. Yet trade could introduce and spread plant pests of economic importance and threaten natural plant resources, agriculture, biodiversity, and forest production. Thus, the NPPO is responsible for the protection of endangered areas and the designation, maintenance and surveillance of pest free areas and areas of low pest prevalence (Article IV 2, e).</w:t>
      </w:r>
    </w:p>
    <w:p w14:paraId="628F715F" w14:textId="548EF424">
      <w:pPr>
        <w:keepNext/>
        <w:spacing w:before="240" w:after="120" w:line="276" w:lineRule="auto"/>
        <w:jc w:val="both"/>
        <w:outlineLvl w:val="1"/>
        <w:rPr>
          <w:rFonts w:ascii="Times New Roman" w:hAnsi="Times New Roman" w:eastAsia="MS Mincho" w:cs="Times New Roman"/>
          <w:lang w:val="en-US"/>
        </w:rPr>
      </w:pPr>
      <w:r>
        <w:rPr>
          <w:rStyle w:val="PleaseReviewParagraphId"/>
          <w:b w:val="off"/>
          <w:i w:val="off"/>
        </w:rPr>
        <w:t>[57]</w:t>
      </w:r>
      <w:r>
        <w:rPr>
          <w:rFonts w:ascii="Times New Roman" w:hAnsi="Times New Roman" w:eastAsia="MS Mincho" w:cs="Times New Roman"/>
          <w:lang w:val="en-US"/>
        </w:rPr>
        <w:t>Although many NPPOs and RPPOs develop contingency plans to address pest incursions and outbreaks, there are currently no IPPC implementation resources to guide Contracting Parties and relevant stakeholders in establishing emergency response plans. The 2018 Framework for Standards and Implementation identifies “contingency planning and emergency response” as a priority, and suggests that guidelines for the development of contingency plans are needed.</w:t>
      </w:r>
      <w:r>
        <w:rPr>
          <w:rFonts w:ascii="Calibri" w:hAnsi="Calibri" w:eastAsia="Times" w:cs="Arial"/>
          <w:b/>
          <w:bCs/>
          <w:sz w:val="24"/>
          <w:szCs w:val="24"/>
          <w:lang w:val="en-US"/>
        </w:rPr>
        <w:t xml:space="preserve"> </w:t>
      </w:r>
      <w:r>
        <w:rPr>
          <w:rFonts w:ascii="Times New Roman" w:hAnsi="Times New Roman" w:eastAsia="MS Mincho" w:cs="Times New Roman"/>
          <w:lang w:val="en-US"/>
        </w:rPr>
        <w:t>In addition, the IPPC Strategic Framework 2020-2030 identifies the development of a Guide and other tools for contingency planning as a priority activity in the Development Area “Pest Outbreak Alert and Response Systems”.</w:t>
      </w:r>
    </w:p>
    <w:p w14:paraId="33FD40A6" w14:textId="6EB22359">
      <w:pPr>
        <w:keepNext/>
        <w:tabs>
          <w:tab w:val="left" w:pos="567"/>
        </w:tabs>
        <w:spacing w:before="240" w:after="120" w:line="276" w:lineRule="auto"/>
        <w:jc w:val="both"/>
        <w:outlineLvl w:val="1"/>
        <w:rPr>
          <w:rFonts w:ascii="Times New Roman" w:hAnsi="Times New Roman" w:eastAsia="MS Mincho" w:cs="Times New Roman"/>
          <w:lang w:val="en-US"/>
        </w:rPr>
      </w:pPr>
      <w:r>
        <w:rPr>
          <w:rStyle w:val="PleaseReviewParagraphId"/>
          <w:b w:val="off"/>
          <w:i w:val="off"/>
        </w:rPr>
        <w:t>[58]</w:t>
      </w:r>
      <w:r>
        <w:rPr>
          <w:rFonts w:ascii="Times New Roman" w:hAnsi="Times New Roman" w:eastAsia="MS Mincho" w:cs="Times New Roman"/>
          <w:lang w:val="en-US"/>
        </w:rPr>
        <w:t>The purpose of this guide on Contingency Planning is to provide a harmonized generic outline of what NPPOs and RPPOs in collaboration with relevant stakeholders need to do to identify, eradicate, contain and manage a pest incursion or outbreak.</w:t>
      </w:r>
    </w:p>
    <w:p w14:paraId="15A5F2CE" w14:textId="77777777">
      <w:pPr>
        <w:keepNext/>
        <w:tabs>
          <w:tab w:val="left" w:pos="567"/>
        </w:tabs>
        <w:spacing w:before="240" w:after="120" w:line="276" w:lineRule="auto"/>
        <w:ind w:left="567" w:hanging="567"/>
        <w:outlineLvl w:val="1"/>
        <w:rPr>
          <w:rFonts w:ascii="Times New Roman" w:hAnsi="Times New Roman" w:eastAsia="Times" w:cs="Times New Roman"/>
          <w:b/>
          <w:lang w:val="en-US"/>
        </w:rPr>
      </w:pPr>
      <w:r>
        <w:rPr>
          <w:rStyle w:val="PleaseReviewParagraphId"/>
          <w:b w:val="off"/>
          <w:i w:val="off"/>
        </w:rPr>
        <w:t>[59]</w:t>
      </w:r>
      <w:r>
        <w:rPr>
          <w:rFonts w:ascii="Times New Roman" w:hAnsi="Times New Roman" w:eastAsia="Times" w:cs="Times New Roman"/>
          <w:b/>
          <w:lang w:val="en-US"/>
        </w:rPr>
        <w:t>6. Content for the proposed implementation resource</w:t>
      </w:r>
    </w:p>
    <w:p w14:paraId="1A607BCA" w14:textId="77777777">
      <w:pPr>
        <w:spacing w:after="180" w:line="276" w:lineRule="auto"/>
        <w:rPr>
          <w:rFonts w:ascii="Times New Roman" w:hAnsi="Times New Roman" w:eastAsia="Times" w:cs="Times New Roman"/>
          <w:lang w:val="en-US"/>
        </w:rPr>
      </w:pPr>
      <w:r>
        <w:rPr>
          <w:rStyle w:val="PleaseReviewParagraphId"/>
          <w:b w:val="off"/>
          <w:i w:val="off"/>
        </w:rPr>
        <w:t>[60]</w:t>
      </w:r>
      <w:r>
        <w:rPr>
          <w:rFonts w:ascii="Times New Roman" w:hAnsi="Times New Roman" w:eastAsia="Times" w:cs="Times New Roman"/>
          <w:lang w:val="en-US"/>
        </w:rPr>
        <w:t>Proposed tasks for the working group are as follows:</w:t>
      </w:r>
    </w:p>
    <w:p w14:paraId="0279BBA5" w14:textId="57CF896F">
      <w:pPr>
        <w:numPr>
          <w:ilvl w:val="0"/>
          <w:numId w:val="4"/>
        </w:numPr>
        <w:spacing w:after="120" w:line="276" w:lineRule="auto"/>
        <w:jc w:val="both"/>
        <w:rPr>
          <w:rFonts w:ascii="Times New Roman" w:hAnsi="Times New Roman" w:eastAsia="Times" w:cs="Times New Roman"/>
          <w:lang w:val="en-US"/>
        </w:rPr>
      </w:pPr>
      <w:r>
        <w:rPr>
          <w:rStyle w:val="PleaseReviewParagraphId"/>
          <w:b w:val="off"/>
          <w:i w:val="off"/>
        </w:rPr>
        <w:t>[61]</w:t>
      </w:r>
      <w:r>
        <w:rPr>
          <w:rFonts w:ascii="Times New Roman" w:hAnsi="Times New Roman" w:eastAsia="Times" w:cs="Times New Roman"/>
        </w:rPr>
        <w:t>Describe the scope and key elements of contingency plans and identify relevant terms and definitions.</w:t>
      </w:r>
    </w:p>
    <w:p w14:paraId="11DEBD9B" w14:textId="460A79BE">
      <w:pPr>
        <w:numPr>
          <w:ilvl w:val="0"/>
          <w:numId w:val="4"/>
        </w:numPr>
        <w:spacing w:after="120" w:line="276" w:lineRule="auto"/>
        <w:jc w:val="both"/>
        <w:rPr>
          <w:rFonts w:ascii="Times New Roman" w:hAnsi="Times New Roman" w:eastAsia="Times" w:cs="Times New Roman"/>
          <w:lang w:val="en-US"/>
        </w:rPr>
      </w:pPr>
      <w:r>
        <w:rPr>
          <w:rStyle w:val="PleaseReviewParagraphId"/>
          <w:b w:val="off"/>
          <w:i w:val="off"/>
        </w:rPr>
        <w:t>[62]</w:t>
      </w:r>
      <w:r>
        <w:rPr>
          <w:rFonts w:ascii="Times New Roman" w:hAnsi="Times New Roman" w:eastAsia="Times" w:cs="Times New Roman"/>
          <w:lang w:val="en-US"/>
        </w:rPr>
        <w:t xml:space="preserve">Describe the recommended actions to be taken by the NPPO to prepare for and prevent plant health emergencies, and to detect and respond when they occur. </w:t>
      </w:r>
    </w:p>
    <w:p w14:paraId="729DA83F" w14:textId="5CEB0019">
      <w:pPr>
        <w:pStyle w:val="ListParagraph"/>
        <w:numPr>
          <w:ilvl w:val="0"/>
          <w:numId w:val="4"/>
        </w:numPr>
        <w:rPr>
          <w:rFonts w:ascii="Times New Roman" w:hAnsi="Times New Roman" w:eastAsia="Times" w:cs="Times New Roman"/>
          <w:lang w:val="en-US"/>
        </w:rPr>
      </w:pPr>
      <w:r>
        <w:rPr>
          <w:rStyle w:val="PleaseReviewParagraphId"/>
          <w:b w:val="off"/>
          <w:i w:val="off"/>
        </w:rPr>
        <w:t>[63]</w:t>
      </w:r>
      <w:r>
        <w:rPr>
          <w:rFonts w:ascii="Times New Roman" w:hAnsi="Times New Roman" w:eastAsia="Times" w:cs="Times New Roman"/>
          <w:lang w:val="en-US"/>
        </w:rPr>
        <w:t>Describe the roles and responsibilities of relevant stakeholders</w:t>
      </w:r>
      <w:r>
        <w:t xml:space="preserve"> </w:t>
      </w:r>
      <w:r>
        <w:rPr>
          <w:rFonts w:ascii="Times New Roman" w:hAnsi="Times New Roman" w:eastAsia="Times" w:cs="Times New Roman"/>
          <w:lang w:val="en-US"/>
        </w:rPr>
        <w:t>and highlight the importance of collaboration with stakeholders to develop and implement effective contingency plans.</w:t>
      </w:r>
    </w:p>
    <w:p w14:paraId="381AA01A" w14:textId="41E0AE62">
      <w:pPr>
        <w:numPr>
          <w:ilvl w:val="0"/>
          <w:numId w:val="4"/>
        </w:numPr>
        <w:spacing w:after="120" w:line="276" w:lineRule="auto"/>
        <w:jc w:val="both"/>
        <w:rPr>
          <w:rFonts w:ascii="Times New Roman" w:hAnsi="Times New Roman" w:eastAsia="Times" w:cs="Times New Roman"/>
          <w:lang w:val="en-US"/>
        </w:rPr>
      </w:pPr>
      <w:r>
        <w:rPr>
          <w:rStyle w:val="PleaseReviewParagraphId"/>
          <w:b w:val="off"/>
          <w:i w:val="off"/>
        </w:rPr>
        <w:t>[64]</w:t>
      </w:r>
      <w:r>
        <w:rPr>
          <w:rFonts w:ascii="Times New Roman" w:hAnsi="Times New Roman" w:eastAsia="Times" w:cs="Times New Roman"/>
          <w:lang w:val="en-US"/>
        </w:rPr>
        <w:t>Describe the operations and governance structures required to effectively respond to pest incursions or outbreaks.</w:t>
      </w:r>
    </w:p>
    <w:p w14:paraId="7EB82F6D" w14:textId="23CDAAB9">
      <w:pPr>
        <w:numPr>
          <w:ilvl w:val="0"/>
          <w:numId w:val="4"/>
        </w:numPr>
        <w:spacing w:after="120" w:line="276" w:lineRule="auto"/>
        <w:jc w:val="both"/>
        <w:rPr>
          <w:rFonts w:ascii="Times New Roman" w:hAnsi="Times New Roman" w:eastAsia="Times" w:cs="Times New Roman"/>
          <w:lang w:val="en-US"/>
        </w:rPr>
      </w:pPr>
      <w:r>
        <w:rPr>
          <w:rStyle w:val="PleaseReviewParagraphId"/>
          <w:b w:val="off"/>
          <w:i w:val="off"/>
        </w:rPr>
        <w:t>[65]</w:t>
      </w:r>
      <w:r>
        <w:rPr>
          <w:rFonts w:ascii="Times New Roman" w:hAnsi="Times New Roman" w:eastAsia="Times" w:cs="Times New Roman"/>
          <w:lang w:val="en-US"/>
        </w:rPr>
        <w:t>Consider the national legislative requirements to support contingency planning and emergency response.</w:t>
      </w:r>
    </w:p>
    <w:p w14:paraId="7B006F04" w14:textId="54115190">
      <w:pPr>
        <w:numPr>
          <w:ilvl w:val="0"/>
          <w:numId w:val="4"/>
        </w:numPr>
        <w:spacing w:after="120" w:line="276" w:lineRule="auto"/>
        <w:jc w:val="both"/>
        <w:rPr>
          <w:rFonts w:ascii="Times New Roman" w:hAnsi="Times New Roman" w:eastAsia="Times" w:cs="Times New Roman"/>
          <w:lang w:val="en-US"/>
        </w:rPr>
      </w:pPr>
      <w:r>
        <w:rPr>
          <w:rStyle w:val="PleaseReviewParagraphId"/>
          <w:b w:val="off"/>
          <w:i w:val="off"/>
        </w:rPr>
        <w:t>[66]</w:t>
      </w:r>
      <w:r>
        <w:rPr>
          <w:rFonts w:ascii="Times New Roman" w:hAnsi="Times New Roman" w:eastAsia="Times" w:cs="Times New Roman"/>
          <w:lang w:val="en-US"/>
        </w:rPr>
        <w:t>Provide guidance / best practices for risk communication associated with contingency planning and emergency response.</w:t>
      </w:r>
    </w:p>
    <w:p w14:paraId="5AAFE78F" w14:textId="5FAFFA3A">
      <w:pPr>
        <w:numPr>
          <w:ilvl w:val="0"/>
          <w:numId w:val="4"/>
        </w:numPr>
        <w:spacing w:after="120" w:line="276" w:lineRule="auto"/>
        <w:jc w:val="both"/>
        <w:rPr>
          <w:rFonts w:ascii="Times New Roman" w:hAnsi="Times New Roman" w:eastAsia="Times" w:cs="Times New Roman"/>
          <w:lang w:val="en-US"/>
        </w:rPr>
      </w:pPr>
      <w:r>
        <w:rPr>
          <w:rStyle w:val="PleaseReviewParagraphId"/>
          <w:b w:val="off"/>
          <w:i w:val="off"/>
        </w:rPr>
        <w:t>[67]</w:t>
      </w:r>
      <w:r>
        <w:rPr>
          <w:rFonts w:ascii="Times New Roman" w:hAnsi="Times New Roman" w:eastAsia="Times" w:cs="Times New Roman"/>
          <w:lang w:val="en-US"/>
        </w:rPr>
        <w:t xml:space="preserve">Provide national and regional case studies and examples to supplement the information in the guide. </w:t>
      </w:r>
    </w:p>
    <w:p w14:paraId="7A542415" w14:textId="1C60848A">
      <w:pPr>
        <w:numPr>
          <w:ilvl w:val="0"/>
          <w:numId w:val="4"/>
        </w:numPr>
        <w:spacing w:after="120" w:line="276" w:lineRule="auto"/>
        <w:jc w:val="both"/>
        <w:rPr>
          <w:rFonts w:ascii="Times New Roman" w:hAnsi="Times New Roman" w:eastAsia="Times" w:cs="Times New Roman"/>
          <w:lang w:val="en-US"/>
        </w:rPr>
      </w:pPr>
      <w:r>
        <w:rPr>
          <w:rStyle w:val="PleaseReviewParagraphId"/>
          <w:b w:val="off"/>
          <w:i w:val="off"/>
        </w:rPr>
        <w:t>[68]</w:t>
      </w:r>
      <w:r>
        <w:rPr>
          <w:rFonts w:ascii="Times New Roman" w:hAnsi="Times New Roman" w:eastAsia="Times" w:cs="Times New Roman"/>
          <w:lang w:val="en-US"/>
        </w:rPr>
        <w:t>Consider possible sources of funding to assist NPPOs to prepare contingency plans and develop capacity for emergency response.</w:t>
      </w:r>
    </w:p>
    <w:p w14:paraId="4D690B96" w14:textId="7B1DAB03">
      <w:pPr>
        <w:numPr>
          <w:ilvl w:val="0"/>
          <w:numId w:val="4"/>
        </w:numPr>
        <w:spacing w:after="120" w:line="276" w:lineRule="auto"/>
        <w:jc w:val="both"/>
        <w:rPr>
          <w:rFonts w:ascii="Times New Roman" w:hAnsi="Times New Roman" w:eastAsia="Times" w:cs="Times New Roman"/>
          <w:lang w:val="en-US"/>
        </w:rPr>
      </w:pPr>
      <w:r>
        <w:rPr>
          <w:rStyle w:val="PleaseReviewParagraphId"/>
          <w:b w:val="off"/>
          <w:i w:val="off"/>
        </w:rPr>
        <w:t>[69]</w:t>
      </w:r>
      <w:r>
        <w:rPr>
          <w:rFonts w:ascii="Times New Roman" w:hAnsi="Times New Roman" w:eastAsia="Times" w:cs="Times New Roman"/>
          <w:lang w:val="en-US"/>
        </w:rPr>
        <w:lastRenderedPageBreak/>
        <w:t>Outline the key components of a training program and provide guidance on developing simulation exercises as mechanisms for building capacity among and NPPO’s operations staff.</w:t>
      </w:r>
    </w:p>
    <w:p w14:paraId="1C5BD430" w14:textId="3D806569">
      <w:pPr>
        <w:numPr>
          <w:ilvl w:val="0"/>
          <w:numId w:val="4"/>
        </w:numPr>
        <w:spacing w:after="120" w:line="276" w:lineRule="auto"/>
        <w:jc w:val="both"/>
        <w:rPr>
          <w:rFonts w:ascii="Times New Roman" w:hAnsi="Times New Roman" w:eastAsia="Times" w:cs="Times New Roman"/>
          <w:lang w:val="en-US"/>
        </w:rPr>
      </w:pPr>
      <w:r>
        <w:rPr>
          <w:rStyle w:val="PleaseReviewParagraphId"/>
          <w:b w:val="off"/>
          <w:i w:val="off"/>
        </w:rPr>
        <w:t>[70]</w:t>
      </w:r>
      <w:r>
        <w:rPr>
          <w:rFonts w:ascii="Times New Roman" w:hAnsi="Times New Roman" w:eastAsia="Times" w:cs="Times New Roman"/>
          <w:lang w:val="en-US"/>
        </w:rPr>
        <w:t xml:space="preserve">Describe the role of monitoring, evaluation and learning in improving contingency planning and emergency response. </w:t>
      </w:r>
    </w:p>
    <w:p w14:paraId="08F936FD" w14:textId="2CEEAE0D">
      <w:pPr>
        <w:numPr>
          <w:ilvl w:val="0"/>
          <w:numId w:val="4"/>
        </w:numPr>
        <w:spacing w:after="120" w:line="276" w:lineRule="auto"/>
        <w:jc w:val="both"/>
        <w:rPr>
          <w:rFonts w:ascii="Times New Roman" w:hAnsi="Times New Roman" w:eastAsia="Times" w:cs="Times New Roman"/>
          <w:lang w:val="en-US"/>
        </w:rPr>
      </w:pPr>
      <w:r>
        <w:rPr>
          <w:rStyle w:val="PleaseReviewParagraphId"/>
          <w:b w:val="off"/>
          <w:i w:val="off"/>
        </w:rPr>
        <w:t>[71]</w:t>
      </w:r>
      <w:r>
        <w:rPr>
          <w:rFonts w:ascii="Times New Roman" w:hAnsi="Times New Roman" w:eastAsia="Times" w:cs="Times New Roman"/>
          <w:lang w:val="en-US"/>
        </w:rPr>
        <w:t>Identify existing, relevant technical resources that could be made available on the IPP.</w:t>
      </w:r>
    </w:p>
    <w:p w14:paraId="5BBF370A" w14:textId="77777777">
      <w:pPr>
        <w:keepNext/>
        <w:tabs>
          <w:tab w:val="left" w:pos="567"/>
        </w:tabs>
        <w:spacing w:before="240" w:after="120" w:line="276" w:lineRule="auto"/>
        <w:ind w:left="567" w:hanging="567"/>
        <w:outlineLvl w:val="1"/>
        <w:rPr>
          <w:rFonts w:ascii="Times New Roman" w:hAnsi="Times New Roman" w:eastAsia="MS Mincho" w:cs="Times New Roman"/>
          <w:b/>
          <w:bCs/>
          <w:lang w:val="en-CA" w:eastAsia="ja-JP"/>
        </w:rPr>
      </w:pPr>
      <w:r>
        <w:rPr>
          <w:rStyle w:val="PleaseReviewParagraphId"/>
          <w:b w:val="off"/>
          <w:i w:val="off"/>
        </w:rPr>
        <w:t>[72]</w:t>
      </w:r>
      <w:r>
        <w:rPr>
          <w:rFonts w:ascii="Times New Roman" w:hAnsi="Times New Roman" w:eastAsia="MS Mincho" w:cs="Times New Roman"/>
          <w:b/>
          <w:bCs/>
          <w:lang w:val="en-CA" w:eastAsia="ja-JP"/>
        </w:rPr>
        <w:t xml:space="preserve">7. </w:t>
      </w:r>
      <w:r>
        <w:rPr>
          <w:rFonts w:ascii="Times New Roman" w:hAnsi="Times New Roman" w:eastAsia="Times" w:cs="Times New Roman"/>
          <w:b/>
          <w:bCs/>
          <w:lang w:val="en-CA" w:eastAsia="ja-JP"/>
        </w:rPr>
        <w:t>References</w:t>
      </w:r>
      <w:r>
        <w:rPr>
          <w:rFonts w:ascii="Times New Roman" w:hAnsi="Times New Roman" w:eastAsia="MS Mincho" w:cs="Times New Roman"/>
          <w:b/>
          <w:bCs/>
          <w:lang w:val="en-CA" w:eastAsia="ja-JP"/>
        </w:rPr>
        <w:t xml:space="preserve"> and supporting materials</w:t>
      </w:r>
    </w:p>
    <w:p w14:paraId="4FBB46F2" w14:textId="545F222C">
      <w:pPr>
        <w:spacing w:line="240" w:lineRule="auto"/>
        <w:jc w:val="both"/>
        <w:rPr>
          <w:rFonts w:ascii="Times New Roman" w:hAnsi="Times New Roman" w:eastAsia="Times" w:cs="Times New Roman"/>
          <w:lang w:val="en-US"/>
        </w:rPr>
      </w:pPr>
      <w:r>
        <w:rPr>
          <w:rStyle w:val="PleaseReviewParagraphId"/>
          <w:b w:val="off"/>
          <w:i w:val="off"/>
        </w:rPr>
        <w:t>[73]</w:t>
      </w:r>
      <w:r>
        <w:rPr>
          <w:rFonts w:ascii="Times New Roman" w:hAnsi="Times New Roman" w:eastAsia="Times" w:cs="Times New Roman"/>
          <w:lang w:val="en-US"/>
        </w:rPr>
        <w:t xml:space="preserve">IPPC. 2021. Prevention, preparedness and response guidelines for </w:t>
      </w:r>
      <w:r>
        <w:rPr>
          <w:rFonts w:ascii="Times New Roman" w:hAnsi="Times New Roman" w:eastAsia="Times" w:cs="Times New Roman"/>
          <w:i/>
          <w:lang w:val="en-US"/>
        </w:rPr>
        <w:t>Spodoptera frugiperda</w:t>
      </w:r>
      <w:r>
        <w:rPr>
          <w:rFonts w:ascii="Times New Roman" w:hAnsi="Times New Roman" w:eastAsia="Times" w:cs="Times New Roman"/>
          <w:lang w:val="en-US"/>
        </w:rPr>
        <w:t>.</w:t>
      </w:r>
    </w:p>
    <w:p w14:paraId="5E9D90C6" w14:textId="77777777">
      <w:pPr>
        <w:spacing w:before="240" w:after="0" w:line="240" w:lineRule="auto"/>
        <w:jc w:val="both"/>
        <w:rPr>
          <w:rFonts w:ascii="Times New Roman" w:hAnsi="Times New Roman" w:eastAsia="Calibri" w:cs="Times New Roman"/>
          <w:color w:val="3366FF"/>
          <w:u w:val="single"/>
          <w:lang w:val="en-US"/>
        </w:rPr>
      </w:pPr>
      <w:r>
        <w:rPr>
          <w:rStyle w:val="PleaseReviewParagraphId"/>
          <w:b w:val="off"/>
          <w:i w:val="off"/>
        </w:rPr>
        <w:t>[74]</w:t>
      </w:r>
      <w:r>
        <w:rPr>
          <w:rFonts w:ascii="Times New Roman" w:hAnsi="Times New Roman" w:eastAsia="Times" w:cs="Times New Roman"/>
          <w:lang w:val="en-US"/>
        </w:rPr>
        <w:t xml:space="preserve">OIRSA containment plans for plant pests. </w:t>
      </w:r>
      <w:hyperlink w:history="1" r:id="rId8">
        <w:r>
          <w:rPr>
            <w:rFonts w:ascii="Times New Roman" w:hAnsi="Times New Roman" w:eastAsia="Calibri" w:cs="Times New Roman"/>
            <w:color w:val="3366FF"/>
            <w:u w:val="single"/>
            <w:lang w:val="en-US"/>
          </w:rPr>
          <w:t>https://www.oirsa.org/informacion.aspx?id=20</w:t>
        </w:r>
      </w:hyperlink>
    </w:p>
    <w:p w14:paraId="46AB8386" w14:textId="28F8827F">
      <w:pPr>
        <w:spacing w:before="240" w:after="0" w:line="240" w:lineRule="auto"/>
        <w:jc w:val="both"/>
        <w:rPr>
          <w:rFonts w:ascii="Times New Roman" w:hAnsi="Times New Roman" w:eastAsia="Times" w:cs="Times New Roman"/>
          <w:lang w:val="en-US"/>
        </w:rPr>
      </w:pPr>
      <w:r>
        <w:rPr>
          <w:rStyle w:val="PleaseReviewParagraphId"/>
          <w:b w:val="off"/>
          <w:i w:val="off"/>
        </w:rPr>
        <w:t>[75]</w:t>
      </w:r>
      <w:r>
        <w:rPr>
          <w:rFonts w:ascii="Times New Roman" w:hAnsi="Times New Roman" w:eastAsia="Times" w:cs="Times New Roman"/>
          <w:lang w:val="en-US"/>
        </w:rPr>
        <w:t xml:space="preserve">FAO. 2021. Good emergency management practice: The essentials – A guide to preparing for animal health emergencies. Edited by François Gary, Mathilde Clauss, Etienne Bonbon, Lee Myers. FAO Animal Production and Health Manual No. 25. Rome. </w:t>
      </w:r>
      <w:hyperlink w:history="1" r:id="rId9">
        <w:r>
          <w:rPr>
            <w:rFonts w:ascii="Times New Roman" w:hAnsi="Times New Roman" w:eastAsia="Times" w:cs="Times New Roman"/>
            <w:color w:val="3366FF"/>
            <w:u w:val="single"/>
            <w:lang w:val="en-US"/>
          </w:rPr>
          <w:t>https://doi.org/10.4060/cb3833en</w:t>
        </w:r>
      </w:hyperlink>
      <w:r>
        <w:rPr>
          <w:rFonts w:ascii="Times New Roman" w:hAnsi="Times New Roman" w:eastAsia="Times" w:cs="Times New Roman"/>
          <w:lang w:val="en-US"/>
        </w:rPr>
        <w:t xml:space="preserve"> </w:t>
      </w:r>
    </w:p>
    <w:p w14:paraId="6EE66BFC" w14:textId="77777777">
      <w:pPr>
        <w:spacing w:before="240" w:after="0" w:line="240" w:lineRule="auto"/>
        <w:jc w:val="both"/>
        <w:rPr>
          <w:rFonts w:ascii="Times New Roman" w:hAnsi="Times New Roman" w:eastAsia="Calibri" w:cs="Times New Roman"/>
          <w:color w:val="3366FF"/>
          <w:u w:val="single"/>
          <w:lang w:val="en-US"/>
        </w:rPr>
      </w:pPr>
      <w:r>
        <w:rPr>
          <w:rStyle w:val="PleaseReviewParagraphId"/>
          <w:b w:val="off"/>
          <w:i w:val="off"/>
        </w:rPr>
        <w:t>[76]</w:t>
      </w:r>
      <w:r>
        <w:rPr>
          <w:rFonts w:ascii="Times New Roman" w:hAnsi="Times New Roman" w:eastAsia="Times" w:cs="Times New Roman"/>
          <w:lang w:val="en-US"/>
        </w:rPr>
        <w:t xml:space="preserve">EPPO regional standard series PM9 on National Regulatory Control Systems </w:t>
      </w:r>
      <w:hyperlink w:history="1" r:id="rId10">
        <w:r>
          <w:rPr>
            <w:rFonts w:ascii="Times New Roman" w:hAnsi="Times New Roman" w:eastAsia="Calibri" w:cs="Times New Roman"/>
            <w:color w:val="3366FF"/>
            <w:u w:val="single"/>
            <w:lang w:val="en-US"/>
          </w:rPr>
          <w:t>https://www.eppo.int/RESOURCES/eppo_standards/pm9_control_systems</w:t>
        </w:r>
      </w:hyperlink>
    </w:p>
    <w:p w14:paraId="0875C885" w14:textId="77777777">
      <w:pPr>
        <w:keepNext/>
        <w:tabs>
          <w:tab w:val="left" w:pos="0"/>
        </w:tabs>
        <w:spacing w:before="240" w:after="0" w:line="240" w:lineRule="auto"/>
        <w:jc w:val="both"/>
        <w:rPr>
          <w:rFonts w:ascii="Times New Roman" w:hAnsi="Times New Roman" w:eastAsia="Calibri" w:cs="Times New Roman"/>
          <w:color w:val="3366FF"/>
          <w:u w:val="single"/>
          <w:lang w:val="en-US"/>
        </w:rPr>
      </w:pPr>
      <w:r>
        <w:rPr>
          <w:rStyle w:val="PleaseReviewParagraphId"/>
          <w:b w:val="off"/>
          <w:i w:val="off"/>
        </w:rPr>
        <w:t>[77]</w:t>
      </w:r>
      <w:r>
        <w:rPr>
          <w:rFonts w:ascii="Times New Roman" w:hAnsi="Times New Roman" w:eastAsia="Calibri" w:cs="Times New Roman"/>
          <w:bCs/>
          <w:iCs/>
          <w:lang w:val="en-US"/>
        </w:rPr>
        <w:t>Plant Health Australia Contingency Planning</w:t>
      </w:r>
      <w:r>
        <w:rPr>
          <w:rFonts w:ascii="Times New Roman" w:hAnsi="Times New Roman" w:eastAsia="Calibri" w:cs="Times New Roman"/>
          <w:b/>
          <w:bCs/>
          <w:iCs/>
          <w:lang w:val="en-US"/>
        </w:rPr>
        <w:t xml:space="preserve"> </w:t>
      </w:r>
      <w:hyperlink w:history="1" r:id="rId11">
        <w:r>
          <w:rPr>
            <w:rFonts w:ascii="Times New Roman" w:hAnsi="Times New Roman" w:eastAsia="Calibri" w:cs="Times New Roman"/>
            <w:color w:val="3366FF"/>
            <w:u w:val="single"/>
            <w:lang w:val="en-US"/>
          </w:rPr>
          <w:t>https://www.planthealthaustralia.com.au/biosecurity/risk-mitigation/contingency-planning/</w:t>
        </w:r>
      </w:hyperlink>
    </w:p>
    <w:p w14:paraId="20BA0F27" w14:textId="77777777">
      <w:pPr>
        <w:keepNext/>
        <w:tabs>
          <w:tab w:val="left" w:pos="0"/>
        </w:tabs>
        <w:spacing w:before="240" w:line="240" w:lineRule="auto"/>
        <w:jc w:val="both"/>
        <w:rPr>
          <w:rFonts w:ascii="Times New Roman" w:hAnsi="Times New Roman" w:eastAsia="Calibri" w:cs="Times New Roman"/>
          <w:color w:val="3366FF"/>
          <w:u w:val="single"/>
          <w:lang w:val="en-US"/>
        </w:rPr>
      </w:pPr>
      <w:r>
        <w:rPr>
          <w:rStyle w:val="PleaseReviewParagraphId"/>
          <w:b w:val="off"/>
          <w:i w:val="off"/>
        </w:rPr>
        <w:t>[78]</w:t>
      </w:r>
      <w:r>
        <w:rPr>
          <w:rFonts w:ascii="Times New Roman" w:hAnsi="Times New Roman" w:eastAsia="Calibri" w:cs="Times New Roman"/>
          <w:bCs/>
          <w:iCs/>
          <w:lang w:val="en-US"/>
        </w:rPr>
        <w:t>UK Department for Environment, Food and Rural Affairs – Contingency planning</w:t>
      </w:r>
      <w:r>
        <w:rPr>
          <w:rFonts w:ascii="Times New Roman" w:hAnsi="Times New Roman" w:eastAsia="Calibri" w:cs="Times New Roman"/>
          <w:lang w:val="en-US"/>
        </w:rPr>
        <w:t xml:space="preserve"> </w:t>
      </w:r>
      <w:hyperlink w:history="1" r:id="rId12">
        <w:r>
          <w:rPr>
            <w:rFonts w:ascii="Times New Roman" w:hAnsi="Times New Roman" w:eastAsia="Calibri" w:cs="Times New Roman"/>
            <w:color w:val="3366FF"/>
            <w:u w:val="single"/>
            <w:lang w:val="en-US"/>
          </w:rPr>
          <w:t>https://planthealthportal.defra.gov.uk/pests-and-diseases/contingency-planning/</w:t>
        </w:r>
      </w:hyperlink>
    </w:p>
    <w:p w14:paraId="3A7F7A67" w14:textId="180D315A">
      <w:pPr>
        <w:keepNext/>
        <w:spacing w:before="60" w:line="240" w:lineRule="auto"/>
        <w:jc w:val="both"/>
        <w:rPr>
          <w:rFonts w:ascii="Times New Roman" w:hAnsi="Times New Roman" w:eastAsia="Calibri" w:cs="Times New Roman"/>
          <w:lang w:val="en-US"/>
        </w:rPr>
      </w:pPr>
      <w:r>
        <w:rPr>
          <w:rStyle w:val="PleaseReviewParagraphId"/>
          <w:b w:val="off"/>
          <w:i w:val="off"/>
        </w:rPr>
        <w:t>[79]</w:t>
      </w:r>
      <w:r>
        <w:rPr>
          <w:rFonts w:ascii="Times New Roman" w:hAnsi="Times New Roman" w:eastAsia="Calibri" w:cs="Times New Roman"/>
          <w:lang w:val="en-US"/>
        </w:rPr>
        <w:t xml:space="preserve">Pacific Community – The Regional Biosecurity Operating Procedures </w:t>
      </w:r>
      <w:hyperlink r:id="rId13">
        <w:r>
          <w:rPr>
            <w:rFonts w:ascii="Times New Roman" w:hAnsi="Times New Roman" w:eastAsia="Calibri" w:cs="Times New Roman"/>
            <w:color w:val="3366FF"/>
            <w:u w:val="single"/>
            <w:lang w:val="en-US"/>
          </w:rPr>
          <w:t>http://bif.lrd.spc.int/plant-biosecurity/internal-quarantine/procedures/contingency-planning-and-emergency-response/</w:t>
        </w:r>
      </w:hyperlink>
    </w:p>
    <w:p w14:paraId="35B2C34D" w14:textId="1DFECA18">
      <w:pPr>
        <w:keepNext/>
        <w:spacing w:before="60" w:after="60" w:line="276" w:lineRule="auto"/>
        <w:jc w:val="both"/>
        <w:rPr>
          <w:rFonts w:ascii="Times New Roman" w:hAnsi="Times New Roman" w:eastAsia="Calibri" w:cs="Times New Roman"/>
          <w:lang w:val="en-US"/>
        </w:rPr>
      </w:pPr>
      <w:r>
        <w:rPr>
          <w:rStyle w:val="PleaseReviewParagraphId"/>
          <w:b w:val="off"/>
          <w:i w:val="off"/>
        </w:rPr>
        <w:t>[80]</w:t>
      </w:r>
      <w:r>
        <w:rPr>
          <w:rFonts w:ascii="Times New Roman" w:hAnsi="Times New Roman" w:eastAsia="Calibri" w:cs="Times New Roman"/>
          <w:lang w:val="en-US"/>
        </w:rPr>
        <w:t xml:space="preserve">Defra, (2017). Generic contingency plan for plant and bee health in England. </w:t>
      </w:r>
      <w:hyperlink r:id="rId14">
        <w:r>
          <w:rPr>
            <w:rFonts w:ascii="Times New Roman" w:hAnsi="Times New Roman" w:eastAsia="Calibri" w:cs="Times New Roman"/>
            <w:color w:val="3366FF"/>
            <w:u w:val="single"/>
            <w:lang w:val="en-US"/>
          </w:rPr>
          <w:t>https://assets.publishing.service.gov.uk/government/uploads/system/uploads/attachment_data/file/593508/generic-contingency-plan-plant-bee-health-england.pdf</w:t>
        </w:r>
      </w:hyperlink>
      <w:r>
        <w:rPr>
          <w:rFonts w:ascii="Times New Roman" w:hAnsi="Times New Roman" w:eastAsia="Calibri" w:cs="Times New Roman"/>
          <w:lang w:val="en-US"/>
        </w:rPr>
        <w:t xml:space="preserve"> </w:t>
      </w:r>
    </w:p>
    <w:p w14:paraId="2EDE93D6" w14:textId="5A32A4EC">
      <w:pPr>
        <w:keepNext/>
        <w:tabs>
          <w:tab w:val="left" w:pos="0"/>
        </w:tabs>
        <w:spacing w:before="60" w:after="60" w:line="276" w:lineRule="auto"/>
        <w:jc w:val="both"/>
        <w:rPr>
          <w:rFonts w:ascii="Times New Roman" w:hAnsi="Times New Roman" w:eastAsia="MS Mincho" w:cs="Times New Roman"/>
          <w:bCs/>
          <w:iCs/>
          <w:lang w:val="en-CA" w:eastAsia="ja-JP"/>
        </w:rPr>
      </w:pPr>
      <w:r>
        <w:rPr>
          <w:rStyle w:val="PleaseReviewParagraphId"/>
          <w:b w:val="off"/>
          <w:i w:val="off"/>
        </w:rPr>
        <w:t>[81]</w:t>
      </w:r>
      <w:r>
        <w:rPr>
          <w:rFonts w:ascii="Times New Roman" w:hAnsi="Times New Roman" w:eastAsia="Calibri" w:cs="Times New Roman"/>
          <w:iCs/>
          <w:lang w:val="en-US"/>
        </w:rPr>
        <w:t xml:space="preserve">Merriman, P. and McKirdy, S., (2005). Plant Health Australia – Technical Guidelines for the Development of Pest Specific Response Plans. </w:t>
      </w:r>
      <w:hyperlink w:history="1" r:id="rId15">
        <w:r>
          <w:rPr>
            <w:rFonts w:ascii="Times New Roman" w:hAnsi="Times New Roman" w:eastAsia="Calibri" w:cs="Times New Roman"/>
            <w:iCs/>
            <w:color w:val="3366FF"/>
            <w:u w:val="single"/>
            <w:lang w:val="en-US"/>
          </w:rPr>
          <w:t>https://www.planthealthaustralia.com.au/wp-content/uploads/2012/11/Technical-Guidelines-for-Development-of-Pest-Specific-Response-Plans.pdf</w:t>
        </w:r>
      </w:hyperlink>
      <w:r>
        <w:rPr>
          <w:rFonts w:ascii="Times New Roman" w:hAnsi="Times New Roman" w:eastAsia="Calibri" w:cs="Times New Roman"/>
          <w:iCs/>
          <w:lang w:val="en-US"/>
        </w:rPr>
        <w:t xml:space="preserve"> </w:t>
      </w:r>
    </w:p>
    <w:p w14:paraId="30FB34F8" w14:textId="5AAE1A35">
      <w:pPr>
        <w:keepNext/>
        <w:spacing w:before="60" w:after="60" w:line="276" w:lineRule="auto"/>
        <w:jc w:val="both"/>
        <w:rPr>
          <w:rFonts w:ascii="Times New Roman" w:hAnsi="Times New Roman" w:eastAsia="Times" w:cs="Times New Roman"/>
          <w:lang w:val="en-CA" w:eastAsia="ja-JP"/>
        </w:rPr>
      </w:pPr>
      <w:r>
        <w:rPr>
          <w:rStyle w:val="PleaseReviewParagraphId"/>
          <w:b w:val="off"/>
          <w:i w:val="off"/>
        </w:rPr>
        <w:t>[82]</w:t>
      </w:r>
      <w:r>
        <w:rPr>
          <w:rFonts w:ascii="Times New Roman" w:hAnsi="Times New Roman" w:eastAsia="Times" w:cs="Times New Roman"/>
          <w:lang w:val="en-CA" w:eastAsia="ja-JP"/>
        </w:rPr>
        <w:t xml:space="preserve">USDA – Emergency Response Manual </w:t>
      </w:r>
    </w:p>
    <w:p w14:paraId="133F7CE8" w14:textId="504D8C80">
      <w:pPr>
        <w:spacing w:before="60" w:after="60" w:line="276" w:lineRule="auto"/>
        <w:jc w:val="both"/>
        <w:rPr>
          <w:rFonts w:ascii="Times New Roman" w:hAnsi="Times New Roman" w:eastAsia="Times" w:cs="Times New Roman"/>
          <w:lang w:val="en-CA" w:eastAsia="ja-JP"/>
        </w:rPr>
      </w:pPr>
      <w:r>
        <w:rPr>
          <w:rStyle w:val="PleaseReviewParagraphId"/>
          <w:b w:val="off"/>
          <w:i w:val="off"/>
        </w:rPr>
        <w:t>[83]</w:t>
      </w:r>
      <w:hyperlink w:history="1" r:id="rId16">
        <w:r>
          <w:rPr>
            <w:rStyle w:val="Hyperlink"/>
            <w:rFonts w:ascii="Times New Roman" w:hAnsi="Times New Roman" w:eastAsia="Times" w:cs="Times New Roman"/>
            <w:lang w:val="en-CA" w:eastAsia="ja-JP"/>
          </w:rPr>
          <w:t>https://www.aphis.usda.gov/import_export/plants/manuals/emergency/downloads/epm.pdf</w:t>
        </w:r>
      </w:hyperlink>
      <w:r>
        <w:rPr>
          <w:rFonts w:ascii="Times New Roman" w:hAnsi="Times New Roman" w:eastAsia="Times" w:cs="Times New Roman"/>
          <w:lang w:val="en-CA" w:eastAsia="ja-JP"/>
        </w:rPr>
        <w:t xml:space="preserve"> </w:t>
      </w:r>
    </w:p>
    <w:p w14:paraId="1F620E04" w14:textId="77777777">
      <w:pPr>
        <w:keepNext/>
        <w:tabs>
          <w:tab w:val="left" w:pos="567"/>
        </w:tabs>
        <w:spacing w:before="240" w:after="120" w:line="276" w:lineRule="auto"/>
        <w:ind w:left="567" w:hanging="567"/>
        <w:outlineLvl w:val="1"/>
        <w:rPr>
          <w:rFonts w:ascii="Times New Roman" w:hAnsi="Times New Roman" w:eastAsia="Times" w:cs="Times New Roman"/>
          <w:b/>
          <w:lang w:val="en-US"/>
        </w:rPr>
      </w:pPr>
      <w:r>
        <w:rPr>
          <w:rStyle w:val="PleaseReviewParagraphId"/>
          <w:b w:val="off"/>
          <w:i w:val="off"/>
        </w:rPr>
        <w:t>[84]</w:t>
      </w:r>
      <w:r>
        <w:rPr>
          <w:rFonts w:ascii="Times New Roman" w:hAnsi="Times New Roman" w:eastAsia="Times" w:cs="Times New Roman"/>
          <w:b/>
          <w:lang w:val="en-US"/>
        </w:rPr>
        <w:t>8. Financial and in-kind contributions  </w:t>
      </w:r>
    </w:p>
    <w:p w14:paraId="0FC072F7" w14:textId="77777777">
      <w:pPr>
        <w:spacing w:after="0" w:line="240" w:lineRule="auto"/>
        <w:jc w:val="both"/>
        <w:textAlignment w:val="baseline"/>
        <w:rPr>
          <w:rFonts w:ascii="Times New Roman" w:hAnsi="Times New Roman" w:eastAsia="Times New Roman" w:cs="Times New Roman"/>
          <w:lang w:val="en-US"/>
        </w:rPr>
      </w:pPr>
      <w:r>
        <w:rPr>
          <w:rStyle w:val="PleaseReviewParagraphId"/>
          <w:b w:val="off"/>
          <w:i w:val="off"/>
        </w:rPr>
        <w:t>[85]</w:t>
      </w:r>
      <w:r>
        <w:rPr>
          <w:rFonts w:ascii="Times New Roman" w:hAnsi="Times New Roman" w:eastAsia="Times New Roman" w:cs="Times New Roman"/>
          <w:lang w:val="en-GB"/>
        </w:rPr>
        <w:t>This Guide will be developed under the FAO “Common Market for Eastern and Southern Africa (COMESA) Trade Facilitation Programme (GCP/INT/387/COM)”.</w:t>
      </w:r>
      <w:r>
        <w:rPr>
          <w:rFonts w:ascii="Times New Roman" w:hAnsi="Times New Roman" w:eastAsia="Times New Roman" w:cs="Times New Roman"/>
          <w:lang w:val="en-US"/>
        </w:rPr>
        <w:t> </w:t>
      </w:r>
    </w:p>
    <w:p w14:paraId="615A7457" w14:textId="2B6163C3">
      <w:pPr>
        <w:keepNext/>
        <w:tabs>
          <w:tab w:val="left" w:pos="567"/>
        </w:tabs>
        <w:spacing w:before="240" w:after="120" w:line="276" w:lineRule="auto"/>
        <w:ind w:left="567" w:hanging="567"/>
        <w:outlineLvl w:val="1"/>
        <w:rPr>
          <w:rFonts w:ascii="Times New Roman" w:hAnsi="Times New Roman" w:eastAsia="Times" w:cs="Times New Roman"/>
          <w:b/>
          <w:i/>
          <w:iCs/>
          <w:lang w:val="en-US"/>
        </w:rPr>
      </w:pPr>
      <w:r>
        <w:rPr>
          <w:rStyle w:val="PleaseReviewParagraphId"/>
          <w:b w:val="off"/>
          <w:i w:val="off"/>
        </w:rPr>
        <w:t>[86]</w:t>
      </w:r>
      <w:r>
        <w:rPr>
          <w:rFonts w:ascii="Times New Roman" w:hAnsi="Times New Roman" w:eastAsia="Times" w:cs="Times New Roman"/>
          <w:b/>
          <w:lang w:val="en-US"/>
        </w:rPr>
        <w:t xml:space="preserve">9. Selection criteria for working group experts </w:t>
      </w:r>
    </w:p>
    <w:p w14:paraId="5DBFDBAC" w14:textId="77777777">
      <w:pPr>
        <w:spacing w:after="180" w:line="276" w:lineRule="auto"/>
        <w:jc w:val="both"/>
        <w:rPr>
          <w:rFonts w:ascii="Times New Roman" w:hAnsi="Times New Roman" w:eastAsia="Times" w:cs="Times New Roman"/>
          <w:lang w:val="en-US"/>
        </w:rPr>
      </w:pPr>
      <w:r>
        <w:rPr>
          <w:rStyle w:val="PleaseReviewParagraphId"/>
          <w:b w:val="off"/>
          <w:i w:val="off"/>
        </w:rPr>
        <w:t>[87]</w:t>
      </w:r>
      <w:r>
        <w:rPr>
          <w:rFonts w:ascii="Times New Roman" w:hAnsi="Times New Roman" w:eastAsia="Times" w:cs="Times New Roman"/>
          <w:lang w:val="en-US"/>
        </w:rPr>
        <w:t xml:space="preserve">A working group should be formed to help develop this Guide and should be composed of experts with relevant technical and practical expertise in the subject matter. The group should take into account geographical representation from both developing and developed countries to ensure that the material developed is globally applicable, as well as gender representation. </w:t>
      </w:r>
    </w:p>
    <w:p w14:paraId="662E25A3" w14:textId="0A00DA35">
      <w:pPr>
        <w:spacing w:after="180" w:line="276" w:lineRule="auto"/>
        <w:jc w:val="both"/>
        <w:rPr>
          <w:rFonts w:ascii="Times New Roman" w:hAnsi="Times New Roman" w:eastAsia="Times" w:cs="Times New Roman"/>
          <w:lang w:val="en-US"/>
        </w:rPr>
      </w:pPr>
      <w:r>
        <w:rPr>
          <w:rStyle w:val="PleaseReviewParagraphId"/>
          <w:b w:val="off"/>
          <w:i w:val="off"/>
        </w:rPr>
        <w:t>[88]</w:t>
      </w:r>
      <w:r>
        <w:rPr>
          <w:rFonts w:ascii="Times New Roman" w:hAnsi="Times New Roman" w:eastAsia="Times" w:cs="Times New Roman"/>
          <w:lang w:val="en-US"/>
        </w:rPr>
        <w:lastRenderedPageBreak/>
        <w:t>The following criteria should be used for selecting working group members:</w:t>
      </w:r>
    </w:p>
    <w:p w14:paraId="1366DDF8" w14:textId="77777777">
      <w:pPr>
        <w:numPr>
          <w:ilvl w:val="0"/>
          <w:numId w:val="2"/>
        </w:numPr>
        <w:tabs>
          <w:tab w:val="left" w:pos="1134"/>
        </w:tabs>
        <w:spacing w:after="60" w:line="240" w:lineRule="auto"/>
        <w:ind w:left="709"/>
        <w:jc w:val="both"/>
        <w:rPr>
          <w:rFonts w:ascii="Times New Roman" w:hAnsi="Times New Roman" w:eastAsia="Times" w:cs="Times New Roman"/>
          <w:szCs w:val="24"/>
          <w:lang w:val="en-US"/>
        </w:rPr>
      </w:pPr>
      <w:r>
        <w:rPr>
          <w:rStyle w:val="PleaseReviewParagraphId"/>
          <w:b w:val="off"/>
          <w:i w:val="off"/>
        </w:rPr>
        <w:t>[89]</w:t>
      </w:r>
      <w:r>
        <w:rPr>
          <w:rFonts w:ascii="Times New Roman" w:hAnsi="Times New Roman" w:eastAsia="Times" w:cs="Times New Roman"/>
          <w:szCs w:val="24"/>
          <w:lang w:val="en-US"/>
        </w:rPr>
        <w:t>Practical expertise and knowledge in one or more of the following areas:</w:t>
      </w:r>
    </w:p>
    <w:p w14:paraId="272BCC7D" w14:textId="4B609CAB">
      <w:pPr>
        <w:numPr>
          <w:ilvl w:val="0"/>
          <w:numId w:val="3"/>
        </w:numPr>
        <w:spacing w:after="200" w:line="276" w:lineRule="auto"/>
        <w:contextualSpacing/>
        <w:rPr>
          <w:rFonts w:ascii="Times New Roman" w:hAnsi="Times New Roman" w:eastAsia="MS Mincho" w:cs="Times New Roman"/>
          <w:lang w:val="en-US"/>
        </w:rPr>
      </w:pPr>
      <w:r>
        <w:rPr>
          <w:rStyle w:val="PleaseReviewParagraphId"/>
          <w:b w:val="off"/>
          <w:i w:val="off"/>
        </w:rPr>
        <w:t>[90]</w:t>
      </w:r>
      <w:r>
        <w:rPr>
          <w:rFonts w:ascii="Times New Roman" w:hAnsi="Times New Roman" w:eastAsia="MS Mincho" w:cs="Times New Roman"/>
          <w:lang w:val="en-US"/>
        </w:rPr>
        <w:t>Setting up and implementing contingency plans and emergency responses</w:t>
      </w:r>
    </w:p>
    <w:p w14:paraId="6C5E4151" w14:textId="4B5977AC">
      <w:pPr>
        <w:numPr>
          <w:ilvl w:val="0"/>
          <w:numId w:val="3"/>
        </w:numPr>
        <w:spacing w:after="200" w:line="276" w:lineRule="auto"/>
        <w:contextualSpacing/>
        <w:rPr>
          <w:rFonts w:ascii="Times New Roman" w:hAnsi="Times New Roman" w:eastAsia="MS Mincho" w:cs="Times New Roman"/>
          <w:lang w:val="en-US"/>
        </w:rPr>
      </w:pPr>
      <w:r>
        <w:rPr>
          <w:rStyle w:val="PleaseReviewParagraphId"/>
          <w:b w:val="off"/>
          <w:i w:val="off"/>
        </w:rPr>
        <w:t>[91]</w:t>
      </w:r>
      <w:r>
        <w:rPr>
          <w:rFonts w:ascii="Times New Roman" w:hAnsi="Times New Roman" w:eastAsia="MS Mincho" w:cs="Times New Roman"/>
          <w:lang w:val="en-US"/>
        </w:rPr>
        <w:t xml:space="preserve">Carrying out pest surveillance activities </w:t>
      </w:r>
    </w:p>
    <w:p w14:paraId="3DEAC4C9" w14:textId="4250D960">
      <w:pPr>
        <w:numPr>
          <w:ilvl w:val="0"/>
          <w:numId w:val="3"/>
        </w:numPr>
        <w:spacing w:after="200" w:line="276" w:lineRule="auto"/>
        <w:contextualSpacing/>
        <w:rPr>
          <w:rFonts w:ascii="Times New Roman" w:hAnsi="Times New Roman" w:eastAsia="MS Mincho" w:cs="Times New Roman"/>
          <w:lang w:val="en-US"/>
        </w:rPr>
      </w:pPr>
      <w:r>
        <w:rPr>
          <w:rStyle w:val="PleaseReviewParagraphId"/>
          <w:b w:val="off"/>
          <w:i w:val="off"/>
        </w:rPr>
        <w:t>[92]</w:t>
      </w:r>
      <w:r>
        <w:rPr>
          <w:rFonts w:ascii="Times New Roman" w:hAnsi="Times New Roman" w:eastAsia="MS Mincho" w:cs="Times New Roman"/>
          <w:lang w:val="en-US"/>
        </w:rPr>
        <w:t>Pest diagnostics</w:t>
      </w:r>
    </w:p>
    <w:p w14:paraId="728C2A62" w14:textId="32B01430">
      <w:pPr>
        <w:numPr>
          <w:ilvl w:val="0"/>
          <w:numId w:val="3"/>
        </w:numPr>
        <w:spacing w:after="200" w:line="276" w:lineRule="auto"/>
        <w:contextualSpacing/>
        <w:rPr>
          <w:rFonts w:ascii="Times New Roman" w:hAnsi="Times New Roman" w:eastAsia="MS Mincho" w:cs="Times New Roman"/>
          <w:lang w:val="en-US"/>
        </w:rPr>
      </w:pPr>
      <w:r>
        <w:rPr>
          <w:rStyle w:val="PleaseReviewParagraphId"/>
          <w:b w:val="off"/>
          <w:i w:val="off"/>
        </w:rPr>
        <w:t>[93]</w:t>
      </w:r>
      <w:r>
        <w:rPr>
          <w:rFonts w:ascii="Times New Roman" w:hAnsi="Times New Roman" w:eastAsia="MS Mincho" w:cs="Times New Roman"/>
          <w:lang w:val="en-US"/>
        </w:rPr>
        <w:t>Pest eradication strategies</w:t>
      </w:r>
    </w:p>
    <w:p w14:paraId="4209BD43" w14:textId="3EE165D7">
      <w:pPr>
        <w:numPr>
          <w:ilvl w:val="0"/>
          <w:numId w:val="3"/>
        </w:numPr>
        <w:spacing w:after="200" w:line="276" w:lineRule="auto"/>
        <w:contextualSpacing/>
        <w:rPr>
          <w:rFonts w:ascii="Times New Roman" w:hAnsi="Times New Roman" w:eastAsia="MS Mincho" w:cs="Times New Roman"/>
          <w:lang w:val="en-US"/>
        </w:rPr>
      </w:pPr>
      <w:r>
        <w:rPr>
          <w:rStyle w:val="PleaseReviewParagraphId"/>
          <w:b w:val="off"/>
          <w:i w:val="off"/>
        </w:rPr>
        <w:t>[94]</w:t>
      </w:r>
      <w:r>
        <w:rPr>
          <w:rFonts w:ascii="Times New Roman" w:hAnsi="Times New Roman" w:eastAsia="MS Mincho" w:cs="Times New Roman"/>
          <w:lang w:val="en-US"/>
        </w:rPr>
        <w:t>Pest simulation exercises</w:t>
      </w:r>
    </w:p>
    <w:p w14:paraId="680CBC6C" w14:textId="0DF6D057">
      <w:pPr>
        <w:numPr>
          <w:ilvl w:val="0"/>
          <w:numId w:val="3"/>
        </w:numPr>
        <w:spacing w:after="200" w:line="276" w:lineRule="auto"/>
        <w:contextualSpacing/>
        <w:rPr>
          <w:rFonts w:ascii="Times New Roman" w:hAnsi="Times New Roman" w:eastAsia="MS Mincho" w:cs="Times New Roman"/>
          <w:lang w:val="en-US"/>
        </w:rPr>
      </w:pPr>
      <w:r>
        <w:rPr>
          <w:rStyle w:val="PleaseReviewParagraphId"/>
          <w:b w:val="off"/>
          <w:i w:val="off"/>
        </w:rPr>
        <w:t>[95]</w:t>
      </w:r>
      <w:r>
        <w:rPr>
          <w:rFonts w:ascii="Times New Roman" w:hAnsi="Times New Roman" w:eastAsia="MS Mincho" w:cs="Times New Roman"/>
          <w:lang w:val="en-US"/>
        </w:rPr>
        <w:t>Risk communication</w:t>
      </w:r>
    </w:p>
    <w:p w14:paraId="50128B4A" w14:textId="280346E3">
      <w:pPr>
        <w:numPr>
          <w:ilvl w:val="0"/>
          <w:numId w:val="2"/>
        </w:numPr>
        <w:tabs>
          <w:tab w:val="left" w:pos="1134"/>
        </w:tabs>
        <w:spacing w:after="60" w:line="240" w:lineRule="auto"/>
        <w:ind w:left="709"/>
        <w:jc w:val="both"/>
        <w:rPr>
          <w:rFonts w:ascii="Times New Roman" w:hAnsi="Times New Roman" w:eastAsia="Times" w:cs="Times New Roman"/>
          <w:szCs w:val="24"/>
          <w:lang w:val="en-US"/>
        </w:rPr>
      </w:pPr>
      <w:r>
        <w:rPr>
          <w:rStyle w:val="PleaseReviewParagraphId"/>
          <w:b w:val="off"/>
          <w:i w:val="off"/>
        </w:rPr>
        <w:t>[96]</w:t>
      </w:r>
      <w:r>
        <w:rPr>
          <w:rFonts w:ascii="Times New Roman" w:hAnsi="Times New Roman" w:eastAsia="Times" w:cs="Times New Roman"/>
          <w:szCs w:val="24"/>
          <w:lang w:val="en-US"/>
        </w:rPr>
        <w:t xml:space="preserve">Knowledge of the national, regional and global phytosanitary systems </w:t>
      </w:r>
    </w:p>
    <w:sectPr>
      <w:pgSz w:w="12240" w:h="15840"/>
      <w:pgMar w:top="1440" w:right="1440" w:bottom="1440" w:left="1440" w:header="720" w:footer="720" w:gutter="0"/>
      <w:cols w:space="720"/>
      <w:docGrid w:linePitch="360"/>
    </w:sectPr>
  </w:body>
</w:document>
</file>

<file path=word/commentsIds.xml><?xml version="1.0" encoding="utf-8"?>
<w16cid:commentsIds xmlns:w16cid="http://schemas.microsoft.com/office/word/2016/wordml/cid" xmlns:mc="http://schemas.openxmlformats.org/markup-compatibility/2006" mc:Ignorable="w16cid"/>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EA8A3" w14:textId="77777777">
      <w:pPr>
        <w:spacing w:after="0" w:line="240" w:lineRule="auto"/>
      </w:pPr>
      <w:r>
        <w:rPr>
          <w:rStyle w:val="PleaseReviewParagraphId"/>
          <w:b w:val="off"/>
          <w:i w:val="off"/>
        </w:rPr>
        <w:t>[]</w:t>
      </w:r>
      <w:r>
        <w:separator/>
      </w:r>
    </w:p>
  </w:endnote>
  <w:endnote w:type="continuationSeparator" w:id="0">
    <w:p w14:paraId="562AA2EE" w14:textId="77777777">
      <w:pPr>
        <w:spacing w:after="0" w:line="240" w:lineRule="auto"/>
      </w:pPr>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6F2A5" w14:textId="77777777">
      <w:pPr>
        <w:spacing w:after="0" w:line="240" w:lineRule="auto"/>
      </w:pPr>
      <w:r>
        <w:rPr>
          <w:rStyle w:val="PleaseReviewParagraphId"/>
          <w:b w:val="off"/>
          <w:i w:val="off"/>
        </w:rPr>
        <w:t>[]</w:t>
      </w:r>
      <w:r>
        <w:separator/>
      </w:r>
    </w:p>
  </w:footnote>
  <w:footnote w:type="continuationSeparator" w:id="0">
    <w:p w14:paraId="20856F49" w14:textId="77777777">
      <w:pPr>
        <w:spacing w:after="0" w:line="240" w:lineRule="auto"/>
      </w:pPr>
      <w:r>
        <w:rPr>
          <w:rStyle w:val="PleaseReviewParagraphId"/>
          <w:b w:val="off"/>
          <w:i w:val="off"/>
        </w:rPr>
        <w:t>[]</w:t>
      </w:r>
      <w:r>
        <w:continuationSeparator/>
      </w:r>
    </w:p>
  </w:footnote>
  <w:footnote w:id="1">
    <w:p w14:paraId="72768513" w14:textId="77777777">
      <w:pPr>
        <w:pStyle w:val="FootnoteText"/>
        <w:rPr>
          <w:lang w:val="en-GB"/>
        </w:rPr>
      </w:pPr>
      <w:r>
        <w:rPr>
          <w:rStyle w:val="PleaseReviewParagraphId"/>
          <w:b w:val="off"/>
          <w:i w:val="off"/>
        </w:rPr>
        <w:t>[34]</w:t>
      </w:r>
      <w:r>
        <w:rPr>
          <w:rStyle w:val="FootnoteReference"/>
        </w:rPr>
        <w:footnoteRef/>
      </w:r>
      <w:r>
        <w:t xml:space="preserve"> </w:t>
      </w:r>
      <w:hyperlink w:history="1" r:id="rId1">
        <w:r>
          <w:rPr>
            <w:rStyle w:val="Hyperlink1"/>
          </w:rPr>
          <w:t>https://www.ippc.int/en/publications/131/</w:t>
        </w:r>
      </w:hyperlink>
      <w:r>
        <w:t xml:space="preserve"> </w:t>
      </w:r>
    </w:p>
  </w:footnote>
  <w:footnote w:id="2">
    <w:p w14:paraId="47DC1905" w14:textId="77777777">
      <w:pPr>
        <w:pStyle w:val="FootnoteText"/>
        <w:rPr>
          <w:u w:val="single"/>
          <w:lang w:val="en-ZA"/>
        </w:rPr>
      </w:pPr>
      <w:r>
        <w:rPr>
          <w:rStyle w:val="PleaseReviewParagraphId"/>
          <w:b w:val="off"/>
          <w:i w:val="off"/>
        </w:rPr>
        <w:t>[36]</w:t>
      </w:r>
      <w:r>
        <w:rPr>
          <w:rStyle w:val="FootnoteReference"/>
        </w:rPr>
        <w:footnoteRef/>
      </w:r>
      <w:r>
        <w:t xml:space="preserve"> </w:t>
      </w:r>
      <w:hyperlink w:history="1" r:id="rId2">
        <w:r>
          <w:rPr>
            <w:rStyle w:val="Hyperlink1"/>
          </w:rPr>
          <w:t>https://www.ippc.int/en/publications/614/</w:t>
        </w:r>
      </w:hyperlink>
      <w:r>
        <w:rPr>
          <w:u w:val="single"/>
        </w:rPr>
        <w:t xml:space="preserve"> </w:t>
      </w:r>
    </w:p>
  </w:footnote>
  <w:footnote w:id="3">
    <w:p w14:paraId="61B8BD0A" w14:textId="77777777">
      <w:pPr>
        <w:pStyle w:val="FootnoteText"/>
        <w:rPr>
          <w:lang w:val="en-ZA"/>
        </w:rPr>
      </w:pPr>
      <w:r>
        <w:rPr>
          <w:rStyle w:val="PleaseReviewParagraphId"/>
          <w:b w:val="off"/>
          <w:i w:val="off"/>
        </w:rPr>
        <w:t>[38]</w:t>
      </w:r>
      <w:r>
        <w:rPr>
          <w:rStyle w:val="FootnoteReference"/>
          <w:u w:val="single"/>
        </w:rPr>
        <w:footnoteRef/>
      </w:r>
      <w:r>
        <w:rPr>
          <w:u w:val="single"/>
        </w:rPr>
        <w:t xml:space="preserve"> </w:t>
      </w:r>
      <w:hyperlink w:history="1" r:id="rId3">
        <w:r>
          <w:rPr>
            <w:rStyle w:val="Hyperlink1"/>
          </w:rPr>
          <w:t>https://www.ippc.int/en/publications/615/</w:t>
        </w:r>
      </w:hyperlink>
      <w:r>
        <w:t xml:space="preserve"> </w:t>
      </w:r>
    </w:p>
  </w:footnote>
  <w:footnote w:id="4">
    <w:p w14:paraId="07391BE0" w14:textId="77777777">
      <w:pPr>
        <w:pStyle w:val="FootnoteText"/>
        <w:rPr>
          <w:lang w:val="en-ZA"/>
        </w:rPr>
      </w:pPr>
      <w:r>
        <w:rPr>
          <w:rStyle w:val="PleaseReviewParagraphId"/>
          <w:b w:val="off"/>
          <w:i w:val="off"/>
        </w:rPr>
        <w:t>[40]</w:t>
      </w:r>
      <w:r>
        <w:rPr>
          <w:rStyle w:val="FootnoteReference"/>
        </w:rPr>
        <w:footnoteRef/>
      </w:r>
      <w:r>
        <w:t xml:space="preserve"> </w:t>
      </w:r>
      <w:hyperlink w:history="1" r:id="rId4">
        <w:r>
          <w:rPr>
            <w:rStyle w:val="Hyperlink1"/>
          </w:rPr>
          <w:t>https://www.ippc.int/en/publications/612/</w:t>
        </w:r>
      </w:hyperlink>
      <w:r>
        <w:t xml:space="preserve"> </w:t>
      </w:r>
    </w:p>
  </w:footnote>
  <w:footnote w:id="5">
    <w:p w14:paraId="34EF21CA" w14:textId="77777777">
      <w:pPr>
        <w:pStyle w:val="FootnoteText"/>
        <w:rPr>
          <w:lang w:val="en-ZA"/>
        </w:rPr>
      </w:pPr>
      <w:r>
        <w:rPr>
          <w:rStyle w:val="PleaseReviewParagraphId"/>
          <w:b w:val="off"/>
          <w:i w:val="off"/>
        </w:rPr>
        <w:t>[42]</w:t>
      </w:r>
      <w:r>
        <w:rPr>
          <w:rStyle w:val="FootnoteReference"/>
        </w:rPr>
        <w:footnoteRef/>
      </w:r>
      <w:r>
        <w:t xml:space="preserve"> </w:t>
      </w:r>
      <w:hyperlink w:history="1" r:id="rId5">
        <w:r>
          <w:rPr>
            <w:rStyle w:val="Hyperlink1"/>
          </w:rPr>
          <w:t>https://www.ippc.int/en/publications/611/</w:t>
        </w:r>
      </w:hyperlink>
      <w:r>
        <w:t xml:space="preserve"> </w:t>
      </w:r>
    </w:p>
  </w:footnote>
  <w:footnote w:id="6">
    <w:p w14:paraId="54F00BD0" w14:textId="77777777">
      <w:pPr>
        <w:pStyle w:val="FootnoteText"/>
        <w:rPr>
          <w:lang w:val="en-ZA"/>
        </w:rPr>
      </w:pPr>
      <w:r>
        <w:rPr>
          <w:rStyle w:val="PleaseReviewParagraphId"/>
          <w:b w:val="off"/>
          <w:i w:val="off"/>
        </w:rPr>
        <w:t>[44]</w:t>
      </w:r>
      <w:r>
        <w:rPr>
          <w:rStyle w:val="FootnoteReference"/>
        </w:rPr>
        <w:footnoteRef/>
      </w:r>
      <w:r>
        <w:t xml:space="preserve"> </w:t>
      </w:r>
      <w:hyperlink w:history="1" r:id="rId6">
        <w:r>
          <w:rPr>
            <w:rStyle w:val="Hyperlink1"/>
          </w:rPr>
          <w:t>https://www.ippc.int/en/publications/610/</w:t>
        </w:r>
      </w:hyperlink>
      <w:r>
        <w:t xml:space="preserve"> </w:t>
      </w:r>
    </w:p>
  </w:footnote>
  <w:footnote w:id="7">
    <w:p w14:paraId="180204B4" w14:textId="77777777">
      <w:pPr>
        <w:pStyle w:val="FootnoteText"/>
        <w:rPr>
          <w:lang w:val="en-ZA"/>
        </w:rPr>
      </w:pPr>
      <w:r>
        <w:rPr>
          <w:rStyle w:val="PleaseReviewParagraphId"/>
          <w:b w:val="off"/>
          <w:i w:val="off"/>
        </w:rPr>
        <w:t>[46]</w:t>
      </w:r>
      <w:r>
        <w:rPr>
          <w:rStyle w:val="FootnoteReference"/>
        </w:rPr>
        <w:footnoteRef/>
      </w:r>
      <w:r>
        <w:t xml:space="preserve"> </w:t>
      </w:r>
      <w:hyperlink w:history="1" r:id="rId7">
        <w:r>
          <w:rPr>
            <w:rStyle w:val="Hyperlink1"/>
          </w:rPr>
          <w:t>https://www.ippc.int/en/publications/607/</w:t>
        </w:r>
      </w:hyperlink>
      <w:r>
        <w:t xml:space="preserve"> </w:t>
      </w:r>
    </w:p>
  </w:footnote>
  <w:footnote w:id="8">
    <w:p w14:paraId="207B3493" w14:textId="77777777">
      <w:pPr>
        <w:pStyle w:val="FootnoteText"/>
        <w:rPr>
          <w:lang w:val="en-ZA"/>
        </w:rPr>
      </w:pPr>
      <w:r>
        <w:rPr>
          <w:rStyle w:val="PleaseReviewParagraphId"/>
          <w:b w:val="off"/>
          <w:i w:val="off"/>
        </w:rPr>
        <w:t>[48]</w:t>
      </w:r>
      <w:r>
        <w:rPr>
          <w:rStyle w:val="FootnoteReference"/>
        </w:rPr>
        <w:footnoteRef/>
      </w:r>
      <w:r>
        <w:t xml:space="preserve"> </w:t>
      </w:r>
      <w:hyperlink w:history="1" r:id="rId8">
        <w:r>
          <w:rPr>
            <w:rStyle w:val="Hyperlink1"/>
          </w:rPr>
          <w:t>https://www.ippc.int/en/publications/606/</w:t>
        </w:r>
      </w:hyperlink>
      <w:r>
        <w:t xml:space="preserve"> </w:t>
      </w:r>
    </w:p>
  </w:footnote>
  <w:footnote w:id="9">
    <w:p w14:paraId="319CB44F" w14:textId="77777777">
      <w:pPr>
        <w:pStyle w:val="FootnoteText"/>
        <w:rPr>
          <w:lang w:val="en-ZA"/>
        </w:rPr>
      </w:pPr>
      <w:r>
        <w:rPr>
          <w:rStyle w:val="PleaseReviewParagraphId"/>
          <w:b w:val="off"/>
          <w:i w:val="off"/>
        </w:rPr>
        <w:t>[50]</w:t>
      </w:r>
      <w:r>
        <w:rPr>
          <w:rStyle w:val="FootnoteReference"/>
        </w:rPr>
        <w:footnoteRef/>
      </w:r>
      <w:r>
        <w:t xml:space="preserve"> </w:t>
      </w:r>
      <w:hyperlink w:history="1" r:id="rId9">
        <w:r>
          <w:rPr>
            <w:rStyle w:val="Hyperlink1"/>
          </w:rPr>
          <w:t>https://www.ippc.int/en/publications/599/</w:t>
        </w:r>
      </w:hyperlink>
      <w:r>
        <w:t xml:space="preserve"> </w:t>
      </w:r>
    </w:p>
  </w:footnote>
  <w:footnote w:id="10">
    <w:p w14:paraId="63BE0A6C" w14:textId="77777777">
      <w:pPr>
        <w:pStyle w:val="FootnoteText"/>
        <w:rPr>
          <w:u w:val="single"/>
          <w:lang w:val="en-ZA"/>
        </w:rPr>
      </w:pPr>
      <w:r>
        <w:rPr>
          <w:rStyle w:val="PleaseReviewParagraphId"/>
          <w:b w:val="off"/>
          <w:i w:val="off"/>
        </w:rPr>
        <w:t>[52]</w:t>
      </w:r>
      <w:r>
        <w:rPr>
          <w:rStyle w:val="FootnoteReference"/>
        </w:rPr>
        <w:footnoteRef/>
      </w:r>
      <w:r>
        <w:t xml:space="preserve"> </w:t>
      </w:r>
      <w:hyperlink w:history="1" r:id="rId10">
        <w:r>
          <w:rPr>
            <w:rStyle w:val="Hyperlink1"/>
          </w:rPr>
          <w:t>https://www.ippc.int/en/publications/593/</w:t>
        </w:r>
      </w:hyperlink>
      <w:r>
        <w:rPr>
          <w:u w:val="single"/>
        </w:rPr>
        <w:t xml:space="preserve"> </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1786"/>
    <w:multiLevelType w:val="hybridMultilevel"/>
    <w:tmpl w:val="7C1A4FC2"/>
    <w:lvl w:ilvl="0" w:tplc="E55A6314">
      <w:start w:val="1"/>
      <w:numFmt w:val="decimal"/>
      <w:lvlText w:val="(%1)"/>
      <w:lvlJc w:val="left"/>
      <w:pPr>
        <w:ind w:left="927" w:hanging="360"/>
      </w:pPr>
      <w:rPr>
        <w:rFonts w:hint="default"/>
        <w:b w:val="0"/>
        <w:i w:val="0"/>
        <w:color w:val="auto"/>
        <w:sz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57901"/>
    <w:multiLevelType w:val="hybridMultilevel"/>
    <w:tmpl w:val="F008F69C"/>
    <w:lvl w:ilvl="0" w:tplc="1C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3071A8"/>
    <w:multiLevelType w:val="hybridMultilevel"/>
    <w:tmpl w:val="2C566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20B63D7"/>
    <w:multiLevelType w:val="hybridMultilevel"/>
    <w:tmpl w:val="2758ACF6"/>
    <w:lvl w:ilvl="0" w:tplc="9C32ABD2">
      <w:start w:val="8"/>
      <w:numFmt w:val="bullet"/>
      <w:lvlText w:val="-"/>
      <w:lvlJc w:val="left"/>
      <w:pPr>
        <w:ind w:left="1069" w:hanging="360"/>
      </w:pPr>
      <w:rPr>
        <w:rFonts w:ascii="Times New Roman" w:eastAsia="Times"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9F"/>
    <w:rsid w:val="00005717"/>
    <w:rsid w:val="001632F0"/>
    <w:rsid w:val="001D4162"/>
    <w:rsid w:val="0026723A"/>
    <w:rsid w:val="00282D0D"/>
    <w:rsid w:val="002C32D0"/>
    <w:rsid w:val="002E52F0"/>
    <w:rsid w:val="002F1DFB"/>
    <w:rsid w:val="00306CD4"/>
    <w:rsid w:val="0035385E"/>
    <w:rsid w:val="0040076C"/>
    <w:rsid w:val="004118DD"/>
    <w:rsid w:val="00433C5D"/>
    <w:rsid w:val="00492A7D"/>
    <w:rsid w:val="004D2951"/>
    <w:rsid w:val="005C5F5A"/>
    <w:rsid w:val="005F4BB7"/>
    <w:rsid w:val="0064084B"/>
    <w:rsid w:val="0065642C"/>
    <w:rsid w:val="00696894"/>
    <w:rsid w:val="006D06D7"/>
    <w:rsid w:val="007F3E9D"/>
    <w:rsid w:val="0080470D"/>
    <w:rsid w:val="00843C05"/>
    <w:rsid w:val="008E4D64"/>
    <w:rsid w:val="00920E9D"/>
    <w:rsid w:val="00990691"/>
    <w:rsid w:val="009B2F87"/>
    <w:rsid w:val="009B4A9F"/>
    <w:rsid w:val="00A032F6"/>
    <w:rsid w:val="00A91FA4"/>
    <w:rsid w:val="00AE7F69"/>
    <w:rsid w:val="00B16DEE"/>
    <w:rsid w:val="00C249F5"/>
    <w:rsid w:val="00C378F8"/>
    <w:rsid w:val="00D25FF5"/>
    <w:rsid w:val="00DA1D4B"/>
    <w:rsid w:val="00E8526F"/>
    <w:rsid w:val="00EF58E2"/>
    <w:rsid w:val="00F01D0C"/>
    <w:rsid w:val="10F7D3D9"/>
    <w:rsid w:val="4AF2EF3D"/>
    <w:rsid w:val="720F64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6AD0"/>
  <w15:chartTrackingRefBased/>
  <w15:docId w15:val="{9C958DF3-AAD0-419A-B653-EFE3172310E7}"/>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Pr>
      <w:color w:val="0563C1"/>
      <w:u w:val="single"/>
    </w:rPr>
  </w:style>
  <w:style w:type="paragraph" w:styleId="FootnoteText">
    <w:name w:val="footnote text"/>
    <w:basedOn w:val="Normal"/>
    <w:link w:val="FootnoteTextChar"/>
    <w:uiPriority w:val="99"/>
    <w:semiHidden/>
    <w:unhideWhenUsed/>
    <w:pPr>
      <w:spacing w:after="0" w:line="240" w:lineRule="auto"/>
    </w:pPr>
    <w:rPr>
      <w:rFonts w:ascii="Calibri" w:eastAsia="MS Mincho" w:hAnsi="Calibri" w:cs="Arial"/>
      <w:sz w:val="20"/>
      <w:szCs w:val="20"/>
      <w:lang w:val="en-CA" w:eastAsia="ja-JP"/>
    </w:rPr>
  </w:style>
  <w:style w:type="character" w:customStyle="1" w:styleId="FootnoteTextChar">
    <w:name w:val="Footnote Text Char"/>
    <w:basedOn w:val="DefaultParagraphFont"/>
    <w:link w:val="FootnoteText"/>
    <w:uiPriority w:val="99"/>
    <w:semiHidden/>
    <w:rPr>
      <w:rFonts w:ascii="Calibri" w:eastAsia="MS Mincho" w:hAnsi="Calibri" w:cs="Arial"/>
      <w:sz w:val="20"/>
      <w:szCs w:val="20"/>
      <w:lang w:val="en-CA" w:eastAsia="ja-JP"/>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irsa.org/informacion.aspx?id=20" TargetMode="External" Id="rId8" /><Relationship Type="http://schemas.openxmlformats.org/officeDocument/2006/relationships/hyperlink" Target="http://bif.lrd.spc.int/plant-biosecurity/internal-quarantine/procedures/contingency-planning-and-emergency-response/" TargetMode="External" Id="rId13" /><Relationship Type="http://schemas.openxmlformats.org/officeDocument/2006/relationships/theme" Target="theme/theme1.xml" Id="rId18" /><Relationship Type="http://schemas.microsoft.com/office/2016/09/relationships/commentsIds" Target="commentsIds.xml" Id="R2624fc87ec9e4458" /><Relationship Type="http://schemas.openxmlformats.org/officeDocument/2006/relationships/settings" Target="settings.xml" Id="rId3" /><Relationship Type="http://schemas.openxmlformats.org/officeDocument/2006/relationships/hyperlink" Target="https://www.ippc.int/en/publications/588/" TargetMode="External" Id="rId7" /><Relationship Type="http://schemas.openxmlformats.org/officeDocument/2006/relationships/hyperlink" Target="https://planthealthportal.defra.gov.uk/pests-and-diseases/contingency-planning/"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yperlink" Target="https://www.aphis.usda.gov/import_export/plants/manuals/emergency/downloads/epm.pdf" TargetMode="Externa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planthealthaustralia.com.au/biosecurity/risk-mitigation/contingency-planning/" TargetMode="External" Id="rId11" /><Relationship Type="http://schemas.openxmlformats.org/officeDocument/2006/relationships/footnotes" Target="footnotes.xml" Id="rId5" /><Relationship Type="http://schemas.openxmlformats.org/officeDocument/2006/relationships/hyperlink" Target="https://www.planthealthaustralia.com.au/wp-content/uploads/2012/11/Technical-Guidelines-for-Development-of-Pest-Specific-Response-Plans.pdf" TargetMode="External" Id="rId15" /><Relationship Type="http://schemas.openxmlformats.org/officeDocument/2006/relationships/hyperlink" Target="https://www.eppo.int/RESOURCES/eppo_standards/pm9_control_systems" TargetMode="External" Id="rId10" /><Relationship Type="http://schemas.openxmlformats.org/officeDocument/2006/relationships/webSettings" Target="webSettings.xml" Id="rId4" /><Relationship Type="http://schemas.openxmlformats.org/officeDocument/2006/relationships/hyperlink" Target="https://doi.org/10.4060/cb3833en" TargetMode="External" Id="rId9" /><Relationship Type="http://schemas.openxmlformats.org/officeDocument/2006/relationships/hyperlink" Target="https://assets.publishing.service.gov.uk/government/uploads/system/uploads/attachment_data/file/593508/generic-contingency-plan-plant-bee-health-england.pdf" TargetMode="External" Id="rId14" /></Relationships>
</file>

<file path=word/_rels/footnotes.xml.rels>&#65279;<?xml version="1.0" encoding="utf-8"?><Relationships xmlns="http://schemas.openxmlformats.org/package/2006/relationships"><Relationship Type="http://schemas.openxmlformats.org/officeDocument/2006/relationships/hyperlink" Target="https://www.ippc.int/en/publications/606/" TargetMode="External" Id="rId8" /><Relationship Type="http://schemas.openxmlformats.org/officeDocument/2006/relationships/hyperlink" Target="https://www.ippc.int/en/publications/615/" TargetMode="External" Id="rId3" /><Relationship Type="http://schemas.openxmlformats.org/officeDocument/2006/relationships/hyperlink" Target="https://www.ippc.int/en/publications/607/" TargetMode="External" Id="rId7" /><Relationship Type="http://schemas.openxmlformats.org/officeDocument/2006/relationships/hyperlink" Target="https://www.ippc.int/en/publications/614/" TargetMode="External" Id="rId2" /><Relationship Type="http://schemas.openxmlformats.org/officeDocument/2006/relationships/hyperlink" Target="https://www.ippc.int/en/publications/131/" TargetMode="External" Id="rId1" /><Relationship Type="http://schemas.openxmlformats.org/officeDocument/2006/relationships/hyperlink" Target="https://www.ippc.int/en/publications/610/" TargetMode="External" Id="rId6" /><Relationship Type="http://schemas.openxmlformats.org/officeDocument/2006/relationships/hyperlink" Target="https://www.ippc.int/en/publications/611/" TargetMode="External" Id="rId5" /><Relationship Type="http://schemas.openxmlformats.org/officeDocument/2006/relationships/hyperlink" Target="https://www.ippc.int/en/publications/593/" TargetMode="External" Id="rId10" /><Relationship Type="http://schemas.openxmlformats.org/officeDocument/2006/relationships/hyperlink" Target="https://www.ippc.int/en/publications/612/" TargetMode="External" Id="rId4" /><Relationship Type="http://schemas.openxmlformats.org/officeDocument/2006/relationships/hyperlink" Target="https://www.ippc.int/en/publications/5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1319</Words>
  <Characters>7523</Characters>
  <Application>Microsoft Office Word</Application>
  <DocSecurity>0</DocSecurity>
  <Lines>62</Lines>
  <Paragraphs>17</Paragraphs>
  <ScaleCrop>false</ScaleCrop>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Chiluba Mwape</dc:creator>
  <cp:keywords/>
  <dc:description/>
  <cp:lastModifiedBy>Czerwien, Ewa (NSP)</cp:lastModifiedBy>
  <cp:revision>20</cp:revision>
  <dcterms:created xsi:type="dcterms:W3CDTF">2021-04-23T16:35:00Z</dcterms:created>
  <dcterms:modified xsi:type="dcterms:W3CDTF">2021-06-30T21:25:00Z</dcterms:modified>
</cp:coreProperties>
</file>