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132F" w14:textId="57C0B465" w:rsidR="00D87F4F" w:rsidRPr="008929A9" w:rsidRDefault="00D23F31" w:rsidP="00425211">
      <w:pPr>
        <w:pStyle w:val="IPPHeadSection"/>
        <w:jc w:val="center"/>
      </w:pPr>
      <w:bookmarkStart w:id="0" w:name="_GoBack"/>
      <w:bookmarkEnd w:id="0"/>
      <w:r>
        <w:rPr>
          <w:rFonts w:cs="Arial"/>
          <w:szCs w:val="18"/>
        </w:rPr>
        <w:t xml:space="preserve">Other strategic topics - </w:t>
      </w:r>
      <w:r w:rsidR="008929A9" w:rsidRPr="008929A9">
        <w:t xml:space="preserve">Expanding the use of the </w:t>
      </w:r>
      <w:r w:rsidR="000672B0" w:rsidRPr="008929A9">
        <w:t>Phytosanitary Capacity Evaluation (PCE)</w:t>
      </w:r>
      <w:r w:rsidR="008929A9" w:rsidRPr="008929A9">
        <w:t xml:space="preserve"> tool</w:t>
      </w:r>
    </w:p>
    <w:p w14:paraId="537128C1" w14:textId="4C39D3FA" w:rsidR="00D87F4F" w:rsidRPr="00B65754" w:rsidRDefault="008929A9" w:rsidP="00B65754">
      <w:pPr>
        <w:spacing w:before="240"/>
        <w:jc w:val="center"/>
        <w:rPr>
          <w:i/>
          <w:iCs/>
        </w:rPr>
      </w:pPr>
      <w:r w:rsidRPr="008929A9">
        <w:rPr>
          <w:i/>
          <w:iCs/>
        </w:rPr>
        <w:t>Prepared by Australia and New Zealand</w:t>
      </w:r>
    </w:p>
    <w:p w14:paraId="504144D0" w14:textId="44EB8E35" w:rsidR="00D87F4F" w:rsidRPr="00B65754" w:rsidRDefault="00425211" w:rsidP="00B65754">
      <w:pPr>
        <w:pStyle w:val="IPPHeading1"/>
      </w:pPr>
      <w:r>
        <w:t>1.</w:t>
      </w:r>
      <w:r>
        <w:tab/>
      </w:r>
      <w:r w:rsidR="00D87F4F" w:rsidRPr="0029235E">
        <w:t>Introduction</w:t>
      </w:r>
    </w:p>
    <w:p w14:paraId="136BAA80" w14:textId="633AD9D5" w:rsidR="00A852E0" w:rsidRPr="00C635A0" w:rsidRDefault="003713DE" w:rsidP="00425211">
      <w:pPr>
        <w:pStyle w:val="IPPParagraphnumbering"/>
      </w:pPr>
      <w:r w:rsidRPr="00C635A0">
        <w:t>The Phytosanitary Capacity Evaluation (PCE) tool is a</w:t>
      </w:r>
      <w:r w:rsidR="00E73707" w:rsidRPr="00C635A0">
        <w:t>n assessment</w:t>
      </w:r>
      <w:r w:rsidRPr="00C635A0">
        <w:t xml:space="preserve"> tool for contracting parties of the International Plant Protection Convention (IPPC). Use of the PCE tool aims to provide a comprehensive review of a country’s phytosanitary system, to </w:t>
      </w:r>
      <w:r w:rsidR="00FF427C" w:rsidRPr="00C635A0">
        <w:t>understand</w:t>
      </w:r>
      <w:r w:rsidRPr="00C635A0">
        <w:t xml:space="preserve"> the current state, identify areas </w:t>
      </w:r>
      <w:r w:rsidR="00E73707" w:rsidRPr="00C635A0">
        <w:t>of need</w:t>
      </w:r>
      <w:r w:rsidRPr="00C635A0">
        <w:t xml:space="preserve"> and provide recommend</w:t>
      </w:r>
      <w:r w:rsidR="00A852E0" w:rsidRPr="00C635A0">
        <w:t xml:space="preserve">ed actions </w:t>
      </w:r>
      <w:r w:rsidR="00FF427C" w:rsidRPr="00C635A0">
        <w:t xml:space="preserve">for </w:t>
      </w:r>
      <w:r w:rsidR="00A852E0" w:rsidRPr="00C635A0">
        <w:t>improve</w:t>
      </w:r>
      <w:r w:rsidR="00FF427C" w:rsidRPr="00C635A0">
        <w:t>ment</w:t>
      </w:r>
      <w:r w:rsidR="00A852E0" w:rsidRPr="00C635A0">
        <w:t xml:space="preserve"> </w:t>
      </w:r>
      <w:r w:rsidR="00FF427C" w:rsidRPr="00C635A0">
        <w:t xml:space="preserve">of </w:t>
      </w:r>
      <w:r w:rsidR="00A852E0" w:rsidRPr="00C635A0">
        <w:t xml:space="preserve">the system. </w:t>
      </w:r>
    </w:p>
    <w:p w14:paraId="79A010DF" w14:textId="1CB716E1" w:rsidR="00A852E0" w:rsidRPr="00C635A0" w:rsidRDefault="00A852E0" w:rsidP="00C635A0">
      <w:pPr>
        <w:pStyle w:val="IPPParagraphnumbering"/>
        <w:rPr>
          <w:szCs w:val="22"/>
        </w:rPr>
      </w:pPr>
      <w:r w:rsidRPr="00C635A0">
        <w:rPr>
          <w:szCs w:val="22"/>
        </w:rPr>
        <w:t xml:space="preserve">The PCE tool </w:t>
      </w:r>
      <w:r w:rsidR="0093570C" w:rsidRPr="00C635A0">
        <w:rPr>
          <w:szCs w:val="22"/>
        </w:rPr>
        <w:t xml:space="preserve">is hosted within an online </w:t>
      </w:r>
      <w:proofErr w:type="gramStart"/>
      <w:r w:rsidR="0093570C" w:rsidRPr="00C635A0">
        <w:rPr>
          <w:szCs w:val="22"/>
        </w:rPr>
        <w:t xml:space="preserve">portal which allows countries to conduct successive </w:t>
      </w:r>
      <w:r w:rsidR="00FF427C" w:rsidRPr="00C635A0">
        <w:rPr>
          <w:szCs w:val="22"/>
        </w:rPr>
        <w:t>phytosanitary</w:t>
      </w:r>
      <w:r w:rsidR="00FF427C">
        <w:rPr>
          <w:szCs w:val="22"/>
        </w:rPr>
        <w:t xml:space="preserve"> </w:t>
      </w:r>
      <w:r w:rsidR="0093570C">
        <w:rPr>
          <w:szCs w:val="22"/>
        </w:rPr>
        <w:t>evaluations</w:t>
      </w:r>
      <w:proofErr w:type="gramEnd"/>
      <w:r w:rsidR="00FF427C">
        <w:rPr>
          <w:szCs w:val="22"/>
        </w:rPr>
        <w:t xml:space="preserve"> and</w:t>
      </w:r>
      <w:r w:rsidR="0093570C">
        <w:rPr>
          <w:szCs w:val="22"/>
        </w:rPr>
        <w:t xml:space="preserve"> enabl</w:t>
      </w:r>
      <w:r w:rsidR="00FF427C">
        <w:rPr>
          <w:szCs w:val="22"/>
        </w:rPr>
        <w:t>es</w:t>
      </w:r>
      <w:r w:rsidR="0093570C">
        <w:rPr>
          <w:szCs w:val="22"/>
        </w:rPr>
        <w:t xml:space="preserve"> tracking of progress towards addressing gaps in the country’s phytosanitary system. </w:t>
      </w:r>
    </w:p>
    <w:p w14:paraId="30B4A68B" w14:textId="188E6103" w:rsidR="00475E03" w:rsidRPr="0093570C" w:rsidRDefault="00475E03" w:rsidP="0093570C">
      <w:pPr>
        <w:pStyle w:val="IPPParagraphnumbering"/>
        <w:rPr>
          <w:szCs w:val="22"/>
        </w:rPr>
      </w:pPr>
      <w:r w:rsidRPr="00475E03">
        <w:rPr>
          <w:szCs w:val="22"/>
        </w:rPr>
        <w:t xml:space="preserve">In the update from the Implementation and Capacity Development Committee (IC) to the Commission on Phytosanitary Measures </w:t>
      </w:r>
      <w:r w:rsidRPr="0093570C">
        <w:rPr>
          <w:szCs w:val="22"/>
        </w:rPr>
        <w:t>(CPM</w:t>
      </w:r>
      <w:r w:rsidR="000672B0">
        <w:rPr>
          <w:szCs w:val="22"/>
        </w:rPr>
        <w:t>-</w:t>
      </w:r>
      <w:r w:rsidRPr="0093570C">
        <w:rPr>
          <w:szCs w:val="22"/>
        </w:rPr>
        <w:t>15), contracting parties were invited to “</w:t>
      </w:r>
      <w:r w:rsidRPr="00475E03">
        <w:rPr>
          <w:szCs w:val="22"/>
        </w:rPr>
        <w:t>agree that the PCE is a useful tool to help evaluate and develop national phytosanitary capacities”.</w:t>
      </w:r>
    </w:p>
    <w:p w14:paraId="1D65E0FD" w14:textId="5DC14596" w:rsidR="00475E03" w:rsidRDefault="00475E03" w:rsidP="00475E03">
      <w:pPr>
        <w:pStyle w:val="IPPParagraphnumbering"/>
      </w:pPr>
      <w:r w:rsidRPr="00475E03">
        <w:rPr>
          <w:szCs w:val="22"/>
        </w:rPr>
        <w:t xml:space="preserve">Australia’s intervention to this </w:t>
      </w:r>
      <w:r w:rsidR="00E35ABB">
        <w:rPr>
          <w:szCs w:val="22"/>
        </w:rPr>
        <w:t xml:space="preserve">at the CPM-15 </w:t>
      </w:r>
      <w:r w:rsidRPr="00475E03">
        <w:rPr>
          <w:szCs w:val="22"/>
        </w:rPr>
        <w:t>agreed that PCE could be a useful tool but that the use of the tool would</w:t>
      </w:r>
      <w:r>
        <w:t xml:space="preserve"> benefit from being more easily accessible and </w:t>
      </w:r>
      <w:r w:rsidR="0093570C">
        <w:t xml:space="preserve">would be improved if </w:t>
      </w:r>
      <w:r>
        <w:t xml:space="preserve">the assessments and outcomes </w:t>
      </w:r>
      <w:r w:rsidR="0093570C">
        <w:t xml:space="preserve">better considered the country and regional context. </w:t>
      </w:r>
    </w:p>
    <w:p w14:paraId="27002136" w14:textId="22E9E6CF" w:rsidR="00EC0C92" w:rsidRDefault="007102E6" w:rsidP="00EC0C92">
      <w:pPr>
        <w:pStyle w:val="IPPParagraphnumbering"/>
      </w:pPr>
      <w:r>
        <w:rPr>
          <w:szCs w:val="22"/>
        </w:rPr>
        <w:t>A</w:t>
      </w:r>
      <w:r w:rsidR="00BA75D8">
        <w:rPr>
          <w:szCs w:val="22"/>
        </w:rPr>
        <w:t xml:space="preserve">s members of the </w:t>
      </w:r>
      <w:r w:rsidR="00C40832">
        <w:rPr>
          <w:szCs w:val="22"/>
        </w:rPr>
        <w:t>Pacific Plant Protection Organization (</w:t>
      </w:r>
      <w:r>
        <w:rPr>
          <w:szCs w:val="22"/>
        </w:rPr>
        <w:t>PPPO</w:t>
      </w:r>
      <w:r w:rsidR="00C40832">
        <w:rPr>
          <w:szCs w:val="22"/>
        </w:rPr>
        <w:t>)</w:t>
      </w:r>
      <w:r w:rsidR="00BA75D8">
        <w:rPr>
          <w:szCs w:val="22"/>
        </w:rPr>
        <w:t xml:space="preserve">, Australia and New Zealand </w:t>
      </w:r>
      <w:r w:rsidR="003940A9">
        <w:rPr>
          <w:szCs w:val="22"/>
        </w:rPr>
        <w:t>are</w:t>
      </w:r>
      <w:r w:rsidR="00BA75D8">
        <w:rPr>
          <w:szCs w:val="22"/>
        </w:rPr>
        <w:t xml:space="preserve"> also aware that a PPPO </w:t>
      </w:r>
      <w:r>
        <w:rPr>
          <w:szCs w:val="22"/>
        </w:rPr>
        <w:t xml:space="preserve">delegation </w:t>
      </w:r>
      <w:r w:rsidR="000D70F6">
        <w:rPr>
          <w:szCs w:val="22"/>
        </w:rPr>
        <w:t xml:space="preserve">led by the </w:t>
      </w:r>
      <w:r>
        <w:rPr>
          <w:szCs w:val="22"/>
        </w:rPr>
        <w:t xml:space="preserve">Chairman </w:t>
      </w:r>
      <w:r w:rsidR="00DD7823">
        <w:rPr>
          <w:szCs w:val="22"/>
        </w:rPr>
        <w:t>engage</w:t>
      </w:r>
      <w:r w:rsidR="0063059F">
        <w:rPr>
          <w:szCs w:val="22"/>
        </w:rPr>
        <w:t>d</w:t>
      </w:r>
      <w:r w:rsidR="00DD7823">
        <w:rPr>
          <w:szCs w:val="22"/>
        </w:rPr>
        <w:t xml:space="preserve"> </w:t>
      </w:r>
      <w:r w:rsidR="00BA75D8">
        <w:rPr>
          <w:szCs w:val="22"/>
        </w:rPr>
        <w:t xml:space="preserve">virtually </w:t>
      </w:r>
      <w:r w:rsidR="00DD7823">
        <w:rPr>
          <w:szCs w:val="22"/>
        </w:rPr>
        <w:t xml:space="preserve">with the IPPC Secretariat </w:t>
      </w:r>
      <w:r w:rsidR="00B10E80">
        <w:rPr>
          <w:szCs w:val="22"/>
        </w:rPr>
        <w:t>i</w:t>
      </w:r>
      <w:r w:rsidR="00C40832">
        <w:rPr>
          <w:szCs w:val="22"/>
        </w:rPr>
        <w:t>n February 2021</w:t>
      </w:r>
      <w:r w:rsidR="003940A9">
        <w:rPr>
          <w:szCs w:val="22"/>
        </w:rPr>
        <w:t xml:space="preserve"> regarding PCE</w:t>
      </w:r>
      <w:r w:rsidR="00C40832">
        <w:rPr>
          <w:szCs w:val="22"/>
        </w:rPr>
        <w:t>. The delegation</w:t>
      </w:r>
      <w:r w:rsidR="00002BF4">
        <w:rPr>
          <w:szCs w:val="22"/>
        </w:rPr>
        <w:t xml:space="preserve"> raised similar sentiments and </w:t>
      </w:r>
      <w:r w:rsidR="00C40832">
        <w:rPr>
          <w:szCs w:val="22"/>
        </w:rPr>
        <w:t xml:space="preserve">also </w:t>
      </w:r>
      <w:r w:rsidR="0063023C">
        <w:rPr>
          <w:szCs w:val="22"/>
        </w:rPr>
        <w:t xml:space="preserve">discussed </w:t>
      </w:r>
      <w:r w:rsidR="00154F69">
        <w:rPr>
          <w:szCs w:val="22"/>
        </w:rPr>
        <w:t>strategies</w:t>
      </w:r>
      <w:r w:rsidR="00F95C8F">
        <w:rPr>
          <w:szCs w:val="22"/>
        </w:rPr>
        <w:t xml:space="preserve"> </w:t>
      </w:r>
      <w:r w:rsidR="0063023C">
        <w:rPr>
          <w:szCs w:val="22"/>
        </w:rPr>
        <w:t>on</w:t>
      </w:r>
      <w:r w:rsidR="00F95C8F">
        <w:rPr>
          <w:szCs w:val="22"/>
        </w:rPr>
        <w:t xml:space="preserve"> how the PPP</w:t>
      </w:r>
      <w:r w:rsidR="0063023C">
        <w:rPr>
          <w:szCs w:val="22"/>
        </w:rPr>
        <w:t>O</w:t>
      </w:r>
      <w:r w:rsidR="00F95C8F">
        <w:rPr>
          <w:szCs w:val="22"/>
        </w:rPr>
        <w:t xml:space="preserve"> could </w:t>
      </w:r>
      <w:r w:rsidR="003940A9">
        <w:rPr>
          <w:szCs w:val="22"/>
        </w:rPr>
        <w:t xml:space="preserve">better </w:t>
      </w:r>
      <w:r w:rsidR="00F95C8F">
        <w:rPr>
          <w:szCs w:val="22"/>
        </w:rPr>
        <w:t xml:space="preserve">manage its own PCE </w:t>
      </w:r>
      <w:r w:rsidR="0063023C">
        <w:rPr>
          <w:szCs w:val="22"/>
        </w:rPr>
        <w:t xml:space="preserve">in </w:t>
      </w:r>
      <w:r w:rsidR="003940A9">
        <w:rPr>
          <w:szCs w:val="22"/>
        </w:rPr>
        <w:t xml:space="preserve">the future in </w:t>
      </w:r>
      <w:r w:rsidR="0063023C">
        <w:rPr>
          <w:szCs w:val="22"/>
        </w:rPr>
        <w:t>collaboration with</w:t>
      </w:r>
      <w:r w:rsidR="00B65754">
        <w:rPr>
          <w:szCs w:val="22"/>
        </w:rPr>
        <w:t xml:space="preserve"> the IPPC</w:t>
      </w:r>
    </w:p>
    <w:p w14:paraId="57B8E147" w14:textId="2CE2A8F5" w:rsidR="00BE7097" w:rsidRPr="00BE7097" w:rsidRDefault="00B65754" w:rsidP="00B65754">
      <w:pPr>
        <w:pStyle w:val="IPPHeading1"/>
      </w:pPr>
      <w:r>
        <w:t>2.</w:t>
      </w:r>
      <w:r>
        <w:tab/>
      </w:r>
      <w:r w:rsidR="0093570C" w:rsidRPr="0029235E">
        <w:t>B</w:t>
      </w:r>
      <w:r w:rsidR="008929A9" w:rsidRPr="0029235E">
        <w:t xml:space="preserve">enefits of expanding the use of the PCE tool </w:t>
      </w:r>
      <w:r w:rsidR="003940A9" w:rsidRPr="0029235E">
        <w:t xml:space="preserve"> </w:t>
      </w:r>
    </w:p>
    <w:p w14:paraId="38C845FA" w14:textId="26BC296E" w:rsidR="008929A9" w:rsidRDefault="00E73707" w:rsidP="00B65754">
      <w:pPr>
        <w:pStyle w:val="IPPParagraphnumbering"/>
      </w:pPr>
      <w:r w:rsidRPr="00BE7097">
        <w:t>Without improving access</w:t>
      </w:r>
      <w:r w:rsidR="00A40E8F">
        <w:t xml:space="preserve"> and flexibility</w:t>
      </w:r>
      <w:r w:rsidRPr="00BE7097">
        <w:t>, the PCE tool is at risk of becoming irrelevant as countries and regions will seek to use alternate, less intensive</w:t>
      </w:r>
      <w:r w:rsidR="00604AF5">
        <w:t>,</w:t>
      </w:r>
      <w:r w:rsidRPr="00BE7097">
        <w:t xml:space="preserve"> and </w:t>
      </w:r>
      <w:r w:rsidR="0072211C">
        <w:t>more affordable</w:t>
      </w:r>
      <w:r w:rsidRPr="00BE7097">
        <w:t xml:space="preserve"> ways to make assessments of </w:t>
      </w:r>
      <w:r w:rsidR="00BE7097">
        <w:t xml:space="preserve">their </w:t>
      </w:r>
      <w:r w:rsidRPr="00BE7097">
        <w:t>phytosanitary capacity. To</w:t>
      </w:r>
      <w:r w:rsidR="0072211C" w:rsidRPr="00BE7097">
        <w:t xml:space="preserve"> </w:t>
      </w:r>
      <w:r w:rsidR="0072211C">
        <w:t>improve uptake and more regular use of the tool</w:t>
      </w:r>
      <w:r w:rsidRPr="00BE7097">
        <w:t xml:space="preserve">, a much more open </w:t>
      </w:r>
      <w:r w:rsidR="00BE7097" w:rsidRPr="00BE7097">
        <w:t xml:space="preserve">access </w:t>
      </w:r>
      <w:r w:rsidR="00BE7097">
        <w:t xml:space="preserve">mechanism </w:t>
      </w:r>
      <w:r w:rsidR="00BE7097" w:rsidRPr="00BE7097">
        <w:t xml:space="preserve">is sought, without </w:t>
      </w:r>
      <w:r w:rsidR="00E35ABB">
        <w:t xml:space="preserve">the </w:t>
      </w:r>
      <w:r w:rsidR="00BE7097" w:rsidRPr="00BE7097">
        <w:t>need to engage through a project arrangement</w:t>
      </w:r>
      <w:r w:rsidR="00604AF5">
        <w:t xml:space="preserve"> that is</w:t>
      </w:r>
      <w:r w:rsidR="00BE7097" w:rsidRPr="00BE7097">
        <w:t xml:space="preserve"> external to the contracting party. This will of course remain an option, but currently, there </w:t>
      </w:r>
      <w:r w:rsidR="00BE7097">
        <w:t>is</w:t>
      </w:r>
      <w:r w:rsidR="00BE7097" w:rsidRPr="00BE7097">
        <w:t xml:space="preserve"> no other way to access the tool.</w:t>
      </w:r>
    </w:p>
    <w:p w14:paraId="0BA36C99" w14:textId="3728620A" w:rsidR="005F0E62" w:rsidRDefault="00B65754" w:rsidP="00B65754">
      <w:pPr>
        <w:pStyle w:val="IPPHeading1"/>
      </w:pPr>
      <w:r>
        <w:t>3.</w:t>
      </w:r>
      <w:r>
        <w:tab/>
      </w:r>
      <w:r w:rsidR="0093570C" w:rsidRPr="0029235E">
        <w:t>C</w:t>
      </w:r>
      <w:r w:rsidR="008929A9" w:rsidRPr="0029235E">
        <w:t xml:space="preserve">urrent challenges in the use of the PCE tool </w:t>
      </w:r>
    </w:p>
    <w:p w14:paraId="60BE2B59" w14:textId="57A0C72F" w:rsidR="00475E03" w:rsidRPr="0093570C" w:rsidRDefault="00475E03" w:rsidP="0093570C">
      <w:pPr>
        <w:pStyle w:val="IPPParagraphnumbering"/>
        <w:rPr>
          <w:szCs w:val="22"/>
        </w:rPr>
      </w:pPr>
      <w:r>
        <w:t xml:space="preserve">In </w:t>
      </w:r>
      <w:r w:rsidRPr="00475E03">
        <w:rPr>
          <w:szCs w:val="22"/>
        </w:rPr>
        <w:t xml:space="preserve">the IC update to the recent regional workshops, the point </w:t>
      </w:r>
      <w:proofErr w:type="gramStart"/>
      <w:r w:rsidRPr="00475E03">
        <w:rPr>
          <w:szCs w:val="22"/>
        </w:rPr>
        <w:t>was made</w:t>
      </w:r>
      <w:proofErr w:type="gramEnd"/>
      <w:r w:rsidRPr="00475E03">
        <w:rPr>
          <w:szCs w:val="22"/>
        </w:rPr>
        <w:t xml:space="preserve"> that if contracting parties wanted a PCE conducted, they should find a donor. It is understood the way that PCEs have been conducted to date requires the engagement of the IPPC Secretariat and others</w:t>
      </w:r>
      <w:r w:rsidR="006811BA">
        <w:rPr>
          <w:szCs w:val="22"/>
        </w:rPr>
        <w:t xml:space="preserve"> which </w:t>
      </w:r>
      <w:r w:rsidRPr="00475E03">
        <w:rPr>
          <w:szCs w:val="22"/>
        </w:rPr>
        <w:t xml:space="preserve">can cost up </w:t>
      </w:r>
      <w:r w:rsidRPr="00C635A0">
        <w:rPr>
          <w:szCs w:val="22"/>
        </w:rPr>
        <w:t xml:space="preserve">to </w:t>
      </w:r>
      <w:r w:rsidR="006811BA" w:rsidRPr="00C635A0">
        <w:rPr>
          <w:szCs w:val="22"/>
        </w:rPr>
        <w:t>US</w:t>
      </w:r>
      <w:r w:rsidRPr="00C635A0">
        <w:rPr>
          <w:szCs w:val="22"/>
        </w:rPr>
        <w:t>$100</w:t>
      </w:r>
      <w:r w:rsidRPr="00475E03">
        <w:rPr>
          <w:szCs w:val="22"/>
        </w:rPr>
        <w:t>,000</w:t>
      </w:r>
      <w:r w:rsidR="00604AF5">
        <w:rPr>
          <w:szCs w:val="22"/>
        </w:rPr>
        <w:t xml:space="preserve"> per </w:t>
      </w:r>
      <w:r w:rsidR="00ED73A8">
        <w:rPr>
          <w:szCs w:val="22"/>
        </w:rPr>
        <w:t>evaluation workshop</w:t>
      </w:r>
      <w:r w:rsidRPr="00475E03">
        <w:rPr>
          <w:szCs w:val="22"/>
        </w:rPr>
        <w:t>. This is a large investment and</w:t>
      </w:r>
      <w:r w:rsidR="006811BA">
        <w:rPr>
          <w:szCs w:val="22"/>
        </w:rPr>
        <w:t xml:space="preserve"> is</w:t>
      </w:r>
      <w:r w:rsidRPr="00475E03">
        <w:rPr>
          <w:szCs w:val="22"/>
        </w:rPr>
        <w:t xml:space="preserve"> not </w:t>
      </w:r>
      <w:r w:rsidR="006811BA">
        <w:rPr>
          <w:szCs w:val="22"/>
        </w:rPr>
        <w:t xml:space="preserve">feasible </w:t>
      </w:r>
      <w:r w:rsidRPr="00475E03">
        <w:rPr>
          <w:szCs w:val="22"/>
        </w:rPr>
        <w:t>for many contracting parties or donors</w:t>
      </w:r>
      <w:r w:rsidR="006811BA">
        <w:rPr>
          <w:szCs w:val="22"/>
        </w:rPr>
        <w:t>.</w:t>
      </w:r>
      <w:r w:rsidRPr="00475E03">
        <w:rPr>
          <w:szCs w:val="22"/>
        </w:rPr>
        <w:t xml:space="preserve"> </w:t>
      </w:r>
      <w:r w:rsidR="006811BA">
        <w:rPr>
          <w:szCs w:val="22"/>
        </w:rPr>
        <w:t>Additionally, Australia and New Zealand consider that countr</w:t>
      </w:r>
      <w:r w:rsidR="00BE7097">
        <w:rPr>
          <w:szCs w:val="22"/>
        </w:rPr>
        <w:t>ie</w:t>
      </w:r>
      <w:r w:rsidR="006811BA">
        <w:rPr>
          <w:szCs w:val="22"/>
        </w:rPr>
        <w:t>s</w:t>
      </w:r>
      <w:r w:rsidR="00BE7097">
        <w:rPr>
          <w:szCs w:val="22"/>
        </w:rPr>
        <w:t>’</w:t>
      </w:r>
      <w:r w:rsidR="006811BA">
        <w:rPr>
          <w:szCs w:val="22"/>
        </w:rPr>
        <w:t xml:space="preserve"> limited resources should be primarily </w:t>
      </w:r>
      <w:r w:rsidR="00FF427C">
        <w:rPr>
          <w:szCs w:val="22"/>
        </w:rPr>
        <w:t>focused on</w:t>
      </w:r>
      <w:r w:rsidR="006811BA">
        <w:rPr>
          <w:szCs w:val="22"/>
        </w:rPr>
        <w:t xml:space="preserve"> activities which </w:t>
      </w:r>
      <w:r w:rsidRPr="00475E03">
        <w:rPr>
          <w:szCs w:val="22"/>
        </w:rPr>
        <w:t>address the gaps or issues identified</w:t>
      </w:r>
      <w:r w:rsidR="006811BA">
        <w:rPr>
          <w:szCs w:val="22"/>
        </w:rPr>
        <w:t xml:space="preserve"> by the </w:t>
      </w:r>
      <w:r w:rsidR="00E35ABB">
        <w:rPr>
          <w:szCs w:val="22"/>
        </w:rPr>
        <w:t>evaluation</w:t>
      </w:r>
      <w:r w:rsidR="006811BA">
        <w:rPr>
          <w:szCs w:val="22"/>
        </w:rPr>
        <w:t xml:space="preserve">, with a smaller proportion </w:t>
      </w:r>
      <w:r w:rsidR="00FF427C">
        <w:rPr>
          <w:szCs w:val="22"/>
        </w:rPr>
        <w:t xml:space="preserve">allocated to </w:t>
      </w:r>
      <w:r w:rsidR="006811BA">
        <w:rPr>
          <w:szCs w:val="22"/>
        </w:rPr>
        <w:t xml:space="preserve">the </w:t>
      </w:r>
      <w:r w:rsidR="00E35ABB">
        <w:rPr>
          <w:szCs w:val="22"/>
        </w:rPr>
        <w:t>evaluation</w:t>
      </w:r>
      <w:r w:rsidR="006811BA">
        <w:rPr>
          <w:szCs w:val="22"/>
        </w:rPr>
        <w:t xml:space="preserve"> itself.</w:t>
      </w:r>
      <w:r w:rsidR="006811BA" w:rsidRPr="00475E03">
        <w:rPr>
          <w:szCs w:val="22"/>
        </w:rPr>
        <w:t xml:space="preserve"> </w:t>
      </w:r>
    </w:p>
    <w:p w14:paraId="1DFAA036" w14:textId="6B6A2B84" w:rsidR="005F0E62" w:rsidRDefault="00025406" w:rsidP="00475E03">
      <w:pPr>
        <w:pStyle w:val="IPPParagraphnumbering"/>
      </w:pPr>
      <w:r>
        <w:rPr>
          <w:szCs w:val="22"/>
        </w:rPr>
        <w:t>PCE r</w:t>
      </w:r>
      <w:r w:rsidR="00CB59A9" w:rsidRPr="00475E03">
        <w:rPr>
          <w:szCs w:val="22"/>
        </w:rPr>
        <w:t>ecommendations a</w:t>
      </w:r>
      <w:r w:rsidR="00794685" w:rsidRPr="0093570C">
        <w:rPr>
          <w:szCs w:val="22"/>
        </w:rPr>
        <w:t>r</w:t>
      </w:r>
      <w:r w:rsidR="00CB59A9" w:rsidRPr="0093570C">
        <w:rPr>
          <w:szCs w:val="22"/>
        </w:rPr>
        <w:t xml:space="preserve">e not always </w:t>
      </w:r>
      <w:r w:rsidR="005F0E62" w:rsidRPr="00C635A0">
        <w:rPr>
          <w:szCs w:val="22"/>
        </w:rPr>
        <w:t>regionally appropriate, for example, development of legislative instruments or ability to use regio</w:t>
      </w:r>
      <w:r w:rsidR="005F0E62">
        <w:t xml:space="preserve">nally </w:t>
      </w:r>
      <w:r w:rsidR="00E97902">
        <w:t>recognised/</w:t>
      </w:r>
      <w:r w:rsidR="005F0E62">
        <w:t>accepted terminology</w:t>
      </w:r>
      <w:r w:rsidR="00E97902">
        <w:t xml:space="preserve"> and concepts</w:t>
      </w:r>
      <w:r w:rsidR="005F0E62">
        <w:t>.</w:t>
      </w:r>
      <w:r>
        <w:t xml:space="preserve"> To ensure that countries have effective phytosanitary systems, the PCE tool would benefit from the </w:t>
      </w:r>
      <w:r w:rsidR="00FF427C">
        <w:t>input and ability to leverage relevant networks</w:t>
      </w:r>
      <w:r>
        <w:t xml:space="preserve"> </w:t>
      </w:r>
      <w:r w:rsidR="00FF427C">
        <w:t>provided by</w:t>
      </w:r>
      <w:r>
        <w:t xml:space="preserve"> regional expert</w:t>
      </w:r>
      <w:r w:rsidR="00FF427C">
        <w:t xml:space="preserve"> contractors</w:t>
      </w:r>
      <w:r>
        <w:t xml:space="preserve">. </w:t>
      </w:r>
    </w:p>
    <w:p w14:paraId="03E3D78E" w14:textId="48669108" w:rsidR="00025406" w:rsidRPr="00B65754" w:rsidRDefault="00B65754" w:rsidP="00B65754">
      <w:pPr>
        <w:pStyle w:val="IPPHeading1"/>
      </w:pPr>
      <w:r>
        <w:t>4.</w:t>
      </w:r>
      <w:r>
        <w:tab/>
      </w:r>
      <w:r w:rsidR="00025406" w:rsidRPr="0029235E">
        <w:t>Conclusion</w:t>
      </w:r>
    </w:p>
    <w:p w14:paraId="7616226B" w14:textId="12383B64" w:rsidR="00475E03" w:rsidRDefault="00475E03" w:rsidP="00475E03">
      <w:pPr>
        <w:pStyle w:val="IPPParagraphnumbering"/>
      </w:pPr>
      <w:r>
        <w:t xml:space="preserve">To </w:t>
      </w:r>
      <w:r w:rsidRPr="00475E03">
        <w:rPr>
          <w:szCs w:val="22"/>
        </w:rPr>
        <w:t>address</w:t>
      </w:r>
      <w:r>
        <w:t xml:space="preserve"> the concerns that PCEs are out of reach for many and so are not achieving the full potential of the tool to identify and address gaps and issues in phytosanitary systems of cont</w:t>
      </w:r>
      <w:r w:rsidR="00737BC7">
        <w:t>r</w:t>
      </w:r>
      <w:r>
        <w:t xml:space="preserve">acting parties, a </w:t>
      </w:r>
      <w:r>
        <w:lastRenderedPageBreak/>
        <w:t>desktop study of the accessibility</w:t>
      </w:r>
      <w:r w:rsidR="0070692D">
        <w:t xml:space="preserve"> (including affordability)</w:t>
      </w:r>
      <w:r>
        <w:t xml:space="preserve"> and implementation options should be conducted, with a view to improving:</w:t>
      </w:r>
    </w:p>
    <w:p w14:paraId="4A33488C" w14:textId="77777777" w:rsidR="00475E03" w:rsidRPr="00896D39" w:rsidRDefault="00475E03" w:rsidP="00B65754">
      <w:pPr>
        <w:pStyle w:val="IPPBullet1"/>
      </w:pPr>
      <w:r w:rsidRPr="00896D39">
        <w:t>Accessibility and ease of use</w:t>
      </w:r>
    </w:p>
    <w:p w14:paraId="2C730F6F" w14:textId="24706EB1" w:rsidR="00475E03" w:rsidRPr="00896D39" w:rsidRDefault="00475E03" w:rsidP="00B65754">
      <w:pPr>
        <w:pStyle w:val="IPPBullet2"/>
      </w:pPr>
      <w:r w:rsidRPr="00896D39">
        <w:t xml:space="preserve">making the tool more openly accessible (perhaps through the IPP) and developing a shorter, summarised version of the questionnaire that could be used as a first step, before launching into a larger application of the PCE tool, or on a more frequent, routine basis to allow countries to track or measure progress as initiatives are rolled out to address findings. Parties </w:t>
      </w:r>
      <w:r w:rsidR="00B712E9">
        <w:t xml:space="preserve">should also be able to </w:t>
      </w:r>
      <w:r w:rsidRPr="00896D39">
        <w:t xml:space="preserve">focus on parts of the system where they have identified </w:t>
      </w:r>
      <w:r w:rsidR="00B712E9">
        <w:t>a</w:t>
      </w:r>
      <w:r w:rsidR="00B712E9" w:rsidRPr="00896D39">
        <w:t xml:space="preserve"> </w:t>
      </w:r>
      <w:r w:rsidRPr="00896D39">
        <w:t>need</w:t>
      </w:r>
      <w:r w:rsidR="00B712E9">
        <w:t xml:space="preserve"> for review</w:t>
      </w:r>
      <w:r w:rsidRPr="00896D39">
        <w:t xml:space="preserve">. </w:t>
      </w:r>
    </w:p>
    <w:p w14:paraId="28F02774" w14:textId="77777777" w:rsidR="00475E03" w:rsidRPr="00896D39" w:rsidRDefault="00475E03" w:rsidP="00475E03">
      <w:pPr>
        <w:pStyle w:val="ListParagraph"/>
        <w:ind w:left="880"/>
        <w:rPr>
          <w:rFonts w:ascii="Times New Roman" w:hAnsi="Times New Roman"/>
        </w:rPr>
      </w:pPr>
    </w:p>
    <w:p w14:paraId="59FD8515" w14:textId="77777777" w:rsidR="00475E03" w:rsidRPr="00896D39" w:rsidRDefault="00475E03" w:rsidP="00B65754">
      <w:pPr>
        <w:pStyle w:val="IPPBullet1"/>
      </w:pPr>
      <w:r w:rsidRPr="00896D39">
        <w:t>Regional sensitivity of application</w:t>
      </w:r>
    </w:p>
    <w:p w14:paraId="36360002" w14:textId="77777777" w:rsidR="00D612A1" w:rsidRPr="00896D39" w:rsidRDefault="00475E03" w:rsidP="00B65754">
      <w:pPr>
        <w:pStyle w:val="IPPBullet2"/>
      </w:pPr>
      <w:proofErr w:type="gramStart"/>
      <w:r w:rsidRPr="00896D39">
        <w:t>ensuring</w:t>
      </w:r>
      <w:proofErr w:type="gramEnd"/>
      <w:r w:rsidRPr="00896D39">
        <w:t xml:space="preserve"> regional norms are acknowledged and appropriately reflected in findings and recommendations and that RPPOs and donors in the region are able to support implementation of programs to improve regional biosecurity holistically.</w:t>
      </w:r>
      <w:r w:rsidR="00D612A1" w:rsidRPr="00896D39">
        <w:t xml:space="preserve"> </w:t>
      </w:r>
    </w:p>
    <w:p w14:paraId="19A03E28" w14:textId="4376CEBB" w:rsidR="00D612A1" w:rsidRPr="00896D39" w:rsidRDefault="00D612A1" w:rsidP="0070692D">
      <w:pPr>
        <w:pStyle w:val="ListParagraph"/>
        <w:ind w:left="880"/>
        <w:rPr>
          <w:rFonts w:ascii="Times New Roman" w:hAnsi="Times New Roman"/>
        </w:rPr>
      </w:pPr>
    </w:p>
    <w:p w14:paraId="48F0DA63" w14:textId="6FF8B838" w:rsidR="003713DE" w:rsidRPr="00896D39" w:rsidRDefault="00B712E9" w:rsidP="003713DE">
      <w:pPr>
        <w:pStyle w:val="IPPParagraphnumbering"/>
      </w:pPr>
      <w:r>
        <w:t xml:space="preserve">It </w:t>
      </w:r>
      <w:r w:rsidRPr="000672B0">
        <w:rPr>
          <w:szCs w:val="22"/>
        </w:rPr>
        <w:t>is</w:t>
      </w:r>
      <w:r>
        <w:t xml:space="preserve"> recognised that the results of PCE projects may be used for a wide variety of purposes, and some purposes may require an external independent consultant to conduct the PCE.  However</w:t>
      </w:r>
      <w:r w:rsidR="00A70A85">
        <w:t>,</w:t>
      </w:r>
      <w:r>
        <w:t xml:space="preserve"> there </w:t>
      </w:r>
      <w:r w:rsidR="00A70A85">
        <w:t>are many situations where a less formal PCE is desired and acceptable to the contracting party and donor organisations.  It may be desirable to recognise different status’ for PCEs.  Options could be developed and tested with the IC or SPG.</w:t>
      </w:r>
    </w:p>
    <w:p w14:paraId="0E61A019" w14:textId="7E382F2A" w:rsidR="00EC0C92" w:rsidRPr="00B65754" w:rsidRDefault="0093570C" w:rsidP="00B65754">
      <w:pPr>
        <w:pStyle w:val="IPPParagraphnumbering"/>
        <w:rPr>
          <w:szCs w:val="22"/>
        </w:rPr>
      </w:pPr>
      <w:r w:rsidRPr="00896D39">
        <w:rPr>
          <w:szCs w:val="22"/>
        </w:rPr>
        <w:t>Although the PCE tool is an established mechanism for phytosanitary review used by the IPPC, Australia and New Zealand encourage contracting parties to explore continued improvement</w:t>
      </w:r>
      <w:r>
        <w:rPr>
          <w:szCs w:val="22"/>
        </w:rPr>
        <w:t xml:space="preserve"> of this resource so that it </w:t>
      </w:r>
      <w:proofErr w:type="gramStart"/>
      <w:r>
        <w:rPr>
          <w:szCs w:val="22"/>
        </w:rPr>
        <w:t>can be effectively leveraged</w:t>
      </w:r>
      <w:proofErr w:type="gramEnd"/>
      <w:r>
        <w:rPr>
          <w:szCs w:val="22"/>
        </w:rPr>
        <w:t xml:space="preserve"> to maximum benefit by all</w:t>
      </w:r>
      <w:r w:rsidR="00025406">
        <w:rPr>
          <w:szCs w:val="22"/>
        </w:rPr>
        <w:t xml:space="preserve"> contracting parties</w:t>
      </w:r>
      <w:r>
        <w:rPr>
          <w:szCs w:val="22"/>
        </w:rPr>
        <w:t xml:space="preserve">. </w:t>
      </w:r>
    </w:p>
    <w:p w14:paraId="530B0C0B" w14:textId="0C9F5444" w:rsidR="00025406" w:rsidRPr="00B65754" w:rsidRDefault="00B65754" w:rsidP="00B65754">
      <w:pPr>
        <w:pStyle w:val="IPPHeading1"/>
        <w:rPr>
          <w:bCs/>
        </w:rPr>
      </w:pPr>
      <w:r>
        <w:rPr>
          <w:bCs/>
        </w:rPr>
        <w:t>5.</w:t>
      </w:r>
      <w:r>
        <w:rPr>
          <w:bCs/>
        </w:rPr>
        <w:tab/>
      </w:r>
      <w:r w:rsidR="00025406" w:rsidRPr="00FF427C">
        <w:rPr>
          <w:bCs/>
        </w:rPr>
        <w:t xml:space="preserve">Recommendations </w:t>
      </w:r>
    </w:p>
    <w:p w14:paraId="6CCD501D" w14:textId="77777777" w:rsidR="00475E03" w:rsidRPr="00FF427C" w:rsidRDefault="00475E03" w:rsidP="00475E03">
      <w:pPr>
        <w:pStyle w:val="IPPParagraphnumbering"/>
      </w:pPr>
      <w:r w:rsidRPr="00FF427C">
        <w:rPr>
          <w:szCs w:val="22"/>
        </w:rPr>
        <w:t>Australia</w:t>
      </w:r>
      <w:r w:rsidRPr="00FF427C">
        <w:t xml:space="preserve"> and New Zealand invite the SPG to: </w:t>
      </w:r>
    </w:p>
    <w:p w14:paraId="1B8769DD" w14:textId="6BA63126" w:rsidR="00475E03" w:rsidRPr="00FF427C" w:rsidRDefault="00475E03" w:rsidP="00B65754">
      <w:pPr>
        <w:pStyle w:val="IPPNumberedList"/>
      </w:pPr>
      <w:r w:rsidRPr="00FF427C">
        <w:rPr>
          <w:i/>
          <w:iCs/>
        </w:rPr>
        <w:t>Discuss</w:t>
      </w:r>
      <w:r w:rsidRPr="00FF427C">
        <w:t xml:space="preserve"> the significant benefits of improving the accessibility and regional sensitivity of the PCE tool </w:t>
      </w:r>
    </w:p>
    <w:p w14:paraId="34F50A8B" w14:textId="7AA97351" w:rsidR="00475E03" w:rsidRPr="00FF427C" w:rsidRDefault="00475E03" w:rsidP="00B65754">
      <w:pPr>
        <w:pStyle w:val="IPPNumberedList"/>
      </w:pPr>
      <w:r w:rsidRPr="00FF427C">
        <w:rPr>
          <w:i/>
          <w:iCs/>
        </w:rPr>
        <w:t xml:space="preserve">Agree </w:t>
      </w:r>
      <w:r w:rsidRPr="00FF427C">
        <w:t xml:space="preserve">to </w:t>
      </w:r>
      <w:r w:rsidR="00BE7097">
        <w:t xml:space="preserve">propose to CPM-16 </w:t>
      </w:r>
      <w:r w:rsidR="005D3B67">
        <w:t>that</w:t>
      </w:r>
      <w:r w:rsidRPr="00FF427C">
        <w:t xml:space="preserve"> a desktop review </w:t>
      </w:r>
      <w:r w:rsidR="0029235E">
        <w:t xml:space="preserve">that is </w:t>
      </w:r>
      <w:r w:rsidRPr="00FF427C">
        <w:t xml:space="preserve">focused on improving the accessibility and implementation options for the PCE </w:t>
      </w:r>
      <w:r w:rsidR="0029235E">
        <w:t>t</w:t>
      </w:r>
      <w:r w:rsidRPr="00FF427C">
        <w:t>ool</w:t>
      </w:r>
      <w:r w:rsidR="0029235E">
        <w:t xml:space="preserve"> be conducted</w:t>
      </w:r>
      <w:r w:rsidRPr="00FF427C">
        <w:t xml:space="preserve">, with a view to discuss the results of the review and agree on a plan of action at a </w:t>
      </w:r>
      <w:r w:rsidR="005D3B67">
        <w:t>future</w:t>
      </w:r>
      <w:r w:rsidRPr="00FF427C">
        <w:t xml:space="preserve"> SPG meeting. </w:t>
      </w:r>
    </w:p>
    <w:sectPr w:rsidR="00475E03" w:rsidRPr="00FF427C" w:rsidSect="00425211">
      <w:headerReference w:type="even"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D573" w14:textId="77777777" w:rsidR="00563AFC" w:rsidRDefault="00563AFC" w:rsidP="003713DE">
      <w:r>
        <w:separator/>
      </w:r>
    </w:p>
  </w:endnote>
  <w:endnote w:type="continuationSeparator" w:id="0">
    <w:p w14:paraId="17ABE800" w14:textId="77777777" w:rsidR="00563AFC" w:rsidRDefault="00563AFC" w:rsidP="0037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E3EB" w14:textId="78DDFA85" w:rsidR="00B65754" w:rsidRDefault="00B65754" w:rsidP="00B65754">
    <w:pPr>
      <w:pStyle w:val="IPPFooter"/>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D23F31">
      <w:rPr>
        <w:rStyle w:val="PageNumber"/>
        <w:b/>
        <w:noProof/>
      </w:rPr>
      <w:t>2</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D23F31">
      <w:rPr>
        <w:rStyle w:val="PageNumber"/>
        <w:b/>
        <w:noProof/>
      </w:rPr>
      <w:t>2</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02280"/>
      <w:docPartObj>
        <w:docPartGallery w:val="Page Numbers (Bottom of Page)"/>
        <w:docPartUnique/>
      </w:docPartObj>
    </w:sdtPr>
    <w:sdtEndPr>
      <w:rPr>
        <w:noProof/>
      </w:rPr>
    </w:sdtEndPr>
    <w:sdtContent>
      <w:p w14:paraId="428B1D3F" w14:textId="4057E3D9" w:rsidR="003713DE" w:rsidRDefault="003713DE">
        <w:pPr>
          <w:pStyle w:val="Footer"/>
          <w:jc w:val="right"/>
        </w:pPr>
        <w:r>
          <w:fldChar w:fldCharType="begin"/>
        </w:r>
        <w:r>
          <w:instrText xml:space="preserve"> PAGE   \* MERGEFORMAT </w:instrText>
        </w:r>
        <w:r>
          <w:fldChar w:fldCharType="separate"/>
        </w:r>
        <w:r w:rsidR="00425211">
          <w:rPr>
            <w:noProof/>
          </w:rPr>
          <w:t>2</w:t>
        </w:r>
        <w:r>
          <w:rPr>
            <w:noProof/>
          </w:rPr>
          <w:fldChar w:fldCharType="end"/>
        </w:r>
      </w:p>
    </w:sdtContent>
  </w:sdt>
  <w:p w14:paraId="114B0171" w14:textId="77777777" w:rsidR="003713DE" w:rsidRDefault="00371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196B" w14:textId="632445D0" w:rsidR="00B65754" w:rsidRDefault="00B65754" w:rsidP="00B65754">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D23F31">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D23F31">
      <w:rPr>
        <w:rStyle w:val="PageNumber"/>
        <w:b/>
        <w:noProof/>
      </w:rPr>
      <w:t>2</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4767" w14:textId="77777777" w:rsidR="00563AFC" w:rsidRDefault="00563AFC" w:rsidP="003713DE">
      <w:r>
        <w:separator/>
      </w:r>
    </w:p>
  </w:footnote>
  <w:footnote w:type="continuationSeparator" w:id="0">
    <w:p w14:paraId="7FA1F573" w14:textId="77777777" w:rsidR="00563AFC" w:rsidRDefault="00563AFC" w:rsidP="0037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578E" w14:textId="33B0F47A" w:rsidR="00B65754" w:rsidRDefault="00B65754" w:rsidP="00B65754">
    <w:pPr>
      <w:pStyle w:val="IPPHeader"/>
    </w:pPr>
    <w:r w:rsidRPr="004D1CC4">
      <w:rPr>
        <w:rFonts w:cs="Arial"/>
        <w:szCs w:val="18"/>
      </w:rPr>
      <w:t>1</w:t>
    </w:r>
    <w:r>
      <w:rPr>
        <w:rFonts w:cs="Arial"/>
        <w:szCs w:val="18"/>
      </w:rPr>
      <w:t>6</w:t>
    </w:r>
    <w:r w:rsidRPr="004D1CC4">
      <w:rPr>
        <w:rFonts w:cs="Arial"/>
        <w:szCs w:val="18"/>
      </w:rPr>
      <w:t>_SPG_2021_Oct</w:t>
    </w:r>
    <w:r>
      <w:rPr>
        <w:rFonts w:cs="Arial"/>
        <w:szCs w:val="18"/>
      </w:rPr>
      <w:t xml:space="preserve"> </w:t>
    </w:r>
    <w:r>
      <w:rPr>
        <w:rFonts w:cs="Arial"/>
        <w:szCs w:val="18"/>
      </w:rPr>
      <w:tab/>
    </w:r>
    <w:r w:rsidRPr="00B65754">
      <w:t>PCE tool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D8D7" w14:textId="7288A2F0" w:rsidR="00425211" w:rsidRDefault="00425211" w:rsidP="00425211">
    <w:pPr>
      <w:pBdr>
        <w:bottom w:val="single" w:sz="4" w:space="4" w:color="auto"/>
      </w:pBdr>
      <w:tabs>
        <w:tab w:val="left" w:pos="1134"/>
        <w:tab w:val="right" w:pos="9639"/>
      </w:tabs>
      <w:spacing w:after="120"/>
      <w:contextualSpacing/>
      <w:jc w:val="left"/>
      <w:rPr>
        <w:rFonts w:ascii="Arial" w:hAnsi="Arial"/>
        <w:sz w:val="18"/>
        <w:lang w:val="en-US"/>
      </w:rPr>
    </w:pPr>
    <w:r w:rsidRPr="0066724F">
      <w:rPr>
        <w:rFonts w:ascii="Arial" w:hAnsi="Arial"/>
        <w:noProof/>
        <w:sz w:val="18"/>
        <w:lang w:val="en-US"/>
      </w:rPr>
      <w:drawing>
        <wp:anchor distT="0" distB="0" distL="114300" distR="114300" simplePos="0" relativeHeight="251659264" behindDoc="0" locked="0" layoutInCell="1" allowOverlap="1" wp14:anchorId="0CAF3A38" wp14:editId="5F6BEAB9">
          <wp:simplePos x="0" y="0"/>
          <wp:positionH relativeFrom="column">
            <wp:posOffset>-310515</wp:posOffset>
          </wp:positionH>
          <wp:positionV relativeFrom="paragraph">
            <wp:posOffset>-34925</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66724F">
      <w:rPr>
        <w:rFonts w:ascii="Arial" w:hAnsi="Arial"/>
        <w:noProof/>
        <w:sz w:val="18"/>
        <w:lang w:val="en-US"/>
      </w:rPr>
      <w:drawing>
        <wp:anchor distT="0" distB="0" distL="114300" distR="114300" simplePos="0" relativeHeight="251660288" behindDoc="0" locked="0" layoutInCell="1" allowOverlap="0" wp14:anchorId="6E8DC6DF" wp14:editId="65CB18CF">
          <wp:simplePos x="0" y="0"/>
          <wp:positionH relativeFrom="page">
            <wp:posOffset>-19050</wp:posOffset>
          </wp:positionH>
          <wp:positionV relativeFrom="paragraph">
            <wp:posOffset>-533400</wp:posOffset>
          </wp:positionV>
          <wp:extent cx="7880350" cy="4629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880350" cy="462915"/>
                  </a:xfrm>
                  <a:prstGeom prst="rect">
                    <a:avLst/>
                  </a:prstGeom>
                </pic:spPr>
              </pic:pic>
            </a:graphicData>
          </a:graphic>
          <wp14:sizeRelH relativeFrom="margin">
            <wp14:pctWidth>0</wp14:pctWidth>
          </wp14:sizeRelH>
          <wp14:sizeRelV relativeFrom="margin">
            <wp14:pctHeight>0</wp14:pctHeight>
          </wp14:sizeRelV>
        </wp:anchor>
      </w:drawing>
    </w:r>
    <w:r w:rsidRPr="0066724F">
      <w:rPr>
        <w:rFonts w:ascii="Arial" w:hAnsi="Arial"/>
        <w:sz w:val="18"/>
        <w:lang w:val="en-US"/>
      </w:rPr>
      <w:t>International Plant Protection Convention</w:t>
    </w:r>
    <w:r w:rsidRPr="0066724F">
      <w:rPr>
        <w:rFonts w:ascii="Arial" w:hAnsi="Arial"/>
        <w:sz w:val="18"/>
        <w:lang w:val="en-US"/>
      </w:rPr>
      <w:tab/>
    </w:r>
    <w:r w:rsidRPr="004D1CC4">
      <w:rPr>
        <w:rFonts w:ascii="Arial" w:hAnsi="Arial" w:cs="Arial"/>
        <w:sz w:val="18"/>
        <w:szCs w:val="18"/>
      </w:rPr>
      <w:t>1</w:t>
    </w:r>
    <w:r>
      <w:rPr>
        <w:rFonts w:ascii="Arial" w:hAnsi="Arial" w:cs="Arial"/>
        <w:sz w:val="18"/>
        <w:szCs w:val="18"/>
      </w:rPr>
      <w:t>6</w:t>
    </w:r>
    <w:r w:rsidRPr="004D1CC4">
      <w:rPr>
        <w:rFonts w:ascii="Arial" w:hAnsi="Arial" w:cs="Arial"/>
        <w:sz w:val="18"/>
        <w:szCs w:val="18"/>
      </w:rPr>
      <w:t>_SPG_2021_Oct</w:t>
    </w:r>
  </w:p>
  <w:p w14:paraId="7EBFA838" w14:textId="70F78713" w:rsidR="00425211" w:rsidRPr="00B65754" w:rsidRDefault="00425211" w:rsidP="00B65754">
    <w:pPr>
      <w:pBdr>
        <w:bottom w:val="single" w:sz="4" w:space="4" w:color="auto"/>
      </w:pBdr>
      <w:tabs>
        <w:tab w:val="left" w:pos="1134"/>
        <w:tab w:val="right" w:pos="9639"/>
      </w:tabs>
      <w:spacing w:after="120"/>
      <w:contextualSpacing/>
      <w:jc w:val="left"/>
      <w:rPr>
        <w:rFonts w:ascii="Arial" w:hAnsi="Arial"/>
        <w:sz w:val="18"/>
        <w:lang w:val="en-US"/>
      </w:rPr>
    </w:pPr>
    <w:r>
      <w:rPr>
        <w:rFonts w:ascii="Arial" w:hAnsi="Arial"/>
        <w:i/>
        <w:sz w:val="18"/>
        <w:lang w:val="en-US"/>
      </w:rPr>
      <w:t>PCE tool</w:t>
    </w:r>
    <w:r w:rsidRPr="0066724F">
      <w:rPr>
        <w:rFonts w:ascii="Arial" w:hAnsi="Arial"/>
        <w:i/>
        <w:sz w:val="18"/>
        <w:lang w:val="en-US"/>
      </w:rPr>
      <w:tab/>
    </w:r>
    <w:r w:rsidRPr="0066724F">
      <w:rPr>
        <w:rFonts w:ascii="Arial" w:hAnsi="Arial"/>
        <w:i/>
        <w:iCs/>
        <w:sz w:val="18"/>
      </w:rPr>
      <w:t xml:space="preserve">Agenda item: </w:t>
    </w:r>
    <w:r>
      <w:rPr>
        <w:rFonts w:ascii="Arial" w:hAnsi="Arial"/>
        <w:i/>
        <w:iCs/>
        <w:sz w:val="18"/>
      </w:rPr>
      <w:t>05.3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14D2198"/>
    <w:multiLevelType w:val="hybridMultilevel"/>
    <w:tmpl w:val="06E269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03B5E"/>
    <w:multiLevelType w:val="hybridMultilevel"/>
    <w:tmpl w:val="7CF05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B3265"/>
    <w:multiLevelType w:val="hybridMultilevel"/>
    <w:tmpl w:val="54ACD69A"/>
    <w:lvl w:ilvl="0" w:tplc="DFAC86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D07488"/>
    <w:multiLevelType w:val="hybridMultilevel"/>
    <w:tmpl w:val="EBDE2E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8"/>
  </w:num>
  <w:num w:numId="5">
    <w:abstractNumId w:val="13"/>
  </w:num>
  <w:num w:numId="6">
    <w:abstractNumId w:val="14"/>
  </w:num>
  <w:num w:numId="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9"/>
  </w:num>
  <w:num w:numId="17">
    <w:abstractNumId w:val="2"/>
  </w:num>
  <w:num w:numId="18">
    <w:abstractNumId w:val="1"/>
  </w:num>
  <w:num w:numId="19">
    <w:abstractNumId w:val="12"/>
  </w:num>
  <w:num w:numId="20">
    <w:abstractNumId w:val="7"/>
  </w:num>
  <w:num w:numId="21">
    <w:abstractNumId w:val="5"/>
  </w:num>
  <w:num w:numId="22">
    <w:abstractNumId w:val="15"/>
  </w:num>
  <w:num w:numId="23">
    <w:abstractNumId w:val="3"/>
  </w:num>
  <w:num w:numId="24">
    <w:abstractNumId w:val="0"/>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C"/>
    <w:rsid w:val="00002BF4"/>
    <w:rsid w:val="00025406"/>
    <w:rsid w:val="000672B0"/>
    <w:rsid w:val="00087AC7"/>
    <w:rsid w:val="000D70F6"/>
    <w:rsid w:val="0010459A"/>
    <w:rsid w:val="00142442"/>
    <w:rsid w:val="00154F69"/>
    <w:rsid w:val="001A0697"/>
    <w:rsid w:val="001A5E86"/>
    <w:rsid w:val="001D53E0"/>
    <w:rsid w:val="001F3C44"/>
    <w:rsid w:val="0029235E"/>
    <w:rsid w:val="002B5D6A"/>
    <w:rsid w:val="0034456A"/>
    <w:rsid w:val="0035163D"/>
    <w:rsid w:val="003713DE"/>
    <w:rsid w:val="003940A9"/>
    <w:rsid w:val="004171D3"/>
    <w:rsid w:val="00425211"/>
    <w:rsid w:val="0043637A"/>
    <w:rsid w:val="00475E03"/>
    <w:rsid w:val="00484100"/>
    <w:rsid w:val="00553982"/>
    <w:rsid w:val="00563AFC"/>
    <w:rsid w:val="005D3456"/>
    <w:rsid w:val="005D3B67"/>
    <w:rsid w:val="005F0E62"/>
    <w:rsid w:val="00604AF5"/>
    <w:rsid w:val="0063023C"/>
    <w:rsid w:val="0063059F"/>
    <w:rsid w:val="006811BA"/>
    <w:rsid w:val="006B6867"/>
    <w:rsid w:val="006B6B3C"/>
    <w:rsid w:val="006F60AD"/>
    <w:rsid w:val="0070692D"/>
    <w:rsid w:val="007102E6"/>
    <w:rsid w:val="0072211C"/>
    <w:rsid w:val="00737BC7"/>
    <w:rsid w:val="0077075C"/>
    <w:rsid w:val="00794685"/>
    <w:rsid w:val="007D278F"/>
    <w:rsid w:val="008929A9"/>
    <w:rsid w:val="00896D39"/>
    <w:rsid w:val="008A35D9"/>
    <w:rsid w:val="008B08F4"/>
    <w:rsid w:val="008F2AC4"/>
    <w:rsid w:val="009021AB"/>
    <w:rsid w:val="0093570C"/>
    <w:rsid w:val="00983D66"/>
    <w:rsid w:val="009F438C"/>
    <w:rsid w:val="00A40E8F"/>
    <w:rsid w:val="00A70A85"/>
    <w:rsid w:val="00A852E0"/>
    <w:rsid w:val="00AC4FE6"/>
    <w:rsid w:val="00AD43FD"/>
    <w:rsid w:val="00B10E80"/>
    <w:rsid w:val="00B65754"/>
    <w:rsid w:val="00B712E9"/>
    <w:rsid w:val="00BA75D8"/>
    <w:rsid w:val="00BC69A2"/>
    <w:rsid w:val="00BE7097"/>
    <w:rsid w:val="00C40832"/>
    <w:rsid w:val="00C635A0"/>
    <w:rsid w:val="00CB59A9"/>
    <w:rsid w:val="00D23F31"/>
    <w:rsid w:val="00D55E65"/>
    <w:rsid w:val="00D612A1"/>
    <w:rsid w:val="00D87F4F"/>
    <w:rsid w:val="00DA0A6C"/>
    <w:rsid w:val="00DB755B"/>
    <w:rsid w:val="00DD7823"/>
    <w:rsid w:val="00E17191"/>
    <w:rsid w:val="00E35ABB"/>
    <w:rsid w:val="00E73707"/>
    <w:rsid w:val="00E97902"/>
    <w:rsid w:val="00EC0C92"/>
    <w:rsid w:val="00ED73A8"/>
    <w:rsid w:val="00EE5739"/>
    <w:rsid w:val="00EF4720"/>
    <w:rsid w:val="00F25F3A"/>
    <w:rsid w:val="00F34494"/>
    <w:rsid w:val="00F37799"/>
    <w:rsid w:val="00F95C8F"/>
    <w:rsid w:val="00FF4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A0F5"/>
  <w15:chartTrackingRefBased/>
  <w15:docId w15:val="{FF101BBC-A7B1-48CD-B56F-BBBA3B0F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754"/>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6575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6575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6575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657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5754"/>
  </w:style>
  <w:style w:type="paragraph" w:styleId="ListParagraph">
    <w:name w:val="List Paragraph"/>
    <w:basedOn w:val="Normal"/>
    <w:uiPriority w:val="34"/>
    <w:qFormat/>
    <w:rsid w:val="00B65754"/>
    <w:pPr>
      <w:spacing w:line="240" w:lineRule="atLeast"/>
      <w:ind w:leftChars="400" w:left="800"/>
    </w:pPr>
    <w:rPr>
      <w:rFonts w:ascii="Verdana" w:eastAsia="Times New Roman" w:hAnsi="Verdana"/>
      <w:sz w:val="20"/>
      <w:lang w:val="nl-NL" w:eastAsia="nl-NL"/>
    </w:rPr>
  </w:style>
  <w:style w:type="numbering" w:customStyle="1" w:styleId="IPPParagraphnumberedlist">
    <w:name w:val="IPP Paragraph numbered list"/>
    <w:rsid w:val="00B65754"/>
    <w:pPr>
      <w:numPr>
        <w:numId w:val="2"/>
      </w:numPr>
    </w:pPr>
  </w:style>
  <w:style w:type="paragraph" w:customStyle="1" w:styleId="IPPParagraphnumbering">
    <w:name w:val="IPP Paragraph numbering"/>
    <w:basedOn w:val="IPPNormal"/>
    <w:qFormat/>
    <w:rsid w:val="00B65754"/>
    <w:pPr>
      <w:numPr>
        <w:numId w:val="3"/>
      </w:numPr>
    </w:pPr>
    <w:rPr>
      <w:lang w:val="en-US"/>
    </w:rPr>
  </w:style>
  <w:style w:type="paragraph" w:customStyle="1" w:styleId="IPPHeading1">
    <w:name w:val="IPP Heading1"/>
    <w:basedOn w:val="IPPNormal"/>
    <w:next w:val="IPPNormal"/>
    <w:qFormat/>
    <w:rsid w:val="00B65754"/>
    <w:pPr>
      <w:keepNext/>
      <w:tabs>
        <w:tab w:val="left" w:pos="567"/>
      </w:tabs>
      <w:spacing w:before="240" w:after="120"/>
      <w:ind w:left="567" w:hanging="567"/>
      <w:jc w:val="left"/>
      <w:outlineLvl w:val="1"/>
    </w:pPr>
    <w:rPr>
      <w:b/>
      <w:sz w:val="24"/>
      <w:szCs w:val="22"/>
    </w:rPr>
  </w:style>
  <w:style w:type="paragraph" w:styleId="Header">
    <w:name w:val="header"/>
    <w:basedOn w:val="Normal"/>
    <w:link w:val="HeaderChar"/>
    <w:rsid w:val="00B65754"/>
    <w:pPr>
      <w:tabs>
        <w:tab w:val="center" w:pos="4680"/>
        <w:tab w:val="right" w:pos="9360"/>
      </w:tabs>
    </w:pPr>
  </w:style>
  <w:style w:type="character" w:customStyle="1" w:styleId="HeaderChar">
    <w:name w:val="Header Char"/>
    <w:basedOn w:val="DefaultParagraphFont"/>
    <w:link w:val="Header"/>
    <w:rsid w:val="00B65754"/>
    <w:rPr>
      <w:rFonts w:ascii="Times New Roman" w:eastAsia="MS Mincho" w:hAnsi="Times New Roman" w:cs="Times New Roman"/>
      <w:szCs w:val="24"/>
      <w:lang w:val="en-GB"/>
    </w:rPr>
  </w:style>
  <w:style w:type="paragraph" w:styleId="Footer">
    <w:name w:val="footer"/>
    <w:basedOn w:val="Normal"/>
    <w:link w:val="FooterChar"/>
    <w:rsid w:val="00B65754"/>
    <w:pPr>
      <w:tabs>
        <w:tab w:val="center" w:pos="4680"/>
        <w:tab w:val="right" w:pos="9360"/>
      </w:tabs>
    </w:pPr>
  </w:style>
  <w:style w:type="character" w:customStyle="1" w:styleId="FooterChar">
    <w:name w:val="Footer Char"/>
    <w:basedOn w:val="DefaultParagraphFont"/>
    <w:link w:val="Footer"/>
    <w:rsid w:val="00B65754"/>
    <w:rPr>
      <w:rFonts w:ascii="Times New Roman" w:eastAsia="MS Mincho" w:hAnsi="Times New Roman" w:cs="Times New Roman"/>
      <w:szCs w:val="24"/>
      <w:lang w:val="en-GB"/>
    </w:rPr>
  </w:style>
  <w:style w:type="character" w:styleId="CommentReference">
    <w:name w:val="annotation reference"/>
    <w:basedOn w:val="DefaultParagraphFont"/>
    <w:uiPriority w:val="99"/>
    <w:semiHidden/>
    <w:unhideWhenUsed/>
    <w:rsid w:val="00BE7097"/>
    <w:rPr>
      <w:sz w:val="16"/>
      <w:szCs w:val="16"/>
    </w:rPr>
  </w:style>
  <w:style w:type="paragraph" w:styleId="CommentText">
    <w:name w:val="annotation text"/>
    <w:basedOn w:val="Normal"/>
    <w:link w:val="CommentTextChar"/>
    <w:uiPriority w:val="99"/>
    <w:semiHidden/>
    <w:unhideWhenUsed/>
    <w:rsid w:val="00BE7097"/>
    <w:rPr>
      <w:sz w:val="20"/>
      <w:szCs w:val="20"/>
    </w:rPr>
  </w:style>
  <w:style w:type="character" w:customStyle="1" w:styleId="CommentTextChar">
    <w:name w:val="Comment Text Char"/>
    <w:basedOn w:val="DefaultParagraphFont"/>
    <w:link w:val="CommentText"/>
    <w:uiPriority w:val="99"/>
    <w:semiHidden/>
    <w:rsid w:val="00BE7097"/>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BE7097"/>
    <w:rPr>
      <w:b/>
      <w:bCs/>
    </w:rPr>
  </w:style>
  <w:style w:type="character" w:customStyle="1" w:styleId="CommentSubjectChar">
    <w:name w:val="Comment Subject Char"/>
    <w:basedOn w:val="CommentTextChar"/>
    <w:link w:val="CommentSubject"/>
    <w:uiPriority w:val="99"/>
    <w:semiHidden/>
    <w:rsid w:val="00BE7097"/>
    <w:rPr>
      <w:rFonts w:ascii="Calibri" w:hAnsi="Calibri" w:cs="Calibri"/>
      <w:b/>
      <w:bCs/>
      <w:sz w:val="20"/>
      <w:szCs w:val="20"/>
      <w:lang w:eastAsia="en-AU"/>
    </w:rPr>
  </w:style>
  <w:style w:type="paragraph" w:styleId="BalloonText">
    <w:name w:val="Balloon Text"/>
    <w:basedOn w:val="Normal"/>
    <w:link w:val="BalloonTextChar"/>
    <w:rsid w:val="00B65754"/>
    <w:rPr>
      <w:rFonts w:ascii="Tahoma" w:hAnsi="Tahoma" w:cs="Tahoma"/>
      <w:sz w:val="16"/>
      <w:szCs w:val="16"/>
    </w:rPr>
  </w:style>
  <w:style w:type="character" w:customStyle="1" w:styleId="BalloonTextChar">
    <w:name w:val="Balloon Text Char"/>
    <w:basedOn w:val="DefaultParagraphFont"/>
    <w:link w:val="BalloonText"/>
    <w:rsid w:val="00B65754"/>
    <w:rPr>
      <w:rFonts w:ascii="Tahoma" w:eastAsia="MS Mincho" w:hAnsi="Tahoma" w:cs="Tahoma"/>
      <w:sz w:val="16"/>
      <w:szCs w:val="16"/>
      <w:lang w:val="en-GB"/>
    </w:rPr>
  </w:style>
  <w:style w:type="character" w:customStyle="1" w:styleId="Heading1Char">
    <w:name w:val="Heading 1 Char"/>
    <w:basedOn w:val="DefaultParagraphFont"/>
    <w:link w:val="Heading1"/>
    <w:rsid w:val="00B65754"/>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65754"/>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65754"/>
    <w:rPr>
      <w:rFonts w:ascii="Calibri" w:eastAsia="MS Mincho" w:hAnsi="Calibri" w:cs="Times New Roman"/>
      <w:b/>
      <w:bCs/>
      <w:sz w:val="26"/>
      <w:szCs w:val="26"/>
      <w:lang w:val="en-GB"/>
    </w:rPr>
  </w:style>
  <w:style w:type="paragraph" w:styleId="FootnoteText">
    <w:name w:val="footnote text"/>
    <w:basedOn w:val="Normal"/>
    <w:link w:val="FootnoteTextChar"/>
    <w:semiHidden/>
    <w:rsid w:val="00B65754"/>
    <w:pPr>
      <w:spacing w:before="60"/>
    </w:pPr>
    <w:rPr>
      <w:sz w:val="20"/>
    </w:rPr>
  </w:style>
  <w:style w:type="character" w:customStyle="1" w:styleId="FootnoteTextChar">
    <w:name w:val="Footnote Text Char"/>
    <w:basedOn w:val="DefaultParagraphFont"/>
    <w:link w:val="FootnoteText"/>
    <w:semiHidden/>
    <w:rsid w:val="00B65754"/>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65754"/>
    <w:rPr>
      <w:vertAlign w:val="superscript"/>
    </w:rPr>
  </w:style>
  <w:style w:type="paragraph" w:customStyle="1" w:styleId="Style">
    <w:name w:val="Style"/>
    <w:basedOn w:val="Footer"/>
    <w:autoRedefine/>
    <w:qFormat/>
    <w:rsid w:val="00B6575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65754"/>
    <w:rPr>
      <w:rFonts w:ascii="Arial" w:hAnsi="Arial"/>
      <w:b/>
      <w:sz w:val="18"/>
    </w:rPr>
  </w:style>
  <w:style w:type="paragraph" w:customStyle="1" w:styleId="IPPArialFootnote">
    <w:name w:val="IPP Arial Footnote"/>
    <w:basedOn w:val="IPPArialTable"/>
    <w:qFormat/>
    <w:rsid w:val="00B65754"/>
    <w:pPr>
      <w:tabs>
        <w:tab w:val="left" w:pos="28"/>
      </w:tabs>
      <w:ind w:left="284" w:hanging="284"/>
    </w:pPr>
    <w:rPr>
      <w:sz w:val="16"/>
    </w:rPr>
  </w:style>
  <w:style w:type="paragraph" w:customStyle="1" w:styleId="IPPContentsHead">
    <w:name w:val="IPP ContentsHead"/>
    <w:basedOn w:val="IPPSubhead"/>
    <w:next w:val="IPPNormal"/>
    <w:qFormat/>
    <w:rsid w:val="00B65754"/>
    <w:pPr>
      <w:spacing w:after="240"/>
    </w:pPr>
    <w:rPr>
      <w:sz w:val="24"/>
    </w:rPr>
  </w:style>
  <w:style w:type="table" w:styleId="TableGrid">
    <w:name w:val="Table Grid"/>
    <w:basedOn w:val="TableNormal"/>
    <w:rsid w:val="00B65754"/>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B65754"/>
    <w:pPr>
      <w:numPr>
        <w:numId w:val="19"/>
      </w:numPr>
      <w:tabs>
        <w:tab w:val="left" w:pos="1134"/>
      </w:tabs>
      <w:spacing w:after="60"/>
      <w:ind w:left="1134" w:hanging="567"/>
    </w:pPr>
  </w:style>
  <w:style w:type="paragraph" w:customStyle="1" w:styleId="IPPQuote">
    <w:name w:val="IPP Quote"/>
    <w:basedOn w:val="IPPNormal"/>
    <w:qFormat/>
    <w:rsid w:val="00B65754"/>
    <w:pPr>
      <w:ind w:left="851" w:right="851"/>
    </w:pPr>
    <w:rPr>
      <w:sz w:val="18"/>
    </w:rPr>
  </w:style>
  <w:style w:type="paragraph" w:customStyle="1" w:styleId="IPPNormal">
    <w:name w:val="IPP Normal"/>
    <w:basedOn w:val="Normal"/>
    <w:qFormat/>
    <w:rsid w:val="00B65754"/>
    <w:pPr>
      <w:spacing w:after="180"/>
    </w:pPr>
    <w:rPr>
      <w:rFonts w:eastAsia="Times"/>
    </w:rPr>
  </w:style>
  <w:style w:type="paragraph" w:customStyle="1" w:styleId="IPPIndentClose">
    <w:name w:val="IPP Indent Close"/>
    <w:basedOn w:val="IPPNormal"/>
    <w:qFormat/>
    <w:rsid w:val="00B65754"/>
    <w:pPr>
      <w:tabs>
        <w:tab w:val="left" w:pos="2835"/>
      </w:tabs>
      <w:spacing w:after="60"/>
      <w:ind w:left="567"/>
    </w:pPr>
  </w:style>
  <w:style w:type="paragraph" w:customStyle="1" w:styleId="IPPIndent">
    <w:name w:val="IPP Indent"/>
    <w:basedOn w:val="IPPIndentClose"/>
    <w:qFormat/>
    <w:rsid w:val="00B65754"/>
    <w:pPr>
      <w:spacing w:after="180"/>
    </w:pPr>
  </w:style>
  <w:style w:type="paragraph" w:customStyle="1" w:styleId="IPPFootnote">
    <w:name w:val="IPP Footnote"/>
    <w:basedOn w:val="IPPArialFootnote"/>
    <w:qFormat/>
    <w:rsid w:val="00B6575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65754"/>
    <w:pPr>
      <w:keepNext/>
      <w:tabs>
        <w:tab w:val="left" w:pos="567"/>
      </w:tabs>
      <w:spacing w:before="120" w:after="120"/>
      <w:ind w:left="567" w:hanging="567"/>
    </w:pPr>
    <w:rPr>
      <w:b/>
      <w:i/>
    </w:rPr>
  </w:style>
  <w:style w:type="character" w:customStyle="1" w:styleId="IPPnormalitalics">
    <w:name w:val="IPP normal italics"/>
    <w:basedOn w:val="DefaultParagraphFont"/>
    <w:rsid w:val="00B65754"/>
    <w:rPr>
      <w:rFonts w:ascii="Times New Roman" w:hAnsi="Times New Roman"/>
      <w:i/>
      <w:sz w:val="22"/>
      <w:lang w:val="en-US"/>
    </w:rPr>
  </w:style>
  <w:style w:type="character" w:customStyle="1" w:styleId="IPPNormalbold">
    <w:name w:val="IPP Normal bold"/>
    <w:basedOn w:val="PlainTextChar"/>
    <w:rsid w:val="00B65754"/>
    <w:rPr>
      <w:rFonts w:ascii="Times New Roman" w:eastAsia="Times" w:hAnsi="Times New Roman" w:cs="Times New Roman"/>
      <w:b/>
      <w:sz w:val="22"/>
      <w:szCs w:val="21"/>
    </w:rPr>
  </w:style>
  <w:style w:type="paragraph" w:customStyle="1" w:styleId="IPPHeadSection">
    <w:name w:val="IPP HeadSection"/>
    <w:basedOn w:val="Normal"/>
    <w:next w:val="Normal"/>
    <w:qFormat/>
    <w:rsid w:val="00B65754"/>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65754"/>
    <w:pPr>
      <w:keepNext/>
      <w:ind w:left="567" w:hanging="567"/>
      <w:jc w:val="left"/>
    </w:pPr>
    <w:rPr>
      <w:b/>
      <w:bCs/>
      <w:iCs/>
      <w:szCs w:val="22"/>
    </w:rPr>
  </w:style>
  <w:style w:type="character" w:customStyle="1" w:styleId="IPPNormalunderlined">
    <w:name w:val="IPP Normal underlined"/>
    <w:basedOn w:val="DefaultParagraphFont"/>
    <w:rsid w:val="00B65754"/>
    <w:rPr>
      <w:rFonts w:ascii="Times New Roman" w:hAnsi="Times New Roman"/>
      <w:sz w:val="22"/>
      <w:u w:val="single"/>
      <w:lang w:val="en-US"/>
    </w:rPr>
  </w:style>
  <w:style w:type="paragraph" w:customStyle="1" w:styleId="IPPBullet1">
    <w:name w:val="IPP Bullet1"/>
    <w:basedOn w:val="IPPBullet1Last"/>
    <w:qFormat/>
    <w:rsid w:val="00B65754"/>
    <w:pPr>
      <w:numPr>
        <w:numId w:val="26"/>
      </w:numPr>
      <w:spacing w:after="60"/>
      <w:ind w:left="567" w:hanging="567"/>
    </w:pPr>
    <w:rPr>
      <w:lang w:val="en-US"/>
    </w:rPr>
  </w:style>
  <w:style w:type="paragraph" w:customStyle="1" w:styleId="IPPBullet1Last">
    <w:name w:val="IPP Bullet1Last"/>
    <w:basedOn w:val="IPPNormal"/>
    <w:next w:val="IPPNormal"/>
    <w:autoRedefine/>
    <w:qFormat/>
    <w:rsid w:val="00B65754"/>
    <w:pPr>
      <w:numPr>
        <w:numId w:val="20"/>
      </w:numPr>
    </w:pPr>
  </w:style>
  <w:style w:type="character" w:customStyle="1" w:styleId="IPPNormalstrikethrough">
    <w:name w:val="IPP Normal strikethrough"/>
    <w:rsid w:val="00B65754"/>
    <w:rPr>
      <w:rFonts w:ascii="Times New Roman" w:hAnsi="Times New Roman"/>
      <w:strike/>
      <w:dstrike w:val="0"/>
      <w:sz w:val="22"/>
    </w:rPr>
  </w:style>
  <w:style w:type="paragraph" w:customStyle="1" w:styleId="IPPTitle16pt">
    <w:name w:val="IPP Title16pt"/>
    <w:basedOn w:val="Normal"/>
    <w:qFormat/>
    <w:rsid w:val="00B6575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65754"/>
    <w:pPr>
      <w:spacing w:after="360"/>
      <w:jc w:val="center"/>
    </w:pPr>
    <w:rPr>
      <w:rFonts w:ascii="Arial" w:hAnsi="Arial" w:cs="Arial"/>
      <w:b/>
      <w:bCs/>
      <w:sz w:val="36"/>
      <w:szCs w:val="36"/>
    </w:rPr>
  </w:style>
  <w:style w:type="paragraph" w:customStyle="1" w:styleId="IPPHeader">
    <w:name w:val="IPP Header"/>
    <w:basedOn w:val="Normal"/>
    <w:qFormat/>
    <w:rsid w:val="00B6575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65754"/>
    <w:pPr>
      <w:keepNext/>
      <w:tabs>
        <w:tab w:val="left" w:pos="567"/>
      </w:tabs>
      <w:spacing w:before="120"/>
      <w:jc w:val="left"/>
      <w:outlineLvl w:val="1"/>
    </w:pPr>
    <w:rPr>
      <w:b/>
      <w:sz w:val="24"/>
    </w:rPr>
  </w:style>
  <w:style w:type="paragraph" w:customStyle="1" w:styleId="IPPNormalCloseSpace">
    <w:name w:val="IPP NormalCloseSpace"/>
    <w:basedOn w:val="Normal"/>
    <w:qFormat/>
    <w:rsid w:val="00B65754"/>
    <w:pPr>
      <w:keepNext/>
      <w:spacing w:after="60"/>
    </w:pPr>
  </w:style>
  <w:style w:type="paragraph" w:customStyle="1" w:styleId="IPPHeading2">
    <w:name w:val="IPP Heading2"/>
    <w:basedOn w:val="IPPNormal"/>
    <w:next w:val="IPPNormal"/>
    <w:qFormat/>
    <w:rsid w:val="00B6575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6575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65754"/>
    <w:pPr>
      <w:tabs>
        <w:tab w:val="right" w:leader="dot" w:pos="9072"/>
      </w:tabs>
      <w:spacing w:before="240"/>
      <w:ind w:left="567" w:hanging="567"/>
    </w:pPr>
  </w:style>
  <w:style w:type="paragraph" w:styleId="TOC2">
    <w:name w:val="toc 2"/>
    <w:basedOn w:val="TOC1"/>
    <w:next w:val="Normal"/>
    <w:autoRedefine/>
    <w:uiPriority w:val="39"/>
    <w:rsid w:val="00B65754"/>
    <w:pPr>
      <w:keepNext w:val="0"/>
      <w:tabs>
        <w:tab w:val="left" w:pos="425"/>
      </w:tabs>
      <w:spacing w:before="120" w:after="0"/>
      <w:ind w:left="425" w:right="284" w:hanging="425"/>
    </w:pPr>
  </w:style>
  <w:style w:type="paragraph" w:styleId="TOC3">
    <w:name w:val="toc 3"/>
    <w:basedOn w:val="TOC2"/>
    <w:next w:val="Normal"/>
    <w:autoRedefine/>
    <w:uiPriority w:val="39"/>
    <w:rsid w:val="00B65754"/>
    <w:pPr>
      <w:tabs>
        <w:tab w:val="left" w:pos="1276"/>
      </w:tabs>
      <w:spacing w:before="60"/>
      <w:ind w:left="1276" w:hanging="851"/>
    </w:pPr>
    <w:rPr>
      <w:rFonts w:eastAsia="Times"/>
    </w:rPr>
  </w:style>
  <w:style w:type="paragraph" w:styleId="TOC4">
    <w:name w:val="toc 4"/>
    <w:basedOn w:val="Normal"/>
    <w:next w:val="Normal"/>
    <w:autoRedefine/>
    <w:uiPriority w:val="39"/>
    <w:rsid w:val="00B65754"/>
    <w:pPr>
      <w:spacing w:after="120"/>
      <w:ind w:left="660"/>
    </w:pPr>
    <w:rPr>
      <w:rFonts w:eastAsia="Times"/>
      <w:lang w:val="en-AU"/>
    </w:rPr>
  </w:style>
  <w:style w:type="paragraph" w:styleId="TOC5">
    <w:name w:val="toc 5"/>
    <w:basedOn w:val="Normal"/>
    <w:next w:val="Normal"/>
    <w:autoRedefine/>
    <w:uiPriority w:val="39"/>
    <w:rsid w:val="00B65754"/>
    <w:pPr>
      <w:spacing w:after="120"/>
      <w:ind w:left="880"/>
    </w:pPr>
    <w:rPr>
      <w:rFonts w:eastAsia="Times"/>
      <w:lang w:val="en-AU"/>
    </w:rPr>
  </w:style>
  <w:style w:type="paragraph" w:styleId="TOC6">
    <w:name w:val="toc 6"/>
    <w:basedOn w:val="Normal"/>
    <w:next w:val="Normal"/>
    <w:autoRedefine/>
    <w:uiPriority w:val="39"/>
    <w:rsid w:val="00B65754"/>
    <w:pPr>
      <w:spacing w:after="120"/>
      <w:ind w:left="1100"/>
    </w:pPr>
    <w:rPr>
      <w:rFonts w:eastAsia="Times"/>
      <w:lang w:val="en-AU"/>
    </w:rPr>
  </w:style>
  <w:style w:type="paragraph" w:styleId="TOC7">
    <w:name w:val="toc 7"/>
    <w:basedOn w:val="Normal"/>
    <w:next w:val="Normal"/>
    <w:autoRedefine/>
    <w:uiPriority w:val="39"/>
    <w:rsid w:val="00B65754"/>
    <w:pPr>
      <w:spacing w:after="120"/>
      <w:ind w:left="1320"/>
    </w:pPr>
    <w:rPr>
      <w:rFonts w:eastAsia="Times"/>
      <w:lang w:val="en-AU"/>
    </w:rPr>
  </w:style>
  <w:style w:type="paragraph" w:styleId="TOC8">
    <w:name w:val="toc 8"/>
    <w:basedOn w:val="Normal"/>
    <w:next w:val="Normal"/>
    <w:autoRedefine/>
    <w:uiPriority w:val="39"/>
    <w:rsid w:val="00B65754"/>
    <w:pPr>
      <w:spacing w:after="120"/>
      <w:ind w:left="1540"/>
    </w:pPr>
    <w:rPr>
      <w:rFonts w:eastAsia="Times"/>
      <w:lang w:val="en-AU"/>
    </w:rPr>
  </w:style>
  <w:style w:type="paragraph" w:styleId="TOC9">
    <w:name w:val="toc 9"/>
    <w:basedOn w:val="Normal"/>
    <w:next w:val="Normal"/>
    <w:autoRedefine/>
    <w:uiPriority w:val="39"/>
    <w:rsid w:val="00B65754"/>
    <w:pPr>
      <w:spacing w:after="120"/>
      <w:ind w:left="1760"/>
    </w:pPr>
    <w:rPr>
      <w:rFonts w:eastAsia="Times"/>
      <w:lang w:val="en-AU"/>
    </w:rPr>
  </w:style>
  <w:style w:type="paragraph" w:customStyle="1" w:styleId="IPPReferences">
    <w:name w:val="IPP References"/>
    <w:basedOn w:val="IPPNormal"/>
    <w:qFormat/>
    <w:rsid w:val="00B65754"/>
    <w:pPr>
      <w:spacing w:after="60"/>
      <w:ind w:left="567" w:hanging="567"/>
    </w:pPr>
  </w:style>
  <w:style w:type="paragraph" w:customStyle="1" w:styleId="IPPArial">
    <w:name w:val="IPP Arial"/>
    <w:basedOn w:val="IPPNormal"/>
    <w:qFormat/>
    <w:rsid w:val="00B65754"/>
    <w:pPr>
      <w:spacing w:after="0"/>
    </w:pPr>
    <w:rPr>
      <w:rFonts w:ascii="Arial" w:hAnsi="Arial"/>
      <w:sz w:val="18"/>
    </w:rPr>
  </w:style>
  <w:style w:type="paragraph" w:customStyle="1" w:styleId="IPPArialTable">
    <w:name w:val="IPP Arial Table"/>
    <w:basedOn w:val="IPPArial"/>
    <w:qFormat/>
    <w:rsid w:val="00B65754"/>
    <w:pPr>
      <w:spacing w:before="60" w:after="60"/>
      <w:jc w:val="left"/>
    </w:pPr>
  </w:style>
  <w:style w:type="paragraph" w:customStyle="1" w:styleId="IPPHeaderlandscape">
    <w:name w:val="IPP Header landscape"/>
    <w:basedOn w:val="IPPHeader"/>
    <w:qFormat/>
    <w:rsid w:val="00B6575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6575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65754"/>
    <w:rPr>
      <w:rFonts w:ascii="Courier" w:eastAsia="Times" w:hAnsi="Courier" w:cs="Times New Roman"/>
      <w:sz w:val="21"/>
      <w:szCs w:val="21"/>
    </w:rPr>
  </w:style>
  <w:style w:type="paragraph" w:customStyle="1" w:styleId="IPPLetterList">
    <w:name w:val="IPP LetterList"/>
    <w:basedOn w:val="IPPBullet2"/>
    <w:qFormat/>
    <w:rsid w:val="00B65754"/>
    <w:pPr>
      <w:numPr>
        <w:numId w:val="16"/>
      </w:numPr>
      <w:jc w:val="left"/>
    </w:pPr>
  </w:style>
  <w:style w:type="paragraph" w:customStyle="1" w:styleId="IPPLetterListIndent">
    <w:name w:val="IPP LetterList Indent"/>
    <w:basedOn w:val="IPPLetterList"/>
    <w:qFormat/>
    <w:rsid w:val="00B65754"/>
    <w:pPr>
      <w:numPr>
        <w:numId w:val="17"/>
      </w:numPr>
    </w:pPr>
  </w:style>
  <w:style w:type="paragraph" w:customStyle="1" w:styleId="IPPFooterLandscape">
    <w:name w:val="IPP Footer Landscape"/>
    <w:basedOn w:val="IPPHeaderlandscape"/>
    <w:qFormat/>
    <w:rsid w:val="00B65754"/>
    <w:pPr>
      <w:pBdr>
        <w:top w:val="single" w:sz="4" w:space="1" w:color="auto"/>
        <w:bottom w:val="none" w:sz="0" w:space="0" w:color="auto"/>
      </w:pBdr>
      <w:jc w:val="right"/>
    </w:pPr>
    <w:rPr>
      <w:b/>
    </w:rPr>
  </w:style>
  <w:style w:type="paragraph" w:customStyle="1" w:styleId="IPPSubheadSpace">
    <w:name w:val="IPP Subhead Space"/>
    <w:basedOn w:val="IPPSubhead"/>
    <w:qFormat/>
    <w:rsid w:val="00B65754"/>
    <w:pPr>
      <w:tabs>
        <w:tab w:val="left" w:pos="567"/>
      </w:tabs>
      <w:spacing w:before="60" w:after="60"/>
    </w:pPr>
  </w:style>
  <w:style w:type="paragraph" w:customStyle="1" w:styleId="IPPSubheadSpaceAfter">
    <w:name w:val="IPP Subhead SpaceAfter"/>
    <w:basedOn w:val="IPPSubhead"/>
    <w:qFormat/>
    <w:rsid w:val="00B65754"/>
    <w:pPr>
      <w:spacing w:after="60"/>
    </w:pPr>
  </w:style>
  <w:style w:type="paragraph" w:customStyle="1" w:styleId="IPPHdg1Num">
    <w:name w:val="IPP Hdg1Num"/>
    <w:basedOn w:val="IPPHeading1"/>
    <w:next w:val="IPPNormal"/>
    <w:qFormat/>
    <w:rsid w:val="00B65754"/>
    <w:pPr>
      <w:numPr>
        <w:numId w:val="21"/>
      </w:numPr>
    </w:pPr>
  </w:style>
  <w:style w:type="paragraph" w:customStyle="1" w:styleId="IPPHdg2Num">
    <w:name w:val="IPP Hdg2Num"/>
    <w:basedOn w:val="IPPHeading2"/>
    <w:next w:val="IPPNormal"/>
    <w:qFormat/>
    <w:rsid w:val="00B65754"/>
    <w:pPr>
      <w:numPr>
        <w:ilvl w:val="1"/>
        <w:numId w:val="22"/>
      </w:numPr>
    </w:pPr>
  </w:style>
  <w:style w:type="paragraph" w:customStyle="1" w:styleId="IPPNumberedList">
    <w:name w:val="IPP NumberedList"/>
    <w:basedOn w:val="IPPBullet1"/>
    <w:qFormat/>
    <w:rsid w:val="00B65754"/>
    <w:pPr>
      <w:numPr>
        <w:numId w:val="24"/>
      </w:numPr>
    </w:pPr>
  </w:style>
  <w:style w:type="character" w:styleId="Strong">
    <w:name w:val="Strong"/>
    <w:basedOn w:val="DefaultParagraphFont"/>
    <w:qFormat/>
    <w:rsid w:val="00B65754"/>
    <w:rPr>
      <w:b/>
      <w:bCs/>
    </w:rPr>
  </w:style>
  <w:style w:type="paragraph" w:customStyle="1" w:styleId="IPPParagraphnumberingclose">
    <w:name w:val="IPP Paragraph numbering close"/>
    <w:basedOn w:val="IPPParagraphnumbering"/>
    <w:qFormat/>
    <w:rsid w:val="00B65754"/>
    <w:pPr>
      <w:keepNext/>
      <w:spacing w:after="60"/>
    </w:pPr>
  </w:style>
  <w:style w:type="paragraph" w:customStyle="1" w:styleId="IPPNumberedListLast">
    <w:name w:val="IPP NumberedListLast"/>
    <w:basedOn w:val="IPPNumberedList"/>
    <w:qFormat/>
    <w:rsid w:val="00B65754"/>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d="http://www.w3.org/2001/XMLSchema" xmlns:xs="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Incoming Report</TermName>
          <TermId xmlns="http://schemas.microsoft.com/office/infopath/2007/PartnerControls">62375967-9147-4b77-a484-8aff4a87851d</TermId>
        </TermInfo>
      </Terms>
    </C3TopicNote>
    <TaxCatchAll xmlns="4ee17582-4bfd-407b-b553-e98b9af73715">
      <Value>17381</Value>
      <Value>1</Value>
    </TaxCatchAll>
    <TaxKeywordTaxHTField xmlns="4ee17582-4bfd-407b-b553-e98b9af73715">
      <Terms xmlns="http://schemas.microsoft.com/office/infopath/2007/PartnerControls"/>
    </TaxKeywordTaxHTField>
    <k182b6bd2a994f8f95e924da00d78e9b xmlns="4ee17582-4bfd-407b-b553-e98b9af73715">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k182b6bd2a994f8f95e924da00d78e9b>
    <PingarLastProcessed xmlns="4ee17582-4bfd-407b-b553-e98b9af73715" xsi:nil="true"/>
    <e5d101e695d0413894eac226a6aa764c xmlns="4ee17582-4bfd-407b-b553-e98b9af73715">
      <Terms xmlns="http://schemas.microsoft.com/office/infopath/2007/PartnerControls"/>
    </e5d101e695d0413894eac226a6aa764c>
  </documentManagement>
</p:properties>
</file>

<file path=customXml/itemProps1.xml><?xml version="1.0" encoding="utf-8"?>
<ds:datastoreItem xmlns:ds="http://schemas.openxmlformats.org/officeDocument/2006/customXml" ds:itemID="{BA4B842E-CAA2-4754-938A-2AED5702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DADCD-5244-4F92-AEB6-FBAF1F226335}">
  <ds:schemaRefs>
    <ds:schemaRef ds:uri="http://schemas.microsoft.com/sharepoint/events"/>
  </ds:schemaRefs>
</ds:datastoreItem>
</file>

<file path=customXml/itemProps3.xml><?xml version="1.0" encoding="utf-8"?>
<ds:datastoreItem xmlns:ds="http://schemas.openxmlformats.org/officeDocument/2006/customXml" ds:itemID="{2B54D90D-B90F-4F99-AB62-C4356F3CF087}">
  <ds:schemaRefs>
    <ds:schemaRef ds:uri="http://schemas.microsoft.com/sharepoint/v3/contenttype/forms"/>
  </ds:schemaRefs>
</ds:datastoreItem>
</file>

<file path=customXml/itemProps4.xml><?xml version="1.0" encoding="utf-8"?>
<ds:datastoreItem xmlns:ds="http://schemas.openxmlformats.org/officeDocument/2006/customXml" ds:itemID="{500950A3-7EDE-4761-B6D7-33BCDF22AED9}">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docProps/app.xml><?xml version="1.0" encoding="utf-8"?>
<Properties xmlns="http://schemas.openxmlformats.org/officeDocument/2006/extended-properties" xmlns:vt="http://schemas.openxmlformats.org/officeDocument/2006/docPropsVTypes">
  <Template>IPPC1.dotx</Template>
  <TotalTime>24</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Paper to SPG on the PCE tool</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to SPG on the PCE tool</dc:title>
  <dc:subject/>
  <dc:creator>Sophie Peterson</dc:creator>
  <cp:keywords/>
  <dc:description/>
  <cp:lastModifiedBy>Lahti, Tanja (NSP)</cp:lastModifiedBy>
  <cp:revision>8</cp:revision>
  <dcterms:created xsi:type="dcterms:W3CDTF">2021-09-29T21:37:00Z</dcterms:created>
  <dcterms:modified xsi:type="dcterms:W3CDTF">2021-09-30T08:39:00Z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_dlc_DocIdItemGuid">
    <vt:lpwstr>a181aa93-1d19-4cb7-bb2d-cce0a91bdea4</vt:lpwstr>
  </property>
  <property fmtid="{D5CDD505-2E9C-101B-9397-08002B2CF9AE}" pid="4" name="RecordPoint_WorkflowType">
    <vt:lpwstr>ActiveSubmitStub</vt:lpwstr>
  </property>
  <property fmtid="{D5CDD505-2E9C-101B-9397-08002B2CF9AE}" pid="5" name="RecordPoint_ActiveItemSiteId">
    <vt:lpwstr>{6ca9caab-e4f7-4b7b-aa1a-8b535e38f6e3}</vt:lpwstr>
  </property>
  <property fmtid="{D5CDD505-2E9C-101B-9397-08002B2CF9AE}" pid="6" name="RecordPoint_ActiveItemListId">
    <vt:lpwstr>{e8040cf7-7ac2-4b3b-853c-b544cb4e45f4}</vt:lpwstr>
  </property>
  <property fmtid="{D5CDD505-2E9C-101B-9397-08002B2CF9AE}" pid="7" name="RecordPoint_ActiveItemUniqueId">
    <vt:lpwstr>{a181aa93-1d19-4cb7-bb2d-cce0a91bdea4}</vt:lpwstr>
  </property>
  <property fmtid="{D5CDD505-2E9C-101B-9397-08002B2CF9AE}" pid="8" name="RecordPoint_ActiveItemWebId">
    <vt:lpwstr>{a2a3f85a-919f-4159-9768-7de819e2faf9}</vt:lpwstr>
  </property>
  <property fmtid="{D5CDD505-2E9C-101B-9397-08002B2CF9AE}" pid="9" name="TaxKeyword">
    <vt:lpwstr/>
  </property>
  <property fmtid="{D5CDD505-2E9C-101B-9397-08002B2CF9AE}" pid="10" name="MPISecurityClassification">
    <vt:lpwstr>1;#None|cf402fa0-b6a8-49a7-a22e-a95b6152c608</vt:lpwstr>
  </property>
  <property fmtid="{D5CDD505-2E9C-101B-9397-08002B2CF9AE}" pid="11" name="C3Topic">
    <vt:lpwstr>17381;#Incoming Report|62375967-9147-4b77-a484-8aff4a87851d</vt:lpwstr>
  </property>
</Properties>
</file>