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rPr>
          <w:sz w:val="20"/>
          <w:rStyle w:val="PleaseReviewParagraphId"/>
          <w:noProof/>
        </w:rPr>
        <w:t>[PleaseReview document review. Review title: 2022 First Consultation: Draft Specification for ISPM: Annex International movement of mango (Mangifera indica) fruit to ISPM 46. Document title: 2021-011_DraftSpec_Annex-ISPM46_Mango_En_2022-06-30.docx]</w:t>
      </w:r>
    </w:p>
    <w:p w14:paraId="26B9932E" w14:textId="03240C91">
      <w:pPr>
        <w:spacing w:before="120"/>
        <w:rPr>
          <w:b/>
          <w:bCs/>
        </w:rPr>
      </w:pPr>
      <w:r>
        <w:rPr>
          <w:rStyle w:val="PleaseReviewParagraphId"/>
          <w:b w:val="off"/>
          <w:i w:val="off"/>
        </w:rPr>
        <w:t>[1]</w:t>
      </w:r>
      <w:r>
        <w:rPr>
          <w:b/>
          <w:bCs/>
        </w:rPr>
        <w:t xml:space="preserve">DRAFT SPECIFICATION FOR ISPM: Annex </w:t>
      </w:r>
      <w:r>
        <w:rPr>
          <w:b/>
          <w:bCs/>
          <w:i/>
          <w:iCs/>
        </w:rPr>
        <w:t>International movement of mango (</w:t>
      </w:r>
      <w:r>
        <w:rPr>
          <w:b/>
          <w:bCs/>
        </w:rPr>
        <w:t>Mangifera indica</w:t>
      </w:r>
      <w:r>
        <w:rPr>
          <w:b/>
          <w:bCs/>
          <w:i/>
          <w:iCs/>
        </w:rPr>
        <w:t>) fruit</w:t>
      </w:r>
      <w:r>
        <w:rPr>
          <w:b/>
          <w:bCs/>
        </w:rPr>
        <w:t xml:space="preserve"> (2021-011) to ISPM 46</w:t>
      </w:r>
    </w:p>
    <w:p w14:paraId="71F78F58" w14:textId="77777777">
      <w:pPr>
        <w:pStyle w:val="IPPSubheadSpace"/>
      </w:pPr>
      <w:r>
        <w:rPr>
          <w:rStyle w:val="PleaseReviewParagraphId"/>
          <w:b w:val="off"/>
          <w:i w:val="off"/>
        </w:rPr>
        <w:t>[2]</w:t>
      </w:r>
      <w:r>
        <w:t>Status box</w:t>
      </w:r>
    </w:p>
    <w:tbl>
      <w:tblPr>
        <w:tblpPr w:leftFromText="180" w:rightFromText="180" w:vertAnchor="text" w:horzAnchor="margin" w:tblpXSpec="center" w:tblpY="128"/>
        <w:tblW w:w="0" w:type="auto"/>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3"/>
        <w:gridCol w:w="6766"/>
      </w:tblGrid>
      <w:tr w14:paraId="4821DB4D" w14:textId="77777777">
        <w:trPr>
          <w:trHeight w:val="286"/>
        </w:trPr>
        <w:tc>
          <w:tcPr>
            <w:tcW w:w="9039" w:type="dxa"/>
            <w:gridSpan w:val="2"/>
          </w:tcPr>
          <w:p w14:paraId="41432651" w14:textId="77777777">
            <w:pPr>
              <w:pStyle w:val="IPPArialTable"/>
              <w:spacing w:before="0" w:after="0"/>
              <w:rPr>
                <w:szCs w:val="18"/>
              </w:rPr>
            </w:pPr>
            <w:r>
              <w:rPr>
                <w:rStyle w:val="PleaseReviewParagraphId"/>
                <w:b w:val="off"/>
                <w:i w:val="off"/>
              </w:rPr>
              <w:t>[3]</w:t>
            </w:r>
            <w:r>
              <w:rPr>
                <w:szCs w:val="18"/>
              </w:rPr>
              <w:t>This is not an official part of the specification and it will be modified by the IPPC Secretariat after approval</w:t>
            </w:r>
          </w:p>
        </w:tc>
      </w:tr>
      <w:tr w14:paraId="207A5F53" w14:textId="77777777">
        <w:trPr>
          <w:trHeight w:val="286"/>
        </w:trPr>
        <w:tc>
          <w:tcPr>
            <w:tcW w:w="2273" w:type="dxa"/>
          </w:tcPr>
          <w:p w14:paraId="55E6E5B3" w14:textId="77777777">
            <w:pPr>
              <w:pStyle w:val="IPPArialTable"/>
              <w:spacing w:before="0" w:after="0"/>
              <w:rPr>
                <w:b/>
                <w:bCs/>
                <w:szCs w:val="18"/>
              </w:rPr>
            </w:pPr>
            <w:r>
              <w:rPr>
                <w:rStyle w:val="PleaseReviewParagraphId"/>
                <w:b w:val="off"/>
                <w:i w:val="off"/>
              </w:rPr>
              <w:t>[4]</w:t>
            </w:r>
            <w:r>
              <w:rPr>
                <w:b/>
                <w:bCs/>
                <w:szCs w:val="18"/>
              </w:rPr>
              <w:t>Date of this document</w:t>
            </w:r>
          </w:p>
        </w:tc>
        <w:tc>
          <w:tcPr>
            <w:tcW w:w="6766" w:type="dxa"/>
          </w:tcPr>
          <w:p w14:paraId="1606DDDF" w14:textId="1BD862EC">
            <w:pPr>
              <w:pStyle w:val="IPPArialTable"/>
              <w:spacing w:before="0" w:after="0"/>
              <w:rPr>
                <w:szCs w:val="18"/>
              </w:rPr>
            </w:pPr>
            <w:r>
              <w:rPr>
                <w:rStyle w:val="PleaseReviewParagraphId"/>
                <w:b w:val="off"/>
                <w:i w:val="off"/>
              </w:rPr>
              <w:t>[5]</w:t>
            </w:r>
            <w:r>
              <w:rPr>
                <w:szCs w:val="18"/>
              </w:rPr>
              <w:t>2022-05-09</w:t>
            </w:r>
          </w:p>
        </w:tc>
      </w:tr>
      <w:tr w14:paraId="59F3C2F0" w14:textId="77777777">
        <w:trPr>
          <w:trHeight w:val="59"/>
        </w:trPr>
        <w:tc>
          <w:tcPr>
            <w:tcW w:w="2273" w:type="dxa"/>
          </w:tcPr>
          <w:p w14:paraId="11A7A62F" w14:textId="77777777">
            <w:pPr>
              <w:pStyle w:val="IPPArialTable"/>
              <w:spacing w:before="0" w:after="0"/>
              <w:rPr>
                <w:b/>
                <w:bCs/>
                <w:szCs w:val="18"/>
              </w:rPr>
            </w:pPr>
            <w:r>
              <w:rPr>
                <w:rStyle w:val="PleaseReviewParagraphId"/>
                <w:b w:val="off"/>
                <w:i w:val="off"/>
              </w:rPr>
              <w:t>[6]</w:t>
            </w:r>
            <w:r>
              <w:rPr>
                <w:b/>
                <w:bCs/>
                <w:szCs w:val="18"/>
              </w:rPr>
              <w:t>Document category</w:t>
            </w:r>
          </w:p>
        </w:tc>
        <w:tc>
          <w:tcPr>
            <w:tcW w:w="6766" w:type="dxa"/>
          </w:tcPr>
          <w:p w14:paraId="679F00EF" w14:textId="6794AC86">
            <w:pPr>
              <w:pStyle w:val="IPPArialTable"/>
              <w:spacing w:before="0" w:after="0"/>
              <w:rPr>
                <w:szCs w:val="18"/>
              </w:rPr>
            </w:pPr>
            <w:r>
              <w:rPr>
                <w:rStyle w:val="PleaseReviewParagraphId"/>
                <w:b w:val="off"/>
                <w:i w:val="off"/>
              </w:rPr>
              <w:t>[7]</w:t>
            </w:r>
            <w:r>
              <w:rPr>
                <w:szCs w:val="18"/>
              </w:rPr>
              <w:t>Draft specification for an annex to an ISPM</w:t>
            </w:r>
          </w:p>
        </w:tc>
      </w:tr>
      <w:tr w14:paraId="43F7E2B1" w14:textId="77777777">
        <w:trPr>
          <w:trHeight w:val="299"/>
        </w:trPr>
        <w:tc>
          <w:tcPr>
            <w:tcW w:w="2273" w:type="dxa"/>
          </w:tcPr>
          <w:p w14:paraId="778A6386" w14:textId="77777777">
            <w:pPr>
              <w:pStyle w:val="IPPArialTable"/>
              <w:spacing w:before="0" w:after="0"/>
              <w:rPr>
                <w:b/>
                <w:bCs/>
                <w:szCs w:val="18"/>
              </w:rPr>
            </w:pPr>
            <w:r>
              <w:rPr>
                <w:rStyle w:val="PleaseReviewParagraphId"/>
                <w:b w:val="off"/>
                <w:i w:val="off"/>
              </w:rPr>
              <w:t>[8]</w:t>
            </w:r>
            <w:r>
              <w:rPr>
                <w:b/>
                <w:bCs/>
                <w:szCs w:val="18"/>
              </w:rPr>
              <w:t>Current document stage</w:t>
            </w:r>
          </w:p>
        </w:tc>
        <w:tc>
          <w:tcPr>
            <w:tcW w:w="6766" w:type="dxa"/>
          </w:tcPr>
          <w:p w14:paraId="131912EE" w14:textId="5A52BCA6">
            <w:pPr>
              <w:pStyle w:val="IPPArialTable"/>
              <w:spacing w:before="0" w:after="0"/>
              <w:rPr>
                <w:szCs w:val="18"/>
              </w:rPr>
            </w:pPr>
            <w:r>
              <w:rPr>
                <w:rStyle w:val="PleaseReviewParagraphId"/>
                <w:b w:val="off"/>
                <w:i w:val="off"/>
              </w:rPr>
              <w:t>[9]</w:t>
            </w:r>
            <w:r>
              <w:rPr>
                <w:i/>
                <w:iCs/>
                <w:szCs w:val="18"/>
              </w:rPr>
              <w:t>To</w:t>
            </w:r>
            <w:r>
              <w:rPr>
                <w:szCs w:val="18"/>
              </w:rPr>
              <w:t xml:space="preserve"> first consultation</w:t>
            </w:r>
          </w:p>
        </w:tc>
      </w:tr>
      <w:tr w14:paraId="5B2A5518" w14:textId="77777777">
        <w:trPr>
          <w:trHeight w:val="59"/>
        </w:trPr>
        <w:tc>
          <w:tcPr>
            <w:tcW w:w="2273" w:type="dxa"/>
          </w:tcPr>
          <w:p w14:paraId="17C07CEA" w14:textId="77777777">
            <w:pPr>
              <w:pStyle w:val="IPPArialTable"/>
              <w:spacing w:before="0" w:after="0"/>
              <w:rPr>
                <w:b/>
                <w:bCs/>
                <w:szCs w:val="18"/>
              </w:rPr>
            </w:pPr>
            <w:r>
              <w:rPr>
                <w:rStyle w:val="PleaseReviewParagraphId"/>
                <w:b w:val="off"/>
                <w:i w:val="off"/>
              </w:rPr>
              <w:t>[10]</w:t>
            </w:r>
            <w:r>
              <w:rPr>
                <w:b/>
                <w:bCs/>
                <w:szCs w:val="18"/>
              </w:rPr>
              <w:t>Major stages</w:t>
            </w:r>
          </w:p>
        </w:tc>
        <w:tc>
          <w:tcPr>
            <w:tcW w:w="6766" w:type="dxa"/>
          </w:tcPr>
          <w:p w14:paraId="0EC2E93E" w14:textId="56FBF5E7">
            <w:pPr>
              <w:pStyle w:val="IPPArialTable"/>
              <w:spacing w:before="0" w:after="0"/>
            </w:pPr>
            <w:r>
              <w:rPr>
                <w:rStyle w:val="PleaseReviewParagraphId"/>
                <w:b w:val="off"/>
                <w:i w:val="off"/>
              </w:rPr>
              <w:t>[11]</w:t>
            </w:r>
            <w:r>
              <w:t>2022-04 CPM-16 added topic Annex</w:t>
            </w:r>
            <w:r>
              <w:rPr>
                <w:i/>
                <w:iCs/>
              </w:rPr>
              <w:t xml:space="preserve"> International movement of mango (</w:t>
            </w:r>
            <w:r>
              <w:t>Mangifera indica</w:t>
            </w:r>
            <w:r>
              <w:rPr>
                <w:i/>
                <w:iCs/>
              </w:rPr>
              <w:t xml:space="preserve">) fruit </w:t>
            </w:r>
            <w:r>
              <w:t>(2021-011)</w:t>
            </w:r>
            <w:r>
              <w:rPr>
                <w:i/>
                <w:iCs/>
              </w:rPr>
              <w:t xml:space="preserve"> </w:t>
            </w:r>
            <w:r>
              <w:t>to ISPM 46</w:t>
            </w:r>
            <w:r>
              <w:rPr>
                <w:i/>
                <w:iCs/>
              </w:rPr>
              <w:t xml:space="preserve"> </w:t>
            </w:r>
            <w:r>
              <w:t>(</w:t>
            </w:r>
            <w:r>
              <w:rPr>
                <w:i/>
                <w:iCs/>
              </w:rPr>
              <w:t>Commodity-specific standards for phytosanitary measures</w:t>
            </w:r>
            <w:r>
              <w:t>), priority 1.</w:t>
            </w:r>
          </w:p>
          <w:p w14:paraId="4E84E3F7" w14:textId="5568BA13">
            <w:pPr>
              <w:pStyle w:val="IPPArialTable"/>
              <w:spacing w:before="0" w:after="0"/>
            </w:pPr>
            <w:r>
              <w:rPr>
                <w:rStyle w:val="PleaseReviewParagraphId"/>
                <w:b w:val="off"/>
                <w:i w:val="off"/>
              </w:rPr>
              <w:t>[12]</w:t>
            </w:r>
            <w:r>
              <w:t>2022-04 Standards Committee revised and approved for first consultation.</w:t>
            </w:r>
          </w:p>
        </w:tc>
      </w:tr>
      <w:tr w14:paraId="537F23DF" w14:textId="77777777">
        <w:trPr>
          <w:trHeight w:val="59"/>
        </w:trPr>
        <w:tc>
          <w:tcPr>
            <w:tcW w:w="2273" w:type="dxa"/>
          </w:tcPr>
          <w:p w14:paraId="020F55CF" w14:textId="77777777">
            <w:pPr>
              <w:pStyle w:val="IPPArialTable"/>
              <w:spacing w:before="0" w:after="0"/>
              <w:rPr>
                <w:b/>
                <w:bCs/>
                <w:szCs w:val="18"/>
              </w:rPr>
            </w:pPr>
            <w:r>
              <w:rPr>
                <w:rStyle w:val="PleaseReviewParagraphId"/>
                <w:b w:val="off"/>
                <w:i w:val="off"/>
              </w:rPr>
              <w:t>[13]</w:t>
            </w:r>
            <w:r>
              <w:rPr>
                <w:b/>
                <w:bCs/>
                <w:szCs w:val="18"/>
              </w:rPr>
              <w:t>Steward history</w:t>
            </w:r>
          </w:p>
        </w:tc>
        <w:tc>
          <w:tcPr>
            <w:tcW w:w="6766" w:type="dxa"/>
          </w:tcPr>
          <w:p w14:paraId="678D6713" w14:textId="2D793882">
            <w:pPr>
              <w:pStyle w:val="IPPArialTable"/>
              <w:spacing w:before="0" w:after="0"/>
              <w:rPr>
                <w:szCs w:val="18"/>
              </w:rPr>
            </w:pPr>
            <w:r>
              <w:rPr>
                <w:rStyle w:val="PleaseReviewParagraphId"/>
                <w:b w:val="off"/>
                <w:i w:val="off"/>
              </w:rPr>
              <w:t>[14]</w:t>
            </w:r>
            <w:r>
              <w:rPr>
                <w:szCs w:val="18"/>
              </w:rPr>
              <w:t>2022-05 SC Joanne WILSON (NZ, Lead Steward)</w:t>
            </w:r>
          </w:p>
          <w:p w14:paraId="215BA2BE" w14:textId="398EF645">
            <w:pPr>
              <w:pStyle w:val="IPPArialTable"/>
              <w:spacing w:before="0" w:after="0"/>
            </w:pPr>
            <w:r>
              <w:rPr>
                <w:rStyle w:val="PleaseReviewParagraphId"/>
                <w:b w:val="off"/>
                <w:i w:val="off"/>
              </w:rPr>
              <w:t>[15]</w:t>
            </w:r>
            <w:r>
              <w:t>2022-05 SC Hernando MORERA-GONZÁLEZ (CR, Assistant Steward)</w:t>
            </w:r>
          </w:p>
        </w:tc>
      </w:tr>
      <w:tr w14:paraId="5B882804" w14:textId="77777777">
        <w:trPr>
          <w:trHeight w:val="59"/>
        </w:trPr>
        <w:tc>
          <w:tcPr>
            <w:tcW w:w="2273" w:type="dxa"/>
          </w:tcPr>
          <w:p w14:paraId="4F90127A" w14:textId="77777777">
            <w:pPr>
              <w:pStyle w:val="IPPArialTable"/>
              <w:spacing w:before="0" w:after="0"/>
              <w:rPr>
                <w:b/>
                <w:bCs/>
                <w:szCs w:val="18"/>
              </w:rPr>
            </w:pPr>
            <w:r>
              <w:rPr>
                <w:rStyle w:val="PleaseReviewParagraphId"/>
                <w:b w:val="off"/>
                <w:i w:val="off"/>
              </w:rPr>
              <w:t>[16]</w:t>
            </w:r>
            <w:r>
              <w:rPr>
                <w:b/>
                <w:bCs/>
                <w:szCs w:val="18"/>
              </w:rPr>
              <w:t>Notes</w:t>
            </w:r>
          </w:p>
        </w:tc>
        <w:tc>
          <w:tcPr>
            <w:tcW w:w="6766" w:type="dxa"/>
          </w:tcPr>
          <w:p w14:paraId="32B10B66" w14:textId="77777777">
            <w:pPr>
              <w:pStyle w:val="IPPArialTable"/>
              <w:spacing w:before="0" w:after="0"/>
              <w:rPr>
                <w:szCs w:val="18"/>
              </w:rPr>
            </w:pPr>
            <w:r>
              <w:rPr>
                <w:rStyle w:val="PleaseReviewParagraphId"/>
                <w:b w:val="off"/>
                <w:i w:val="off"/>
              </w:rPr>
              <w:t>[17]</w:t>
            </w:r>
            <w:r>
              <w:rPr>
                <w:szCs w:val="18"/>
              </w:rPr>
              <w:t>This is a draft document</w:t>
            </w:r>
          </w:p>
          <w:p w14:paraId="6521C4CF" w14:textId="050B0289">
            <w:pPr>
              <w:pStyle w:val="IPPArialTable"/>
              <w:spacing w:before="0" w:after="0"/>
              <w:rPr>
                <w:szCs w:val="18"/>
              </w:rPr>
            </w:pPr>
            <w:r>
              <w:rPr>
                <w:rStyle w:val="PleaseReviewParagraphId"/>
                <w:b w:val="off"/>
                <w:i w:val="off"/>
              </w:rPr>
              <w:t>[18]</w:t>
            </w:r>
            <w:r>
              <w:rPr>
                <w:szCs w:val="18"/>
              </w:rPr>
              <w:t>2022-05 Edited</w:t>
            </w:r>
          </w:p>
        </w:tc>
      </w:tr>
    </w:tbl>
    <w:p w14:paraId="2D33B31D" w14:textId="77777777">
      <w:pPr>
        <w:pStyle w:val="IPPSubheadSpace"/>
      </w:pPr>
      <w:r>
        <w:rPr>
          <w:rStyle w:val="PleaseReviewParagraphId"/>
          <w:b w:val="off"/>
          <w:i w:val="off"/>
        </w:rPr>
        <w:t>[19]</w:t>
      </w:r>
      <w:r>
        <w:t>Title</w:t>
      </w:r>
    </w:p>
    <w:p w14:paraId="336B2392" w14:textId="713A1089">
      <w:pPr>
        <w:pStyle w:val="IPPParagraphnumbering"/>
        <w:numPr>
          <w:ilvl w:val="0"/>
          <w:numId w:val="0"/>
        </w:numPr>
      </w:pPr>
      <w:r>
        <w:rPr>
          <w:rStyle w:val="PleaseReviewParagraphId"/>
          <w:b w:val="off"/>
          <w:i w:val="off"/>
        </w:rPr>
        <w:t>[20]</w:t>
      </w:r>
      <w:r>
        <w:rPr>
          <w:lang w:val="en-GB"/>
        </w:rPr>
        <w:t xml:space="preserve">Annex </w:t>
      </w:r>
      <w:r>
        <w:rPr>
          <w:i/>
          <w:iCs/>
          <w:lang w:val="en-GB"/>
        </w:rPr>
        <w:t>International movement of mango (</w:t>
      </w:r>
      <w:r>
        <w:rPr>
          <w:lang w:val="en-GB"/>
        </w:rPr>
        <w:t>Mangifera indica</w:t>
      </w:r>
      <w:r>
        <w:rPr>
          <w:i/>
          <w:iCs/>
          <w:lang w:val="en-GB"/>
        </w:rPr>
        <w:t>) fruit</w:t>
      </w:r>
      <w:r>
        <w:rPr>
          <w:lang w:val="en-GB"/>
        </w:rPr>
        <w:t xml:space="preserve"> (2021-011) to ISPM 46 (</w:t>
      </w:r>
      <w:r>
        <w:rPr>
          <w:i/>
          <w:iCs/>
          <w:lang w:val="en-GB"/>
        </w:rPr>
        <w:t>Commodity-specific standards for phytosanitary measures</w:t>
      </w:r>
      <w:r>
        <w:rPr>
          <w:lang w:val="en-GB"/>
        </w:rPr>
        <w:t>).</w:t>
      </w:r>
    </w:p>
    <w:p w14:paraId="30406F2F" w14:textId="77777777">
      <w:pPr>
        <w:pStyle w:val="IPPSubheadSpace"/>
      </w:pPr>
      <w:r>
        <w:rPr>
          <w:rStyle w:val="PleaseReviewParagraphId"/>
          <w:b w:val="off"/>
          <w:i w:val="off"/>
        </w:rPr>
        <w:t>[21]</w:t>
      </w:r>
      <w:r>
        <w:t xml:space="preserve">Reason for the annex to the standard </w:t>
      </w:r>
    </w:p>
    <w:p w14:paraId="32F61B11" w14:textId="2FEADB5B">
      <w:pPr>
        <w:pStyle w:val="IPPParagraphnumbering"/>
        <w:numPr>
          <w:ilvl w:val="0"/>
          <w:numId w:val="0"/>
        </w:numPr>
      </w:pPr>
      <w:r>
        <w:rPr>
          <w:rStyle w:val="PleaseReviewParagraphId"/>
          <w:b w:val="off"/>
          <w:i w:val="off"/>
        </w:rPr>
        <w:t>[22]</w:t>
      </w:r>
      <w:r>
        <w:rPr>
          <w:lang w:val="en-GB"/>
        </w:rPr>
        <w:t xml:space="preserve">Mango fruit, which has the potential to host pests such as fruit flies, fruit-boring moths and beetles, scale insects and mealybugs, is widely traded internationally. </w:t>
      </w:r>
    </w:p>
    <w:p w14:paraId="26792F79" w14:textId="6518C9D4">
      <w:pPr>
        <w:pStyle w:val="IPPParagraphnumbering"/>
        <w:numPr>
          <w:ilvl w:val="0"/>
          <w:numId w:val="0"/>
        </w:numPr>
      </w:pPr>
      <w:r>
        <w:rPr>
          <w:rStyle w:val="PleaseReviewParagraphId"/>
          <w:b w:val="off"/>
          <w:i w:val="off"/>
        </w:rPr>
        <w:t>[23]</w:t>
      </w:r>
      <w:r>
        <w:rPr>
          <w:lang w:val="en-GB"/>
        </w:rPr>
        <w:t>Several contracting parties have established and accepted phytosanitary measures to effectively manage pests associated with the traded commodity. This makes mango fruit a suitable commodity for an annex to ISPM 46 (</w:t>
      </w:r>
      <w:r>
        <w:rPr>
          <w:i/>
          <w:iCs/>
          <w:lang w:val="en-GB"/>
        </w:rPr>
        <w:t>Commodity-specific standards for phytosanitary measures</w:t>
      </w:r>
      <w:r>
        <w:rPr>
          <w:lang w:val="en-GB"/>
        </w:rPr>
        <w:t>).</w:t>
      </w:r>
    </w:p>
    <w:p w14:paraId="121EF5B3" w14:textId="703707A2">
      <w:pPr>
        <w:pStyle w:val="IPPParagraphnumbering"/>
        <w:numPr>
          <w:ilvl w:val="0"/>
          <w:numId w:val="0"/>
        </w:numPr>
      </w:pPr>
      <w:r>
        <w:rPr>
          <w:rStyle w:val="PleaseReviewParagraphId"/>
          <w:b w:val="off"/>
          <w:i w:val="off"/>
        </w:rPr>
        <w:t>[24]</w:t>
      </w:r>
      <w:r>
        <w:rPr>
          <w:lang w:val="en-GB"/>
        </w:rPr>
        <w:t>The Asia and Pacific Plant Protection Commission Regional Standard for Phytosanitary Measures on the movement of fresh mango fruit (APPPC, 2019) provides a good basis for the development of this commodity-specific standard.</w:t>
      </w:r>
    </w:p>
    <w:p w14:paraId="7F6A7C72" w14:textId="77777777">
      <w:pPr>
        <w:pStyle w:val="IPPSubheadSpace"/>
      </w:pPr>
      <w:r>
        <w:rPr>
          <w:rStyle w:val="PleaseReviewParagraphId"/>
          <w:b w:val="off"/>
          <w:i w:val="off"/>
        </w:rPr>
        <w:t>[25]</w:t>
      </w:r>
      <w:r>
        <w:t xml:space="preserve">Scope </w:t>
      </w:r>
    </w:p>
    <w:p w14:paraId="33351B06" w14:textId="055BE350">
      <w:pPr>
        <w:pStyle w:val="IPPParagraphnumbering"/>
        <w:numPr>
          <w:ilvl w:val="0"/>
          <w:numId w:val="0"/>
        </w:numPr>
      </w:pPr>
      <w:r>
        <w:rPr>
          <w:rStyle w:val="PleaseReviewParagraphId"/>
          <w:b w:val="off"/>
          <w:i w:val="off"/>
        </w:rPr>
        <w:t>[26]</w:t>
      </w:r>
      <w:r>
        <w:rPr>
          <w:lang w:val="en-GB"/>
        </w:rPr>
        <w:t>The annex should provide guidance for national plant protection organizations (NPPOs) on options for phytosanitary measures for the import and export of fresh mango fruit. This includes information on pest risk assessment (ISPM 2 (</w:t>
      </w:r>
      <w:r>
        <w:rPr>
          <w:i/>
          <w:iCs/>
          <w:lang w:val="en-GB"/>
        </w:rPr>
        <w:t>Framework for pest risk analysis</w:t>
      </w:r>
      <w:r>
        <w:rPr>
          <w:lang w:val="en-GB"/>
        </w:rPr>
        <w:t>) and ISPM 11 (</w:t>
      </w:r>
      <w:r>
        <w:rPr>
          <w:i/>
          <w:iCs/>
          <w:lang w:val="en-GB"/>
        </w:rPr>
        <w:t>Pest risk analysis for quarantine pests</w:t>
      </w:r>
      <w:r>
        <w:rPr>
          <w:lang w:val="en-GB"/>
        </w:rPr>
        <w:t>)), pest risk management options and treatments (ISPM 18 (</w:t>
      </w:r>
      <w:r>
        <w:rPr>
          <w:i/>
          <w:iCs/>
          <w:lang w:val="en-GB"/>
        </w:rPr>
        <w:t>Guidelines for the use of irradiation as a phytosanitary measure</w:t>
      </w:r>
      <w:r>
        <w:rPr>
          <w:lang w:val="en-GB"/>
        </w:rPr>
        <w:t>) and ISPM 28 (</w:t>
      </w:r>
      <w:r>
        <w:rPr>
          <w:i/>
          <w:iCs/>
          <w:lang w:val="en-GB"/>
        </w:rPr>
        <w:t>Phytosanitary treatments for regulated pests</w:t>
      </w:r>
      <w:r>
        <w:rPr>
          <w:lang w:val="en-GB"/>
        </w:rPr>
        <w:t>)), packing, inspection (ISPM 23 (</w:t>
      </w:r>
      <w:r>
        <w:rPr>
          <w:i/>
          <w:iCs/>
          <w:lang w:val="en-GB"/>
        </w:rPr>
        <w:t>Guidelines for inspection</w:t>
      </w:r>
      <w:r>
        <w:rPr>
          <w:lang w:val="en-GB"/>
        </w:rPr>
        <w:t>)) and phytosanitary certification (ISPM 7 (</w:t>
      </w:r>
      <w:r>
        <w:rPr>
          <w:i/>
          <w:iCs/>
          <w:lang w:val="en-GB"/>
        </w:rPr>
        <w:t>Phytosanitary certification</w:t>
      </w:r>
      <w:r>
        <w:rPr>
          <w:lang w:val="en-GB"/>
        </w:rPr>
        <w:t>) and ISPM 12 (</w:t>
      </w:r>
      <w:r>
        <w:rPr>
          <w:i/>
          <w:iCs/>
          <w:lang w:val="en-GB"/>
        </w:rPr>
        <w:t>Phytosanitary certificates</w:t>
      </w:r>
      <w:r>
        <w:rPr>
          <w:lang w:val="en-GB"/>
        </w:rPr>
        <w:t>)) of fresh mango fruit. The annex should identify common and significant pests or pest groups that are known to be associated with fresh mango fruit at export and describe selected options for phytosanitary measures that may be applied to reduce pest risk before export.</w:t>
      </w:r>
    </w:p>
    <w:p w14:paraId="175A8787" w14:textId="77777777">
      <w:pPr>
        <w:pStyle w:val="IPPParagraphnumbering"/>
        <w:numPr>
          <w:ilvl w:val="0"/>
          <w:numId w:val="0"/>
        </w:numPr>
      </w:pPr>
      <w:r>
        <w:rPr>
          <w:rStyle w:val="PleaseReviewParagraphId"/>
          <w:b w:val="off"/>
          <w:i w:val="off"/>
        </w:rPr>
        <w:t>[27]</w:t>
      </w:r>
      <w:r>
        <w:rPr>
          <w:lang w:val="en-GB"/>
        </w:rPr>
        <w:t>This annex should not apply to processed mango (dried, frozen or canned), mango seed or vegetative plant parts.</w:t>
      </w:r>
    </w:p>
    <w:p w14:paraId="5DFD9A6B" w14:textId="77777777">
      <w:pPr>
        <w:pStyle w:val="IPPSubheadSpace"/>
      </w:pPr>
      <w:r>
        <w:rPr>
          <w:rStyle w:val="PleaseReviewParagraphId"/>
          <w:b w:val="off"/>
          <w:i w:val="off"/>
        </w:rPr>
        <w:t>[28]</w:t>
      </w:r>
      <w:r>
        <w:t>Purpose</w:t>
      </w:r>
    </w:p>
    <w:p w14:paraId="6519F3E1" w14:textId="24BBC380">
      <w:pPr>
        <w:pStyle w:val="IPPParagraphnumbering"/>
        <w:numPr>
          <w:ilvl w:val="0"/>
          <w:numId w:val="0"/>
        </w:numPr>
      </w:pPr>
      <w:r>
        <w:rPr>
          <w:rStyle w:val="PleaseReviewParagraphId"/>
          <w:b w:val="off"/>
          <w:i w:val="off"/>
        </w:rPr>
        <w:t>[29]</w:t>
      </w:r>
      <w:r>
        <w:rPr>
          <w:lang w:val="en-GB"/>
        </w:rPr>
        <w:t>This ISPM annex will provide guidance for NPPOs who currently, or intend to, import or export fresh mango fruit for consumption or processing.</w:t>
      </w:r>
    </w:p>
    <w:p w14:paraId="2FADE5FE" w14:textId="77777777">
      <w:pPr>
        <w:pStyle w:val="IPPSubheadSpace"/>
        <w:ind w:left="0" w:firstLine="0"/>
      </w:pPr>
      <w:r>
        <w:rPr>
          <w:rStyle w:val="PleaseReviewParagraphId"/>
          <w:b w:val="off"/>
          <w:i w:val="off"/>
        </w:rPr>
        <w:t>[30]</w:t>
      </w:r>
      <w:r>
        <w:lastRenderedPageBreak/>
        <w:t>Tasks</w:t>
      </w:r>
    </w:p>
    <w:p w14:paraId="3D5D004A" w14:textId="3E215B1C">
      <w:pPr>
        <w:pStyle w:val="IPPParagraphnumberingclose"/>
        <w:numPr>
          <w:ilvl w:val="0"/>
          <w:numId w:val="0"/>
        </w:numPr>
        <w:rPr>
          <w:lang w:val="en-GB"/>
        </w:rPr>
      </w:pPr>
      <w:r>
        <w:rPr>
          <w:rStyle w:val="PleaseReviewParagraphId"/>
          <w:b w:val="off"/>
          <w:i w:val="off"/>
        </w:rPr>
        <w:t>[31]</w:t>
      </w:r>
      <w:r>
        <w:rPr>
          <w:lang w:val="en-GB"/>
        </w:rPr>
        <w:t>Following the requirements in ISPM 46, the Technical Panel on Commodity Standards (TPCS) should ensure that the following tasks are completed:</w:t>
      </w:r>
    </w:p>
    <w:p w14:paraId="33E0E782" w14:textId="47827B73">
      <w:pPr>
        <w:pStyle w:val="IPPNumberedList"/>
        <w:rPr>
          <w:lang w:val="en-GB"/>
        </w:rPr>
      </w:pPr>
      <w:r>
        <w:rPr>
          <w:rStyle w:val="PleaseReviewParagraphId"/>
          <w:b w:val="off"/>
          <w:i w:val="off"/>
        </w:rPr>
        <w:t>[32]</w:t>
      </w:r>
      <w:r>
        <w:rPr>
          <w:lang w:val="en-GB"/>
        </w:rPr>
        <w:t>Identify and provide a list of pests or pest groups associated with fresh mango fruit at export.</w:t>
      </w:r>
    </w:p>
    <w:p w14:paraId="561E2AC9" w14:textId="7B4B4D31">
      <w:pPr>
        <w:pStyle w:val="IPPNumberedList"/>
        <w:rPr>
          <w:lang w:val="en-GB"/>
        </w:rPr>
      </w:pPr>
      <w:r>
        <w:rPr>
          <w:rStyle w:val="PleaseReviewParagraphId"/>
          <w:b w:val="off"/>
          <w:i w:val="off"/>
        </w:rPr>
        <w:t>[33]</w:t>
      </w:r>
      <w:r>
        <w:rPr>
          <w:lang w:val="en-GB"/>
        </w:rPr>
        <w:t>Identify options for effective phytosanitary measures, or effective combinations of phytosanitary measures, against these pests or pest groups.</w:t>
      </w:r>
    </w:p>
    <w:p w14:paraId="1472EE47" w14:textId="355DEBB9">
      <w:pPr>
        <w:pStyle w:val="IPPNumberedList"/>
        <w:rPr>
          <w:lang w:val="en-GB"/>
        </w:rPr>
      </w:pPr>
      <w:r>
        <w:rPr>
          <w:rStyle w:val="PleaseReviewParagraphId"/>
          <w:b w:val="off"/>
          <w:i w:val="off"/>
        </w:rPr>
        <w:t>[34]</w:t>
      </w:r>
      <w:bookmarkStart w:name="_Hlk102663787" w:id="0"/>
      <w:r>
        <w:rPr>
          <w:lang w:val="en-GB"/>
        </w:rPr>
        <w:t xml:space="preserve">Evaluate potential options for phytosanitary measures for inclusion in the annex and consider whether there is sufficient information on their effectiveness to support their inclusion. </w:t>
      </w:r>
    </w:p>
    <w:bookmarkEnd w:id="0"/>
    <w:p w14:paraId="182BCA59" w14:textId="13CEC26D">
      <w:pPr>
        <w:pStyle w:val="IPPNumberedList"/>
        <w:rPr>
          <w:lang w:val="en-GB"/>
        </w:rPr>
      </w:pPr>
      <w:r>
        <w:rPr>
          <w:rStyle w:val="PleaseReviewParagraphId"/>
          <w:b w:val="off"/>
          <w:i w:val="off"/>
        </w:rPr>
        <w:t>[35]</w:t>
      </w:r>
      <w:r>
        <w:rPr>
          <w:lang w:val="en-GB"/>
        </w:rPr>
        <w:t>Consider and list available methods that may be used for the detection of pests or pest groups that are known to be associated with fresh mango fruit at export.</w:t>
      </w:r>
    </w:p>
    <w:p w14:paraId="62FE86C8" w14:textId="764099CA">
      <w:pPr>
        <w:pStyle w:val="IPPNumberedList"/>
        <w:rPr>
          <w:lang w:val="en-GB"/>
        </w:rPr>
      </w:pPr>
      <w:r>
        <w:rPr>
          <w:rStyle w:val="PleaseReviewParagraphId"/>
          <w:b w:val="off"/>
          <w:i w:val="off"/>
        </w:rPr>
        <w:t>[36]</w:t>
      </w:r>
      <w:r>
        <w:rPr>
          <w:lang w:val="en-GB"/>
        </w:rPr>
        <w:t>Consider existing standards and guidelines, developed under the auspices of the IPPC Secretariat or by regional plant protection organizations and other international organizations, for managing the pest risk associated with the international movement of fresh mango fruit.</w:t>
      </w:r>
    </w:p>
    <w:p w14:paraId="59858750" w14:textId="2758C5C2">
      <w:pPr>
        <w:pStyle w:val="IPPNumberedList"/>
        <w:rPr>
          <w:lang w:val="en-GB"/>
        </w:rPr>
      </w:pPr>
      <w:r>
        <w:rPr>
          <w:rStyle w:val="PleaseReviewParagraphId"/>
          <w:b w:val="off"/>
          <w:i w:val="off"/>
        </w:rPr>
        <w:t>[37]</w:t>
      </w:r>
      <w:r>
        <w:rPr>
          <w:lang w:val="en-GB"/>
        </w:rPr>
        <w:t>Liaise as needed with the other technical panels (Technical Panel on Diagnostic Protocols, Technical Panel for the Glossary, Technical Panel on Phytosanitary Treatments) and with the Implementation and Capacity Development Committee.</w:t>
      </w:r>
    </w:p>
    <w:p w14:paraId="6AF97888" w14:textId="7E338CC7">
      <w:pPr>
        <w:pStyle w:val="IPPNumberedList"/>
        <w:rPr>
          <w:lang w:val="en-GB"/>
        </w:rPr>
      </w:pPr>
      <w:r>
        <w:rPr>
          <w:rStyle w:val="PleaseReviewParagraphId"/>
          <w:b w:val="off"/>
          <w:i w:val="off"/>
        </w:rPr>
        <w:t>[38]</w:t>
      </w:r>
      <w:r>
        <w:rPr>
          <w:lang w:val="en-GB"/>
        </w:rPr>
        <w:t xml:space="preserve">Consider implementation of the annex by contracting parties and identify potential operational and technical implementation issues. Provide information and possible recommendations on these issues to the Standards Committee. </w:t>
      </w:r>
    </w:p>
    <w:p w14:paraId="7F91DDF5" w14:textId="77777777">
      <w:pPr>
        <w:pStyle w:val="IPPSubheadSpace"/>
      </w:pPr>
      <w:r>
        <w:rPr>
          <w:rStyle w:val="PleaseReviewParagraphId"/>
          <w:b w:val="off"/>
          <w:i w:val="off"/>
        </w:rPr>
        <w:t>[39]</w:t>
      </w:r>
      <w:r>
        <w:t>Provision of resources</w:t>
      </w:r>
      <w:r>
        <w:rPr>
          <w:color w:val="76923C"/>
        </w:rPr>
        <w:t xml:space="preserve"> </w:t>
      </w:r>
    </w:p>
    <w:p w14:paraId="19FCF738" w14:textId="6CE5D8EF">
      <w:pPr>
        <w:pStyle w:val="IPPParagraphnumbering"/>
        <w:numPr>
          <w:ilvl w:val="0"/>
          <w:numId w:val="0"/>
        </w:numPr>
      </w:pPr>
      <w:r>
        <w:rPr>
          <w:rStyle w:val="PleaseReviewParagraphId"/>
          <w:b w:val="off"/>
          <w:i w:val="off"/>
        </w:rPr>
        <w:t>[40]</w:t>
      </w:r>
      <w:r>
        <w:rPr>
          <w:lang w:val="en-GB"/>
        </w:rPr>
        <w:t xml:space="preserve">Funding for the meeting may be provided from sources other than the regular programme of the IPPC (FAO). As recommended by ICPM-2 (1999), whenever possible, those participating in standard setting activities voluntarily fund their travel and subsistence to attend meetings. Participants may request financial assistance, with the understanding that resources are limited and the priority for financial assistance is given to developing country participants. Please refer to the </w:t>
      </w:r>
      <w:r>
        <w:rPr>
          <w:i/>
          <w:iCs/>
          <w:szCs w:val="22"/>
          <w:lang w:val="en-GB"/>
        </w:rPr>
        <w:t>Criteria used for prioritizing participants to receive travel assistance to attend meetings organized by the IPPC Secretariat</w:t>
      </w:r>
      <w:r>
        <w:rPr>
          <w:lang w:val="en-GB"/>
        </w:rPr>
        <w:t xml:space="preserve"> posted on the International Phytosanitary Portal (IPP) (see </w:t>
      </w:r>
      <w:hyperlink w:history="1" r:id="rId11">
        <w:r>
          <w:rPr>
            <w:rStyle w:val="Hyperlink"/>
            <w:lang w:val="en-GB"/>
          </w:rPr>
          <w:t>www.ippc.int/en/core-activities</w:t>
        </w:r>
      </w:hyperlink>
      <w:r>
        <w:rPr>
          <w:lang w:val="en-GB"/>
        </w:rPr>
        <w:t>).</w:t>
      </w:r>
    </w:p>
    <w:p w14:paraId="18A4D286" w14:textId="77777777">
      <w:pPr>
        <w:pStyle w:val="IPPSubheadSpace"/>
      </w:pPr>
      <w:r>
        <w:rPr>
          <w:rStyle w:val="PleaseReviewParagraphId"/>
          <w:b w:val="off"/>
          <w:i w:val="off"/>
        </w:rPr>
        <w:t>[41]</w:t>
      </w:r>
      <w:r>
        <w:t>Collaborator</w:t>
      </w:r>
    </w:p>
    <w:p w14:paraId="062D147B" w14:textId="77777777">
      <w:pPr>
        <w:pStyle w:val="IPPParagraphnumbering"/>
        <w:numPr>
          <w:ilvl w:val="0"/>
          <w:numId w:val="0"/>
        </w:numPr>
      </w:pPr>
      <w:r>
        <w:rPr>
          <w:rStyle w:val="PleaseReviewParagraphId"/>
          <w:b w:val="off"/>
          <w:i w:val="off"/>
        </w:rPr>
        <w:t>[42]</w:t>
      </w:r>
      <w:r>
        <w:rPr>
          <w:lang w:val="en-GB"/>
        </w:rPr>
        <w:t>To be determined.</w:t>
      </w:r>
    </w:p>
    <w:p w14:paraId="0A777633" w14:textId="77777777">
      <w:pPr>
        <w:pStyle w:val="IPPSubheadSpace"/>
      </w:pPr>
      <w:r>
        <w:rPr>
          <w:rStyle w:val="PleaseReviewParagraphId"/>
          <w:b w:val="off"/>
          <w:i w:val="off"/>
        </w:rPr>
        <w:t>[43]</w:t>
      </w:r>
      <w:r>
        <w:t>Steward</w:t>
      </w:r>
    </w:p>
    <w:p w14:paraId="23FE28E5" w14:textId="11F557C8">
      <w:pPr>
        <w:pStyle w:val="IPPParagraphnumbering"/>
        <w:numPr>
          <w:ilvl w:val="0"/>
          <w:numId w:val="0"/>
        </w:numPr>
      </w:pPr>
      <w:r>
        <w:rPr>
          <w:rStyle w:val="PleaseReviewParagraphId"/>
          <w:b w:val="off"/>
          <w:i w:val="off"/>
        </w:rPr>
        <w:t>[44]</w:t>
      </w:r>
      <w:r>
        <w:rPr>
          <w:lang w:val="en-GB"/>
        </w:rPr>
        <w:t xml:space="preserve">Please refer to the </w:t>
      </w:r>
      <w:r>
        <w:rPr>
          <w:i/>
          <w:iCs/>
          <w:lang w:val="en-GB"/>
        </w:rPr>
        <w:t>List of topics for IPPC standards</w:t>
      </w:r>
      <w:r>
        <w:rPr>
          <w:lang w:val="en-GB"/>
        </w:rPr>
        <w:t xml:space="preserve"> posted on the IPP (see </w:t>
      </w:r>
      <w:hyperlink w:history="1" r:id="rId12">
        <w:r>
          <w:rPr>
            <w:rStyle w:val="Hyperlink"/>
            <w:szCs w:val="22"/>
            <w:lang w:val="en-GB"/>
          </w:rPr>
          <w:t>www.ippc.int/core-activities/standards-setting/list-topics-ippc-standards</w:t>
        </w:r>
      </w:hyperlink>
      <w:r>
        <w:rPr>
          <w:lang w:val="en-GB"/>
        </w:rPr>
        <w:t>).</w:t>
      </w:r>
    </w:p>
    <w:p w14:paraId="68738CAA" w14:textId="77777777">
      <w:pPr>
        <w:pStyle w:val="IPPSubheadSpace"/>
      </w:pPr>
      <w:r>
        <w:rPr>
          <w:rStyle w:val="PleaseReviewParagraphId"/>
          <w:b w:val="off"/>
          <w:i w:val="off"/>
        </w:rPr>
        <w:t>[45]</w:t>
      </w:r>
      <w:r>
        <w:t xml:space="preserve">Expertise </w:t>
      </w:r>
    </w:p>
    <w:p w14:paraId="33E84DCB" w14:textId="5F3F265C">
      <w:pPr>
        <w:pStyle w:val="IPPParagraphnumbering"/>
        <w:numPr>
          <w:ilvl w:val="0"/>
          <w:numId w:val="0"/>
        </w:numPr>
      </w:pPr>
      <w:r>
        <w:rPr>
          <w:rStyle w:val="PleaseReviewParagraphId"/>
          <w:b w:val="off"/>
          <w:i w:val="off"/>
        </w:rPr>
        <w:t>[46]</w:t>
      </w:r>
      <w:r>
        <w:rPr>
          <w:lang w:val="en-GB"/>
        </w:rPr>
        <w:t>The TPCS and other experts if deemed necessary.</w:t>
      </w:r>
    </w:p>
    <w:p w14:paraId="5722F34D" w14:textId="77777777">
      <w:pPr>
        <w:pStyle w:val="IPPSubheadSpace"/>
      </w:pPr>
      <w:r>
        <w:rPr>
          <w:rStyle w:val="PleaseReviewParagraphId"/>
          <w:b w:val="off"/>
          <w:i w:val="off"/>
        </w:rPr>
        <w:t>[47]</w:t>
      </w:r>
      <w:r>
        <w:t>References</w:t>
      </w:r>
    </w:p>
    <w:p w14:paraId="1A3DB4F3" w14:textId="3D169BBB">
      <w:pPr>
        <w:pStyle w:val="IPPParagraphnumbering"/>
        <w:numPr>
          <w:ilvl w:val="0"/>
          <w:numId w:val="0"/>
        </w:numPr>
      </w:pPr>
      <w:r>
        <w:rPr>
          <w:rStyle w:val="PleaseReviewParagraphId"/>
          <w:b w:val="off"/>
          <w:i w:val="off"/>
        </w:rPr>
        <w:t>[48]</w:t>
      </w:r>
      <w:r>
        <w:rPr>
          <w:lang w:val="en-GB"/>
        </w:rPr>
        <w:t>The IPPC, relevant ISPMs and other national, regional and international standards and agreements as may be applicable to the tasks, other references sited in the submission form, and discussion papers submitted in relation to this work.</w:t>
      </w:r>
    </w:p>
    <w:p w14:paraId="7BD87625" w14:textId="05489DB5">
      <w:pPr>
        <w:pStyle w:val="IPPReferences"/>
        <w:rPr>
          <w:rStyle w:val="Hyperlink"/>
          <w:color w:val="auto"/>
        </w:rPr>
      </w:pPr>
      <w:r>
        <w:rPr>
          <w:rStyle w:val="PleaseReviewParagraphId"/>
          <w:b w:val="off"/>
          <w:i w:val="off"/>
        </w:rPr>
        <w:t>[49]</w:t>
      </w:r>
      <w:r>
        <w:rPr>
          <w:b/>
          <w:bCs/>
        </w:rPr>
        <w:t>APPPC (Asia and Pacific Plant Protection Commission)</w:t>
      </w:r>
      <w:r>
        <w:t xml:space="preserve">. 2021. </w:t>
      </w:r>
      <w:r>
        <w:rPr>
          <w:i/>
          <w:iCs/>
        </w:rPr>
        <w:t>International movement of fresh mango (</w:t>
      </w:r>
      <w:r>
        <w:t>Mangifera indica</w:t>
      </w:r>
      <w:r>
        <w:rPr>
          <w:i/>
          <w:iCs/>
        </w:rPr>
        <w:t>) fruit</w:t>
      </w:r>
      <w:r>
        <w:t xml:space="preserve">. Regional Standard for Phytosanitary Measures (RPSM) 11. Bangkok, APPPC, FAO. 12 pp. </w:t>
      </w:r>
      <w:hyperlink w:history="1" r:id="rId13">
        <w:r>
          <w:rPr>
            <w:rStyle w:val="Hyperlink"/>
          </w:rPr>
          <w:t>www.fao.org/3/cb5357en/cb5357en.pdf</w:t>
        </w:r>
      </w:hyperlink>
    </w:p>
    <w:p w14:paraId="777ADD5E" w14:textId="26D5511A">
      <w:pPr>
        <w:pStyle w:val="IPPReferences"/>
      </w:pPr>
      <w:r>
        <w:rPr>
          <w:rStyle w:val="PleaseReviewParagraphId"/>
          <w:b w:val="off"/>
          <w:i w:val="off"/>
        </w:rPr>
        <w:t>[50]</w:t>
      </w:r>
      <w:r>
        <w:rPr>
          <w:b/>
          <w:bCs/>
        </w:rPr>
        <w:t>ISPM 2</w:t>
      </w:r>
      <w:r>
        <w:t xml:space="preserve">. 2019. </w:t>
      </w:r>
      <w:r>
        <w:rPr>
          <w:i/>
          <w:iCs/>
        </w:rPr>
        <w:t>Framework for pest risk analysis</w:t>
      </w:r>
      <w:r>
        <w:t xml:space="preserve">. Rome, IPPC Secretariat, FAO. </w:t>
      </w:r>
      <w:hyperlink w:history="1" r:id="rId14">
        <w:r>
          <w:rPr>
            <w:rStyle w:val="Hyperlink"/>
          </w:rPr>
          <w:t>www.ippc.int/en/publications/592</w:t>
        </w:r>
      </w:hyperlink>
    </w:p>
    <w:p w14:paraId="5BFEBEAB" w14:textId="0A90B112">
      <w:pPr>
        <w:pStyle w:val="IPPReferences"/>
      </w:pPr>
      <w:r>
        <w:rPr>
          <w:rStyle w:val="PleaseReviewParagraphId"/>
          <w:b w:val="off"/>
          <w:i w:val="off"/>
        </w:rPr>
        <w:t>[51]</w:t>
      </w:r>
      <w:r>
        <w:rPr>
          <w:b/>
          <w:bCs/>
        </w:rPr>
        <w:t>ISPM 7</w:t>
      </w:r>
      <w:r>
        <w:t xml:space="preserve">. 2016. </w:t>
      </w:r>
      <w:r>
        <w:rPr>
          <w:i/>
          <w:iCs/>
        </w:rPr>
        <w:t>Phytosanitary certification</w:t>
      </w:r>
      <w:r>
        <w:t xml:space="preserve">. Rome, IPPC Secretariat, FAO. </w:t>
      </w:r>
      <w:hyperlink w:history="1" r:id="rId15">
        <w:r>
          <w:rPr>
            <w:rStyle w:val="Hyperlink"/>
          </w:rPr>
          <w:t>www.ippc.int/en/publications/613</w:t>
        </w:r>
      </w:hyperlink>
    </w:p>
    <w:p w14:paraId="5BCB3FC8" w14:textId="19F75434">
      <w:pPr>
        <w:pStyle w:val="IPPReferences"/>
      </w:pPr>
      <w:r>
        <w:rPr>
          <w:rStyle w:val="PleaseReviewParagraphId"/>
          <w:b w:val="off"/>
          <w:i w:val="off"/>
        </w:rPr>
        <w:t>[52]</w:t>
      </w:r>
      <w:r>
        <w:rPr>
          <w:b/>
          <w:bCs/>
        </w:rPr>
        <w:lastRenderedPageBreak/>
        <w:t>ISPM 11</w:t>
      </w:r>
      <w:r>
        <w:t xml:space="preserve">. 2019. </w:t>
      </w:r>
      <w:r>
        <w:rPr>
          <w:i/>
          <w:iCs/>
        </w:rPr>
        <w:t>Pest risk analysis for quarantine pests</w:t>
      </w:r>
      <w:r>
        <w:t xml:space="preserve">. Rome, IPPC Secretariat, FAO. </w:t>
      </w:r>
      <w:hyperlink w:history="1" r:id="rId16">
        <w:r>
          <w:rPr>
            <w:rStyle w:val="Hyperlink"/>
          </w:rPr>
          <w:t>www.ippc.int/en/publications/639</w:t>
        </w:r>
      </w:hyperlink>
    </w:p>
    <w:p w14:paraId="79EDA916" w14:textId="23804595">
      <w:pPr>
        <w:pStyle w:val="IPPReferences"/>
      </w:pPr>
      <w:r>
        <w:rPr>
          <w:rStyle w:val="PleaseReviewParagraphId"/>
          <w:b w:val="off"/>
          <w:i w:val="off"/>
        </w:rPr>
        <w:t>[53]</w:t>
      </w:r>
      <w:r>
        <w:rPr>
          <w:b/>
          <w:bCs/>
        </w:rPr>
        <w:t>ISPM 12</w:t>
      </w:r>
      <w:r>
        <w:t xml:space="preserve">. 2022. </w:t>
      </w:r>
      <w:r>
        <w:rPr>
          <w:i/>
          <w:iCs/>
        </w:rPr>
        <w:t>Phytosanitary certificates</w:t>
      </w:r>
      <w:r>
        <w:t xml:space="preserve">. Rome, IPPC Secretariat, FAO. </w:t>
      </w:r>
      <w:hyperlink w:history="1" r:id="rId17">
        <w:r>
          <w:rPr>
            <w:rStyle w:val="Hyperlink"/>
          </w:rPr>
          <w:t>www.ippc.int/en/publications/609</w:t>
        </w:r>
      </w:hyperlink>
    </w:p>
    <w:p w14:paraId="081E300B" w14:textId="50FE6850">
      <w:pPr>
        <w:pStyle w:val="IPPReferences"/>
      </w:pPr>
      <w:r>
        <w:rPr>
          <w:rStyle w:val="PleaseReviewParagraphId"/>
          <w:b w:val="off"/>
          <w:i w:val="off"/>
        </w:rPr>
        <w:t>[54]</w:t>
      </w:r>
      <w:r>
        <w:rPr>
          <w:b/>
          <w:bCs/>
        </w:rPr>
        <w:t>ISPM 18</w:t>
      </w:r>
      <w:r>
        <w:t xml:space="preserve">. 2019. </w:t>
      </w:r>
      <w:r>
        <w:rPr>
          <w:i/>
          <w:iCs/>
        </w:rPr>
        <w:t>Guidelines for the use of irradiation as a phytosanitary measure</w:t>
      </w:r>
      <w:r>
        <w:t xml:space="preserve">. Rome, IPPC Secretariat, FAO. </w:t>
      </w:r>
      <w:hyperlink w:history="1" r:id="rId18">
        <w:r>
          <w:rPr>
            <w:rStyle w:val="Hyperlink"/>
          </w:rPr>
          <w:t>www.ippc.int/en/publications/604</w:t>
        </w:r>
      </w:hyperlink>
    </w:p>
    <w:p w14:paraId="1A09BB2C" w14:textId="00187760">
      <w:pPr>
        <w:pStyle w:val="IPPReferences"/>
      </w:pPr>
      <w:r>
        <w:rPr>
          <w:rStyle w:val="PleaseReviewParagraphId"/>
          <w:b w:val="off"/>
          <w:i w:val="off"/>
        </w:rPr>
        <w:t>[55]</w:t>
      </w:r>
      <w:r>
        <w:rPr>
          <w:b/>
          <w:bCs/>
        </w:rPr>
        <w:t>ISPM 23</w:t>
      </w:r>
      <w:r>
        <w:t xml:space="preserve">. 2019. </w:t>
      </w:r>
      <w:r>
        <w:rPr>
          <w:i/>
          <w:iCs/>
        </w:rPr>
        <w:t>Guidelines for inspection</w:t>
      </w:r>
      <w:r>
        <w:t xml:space="preserve">. Rome, IPPC Secretariat, FAO. </w:t>
      </w:r>
      <w:hyperlink w:history="1" r:id="rId19">
        <w:r>
          <w:rPr>
            <w:rStyle w:val="Hyperlink"/>
          </w:rPr>
          <w:t>www.ippc.int/en/publications/598</w:t>
        </w:r>
      </w:hyperlink>
    </w:p>
    <w:p w14:paraId="5ACEA5D7" w14:textId="234F3CD8">
      <w:pPr>
        <w:pStyle w:val="IPPReferences"/>
      </w:pPr>
      <w:r>
        <w:rPr>
          <w:rStyle w:val="PleaseReviewParagraphId"/>
          <w:b w:val="off"/>
          <w:i w:val="off"/>
        </w:rPr>
        <w:t>[56]</w:t>
      </w:r>
      <w:r>
        <w:rPr>
          <w:b/>
          <w:bCs/>
        </w:rPr>
        <w:t>ISPM 28</w:t>
      </w:r>
      <w:r>
        <w:t xml:space="preserve">. 2016. </w:t>
      </w:r>
      <w:r>
        <w:rPr>
          <w:i/>
          <w:iCs/>
        </w:rPr>
        <w:t>Phytosanitary treatments for regulated pests</w:t>
      </w:r>
      <w:r>
        <w:t xml:space="preserve">. Rome, IPPC Secretariat, FAO. </w:t>
      </w:r>
      <w:hyperlink w:history="1" r:id="rId20">
        <w:r>
          <w:rPr>
            <w:rStyle w:val="Hyperlink"/>
          </w:rPr>
          <w:t>www.ippc.int/en/publications/591</w:t>
        </w:r>
      </w:hyperlink>
    </w:p>
    <w:p w14:paraId="4DD6D7CF" w14:textId="1A7E18C0">
      <w:pPr>
        <w:pStyle w:val="IPPReferences"/>
      </w:pPr>
      <w:r>
        <w:rPr>
          <w:rStyle w:val="PleaseReviewParagraphId"/>
          <w:b w:val="off"/>
          <w:i w:val="off"/>
        </w:rPr>
        <w:t>[57]</w:t>
      </w:r>
      <w:r>
        <w:rPr>
          <w:b/>
          <w:bCs/>
        </w:rPr>
        <w:t>ISPM 46</w:t>
      </w:r>
      <w:r>
        <w:t xml:space="preserve">. 2022. </w:t>
      </w:r>
      <w:r>
        <w:rPr>
          <w:i/>
          <w:iCs/>
        </w:rPr>
        <w:t>Commodity-specific standards for phytosanitary measures</w:t>
      </w:r>
      <w:r>
        <w:t xml:space="preserve">. Rome, IPPC Secretariat, FAO. </w:t>
      </w:r>
      <w:hyperlink w:history="1" r:id="rId21">
        <w:r>
          <w:rPr>
            <w:rStyle w:val="Hyperlink"/>
          </w:rPr>
          <w:t>www.ippc.int/en/publications/91184</w:t>
        </w:r>
      </w:hyperlink>
    </w:p>
    <w:p w14:paraId="4C537C82" w14:textId="77777777">
      <w:pPr>
        <w:pStyle w:val="IPPSubheadSpace"/>
      </w:pPr>
      <w:r>
        <w:rPr>
          <w:rStyle w:val="PleaseReviewParagraphId"/>
          <w:b w:val="off"/>
          <w:i w:val="off"/>
        </w:rPr>
        <w:t>[58]</w:t>
      </w:r>
      <w:r>
        <w:t>Discussion papers</w:t>
      </w:r>
    </w:p>
    <w:p w14:paraId="28629E2E" w14:textId="31F668DC">
      <w:pPr>
        <w:pStyle w:val="IPPParagraphnumbering"/>
        <w:numPr>
          <w:ilvl w:val="0"/>
          <w:numId w:val="0"/>
        </w:numPr>
      </w:pPr>
      <w:r>
        <w:rPr>
          <w:rStyle w:val="PleaseReviewParagraphId"/>
          <w:b w:val="off"/>
          <w:i w:val="off"/>
        </w:rPr>
        <w:t>[59]</w:t>
      </w:r>
      <w:r>
        <w:rPr>
          <w:lang w:val="en-GB" w:eastAsia="ja-JP"/>
        </w:rPr>
        <w:t xml:space="preserve">Participants and interested parties are encouraged to submit </w:t>
      </w:r>
      <w:r>
        <w:rPr>
          <w:lang w:val="en-GB"/>
        </w:rPr>
        <w:t>discussion</w:t>
      </w:r>
      <w:r>
        <w:rPr>
          <w:lang w:val="en-GB" w:eastAsia="ja-JP"/>
        </w:rPr>
        <w:t xml:space="preserve"> papers to the IPPC Secretariat (</w:t>
      </w:r>
      <w:hyperlink w:history="1" r:id="rId22">
        <w:r>
          <w:rPr>
            <w:rStyle w:val="Hyperlink"/>
            <w:lang w:val="en-GB" w:eastAsia="ja-JP"/>
          </w:rPr>
          <w:t>ippc@fao.org</w:t>
        </w:r>
      </w:hyperlink>
      <w:r>
        <w:rPr>
          <w:lang w:val="en-GB" w:eastAsia="ja-JP"/>
        </w:rPr>
        <w:t>) for consideration by the TPCS</w:t>
      </w:r>
      <w:r>
        <w:rPr>
          <w:lang w:val="en-GB"/>
        </w:rPr>
        <w:t>.</w:t>
      </w:r>
    </w:p>
    <w:sectPr>
      <w:type w:val="continuous"/>
      <w:pgSz w:w="11906" w:h="16838" w:code="9"/>
      <w:pgMar w:top="1559" w:right="1418" w:bottom="1418" w:left="1418" w:header="851" w:footer="851" w:gutter="0"/>
      <w:cols w:space="708"/>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42E92" w14:textId="77777777">
      <w:r>
        <w:rPr>
          <w:rStyle w:val="PleaseReviewParagraphId"/>
          <w:b w:val="off"/>
          <w:i w:val="off"/>
        </w:rPr>
        <w:t>[]</w:t>
      </w:r>
      <w:r>
        <w:separator/>
      </w:r>
    </w:p>
  </w:endnote>
  <w:endnote w:type="continuationSeparator" w:id="0">
    <w:p w14:paraId="299308AC" w14:textId="77777777">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0D969" w14:textId="77777777">
      <w:r>
        <w:rPr>
          <w:rStyle w:val="PleaseReviewParagraphId"/>
          <w:b w:val="off"/>
          <w:i w:val="off"/>
        </w:rPr>
        <w:t>[]</w:t>
      </w:r>
      <w:r>
        <w:separator/>
      </w:r>
    </w:p>
  </w:footnote>
  <w:footnote w:type="continuationSeparator" w:id="0">
    <w:p w14:paraId="474AF739" w14:textId="77777777">
      <w:r>
        <w:rPr>
          <w:rStyle w:val="PleaseReviewParagraphId"/>
          <w:b w:val="off"/>
          <w:i w:val="off"/>
        </w:rPr>
        <w:t>[]</w:t>
      </w:r>
      <w:r>
        <w:continuationSeparator/>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A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CEF0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02FA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CEAF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DCC2D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CEC8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5E63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2AD2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CE3F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9494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C0A6C"/>
    <w:multiLevelType w:val="multilevel"/>
    <w:tmpl w:val="06E871E4"/>
    <w:numStyleLink w:val="IPPParagraphnumberedlist"/>
  </w:abstractNum>
  <w:abstractNum w:abstractNumId="1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1">
    <w:nsid w:val="189A7F28"/>
    <w:multiLevelType w:val="hybridMultilevel"/>
    <w:tmpl w:val="D55A7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15:restartNumberingAfterBreak="1">
    <w:nsid w:val="21FF6EA6"/>
    <w:multiLevelType w:val="hybridMultilevel"/>
    <w:tmpl w:val="2514EB7E"/>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23D60DE0"/>
    <w:multiLevelType w:val="hybridMultilevel"/>
    <w:tmpl w:val="E9F2934C"/>
    <w:lvl w:ilvl="0" w:tplc="CE52D25A">
      <w:start w:val="1"/>
      <w:numFmt w:val="decimal"/>
      <w:pStyle w:val="IPPSubheadNumber"/>
      <w:lvlText w:val="%1"/>
      <w:lvlJc w:val="left"/>
      <w:pPr>
        <w:tabs>
          <w:tab w:val="num" w:pos="567"/>
        </w:tabs>
        <w:ind w:left="0" w:firstLine="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2AA65E73"/>
    <w:multiLevelType w:val="hybridMultilevel"/>
    <w:tmpl w:val="C5AE239A"/>
    <w:lvl w:ilvl="0" w:tplc="0F929B54">
      <w:start w:val="1"/>
      <w:numFmt w:val="decimal"/>
      <w:pStyle w:val="IPPNumber"/>
      <w:lvlText w:val="%1"/>
      <w:lvlJc w:val="left"/>
      <w:pPr>
        <w:tabs>
          <w:tab w:val="num" w:pos="567"/>
        </w:tabs>
        <w:ind w:left="0" w:firstLine="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9" w15:restartNumberingAfterBreak="1">
    <w:nsid w:val="35A3795A"/>
    <w:multiLevelType w:val="hybridMultilevel"/>
    <w:tmpl w:val="F6DE69F2"/>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1">
    <w:nsid w:val="3852712D"/>
    <w:multiLevelType w:val="hybridMultilevel"/>
    <w:tmpl w:val="1AAED634"/>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394705DD"/>
    <w:multiLevelType w:val="hybridMultilevel"/>
    <w:tmpl w:val="F6DE69F2"/>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1">
    <w:nsid w:val="476940B0"/>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5" w15:restartNumberingAfterBreak="1">
    <w:nsid w:val="50C43251"/>
    <w:multiLevelType w:val="hybridMultilevel"/>
    <w:tmpl w:val="269C9E88"/>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15:restartNumberingAfterBreak="1">
    <w:nsid w:val="557115C0"/>
    <w:multiLevelType w:val="hybridMultilevel"/>
    <w:tmpl w:val="0EB22AA6"/>
    <w:lvl w:ilvl="0" w:tplc="E49AA51E">
      <w:start w:val="201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1">
    <w:nsid w:val="76BB2A67"/>
    <w:multiLevelType w:val="hybridMultilevel"/>
    <w:tmpl w:val="BABEADA6"/>
    <w:lvl w:ilvl="0" w:tplc="D53C1F94">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1">
    <w:nsid w:val="7DB604A5"/>
    <w:multiLevelType w:val="hybridMultilevel"/>
    <w:tmpl w:val="D4CC15E0"/>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051152067">
    <w:abstractNumId w:val="17"/>
  </w:num>
  <w:num w:numId="2" w16cid:durableId="861743170">
    <w:abstractNumId w:val="16"/>
  </w:num>
  <w:num w:numId="3" w16cid:durableId="499544724">
    <w:abstractNumId w:val="31"/>
  </w:num>
  <w:num w:numId="4" w16cid:durableId="1349255730">
    <w:abstractNumId w:val="26"/>
  </w:num>
  <w:num w:numId="5" w16cid:durableId="1230384011">
    <w:abstractNumId w:val="30"/>
  </w:num>
  <w:num w:numId="6" w16cid:durableId="1329136923">
    <w:abstractNumId w:val="12"/>
  </w:num>
  <w:num w:numId="7" w16cid:durableId="1488597374">
    <w:abstractNumId w:val="18"/>
  </w:num>
  <w:num w:numId="8" w16cid:durableId="657685317">
    <w:abstractNumId w:val="10"/>
  </w:num>
  <w:num w:numId="9" w16cid:durableId="1957323909">
    <w:abstractNumId w:val="28"/>
  </w:num>
  <w:num w:numId="10" w16cid:durableId="1598559276">
    <w:abstractNumId w:val="13"/>
  </w:num>
  <w:num w:numId="11" w16cid:durableId="1850868950">
    <w:abstractNumId w:val="15"/>
  </w:num>
  <w:num w:numId="12" w16cid:durableId="1492520848">
    <w:abstractNumId w:val="32"/>
  </w:num>
  <w:num w:numId="13" w16cid:durableId="1562138126">
    <w:abstractNumId w:val="25"/>
  </w:num>
  <w:num w:numId="14" w16cid:durableId="1827429777">
    <w:abstractNumId w:val="20"/>
  </w:num>
  <w:num w:numId="15" w16cid:durableId="1279482709">
    <w:abstractNumId w:val="19"/>
  </w:num>
  <w:num w:numId="16" w16cid:durableId="517697098">
    <w:abstractNumId w:val="10"/>
  </w:num>
  <w:num w:numId="17" w16cid:durableId="1417095500">
    <w:abstractNumId w:val="21"/>
  </w:num>
  <w:num w:numId="18" w16cid:durableId="494801810">
    <w:abstractNumId w:val="27"/>
  </w:num>
  <w:num w:numId="19" w16cid:durableId="169687022">
    <w:abstractNumId w:val="10"/>
  </w:num>
  <w:num w:numId="20" w16cid:durableId="798498930">
    <w:abstractNumId w:val="11"/>
  </w:num>
  <w:num w:numId="21" w16cid:durableId="1382754273">
    <w:abstractNumId w:val="22"/>
  </w:num>
  <w:num w:numId="22" w16cid:durableId="1641616204">
    <w:abstractNumId w:val="33"/>
  </w:num>
  <w:num w:numId="23" w16cid:durableId="1004622903">
    <w:abstractNumId w:val="14"/>
  </w:num>
  <w:num w:numId="24" w16cid:durableId="1303729428">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16cid:durableId="1003050467">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16cid:durableId="168061394">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16cid:durableId="430590573">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16cid:durableId="817574887">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16cid:durableId="569119506">
    <w:abstractNumId w:val="1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16cid:durableId="1471940555">
    <w:abstractNumId w:val="23"/>
  </w:num>
  <w:num w:numId="31" w16cid:durableId="387387470">
    <w:abstractNumId w:val="29"/>
  </w:num>
  <w:num w:numId="32" w16cid:durableId="618801499">
    <w:abstractNumId w:val="24"/>
  </w:num>
  <w:num w:numId="33" w16cid:durableId="896672389">
    <w:abstractNumId w:val="9"/>
  </w:num>
  <w:num w:numId="34" w16cid:durableId="627512972">
    <w:abstractNumId w:val="7"/>
  </w:num>
  <w:num w:numId="35" w16cid:durableId="1750883644">
    <w:abstractNumId w:val="6"/>
  </w:num>
  <w:num w:numId="36" w16cid:durableId="1471900743">
    <w:abstractNumId w:val="5"/>
  </w:num>
  <w:num w:numId="37" w16cid:durableId="1980332433">
    <w:abstractNumId w:val="4"/>
  </w:num>
  <w:num w:numId="38" w16cid:durableId="806513549">
    <w:abstractNumId w:val="8"/>
  </w:num>
  <w:num w:numId="39" w16cid:durableId="667757223">
    <w:abstractNumId w:val="3"/>
  </w:num>
  <w:num w:numId="40" w16cid:durableId="1207985486">
    <w:abstractNumId w:val="2"/>
  </w:num>
  <w:num w:numId="41" w16cid:durableId="1505171875">
    <w:abstractNumId w:val="1"/>
  </w:num>
  <w:num w:numId="42" w16cid:durableId="730494684">
    <w:abstractNumId w:val="0"/>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yNDUxMzYzNDM3NTRV0lEKTi0uzszPAykwNKgFAEjWZKYtAAAA"/>
  </w:docVars>
  <w:rsids>
    <w:rsidRoot w:val="00CD6E70"/>
    <w:rsid w:val="00012842"/>
    <w:rsid w:val="00013203"/>
    <w:rsid w:val="00016EE5"/>
    <w:rsid w:val="000278A8"/>
    <w:rsid w:val="0003363F"/>
    <w:rsid w:val="00036D6E"/>
    <w:rsid w:val="00041CEC"/>
    <w:rsid w:val="00042041"/>
    <w:rsid w:val="0004626B"/>
    <w:rsid w:val="00065CE8"/>
    <w:rsid w:val="00067008"/>
    <w:rsid w:val="000708DD"/>
    <w:rsid w:val="00074282"/>
    <w:rsid w:val="00080717"/>
    <w:rsid w:val="00086FDD"/>
    <w:rsid w:val="00087C0D"/>
    <w:rsid w:val="000A3E02"/>
    <w:rsid w:val="000C34C1"/>
    <w:rsid w:val="000D2BF9"/>
    <w:rsid w:val="000E0C8E"/>
    <w:rsid w:val="000E26F2"/>
    <w:rsid w:val="000E64F9"/>
    <w:rsid w:val="000F7522"/>
    <w:rsid w:val="00102233"/>
    <w:rsid w:val="00105FD0"/>
    <w:rsid w:val="00112E1D"/>
    <w:rsid w:val="001161D1"/>
    <w:rsid w:val="00116207"/>
    <w:rsid w:val="00127A7B"/>
    <w:rsid w:val="00130147"/>
    <w:rsid w:val="00142E0E"/>
    <w:rsid w:val="00143CCF"/>
    <w:rsid w:val="001501CF"/>
    <w:rsid w:val="00170CEE"/>
    <w:rsid w:val="00172B35"/>
    <w:rsid w:val="0018392B"/>
    <w:rsid w:val="00186DFB"/>
    <w:rsid w:val="00187F16"/>
    <w:rsid w:val="00190582"/>
    <w:rsid w:val="001A4622"/>
    <w:rsid w:val="001D4FF0"/>
    <w:rsid w:val="001F6E51"/>
    <w:rsid w:val="001F7454"/>
    <w:rsid w:val="00210BCF"/>
    <w:rsid w:val="002226CF"/>
    <w:rsid w:val="00225BBB"/>
    <w:rsid w:val="00233CC8"/>
    <w:rsid w:val="00253E72"/>
    <w:rsid w:val="0026405D"/>
    <w:rsid w:val="0026435B"/>
    <w:rsid w:val="0026493B"/>
    <w:rsid w:val="00276777"/>
    <w:rsid w:val="0027686B"/>
    <w:rsid w:val="00283A0A"/>
    <w:rsid w:val="00285A28"/>
    <w:rsid w:val="002907FE"/>
    <w:rsid w:val="00294ACC"/>
    <w:rsid w:val="0029569B"/>
    <w:rsid w:val="002A42C9"/>
    <w:rsid w:val="002B3953"/>
    <w:rsid w:val="002B5E98"/>
    <w:rsid w:val="002B68C1"/>
    <w:rsid w:val="002B777A"/>
    <w:rsid w:val="002D1111"/>
    <w:rsid w:val="002D30DD"/>
    <w:rsid w:val="002D61BB"/>
    <w:rsid w:val="002E130C"/>
    <w:rsid w:val="002E1A03"/>
    <w:rsid w:val="002E1D76"/>
    <w:rsid w:val="002F2972"/>
    <w:rsid w:val="002F652C"/>
    <w:rsid w:val="003012CE"/>
    <w:rsid w:val="00314DE2"/>
    <w:rsid w:val="00321CB1"/>
    <w:rsid w:val="00326C5E"/>
    <w:rsid w:val="003307C4"/>
    <w:rsid w:val="00330E59"/>
    <w:rsid w:val="0034410C"/>
    <w:rsid w:val="003478FB"/>
    <w:rsid w:val="00353163"/>
    <w:rsid w:val="00372312"/>
    <w:rsid w:val="003823E9"/>
    <w:rsid w:val="00391E1A"/>
    <w:rsid w:val="00394494"/>
    <w:rsid w:val="003A1A38"/>
    <w:rsid w:val="003C1891"/>
    <w:rsid w:val="003D2B6D"/>
    <w:rsid w:val="003D52A0"/>
    <w:rsid w:val="003D6AE1"/>
    <w:rsid w:val="003E0D16"/>
    <w:rsid w:val="003E7C94"/>
    <w:rsid w:val="003F65FC"/>
    <w:rsid w:val="00400E44"/>
    <w:rsid w:val="004070AE"/>
    <w:rsid w:val="0041386E"/>
    <w:rsid w:val="004151E9"/>
    <w:rsid w:val="004200E4"/>
    <w:rsid w:val="0042448D"/>
    <w:rsid w:val="004247D5"/>
    <w:rsid w:val="004337CD"/>
    <w:rsid w:val="0044424E"/>
    <w:rsid w:val="004557FB"/>
    <w:rsid w:val="0045623A"/>
    <w:rsid w:val="004627E0"/>
    <w:rsid w:val="00495A96"/>
    <w:rsid w:val="00495BBC"/>
    <w:rsid w:val="004A6E95"/>
    <w:rsid w:val="004B081F"/>
    <w:rsid w:val="004C184B"/>
    <w:rsid w:val="004C439A"/>
    <w:rsid w:val="004D1977"/>
    <w:rsid w:val="004D4672"/>
    <w:rsid w:val="004D7E1C"/>
    <w:rsid w:val="004E24C2"/>
    <w:rsid w:val="004F13CF"/>
    <w:rsid w:val="00501F1E"/>
    <w:rsid w:val="00502985"/>
    <w:rsid w:val="00510D5B"/>
    <w:rsid w:val="005125C2"/>
    <w:rsid w:val="00517C5F"/>
    <w:rsid w:val="0053224B"/>
    <w:rsid w:val="0057013D"/>
    <w:rsid w:val="00570632"/>
    <w:rsid w:val="00583024"/>
    <w:rsid w:val="00586FCA"/>
    <w:rsid w:val="00592F1D"/>
    <w:rsid w:val="00597A86"/>
    <w:rsid w:val="005A3263"/>
    <w:rsid w:val="005B1471"/>
    <w:rsid w:val="005B4A54"/>
    <w:rsid w:val="005C3E81"/>
    <w:rsid w:val="005C4395"/>
    <w:rsid w:val="005D07DC"/>
    <w:rsid w:val="005D5A5B"/>
    <w:rsid w:val="005E4E14"/>
    <w:rsid w:val="005F14D6"/>
    <w:rsid w:val="005F2173"/>
    <w:rsid w:val="005F513B"/>
    <w:rsid w:val="006074DE"/>
    <w:rsid w:val="006173CA"/>
    <w:rsid w:val="0062501B"/>
    <w:rsid w:val="00633952"/>
    <w:rsid w:val="00634AF0"/>
    <w:rsid w:val="00644670"/>
    <w:rsid w:val="006472DA"/>
    <w:rsid w:val="006535EC"/>
    <w:rsid w:val="00660AA6"/>
    <w:rsid w:val="00661FAC"/>
    <w:rsid w:val="00663A30"/>
    <w:rsid w:val="0066567F"/>
    <w:rsid w:val="00666EF2"/>
    <w:rsid w:val="006727C0"/>
    <w:rsid w:val="0067474F"/>
    <w:rsid w:val="00677EEE"/>
    <w:rsid w:val="0068334A"/>
    <w:rsid w:val="00683439"/>
    <w:rsid w:val="00697F93"/>
    <w:rsid w:val="006B03CC"/>
    <w:rsid w:val="006B074E"/>
    <w:rsid w:val="006B27DD"/>
    <w:rsid w:val="006B5E65"/>
    <w:rsid w:val="006B7CAD"/>
    <w:rsid w:val="006C1DD9"/>
    <w:rsid w:val="006D4F8A"/>
    <w:rsid w:val="006E5259"/>
    <w:rsid w:val="006F745C"/>
    <w:rsid w:val="007009D0"/>
    <w:rsid w:val="0070455B"/>
    <w:rsid w:val="00713AEA"/>
    <w:rsid w:val="0072622A"/>
    <w:rsid w:val="007277FA"/>
    <w:rsid w:val="00734143"/>
    <w:rsid w:val="007357F0"/>
    <w:rsid w:val="007364D3"/>
    <w:rsid w:val="00741961"/>
    <w:rsid w:val="007528A8"/>
    <w:rsid w:val="00763F7F"/>
    <w:rsid w:val="00765228"/>
    <w:rsid w:val="00782DF2"/>
    <w:rsid w:val="0078377B"/>
    <w:rsid w:val="00791A19"/>
    <w:rsid w:val="00797B94"/>
    <w:rsid w:val="007B2B36"/>
    <w:rsid w:val="007B7D46"/>
    <w:rsid w:val="007C7BFA"/>
    <w:rsid w:val="007E67F4"/>
    <w:rsid w:val="007E7872"/>
    <w:rsid w:val="007F4421"/>
    <w:rsid w:val="00802481"/>
    <w:rsid w:val="00807E9A"/>
    <w:rsid w:val="0081699F"/>
    <w:rsid w:val="00832487"/>
    <w:rsid w:val="008365D8"/>
    <w:rsid w:val="0084549C"/>
    <w:rsid w:val="00851D2D"/>
    <w:rsid w:val="00863E5D"/>
    <w:rsid w:val="00866373"/>
    <w:rsid w:val="00871276"/>
    <w:rsid w:val="0087329D"/>
    <w:rsid w:val="008732BB"/>
    <w:rsid w:val="0087427C"/>
    <w:rsid w:val="00876210"/>
    <w:rsid w:val="008948A7"/>
    <w:rsid w:val="008B04D8"/>
    <w:rsid w:val="008B2DEA"/>
    <w:rsid w:val="008C0091"/>
    <w:rsid w:val="008C2797"/>
    <w:rsid w:val="008E5177"/>
    <w:rsid w:val="008E5CEB"/>
    <w:rsid w:val="008F3060"/>
    <w:rsid w:val="00903AC4"/>
    <w:rsid w:val="00905949"/>
    <w:rsid w:val="00924120"/>
    <w:rsid w:val="00924A74"/>
    <w:rsid w:val="00930886"/>
    <w:rsid w:val="00933B2E"/>
    <w:rsid w:val="00943DD6"/>
    <w:rsid w:val="00951190"/>
    <w:rsid w:val="009563FA"/>
    <w:rsid w:val="009626B9"/>
    <w:rsid w:val="009647D0"/>
    <w:rsid w:val="00964A39"/>
    <w:rsid w:val="00972CA7"/>
    <w:rsid w:val="00976D28"/>
    <w:rsid w:val="009849D1"/>
    <w:rsid w:val="00995723"/>
    <w:rsid w:val="009A3C53"/>
    <w:rsid w:val="009A4510"/>
    <w:rsid w:val="009B552B"/>
    <w:rsid w:val="009C3419"/>
    <w:rsid w:val="009D6A30"/>
    <w:rsid w:val="009F187D"/>
    <w:rsid w:val="009F5BB6"/>
    <w:rsid w:val="009F7F6D"/>
    <w:rsid w:val="00A006A7"/>
    <w:rsid w:val="00A0793F"/>
    <w:rsid w:val="00A102AE"/>
    <w:rsid w:val="00A10AF4"/>
    <w:rsid w:val="00A14681"/>
    <w:rsid w:val="00A24065"/>
    <w:rsid w:val="00A26756"/>
    <w:rsid w:val="00A272CB"/>
    <w:rsid w:val="00A32BAF"/>
    <w:rsid w:val="00A40B9B"/>
    <w:rsid w:val="00A40DA4"/>
    <w:rsid w:val="00A555E8"/>
    <w:rsid w:val="00A6108C"/>
    <w:rsid w:val="00A617A3"/>
    <w:rsid w:val="00A6245B"/>
    <w:rsid w:val="00A7222E"/>
    <w:rsid w:val="00A72791"/>
    <w:rsid w:val="00A849D1"/>
    <w:rsid w:val="00A8699A"/>
    <w:rsid w:val="00A86E6E"/>
    <w:rsid w:val="00A8762D"/>
    <w:rsid w:val="00A94B98"/>
    <w:rsid w:val="00AA18F5"/>
    <w:rsid w:val="00AA3D95"/>
    <w:rsid w:val="00AA5F46"/>
    <w:rsid w:val="00AB21CA"/>
    <w:rsid w:val="00AB310E"/>
    <w:rsid w:val="00AD31BE"/>
    <w:rsid w:val="00AD744A"/>
    <w:rsid w:val="00AD7C74"/>
    <w:rsid w:val="00AE19B1"/>
    <w:rsid w:val="00AE7847"/>
    <w:rsid w:val="00B037A2"/>
    <w:rsid w:val="00B34207"/>
    <w:rsid w:val="00B3707E"/>
    <w:rsid w:val="00B508AC"/>
    <w:rsid w:val="00B60DDB"/>
    <w:rsid w:val="00B64180"/>
    <w:rsid w:val="00B7343E"/>
    <w:rsid w:val="00B75971"/>
    <w:rsid w:val="00B9232A"/>
    <w:rsid w:val="00B959AA"/>
    <w:rsid w:val="00BA081F"/>
    <w:rsid w:val="00BA50F5"/>
    <w:rsid w:val="00BC4D32"/>
    <w:rsid w:val="00BC6796"/>
    <w:rsid w:val="00BD0B4D"/>
    <w:rsid w:val="00BF1245"/>
    <w:rsid w:val="00BF76E2"/>
    <w:rsid w:val="00BF792D"/>
    <w:rsid w:val="00C235EE"/>
    <w:rsid w:val="00C27766"/>
    <w:rsid w:val="00C332F9"/>
    <w:rsid w:val="00C43C8E"/>
    <w:rsid w:val="00C51384"/>
    <w:rsid w:val="00C53B12"/>
    <w:rsid w:val="00C6377D"/>
    <w:rsid w:val="00C71F51"/>
    <w:rsid w:val="00C75BB2"/>
    <w:rsid w:val="00C92A7A"/>
    <w:rsid w:val="00CA4C05"/>
    <w:rsid w:val="00CA5AD6"/>
    <w:rsid w:val="00CA7414"/>
    <w:rsid w:val="00CD6E70"/>
    <w:rsid w:val="00CF47FE"/>
    <w:rsid w:val="00CF521F"/>
    <w:rsid w:val="00D07AEC"/>
    <w:rsid w:val="00D12024"/>
    <w:rsid w:val="00D245D6"/>
    <w:rsid w:val="00D26FB2"/>
    <w:rsid w:val="00D275BD"/>
    <w:rsid w:val="00D33F70"/>
    <w:rsid w:val="00D368F3"/>
    <w:rsid w:val="00D404DC"/>
    <w:rsid w:val="00D51518"/>
    <w:rsid w:val="00D5365E"/>
    <w:rsid w:val="00D574CC"/>
    <w:rsid w:val="00D80DA4"/>
    <w:rsid w:val="00D85DC2"/>
    <w:rsid w:val="00D9185C"/>
    <w:rsid w:val="00D936D6"/>
    <w:rsid w:val="00DA0F57"/>
    <w:rsid w:val="00DB30BD"/>
    <w:rsid w:val="00DC4BCE"/>
    <w:rsid w:val="00DE1730"/>
    <w:rsid w:val="00DE4B4D"/>
    <w:rsid w:val="00DF4459"/>
    <w:rsid w:val="00E02206"/>
    <w:rsid w:val="00E02FB4"/>
    <w:rsid w:val="00E302C0"/>
    <w:rsid w:val="00E34C12"/>
    <w:rsid w:val="00E4760F"/>
    <w:rsid w:val="00E648D6"/>
    <w:rsid w:val="00E64FF8"/>
    <w:rsid w:val="00E65838"/>
    <w:rsid w:val="00E6789B"/>
    <w:rsid w:val="00E67FB1"/>
    <w:rsid w:val="00E71711"/>
    <w:rsid w:val="00E86DAB"/>
    <w:rsid w:val="00E904B7"/>
    <w:rsid w:val="00E9576A"/>
    <w:rsid w:val="00EA307B"/>
    <w:rsid w:val="00EA31E5"/>
    <w:rsid w:val="00EA3C96"/>
    <w:rsid w:val="00EA70A4"/>
    <w:rsid w:val="00EB2717"/>
    <w:rsid w:val="00EB55B7"/>
    <w:rsid w:val="00EC5FC3"/>
    <w:rsid w:val="00EC618F"/>
    <w:rsid w:val="00ED59A2"/>
    <w:rsid w:val="00ED704C"/>
    <w:rsid w:val="00EE3BDC"/>
    <w:rsid w:val="00EF2AB5"/>
    <w:rsid w:val="00EF39F1"/>
    <w:rsid w:val="00EF6569"/>
    <w:rsid w:val="00F0232E"/>
    <w:rsid w:val="00F031E3"/>
    <w:rsid w:val="00F05223"/>
    <w:rsid w:val="00F06191"/>
    <w:rsid w:val="00F07CC1"/>
    <w:rsid w:val="00F11888"/>
    <w:rsid w:val="00F12379"/>
    <w:rsid w:val="00F15612"/>
    <w:rsid w:val="00F2222D"/>
    <w:rsid w:val="00F245FB"/>
    <w:rsid w:val="00F32D2A"/>
    <w:rsid w:val="00F37013"/>
    <w:rsid w:val="00F455BF"/>
    <w:rsid w:val="00F471A2"/>
    <w:rsid w:val="00F672E3"/>
    <w:rsid w:val="00F70E64"/>
    <w:rsid w:val="00F74F8B"/>
    <w:rsid w:val="00FA029C"/>
    <w:rsid w:val="00FA32BA"/>
    <w:rsid w:val="00FA5393"/>
    <w:rsid w:val="00FA589A"/>
    <w:rsid w:val="00FC4B2A"/>
    <w:rsid w:val="00FC6847"/>
    <w:rsid w:val="00FD1B8D"/>
    <w:rsid w:val="00FD4D54"/>
    <w:rsid w:val="00FE2EB7"/>
    <w:rsid w:val="00FF19C3"/>
    <w:rsid w:val="2B95EC4A"/>
    <w:rsid w:val="7A4B8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7C6BD2"/>
  <w15:chartTrackingRefBased/>
  <w15:docId w15:val="{4D116BE7-CCB8-4BC0-B5C7-CAF7734D1465}"/>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eastAsia="MS Mincho"/>
      <w:sz w:val="22"/>
      <w:szCs w:val="24"/>
      <w:lang w:val="en-GB" w:eastAsia="en-US"/>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pPr>
      <w:spacing w:before="60"/>
    </w:pPr>
    <w:rPr>
      <w:sz w:val="20"/>
    </w:rPr>
  </w:style>
  <w:style w:type="character" w:styleId="FootnoteReference">
    <w:name w:val="footnote reference"/>
    <w:basedOn w:val="DefaultParagraphFont"/>
    <w:semiHidden/>
    <w:rPr>
      <w:vertAlign w:val="superscript"/>
    </w:rPr>
  </w:style>
  <w:style w:type="paragraph" w:styleId="Header">
    <w:name w:val="header"/>
    <w:basedOn w:val="Normal"/>
    <w:link w:val="HeaderChar"/>
    <w:pPr>
      <w:tabs>
        <w:tab w:val="center" w:pos="4680"/>
        <w:tab w:val="right" w:pos="9360"/>
      </w:tabs>
    </w:pPr>
  </w:style>
  <w:style w:type="paragraph" w:styleId="Footer">
    <w:name w:val="footer"/>
    <w:basedOn w:val="Normal"/>
    <w:link w:val="FooterChar"/>
    <w:pPr>
      <w:tabs>
        <w:tab w:val="center" w:pos="4680"/>
        <w:tab w:val="right" w:pos="9360"/>
      </w:tabs>
    </w:pPr>
  </w:style>
  <w:style w:type="character" w:styleId="PageNumber">
    <w:name w:val="page number"/>
    <w:rPr>
      <w:rFonts w:ascii="Arial" w:hAnsi="Arial"/>
      <w:b/>
      <w:sz w:val="18"/>
    </w:rPr>
  </w:style>
  <w:style w:type="character" w:customStyle="1" w:styleId="Underline">
    <w:name w:val="Underline"/>
    <w:rPr>
      <w:u w:val="single"/>
    </w:rPr>
  </w:style>
  <w:style w:type="character" w:styleId="Hyperlink">
    <w:name w:val="Hyperlink"/>
    <w:rPr>
      <w:color w:val="0000FF"/>
      <w:u w:val="none"/>
    </w:rPr>
  </w:style>
  <w:style w:type="character" w:styleId="FollowedHyperlink">
    <w:name w:val="FollowedHyperlink"/>
    <w:rPr>
      <w:color w:val="800080"/>
      <w:u w:val="none"/>
    </w:rPr>
  </w:style>
  <w:style w:type="table" w:styleId="TableGrid">
    <w:name w:val="Table Grid"/>
    <w:basedOn w:val="TableNormal"/>
    <w:rPr>
      <w:rFonts w:ascii="Cambria" w:eastAsia="MS Mincho"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paragraph" w:customStyle="1" w:styleId="IPPBullet2">
    <w:name w:val="IPP Bullet2"/>
    <w:basedOn w:val="IPPNormal"/>
    <w:next w:val="IPPBullet1"/>
    <w:qFormat/>
    <w:pPr>
      <w:numPr>
        <w:numId w:val="5"/>
      </w:numPr>
      <w:tabs>
        <w:tab w:val="left" w:pos="1134"/>
      </w:tabs>
      <w:spacing w:after="60"/>
      <w:ind w:left="1134" w:hanging="567"/>
    </w:pPr>
  </w:style>
  <w:style w:type="paragraph" w:customStyle="1" w:styleId="IPPTitle16ptIndent">
    <w:name w:val="IPP Title16pt Indent"/>
    <w:basedOn w:val="Normal"/>
    <w:qFormat/>
    <w:pPr>
      <w:spacing w:after="720"/>
      <w:ind w:left="1701" w:right="1701"/>
      <w:jc w:val="center"/>
    </w:pPr>
    <w:rPr>
      <w:rFonts w:ascii="Arial" w:hAnsi="Arial" w:cs="Arial"/>
      <w:b/>
      <w:bCs/>
      <w:sz w:val="32"/>
      <w:szCs w:val="32"/>
    </w:r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character" w:customStyle="1" w:styleId="1">
    <w:name w:val="Заголовок 1 Знак"/>
    <w:basedOn w:val="DefaultParagraphFont"/>
    <w:rPr>
      <w:rFonts w:eastAsia="MS Mincho"/>
      <w:b/>
      <w:bCs/>
      <w:sz w:val="22"/>
      <w:szCs w:val="24"/>
      <w:lang w:val="en-GB" w:eastAsia="en-US"/>
    </w:rPr>
  </w:style>
  <w:style w:type="character" w:styleId="CommentReference">
    <w:name w:val="annotation reference"/>
    <w:rPr>
      <w:sz w:val="16"/>
      <w:szCs w:val="16"/>
    </w:rPr>
  </w:style>
  <w:style w:type="paragraph" w:styleId="CommentText">
    <w:name w:val="annotation text"/>
    <w:basedOn w:val="Normal"/>
    <w:link w:val="CommentTextChar"/>
    <w:uiPriority w:val="99"/>
    <w:qFormat/>
    <w:rPr>
      <w:rFonts w:eastAsia="Times New Roman"/>
      <w:sz w:val="20"/>
      <w:szCs w:val="20"/>
      <w:lang w:eastAsia="x-none"/>
    </w:rPr>
  </w:style>
  <w:style w:type="character" w:customStyle="1" w:styleId="CommentTextChar">
    <w:name w:val="Comment Text Char"/>
    <w:link w:val="CommentText"/>
    <w:uiPriority w:val="99"/>
    <w:qFormat/>
    <w:rPr>
      <w:lang w:val="en-GB"/>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rPr>
      <w:b/>
      <w:bCs/>
      <w:lang w:val="en-GB"/>
    </w:rPr>
  </w:style>
  <w:style w:type="paragraph" w:customStyle="1" w:styleId="Comments">
    <w:name w:val="Comments"/>
    <w:basedOn w:val="Normal"/>
    <w:pPr>
      <w:ind w:left="284" w:hanging="284"/>
    </w:p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paragraph" w:customStyle="1" w:styleId="IPPNumberedList">
    <w:name w:val="IPP NumberedList"/>
    <w:basedOn w:val="IPPBullet1"/>
    <w:qFormat/>
    <w:pPr>
      <w:numPr>
        <w:numId w:val="8"/>
      </w:numPr>
    </w:pPr>
  </w:style>
  <w:style w:type="paragraph" w:customStyle="1" w:styleId="IPPBullet1">
    <w:name w:val="IPP Bullet1"/>
    <w:basedOn w:val="IPPBullet1Last"/>
    <w:qFormat/>
    <w:pPr>
      <w:numPr>
        <w:numId w:val="31"/>
      </w:numPr>
      <w:spacing w:after="60"/>
      <w:ind w:left="567" w:hanging="567"/>
    </w:pPr>
    <w:rPr>
      <w:lang w:val="en-US"/>
    </w:rPr>
  </w:style>
  <w:style w:type="paragraph" w:customStyle="1" w:styleId="IPPBullet1Last">
    <w:name w:val="IPP Bullet1Last"/>
    <w:basedOn w:val="IPPNormal"/>
    <w:next w:val="IPPNormal"/>
    <w:autoRedefine/>
    <w:qFormat/>
    <w:pPr>
      <w:numPr>
        <w:numId w:val="4"/>
      </w:numPr>
    </w:pPr>
  </w:style>
  <w:style w:type="paragraph" w:customStyle="1" w:styleId="IPPNumberClose">
    <w:name w:val="IPP NumberClose"/>
    <w:basedOn w:val="IPPNumber"/>
    <w:qFormat/>
    <w:pPr>
      <w:keepNext/>
      <w:spacing w:after="60"/>
    </w:p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Number">
    <w:name w:val="IPP Number"/>
    <w:basedOn w:val="IPPNormal"/>
    <w:qFormat/>
    <w:pPr>
      <w:numPr>
        <w:numId w:val="1"/>
      </w:numPr>
    </w:p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List">
    <w:name w:val="IPP List"/>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NumberedListLast">
    <w:name w:val="IPP NumberedListLast"/>
    <w:basedOn w:val="IPPNumberedList"/>
    <w:qFormat/>
    <w:pPr>
      <w:spacing w:after="180"/>
    </w:p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character" w:customStyle="1" w:styleId="2">
    <w:name w:val="Заголовок 2 Знак"/>
    <w:basedOn w:val="DefaultParagraphFont"/>
    <w:rPr>
      <w:rFonts w:ascii="Calibri" w:eastAsia="MS Mincho" w:hAnsi="Calibri"/>
      <w:b/>
      <w:bCs/>
      <w:i/>
      <w:iCs/>
      <w:sz w:val="28"/>
      <w:szCs w:val="28"/>
      <w:lang w:val="en-GB" w:eastAsia="en-US"/>
    </w:rPr>
  </w:style>
  <w:style w:type="character" w:customStyle="1" w:styleId="3">
    <w:name w:val="Заголовок 3 Знак"/>
    <w:basedOn w:val="DefaultParagraphFont"/>
    <w:rPr>
      <w:rFonts w:ascii="Calibri" w:eastAsia="MS Mincho" w:hAnsi="Calibri"/>
      <w:b/>
      <w:bCs/>
      <w:sz w:val="26"/>
      <w:szCs w:val="26"/>
      <w:lang w:val="en-GB" w:eastAsia="en-US"/>
    </w:r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character" w:customStyle="1" w:styleId="a">
    <w:name w:val="Текст сноски Знак"/>
    <w:basedOn w:val="DefaultParagraphFont"/>
    <w:semiHidden/>
    <w:rPr>
      <w:rFonts w:eastAsia="MS Mincho"/>
      <w:szCs w:val="24"/>
      <w:lang w:val="en-GB" w:eastAsia="en-US"/>
    </w:rPr>
  </w:style>
  <w:style w:type="paragraph" w:customStyle="1" w:styleId="Indent1">
    <w:name w:val="Indent 1"/>
    <w:basedOn w:val="Normal"/>
    <w:qFormat/>
    <w:pPr>
      <w:spacing w:after="60"/>
      <w:ind w:left="567"/>
      <w:jc w:val="left"/>
    </w:pPr>
    <w:rPr>
      <w:rFonts w:ascii="Georgia" w:eastAsia="Times" w:hAnsi="Georgia"/>
      <w:sz w:val="18"/>
      <w:lang w:val="en-AU"/>
    </w:rPr>
  </w:style>
  <w:style w:type="paragraph" w:customStyle="1" w:styleId="Subhead">
    <w:name w:val="Subhead"/>
    <w:basedOn w:val="Normal"/>
    <w:qFormat/>
    <w:pPr>
      <w:keepNext/>
      <w:spacing w:before="120" w:after="60"/>
      <w:jc w:val="left"/>
    </w:pPr>
    <w:rPr>
      <w:rFonts w:ascii="Georgia" w:eastAsia="Times" w:hAnsi="Georgia"/>
      <w:b/>
      <w:sz w:val="19"/>
      <w:lang w:val="en-AU"/>
    </w:r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a0">
    <w:name w:val="Текст Знак"/>
    <w:basedOn w:val="DefaultParagraphFont"/>
    <w:uiPriority w:val="99"/>
    <w:rPr>
      <w:rFonts w:ascii="Courier" w:eastAsia="Times" w:hAnsi="Courier"/>
      <w:sz w:val="21"/>
      <w:szCs w:val="21"/>
      <w:lang w:val="en-AU" w:eastAsia="en-US"/>
    </w:rPr>
  </w:style>
  <w:style w:type="paragraph" w:customStyle="1" w:styleId="IPPNumberSubhead">
    <w:name w:val="IPP NumberSubhead"/>
    <w:basedOn w:val="IPPNumber"/>
    <w:qFormat/>
    <w:pPr>
      <w:keepNext/>
      <w:spacing w:after="60"/>
    </w:pPr>
    <w:rPr>
      <w:b/>
    </w:rPr>
  </w:style>
  <w:style w:type="paragraph" w:customStyle="1" w:styleId="IPPSubheadNumber">
    <w:name w:val="IPP SubheadNumber"/>
    <w:basedOn w:val="IPPSubhead"/>
    <w:qFormat/>
    <w:pPr>
      <w:numPr>
        <w:numId w:val="2"/>
      </w:numPr>
    </w:pPr>
  </w:style>
  <w:style w:type="paragraph" w:customStyle="1" w:styleId="IPPLetterList">
    <w:name w:val="IPP LetterList"/>
    <w:basedOn w:val="IPPBullet2"/>
    <w:qFormat/>
    <w:pPr>
      <w:numPr>
        <w:numId w:val="9"/>
      </w:numPr>
      <w:jc w:val="left"/>
    </w:pPr>
  </w:style>
  <w:style w:type="paragraph" w:customStyle="1" w:styleId="IPPLetterListIndent">
    <w:name w:val="IPP LetterList Indent"/>
    <w:basedOn w:val="IPPLetterList"/>
    <w:qFormat/>
    <w:pPr>
      <w:numPr>
        <w:numId w:val="6"/>
      </w:numPr>
    </w:pPr>
  </w:style>
  <w:style w:type="paragraph" w:customStyle="1" w:styleId="CharChar">
    <w:name w:val="(文字) (文字) Char (文字) (文字) Char"/>
    <w:basedOn w:val="Normal"/>
    <w:pPr>
      <w:spacing w:after="160" w:line="240" w:lineRule="exact"/>
      <w:jc w:val="left"/>
    </w:pPr>
    <w:rPr>
      <w:rFonts w:ascii="Tahoma" w:hAnsi="Tahoma"/>
      <w:sz w:val="20"/>
    </w:rPr>
  </w:style>
  <w:style w:type="paragraph" w:customStyle="1" w:styleId="IPPSubheadSpace">
    <w:name w:val="IPP Subhead Space"/>
    <w:basedOn w:val="IPPSubhead"/>
    <w:qFormat/>
    <w:pPr>
      <w:tabs>
        <w:tab w:val="left" w:pos="567"/>
      </w:tabs>
      <w:spacing w:before="60" w:after="60"/>
    </w:pPr>
  </w:style>
  <w:style w:type="paragraph" w:customStyle="1" w:styleId="CarCar">
    <w:name w:val="Car Car"/>
    <w:basedOn w:val="Normal"/>
    <w:pPr>
      <w:spacing w:after="160" w:line="240" w:lineRule="exact"/>
      <w:jc w:val="left"/>
    </w:pPr>
    <w:rPr>
      <w:rFonts w:ascii="Tahoma" w:hAnsi="Tahoma"/>
      <w:sz w:val="20"/>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Hdg1Num">
    <w:name w:val="IPP Hdg1Num"/>
    <w:basedOn w:val="IPPHeading1"/>
    <w:next w:val="IPPNormal"/>
    <w:qFormat/>
    <w:pPr>
      <w:numPr>
        <w:numId w:val="21"/>
      </w:numPr>
    </w:pPr>
  </w:style>
  <w:style w:type="paragraph" w:customStyle="1" w:styleId="IPPHdg2Num">
    <w:name w:val="IPP Hdg2Num"/>
    <w:basedOn w:val="IPPHeading2"/>
    <w:next w:val="IPPNormal"/>
    <w:qFormat/>
    <w:pPr>
      <w:numPr>
        <w:ilvl w:val="1" numString="1.1. "/>
        <w:numId w:val="22"/>
      </w:numPr>
    </w:p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NumberedListArial">
    <w:name w:val="IPP NumberedListArial"/>
    <w:basedOn w:val="IPPNumberedList"/>
    <w:qFormat/>
    <w:pPr>
      <w:numPr>
        <w:numId w:val="0"/>
      </w:numPr>
      <w:tabs>
        <w:tab w:val="num" w:pos="1134"/>
      </w:tabs>
      <w:ind w:left="1134" w:hanging="567"/>
    </w:pPr>
    <w:rPr>
      <w:rFonts w:ascii="Arial" w:hAnsi="Arial"/>
      <w:sz w:val="18"/>
    </w:rPr>
  </w:style>
  <w:style w:type="paragraph" w:customStyle="1" w:styleId="IPPSubheadSpaceAfter">
    <w:name w:val="IPP Subhead SpaceAfter"/>
    <w:basedOn w:val="IPPSubhead"/>
    <w:qFormat/>
    <w:pPr>
      <w:spacing w:after="60"/>
    </w:pPr>
  </w:style>
  <w:style w:type="character" w:customStyle="1" w:styleId="a1">
    <w:name w:val="Верхний колонтитул Знак"/>
    <w:basedOn w:val="DefaultParagraphFont"/>
    <w:rPr>
      <w:rFonts w:eastAsia="MS Mincho"/>
      <w:sz w:val="22"/>
      <w:szCs w:val="24"/>
      <w:lang w:val="en-GB" w:eastAsia="en-US"/>
    </w:rPr>
  </w:style>
  <w:style w:type="character" w:customStyle="1" w:styleId="a2">
    <w:name w:val="Нижний колонтитул Знак"/>
    <w:basedOn w:val="DefaultParagraphFont"/>
    <w:rPr>
      <w:rFonts w:eastAsia="MS Mincho"/>
      <w:sz w:val="22"/>
      <w:szCs w:val="24"/>
      <w:lang w:val="en-GB" w:eastAsia="en-US"/>
    </w:rPr>
  </w:style>
  <w:style w:type="character" w:customStyle="1" w:styleId="IPPNormalChar">
    <w:name w:val="IPP Normal Char"/>
    <w:link w:val="IPPNormal"/>
    <w:rPr>
      <w:rFonts w:eastAsia="Times"/>
      <w:sz w:val="22"/>
      <w:szCs w:val="24"/>
      <w:lang w:val="en-GB" w:eastAsia="en-US"/>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customStyle="1" w:styleId="a3">
    <w:name w:val="Текст выноски Знак"/>
    <w:basedOn w:val="DefaultParagraphFont"/>
    <w:rPr>
      <w:rFonts w:ascii="Tahoma" w:eastAsia="MS Mincho" w:hAnsi="Tahoma" w:cs="Tahoma"/>
      <w:sz w:val="16"/>
      <w:szCs w:val="16"/>
      <w:lang w:val="en-GB" w:eastAsia="en-US"/>
    </w:r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b/>
      <w:sz w:val="22"/>
      <w:szCs w:val="21"/>
      <w:lang w:val="en-AU" w:eastAsia="en-US"/>
    </w:rPr>
  </w:style>
  <w:style w:type="character" w:customStyle="1" w:styleId="IPPNormalunderlined">
    <w:name w:val="IPP Normal underlined"/>
    <w:basedOn w:val="DefaultParagraphFont"/>
    <w:rPr>
      <w:rFonts w:ascii="Times New Roman" w:hAnsi="Times New Roman"/>
      <w:sz w:val="22"/>
      <w:u w:val="single"/>
      <w:lang w:val="en-US"/>
    </w:rPr>
  </w:style>
  <w:style w:type="character" w:customStyle="1" w:styleId="IPPNormalstrikethrough">
    <w:name w:val="IPP Normal strikethrough"/>
    <w:rPr>
      <w:rFonts w:ascii="Times New Roman" w:hAnsi="Times New Roman"/>
      <w:strike/>
      <w:dstrike w:val="0"/>
      <w:sz w:val="22"/>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numbering" w:customStyle="1" w:styleId="IPPParagraphnumberedlist">
    <w:name w:val="IPP Paragraph numbered list"/>
    <w:pPr>
      <w:numPr>
        <w:numId w:val="7"/>
      </w:numPr>
    </w:p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pPr>
      <w:numPr>
        <w:numId w:val="24"/>
      </w:numPr>
    </w:pPr>
    <w:rPr>
      <w:lang w:val="en-US"/>
    </w:rPr>
  </w:style>
  <w:style w:type="paragraph" w:customStyle="1" w:styleId="IPPParagraphnumberingclose">
    <w:name w:val="IPP Paragraph numbering close"/>
    <w:basedOn w:val="IPPParagraphnumbering"/>
    <w:qFormat/>
    <w:pPr>
      <w:keepNext/>
      <w:spacing w:after="60"/>
    </w:pPr>
  </w:style>
  <w:style w:type="paragraph" w:customStyle="1" w:styleId="IPPPargraphnumbering">
    <w:name w:val="IPP Pargraph numbering"/>
    <w:basedOn w:val="IPPNormal"/>
    <w:qFormat/>
    <w:pPr>
      <w:tabs>
        <w:tab w:val="num" w:pos="360"/>
      </w:tabs>
    </w:p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FooterChar">
    <w:name w:val="Footer Char"/>
    <w:basedOn w:val="DefaultParagraphFont"/>
    <w:link w:val="Footer"/>
    <w:rPr>
      <w:rFonts w:eastAsia="MS Mincho"/>
      <w:sz w:val="22"/>
      <w:szCs w:val="24"/>
      <w:lang w:val="en-GB" w:eastAsia="en-US"/>
    </w:rPr>
  </w:style>
  <w:style w:type="character" w:customStyle="1" w:styleId="BalloonTextChar">
    <w:name w:val="Balloon Text Char"/>
    <w:basedOn w:val="DefaultParagraphFont"/>
    <w:link w:val="BalloonText"/>
    <w:rPr>
      <w:rFonts w:ascii="Tahoma" w:eastAsia="MS Mincho" w:hAnsi="Tahoma" w:cs="Tahoma"/>
      <w:sz w:val="16"/>
      <w:szCs w:val="16"/>
      <w:lang w:val="en-GB" w:eastAsia="en-US"/>
    </w:rPr>
  </w:style>
  <w:style w:type="character" w:customStyle="1" w:styleId="Heading1Char">
    <w:name w:val="Heading 1 Char"/>
    <w:basedOn w:val="DefaultParagraphFont"/>
    <w:link w:val="Heading1"/>
    <w:rPr>
      <w:rFonts w:eastAsia="MS Mincho"/>
      <w:b/>
      <w:bCs/>
      <w:sz w:val="22"/>
      <w:szCs w:val="24"/>
      <w:lang w:val="en-GB" w:eastAsia="en-US"/>
    </w:rPr>
  </w:style>
  <w:style w:type="character" w:customStyle="1" w:styleId="Heading2Char">
    <w:name w:val="Heading 2 Char"/>
    <w:basedOn w:val="DefaultParagraphFont"/>
    <w:link w:val="Heading2"/>
    <w:rPr>
      <w:rFonts w:ascii="Calibri" w:eastAsia="MS Mincho" w:hAnsi="Calibri"/>
      <w:b/>
      <w:bCs/>
      <w:i/>
      <w:iCs/>
      <w:sz w:val="28"/>
      <w:szCs w:val="28"/>
      <w:lang w:val="en-GB" w:eastAsia="en-US"/>
    </w:rPr>
  </w:style>
  <w:style w:type="character" w:customStyle="1" w:styleId="Heading3Char">
    <w:name w:val="Heading 3 Char"/>
    <w:basedOn w:val="DefaultParagraphFont"/>
    <w:link w:val="Heading3"/>
    <w:rPr>
      <w:rFonts w:ascii="Calibri" w:eastAsia="MS Mincho" w:hAnsi="Calibri"/>
      <w:b/>
      <w:bCs/>
      <w:sz w:val="26"/>
      <w:szCs w:val="26"/>
      <w:lang w:val="en-GB" w:eastAsia="en-US"/>
    </w:rPr>
  </w:style>
  <w:style w:type="character" w:customStyle="1" w:styleId="FootnoteTextChar">
    <w:name w:val="Footnote Text Char"/>
    <w:basedOn w:val="DefaultParagraphFont"/>
    <w:link w:val="FootnoteText"/>
    <w:semiHidden/>
    <w:rPr>
      <w:rFonts w:eastAsia="MS Mincho"/>
      <w:szCs w:val="24"/>
      <w:lang w:val="en-GB" w:eastAsia="en-US"/>
    </w:rPr>
  </w:style>
  <w:style w:type="character" w:customStyle="1" w:styleId="PlainTextChar">
    <w:name w:val="Plain Text Char"/>
    <w:basedOn w:val="DefaultParagraphFont"/>
    <w:link w:val="PlainText"/>
    <w:uiPriority w:val="99"/>
    <w:rPr>
      <w:rFonts w:ascii="Courier" w:eastAsia="Times" w:hAnsi="Courier"/>
      <w:sz w:val="21"/>
      <w:szCs w:val="21"/>
      <w:lang w:val="en-AU" w:eastAsia="en-US"/>
    </w:rPr>
  </w:style>
  <w:style w:type="character" w:customStyle="1" w:styleId="HeaderChar">
    <w:name w:val="Header Char"/>
    <w:basedOn w:val="DefaultParagraphFont"/>
    <w:link w:val="Header"/>
    <w:rPr>
      <w:rFonts w:eastAsia="MS Mincho"/>
      <w:sz w:val="22"/>
      <w:szCs w:val="24"/>
      <w:lang w:val="en-GB" w:eastAsia="en-US"/>
    </w:rPr>
  </w:style>
  <w:style w:type="paragraph" w:styleId="Revision">
    <w:name w:val="Revision"/>
    <w:hidden/>
    <w:semiHidden/>
    <w:rPr>
      <w:rFonts w:eastAsia="MS Mincho"/>
      <w:sz w:val="22"/>
      <w:szCs w:val="24"/>
      <w:lang w:val="en-US"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56500">
      <w:bodyDiv w:val="1"/>
      <w:marLeft w:val="0"/>
      <w:marRight w:val="0"/>
      <w:marTop w:val="0"/>
      <w:marBottom w:val="0"/>
      <w:divBdr>
        <w:top w:val="none" w:sz="0" w:space="0" w:color="auto"/>
        <w:left w:val="none" w:sz="0" w:space="0" w:color="auto"/>
        <w:bottom w:val="none" w:sz="0" w:space="0" w:color="auto"/>
        <w:right w:val="none" w:sz="0" w:space="0" w:color="auto"/>
      </w:divBdr>
    </w:div>
    <w:div w:id="984818688">
      <w:bodyDiv w:val="1"/>
      <w:marLeft w:val="24"/>
      <w:marRight w:val="0"/>
      <w:marTop w:val="24"/>
      <w:marBottom w:val="0"/>
      <w:divBdr>
        <w:top w:val="none" w:sz="0" w:space="0" w:color="auto"/>
        <w:left w:val="none" w:sz="0" w:space="0" w:color="auto"/>
        <w:bottom w:val="none" w:sz="0" w:space="0" w:color="auto"/>
        <w:right w:val="none" w:sz="0" w:space="0" w:color="auto"/>
      </w:divBdr>
    </w:div>
    <w:div w:id="192190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fao.org/3/cb5357en/cb5357en.pdf" TargetMode="External" Id="rId13" /><Relationship Type="http://schemas.openxmlformats.org/officeDocument/2006/relationships/hyperlink" Target="https://www.ippc.int/en/publications/604/" TargetMode="External" Id="rId18" /><Relationship Type="http://schemas.openxmlformats.org/officeDocument/2006/relationships/customXml" Target="../customXml/item3.xml" Id="rId3" /><Relationship Type="http://schemas.openxmlformats.org/officeDocument/2006/relationships/hyperlink" Target="https://www.ippc.int/en/publications/91184/" TargetMode="External" Id="rId21" /><Relationship Type="http://schemas.openxmlformats.org/officeDocument/2006/relationships/settings" Target="settings.xml" Id="rId7" /><Relationship Type="http://schemas.openxmlformats.org/officeDocument/2006/relationships/hyperlink" Target="https://www.ippc.int/core-activities/standards-setting/list-topics-ippc-standards" TargetMode="External" Id="rId12" /><Relationship Type="http://schemas.openxmlformats.org/officeDocument/2006/relationships/hyperlink" Target="https://www.ippc.int/en/publications/609/" TargetMode="External" Id="rId17" /><Relationship Type="http://schemas.openxmlformats.org/officeDocument/2006/relationships/customXml" Target="../customXml/item2.xml" Id="rId2" /><Relationship Type="http://schemas.openxmlformats.org/officeDocument/2006/relationships/hyperlink" Target="https://www.ippc.int/en/publications/639/" TargetMode="External" Id="rId16" /><Relationship Type="http://schemas.openxmlformats.org/officeDocument/2006/relationships/hyperlink" Target="https://www.ippc.int/en/publications/591/"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ippc.int/en/core-activities/" TargetMode="Externa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yperlink" Target="https://www.ippc.int/en/publications/613/" TargetMode="Externa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hyperlink" Target="https://www.ippc.int/en/publications/598/"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ippc.int/en/publications/592/" TargetMode="External" Id="rId14" /><Relationship Type="http://schemas.openxmlformats.org/officeDocument/2006/relationships/hyperlink" Target="mailto:ippc@fao.org" TargetMode="External" Id="rId22" /></Relationships>
</file>

<file path=word/_rels/settings.xml.rels>&#65279;<?xml version="1.0" encoding="utf-8"?><Relationships xmlns="http://schemas.openxmlformats.org/package/2006/relationships"><Relationship Type="http://schemas.openxmlformats.org/officeDocument/2006/relationships/attachedTemplate" Target="file:///C:\Users\karen\Desktop\IPPC_2015-06-04.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b:Sources xmlns="http://schemas.openxmlformats.org/officeDocument/2006/bibliography" xmlns:b="http://schemas.openxmlformats.org/officeDocument/2006/bibliography" SelectedStyle="\APA.XSL" StyleName="APA Fifth Edition"/>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ea6feb38-a85a-45e8-92e9-814486bbe375" xsi:nil="true"/>
    <TaxCatchAll xmlns="a05d7f75-f42e-4288-8809-604fd4d9691f" xsi:nil="true"/>
    <lcf76f155ced4ddcb4097134ff3c332f xmlns="ea6feb38-a85a-45e8-92e9-814486bbe37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2A7AC9E-8CF7-4628-BDC1-BD9695335D90}">
  <ds:schemaRefs>
    <ds:schemaRef ds:uri="http://schemas.openxmlformats.org/officeDocument/2006/bibliography"/>
  </ds:schemaRefs>
</ds:datastoreItem>
</file>

<file path=customXml/itemProps2.xml><?xml version="1.0" encoding="utf-8"?>
<ds:datastoreItem xmlns:ds="http://schemas.openxmlformats.org/officeDocument/2006/customXml" ds:itemID="{C81AB28B-6675-45FD-B61B-E1F5A3B228ED}">
  <ds:schemaRefs>
    <ds:schemaRef ds:uri="http://schemas.microsoft.com/sharepoint/v3/contenttype/forms"/>
  </ds:schemaRefs>
</ds:datastoreItem>
</file>

<file path=customXml/itemProps3.xml><?xml version="1.0" encoding="utf-8"?>
<ds:datastoreItem xmlns:ds="http://schemas.openxmlformats.org/officeDocument/2006/customXml" ds:itemID="{DA7FE1B2-80DF-489F-B586-D2E2C5161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367181-0927-4743-B840-1195BC782375}">
  <ds:schemaRefs>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ea6feb38-a85a-45e8-92e9-814486bbe375"/>
    <ds:schemaRef ds:uri="http://schemas.openxmlformats.org/package/2006/metadata/core-properties"/>
    <ds:schemaRef ds:uri="a05d7f75-f42e-4288-8809-604fd4d9691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IPPC_2015-06-04.dotx</Template>
  <TotalTime>5</TotalTime>
  <Pages>3</Pages>
  <Words>946</Words>
  <Characters>6703</Characters>
  <Application>Microsoft Office Word</Application>
  <DocSecurity>0</DocSecurity>
  <Lines>55</Lines>
  <Paragraphs>15</Paragraphs>
  <ScaleCrop>false</ScaleCrop>
  <Company>FAO of the UN</Company>
  <LinksUpToDate>false</LinksUpToDate>
  <CharactersWithSpaces>7634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IPPC-Styles</dc:title>
  <dc:subject/>
  <dc:creator>Barbara Hedley</dc:creator>
  <cp:keywords/>
  <cp:lastModifiedBy>Mushegian, Edgar (NSP)</cp:lastModifiedBy>
  <cp:revision>8</cp:revision>
  <cp:lastPrinted>2022-05-05T19:25:00Z</cp:lastPrinted>
  <dcterms:created xsi:type="dcterms:W3CDTF">2022-05-13T08:12:00Z</dcterms:created>
  <dcterms:modified xsi:type="dcterms:W3CDTF">2022-06-30T07:38:00Z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ies>
</file>