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BD6C7" w14:textId="69B46A13" w:rsidR="00DF363C" w:rsidRDefault="002F4A2B" w:rsidP="00FA5ECD">
      <w:pPr>
        <w:pStyle w:val="IPPHeadSection"/>
        <w:jc w:val="center"/>
      </w:pPr>
      <w:r>
        <w:t>updates from ippc</w:t>
      </w:r>
      <w:r w:rsidR="002E7E75">
        <w:t xml:space="preserve"> S</w:t>
      </w:r>
      <w:bookmarkStart w:id="0" w:name="_GoBack"/>
      <w:bookmarkEnd w:id="0"/>
      <w:r w:rsidR="002E7E75">
        <w:t xml:space="preserve">ecretariat </w:t>
      </w:r>
    </w:p>
    <w:p w14:paraId="3EF8DAEF" w14:textId="54FEB4D4" w:rsidR="00FA5ECD" w:rsidRPr="00FA5ECD" w:rsidRDefault="00FA5ECD" w:rsidP="00FA5ECD">
      <w:pPr>
        <w:jc w:val="center"/>
      </w:pPr>
      <w:r>
        <w:t>(</w:t>
      </w:r>
      <w:r w:rsidRPr="002E7E75">
        <w:rPr>
          <w:i/>
        </w:rPr>
        <w:t>Prepared by</w:t>
      </w:r>
      <w:r w:rsidR="002F4A2B" w:rsidRPr="002E7E75">
        <w:rPr>
          <w:i/>
        </w:rPr>
        <w:t xml:space="preserve"> the IPPC Secretariat</w:t>
      </w:r>
      <w:r>
        <w:t>)</w:t>
      </w:r>
    </w:p>
    <w:p w14:paraId="16F84289" w14:textId="4D1D37A4" w:rsidR="00366F89" w:rsidRDefault="00366F89"/>
    <w:p w14:paraId="32AEFD8C" w14:textId="2A7ACAC4" w:rsidR="002E7E75" w:rsidRDefault="002E7E75" w:rsidP="002E7E75">
      <w:pPr>
        <w:pStyle w:val="IPPParagraphnumbering"/>
      </w:pPr>
      <w:r w:rsidRPr="002E7E75">
        <w:t>This paper was prepared by the IPPC Secretariat to provide the Technical Panel on Diagnostic Protocols (TPDP) a brief update on the</w:t>
      </w:r>
      <w:r>
        <w:t xml:space="preserve"> </w:t>
      </w:r>
      <w:r w:rsidR="00DC13E7">
        <w:t xml:space="preserve">recent activities of the </w:t>
      </w:r>
      <w:r>
        <w:t>Standards Committee (SC) as well as the</w:t>
      </w:r>
      <w:r w:rsidRPr="002E7E75">
        <w:t xml:space="preserve"> Diagnostic Laboratory Network</w:t>
      </w:r>
      <w:r w:rsidRPr="002E7E75">
        <w:rPr>
          <w:b/>
        </w:rPr>
        <w:t xml:space="preserve"> </w:t>
      </w:r>
      <w:r w:rsidRPr="002E7E75">
        <w:t>as one of the eight key development agenda items of the IPPC Strategic Framework 2020–2030</w:t>
      </w:r>
      <w:r>
        <w:t xml:space="preserve"> as it could potentially relate to the work of the TPDP</w:t>
      </w:r>
      <w:r w:rsidRPr="002E7E75">
        <w:t>.</w:t>
      </w:r>
    </w:p>
    <w:p w14:paraId="5E798E7D" w14:textId="64C1875E" w:rsidR="002E7E75" w:rsidRPr="002E7E75" w:rsidRDefault="002E7E75" w:rsidP="002E7E75">
      <w:pPr>
        <w:pStyle w:val="IPPHeading1"/>
      </w:pPr>
      <w:r>
        <w:t>Updates from the SC</w:t>
      </w:r>
    </w:p>
    <w:p w14:paraId="4F344126" w14:textId="08F6430E" w:rsidR="005B7977" w:rsidRDefault="00CF1718" w:rsidP="00755CA0">
      <w:pPr>
        <w:pStyle w:val="IPPParagraphnumbering"/>
      </w:pPr>
      <w:r>
        <w:t>Since the last meeting of the TPDP</w:t>
      </w:r>
      <w:r w:rsidR="00895D38">
        <w:rPr>
          <w:rStyle w:val="FootnoteReference"/>
        </w:rPr>
        <w:footnoteReference w:id="1"/>
      </w:r>
      <w:r>
        <w:t xml:space="preserve"> on April 202</w:t>
      </w:r>
      <w:r w:rsidR="00895D38">
        <w:t>2</w:t>
      </w:r>
      <w:r>
        <w:t>, the IPPC Standards Committee (SC) met virtually in May and July 202</w:t>
      </w:r>
      <w:r w:rsidR="00DB5702">
        <w:t>2</w:t>
      </w:r>
      <w:r>
        <w:t>.</w:t>
      </w:r>
      <w:r w:rsidR="00755CA0">
        <w:t xml:space="preserve"> </w:t>
      </w:r>
    </w:p>
    <w:p w14:paraId="5A5AF427" w14:textId="20A0E290" w:rsidR="00035E77" w:rsidRDefault="005B7977" w:rsidP="00057347">
      <w:pPr>
        <w:pStyle w:val="IPPParagraphnumbering"/>
      </w:pPr>
      <w:r>
        <w:t xml:space="preserve">At their May meeting, the SC approved </w:t>
      </w:r>
      <w:r w:rsidR="00DB5702">
        <w:t>four</w:t>
      </w:r>
      <w:r>
        <w:t xml:space="preserve"> draft ISPMs</w:t>
      </w:r>
      <w:r w:rsidR="00DB5702">
        <w:t xml:space="preserve">, including two draft DPs (Genus </w:t>
      </w:r>
      <w:proofErr w:type="spellStart"/>
      <w:r w:rsidR="00DB5702" w:rsidRPr="00DB5702">
        <w:rPr>
          <w:i/>
        </w:rPr>
        <w:t>Ceratitis</w:t>
      </w:r>
      <w:proofErr w:type="spellEnd"/>
      <w:r w:rsidR="00DB5702">
        <w:t xml:space="preserve"> (2016-001) and </w:t>
      </w:r>
      <w:proofErr w:type="spellStart"/>
      <w:r w:rsidR="00DB5702" w:rsidRPr="00DB5702">
        <w:rPr>
          <w:i/>
        </w:rPr>
        <w:t>Mononychelus</w:t>
      </w:r>
      <w:proofErr w:type="spellEnd"/>
      <w:r w:rsidR="00DB5702" w:rsidRPr="00DB5702">
        <w:rPr>
          <w:i/>
        </w:rPr>
        <w:t xml:space="preserve"> </w:t>
      </w:r>
      <w:proofErr w:type="spellStart"/>
      <w:r w:rsidR="00DB5702" w:rsidRPr="00DB5702">
        <w:rPr>
          <w:i/>
        </w:rPr>
        <w:t>tanajoa</w:t>
      </w:r>
      <w:proofErr w:type="spellEnd"/>
      <w:r w:rsidR="00DB5702">
        <w:t xml:space="preserve"> (2018-006)) </w:t>
      </w:r>
      <w:r>
        <w:t>for first consultation</w:t>
      </w:r>
      <w:r>
        <w:rPr>
          <w:rStyle w:val="FootnoteReference"/>
        </w:rPr>
        <w:footnoteReference w:id="2"/>
      </w:r>
      <w:r w:rsidRPr="005B7977">
        <w:rPr>
          <w:rStyle w:val="eop"/>
          <w:color w:val="000000"/>
          <w:szCs w:val="22"/>
          <w:shd w:val="clear" w:color="auto" w:fill="FFFFFF"/>
        </w:rPr>
        <w:t>.</w:t>
      </w:r>
      <w:r>
        <w:t xml:space="preserve"> </w:t>
      </w:r>
      <w:r w:rsidR="00DB5702">
        <w:t>In 2022</w:t>
      </w:r>
      <w:r w:rsidR="00035E77">
        <w:t xml:space="preserve"> there is a total of </w:t>
      </w:r>
      <w:r w:rsidR="00DB5702">
        <w:t xml:space="preserve">nine </w:t>
      </w:r>
      <w:r w:rsidR="00035E77">
        <w:t>draft ISPMs fo</w:t>
      </w:r>
      <w:r w:rsidR="00DB5702">
        <w:t>r first and second consultation</w:t>
      </w:r>
      <w:r w:rsidR="00035E77">
        <w:t>. The draft ISPMs (including the draft DP</w:t>
      </w:r>
      <w:r w:rsidR="00DB5702">
        <w:t>s</w:t>
      </w:r>
      <w:r w:rsidR="00035E77">
        <w:t xml:space="preserve">) are now available for commenting via the </w:t>
      </w:r>
      <w:hyperlink r:id="rId11" w:history="1">
        <w:r w:rsidR="00035E77" w:rsidRPr="00057347">
          <w:rPr>
            <w:rStyle w:val="Hyperlink"/>
          </w:rPr>
          <w:t>Online Commenting System (OCS)</w:t>
        </w:r>
      </w:hyperlink>
      <w:r w:rsidR="00035E77">
        <w:t xml:space="preserve"> until </w:t>
      </w:r>
      <w:r w:rsidR="00035E77" w:rsidRPr="00037FC2">
        <w:rPr>
          <w:b/>
        </w:rPr>
        <w:t>30 September 202</w:t>
      </w:r>
      <w:r w:rsidR="00DB5702">
        <w:rPr>
          <w:b/>
        </w:rPr>
        <w:t>2</w:t>
      </w:r>
      <w:r w:rsidR="00035E77">
        <w:t>.</w:t>
      </w:r>
    </w:p>
    <w:p w14:paraId="6244F165" w14:textId="21867B00" w:rsidR="00035E77" w:rsidRDefault="003A355D" w:rsidP="00035E77">
      <w:pPr>
        <w:pStyle w:val="IPPParagraphnumbering"/>
      </w:pPr>
      <w:r>
        <w:t>The purpose of the Ju</w:t>
      </w:r>
      <w:r w:rsidR="00DB5702">
        <w:t xml:space="preserve">ly </w:t>
      </w:r>
      <w:r>
        <w:t xml:space="preserve">meeting was to </w:t>
      </w:r>
      <w:r w:rsidR="00DB5702">
        <w:t xml:space="preserve">update the SC on the work of the </w:t>
      </w:r>
      <w:r w:rsidR="003E2F61">
        <w:t xml:space="preserve">IPPC </w:t>
      </w:r>
      <w:r w:rsidR="00DB5702">
        <w:t xml:space="preserve">technical panels (Technical Panel on the Glossary, Technical Panel on Diagnostic Protocols, Technical Panel on </w:t>
      </w:r>
      <w:proofErr w:type="spellStart"/>
      <w:r w:rsidR="00DB5702">
        <w:t>Phytosanitary</w:t>
      </w:r>
      <w:proofErr w:type="spellEnd"/>
      <w:r w:rsidR="00DB5702">
        <w:t xml:space="preserve"> Treatments and Technical Panel on Commodity Standards). For this, members of the </w:t>
      </w:r>
      <w:proofErr w:type="gramStart"/>
      <w:r w:rsidR="00DB5702">
        <w:t>technical</w:t>
      </w:r>
      <w:proofErr w:type="gramEnd"/>
      <w:r w:rsidR="00DB5702">
        <w:t xml:space="preserve"> panels were invited to attend the SC meeting</w:t>
      </w:r>
      <w:r w:rsidR="003E2F61">
        <w:t xml:space="preserve"> as observers and </w:t>
      </w:r>
      <w:proofErr w:type="spellStart"/>
      <w:r w:rsidR="003E2F61">
        <w:t>Ms</w:t>
      </w:r>
      <w:proofErr w:type="spellEnd"/>
      <w:r w:rsidR="003E2F61">
        <w:t xml:space="preserve"> Juliet Goldsmith joined the SC meeting</w:t>
      </w:r>
      <w:r w:rsidR="00DB5702">
        <w:t xml:space="preserve">.  </w:t>
      </w:r>
    </w:p>
    <w:p w14:paraId="3AC72707" w14:textId="77777777" w:rsidR="00807E96" w:rsidRDefault="003E2F61" w:rsidP="00807E96">
      <w:pPr>
        <w:pStyle w:val="IPPParagraphnumbering"/>
      </w:pPr>
      <w:r>
        <w:t>Regarding</w:t>
      </w:r>
      <w:r w:rsidR="00035E77">
        <w:t xml:space="preserve"> to the TPDP, the SC </w:t>
      </w:r>
      <w:r w:rsidR="00035E77" w:rsidRPr="003E2F61">
        <w:t>agree</w:t>
      </w:r>
      <w:r w:rsidRPr="003E2F61">
        <w:t>d</w:t>
      </w:r>
      <w:r w:rsidR="00035E77">
        <w:t xml:space="preserve"> </w:t>
      </w:r>
      <w:r w:rsidR="00D15CA7">
        <w:t xml:space="preserve">to </w:t>
      </w:r>
      <w:r w:rsidR="00035E77">
        <w:t xml:space="preserve">renew the membership of </w:t>
      </w:r>
      <w:proofErr w:type="spellStart"/>
      <w:r w:rsidR="00035E77">
        <w:t>Mr</w:t>
      </w:r>
      <w:proofErr w:type="spellEnd"/>
      <w:r w:rsidR="00035E77">
        <w:t xml:space="preserve"> </w:t>
      </w:r>
      <w:r w:rsidR="00D15CA7">
        <w:t>Norman BARR</w:t>
      </w:r>
      <w:r w:rsidR="00035E77">
        <w:t xml:space="preserve">, expert for </w:t>
      </w:r>
      <w:r w:rsidR="00D15CA7">
        <w:t xml:space="preserve">Entomology </w:t>
      </w:r>
      <w:r w:rsidR="00035E77">
        <w:t xml:space="preserve">from </w:t>
      </w:r>
      <w:r w:rsidR="00D15CA7">
        <w:t>the United States of America</w:t>
      </w:r>
      <w:r w:rsidR="00035E77">
        <w:t xml:space="preserve">, to a </w:t>
      </w:r>
      <w:r w:rsidR="00D15CA7">
        <w:t>third</w:t>
      </w:r>
      <w:r w:rsidR="00035E77">
        <w:t xml:space="preserve"> term on the TPDP.</w:t>
      </w:r>
      <w:r>
        <w:t xml:space="preserve"> The SC also agreed to open a call for virologist and asked the TPDP to discuss if additional experts in other disciplines, for example bacteriology, would be beneficial for greater support to the panel’s work. The SC noted the activities that the TPDP undertook in the last year and also noted the tentative work plan for the next year, in which it was explained that it is foreseen that the volume of work of the panel will increase in the upcoming years.  </w:t>
      </w:r>
      <w:r w:rsidR="00807E96">
        <w:t>See the attachment 1 to the paper presented to the SC.</w:t>
      </w:r>
    </w:p>
    <w:p w14:paraId="21A4E701" w14:textId="65244064" w:rsidR="002E12F0" w:rsidRDefault="00755CA0" w:rsidP="00807E96">
      <w:pPr>
        <w:pStyle w:val="IPPParagraphnumbering"/>
      </w:pPr>
      <w:r>
        <w:t xml:space="preserve">The </w:t>
      </w:r>
      <w:r w:rsidR="002E7E75">
        <w:t xml:space="preserve">SC </w:t>
      </w:r>
      <w:r>
        <w:t xml:space="preserve">meeting reports are available to download and review here: </w:t>
      </w:r>
      <w:hyperlink r:id="rId12" w:history="1">
        <w:r w:rsidRPr="00B66277">
          <w:rPr>
            <w:rStyle w:val="Hyperlink"/>
          </w:rPr>
          <w:t>https://www.ippc.int/en/core-activities/standards-setting/standards-committee/</w:t>
        </w:r>
      </w:hyperlink>
      <w:r>
        <w:t xml:space="preserve"> however, please note the report for the July meeting </w:t>
      </w:r>
      <w:r w:rsidR="00D15CA7">
        <w:t>is</w:t>
      </w:r>
      <w:r>
        <w:t xml:space="preserve"> not yet available.</w:t>
      </w:r>
    </w:p>
    <w:p w14:paraId="26D78BC3" w14:textId="7A580D43" w:rsidR="003423BD" w:rsidRPr="003423BD" w:rsidRDefault="003423BD" w:rsidP="000873D7">
      <w:pPr>
        <w:pStyle w:val="IPPHeading2"/>
      </w:pPr>
      <w:r>
        <w:t>Other updates</w:t>
      </w:r>
    </w:p>
    <w:p w14:paraId="03CFE270" w14:textId="31D18698" w:rsidR="00A679CF" w:rsidRPr="00541A2C" w:rsidRDefault="00D15CA7" w:rsidP="00541A2C">
      <w:pPr>
        <w:pStyle w:val="IPPParagraphnumbering"/>
      </w:pPr>
      <w:r w:rsidRPr="00541A2C">
        <w:rPr>
          <w:b/>
        </w:rPr>
        <w:t>Diagnostic Laboratory Network Specialist</w:t>
      </w:r>
      <w:r w:rsidR="00B63F48" w:rsidRPr="00541A2C">
        <w:rPr>
          <w:b/>
        </w:rPr>
        <w:t>.</w:t>
      </w:r>
      <w:r w:rsidR="00B63F48" w:rsidRPr="00541A2C">
        <w:t xml:space="preserve"> </w:t>
      </w:r>
      <w:r w:rsidR="00A679CF" w:rsidRPr="00541A2C">
        <w:t xml:space="preserve">A </w:t>
      </w:r>
      <w:hyperlink r:id="rId13" w:history="1">
        <w:r w:rsidR="00A679CF" w:rsidRPr="00541A2C">
          <w:rPr>
            <w:rStyle w:val="Hyperlink"/>
            <w:color w:val="auto"/>
            <w:u w:val="none"/>
          </w:rPr>
          <w:t>vacancy announcement for international consultant for a Diagnostic Laboratory Specialist</w:t>
        </w:r>
      </w:hyperlink>
      <w:r w:rsidR="00A679CF" w:rsidRPr="00541A2C">
        <w:t xml:space="preserve"> was made and the deadline for applications ended on 08 July. The main responsibility of the Diagnostic Laboratory Specialist is to gather information, analyze and make recommendations for the design of a global network of diagnostic laboratory services for plant pests. This is to support the work of the on the implementation of the IPPC Strategic Framework 2020-2030 and the  development agenda item on Laboratory Diagnostic Networking.</w:t>
      </w:r>
      <w:r w:rsidR="00EB7566">
        <w:t xml:space="preserve"> </w:t>
      </w:r>
    </w:p>
    <w:p w14:paraId="5476E333" w14:textId="6E9BC096" w:rsidR="00A679CF" w:rsidRPr="00541A2C" w:rsidRDefault="00A679CF" w:rsidP="001823F6">
      <w:pPr>
        <w:pStyle w:val="IPPParagraphnumbering"/>
      </w:pPr>
      <w:r w:rsidRPr="001823F6">
        <w:rPr>
          <w:b/>
        </w:rPr>
        <w:t>International Plant Health Conference (IPHC).</w:t>
      </w:r>
      <w:r w:rsidRPr="00541A2C">
        <w:t xml:space="preserve"> The IPHC will be held from 21 to 23 September 2022 in London, UK. The IPPC Secretariat and the Department for Environment, Food &amp; Rural Affairs (DEFRA) of the UK are co-organizing the Conference. </w:t>
      </w:r>
      <w:r w:rsidR="001823F6">
        <w:t xml:space="preserve">Registration is open and more information can be found at: </w:t>
      </w:r>
      <w:hyperlink r:id="rId14" w:history="1">
        <w:r w:rsidR="00807E96" w:rsidRPr="007F139D">
          <w:rPr>
            <w:rStyle w:val="Hyperlink"/>
          </w:rPr>
          <w:t>https://www.ippc.int/en/news/save-the-date-2/</w:t>
        </w:r>
      </w:hyperlink>
      <w:r w:rsidR="00807E96">
        <w:t xml:space="preserve"> </w:t>
      </w:r>
      <w:r w:rsidR="001823F6">
        <w:t xml:space="preserve"> </w:t>
      </w:r>
    </w:p>
    <w:p w14:paraId="321D4164" w14:textId="78F67F14" w:rsidR="00A679CF" w:rsidRDefault="00A679CF" w:rsidP="00A91AC9">
      <w:pPr>
        <w:pStyle w:val="IPPParagraphnumbering"/>
        <w:rPr>
          <w:rFonts w:eastAsia="Times New Roman"/>
        </w:rPr>
      </w:pPr>
      <w:r>
        <w:lastRenderedPageBreak/>
        <w:t xml:space="preserve">The IPHC has the objective to provide a forum to discuss global scientific, technical and regulatory plant health issues in a conference setting and at the same time advocate for plant health and food security to the media and general public. </w:t>
      </w:r>
      <w:r>
        <w:rPr>
          <w:color w:val="000000"/>
          <w:shd w:val="clear" w:color="auto" w:fill="FFFFFF"/>
        </w:rPr>
        <w:t>The conference is planned to cover a large spectrum of plant health issues and is designed to attract participants on a scientific, technical or regulatory level. In addition, the aim is also to advocate plant health and the outcomes of the conference to the general public and is oriented towards attaining the UN Sustainable Development Goals (especially SDGs 1</w:t>
      </w:r>
      <w:r w:rsidR="001823F6">
        <w:rPr>
          <w:color w:val="000000"/>
          <w:shd w:val="clear" w:color="auto" w:fill="FFFFFF"/>
        </w:rPr>
        <w:t xml:space="preserve">, </w:t>
      </w:r>
      <w:r>
        <w:rPr>
          <w:color w:val="000000"/>
          <w:shd w:val="clear" w:color="auto" w:fill="FFFFFF"/>
        </w:rPr>
        <w:t>2</w:t>
      </w:r>
      <w:r w:rsidR="001823F6">
        <w:rPr>
          <w:color w:val="000000"/>
          <w:shd w:val="clear" w:color="auto" w:fill="FFFFFF"/>
        </w:rPr>
        <w:t xml:space="preserve">, </w:t>
      </w:r>
      <w:r>
        <w:rPr>
          <w:color w:val="000000"/>
          <w:shd w:val="clear" w:color="auto" w:fill="FFFFFF"/>
        </w:rPr>
        <w:t>13</w:t>
      </w:r>
      <w:r w:rsidR="001823F6">
        <w:rPr>
          <w:color w:val="000000"/>
          <w:shd w:val="clear" w:color="auto" w:fill="FFFFFF"/>
        </w:rPr>
        <w:t xml:space="preserve"> and </w:t>
      </w:r>
      <w:r>
        <w:rPr>
          <w:color w:val="000000"/>
          <w:shd w:val="clear" w:color="auto" w:fill="FFFFFF"/>
        </w:rPr>
        <w:t xml:space="preserve">15). </w:t>
      </w:r>
      <w:r w:rsidR="00A91AC9">
        <w:rPr>
          <w:color w:val="000000"/>
          <w:shd w:val="clear" w:color="auto" w:fill="FFFFFF"/>
        </w:rPr>
        <w:t>The</w:t>
      </w:r>
      <w:r>
        <w:rPr>
          <w:rFonts w:eastAsia="Times New Roman"/>
        </w:rPr>
        <w:t xml:space="preserve"> link to the preliminary program is </w:t>
      </w:r>
      <w:hyperlink r:id="rId15" w:history="1">
        <w:r>
          <w:rPr>
            <w:rStyle w:val="Hyperlink"/>
            <w:rFonts w:eastAsia="Times New Roman"/>
            <w:lang w:val="en-GB"/>
          </w:rPr>
          <w:t>https://assets.ippc.int/static/media/files/event/2022/06/09/IPHC_Public_Programme_2022-06-08.pdf</w:t>
        </w:r>
      </w:hyperlink>
    </w:p>
    <w:p w14:paraId="077E8392" w14:textId="3599BBD9" w:rsidR="00A679CF" w:rsidRDefault="00A679CF" w:rsidP="00367E28">
      <w:pPr>
        <w:pStyle w:val="IPPParagraphnumbering"/>
      </w:pPr>
      <w:r w:rsidRPr="00A91AC9">
        <w:rPr>
          <w:shd w:val="clear" w:color="auto" w:fill="FFFFFF"/>
        </w:rPr>
        <w:t>The conference will be split into three main themes:</w:t>
      </w:r>
      <w:r w:rsidRPr="00A91AC9">
        <w:rPr>
          <w:b/>
          <w:bCs/>
          <w:shd w:val="clear" w:color="auto" w:fill="FFFFFF"/>
        </w:rPr>
        <w:t xml:space="preserve"> </w:t>
      </w:r>
      <w:r w:rsidRPr="00A91AC9">
        <w:rPr>
          <w:shd w:val="clear" w:color="auto" w:fill="FFFFFF"/>
        </w:rPr>
        <w:t xml:space="preserve">Food Security (day 1), Environmental Protection (day 2) and Safe Trade (day 3). </w:t>
      </w:r>
      <w:r>
        <w:t xml:space="preserve">In order to attract all target audiences the conference is structured into separate activities including three parallel sessions </w:t>
      </w:r>
      <w:r w:rsidRPr="00A91AC9">
        <w:rPr>
          <w:u w:val="single"/>
        </w:rPr>
        <w:t>each day</w:t>
      </w:r>
      <w:r>
        <w:t xml:space="preserve">: </w:t>
      </w:r>
    </w:p>
    <w:p w14:paraId="1B8A3AF4" w14:textId="77777777" w:rsidR="00A679CF" w:rsidRDefault="00A679CF" w:rsidP="00807E96">
      <w:pPr>
        <w:pStyle w:val="IPPBullet1"/>
        <w:spacing w:after="0"/>
        <w:ind w:left="562" w:hanging="562"/>
      </w:pPr>
      <w:r>
        <w:t>All audiences – plenary session every day (live streamed and in all FAO official languages)</w:t>
      </w:r>
    </w:p>
    <w:p w14:paraId="21045DFC" w14:textId="77777777" w:rsidR="00A679CF" w:rsidRDefault="00A679CF" w:rsidP="00807E96">
      <w:pPr>
        <w:pStyle w:val="IPPBullet1"/>
        <w:spacing w:after="0"/>
        <w:ind w:left="562" w:hanging="562"/>
      </w:pPr>
      <w:r>
        <w:t xml:space="preserve">Scientific audience – scientific symposium </w:t>
      </w:r>
    </w:p>
    <w:p w14:paraId="3F9660FE" w14:textId="77777777" w:rsidR="00A679CF" w:rsidRDefault="00A679CF" w:rsidP="00807E96">
      <w:pPr>
        <w:pStyle w:val="IPPBullet1"/>
        <w:spacing w:after="0"/>
        <w:ind w:left="562" w:hanging="562"/>
      </w:pPr>
      <w:r>
        <w:t xml:space="preserve">Regulatory audience – regulatory symposium </w:t>
      </w:r>
    </w:p>
    <w:p w14:paraId="0713BEF4" w14:textId="77777777" w:rsidR="00A679CF" w:rsidRDefault="00A679CF" w:rsidP="00807E96">
      <w:pPr>
        <w:pStyle w:val="IPPBullet1"/>
        <w:spacing w:after="0"/>
        <w:ind w:left="562" w:hanging="562"/>
      </w:pPr>
      <w:r>
        <w:t xml:space="preserve">Technical audience – workshop/panel discussion </w:t>
      </w:r>
    </w:p>
    <w:p w14:paraId="75F327F4" w14:textId="0F843BC4" w:rsidR="00A679CF" w:rsidRDefault="00A679CF" w:rsidP="00807E96">
      <w:pPr>
        <w:pStyle w:val="IPPParagraphnumbering"/>
        <w:spacing w:before="120" w:after="120"/>
        <w:ind w:hanging="475"/>
      </w:pPr>
      <w:r>
        <w:t>There will be a scientific session on the first day on “Plant pests’ diagnostics and food security”, on 21 September 2022 at 14:00 – 16:30 (with a coffee break in the middle</w:t>
      </w:r>
      <w:r w:rsidR="00A91AC9">
        <w:t>, as the draft program presented in Table 1</w:t>
      </w:r>
      <w:r>
        <w:t>).</w:t>
      </w:r>
      <w:r w:rsidR="00A91AC9">
        <w:t xml:space="preserve"> </w:t>
      </w:r>
      <w:r>
        <w:t xml:space="preserve">The proposal for the session is to have up to six speakers and then some time for a discussion / Q&amp;A. </w:t>
      </w:r>
    </w:p>
    <w:p w14:paraId="0C50A166" w14:textId="6DBAAB78" w:rsidR="00A679CF" w:rsidRPr="00807E96" w:rsidRDefault="00A679CF" w:rsidP="00541A2C">
      <w:pPr>
        <w:pStyle w:val="IPPParagraphnumbering"/>
      </w:pPr>
      <w:r w:rsidRPr="00807E96">
        <w:t xml:space="preserve">The IPHC steering committee is planning to have a call for posters. </w:t>
      </w:r>
      <w:r w:rsidR="00A91AC9" w:rsidRPr="00807E96">
        <w:t>The IPPC Secretariat w</w:t>
      </w:r>
      <w:r w:rsidRPr="00807E96">
        <w:t xml:space="preserve">ill confirm this information and </w:t>
      </w:r>
      <w:r w:rsidR="00541A2C" w:rsidRPr="00807E96">
        <w:t>provide a feedback to the TPDP</w:t>
      </w:r>
      <w:r w:rsidRPr="00807E96">
        <w:t xml:space="preserve">. </w:t>
      </w:r>
    </w:p>
    <w:p w14:paraId="17CE99D7" w14:textId="7016FCEE" w:rsidR="00A91AC9" w:rsidRPr="000873D7" w:rsidRDefault="00A91AC9" w:rsidP="00A91AC9">
      <w:pPr>
        <w:pStyle w:val="IPPParagraphnumbering"/>
        <w:numPr>
          <w:ilvl w:val="0"/>
          <w:numId w:val="0"/>
        </w:numPr>
        <w:rPr>
          <w:szCs w:val="22"/>
        </w:rPr>
      </w:pPr>
      <w:r w:rsidRPr="000873D7">
        <w:rPr>
          <w:b/>
          <w:szCs w:val="22"/>
        </w:rPr>
        <w:t>Table 1.</w:t>
      </w:r>
      <w:r w:rsidRPr="000873D7">
        <w:rPr>
          <w:szCs w:val="22"/>
        </w:rPr>
        <w:t xml:space="preserve"> </w:t>
      </w:r>
      <w:r w:rsidR="000873D7" w:rsidRPr="000873D7">
        <w:rPr>
          <w:szCs w:val="22"/>
        </w:rPr>
        <w:t xml:space="preserve">Scientific session on “Plant pests’ diagnostics and food security” of the IPHC. </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8"/>
        <w:gridCol w:w="606"/>
        <w:gridCol w:w="1664"/>
        <w:gridCol w:w="6747"/>
      </w:tblGrid>
      <w:tr w:rsidR="001823F6" w:rsidRPr="00C23254" w14:paraId="435F9CC8" w14:textId="77777777" w:rsidTr="00807E96">
        <w:trPr>
          <w:jc w:val="center"/>
        </w:trPr>
        <w:tc>
          <w:tcPr>
            <w:tcW w:w="878" w:type="dxa"/>
            <w:shd w:val="clear" w:color="auto" w:fill="E7E6E6" w:themeFill="background2"/>
            <w:tcMar>
              <w:top w:w="0" w:type="dxa"/>
              <w:left w:w="108" w:type="dxa"/>
              <w:bottom w:w="0" w:type="dxa"/>
              <w:right w:w="108" w:type="dxa"/>
            </w:tcMar>
            <w:hideMark/>
          </w:tcPr>
          <w:p w14:paraId="6AFC3DCD" w14:textId="47DE6DCC" w:rsidR="001823F6" w:rsidRPr="00C23254" w:rsidRDefault="001823F6">
            <w:pPr>
              <w:rPr>
                <w:rFonts w:ascii="Arial" w:hAnsi="Arial" w:cs="Arial"/>
                <w:b/>
                <w:bCs/>
                <w:color w:val="000000"/>
                <w:sz w:val="18"/>
                <w:szCs w:val="18"/>
              </w:rPr>
            </w:pPr>
            <w:r w:rsidRPr="00C23254">
              <w:rPr>
                <w:rFonts w:ascii="Arial" w:hAnsi="Arial" w:cs="Arial"/>
                <w:b/>
                <w:bCs/>
                <w:color w:val="000000"/>
                <w:sz w:val="18"/>
                <w:szCs w:val="18"/>
              </w:rPr>
              <w:t>Time</w:t>
            </w:r>
          </w:p>
        </w:tc>
        <w:tc>
          <w:tcPr>
            <w:tcW w:w="606" w:type="dxa"/>
            <w:shd w:val="clear" w:color="auto" w:fill="E7E6E6" w:themeFill="background2"/>
            <w:tcMar>
              <w:top w:w="0" w:type="dxa"/>
              <w:left w:w="108" w:type="dxa"/>
              <w:bottom w:w="0" w:type="dxa"/>
              <w:right w:w="108" w:type="dxa"/>
            </w:tcMar>
            <w:vAlign w:val="center"/>
          </w:tcPr>
          <w:p w14:paraId="69DBE305" w14:textId="77777777" w:rsidR="001823F6" w:rsidRPr="00C23254" w:rsidRDefault="001823F6">
            <w:pPr>
              <w:jc w:val="center"/>
              <w:rPr>
                <w:rFonts w:ascii="Arial" w:hAnsi="Arial" w:cs="Arial"/>
                <w:b/>
                <w:bCs/>
                <w:sz w:val="18"/>
                <w:szCs w:val="18"/>
              </w:rPr>
            </w:pPr>
          </w:p>
        </w:tc>
        <w:tc>
          <w:tcPr>
            <w:tcW w:w="1664" w:type="dxa"/>
            <w:shd w:val="clear" w:color="auto" w:fill="E7E6E6" w:themeFill="background2"/>
            <w:tcMar>
              <w:top w:w="0" w:type="dxa"/>
              <w:left w:w="108" w:type="dxa"/>
              <w:bottom w:w="0" w:type="dxa"/>
              <w:right w:w="108" w:type="dxa"/>
            </w:tcMar>
            <w:hideMark/>
          </w:tcPr>
          <w:p w14:paraId="33A13945" w14:textId="77777777" w:rsidR="001823F6" w:rsidRPr="00C23254" w:rsidRDefault="001823F6">
            <w:pPr>
              <w:rPr>
                <w:rFonts w:ascii="Arial" w:hAnsi="Arial" w:cs="Arial"/>
                <w:b/>
                <w:bCs/>
                <w:sz w:val="18"/>
                <w:szCs w:val="18"/>
              </w:rPr>
            </w:pPr>
            <w:proofErr w:type="spellStart"/>
            <w:r w:rsidRPr="00C23254">
              <w:rPr>
                <w:rFonts w:ascii="Arial" w:hAnsi="Arial" w:cs="Arial"/>
                <w:b/>
                <w:bCs/>
                <w:color w:val="000000"/>
                <w:sz w:val="18"/>
                <w:szCs w:val="18"/>
              </w:rPr>
              <w:t>Panelist</w:t>
            </w:r>
            <w:proofErr w:type="spellEnd"/>
          </w:p>
        </w:tc>
        <w:tc>
          <w:tcPr>
            <w:tcW w:w="6747" w:type="dxa"/>
            <w:shd w:val="clear" w:color="auto" w:fill="E7E6E6" w:themeFill="background2"/>
            <w:tcMar>
              <w:top w:w="0" w:type="dxa"/>
              <w:left w:w="108" w:type="dxa"/>
              <w:bottom w:w="0" w:type="dxa"/>
              <w:right w:w="108" w:type="dxa"/>
            </w:tcMar>
            <w:hideMark/>
          </w:tcPr>
          <w:p w14:paraId="4B1EC89C" w14:textId="7C414C43" w:rsidR="001823F6" w:rsidRPr="00C23254" w:rsidRDefault="001823F6">
            <w:pPr>
              <w:rPr>
                <w:rFonts w:ascii="Arial" w:hAnsi="Arial" w:cs="Arial"/>
                <w:b/>
                <w:bCs/>
                <w:color w:val="000000"/>
                <w:sz w:val="18"/>
                <w:szCs w:val="18"/>
              </w:rPr>
            </w:pPr>
            <w:r w:rsidRPr="00C23254">
              <w:rPr>
                <w:rFonts w:ascii="Arial" w:hAnsi="Arial" w:cs="Arial"/>
                <w:b/>
                <w:bCs/>
                <w:color w:val="000000"/>
                <w:sz w:val="18"/>
                <w:szCs w:val="18"/>
              </w:rPr>
              <w:t>Main topic</w:t>
            </w:r>
            <w:r>
              <w:rPr>
                <w:rFonts w:ascii="Arial" w:hAnsi="Arial" w:cs="Arial"/>
                <w:b/>
                <w:bCs/>
                <w:color w:val="000000"/>
                <w:sz w:val="18"/>
                <w:szCs w:val="18"/>
              </w:rPr>
              <w:t xml:space="preserve"> </w:t>
            </w:r>
            <w:r w:rsidRPr="00C23254">
              <w:rPr>
                <w:rFonts w:ascii="Arial" w:hAnsi="Arial" w:cs="Arial"/>
                <w:b/>
                <w:bCs/>
                <w:color w:val="000000"/>
                <w:sz w:val="18"/>
                <w:szCs w:val="18"/>
              </w:rPr>
              <w:t>/</w:t>
            </w:r>
            <w:r>
              <w:rPr>
                <w:rFonts w:ascii="Arial" w:hAnsi="Arial" w:cs="Arial"/>
                <w:b/>
                <w:bCs/>
                <w:color w:val="000000"/>
                <w:sz w:val="18"/>
                <w:szCs w:val="18"/>
              </w:rPr>
              <w:t xml:space="preserve"> </w:t>
            </w:r>
            <w:r w:rsidRPr="00C23254">
              <w:rPr>
                <w:rFonts w:ascii="Arial" w:hAnsi="Arial" w:cs="Arial"/>
                <w:b/>
                <w:bCs/>
                <w:color w:val="000000"/>
                <w:sz w:val="18"/>
                <w:szCs w:val="18"/>
              </w:rPr>
              <w:t>theme</w:t>
            </w:r>
          </w:p>
        </w:tc>
      </w:tr>
      <w:tr w:rsidR="001823F6" w:rsidRPr="00C23254" w14:paraId="331F6B88" w14:textId="77777777" w:rsidTr="00807E96">
        <w:trPr>
          <w:jc w:val="center"/>
        </w:trPr>
        <w:tc>
          <w:tcPr>
            <w:tcW w:w="878" w:type="dxa"/>
            <w:tcMar>
              <w:top w:w="0" w:type="dxa"/>
              <w:left w:w="108" w:type="dxa"/>
              <w:bottom w:w="0" w:type="dxa"/>
              <w:right w:w="108" w:type="dxa"/>
            </w:tcMar>
            <w:vAlign w:val="center"/>
            <w:hideMark/>
          </w:tcPr>
          <w:p w14:paraId="460E7A00" w14:textId="77777777" w:rsidR="001823F6" w:rsidRPr="00C23254" w:rsidRDefault="001823F6">
            <w:pPr>
              <w:rPr>
                <w:rFonts w:ascii="Arial" w:hAnsi="Arial" w:cs="Arial"/>
                <w:sz w:val="18"/>
                <w:szCs w:val="18"/>
              </w:rPr>
            </w:pPr>
            <w:r w:rsidRPr="00C23254">
              <w:rPr>
                <w:rFonts w:ascii="Arial" w:hAnsi="Arial" w:cs="Arial"/>
                <w:color w:val="000000"/>
                <w:sz w:val="18"/>
                <w:szCs w:val="18"/>
              </w:rPr>
              <w:t>14.00-14.20</w:t>
            </w:r>
          </w:p>
        </w:tc>
        <w:tc>
          <w:tcPr>
            <w:tcW w:w="606" w:type="dxa"/>
            <w:tcMar>
              <w:top w:w="0" w:type="dxa"/>
              <w:left w:w="108" w:type="dxa"/>
              <w:bottom w:w="0" w:type="dxa"/>
              <w:right w:w="108" w:type="dxa"/>
            </w:tcMar>
            <w:vAlign w:val="center"/>
            <w:hideMark/>
          </w:tcPr>
          <w:p w14:paraId="346B2792" w14:textId="77777777" w:rsidR="001823F6" w:rsidRPr="00C23254" w:rsidRDefault="001823F6">
            <w:pPr>
              <w:jc w:val="center"/>
              <w:rPr>
                <w:rFonts w:ascii="Arial" w:hAnsi="Arial" w:cs="Arial"/>
                <w:sz w:val="18"/>
                <w:szCs w:val="18"/>
              </w:rPr>
            </w:pPr>
            <w:r w:rsidRPr="00C23254">
              <w:rPr>
                <w:rFonts w:ascii="Arial" w:hAnsi="Arial" w:cs="Arial"/>
                <w:sz w:val="18"/>
                <w:szCs w:val="18"/>
              </w:rPr>
              <w:t>1</w:t>
            </w:r>
          </w:p>
        </w:tc>
        <w:tc>
          <w:tcPr>
            <w:tcW w:w="1664" w:type="dxa"/>
            <w:tcMar>
              <w:top w:w="0" w:type="dxa"/>
              <w:left w:w="108" w:type="dxa"/>
              <w:bottom w:w="0" w:type="dxa"/>
              <w:right w:w="108" w:type="dxa"/>
            </w:tcMar>
            <w:vAlign w:val="center"/>
            <w:hideMark/>
          </w:tcPr>
          <w:p w14:paraId="0DD9D027" w14:textId="77777777" w:rsidR="001823F6" w:rsidRPr="00C23254" w:rsidRDefault="001823F6">
            <w:pPr>
              <w:rPr>
                <w:rFonts w:ascii="Arial" w:hAnsi="Arial" w:cs="Arial"/>
                <w:sz w:val="18"/>
                <w:szCs w:val="18"/>
              </w:rPr>
            </w:pPr>
            <w:r w:rsidRPr="00C23254">
              <w:rPr>
                <w:rFonts w:ascii="Arial" w:hAnsi="Arial" w:cs="Arial"/>
                <w:sz w:val="18"/>
                <w:szCs w:val="18"/>
              </w:rPr>
              <w:t>IPPC and EPPO Secretariats</w:t>
            </w:r>
          </w:p>
        </w:tc>
        <w:tc>
          <w:tcPr>
            <w:tcW w:w="6747" w:type="dxa"/>
            <w:tcMar>
              <w:top w:w="0" w:type="dxa"/>
              <w:left w:w="108" w:type="dxa"/>
              <w:bottom w:w="0" w:type="dxa"/>
              <w:right w:w="108" w:type="dxa"/>
            </w:tcMar>
            <w:vAlign w:val="center"/>
          </w:tcPr>
          <w:p w14:paraId="78131FE9" w14:textId="77777777" w:rsidR="001823F6" w:rsidRPr="00C23254" w:rsidRDefault="001823F6" w:rsidP="00A679CF">
            <w:pPr>
              <w:numPr>
                <w:ilvl w:val="0"/>
                <w:numId w:val="28"/>
              </w:numPr>
              <w:contextualSpacing/>
              <w:jc w:val="left"/>
              <w:rPr>
                <w:rFonts w:ascii="Arial" w:hAnsi="Arial" w:cs="Arial"/>
                <w:sz w:val="18"/>
                <w:szCs w:val="18"/>
              </w:rPr>
            </w:pPr>
            <w:r w:rsidRPr="00C23254">
              <w:rPr>
                <w:rFonts w:ascii="Arial" w:hAnsi="Arial" w:cs="Arial"/>
                <w:color w:val="000000"/>
                <w:sz w:val="18"/>
                <w:szCs w:val="18"/>
              </w:rPr>
              <w:t>Welcome and introduction to the scientific symposium</w:t>
            </w:r>
          </w:p>
          <w:p w14:paraId="10BC333F" w14:textId="4F346D8F" w:rsidR="001823F6" w:rsidRPr="00C23254" w:rsidRDefault="001823F6" w:rsidP="00A679CF">
            <w:pPr>
              <w:numPr>
                <w:ilvl w:val="0"/>
                <w:numId w:val="28"/>
              </w:numPr>
              <w:contextualSpacing/>
              <w:jc w:val="left"/>
              <w:rPr>
                <w:rFonts w:ascii="Arial" w:hAnsi="Arial" w:cs="Arial"/>
                <w:sz w:val="18"/>
                <w:szCs w:val="18"/>
              </w:rPr>
            </w:pPr>
            <w:r w:rsidRPr="00C23254">
              <w:rPr>
                <w:rFonts w:ascii="Arial" w:hAnsi="Arial" w:cs="Arial"/>
                <w:color w:val="000000"/>
                <w:sz w:val="18"/>
                <w:szCs w:val="18"/>
              </w:rPr>
              <w:t>Why does it matter plant pest diagnosis</w:t>
            </w:r>
            <w:r w:rsidR="00807E96">
              <w:rPr>
                <w:rFonts w:ascii="Arial" w:hAnsi="Arial" w:cs="Arial"/>
                <w:color w:val="000000"/>
                <w:sz w:val="18"/>
                <w:szCs w:val="18"/>
              </w:rPr>
              <w:t xml:space="preserve"> and food security</w:t>
            </w:r>
            <w:r w:rsidRPr="00C23254">
              <w:rPr>
                <w:rFonts w:ascii="Arial" w:hAnsi="Arial" w:cs="Arial"/>
                <w:color w:val="000000"/>
                <w:sz w:val="18"/>
                <w:szCs w:val="18"/>
              </w:rPr>
              <w:t xml:space="preserve">? </w:t>
            </w:r>
          </w:p>
          <w:p w14:paraId="1F06A645" w14:textId="77777777" w:rsidR="001823F6" w:rsidRPr="00C23254" w:rsidRDefault="001823F6">
            <w:pPr>
              <w:rPr>
                <w:rFonts w:ascii="Arial" w:hAnsi="Arial" w:cs="Arial"/>
                <w:sz w:val="18"/>
                <w:szCs w:val="18"/>
              </w:rPr>
            </w:pPr>
          </w:p>
        </w:tc>
      </w:tr>
      <w:tr w:rsidR="001823F6" w:rsidRPr="00C23254" w14:paraId="1948D4F6" w14:textId="77777777" w:rsidTr="00807E96">
        <w:trPr>
          <w:jc w:val="center"/>
        </w:trPr>
        <w:tc>
          <w:tcPr>
            <w:tcW w:w="878" w:type="dxa"/>
            <w:tcMar>
              <w:top w:w="0" w:type="dxa"/>
              <w:left w:w="108" w:type="dxa"/>
              <w:bottom w:w="0" w:type="dxa"/>
              <w:right w:w="108" w:type="dxa"/>
            </w:tcMar>
            <w:vAlign w:val="center"/>
            <w:hideMark/>
          </w:tcPr>
          <w:p w14:paraId="576D2077" w14:textId="77777777" w:rsidR="001823F6" w:rsidRPr="00C23254" w:rsidRDefault="001823F6">
            <w:pPr>
              <w:rPr>
                <w:rFonts w:ascii="Arial" w:hAnsi="Arial" w:cs="Arial"/>
                <w:sz w:val="18"/>
                <w:szCs w:val="18"/>
              </w:rPr>
            </w:pPr>
            <w:r w:rsidRPr="00C23254">
              <w:rPr>
                <w:rFonts w:ascii="Arial" w:hAnsi="Arial" w:cs="Arial"/>
                <w:color w:val="000000"/>
                <w:sz w:val="18"/>
                <w:szCs w:val="18"/>
              </w:rPr>
              <w:t>14.20-14.30</w:t>
            </w:r>
          </w:p>
        </w:tc>
        <w:tc>
          <w:tcPr>
            <w:tcW w:w="606" w:type="dxa"/>
            <w:tcMar>
              <w:top w:w="0" w:type="dxa"/>
              <w:left w:w="108" w:type="dxa"/>
              <w:bottom w:w="0" w:type="dxa"/>
              <w:right w:w="108" w:type="dxa"/>
            </w:tcMar>
            <w:vAlign w:val="center"/>
            <w:hideMark/>
          </w:tcPr>
          <w:p w14:paraId="108349D4" w14:textId="77777777" w:rsidR="001823F6" w:rsidRPr="00C23254" w:rsidRDefault="001823F6">
            <w:pPr>
              <w:jc w:val="center"/>
              <w:rPr>
                <w:rFonts w:ascii="Arial" w:hAnsi="Arial" w:cs="Arial"/>
                <w:sz w:val="18"/>
                <w:szCs w:val="18"/>
              </w:rPr>
            </w:pPr>
            <w:r w:rsidRPr="00C23254">
              <w:rPr>
                <w:rFonts w:ascii="Arial" w:hAnsi="Arial" w:cs="Arial"/>
                <w:color w:val="000000"/>
                <w:sz w:val="18"/>
                <w:szCs w:val="18"/>
              </w:rPr>
              <w:t>2</w:t>
            </w:r>
          </w:p>
        </w:tc>
        <w:tc>
          <w:tcPr>
            <w:tcW w:w="1664" w:type="dxa"/>
            <w:tcMar>
              <w:top w:w="0" w:type="dxa"/>
              <w:left w:w="108" w:type="dxa"/>
              <w:bottom w:w="0" w:type="dxa"/>
              <w:right w:w="108" w:type="dxa"/>
            </w:tcMar>
            <w:vAlign w:val="center"/>
            <w:hideMark/>
          </w:tcPr>
          <w:p w14:paraId="17B40044" w14:textId="387AE775" w:rsidR="001823F6" w:rsidRPr="00C23254" w:rsidRDefault="001823F6" w:rsidP="00EB7566">
            <w:pPr>
              <w:rPr>
                <w:rFonts w:ascii="Arial" w:hAnsi="Arial" w:cs="Arial"/>
                <w:sz w:val="18"/>
                <w:szCs w:val="18"/>
              </w:rPr>
            </w:pPr>
            <w:r w:rsidRPr="00C23254">
              <w:rPr>
                <w:rFonts w:ascii="Arial" w:hAnsi="Arial" w:cs="Arial"/>
                <w:color w:val="000000"/>
                <w:sz w:val="18"/>
                <w:szCs w:val="18"/>
              </w:rPr>
              <w:t xml:space="preserve">Brendan </w:t>
            </w:r>
            <w:proofErr w:type="spellStart"/>
            <w:r w:rsidRPr="00C23254">
              <w:rPr>
                <w:rFonts w:ascii="Arial" w:hAnsi="Arial" w:cs="Arial"/>
                <w:color w:val="000000"/>
                <w:sz w:val="18"/>
                <w:szCs w:val="18"/>
              </w:rPr>
              <w:t>Rodoni</w:t>
            </w:r>
            <w:proofErr w:type="spellEnd"/>
            <w:r>
              <w:rPr>
                <w:rFonts w:ascii="Arial" w:hAnsi="Arial" w:cs="Arial"/>
                <w:color w:val="000000"/>
                <w:sz w:val="18"/>
                <w:szCs w:val="18"/>
              </w:rPr>
              <w:t xml:space="preserve"> / Fiona</w:t>
            </w:r>
            <w:r w:rsidRPr="00C23254">
              <w:rPr>
                <w:rFonts w:ascii="Arial" w:hAnsi="Arial" w:cs="Arial"/>
                <w:color w:val="000000"/>
                <w:sz w:val="18"/>
                <w:szCs w:val="18"/>
              </w:rPr>
              <w:t xml:space="preserve"> </w:t>
            </w:r>
            <w:r>
              <w:rPr>
                <w:rFonts w:ascii="Arial" w:hAnsi="Arial" w:cs="Arial"/>
                <w:color w:val="000000"/>
                <w:sz w:val="20"/>
                <w:szCs w:val="20"/>
                <w:lang w:val="fr-FR"/>
              </w:rPr>
              <w:t xml:space="preserve">Fiona Constable - </w:t>
            </w:r>
            <w:proofErr w:type="spellStart"/>
            <w:r>
              <w:rPr>
                <w:rFonts w:ascii="Arial" w:hAnsi="Arial" w:cs="Arial"/>
                <w:color w:val="000000"/>
                <w:sz w:val="20"/>
                <w:szCs w:val="20"/>
                <w:lang w:val="fr-FR"/>
              </w:rPr>
              <w:t>Australia</w:t>
            </w:r>
            <w:proofErr w:type="spellEnd"/>
            <w:r w:rsidRPr="00C23254">
              <w:rPr>
                <w:rFonts w:ascii="Arial" w:hAnsi="Arial" w:cs="Arial"/>
                <w:color w:val="000000"/>
                <w:sz w:val="18"/>
                <w:szCs w:val="18"/>
              </w:rPr>
              <w:t xml:space="preserve"> (TBC) </w:t>
            </w:r>
          </w:p>
        </w:tc>
        <w:tc>
          <w:tcPr>
            <w:tcW w:w="6747" w:type="dxa"/>
            <w:tcMar>
              <w:top w:w="0" w:type="dxa"/>
              <w:left w:w="108" w:type="dxa"/>
              <w:bottom w:w="0" w:type="dxa"/>
              <w:right w:w="108" w:type="dxa"/>
            </w:tcMar>
            <w:vAlign w:val="center"/>
            <w:hideMark/>
          </w:tcPr>
          <w:p w14:paraId="6F7AF7A8" w14:textId="77777777" w:rsidR="001823F6" w:rsidRPr="00C23254" w:rsidRDefault="001823F6">
            <w:pPr>
              <w:rPr>
                <w:rFonts w:ascii="Arial" w:hAnsi="Arial" w:cs="Arial"/>
                <w:sz w:val="18"/>
                <w:szCs w:val="18"/>
              </w:rPr>
            </w:pPr>
            <w:r w:rsidRPr="00C23254">
              <w:rPr>
                <w:rFonts w:ascii="Arial" w:hAnsi="Arial" w:cs="Arial"/>
                <w:color w:val="000000"/>
                <w:sz w:val="18"/>
                <w:szCs w:val="18"/>
              </w:rPr>
              <w:t>Revolution in plant pest diagnostics since the last century</w:t>
            </w:r>
          </w:p>
        </w:tc>
      </w:tr>
      <w:tr w:rsidR="001823F6" w:rsidRPr="00C23254" w14:paraId="44701497" w14:textId="77777777" w:rsidTr="00807E96">
        <w:trPr>
          <w:jc w:val="center"/>
        </w:trPr>
        <w:tc>
          <w:tcPr>
            <w:tcW w:w="878" w:type="dxa"/>
            <w:tcMar>
              <w:top w:w="0" w:type="dxa"/>
              <w:left w:w="108" w:type="dxa"/>
              <w:bottom w:w="0" w:type="dxa"/>
              <w:right w:w="108" w:type="dxa"/>
            </w:tcMar>
            <w:vAlign w:val="center"/>
            <w:hideMark/>
          </w:tcPr>
          <w:p w14:paraId="1A1EA9FA" w14:textId="77777777" w:rsidR="001823F6" w:rsidRPr="00C23254" w:rsidRDefault="001823F6">
            <w:pPr>
              <w:rPr>
                <w:rFonts w:ascii="Arial" w:hAnsi="Arial" w:cs="Arial"/>
                <w:sz w:val="18"/>
                <w:szCs w:val="18"/>
              </w:rPr>
            </w:pPr>
            <w:r w:rsidRPr="00C23254">
              <w:rPr>
                <w:rFonts w:ascii="Arial" w:hAnsi="Arial" w:cs="Arial"/>
                <w:color w:val="000000"/>
                <w:sz w:val="18"/>
                <w:szCs w:val="18"/>
              </w:rPr>
              <w:t>14.30-14.45</w:t>
            </w:r>
          </w:p>
        </w:tc>
        <w:tc>
          <w:tcPr>
            <w:tcW w:w="606" w:type="dxa"/>
            <w:tcMar>
              <w:top w:w="0" w:type="dxa"/>
              <w:left w:w="108" w:type="dxa"/>
              <w:bottom w:w="0" w:type="dxa"/>
              <w:right w:w="108" w:type="dxa"/>
            </w:tcMar>
            <w:vAlign w:val="center"/>
            <w:hideMark/>
          </w:tcPr>
          <w:p w14:paraId="256B8FAC" w14:textId="77777777" w:rsidR="001823F6" w:rsidRPr="00C23254" w:rsidRDefault="001823F6">
            <w:pPr>
              <w:jc w:val="center"/>
              <w:rPr>
                <w:rFonts w:ascii="Arial" w:hAnsi="Arial" w:cs="Arial"/>
                <w:sz w:val="18"/>
                <w:szCs w:val="18"/>
              </w:rPr>
            </w:pPr>
            <w:r w:rsidRPr="00C23254">
              <w:rPr>
                <w:rFonts w:ascii="Arial" w:hAnsi="Arial" w:cs="Arial"/>
                <w:color w:val="000000"/>
                <w:sz w:val="18"/>
                <w:szCs w:val="18"/>
              </w:rPr>
              <w:t>3</w:t>
            </w:r>
          </w:p>
        </w:tc>
        <w:tc>
          <w:tcPr>
            <w:tcW w:w="1664" w:type="dxa"/>
            <w:tcMar>
              <w:top w:w="0" w:type="dxa"/>
              <w:left w:w="108" w:type="dxa"/>
              <w:bottom w:w="0" w:type="dxa"/>
              <w:right w:w="108" w:type="dxa"/>
            </w:tcMar>
            <w:vAlign w:val="center"/>
            <w:hideMark/>
          </w:tcPr>
          <w:p w14:paraId="2A7387A3" w14:textId="77777777" w:rsidR="001823F6" w:rsidRPr="00C23254" w:rsidRDefault="001823F6">
            <w:pPr>
              <w:rPr>
                <w:rFonts w:ascii="Arial" w:hAnsi="Arial" w:cs="Arial"/>
                <w:sz w:val="18"/>
                <w:szCs w:val="18"/>
              </w:rPr>
            </w:pPr>
            <w:r w:rsidRPr="00C23254">
              <w:rPr>
                <w:rFonts w:ascii="Arial" w:hAnsi="Arial" w:cs="Arial"/>
                <w:color w:val="000000"/>
                <w:sz w:val="18"/>
                <w:szCs w:val="18"/>
              </w:rPr>
              <w:t xml:space="preserve">Sebastien </w:t>
            </w:r>
            <w:proofErr w:type="spellStart"/>
            <w:r w:rsidRPr="00C23254">
              <w:rPr>
                <w:rFonts w:ascii="Arial" w:hAnsi="Arial" w:cs="Arial"/>
                <w:color w:val="000000"/>
                <w:sz w:val="18"/>
                <w:szCs w:val="18"/>
              </w:rPr>
              <w:t>Massart</w:t>
            </w:r>
            <w:proofErr w:type="spellEnd"/>
          </w:p>
        </w:tc>
        <w:tc>
          <w:tcPr>
            <w:tcW w:w="6747" w:type="dxa"/>
            <w:tcMar>
              <w:top w:w="0" w:type="dxa"/>
              <w:left w:w="108" w:type="dxa"/>
              <w:bottom w:w="0" w:type="dxa"/>
              <w:right w:w="108" w:type="dxa"/>
            </w:tcMar>
            <w:vAlign w:val="center"/>
            <w:hideMark/>
          </w:tcPr>
          <w:p w14:paraId="2D273D00" w14:textId="77777777" w:rsidR="001823F6" w:rsidRPr="00C23254" w:rsidRDefault="001823F6">
            <w:pPr>
              <w:rPr>
                <w:rFonts w:ascii="Arial" w:hAnsi="Arial" w:cs="Arial"/>
                <w:sz w:val="18"/>
                <w:szCs w:val="18"/>
              </w:rPr>
            </w:pPr>
            <w:r w:rsidRPr="00C23254">
              <w:rPr>
                <w:rFonts w:ascii="Arial" w:hAnsi="Arial" w:cs="Arial"/>
                <w:color w:val="000000"/>
                <w:sz w:val="18"/>
                <w:szCs w:val="18"/>
              </w:rPr>
              <w:t>High throughput sequencing</w:t>
            </w:r>
          </w:p>
        </w:tc>
      </w:tr>
      <w:tr w:rsidR="001823F6" w:rsidRPr="00C23254" w14:paraId="7BE6F209" w14:textId="77777777" w:rsidTr="00807E96">
        <w:trPr>
          <w:jc w:val="center"/>
        </w:trPr>
        <w:tc>
          <w:tcPr>
            <w:tcW w:w="878" w:type="dxa"/>
            <w:tcMar>
              <w:top w:w="0" w:type="dxa"/>
              <w:left w:w="108" w:type="dxa"/>
              <w:bottom w:w="0" w:type="dxa"/>
              <w:right w:w="108" w:type="dxa"/>
            </w:tcMar>
            <w:vAlign w:val="center"/>
            <w:hideMark/>
          </w:tcPr>
          <w:p w14:paraId="1AD2BCE6" w14:textId="77777777" w:rsidR="001823F6" w:rsidRPr="00C23254" w:rsidRDefault="001823F6">
            <w:pPr>
              <w:rPr>
                <w:rFonts w:ascii="Arial" w:hAnsi="Arial" w:cs="Arial"/>
                <w:sz w:val="18"/>
                <w:szCs w:val="18"/>
              </w:rPr>
            </w:pPr>
            <w:r w:rsidRPr="00C23254">
              <w:rPr>
                <w:rFonts w:ascii="Arial" w:hAnsi="Arial" w:cs="Arial"/>
                <w:color w:val="000000"/>
                <w:sz w:val="18"/>
                <w:szCs w:val="18"/>
              </w:rPr>
              <w:t>14.45-15.00</w:t>
            </w:r>
          </w:p>
        </w:tc>
        <w:tc>
          <w:tcPr>
            <w:tcW w:w="606" w:type="dxa"/>
            <w:tcMar>
              <w:top w:w="0" w:type="dxa"/>
              <w:left w:w="108" w:type="dxa"/>
              <w:bottom w:w="0" w:type="dxa"/>
              <w:right w:w="108" w:type="dxa"/>
            </w:tcMar>
            <w:vAlign w:val="center"/>
            <w:hideMark/>
          </w:tcPr>
          <w:p w14:paraId="21A58771" w14:textId="77777777" w:rsidR="001823F6" w:rsidRPr="00C23254" w:rsidRDefault="001823F6">
            <w:pPr>
              <w:jc w:val="center"/>
              <w:rPr>
                <w:rFonts w:ascii="Arial" w:hAnsi="Arial" w:cs="Arial"/>
                <w:sz w:val="18"/>
                <w:szCs w:val="18"/>
              </w:rPr>
            </w:pPr>
            <w:r w:rsidRPr="00C23254">
              <w:rPr>
                <w:rFonts w:ascii="Arial" w:hAnsi="Arial" w:cs="Arial"/>
                <w:color w:val="000000"/>
                <w:sz w:val="18"/>
                <w:szCs w:val="18"/>
              </w:rPr>
              <w:t>4</w:t>
            </w:r>
          </w:p>
        </w:tc>
        <w:tc>
          <w:tcPr>
            <w:tcW w:w="1664" w:type="dxa"/>
            <w:tcMar>
              <w:top w:w="0" w:type="dxa"/>
              <w:left w:w="108" w:type="dxa"/>
              <w:bottom w:w="0" w:type="dxa"/>
              <w:right w:w="108" w:type="dxa"/>
            </w:tcMar>
            <w:vAlign w:val="center"/>
            <w:hideMark/>
          </w:tcPr>
          <w:p w14:paraId="6649C341" w14:textId="77777777" w:rsidR="001823F6" w:rsidRPr="00C23254" w:rsidRDefault="001823F6">
            <w:pPr>
              <w:rPr>
                <w:rFonts w:ascii="Arial" w:hAnsi="Arial" w:cs="Arial"/>
                <w:sz w:val="18"/>
                <w:szCs w:val="18"/>
              </w:rPr>
            </w:pPr>
            <w:r w:rsidRPr="00C23254">
              <w:rPr>
                <w:rFonts w:ascii="Arial" w:hAnsi="Arial" w:cs="Arial"/>
                <w:color w:val="000000"/>
                <w:sz w:val="18"/>
                <w:szCs w:val="18"/>
              </w:rPr>
              <w:t xml:space="preserve">Juliet Goldsmith </w:t>
            </w:r>
          </w:p>
        </w:tc>
        <w:tc>
          <w:tcPr>
            <w:tcW w:w="6747" w:type="dxa"/>
            <w:tcMar>
              <w:top w:w="0" w:type="dxa"/>
              <w:left w:w="108" w:type="dxa"/>
              <w:bottom w:w="0" w:type="dxa"/>
              <w:right w:w="108" w:type="dxa"/>
            </w:tcMar>
            <w:vAlign w:val="center"/>
            <w:hideMark/>
          </w:tcPr>
          <w:p w14:paraId="36D48036" w14:textId="237621A5" w:rsidR="001823F6" w:rsidRPr="00C23254" w:rsidRDefault="001823F6" w:rsidP="001823F6">
            <w:pPr>
              <w:rPr>
                <w:rFonts w:ascii="Arial" w:hAnsi="Arial" w:cs="Arial"/>
                <w:sz w:val="18"/>
                <w:szCs w:val="18"/>
              </w:rPr>
            </w:pPr>
            <w:r>
              <w:rPr>
                <w:rFonts w:ascii="Arial" w:hAnsi="Arial" w:cs="Arial"/>
                <w:color w:val="000000"/>
                <w:sz w:val="18"/>
                <w:szCs w:val="18"/>
              </w:rPr>
              <w:t>R</w:t>
            </w:r>
            <w:r w:rsidRPr="00C23254">
              <w:rPr>
                <w:rFonts w:ascii="Arial" w:hAnsi="Arial" w:cs="Arial"/>
                <w:color w:val="000000"/>
                <w:sz w:val="18"/>
                <w:szCs w:val="18"/>
              </w:rPr>
              <w:t>emote diagnostic and the Caribbean</w:t>
            </w:r>
            <w:r>
              <w:rPr>
                <w:rFonts w:ascii="Arial" w:hAnsi="Arial" w:cs="Arial"/>
                <w:color w:val="000000"/>
                <w:sz w:val="18"/>
                <w:szCs w:val="18"/>
              </w:rPr>
              <w:t xml:space="preserve"> region</w:t>
            </w:r>
            <w:r w:rsidRPr="00C23254">
              <w:rPr>
                <w:rFonts w:ascii="Arial" w:hAnsi="Arial" w:cs="Arial"/>
                <w:color w:val="000000"/>
                <w:sz w:val="18"/>
                <w:szCs w:val="18"/>
              </w:rPr>
              <w:t xml:space="preserve"> laboratory network experience</w:t>
            </w:r>
          </w:p>
        </w:tc>
      </w:tr>
      <w:tr w:rsidR="001823F6" w:rsidRPr="00C23254" w14:paraId="2DCBB0D5" w14:textId="77777777" w:rsidTr="00807E96">
        <w:trPr>
          <w:jc w:val="center"/>
        </w:trPr>
        <w:tc>
          <w:tcPr>
            <w:tcW w:w="878" w:type="dxa"/>
            <w:tcMar>
              <w:top w:w="0" w:type="dxa"/>
              <w:left w:w="108" w:type="dxa"/>
              <w:bottom w:w="0" w:type="dxa"/>
              <w:right w:w="108" w:type="dxa"/>
            </w:tcMar>
            <w:vAlign w:val="center"/>
            <w:hideMark/>
          </w:tcPr>
          <w:p w14:paraId="65E043EB" w14:textId="2A86366E" w:rsidR="001823F6" w:rsidRPr="00C23254" w:rsidRDefault="001823F6" w:rsidP="00541A2C">
            <w:pPr>
              <w:rPr>
                <w:rFonts w:ascii="Arial" w:hAnsi="Arial" w:cs="Arial"/>
                <w:sz w:val="18"/>
                <w:szCs w:val="18"/>
              </w:rPr>
            </w:pPr>
            <w:r w:rsidRPr="00C23254">
              <w:rPr>
                <w:rFonts w:ascii="Arial" w:hAnsi="Arial" w:cs="Arial"/>
                <w:i/>
                <w:iCs/>
                <w:color w:val="000000"/>
                <w:sz w:val="18"/>
                <w:szCs w:val="18"/>
              </w:rPr>
              <w:t xml:space="preserve">15.00-15.20 </w:t>
            </w:r>
          </w:p>
        </w:tc>
        <w:tc>
          <w:tcPr>
            <w:tcW w:w="606" w:type="dxa"/>
            <w:tcMar>
              <w:top w:w="0" w:type="dxa"/>
              <w:left w:w="108" w:type="dxa"/>
              <w:bottom w:w="0" w:type="dxa"/>
              <w:right w:w="108" w:type="dxa"/>
            </w:tcMar>
            <w:vAlign w:val="center"/>
          </w:tcPr>
          <w:p w14:paraId="679A89ED" w14:textId="77777777" w:rsidR="001823F6" w:rsidRPr="00C23254" w:rsidRDefault="001823F6">
            <w:pPr>
              <w:jc w:val="center"/>
              <w:rPr>
                <w:rFonts w:ascii="Arial" w:hAnsi="Arial" w:cs="Arial"/>
                <w:sz w:val="18"/>
                <w:szCs w:val="18"/>
              </w:rPr>
            </w:pPr>
          </w:p>
        </w:tc>
        <w:tc>
          <w:tcPr>
            <w:tcW w:w="1664" w:type="dxa"/>
            <w:tcMar>
              <w:top w:w="0" w:type="dxa"/>
              <w:left w:w="108" w:type="dxa"/>
              <w:bottom w:w="0" w:type="dxa"/>
              <w:right w:w="108" w:type="dxa"/>
            </w:tcMar>
            <w:vAlign w:val="center"/>
            <w:hideMark/>
          </w:tcPr>
          <w:p w14:paraId="2EAA3718" w14:textId="77777777" w:rsidR="001823F6" w:rsidRPr="00C23254" w:rsidRDefault="001823F6">
            <w:pPr>
              <w:rPr>
                <w:rFonts w:ascii="Arial" w:hAnsi="Arial" w:cs="Arial"/>
                <w:sz w:val="18"/>
                <w:szCs w:val="18"/>
              </w:rPr>
            </w:pPr>
            <w:r w:rsidRPr="00C23254">
              <w:rPr>
                <w:rFonts w:ascii="Arial" w:hAnsi="Arial" w:cs="Arial"/>
                <w:i/>
                <w:iCs/>
                <w:color w:val="000000"/>
                <w:sz w:val="18"/>
                <w:szCs w:val="18"/>
              </w:rPr>
              <w:t>Coffee break</w:t>
            </w:r>
          </w:p>
        </w:tc>
        <w:tc>
          <w:tcPr>
            <w:tcW w:w="6747" w:type="dxa"/>
            <w:tcMar>
              <w:top w:w="0" w:type="dxa"/>
              <w:left w:w="108" w:type="dxa"/>
              <w:bottom w:w="0" w:type="dxa"/>
              <w:right w:w="108" w:type="dxa"/>
            </w:tcMar>
            <w:vAlign w:val="center"/>
            <w:hideMark/>
          </w:tcPr>
          <w:p w14:paraId="53106012" w14:textId="77777777" w:rsidR="001823F6" w:rsidRPr="00C23254" w:rsidRDefault="001823F6">
            <w:pPr>
              <w:rPr>
                <w:rFonts w:ascii="Arial" w:hAnsi="Arial" w:cs="Arial"/>
                <w:sz w:val="18"/>
                <w:szCs w:val="18"/>
              </w:rPr>
            </w:pPr>
            <w:r w:rsidRPr="00C23254">
              <w:rPr>
                <w:rFonts w:ascii="Arial" w:hAnsi="Arial" w:cs="Arial"/>
                <w:i/>
                <w:iCs/>
                <w:color w:val="000000"/>
                <w:sz w:val="18"/>
                <w:szCs w:val="18"/>
              </w:rPr>
              <w:t> </w:t>
            </w:r>
          </w:p>
        </w:tc>
      </w:tr>
      <w:tr w:rsidR="001823F6" w:rsidRPr="00C23254" w14:paraId="1C28DD30" w14:textId="77777777" w:rsidTr="00807E96">
        <w:trPr>
          <w:jc w:val="center"/>
        </w:trPr>
        <w:tc>
          <w:tcPr>
            <w:tcW w:w="878" w:type="dxa"/>
            <w:tcMar>
              <w:top w:w="0" w:type="dxa"/>
              <w:left w:w="108" w:type="dxa"/>
              <w:bottom w:w="0" w:type="dxa"/>
              <w:right w:w="108" w:type="dxa"/>
            </w:tcMar>
            <w:vAlign w:val="center"/>
          </w:tcPr>
          <w:p w14:paraId="377580B6" w14:textId="05F588B1" w:rsidR="001823F6" w:rsidRPr="00807E96" w:rsidRDefault="001823F6" w:rsidP="001823F6">
            <w:pPr>
              <w:rPr>
                <w:rFonts w:ascii="Arial" w:hAnsi="Arial" w:cs="Arial"/>
                <w:color w:val="000000"/>
                <w:sz w:val="18"/>
                <w:szCs w:val="18"/>
              </w:rPr>
            </w:pPr>
            <w:r w:rsidRPr="00807E96">
              <w:rPr>
                <w:rFonts w:ascii="Arial" w:hAnsi="Arial" w:cs="Arial"/>
                <w:color w:val="000000"/>
                <w:sz w:val="18"/>
                <w:szCs w:val="18"/>
              </w:rPr>
              <w:t>15:20- 15:3</w:t>
            </w:r>
            <w:r>
              <w:rPr>
                <w:rFonts w:ascii="Arial" w:hAnsi="Arial" w:cs="Arial"/>
                <w:color w:val="000000"/>
                <w:sz w:val="18"/>
                <w:szCs w:val="18"/>
              </w:rPr>
              <w:t>5</w:t>
            </w:r>
          </w:p>
        </w:tc>
        <w:tc>
          <w:tcPr>
            <w:tcW w:w="606" w:type="dxa"/>
            <w:tcMar>
              <w:top w:w="0" w:type="dxa"/>
              <w:left w:w="108" w:type="dxa"/>
              <w:bottom w:w="0" w:type="dxa"/>
              <w:right w:w="108" w:type="dxa"/>
            </w:tcMar>
            <w:vAlign w:val="center"/>
          </w:tcPr>
          <w:p w14:paraId="31D78A87" w14:textId="77777777" w:rsidR="001823F6" w:rsidRPr="00807E96" w:rsidRDefault="001823F6">
            <w:pPr>
              <w:jc w:val="center"/>
              <w:rPr>
                <w:rFonts w:ascii="Arial" w:hAnsi="Arial" w:cs="Arial"/>
                <w:color w:val="000000"/>
                <w:sz w:val="18"/>
                <w:szCs w:val="18"/>
              </w:rPr>
            </w:pPr>
          </w:p>
        </w:tc>
        <w:tc>
          <w:tcPr>
            <w:tcW w:w="1664" w:type="dxa"/>
            <w:tcMar>
              <w:top w:w="0" w:type="dxa"/>
              <w:left w:w="108" w:type="dxa"/>
              <w:bottom w:w="0" w:type="dxa"/>
              <w:right w:w="108" w:type="dxa"/>
            </w:tcMar>
            <w:vAlign w:val="center"/>
          </w:tcPr>
          <w:p w14:paraId="4C040591" w14:textId="3789A84C" w:rsidR="001823F6" w:rsidRPr="00807E96" w:rsidRDefault="001823F6">
            <w:pPr>
              <w:ind w:left="-1"/>
              <w:rPr>
                <w:rFonts w:ascii="Arial" w:hAnsi="Arial" w:cs="Arial"/>
                <w:color w:val="000000"/>
                <w:sz w:val="18"/>
                <w:szCs w:val="18"/>
              </w:rPr>
            </w:pPr>
            <w:r w:rsidRPr="00807E96">
              <w:rPr>
                <w:rFonts w:ascii="Arial" w:hAnsi="Arial" w:cs="Arial"/>
                <w:color w:val="000000"/>
                <w:sz w:val="18"/>
                <w:szCs w:val="18"/>
              </w:rPr>
              <w:t>(CABI) - TBC</w:t>
            </w:r>
          </w:p>
          <w:p w14:paraId="34EA30AA" w14:textId="60197756" w:rsidR="001823F6" w:rsidRPr="00807E96" w:rsidRDefault="001823F6">
            <w:pPr>
              <w:ind w:left="-1"/>
              <w:rPr>
                <w:rFonts w:ascii="Arial" w:hAnsi="Arial" w:cs="Arial"/>
                <w:color w:val="000000"/>
                <w:sz w:val="18"/>
                <w:szCs w:val="18"/>
              </w:rPr>
            </w:pPr>
          </w:p>
        </w:tc>
        <w:tc>
          <w:tcPr>
            <w:tcW w:w="6747" w:type="dxa"/>
            <w:tcMar>
              <w:top w:w="0" w:type="dxa"/>
              <w:left w:w="108" w:type="dxa"/>
              <w:bottom w:w="0" w:type="dxa"/>
              <w:right w:w="108" w:type="dxa"/>
            </w:tcMar>
            <w:vAlign w:val="center"/>
          </w:tcPr>
          <w:p w14:paraId="1759B883" w14:textId="3C351E21" w:rsidR="001823F6" w:rsidRPr="00807E96" w:rsidRDefault="001823F6" w:rsidP="001823F6">
            <w:pPr>
              <w:rPr>
                <w:rFonts w:ascii="Arial" w:hAnsi="Arial" w:cs="Arial"/>
                <w:color w:val="000000"/>
                <w:sz w:val="20"/>
                <w:szCs w:val="20"/>
              </w:rPr>
            </w:pPr>
            <w:r>
              <w:rPr>
                <w:rFonts w:ascii="Arial" w:hAnsi="Arial" w:cs="Arial"/>
                <w:color w:val="000000"/>
                <w:sz w:val="20"/>
                <w:szCs w:val="20"/>
              </w:rPr>
              <w:t>Regional laboratory networks: The plant clinic network - the Plant Wise programme in Africa region</w:t>
            </w:r>
          </w:p>
        </w:tc>
      </w:tr>
      <w:tr w:rsidR="001823F6" w:rsidRPr="00C23254" w14:paraId="51821007" w14:textId="77777777" w:rsidTr="00807E96">
        <w:trPr>
          <w:jc w:val="center"/>
        </w:trPr>
        <w:tc>
          <w:tcPr>
            <w:tcW w:w="878" w:type="dxa"/>
            <w:tcMar>
              <w:top w:w="0" w:type="dxa"/>
              <w:left w:w="108" w:type="dxa"/>
              <w:bottom w:w="0" w:type="dxa"/>
              <w:right w:w="108" w:type="dxa"/>
            </w:tcMar>
            <w:vAlign w:val="center"/>
            <w:hideMark/>
          </w:tcPr>
          <w:p w14:paraId="7A4BB2E4" w14:textId="71979B18" w:rsidR="001823F6" w:rsidRPr="00C23254" w:rsidRDefault="001823F6" w:rsidP="001823F6">
            <w:pPr>
              <w:rPr>
                <w:rFonts w:ascii="Arial" w:hAnsi="Arial" w:cs="Arial"/>
                <w:sz w:val="18"/>
                <w:szCs w:val="18"/>
              </w:rPr>
            </w:pPr>
            <w:r w:rsidRPr="00C23254">
              <w:rPr>
                <w:rFonts w:ascii="Arial" w:hAnsi="Arial" w:cs="Arial"/>
                <w:color w:val="000000"/>
                <w:sz w:val="18"/>
                <w:szCs w:val="18"/>
              </w:rPr>
              <w:t>15.3</w:t>
            </w:r>
            <w:r>
              <w:rPr>
                <w:rFonts w:ascii="Arial" w:hAnsi="Arial" w:cs="Arial"/>
                <w:color w:val="000000"/>
                <w:sz w:val="18"/>
                <w:szCs w:val="18"/>
              </w:rPr>
              <w:t>5</w:t>
            </w:r>
            <w:r w:rsidRPr="00C23254">
              <w:rPr>
                <w:rFonts w:ascii="Arial" w:hAnsi="Arial" w:cs="Arial"/>
                <w:color w:val="000000"/>
                <w:sz w:val="18"/>
                <w:szCs w:val="18"/>
              </w:rPr>
              <w:t>-15.</w:t>
            </w:r>
            <w:r>
              <w:rPr>
                <w:rFonts w:ascii="Arial" w:hAnsi="Arial" w:cs="Arial"/>
                <w:color w:val="000000"/>
                <w:sz w:val="18"/>
                <w:szCs w:val="18"/>
              </w:rPr>
              <w:t>50</w:t>
            </w:r>
          </w:p>
        </w:tc>
        <w:tc>
          <w:tcPr>
            <w:tcW w:w="606" w:type="dxa"/>
            <w:tcMar>
              <w:top w:w="0" w:type="dxa"/>
              <w:left w:w="108" w:type="dxa"/>
              <w:bottom w:w="0" w:type="dxa"/>
              <w:right w:w="108" w:type="dxa"/>
            </w:tcMar>
            <w:vAlign w:val="center"/>
            <w:hideMark/>
          </w:tcPr>
          <w:p w14:paraId="451ADB06" w14:textId="77777777" w:rsidR="001823F6" w:rsidRPr="00C23254" w:rsidRDefault="001823F6">
            <w:pPr>
              <w:jc w:val="center"/>
              <w:rPr>
                <w:rFonts w:ascii="Arial" w:hAnsi="Arial" w:cs="Arial"/>
                <w:sz w:val="18"/>
                <w:szCs w:val="18"/>
              </w:rPr>
            </w:pPr>
            <w:r w:rsidRPr="00C23254">
              <w:rPr>
                <w:rFonts w:ascii="Arial" w:hAnsi="Arial" w:cs="Arial"/>
                <w:color w:val="000000"/>
                <w:sz w:val="18"/>
                <w:szCs w:val="18"/>
              </w:rPr>
              <w:t>5</w:t>
            </w:r>
          </w:p>
        </w:tc>
        <w:tc>
          <w:tcPr>
            <w:tcW w:w="1664" w:type="dxa"/>
            <w:tcMar>
              <w:top w:w="0" w:type="dxa"/>
              <w:left w:w="108" w:type="dxa"/>
              <w:bottom w:w="0" w:type="dxa"/>
              <w:right w:w="108" w:type="dxa"/>
            </w:tcMar>
            <w:vAlign w:val="center"/>
            <w:hideMark/>
          </w:tcPr>
          <w:p w14:paraId="32515B4F" w14:textId="77777777" w:rsidR="001823F6" w:rsidRPr="00C23254" w:rsidRDefault="001823F6">
            <w:pPr>
              <w:ind w:left="-1"/>
              <w:rPr>
                <w:rFonts w:ascii="Arial" w:hAnsi="Arial" w:cs="Arial"/>
                <w:sz w:val="18"/>
                <w:szCs w:val="18"/>
              </w:rPr>
            </w:pPr>
            <w:r w:rsidRPr="00C23254">
              <w:rPr>
                <w:rFonts w:ascii="Arial" w:hAnsi="Arial" w:cs="Arial"/>
                <w:color w:val="000000"/>
                <w:sz w:val="18"/>
                <w:szCs w:val="18"/>
              </w:rPr>
              <w:t xml:space="preserve">Françoise </w:t>
            </w:r>
            <w:proofErr w:type="spellStart"/>
            <w:r w:rsidRPr="00C23254">
              <w:rPr>
                <w:rFonts w:ascii="Arial" w:hAnsi="Arial" w:cs="Arial"/>
                <w:color w:val="000000"/>
                <w:sz w:val="18"/>
                <w:szCs w:val="18"/>
              </w:rPr>
              <w:t>Munaut</w:t>
            </w:r>
            <w:proofErr w:type="spellEnd"/>
          </w:p>
        </w:tc>
        <w:tc>
          <w:tcPr>
            <w:tcW w:w="6747" w:type="dxa"/>
            <w:tcMar>
              <w:top w:w="0" w:type="dxa"/>
              <w:left w:w="108" w:type="dxa"/>
              <w:bottom w:w="0" w:type="dxa"/>
              <w:right w:w="108" w:type="dxa"/>
            </w:tcMar>
            <w:vAlign w:val="center"/>
            <w:hideMark/>
          </w:tcPr>
          <w:p w14:paraId="7628AF47" w14:textId="77777777" w:rsidR="001823F6" w:rsidRPr="00C23254" w:rsidRDefault="001823F6">
            <w:pPr>
              <w:rPr>
                <w:rFonts w:ascii="Arial" w:hAnsi="Arial" w:cs="Arial"/>
                <w:sz w:val="18"/>
                <w:szCs w:val="18"/>
              </w:rPr>
            </w:pPr>
            <w:r w:rsidRPr="00C23254">
              <w:rPr>
                <w:rFonts w:ascii="Arial" w:hAnsi="Arial" w:cs="Arial"/>
                <w:color w:val="000000"/>
                <w:sz w:val="18"/>
                <w:szCs w:val="18"/>
              </w:rPr>
              <w:t xml:space="preserve">Regional laboratory networks: the EU experience </w:t>
            </w:r>
          </w:p>
        </w:tc>
      </w:tr>
      <w:tr w:rsidR="001823F6" w:rsidRPr="00C23254" w14:paraId="1D24742C" w14:textId="77777777" w:rsidTr="00807E96">
        <w:trPr>
          <w:jc w:val="center"/>
        </w:trPr>
        <w:tc>
          <w:tcPr>
            <w:tcW w:w="878" w:type="dxa"/>
            <w:tcMar>
              <w:top w:w="0" w:type="dxa"/>
              <w:left w:w="108" w:type="dxa"/>
              <w:bottom w:w="0" w:type="dxa"/>
              <w:right w:w="108" w:type="dxa"/>
            </w:tcMar>
            <w:vAlign w:val="center"/>
            <w:hideMark/>
          </w:tcPr>
          <w:p w14:paraId="05ADAD2B" w14:textId="25FAA00B" w:rsidR="001823F6" w:rsidRPr="00C23254" w:rsidRDefault="001823F6" w:rsidP="001823F6">
            <w:pPr>
              <w:rPr>
                <w:rFonts w:ascii="Arial" w:hAnsi="Arial" w:cs="Arial"/>
                <w:sz w:val="18"/>
                <w:szCs w:val="18"/>
              </w:rPr>
            </w:pPr>
            <w:r w:rsidRPr="00C23254">
              <w:rPr>
                <w:rFonts w:ascii="Arial" w:hAnsi="Arial" w:cs="Arial"/>
                <w:color w:val="000000"/>
                <w:sz w:val="18"/>
                <w:szCs w:val="18"/>
              </w:rPr>
              <w:t>15.</w:t>
            </w:r>
            <w:r>
              <w:rPr>
                <w:rFonts w:ascii="Arial" w:hAnsi="Arial" w:cs="Arial"/>
                <w:color w:val="000000"/>
                <w:sz w:val="18"/>
                <w:szCs w:val="18"/>
              </w:rPr>
              <w:t>50</w:t>
            </w:r>
            <w:r w:rsidRPr="00C23254">
              <w:rPr>
                <w:rFonts w:ascii="Arial" w:hAnsi="Arial" w:cs="Arial"/>
                <w:color w:val="000000"/>
                <w:sz w:val="18"/>
                <w:szCs w:val="18"/>
              </w:rPr>
              <w:t>-16.0</w:t>
            </w:r>
            <w:r>
              <w:rPr>
                <w:rFonts w:ascii="Arial" w:hAnsi="Arial" w:cs="Arial"/>
                <w:color w:val="000000"/>
                <w:sz w:val="18"/>
                <w:szCs w:val="18"/>
              </w:rPr>
              <w:t>5</w:t>
            </w:r>
          </w:p>
        </w:tc>
        <w:tc>
          <w:tcPr>
            <w:tcW w:w="606" w:type="dxa"/>
            <w:tcMar>
              <w:top w:w="0" w:type="dxa"/>
              <w:left w:w="108" w:type="dxa"/>
              <w:bottom w:w="0" w:type="dxa"/>
              <w:right w:w="108" w:type="dxa"/>
            </w:tcMar>
            <w:vAlign w:val="center"/>
            <w:hideMark/>
          </w:tcPr>
          <w:p w14:paraId="72D90F2D" w14:textId="77777777" w:rsidR="001823F6" w:rsidRPr="00C23254" w:rsidRDefault="001823F6">
            <w:pPr>
              <w:jc w:val="center"/>
              <w:rPr>
                <w:rFonts w:ascii="Arial" w:hAnsi="Arial" w:cs="Arial"/>
                <w:sz w:val="18"/>
                <w:szCs w:val="18"/>
              </w:rPr>
            </w:pPr>
            <w:r w:rsidRPr="00C23254">
              <w:rPr>
                <w:rFonts w:ascii="Arial" w:hAnsi="Arial" w:cs="Arial"/>
                <w:color w:val="000000"/>
                <w:sz w:val="18"/>
                <w:szCs w:val="18"/>
              </w:rPr>
              <w:t>6</w:t>
            </w:r>
          </w:p>
        </w:tc>
        <w:tc>
          <w:tcPr>
            <w:tcW w:w="1664" w:type="dxa"/>
            <w:tcMar>
              <w:top w:w="0" w:type="dxa"/>
              <w:left w:w="108" w:type="dxa"/>
              <w:bottom w:w="0" w:type="dxa"/>
              <w:right w:w="108" w:type="dxa"/>
            </w:tcMar>
            <w:vAlign w:val="center"/>
            <w:hideMark/>
          </w:tcPr>
          <w:p w14:paraId="0C283945" w14:textId="77777777" w:rsidR="001823F6" w:rsidRPr="00C23254" w:rsidRDefault="001823F6">
            <w:pPr>
              <w:ind w:left="-1"/>
              <w:rPr>
                <w:rFonts w:ascii="Arial" w:hAnsi="Arial" w:cs="Arial"/>
                <w:sz w:val="18"/>
                <w:szCs w:val="18"/>
              </w:rPr>
            </w:pPr>
            <w:r w:rsidRPr="00C23254">
              <w:rPr>
                <w:rFonts w:ascii="Arial" w:hAnsi="Arial" w:cs="Arial"/>
                <w:color w:val="000000"/>
                <w:sz w:val="18"/>
                <w:szCs w:val="18"/>
              </w:rPr>
              <w:t xml:space="preserve">Geraldine </w:t>
            </w:r>
            <w:proofErr w:type="spellStart"/>
            <w:r w:rsidRPr="00C23254">
              <w:rPr>
                <w:rFonts w:ascii="Arial" w:hAnsi="Arial" w:cs="Arial"/>
                <w:color w:val="000000"/>
                <w:sz w:val="18"/>
                <w:szCs w:val="18"/>
              </w:rPr>
              <w:t>Anthoine</w:t>
            </w:r>
            <w:proofErr w:type="spellEnd"/>
          </w:p>
        </w:tc>
        <w:tc>
          <w:tcPr>
            <w:tcW w:w="6747" w:type="dxa"/>
            <w:tcMar>
              <w:top w:w="0" w:type="dxa"/>
              <w:left w:w="108" w:type="dxa"/>
              <w:bottom w:w="0" w:type="dxa"/>
              <w:right w:w="108" w:type="dxa"/>
            </w:tcMar>
            <w:vAlign w:val="center"/>
            <w:hideMark/>
          </w:tcPr>
          <w:p w14:paraId="7E29D2B8" w14:textId="77777777" w:rsidR="001823F6" w:rsidRPr="00C23254" w:rsidRDefault="001823F6">
            <w:pPr>
              <w:rPr>
                <w:rFonts w:ascii="Arial" w:hAnsi="Arial" w:cs="Arial"/>
                <w:sz w:val="18"/>
                <w:szCs w:val="18"/>
              </w:rPr>
            </w:pPr>
            <w:r w:rsidRPr="00C23254">
              <w:rPr>
                <w:rFonts w:ascii="Arial" w:hAnsi="Arial" w:cs="Arial"/>
                <w:color w:val="000000"/>
                <w:sz w:val="18"/>
                <w:szCs w:val="18"/>
              </w:rPr>
              <w:t>Quality assurance and validation in diagnostics: what does it mean?</w:t>
            </w:r>
          </w:p>
        </w:tc>
      </w:tr>
      <w:tr w:rsidR="001823F6" w:rsidRPr="00C23254" w14:paraId="3F4BCF65" w14:textId="77777777" w:rsidTr="00807E96">
        <w:trPr>
          <w:jc w:val="center"/>
        </w:trPr>
        <w:tc>
          <w:tcPr>
            <w:tcW w:w="878" w:type="dxa"/>
            <w:tcMar>
              <w:top w:w="0" w:type="dxa"/>
              <w:left w:w="108" w:type="dxa"/>
              <w:bottom w:w="0" w:type="dxa"/>
              <w:right w:w="108" w:type="dxa"/>
            </w:tcMar>
            <w:vAlign w:val="center"/>
            <w:hideMark/>
          </w:tcPr>
          <w:p w14:paraId="1A8984F8" w14:textId="1ADA82FE" w:rsidR="001823F6" w:rsidRPr="00C23254" w:rsidRDefault="001823F6" w:rsidP="001823F6">
            <w:pPr>
              <w:rPr>
                <w:rFonts w:ascii="Arial" w:hAnsi="Arial" w:cs="Arial"/>
                <w:sz w:val="18"/>
                <w:szCs w:val="18"/>
              </w:rPr>
            </w:pPr>
            <w:r w:rsidRPr="00C23254">
              <w:rPr>
                <w:rFonts w:ascii="Arial" w:hAnsi="Arial" w:cs="Arial"/>
                <w:color w:val="000000"/>
                <w:sz w:val="18"/>
                <w:szCs w:val="18"/>
              </w:rPr>
              <w:t>16.0</w:t>
            </w:r>
            <w:r>
              <w:rPr>
                <w:rFonts w:ascii="Arial" w:hAnsi="Arial" w:cs="Arial"/>
                <w:color w:val="000000"/>
                <w:sz w:val="18"/>
                <w:szCs w:val="18"/>
              </w:rPr>
              <w:t>5</w:t>
            </w:r>
            <w:r w:rsidRPr="00C23254">
              <w:rPr>
                <w:rFonts w:ascii="Arial" w:hAnsi="Arial" w:cs="Arial"/>
                <w:color w:val="000000"/>
                <w:sz w:val="18"/>
                <w:szCs w:val="18"/>
              </w:rPr>
              <w:t>-16.30</w:t>
            </w:r>
          </w:p>
        </w:tc>
        <w:tc>
          <w:tcPr>
            <w:tcW w:w="606" w:type="dxa"/>
            <w:tcMar>
              <w:top w:w="0" w:type="dxa"/>
              <w:left w:w="108" w:type="dxa"/>
              <w:bottom w:w="0" w:type="dxa"/>
              <w:right w:w="108" w:type="dxa"/>
            </w:tcMar>
            <w:vAlign w:val="center"/>
          </w:tcPr>
          <w:p w14:paraId="28BECE6D" w14:textId="77777777" w:rsidR="001823F6" w:rsidRPr="00C23254" w:rsidRDefault="001823F6">
            <w:pPr>
              <w:ind w:left="360"/>
              <w:jc w:val="center"/>
              <w:rPr>
                <w:rFonts w:ascii="Arial" w:hAnsi="Arial" w:cs="Arial"/>
                <w:sz w:val="18"/>
                <w:szCs w:val="18"/>
              </w:rPr>
            </w:pPr>
          </w:p>
        </w:tc>
        <w:tc>
          <w:tcPr>
            <w:tcW w:w="1664" w:type="dxa"/>
            <w:tcMar>
              <w:top w:w="0" w:type="dxa"/>
              <w:left w:w="108" w:type="dxa"/>
              <w:bottom w:w="0" w:type="dxa"/>
              <w:right w:w="108" w:type="dxa"/>
            </w:tcMar>
            <w:vAlign w:val="center"/>
            <w:hideMark/>
          </w:tcPr>
          <w:p w14:paraId="3B01E525" w14:textId="77777777" w:rsidR="001823F6" w:rsidRPr="00C23254" w:rsidRDefault="001823F6">
            <w:pPr>
              <w:ind w:left="-1"/>
              <w:rPr>
                <w:rFonts w:ascii="Arial" w:hAnsi="Arial" w:cs="Arial"/>
                <w:sz w:val="18"/>
                <w:szCs w:val="18"/>
              </w:rPr>
            </w:pPr>
            <w:r w:rsidRPr="00C23254">
              <w:rPr>
                <w:rFonts w:ascii="Arial" w:hAnsi="Arial" w:cs="Arial"/>
                <w:color w:val="000000"/>
                <w:sz w:val="18"/>
                <w:szCs w:val="18"/>
              </w:rPr>
              <w:t xml:space="preserve">Discussion </w:t>
            </w:r>
          </w:p>
        </w:tc>
        <w:tc>
          <w:tcPr>
            <w:tcW w:w="6747" w:type="dxa"/>
            <w:tcMar>
              <w:top w:w="0" w:type="dxa"/>
              <w:left w:w="108" w:type="dxa"/>
              <w:bottom w:w="0" w:type="dxa"/>
              <w:right w:w="108" w:type="dxa"/>
            </w:tcMar>
            <w:vAlign w:val="center"/>
            <w:hideMark/>
          </w:tcPr>
          <w:p w14:paraId="52C08319" w14:textId="79688240" w:rsidR="001823F6" w:rsidRPr="00C23254" w:rsidRDefault="001823F6">
            <w:pPr>
              <w:rPr>
                <w:rFonts w:ascii="Arial" w:hAnsi="Arial" w:cs="Arial"/>
                <w:sz w:val="18"/>
                <w:szCs w:val="18"/>
              </w:rPr>
            </w:pPr>
            <w:r w:rsidRPr="00C23254">
              <w:rPr>
                <w:rFonts w:ascii="Arial" w:hAnsi="Arial" w:cs="Arial"/>
                <w:color w:val="000000"/>
                <w:sz w:val="18"/>
                <w:szCs w:val="18"/>
              </w:rPr>
              <w:t> </w:t>
            </w:r>
            <w:r w:rsidRPr="00807E96">
              <w:rPr>
                <w:rFonts w:ascii="Arial" w:hAnsi="Arial" w:cs="Arial"/>
                <w:sz w:val="18"/>
                <w:szCs w:val="18"/>
              </w:rPr>
              <w:t>Facilitated by EPPO and IPPC Secretariats</w:t>
            </w:r>
          </w:p>
        </w:tc>
      </w:tr>
    </w:tbl>
    <w:p w14:paraId="088AFD80" w14:textId="408246F0" w:rsidR="00366F89" w:rsidRDefault="00366F89" w:rsidP="002E12F0">
      <w:pPr>
        <w:pStyle w:val="IPPHeading1"/>
      </w:pPr>
      <w:r w:rsidRPr="00582FBB">
        <w:t>Recommendations to the TPDP</w:t>
      </w:r>
    </w:p>
    <w:p w14:paraId="104A9294" w14:textId="5160DF58" w:rsidR="00366F89" w:rsidRDefault="00366F89" w:rsidP="002E12F0">
      <w:pPr>
        <w:pStyle w:val="IPPParagraphnumbering"/>
      </w:pPr>
      <w:r w:rsidRPr="00582FBB">
        <w:t>The TPDP is invited to</w:t>
      </w:r>
      <w:r w:rsidR="00427913">
        <w:t xml:space="preserve"> </w:t>
      </w:r>
    </w:p>
    <w:p w14:paraId="480C150E" w14:textId="6121D30A" w:rsidR="001823F6" w:rsidRPr="00807E96" w:rsidRDefault="001823F6" w:rsidP="002F4A2B">
      <w:pPr>
        <w:pStyle w:val="IPPNumberedList"/>
        <w:numPr>
          <w:ilvl w:val="0"/>
          <w:numId w:val="20"/>
        </w:numPr>
      </w:pPr>
      <w:proofErr w:type="gramStart"/>
      <w:r>
        <w:rPr>
          <w:i/>
        </w:rPr>
        <w:t>p</w:t>
      </w:r>
      <w:r w:rsidRPr="00807E96">
        <w:rPr>
          <w:i/>
        </w:rPr>
        <w:t>rovide</w:t>
      </w:r>
      <w:proofErr w:type="gramEnd"/>
      <w:r>
        <w:t xml:space="preserve"> any comments and discussion points.</w:t>
      </w:r>
    </w:p>
    <w:p w14:paraId="47FFD8B2" w14:textId="3B38E11C" w:rsidR="00366F89" w:rsidRDefault="001823F6" w:rsidP="002F4A2B">
      <w:pPr>
        <w:pStyle w:val="IPPNumberedList"/>
        <w:numPr>
          <w:ilvl w:val="0"/>
          <w:numId w:val="20"/>
        </w:numPr>
      </w:pPr>
      <w:proofErr w:type="gramStart"/>
      <w:r>
        <w:rPr>
          <w:i/>
        </w:rPr>
        <w:t>note</w:t>
      </w:r>
      <w:proofErr w:type="gramEnd"/>
      <w:r>
        <w:rPr>
          <w:i/>
        </w:rPr>
        <w:t xml:space="preserve"> </w:t>
      </w:r>
      <w:r w:rsidR="002F4A2B" w:rsidRPr="002F4A2B">
        <w:t>the update</w:t>
      </w:r>
      <w:r w:rsidR="00B63F48">
        <w:t>s</w:t>
      </w:r>
      <w:r w:rsidR="002F4A2B" w:rsidRPr="002F4A2B">
        <w:t xml:space="preserve"> </w:t>
      </w:r>
      <w:r w:rsidR="000C2259">
        <w:t>in this paper</w:t>
      </w:r>
      <w:r w:rsidR="00541A2C">
        <w:t xml:space="preserve">. </w:t>
      </w:r>
    </w:p>
    <w:p w14:paraId="08E02A4B" w14:textId="77777777" w:rsidR="00577FA6" w:rsidRDefault="00577FA6" w:rsidP="00367E28">
      <w:pPr>
        <w:pStyle w:val="IPPNumberedList"/>
        <w:numPr>
          <w:ilvl w:val="0"/>
          <w:numId w:val="0"/>
        </w:numPr>
        <w:rPr>
          <w:b/>
          <w:u w:val="single"/>
        </w:rPr>
      </w:pPr>
    </w:p>
    <w:p w14:paraId="3BDD4A5D" w14:textId="77777777" w:rsidR="00577FA6" w:rsidRDefault="00577FA6" w:rsidP="00367E28">
      <w:pPr>
        <w:pStyle w:val="IPPNumberedList"/>
        <w:numPr>
          <w:ilvl w:val="0"/>
          <w:numId w:val="0"/>
        </w:numPr>
        <w:rPr>
          <w:b/>
          <w:u w:val="single"/>
        </w:rPr>
      </w:pPr>
    </w:p>
    <w:p w14:paraId="46AF10F3" w14:textId="77777777" w:rsidR="00577FA6" w:rsidRDefault="00577FA6" w:rsidP="00367E28">
      <w:pPr>
        <w:pStyle w:val="IPPNumberedList"/>
        <w:numPr>
          <w:ilvl w:val="0"/>
          <w:numId w:val="0"/>
        </w:numPr>
        <w:rPr>
          <w:b/>
          <w:u w:val="single"/>
        </w:rPr>
      </w:pPr>
    </w:p>
    <w:p w14:paraId="1020BEAD" w14:textId="33510810" w:rsidR="00367E28" w:rsidRDefault="00367E28" w:rsidP="00367E28">
      <w:pPr>
        <w:pStyle w:val="IPPNumberedList"/>
        <w:numPr>
          <w:ilvl w:val="0"/>
          <w:numId w:val="0"/>
        </w:numPr>
        <w:rPr>
          <w:b/>
        </w:rPr>
      </w:pPr>
      <w:r w:rsidRPr="00541104">
        <w:rPr>
          <w:b/>
          <w:u w:val="single"/>
        </w:rPr>
        <w:lastRenderedPageBreak/>
        <w:t>ATTACHMENT 1.</w:t>
      </w:r>
      <w:r>
        <w:t xml:space="preserve"> </w:t>
      </w:r>
      <w:r w:rsidRPr="00367E28">
        <w:rPr>
          <w:b/>
        </w:rPr>
        <w:t>TPDP UPDATE TO THE SC</w:t>
      </w:r>
      <w:r>
        <w:rPr>
          <w:b/>
        </w:rPr>
        <w:t xml:space="preserve"> JULY 2022</w:t>
      </w:r>
    </w:p>
    <w:p w14:paraId="53AF1806" w14:textId="4DA120D4" w:rsidR="00367E28" w:rsidRDefault="00367E28" w:rsidP="00367E28">
      <w:pPr>
        <w:pStyle w:val="IPPNumberedList"/>
        <w:numPr>
          <w:ilvl w:val="0"/>
          <w:numId w:val="0"/>
        </w:numPr>
        <w:rPr>
          <w:b/>
        </w:rPr>
      </w:pPr>
    </w:p>
    <w:p w14:paraId="22B0104C" w14:textId="77777777" w:rsidR="00367E28" w:rsidRPr="00316E50" w:rsidRDefault="00367E28" w:rsidP="00367E28">
      <w:pPr>
        <w:pStyle w:val="IPPHeadSection"/>
        <w:tabs>
          <w:tab w:val="clear" w:pos="851"/>
        </w:tabs>
        <w:ind w:left="0" w:firstLine="0"/>
        <w:jc w:val="center"/>
        <w:rPr>
          <w:b w:val="0"/>
          <w:bCs w:val="0"/>
        </w:rPr>
      </w:pPr>
      <w:r w:rsidRPr="5E081FAC">
        <w:rPr>
          <w:lang w:eastAsia="en-GB"/>
        </w:rPr>
        <w:t>update on activities of the</w:t>
      </w:r>
      <w:r>
        <w:t xml:space="preserve"> Technical Panel on Diagnostic Protocols (TPDP) FROM JUNE 2021 TO July 2022</w:t>
      </w:r>
    </w:p>
    <w:p w14:paraId="576DFE50" w14:textId="77777777" w:rsidR="00367E28" w:rsidRPr="00204D54" w:rsidRDefault="00367E28" w:rsidP="00367E28">
      <w:pPr>
        <w:pStyle w:val="IPPNormal"/>
        <w:spacing w:before="120"/>
        <w:jc w:val="center"/>
        <w:rPr>
          <w:i/>
          <w:iCs/>
          <w:lang w:eastAsia="en-GB"/>
        </w:rPr>
      </w:pPr>
      <w:r w:rsidRPr="5E081FAC">
        <w:rPr>
          <w:i/>
          <w:iCs/>
          <w:lang w:eastAsia="en-GB"/>
        </w:rPr>
        <w:t xml:space="preserve">(Prepared by the IPPC </w:t>
      </w:r>
      <w:r w:rsidRPr="009B21DC">
        <w:rPr>
          <w:i/>
          <w:iCs/>
          <w:lang w:eastAsia="en-GB"/>
        </w:rPr>
        <w:t>Secretariat</w:t>
      </w:r>
      <w:r>
        <w:rPr>
          <w:i/>
          <w:iCs/>
          <w:lang w:eastAsia="en-GB"/>
        </w:rPr>
        <w:t xml:space="preserve"> with TPDP Steward’s revision)</w:t>
      </w:r>
    </w:p>
    <w:p w14:paraId="31C22093" w14:textId="77777777" w:rsidR="00367E28" w:rsidRPr="00204D54" w:rsidRDefault="00367E28" w:rsidP="00367E28">
      <w:pPr>
        <w:pStyle w:val="IPPHeading1"/>
      </w:pPr>
      <w:r w:rsidRPr="00204D54">
        <w:t>1. Background</w:t>
      </w:r>
    </w:p>
    <w:p w14:paraId="7F687540" w14:textId="77777777" w:rsidR="00367E28" w:rsidRDefault="00367E28" w:rsidP="00367E28">
      <w:pPr>
        <w:pStyle w:val="IPPParagraphnumbering"/>
      </w:pPr>
      <w:r>
        <w:t xml:space="preserve">More information about the </w:t>
      </w:r>
      <w:r w:rsidRPr="005461D0">
        <w:rPr>
          <w:lang w:val="en-GB" w:eastAsia="en-GB"/>
        </w:rPr>
        <w:t xml:space="preserve">Technical Panel on Diagnostic Protocols </w:t>
      </w:r>
      <w:r>
        <w:rPr>
          <w:lang w:val="en-GB" w:eastAsia="en-GB"/>
        </w:rPr>
        <w:t>(</w:t>
      </w:r>
      <w:r>
        <w:t xml:space="preserve">TPDP) can be found at </w:t>
      </w:r>
      <w:hyperlink r:id="rId16" w:history="1">
        <w:r>
          <w:rPr>
            <w:rStyle w:val="Hyperlink"/>
          </w:rPr>
          <w:t>https://www.ippc.int/en/core-activities/standards-setting/expert-drafting-groups/technical-panels/technical-panel-diagnostic-protocols/</w:t>
        </w:r>
      </w:hyperlink>
      <w:r>
        <w:t xml:space="preserve">. </w:t>
      </w:r>
    </w:p>
    <w:p w14:paraId="65670DE3" w14:textId="77777777" w:rsidR="00367E28" w:rsidRPr="000544B5" w:rsidRDefault="00367E28" w:rsidP="00367E28">
      <w:pPr>
        <w:pStyle w:val="IPPParagraphnumbering"/>
      </w:pPr>
      <w:r w:rsidRPr="000544B5">
        <w:t xml:space="preserve">The Steward for the TPDP is: </w:t>
      </w:r>
    </w:p>
    <w:p w14:paraId="3D8C9E33" w14:textId="77777777" w:rsidR="00367E28" w:rsidRPr="003B24BF" w:rsidRDefault="00367E28" w:rsidP="00367E28">
      <w:pPr>
        <w:pStyle w:val="IPPBullet1"/>
        <w:spacing w:after="180"/>
        <w:ind w:left="720" w:hanging="360"/>
        <w:rPr>
          <w:iCs/>
          <w:szCs w:val="22"/>
          <w:lang w:val="es-CU"/>
        </w:rPr>
      </w:pPr>
      <w:r w:rsidRPr="4913760B">
        <w:rPr>
          <w:lang w:val="es-CU"/>
        </w:rPr>
        <w:t>Mr Álvaro SEPULVEDA LUQUE (Steward)</w:t>
      </w:r>
    </w:p>
    <w:p w14:paraId="569DD11C" w14:textId="77777777" w:rsidR="00367E28" w:rsidRPr="000544B5" w:rsidRDefault="00367E28" w:rsidP="00367E28">
      <w:pPr>
        <w:pStyle w:val="IPPParagraphnumbering"/>
        <w:spacing w:before="120" w:after="120"/>
        <w:rPr>
          <w:lang w:val="en-GB"/>
        </w:rPr>
      </w:pPr>
      <w:r w:rsidRPr="000544B5">
        <w:rPr>
          <w:lang w:val="en-GB"/>
        </w:rPr>
        <w:t xml:space="preserve">The IPPC Secretariat support for the </w:t>
      </w:r>
      <w:r w:rsidRPr="000544B5">
        <w:rPr>
          <w:lang w:val="en-GB" w:eastAsia="en-GB"/>
        </w:rPr>
        <w:t>TPDP</w:t>
      </w:r>
      <w:r w:rsidRPr="000544B5">
        <w:rPr>
          <w:lang w:val="en-GB"/>
        </w:rPr>
        <w:t xml:space="preserve"> are:</w:t>
      </w:r>
    </w:p>
    <w:p w14:paraId="7F6BFD0E" w14:textId="77777777" w:rsidR="00367E28" w:rsidRPr="000544B5" w:rsidRDefault="00367E28" w:rsidP="00367E28">
      <w:pPr>
        <w:pStyle w:val="IPPBullet1"/>
        <w:ind w:left="720" w:hanging="360"/>
        <w:rPr>
          <w:iCs/>
          <w:szCs w:val="22"/>
        </w:rPr>
      </w:pPr>
      <w:proofErr w:type="spellStart"/>
      <w:r w:rsidRPr="4913760B">
        <w:t>Ms</w:t>
      </w:r>
      <w:proofErr w:type="spellEnd"/>
      <w:r w:rsidRPr="4913760B">
        <w:t xml:space="preserve"> Adriana G. MOREIRA (lead)</w:t>
      </w:r>
    </w:p>
    <w:p w14:paraId="6CD7F2C7" w14:textId="77777777" w:rsidR="00367E28" w:rsidRPr="00AC26DE" w:rsidRDefault="00367E28" w:rsidP="00367E28">
      <w:pPr>
        <w:pStyle w:val="IPPBullet1"/>
        <w:ind w:left="720" w:hanging="360"/>
        <w:rPr>
          <w:iCs/>
          <w:szCs w:val="22"/>
          <w:lang w:val="fr-BE"/>
        </w:rPr>
      </w:pPr>
      <w:proofErr w:type="spellStart"/>
      <w:r w:rsidRPr="00AC26DE">
        <w:t>Ms</w:t>
      </w:r>
      <w:proofErr w:type="spellEnd"/>
      <w:r w:rsidRPr="00AC26DE">
        <w:t xml:space="preserve"> Aoife CASSIN (support)</w:t>
      </w:r>
    </w:p>
    <w:p w14:paraId="33899D54" w14:textId="77777777" w:rsidR="00367E28" w:rsidRPr="00577FA6" w:rsidRDefault="00367E28" w:rsidP="00367E28">
      <w:pPr>
        <w:pStyle w:val="IPPBullet1"/>
        <w:spacing w:after="180"/>
        <w:ind w:left="714" w:hanging="357"/>
        <w:rPr>
          <w:lang w:val="fr-BE"/>
        </w:rPr>
      </w:pPr>
      <w:r w:rsidRPr="00577FA6">
        <w:rPr>
          <w:lang w:val="fr-BE"/>
        </w:rPr>
        <w:t>Ms Erika MANGILI ANDRÉ (support)</w:t>
      </w:r>
    </w:p>
    <w:p w14:paraId="41655BAF" w14:textId="77777777" w:rsidR="00367E28" w:rsidRPr="00541696" w:rsidRDefault="00367E28" w:rsidP="00367E28">
      <w:pPr>
        <w:pStyle w:val="IPPHeading1"/>
        <w:rPr>
          <w:lang w:val="en-NZ"/>
        </w:rPr>
      </w:pPr>
      <w:r>
        <w:rPr>
          <w:lang w:val="en-NZ"/>
        </w:rPr>
        <w:t xml:space="preserve">2. </w:t>
      </w:r>
      <w:r w:rsidRPr="00541696">
        <w:rPr>
          <w:lang w:val="en-NZ"/>
        </w:rPr>
        <w:t>Membership update</w:t>
      </w:r>
    </w:p>
    <w:p w14:paraId="687B1CF1" w14:textId="77777777" w:rsidR="00367E28" w:rsidRPr="000544B5" w:rsidRDefault="00367E28" w:rsidP="00367E28">
      <w:pPr>
        <w:pStyle w:val="IPPPargraphnumbering"/>
        <w:numPr>
          <w:ilvl w:val="0"/>
          <w:numId w:val="11"/>
        </w:numPr>
        <w:spacing w:before="120" w:after="120"/>
        <w:rPr>
          <w:lang w:val="en-GB"/>
        </w:rPr>
      </w:pPr>
      <w:r w:rsidRPr="000544B5">
        <w:rPr>
          <w:lang w:val="en-GB"/>
        </w:rPr>
        <w:t xml:space="preserve">The </w:t>
      </w:r>
      <w:hyperlink r:id="rId17" w:history="1">
        <w:r w:rsidRPr="00FA5089">
          <w:rPr>
            <w:rStyle w:val="Hyperlink"/>
            <w:lang w:val="en-GB"/>
          </w:rPr>
          <w:t>TPDP membership and contact information</w:t>
        </w:r>
      </w:hyperlink>
      <w:r w:rsidRPr="00FA5089">
        <w:rPr>
          <w:lang w:val="en-GB"/>
        </w:rPr>
        <w:t xml:space="preserve"> </w:t>
      </w:r>
      <w:r w:rsidRPr="000544B5">
        <w:rPr>
          <w:lang w:val="en-GB"/>
        </w:rPr>
        <w:t>can be found on IPP</w:t>
      </w:r>
      <w:r w:rsidRPr="000544B5">
        <w:rPr>
          <w:rStyle w:val="FootnoteReference"/>
          <w:lang w:val="en-GB"/>
        </w:rPr>
        <w:footnoteReference w:id="3"/>
      </w:r>
      <w:r w:rsidRPr="000544B5">
        <w:rPr>
          <w:lang w:val="en-GB"/>
        </w:rPr>
        <w:t xml:space="preserve">. Table 1 shows a simplified version of the TPDP membership as of </w:t>
      </w:r>
      <w:r>
        <w:rPr>
          <w:lang w:val="en-GB"/>
        </w:rPr>
        <w:t>May</w:t>
      </w:r>
      <w:r w:rsidRPr="000544B5">
        <w:rPr>
          <w:lang w:val="en-GB"/>
        </w:rPr>
        <w:t xml:space="preserve"> 202</w:t>
      </w:r>
      <w:r>
        <w:rPr>
          <w:lang w:val="en-GB"/>
        </w:rPr>
        <w:t>2</w:t>
      </w:r>
      <w:r w:rsidRPr="000544B5">
        <w:rPr>
          <w:lang w:val="en-GB"/>
        </w:rPr>
        <w:t xml:space="preserve">. </w:t>
      </w:r>
    </w:p>
    <w:p w14:paraId="5612379F" w14:textId="77777777" w:rsidR="00367E28" w:rsidRPr="009B21DC" w:rsidRDefault="00367E28" w:rsidP="00367E28">
      <w:pPr>
        <w:pStyle w:val="IPPArialTable"/>
        <w:spacing w:after="120"/>
        <w:jc w:val="center"/>
        <w:rPr>
          <w:rFonts w:ascii="Times New Roman" w:hAnsi="Times New Roman"/>
          <w:sz w:val="22"/>
          <w:szCs w:val="22"/>
        </w:rPr>
      </w:pPr>
      <w:r w:rsidRPr="009B21DC">
        <w:rPr>
          <w:rFonts w:ascii="Times New Roman" w:hAnsi="Times New Roman"/>
          <w:b/>
          <w:sz w:val="22"/>
          <w:szCs w:val="22"/>
        </w:rPr>
        <w:t>Table 1.</w:t>
      </w:r>
      <w:r w:rsidRPr="009B21DC">
        <w:rPr>
          <w:rFonts w:ascii="Times New Roman" w:hAnsi="Times New Roman"/>
          <w:sz w:val="22"/>
          <w:szCs w:val="22"/>
        </w:rPr>
        <w:t xml:space="preserve"> TPDP membership (as of May 2022) and expertise of its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10"/>
        <w:gridCol w:w="1951"/>
        <w:gridCol w:w="2095"/>
      </w:tblGrid>
      <w:tr w:rsidR="00367E28" w:rsidRPr="007B3EDD" w14:paraId="2BFC7911" w14:textId="77777777" w:rsidTr="00367E28">
        <w:trPr>
          <w:tblHeader/>
        </w:trPr>
        <w:tc>
          <w:tcPr>
            <w:tcW w:w="865" w:type="pct"/>
            <w:shd w:val="clear" w:color="auto" w:fill="BFBFBF"/>
          </w:tcPr>
          <w:p w14:paraId="13ECA216" w14:textId="77777777" w:rsidR="00367E28" w:rsidRPr="007B3EDD" w:rsidRDefault="00367E28" w:rsidP="00367E28">
            <w:pPr>
              <w:pStyle w:val="IPPArialTable"/>
              <w:rPr>
                <w:rFonts w:cs="Arial"/>
                <w:b/>
                <w:szCs w:val="18"/>
              </w:rPr>
            </w:pPr>
            <w:r w:rsidRPr="007B3EDD">
              <w:rPr>
                <w:rFonts w:cs="Arial"/>
                <w:b/>
                <w:szCs w:val="18"/>
              </w:rPr>
              <w:t>Participant role</w:t>
            </w:r>
          </w:p>
        </w:tc>
        <w:tc>
          <w:tcPr>
            <w:tcW w:w="1891" w:type="pct"/>
            <w:shd w:val="clear" w:color="auto" w:fill="BFBFBF"/>
          </w:tcPr>
          <w:p w14:paraId="7812D8DE" w14:textId="77777777" w:rsidR="00367E28" w:rsidRPr="007B3EDD" w:rsidRDefault="00367E28" w:rsidP="00367E28">
            <w:pPr>
              <w:pStyle w:val="IPPArialTable"/>
              <w:rPr>
                <w:rFonts w:cs="Arial"/>
                <w:b/>
                <w:szCs w:val="18"/>
              </w:rPr>
            </w:pPr>
            <w:r w:rsidRPr="007B3EDD">
              <w:rPr>
                <w:rFonts w:cs="Arial"/>
                <w:b/>
                <w:szCs w:val="18"/>
              </w:rPr>
              <w:t>Name (country)</w:t>
            </w:r>
          </w:p>
        </w:tc>
        <w:tc>
          <w:tcPr>
            <w:tcW w:w="1082" w:type="pct"/>
            <w:shd w:val="clear" w:color="auto" w:fill="BFBFBF"/>
          </w:tcPr>
          <w:p w14:paraId="0616A34E" w14:textId="77777777" w:rsidR="00367E28" w:rsidRPr="007B3EDD" w:rsidRDefault="00367E28" w:rsidP="00367E28">
            <w:pPr>
              <w:pStyle w:val="IPPArialTable"/>
              <w:rPr>
                <w:rFonts w:cs="Arial"/>
                <w:b/>
                <w:szCs w:val="18"/>
              </w:rPr>
            </w:pPr>
            <w:r w:rsidRPr="007B3EDD">
              <w:rPr>
                <w:rFonts w:cs="Arial"/>
                <w:b/>
                <w:szCs w:val="18"/>
              </w:rPr>
              <w:t>Expertise</w:t>
            </w:r>
          </w:p>
        </w:tc>
        <w:tc>
          <w:tcPr>
            <w:tcW w:w="1162" w:type="pct"/>
            <w:shd w:val="clear" w:color="auto" w:fill="BFBFBF"/>
          </w:tcPr>
          <w:p w14:paraId="2D83951E" w14:textId="77777777" w:rsidR="00367E28" w:rsidRPr="007B3EDD" w:rsidRDefault="00367E28" w:rsidP="00367E28">
            <w:pPr>
              <w:pStyle w:val="IPPArialTable"/>
              <w:rPr>
                <w:rFonts w:cs="Arial"/>
                <w:b/>
                <w:szCs w:val="18"/>
              </w:rPr>
            </w:pPr>
            <w:r w:rsidRPr="007B3EDD">
              <w:rPr>
                <w:rFonts w:cs="Arial"/>
                <w:b/>
                <w:szCs w:val="18"/>
              </w:rPr>
              <w:t>Term expires</w:t>
            </w:r>
          </w:p>
        </w:tc>
      </w:tr>
      <w:tr w:rsidR="00367E28" w:rsidRPr="00577FA6" w14:paraId="2F5D1AD2" w14:textId="77777777" w:rsidTr="00367E28">
        <w:tc>
          <w:tcPr>
            <w:tcW w:w="865" w:type="pct"/>
            <w:vAlign w:val="center"/>
          </w:tcPr>
          <w:p w14:paraId="0FBD3A80" w14:textId="77777777" w:rsidR="00367E28" w:rsidRPr="007B3EDD" w:rsidRDefault="00367E28" w:rsidP="00367E28">
            <w:pPr>
              <w:pStyle w:val="IPPArialTable"/>
              <w:rPr>
                <w:rFonts w:cs="Arial"/>
                <w:szCs w:val="18"/>
              </w:rPr>
            </w:pPr>
            <w:r w:rsidRPr="007B3EDD">
              <w:rPr>
                <w:rFonts w:cs="Arial"/>
                <w:szCs w:val="18"/>
              </w:rPr>
              <w:t>Steward</w:t>
            </w:r>
          </w:p>
        </w:tc>
        <w:tc>
          <w:tcPr>
            <w:tcW w:w="1891" w:type="pct"/>
            <w:vAlign w:val="center"/>
          </w:tcPr>
          <w:p w14:paraId="6979F240" w14:textId="77777777" w:rsidR="00367E28" w:rsidRPr="007B3EDD" w:rsidRDefault="00367E28" w:rsidP="00367E28">
            <w:pPr>
              <w:pStyle w:val="IPPArialTable"/>
              <w:rPr>
                <w:rFonts w:cs="Arial"/>
                <w:szCs w:val="18"/>
                <w:lang w:val="es-CU"/>
              </w:rPr>
            </w:pPr>
            <w:proofErr w:type="spellStart"/>
            <w:r w:rsidRPr="007B3EDD">
              <w:rPr>
                <w:rFonts w:cs="Arial"/>
                <w:szCs w:val="18"/>
                <w:lang w:val="es-AR"/>
              </w:rPr>
              <w:t>Mr</w:t>
            </w:r>
            <w:proofErr w:type="spellEnd"/>
            <w:r w:rsidRPr="007B3EDD">
              <w:rPr>
                <w:rFonts w:cs="Arial"/>
                <w:szCs w:val="18"/>
                <w:lang w:val="es-AR"/>
              </w:rPr>
              <w:t xml:space="preserve"> Álvaro SEPULVEDA LUQUE (Chile)</w:t>
            </w:r>
          </w:p>
        </w:tc>
        <w:tc>
          <w:tcPr>
            <w:tcW w:w="1082" w:type="pct"/>
            <w:shd w:val="clear" w:color="auto" w:fill="D9D9D9"/>
            <w:vAlign w:val="center"/>
          </w:tcPr>
          <w:p w14:paraId="064F7278" w14:textId="77777777" w:rsidR="00367E28" w:rsidRPr="007B3EDD" w:rsidRDefault="00367E28" w:rsidP="00367E28">
            <w:pPr>
              <w:pStyle w:val="IPPArialTable"/>
              <w:rPr>
                <w:rFonts w:cs="Arial"/>
                <w:szCs w:val="18"/>
                <w:lang w:val="es-CU"/>
              </w:rPr>
            </w:pPr>
          </w:p>
        </w:tc>
        <w:tc>
          <w:tcPr>
            <w:tcW w:w="1162" w:type="pct"/>
            <w:shd w:val="clear" w:color="auto" w:fill="D9D9D9"/>
          </w:tcPr>
          <w:p w14:paraId="30E72AAE" w14:textId="77777777" w:rsidR="00367E28" w:rsidRPr="007B3EDD" w:rsidRDefault="00367E28" w:rsidP="00367E28">
            <w:pPr>
              <w:pStyle w:val="IPPArialTable"/>
              <w:rPr>
                <w:rFonts w:cs="Arial"/>
                <w:szCs w:val="18"/>
                <w:lang w:val="es-CU"/>
              </w:rPr>
            </w:pPr>
          </w:p>
        </w:tc>
      </w:tr>
      <w:tr w:rsidR="00367E28" w:rsidRPr="007B3EDD" w14:paraId="11297F61" w14:textId="77777777" w:rsidTr="00367E28">
        <w:tc>
          <w:tcPr>
            <w:tcW w:w="865" w:type="pct"/>
            <w:vAlign w:val="center"/>
          </w:tcPr>
          <w:p w14:paraId="21DABA51" w14:textId="77777777" w:rsidR="00367E28" w:rsidRPr="007B3EDD" w:rsidRDefault="00367E28" w:rsidP="00367E28">
            <w:pPr>
              <w:pStyle w:val="IPPArialTable"/>
              <w:rPr>
                <w:rFonts w:cs="Arial"/>
                <w:szCs w:val="18"/>
              </w:rPr>
            </w:pPr>
            <w:r w:rsidRPr="007B3EDD">
              <w:rPr>
                <w:rFonts w:cs="Arial"/>
                <w:szCs w:val="18"/>
              </w:rPr>
              <w:t>Member</w:t>
            </w:r>
          </w:p>
        </w:tc>
        <w:tc>
          <w:tcPr>
            <w:tcW w:w="1891" w:type="pct"/>
            <w:vAlign w:val="center"/>
          </w:tcPr>
          <w:p w14:paraId="5F2A689A" w14:textId="77777777" w:rsidR="00367E28" w:rsidRPr="007B3EDD" w:rsidRDefault="00367E28" w:rsidP="00367E28">
            <w:pPr>
              <w:pStyle w:val="IPPArialTable"/>
              <w:rPr>
                <w:rFonts w:cs="Arial"/>
                <w:szCs w:val="18"/>
              </w:rPr>
            </w:pPr>
            <w:r w:rsidRPr="007B3EDD">
              <w:rPr>
                <w:rFonts w:cs="Arial"/>
                <w:szCs w:val="18"/>
              </w:rPr>
              <w:t>Mr Robert TAYLOR (New Zealand)</w:t>
            </w:r>
          </w:p>
        </w:tc>
        <w:tc>
          <w:tcPr>
            <w:tcW w:w="1082" w:type="pct"/>
            <w:vAlign w:val="center"/>
          </w:tcPr>
          <w:p w14:paraId="78FBB81B" w14:textId="77777777" w:rsidR="00367E28" w:rsidRPr="007B3EDD" w:rsidRDefault="00367E28" w:rsidP="00367E28">
            <w:pPr>
              <w:pStyle w:val="IPPArialTable"/>
              <w:rPr>
                <w:rFonts w:cs="Arial"/>
                <w:szCs w:val="18"/>
              </w:rPr>
            </w:pPr>
            <w:r w:rsidRPr="007B3EDD">
              <w:rPr>
                <w:rFonts w:cs="Arial"/>
                <w:szCs w:val="18"/>
              </w:rPr>
              <w:t>Bacteriology (and backup for mycology)</w:t>
            </w:r>
          </w:p>
        </w:tc>
        <w:tc>
          <w:tcPr>
            <w:tcW w:w="1162" w:type="pct"/>
            <w:vAlign w:val="center"/>
          </w:tcPr>
          <w:p w14:paraId="6BD2CDAE" w14:textId="77777777" w:rsidR="00367E28" w:rsidRPr="007B3EDD" w:rsidRDefault="00367E28" w:rsidP="00367E28">
            <w:pPr>
              <w:pStyle w:val="IPPArialTable"/>
              <w:rPr>
                <w:rFonts w:cs="Arial"/>
                <w:szCs w:val="18"/>
              </w:rPr>
            </w:pPr>
            <w:r w:rsidRPr="007B3EDD">
              <w:rPr>
                <w:rFonts w:cs="Arial"/>
                <w:szCs w:val="18"/>
              </w:rPr>
              <w:t>May 2021 (2</w:t>
            </w:r>
            <w:r w:rsidRPr="007B3EDD">
              <w:rPr>
                <w:rFonts w:cs="Arial"/>
                <w:szCs w:val="18"/>
                <w:vertAlign w:val="superscript"/>
              </w:rPr>
              <w:t>nd</w:t>
            </w:r>
            <w:r w:rsidRPr="007B3EDD">
              <w:rPr>
                <w:rFonts w:cs="Arial"/>
                <w:szCs w:val="18"/>
              </w:rPr>
              <w:t xml:space="preserve"> term)</w:t>
            </w:r>
          </w:p>
        </w:tc>
      </w:tr>
      <w:tr w:rsidR="00367E28" w:rsidRPr="007B3EDD" w14:paraId="7127513F" w14:textId="77777777" w:rsidTr="00367E28">
        <w:tc>
          <w:tcPr>
            <w:tcW w:w="865" w:type="pct"/>
            <w:vAlign w:val="center"/>
          </w:tcPr>
          <w:p w14:paraId="000866C3" w14:textId="77777777" w:rsidR="00367E28" w:rsidRPr="007B3EDD" w:rsidRDefault="00367E28" w:rsidP="00367E28">
            <w:pPr>
              <w:pStyle w:val="IPPArialTable"/>
              <w:rPr>
                <w:rFonts w:cs="Arial"/>
                <w:szCs w:val="18"/>
              </w:rPr>
            </w:pPr>
            <w:r w:rsidRPr="007B3EDD">
              <w:rPr>
                <w:rFonts w:cs="Arial"/>
                <w:szCs w:val="18"/>
              </w:rPr>
              <w:t>Member</w:t>
            </w:r>
          </w:p>
        </w:tc>
        <w:tc>
          <w:tcPr>
            <w:tcW w:w="1891" w:type="pct"/>
            <w:vAlign w:val="center"/>
          </w:tcPr>
          <w:p w14:paraId="5D5AF4FF" w14:textId="77777777" w:rsidR="00367E28" w:rsidRPr="007B3EDD" w:rsidRDefault="00367E28" w:rsidP="00367E28">
            <w:pPr>
              <w:pStyle w:val="IPPArialTable"/>
              <w:rPr>
                <w:rFonts w:cs="Arial"/>
                <w:szCs w:val="18"/>
              </w:rPr>
            </w:pPr>
            <w:r w:rsidRPr="007B3EDD">
              <w:rPr>
                <w:rFonts w:cs="Arial"/>
                <w:szCs w:val="18"/>
              </w:rPr>
              <w:t xml:space="preserve">Ms </w:t>
            </w:r>
            <w:proofErr w:type="spellStart"/>
            <w:r w:rsidRPr="007B3EDD">
              <w:rPr>
                <w:rFonts w:cs="Arial"/>
                <w:szCs w:val="18"/>
              </w:rPr>
              <w:t>Liping</w:t>
            </w:r>
            <w:proofErr w:type="spellEnd"/>
            <w:r w:rsidRPr="007B3EDD">
              <w:rPr>
                <w:rFonts w:cs="Arial"/>
                <w:szCs w:val="18"/>
              </w:rPr>
              <w:t xml:space="preserve"> YIN (China)</w:t>
            </w:r>
          </w:p>
        </w:tc>
        <w:tc>
          <w:tcPr>
            <w:tcW w:w="1082" w:type="pct"/>
            <w:vAlign w:val="center"/>
          </w:tcPr>
          <w:p w14:paraId="0575B049" w14:textId="77777777" w:rsidR="00367E28" w:rsidRPr="007B3EDD" w:rsidRDefault="00367E28" w:rsidP="00367E28">
            <w:pPr>
              <w:pStyle w:val="IPPArialTable"/>
              <w:rPr>
                <w:rFonts w:cs="Arial"/>
                <w:szCs w:val="18"/>
              </w:rPr>
            </w:pPr>
            <w:r w:rsidRPr="007B3EDD">
              <w:rPr>
                <w:rFonts w:cs="Arial"/>
                <w:szCs w:val="18"/>
              </w:rPr>
              <w:t>Botany</w:t>
            </w:r>
          </w:p>
        </w:tc>
        <w:tc>
          <w:tcPr>
            <w:tcW w:w="1162" w:type="pct"/>
            <w:vAlign w:val="center"/>
          </w:tcPr>
          <w:p w14:paraId="0EF892E0" w14:textId="77777777" w:rsidR="00367E28" w:rsidRPr="007B3EDD" w:rsidRDefault="00367E28" w:rsidP="00367E28">
            <w:pPr>
              <w:pStyle w:val="IPPArialTable"/>
              <w:rPr>
                <w:rFonts w:cs="Arial"/>
                <w:szCs w:val="18"/>
              </w:rPr>
            </w:pPr>
            <w:r w:rsidRPr="007B3EDD">
              <w:rPr>
                <w:rFonts w:cs="Arial"/>
                <w:szCs w:val="18"/>
              </w:rPr>
              <w:t>April 2023 (3</w:t>
            </w:r>
            <w:r w:rsidRPr="007B3EDD">
              <w:rPr>
                <w:rFonts w:cs="Arial"/>
                <w:szCs w:val="18"/>
                <w:vertAlign w:val="superscript"/>
              </w:rPr>
              <w:t xml:space="preserve">rd </w:t>
            </w:r>
            <w:r w:rsidRPr="007B3EDD">
              <w:rPr>
                <w:rFonts w:cs="Arial"/>
                <w:szCs w:val="18"/>
              </w:rPr>
              <w:t>term)</w:t>
            </w:r>
          </w:p>
        </w:tc>
      </w:tr>
      <w:tr w:rsidR="00367E28" w:rsidRPr="007B3EDD" w14:paraId="02350A3E" w14:textId="77777777" w:rsidTr="00367E28">
        <w:tc>
          <w:tcPr>
            <w:tcW w:w="865" w:type="pct"/>
            <w:vAlign w:val="center"/>
          </w:tcPr>
          <w:p w14:paraId="0C64CEBB" w14:textId="77777777" w:rsidR="00367E28" w:rsidRPr="007B3EDD" w:rsidRDefault="00367E28" w:rsidP="00367E28">
            <w:pPr>
              <w:pStyle w:val="IPPArialTable"/>
              <w:rPr>
                <w:rFonts w:cs="Arial"/>
                <w:szCs w:val="18"/>
              </w:rPr>
            </w:pPr>
            <w:r w:rsidRPr="007B3EDD">
              <w:rPr>
                <w:rFonts w:cs="Arial"/>
                <w:szCs w:val="18"/>
              </w:rPr>
              <w:t>Member</w:t>
            </w:r>
          </w:p>
        </w:tc>
        <w:tc>
          <w:tcPr>
            <w:tcW w:w="1891" w:type="pct"/>
            <w:vAlign w:val="center"/>
          </w:tcPr>
          <w:p w14:paraId="125BA4B1" w14:textId="77777777" w:rsidR="00367E28" w:rsidRPr="007B3EDD" w:rsidRDefault="00367E28" w:rsidP="00367E28">
            <w:pPr>
              <w:pStyle w:val="IPPArialTable"/>
              <w:rPr>
                <w:rFonts w:cs="Arial"/>
                <w:szCs w:val="18"/>
                <w:lang w:val="it-IT"/>
              </w:rPr>
            </w:pPr>
            <w:r w:rsidRPr="007B3EDD">
              <w:rPr>
                <w:rFonts w:cs="Arial"/>
                <w:szCs w:val="18"/>
                <w:lang w:val="it-IT"/>
              </w:rPr>
              <w:t>Ms Colette C. JACONO (USA)</w:t>
            </w:r>
          </w:p>
        </w:tc>
        <w:tc>
          <w:tcPr>
            <w:tcW w:w="1082" w:type="pct"/>
            <w:vAlign w:val="center"/>
          </w:tcPr>
          <w:p w14:paraId="60C9DC16" w14:textId="77777777" w:rsidR="00367E28" w:rsidRPr="007B3EDD" w:rsidRDefault="00367E28" w:rsidP="00367E28">
            <w:pPr>
              <w:pStyle w:val="IPPArialTable"/>
              <w:rPr>
                <w:rFonts w:cs="Arial"/>
                <w:szCs w:val="18"/>
              </w:rPr>
            </w:pPr>
            <w:r w:rsidRPr="007B3EDD">
              <w:rPr>
                <w:rFonts w:cs="Arial"/>
                <w:szCs w:val="18"/>
              </w:rPr>
              <w:t>Botany</w:t>
            </w:r>
          </w:p>
        </w:tc>
        <w:tc>
          <w:tcPr>
            <w:tcW w:w="1162" w:type="pct"/>
            <w:vAlign w:val="center"/>
          </w:tcPr>
          <w:p w14:paraId="3B0D2444" w14:textId="77777777" w:rsidR="00367E28" w:rsidRPr="007B3EDD" w:rsidRDefault="00367E28" w:rsidP="00367E28">
            <w:pPr>
              <w:pStyle w:val="IPPArialTable"/>
              <w:rPr>
                <w:rFonts w:cs="Arial"/>
                <w:szCs w:val="18"/>
              </w:rPr>
            </w:pPr>
            <w:r w:rsidRPr="007B3EDD">
              <w:rPr>
                <w:rFonts w:cs="Arial"/>
                <w:szCs w:val="18"/>
              </w:rPr>
              <w:t>October 2025 (1</w:t>
            </w:r>
            <w:r w:rsidRPr="007B3EDD">
              <w:rPr>
                <w:rFonts w:cs="Arial"/>
                <w:szCs w:val="18"/>
                <w:vertAlign w:val="superscript"/>
              </w:rPr>
              <w:t>st</w:t>
            </w:r>
            <w:r w:rsidRPr="007B3EDD">
              <w:rPr>
                <w:rFonts w:cs="Arial"/>
                <w:szCs w:val="18"/>
              </w:rPr>
              <w:t xml:space="preserve"> term)</w:t>
            </w:r>
          </w:p>
        </w:tc>
      </w:tr>
      <w:tr w:rsidR="00367E28" w:rsidRPr="007B3EDD" w14:paraId="12A1787B" w14:textId="77777777" w:rsidTr="00367E28">
        <w:tc>
          <w:tcPr>
            <w:tcW w:w="865" w:type="pct"/>
            <w:vAlign w:val="center"/>
          </w:tcPr>
          <w:p w14:paraId="47D68F37" w14:textId="77777777" w:rsidR="00367E28" w:rsidRPr="007B3EDD" w:rsidRDefault="00367E28" w:rsidP="00367E28">
            <w:pPr>
              <w:pStyle w:val="IPPArialTable"/>
              <w:rPr>
                <w:rFonts w:cs="Arial"/>
                <w:szCs w:val="18"/>
              </w:rPr>
            </w:pPr>
            <w:r w:rsidRPr="007B3EDD">
              <w:rPr>
                <w:rFonts w:cs="Arial"/>
                <w:szCs w:val="18"/>
              </w:rPr>
              <w:t>Member</w:t>
            </w:r>
          </w:p>
        </w:tc>
        <w:tc>
          <w:tcPr>
            <w:tcW w:w="1891" w:type="pct"/>
            <w:vAlign w:val="center"/>
          </w:tcPr>
          <w:p w14:paraId="0D410EA6" w14:textId="77777777" w:rsidR="00367E28" w:rsidRPr="007B3EDD" w:rsidRDefault="00367E28" w:rsidP="00367E28">
            <w:pPr>
              <w:pStyle w:val="IPPArialTable"/>
              <w:rPr>
                <w:rFonts w:cs="Arial"/>
                <w:szCs w:val="18"/>
              </w:rPr>
            </w:pPr>
            <w:r w:rsidRPr="007B3EDD">
              <w:rPr>
                <w:rFonts w:cs="Arial"/>
                <w:szCs w:val="18"/>
              </w:rPr>
              <w:t>Mr Norman B. BARR (United States)</w:t>
            </w:r>
          </w:p>
        </w:tc>
        <w:tc>
          <w:tcPr>
            <w:tcW w:w="1082" w:type="pct"/>
            <w:vAlign w:val="center"/>
          </w:tcPr>
          <w:p w14:paraId="13DB9C5F" w14:textId="77777777" w:rsidR="00367E28" w:rsidRPr="007B3EDD" w:rsidRDefault="00367E28" w:rsidP="00367E28">
            <w:pPr>
              <w:pStyle w:val="IPPArialTable"/>
              <w:rPr>
                <w:rFonts w:cs="Arial"/>
                <w:szCs w:val="18"/>
              </w:rPr>
            </w:pPr>
            <w:r w:rsidRPr="007B3EDD">
              <w:rPr>
                <w:rFonts w:cs="Arial"/>
                <w:szCs w:val="18"/>
              </w:rPr>
              <w:t>Entomology</w:t>
            </w:r>
          </w:p>
        </w:tc>
        <w:tc>
          <w:tcPr>
            <w:tcW w:w="1162" w:type="pct"/>
            <w:vAlign w:val="center"/>
          </w:tcPr>
          <w:p w14:paraId="6B0AA67A" w14:textId="77777777" w:rsidR="00367E28" w:rsidRPr="007B3EDD" w:rsidRDefault="00367E28" w:rsidP="00367E28">
            <w:pPr>
              <w:pStyle w:val="IPPArialTable"/>
              <w:rPr>
                <w:rFonts w:cs="Arial"/>
                <w:szCs w:val="18"/>
              </w:rPr>
            </w:pPr>
            <w:r w:rsidRPr="007B3EDD">
              <w:rPr>
                <w:rFonts w:cs="Arial"/>
                <w:szCs w:val="18"/>
              </w:rPr>
              <w:t>July 2022 (2</w:t>
            </w:r>
            <w:r w:rsidRPr="007B3EDD">
              <w:rPr>
                <w:rFonts w:cs="Arial"/>
                <w:szCs w:val="18"/>
                <w:vertAlign w:val="superscript"/>
              </w:rPr>
              <w:t>nd</w:t>
            </w:r>
            <w:r w:rsidRPr="007B3EDD">
              <w:rPr>
                <w:rFonts w:cs="Arial"/>
                <w:szCs w:val="18"/>
              </w:rPr>
              <w:t xml:space="preserve"> term)</w:t>
            </w:r>
          </w:p>
        </w:tc>
      </w:tr>
      <w:tr w:rsidR="00367E28" w:rsidRPr="007B3EDD" w14:paraId="41A87843" w14:textId="77777777" w:rsidTr="00367E28">
        <w:tc>
          <w:tcPr>
            <w:tcW w:w="865" w:type="pct"/>
            <w:vAlign w:val="center"/>
          </w:tcPr>
          <w:p w14:paraId="5797B85C" w14:textId="77777777" w:rsidR="00367E28" w:rsidRPr="007B3EDD" w:rsidRDefault="00367E28" w:rsidP="00367E28">
            <w:pPr>
              <w:pStyle w:val="IPPArialTable"/>
              <w:rPr>
                <w:rFonts w:cs="Arial"/>
                <w:szCs w:val="18"/>
              </w:rPr>
            </w:pPr>
            <w:r w:rsidRPr="007B3EDD">
              <w:rPr>
                <w:rFonts w:cs="Arial"/>
                <w:szCs w:val="18"/>
              </w:rPr>
              <w:t>Member</w:t>
            </w:r>
          </w:p>
        </w:tc>
        <w:tc>
          <w:tcPr>
            <w:tcW w:w="1891" w:type="pct"/>
            <w:vAlign w:val="center"/>
          </w:tcPr>
          <w:p w14:paraId="72888BAB" w14:textId="77777777" w:rsidR="00367E28" w:rsidRPr="007B3EDD" w:rsidRDefault="00367E28" w:rsidP="00367E28">
            <w:pPr>
              <w:pStyle w:val="IPPArialTable"/>
              <w:rPr>
                <w:rFonts w:cs="Arial"/>
                <w:szCs w:val="18"/>
              </w:rPr>
            </w:pPr>
            <w:r w:rsidRPr="007B3EDD">
              <w:rPr>
                <w:rFonts w:cs="Arial"/>
                <w:szCs w:val="18"/>
              </w:rPr>
              <w:t>Ms Juliet GOLDSMITH (CAHFSA)</w:t>
            </w:r>
          </w:p>
        </w:tc>
        <w:tc>
          <w:tcPr>
            <w:tcW w:w="1082" w:type="pct"/>
            <w:vAlign w:val="center"/>
          </w:tcPr>
          <w:p w14:paraId="7B630EB0" w14:textId="77777777" w:rsidR="00367E28" w:rsidRPr="007B3EDD" w:rsidRDefault="00367E28" w:rsidP="00367E28">
            <w:pPr>
              <w:pStyle w:val="IPPArialTable"/>
              <w:rPr>
                <w:rFonts w:cs="Arial"/>
                <w:szCs w:val="18"/>
              </w:rPr>
            </w:pPr>
            <w:r w:rsidRPr="007B3EDD">
              <w:rPr>
                <w:rFonts w:cs="Arial"/>
                <w:szCs w:val="18"/>
              </w:rPr>
              <w:t>Entomology</w:t>
            </w:r>
          </w:p>
        </w:tc>
        <w:tc>
          <w:tcPr>
            <w:tcW w:w="1162" w:type="pct"/>
            <w:vAlign w:val="center"/>
          </w:tcPr>
          <w:p w14:paraId="2237619D" w14:textId="77777777" w:rsidR="00367E28" w:rsidRPr="007B3EDD" w:rsidRDefault="00367E28" w:rsidP="00367E28">
            <w:pPr>
              <w:pStyle w:val="IPPArialTable"/>
              <w:rPr>
                <w:rFonts w:cs="Arial"/>
                <w:szCs w:val="18"/>
              </w:rPr>
            </w:pPr>
            <w:r w:rsidRPr="007B3EDD">
              <w:rPr>
                <w:rFonts w:cs="Arial"/>
                <w:szCs w:val="18"/>
              </w:rPr>
              <w:t>November 2024 (2</w:t>
            </w:r>
            <w:r w:rsidRPr="007B3EDD">
              <w:rPr>
                <w:rFonts w:cs="Arial"/>
                <w:szCs w:val="18"/>
                <w:vertAlign w:val="superscript"/>
              </w:rPr>
              <w:t>nd</w:t>
            </w:r>
            <w:r w:rsidRPr="007B3EDD">
              <w:rPr>
                <w:rFonts w:cs="Arial"/>
                <w:szCs w:val="18"/>
              </w:rPr>
              <w:t xml:space="preserve"> term)</w:t>
            </w:r>
          </w:p>
        </w:tc>
      </w:tr>
      <w:tr w:rsidR="00367E28" w:rsidRPr="007B3EDD" w14:paraId="1E65D43E" w14:textId="77777777" w:rsidTr="00367E28">
        <w:tc>
          <w:tcPr>
            <w:tcW w:w="865" w:type="pct"/>
            <w:vAlign w:val="center"/>
          </w:tcPr>
          <w:p w14:paraId="771A6CF7" w14:textId="77777777" w:rsidR="00367E28" w:rsidRPr="007B3EDD" w:rsidRDefault="00367E28" w:rsidP="00367E28">
            <w:pPr>
              <w:pStyle w:val="IPPArialTable"/>
              <w:rPr>
                <w:rFonts w:cs="Arial"/>
                <w:szCs w:val="18"/>
              </w:rPr>
            </w:pPr>
            <w:r w:rsidRPr="007B3EDD">
              <w:rPr>
                <w:rFonts w:cs="Arial"/>
                <w:szCs w:val="18"/>
              </w:rPr>
              <w:t>Member</w:t>
            </w:r>
          </w:p>
        </w:tc>
        <w:tc>
          <w:tcPr>
            <w:tcW w:w="1891" w:type="pct"/>
            <w:vAlign w:val="center"/>
          </w:tcPr>
          <w:p w14:paraId="4BD33CA3" w14:textId="77777777" w:rsidR="00367E28" w:rsidRPr="007B3EDD" w:rsidRDefault="00367E28" w:rsidP="00367E28">
            <w:pPr>
              <w:pStyle w:val="IPPArialTable"/>
              <w:rPr>
                <w:rFonts w:cs="Arial"/>
                <w:szCs w:val="18"/>
              </w:rPr>
            </w:pPr>
            <w:r w:rsidRPr="007B3EDD">
              <w:rPr>
                <w:rFonts w:cs="Arial"/>
                <w:szCs w:val="18"/>
              </w:rPr>
              <w:t>Ms Géraldine ANTHOINE (France)</w:t>
            </w:r>
          </w:p>
        </w:tc>
        <w:tc>
          <w:tcPr>
            <w:tcW w:w="1082" w:type="pct"/>
            <w:vAlign w:val="center"/>
          </w:tcPr>
          <w:p w14:paraId="01CA0B44" w14:textId="77777777" w:rsidR="00367E28" w:rsidRPr="007B3EDD" w:rsidRDefault="00367E28" w:rsidP="00367E28">
            <w:pPr>
              <w:pStyle w:val="IPPArialTable"/>
              <w:rPr>
                <w:rFonts w:cs="Arial"/>
                <w:szCs w:val="18"/>
              </w:rPr>
            </w:pPr>
            <w:r w:rsidRPr="007B3EDD">
              <w:rPr>
                <w:rFonts w:cs="Arial"/>
                <w:szCs w:val="18"/>
              </w:rPr>
              <w:t>Nematology</w:t>
            </w:r>
          </w:p>
        </w:tc>
        <w:tc>
          <w:tcPr>
            <w:tcW w:w="1162" w:type="pct"/>
            <w:vAlign w:val="center"/>
          </w:tcPr>
          <w:p w14:paraId="3F1EDF35" w14:textId="77777777" w:rsidR="00367E28" w:rsidRPr="007B3EDD" w:rsidRDefault="00367E28" w:rsidP="00367E28">
            <w:pPr>
              <w:pStyle w:val="IPPArialTable"/>
              <w:rPr>
                <w:rFonts w:cs="Arial"/>
                <w:szCs w:val="18"/>
              </w:rPr>
            </w:pPr>
            <w:r w:rsidRPr="007B3EDD">
              <w:rPr>
                <w:rFonts w:cs="Arial"/>
                <w:szCs w:val="18"/>
              </w:rPr>
              <w:t>April 2024 (3</w:t>
            </w:r>
            <w:r w:rsidRPr="007B3EDD">
              <w:rPr>
                <w:rFonts w:cs="Arial"/>
                <w:szCs w:val="18"/>
                <w:vertAlign w:val="superscript"/>
              </w:rPr>
              <w:t>rd</w:t>
            </w:r>
            <w:r w:rsidRPr="007B3EDD">
              <w:rPr>
                <w:rFonts w:cs="Arial"/>
                <w:szCs w:val="18"/>
              </w:rPr>
              <w:t xml:space="preserve"> term)</w:t>
            </w:r>
          </w:p>
        </w:tc>
      </w:tr>
      <w:tr w:rsidR="00367E28" w:rsidRPr="007B3EDD" w14:paraId="14EBF5B5" w14:textId="77777777" w:rsidTr="00367E28">
        <w:tc>
          <w:tcPr>
            <w:tcW w:w="865" w:type="pct"/>
            <w:vAlign w:val="center"/>
          </w:tcPr>
          <w:p w14:paraId="438C0CCA" w14:textId="77777777" w:rsidR="00367E28" w:rsidRPr="007B3EDD" w:rsidRDefault="00367E28" w:rsidP="00367E28">
            <w:pPr>
              <w:pStyle w:val="IPPArialTable"/>
              <w:rPr>
                <w:rFonts w:cs="Arial"/>
                <w:szCs w:val="18"/>
              </w:rPr>
            </w:pPr>
            <w:r w:rsidRPr="007B3EDD">
              <w:rPr>
                <w:rFonts w:cs="Arial"/>
                <w:szCs w:val="18"/>
              </w:rPr>
              <w:t>Member</w:t>
            </w:r>
          </w:p>
        </w:tc>
        <w:tc>
          <w:tcPr>
            <w:tcW w:w="1891" w:type="pct"/>
            <w:vAlign w:val="center"/>
          </w:tcPr>
          <w:p w14:paraId="6ED3790C" w14:textId="77777777" w:rsidR="00367E28" w:rsidRPr="007B3EDD" w:rsidRDefault="00367E28" w:rsidP="00367E28">
            <w:pPr>
              <w:pStyle w:val="IPPArialTable"/>
              <w:rPr>
                <w:rFonts w:cs="Arial"/>
                <w:szCs w:val="18"/>
              </w:rPr>
            </w:pPr>
            <w:r w:rsidRPr="007B3EDD">
              <w:rPr>
                <w:rFonts w:cs="Arial"/>
                <w:szCs w:val="18"/>
              </w:rPr>
              <w:t xml:space="preserve">Ms Vessela </w:t>
            </w:r>
            <w:proofErr w:type="spellStart"/>
            <w:r w:rsidRPr="007B3EDD">
              <w:rPr>
                <w:rFonts w:cs="Arial"/>
                <w:szCs w:val="18"/>
              </w:rPr>
              <w:t>Assenova</w:t>
            </w:r>
            <w:proofErr w:type="spellEnd"/>
            <w:r w:rsidRPr="007B3EDD">
              <w:rPr>
                <w:rFonts w:cs="Arial"/>
                <w:szCs w:val="18"/>
              </w:rPr>
              <w:t xml:space="preserve"> MAVRODIEVA (USA)</w:t>
            </w:r>
          </w:p>
        </w:tc>
        <w:tc>
          <w:tcPr>
            <w:tcW w:w="1082" w:type="pct"/>
            <w:vAlign w:val="center"/>
          </w:tcPr>
          <w:p w14:paraId="41D7AF21" w14:textId="77777777" w:rsidR="00367E28" w:rsidRPr="007B3EDD" w:rsidRDefault="00367E28" w:rsidP="00367E28">
            <w:pPr>
              <w:pStyle w:val="IPPArialTable"/>
              <w:rPr>
                <w:rFonts w:cs="Arial"/>
                <w:szCs w:val="18"/>
              </w:rPr>
            </w:pPr>
            <w:r w:rsidRPr="007B3EDD">
              <w:rPr>
                <w:rFonts w:cs="Arial"/>
                <w:szCs w:val="18"/>
              </w:rPr>
              <w:t xml:space="preserve">Virology </w:t>
            </w:r>
          </w:p>
        </w:tc>
        <w:tc>
          <w:tcPr>
            <w:tcW w:w="1162" w:type="pct"/>
            <w:vAlign w:val="center"/>
          </w:tcPr>
          <w:p w14:paraId="0A6662E1" w14:textId="77777777" w:rsidR="00367E28" w:rsidRPr="007B3EDD" w:rsidRDefault="00367E28" w:rsidP="00367E28">
            <w:pPr>
              <w:pStyle w:val="IPPArialTable"/>
              <w:rPr>
                <w:rFonts w:cs="Arial"/>
                <w:szCs w:val="18"/>
              </w:rPr>
            </w:pPr>
            <w:r w:rsidRPr="007B3EDD">
              <w:rPr>
                <w:rFonts w:cs="Arial"/>
                <w:szCs w:val="18"/>
              </w:rPr>
              <w:t>March 2025 (1</w:t>
            </w:r>
            <w:r w:rsidRPr="007B3EDD">
              <w:rPr>
                <w:rFonts w:cs="Arial"/>
                <w:szCs w:val="18"/>
                <w:vertAlign w:val="superscript"/>
              </w:rPr>
              <w:t>st</w:t>
            </w:r>
            <w:r w:rsidRPr="007B3EDD">
              <w:rPr>
                <w:rFonts w:cs="Arial"/>
                <w:szCs w:val="18"/>
              </w:rPr>
              <w:t xml:space="preserve"> term)</w:t>
            </w:r>
          </w:p>
        </w:tc>
      </w:tr>
      <w:tr w:rsidR="00367E28" w:rsidRPr="007B3EDD" w14:paraId="0763134B" w14:textId="77777777" w:rsidTr="00367E28">
        <w:tc>
          <w:tcPr>
            <w:tcW w:w="865" w:type="pct"/>
            <w:vAlign w:val="center"/>
          </w:tcPr>
          <w:p w14:paraId="3B3DDB6C" w14:textId="77777777" w:rsidR="00367E28" w:rsidRPr="007B3EDD" w:rsidRDefault="00367E28" w:rsidP="00367E28">
            <w:pPr>
              <w:pStyle w:val="IPPArialTable"/>
              <w:rPr>
                <w:rFonts w:cs="Arial"/>
                <w:szCs w:val="18"/>
              </w:rPr>
            </w:pPr>
            <w:r w:rsidRPr="007B3EDD">
              <w:rPr>
                <w:rFonts w:cs="Arial"/>
                <w:szCs w:val="18"/>
              </w:rPr>
              <w:t>Member</w:t>
            </w:r>
          </w:p>
        </w:tc>
        <w:tc>
          <w:tcPr>
            <w:tcW w:w="1891" w:type="pct"/>
            <w:vAlign w:val="center"/>
          </w:tcPr>
          <w:p w14:paraId="4F17A0B1" w14:textId="77777777" w:rsidR="00367E28" w:rsidRPr="007B3EDD" w:rsidRDefault="00367E28" w:rsidP="00367E28">
            <w:pPr>
              <w:pStyle w:val="IPPArialTable"/>
              <w:rPr>
                <w:rFonts w:cs="Arial"/>
                <w:szCs w:val="18"/>
              </w:rPr>
            </w:pPr>
            <w:r w:rsidRPr="007B3EDD">
              <w:rPr>
                <w:rFonts w:cs="Arial"/>
                <w:szCs w:val="18"/>
              </w:rPr>
              <w:t>Ms Julie PATTEMORE (Australia)</w:t>
            </w:r>
          </w:p>
        </w:tc>
        <w:tc>
          <w:tcPr>
            <w:tcW w:w="1082" w:type="pct"/>
            <w:vAlign w:val="center"/>
          </w:tcPr>
          <w:p w14:paraId="587C73B3" w14:textId="77777777" w:rsidR="00367E28" w:rsidRPr="007B3EDD" w:rsidRDefault="00367E28" w:rsidP="00367E28">
            <w:pPr>
              <w:pStyle w:val="IPPArialTable"/>
              <w:rPr>
                <w:rFonts w:cs="Arial"/>
                <w:szCs w:val="18"/>
              </w:rPr>
            </w:pPr>
            <w:r w:rsidRPr="007B3EDD">
              <w:rPr>
                <w:rFonts w:cs="Arial"/>
                <w:szCs w:val="18"/>
              </w:rPr>
              <w:t>Mycology</w:t>
            </w:r>
          </w:p>
        </w:tc>
        <w:tc>
          <w:tcPr>
            <w:tcW w:w="1162" w:type="pct"/>
            <w:vAlign w:val="center"/>
          </w:tcPr>
          <w:p w14:paraId="396F8C38" w14:textId="77777777" w:rsidR="00367E28" w:rsidRPr="007B3EDD" w:rsidRDefault="00367E28" w:rsidP="00367E28">
            <w:pPr>
              <w:pStyle w:val="IPPArialTable"/>
              <w:rPr>
                <w:rFonts w:cs="Arial"/>
                <w:szCs w:val="18"/>
              </w:rPr>
            </w:pPr>
            <w:r w:rsidRPr="007B3EDD">
              <w:rPr>
                <w:rFonts w:cs="Arial"/>
                <w:szCs w:val="18"/>
              </w:rPr>
              <w:t>March 2025 (1</w:t>
            </w:r>
            <w:r w:rsidRPr="007B3EDD">
              <w:rPr>
                <w:rFonts w:cs="Arial"/>
                <w:szCs w:val="18"/>
                <w:vertAlign w:val="superscript"/>
              </w:rPr>
              <w:t>st</w:t>
            </w:r>
            <w:r w:rsidRPr="007B3EDD">
              <w:rPr>
                <w:rFonts w:cs="Arial"/>
                <w:szCs w:val="18"/>
              </w:rPr>
              <w:t xml:space="preserve"> term)</w:t>
            </w:r>
          </w:p>
        </w:tc>
      </w:tr>
      <w:tr w:rsidR="00367E28" w:rsidRPr="007B3EDD" w14:paraId="1FCE1505" w14:textId="77777777" w:rsidTr="00367E28">
        <w:tc>
          <w:tcPr>
            <w:tcW w:w="865" w:type="pct"/>
            <w:vAlign w:val="center"/>
          </w:tcPr>
          <w:p w14:paraId="7EE7DAA4" w14:textId="77777777" w:rsidR="00367E28" w:rsidRPr="007B3EDD" w:rsidRDefault="00367E28" w:rsidP="00367E28">
            <w:pPr>
              <w:pStyle w:val="IPPArialTable"/>
              <w:rPr>
                <w:rFonts w:cs="Arial"/>
                <w:szCs w:val="18"/>
              </w:rPr>
            </w:pPr>
            <w:r w:rsidRPr="007B3EDD">
              <w:rPr>
                <w:rFonts w:cs="Arial"/>
                <w:szCs w:val="18"/>
              </w:rPr>
              <w:t>Member</w:t>
            </w:r>
          </w:p>
        </w:tc>
        <w:tc>
          <w:tcPr>
            <w:tcW w:w="1891" w:type="pct"/>
            <w:vAlign w:val="center"/>
          </w:tcPr>
          <w:p w14:paraId="1FBBC0D6" w14:textId="77777777" w:rsidR="00367E28" w:rsidRPr="007B3EDD" w:rsidRDefault="00367E28" w:rsidP="00367E28">
            <w:pPr>
              <w:pStyle w:val="IPPArialTable"/>
              <w:rPr>
                <w:rFonts w:cs="Arial"/>
                <w:szCs w:val="18"/>
              </w:rPr>
            </w:pPr>
            <w:r w:rsidRPr="007B3EDD">
              <w:rPr>
                <w:rFonts w:cs="Arial"/>
                <w:szCs w:val="18"/>
              </w:rPr>
              <w:t>Ms Yazmin RIVERA (USA)</w:t>
            </w:r>
          </w:p>
        </w:tc>
        <w:tc>
          <w:tcPr>
            <w:tcW w:w="1082" w:type="pct"/>
            <w:vAlign w:val="center"/>
          </w:tcPr>
          <w:p w14:paraId="00E1A3F1" w14:textId="77777777" w:rsidR="00367E28" w:rsidRPr="007B3EDD" w:rsidRDefault="00367E28" w:rsidP="00367E28">
            <w:pPr>
              <w:pStyle w:val="IPPArialTable"/>
              <w:rPr>
                <w:rFonts w:cs="Arial"/>
                <w:szCs w:val="18"/>
              </w:rPr>
            </w:pPr>
            <w:r w:rsidRPr="007B3EDD">
              <w:rPr>
                <w:rFonts w:cs="Arial"/>
                <w:szCs w:val="18"/>
              </w:rPr>
              <w:t>Mycology</w:t>
            </w:r>
          </w:p>
        </w:tc>
        <w:tc>
          <w:tcPr>
            <w:tcW w:w="1162" w:type="pct"/>
            <w:vAlign w:val="center"/>
          </w:tcPr>
          <w:p w14:paraId="6B5B11FD" w14:textId="77777777" w:rsidR="00367E28" w:rsidRPr="007B3EDD" w:rsidRDefault="00367E28" w:rsidP="00367E28">
            <w:pPr>
              <w:pStyle w:val="IPPArialTable"/>
              <w:rPr>
                <w:rFonts w:cs="Arial"/>
                <w:szCs w:val="18"/>
              </w:rPr>
            </w:pPr>
            <w:r w:rsidRPr="007B3EDD">
              <w:rPr>
                <w:rFonts w:cs="Arial"/>
                <w:szCs w:val="18"/>
              </w:rPr>
              <w:t>March 2025 (1</w:t>
            </w:r>
            <w:r w:rsidRPr="007B3EDD">
              <w:rPr>
                <w:rFonts w:cs="Arial"/>
                <w:szCs w:val="18"/>
                <w:vertAlign w:val="superscript"/>
              </w:rPr>
              <w:t>st</w:t>
            </w:r>
            <w:r w:rsidRPr="007B3EDD">
              <w:rPr>
                <w:rFonts w:cs="Arial"/>
                <w:szCs w:val="18"/>
              </w:rPr>
              <w:t xml:space="preserve"> term)</w:t>
            </w:r>
          </w:p>
        </w:tc>
      </w:tr>
    </w:tbl>
    <w:p w14:paraId="40091471" w14:textId="77777777" w:rsidR="00367E28" w:rsidRPr="000544B5" w:rsidRDefault="00367E28" w:rsidP="00367E28">
      <w:pPr>
        <w:pStyle w:val="IPPParagraphnumbering"/>
        <w:spacing w:before="180"/>
      </w:pPr>
      <w:r w:rsidRPr="00C962EB">
        <w:rPr>
          <w:b/>
          <w:lang w:val="en-GB"/>
        </w:rPr>
        <w:t xml:space="preserve">Changes in membership. </w:t>
      </w:r>
      <w:r w:rsidRPr="000544B5">
        <w:t xml:space="preserve">In </w:t>
      </w:r>
      <w:r>
        <w:t>December 2021</w:t>
      </w:r>
      <w:r w:rsidRPr="000544B5">
        <w:t xml:space="preserve">, </w:t>
      </w:r>
      <w:proofErr w:type="spellStart"/>
      <w:r>
        <w:t>Mr</w:t>
      </w:r>
      <w:proofErr w:type="spellEnd"/>
      <w:r>
        <w:t xml:space="preserve"> Brendan RODONI (</w:t>
      </w:r>
      <w:r w:rsidRPr="000544B5">
        <w:t>Virology and back up for bacteriology)</w:t>
      </w:r>
      <w:r>
        <w:t xml:space="preserve"> left </w:t>
      </w:r>
      <w:r w:rsidRPr="000544B5">
        <w:t>the TPDP</w:t>
      </w:r>
      <w:r>
        <w:t xml:space="preserve"> after almost 12 years of contribution to the panel and to the IPPC</w:t>
      </w:r>
      <w:r w:rsidRPr="000544B5">
        <w:t>.</w:t>
      </w:r>
      <w:r>
        <w:t xml:space="preserve"> The CPM-16 (2022) thanked him and Australia NPPO for his great contributions throughout the years. Hence there are few topics on viruses and bacteria, the Secretariat will need to issue a new call for a Virologist to better support the work of the panel. </w:t>
      </w:r>
      <w:r w:rsidRPr="00C36DA5">
        <w:rPr>
          <w:color w:val="C00000"/>
        </w:rPr>
        <w:t>(Decision point 2)</w:t>
      </w:r>
      <w:r>
        <w:t xml:space="preserve">. </w:t>
      </w:r>
    </w:p>
    <w:p w14:paraId="376212A9" w14:textId="77777777" w:rsidR="00367E28" w:rsidRPr="009B21DC" w:rsidRDefault="00367E28" w:rsidP="00367E28">
      <w:pPr>
        <w:pStyle w:val="IPPParagraphnumbering"/>
      </w:pPr>
      <w:r w:rsidRPr="09856154">
        <w:rPr>
          <w:b/>
          <w:bCs/>
          <w:lang w:val="en-GB"/>
        </w:rPr>
        <w:lastRenderedPageBreak/>
        <w:t>Extension of membership</w:t>
      </w:r>
      <w:r w:rsidRPr="09856154">
        <w:rPr>
          <w:b/>
          <w:bCs/>
          <w:lang w:val="en-NZ"/>
        </w:rPr>
        <w:t>.</w:t>
      </w:r>
      <w:r w:rsidRPr="09856154">
        <w:rPr>
          <w:b/>
          <w:bCs/>
          <w:lang w:val="en-GB"/>
        </w:rPr>
        <w:t xml:space="preserve"> </w:t>
      </w:r>
      <w:r>
        <w:t xml:space="preserve">It is noted that the term of </w:t>
      </w:r>
      <w:proofErr w:type="spellStart"/>
      <w:r>
        <w:t>Mr</w:t>
      </w:r>
      <w:proofErr w:type="spellEnd"/>
      <w:r>
        <w:t xml:space="preserve"> Norman BARR (Entomology) is ending in July 2022. He is the discipline lead and lead author for several DPs, has extensive experience and expertise in the area and provides many effective contributions to the panel. The NPPO from USA was contacted and </w:t>
      </w:r>
      <w:proofErr w:type="spellStart"/>
      <w:r>
        <w:t>Mr</w:t>
      </w:r>
      <w:proofErr w:type="spellEnd"/>
      <w:r>
        <w:t xml:space="preserve"> </w:t>
      </w:r>
      <w:r w:rsidRPr="009B21DC">
        <w:t xml:space="preserve">Barr has expressed his willingness to continue as member of the TPDP and submitted a new statement of commitment to the Secretariat. It is proposed to extend his term for a further five years period, due to his valuable contribution to the panel and ongoing work on several topics. </w:t>
      </w:r>
      <w:r w:rsidRPr="00C36DA5">
        <w:rPr>
          <w:color w:val="C00000"/>
        </w:rPr>
        <w:t>(Decision point 3)</w:t>
      </w:r>
      <w:r w:rsidRPr="009B21DC">
        <w:t>.</w:t>
      </w:r>
    </w:p>
    <w:p w14:paraId="4872AE8B" w14:textId="77777777" w:rsidR="00367E28" w:rsidRDefault="00367E28" w:rsidP="00367E28">
      <w:pPr>
        <w:pStyle w:val="IPPHeading1"/>
      </w:pPr>
      <w:r>
        <w:t>3</w:t>
      </w:r>
      <w:r w:rsidRPr="005461D0">
        <w:t xml:space="preserve">. TPDP volume of work </w:t>
      </w:r>
    </w:p>
    <w:p w14:paraId="729ED978" w14:textId="77777777" w:rsidR="00367E28" w:rsidRPr="00DD0B4D" w:rsidRDefault="00367E28" w:rsidP="00367E28">
      <w:pPr>
        <w:pStyle w:val="IPPNormal"/>
        <w:rPr>
          <w:b/>
        </w:rPr>
      </w:pPr>
      <w:r w:rsidRPr="00DD0B4D">
        <w:rPr>
          <w:b/>
        </w:rPr>
        <w:t>Work programme</w:t>
      </w:r>
    </w:p>
    <w:p w14:paraId="5309BBAA" w14:textId="77777777" w:rsidR="00367E28" w:rsidRDefault="00367E28" w:rsidP="00367E28">
      <w:pPr>
        <w:pStyle w:val="IPPParagraphnumberingclose"/>
        <w:spacing w:after="180"/>
      </w:pPr>
      <w:r w:rsidRPr="5E081FAC">
        <w:t xml:space="preserve">The </w:t>
      </w:r>
      <w:hyperlink r:id="rId18" w:history="1">
        <w:r w:rsidRPr="5E081FAC">
          <w:rPr>
            <w:rStyle w:val="Hyperlink"/>
          </w:rPr>
          <w:t xml:space="preserve">TPDP work </w:t>
        </w:r>
        <w:proofErr w:type="spellStart"/>
        <w:r w:rsidRPr="5E081FAC">
          <w:rPr>
            <w:rStyle w:val="Hyperlink"/>
          </w:rPr>
          <w:t>programme</w:t>
        </w:r>
        <w:proofErr w:type="spellEnd"/>
      </w:hyperlink>
      <w:r w:rsidRPr="00B95334">
        <w:rPr>
          <w:rStyle w:val="FootnoteReference"/>
        </w:rPr>
        <w:footnoteReference w:id="4"/>
      </w:r>
      <w:r w:rsidRPr="5E081FAC">
        <w:t xml:space="preserve"> currently comprises</w:t>
      </w:r>
      <w:r w:rsidRPr="000544B5">
        <w:t xml:space="preserve"> </w:t>
      </w:r>
      <w:r w:rsidRPr="002D2BAE">
        <w:t>27 subjects</w:t>
      </w:r>
      <w:r w:rsidRPr="000544B5">
        <w:t xml:space="preserve"> </w:t>
      </w:r>
      <w:r>
        <w:t xml:space="preserve">(including </w:t>
      </w:r>
      <w:r w:rsidRPr="000544B5">
        <w:t>f</w:t>
      </w:r>
      <w:r>
        <w:t>ive</w:t>
      </w:r>
      <w:r w:rsidRPr="000544B5">
        <w:t xml:space="preserve"> </w:t>
      </w:r>
      <w:r>
        <w:t xml:space="preserve">revisions to </w:t>
      </w:r>
      <w:r w:rsidRPr="000544B5">
        <w:t>adopted DPs</w:t>
      </w:r>
      <w:r>
        <w:t>)</w:t>
      </w:r>
      <w:r w:rsidRPr="000544B5">
        <w:t xml:space="preserve"> under various stages of development</w:t>
      </w:r>
      <w:r>
        <w:t xml:space="preserve">. These draft </w:t>
      </w:r>
      <w:r w:rsidRPr="000544B5">
        <w:t xml:space="preserve">diagnostic protocols (DPs) </w:t>
      </w:r>
      <w:r>
        <w:t xml:space="preserve">are </w:t>
      </w:r>
      <w:r w:rsidRPr="000544B5">
        <w:t>under six disciplines</w:t>
      </w:r>
      <w:r>
        <w:t xml:space="preserve"> (Figure 1 and Table 2)</w:t>
      </w:r>
      <w:r w:rsidRPr="00683393">
        <w:t xml:space="preserve"> </w:t>
      </w:r>
      <w:r>
        <w:t>and are broken down as follows:</w:t>
      </w:r>
      <w:r w:rsidRPr="000544B5">
        <w:t xml:space="preserve"> </w:t>
      </w:r>
    </w:p>
    <w:p w14:paraId="37715854" w14:textId="77777777" w:rsidR="00367E28" w:rsidRPr="009A77CE" w:rsidRDefault="00367E28" w:rsidP="00367E28">
      <w:pPr>
        <w:pStyle w:val="IPPBullet1"/>
        <w:ind w:left="720" w:hanging="360"/>
        <w:rPr>
          <w:i/>
        </w:rPr>
      </w:pPr>
      <w:r w:rsidRPr="5E081FAC">
        <w:rPr>
          <w:u w:val="single"/>
        </w:rPr>
        <w:t>New DPs</w:t>
      </w:r>
      <w:r w:rsidRPr="5E081FAC">
        <w:t xml:space="preserve"> – six new subjects added </w:t>
      </w:r>
      <w:r>
        <w:t xml:space="preserve">by the SC </w:t>
      </w:r>
      <w:r w:rsidRPr="5E081FAC">
        <w:t xml:space="preserve">from the 2021 </w:t>
      </w:r>
      <w:r>
        <w:t>C</w:t>
      </w:r>
      <w:r w:rsidRPr="5E081FAC">
        <w:t xml:space="preserve">all for </w:t>
      </w:r>
      <w:r>
        <w:t>T</w:t>
      </w:r>
      <w:r w:rsidRPr="5E081FAC">
        <w:t xml:space="preserve">opics; </w:t>
      </w:r>
    </w:p>
    <w:p w14:paraId="125653C1" w14:textId="77777777" w:rsidR="00367E28" w:rsidRPr="009B21DC" w:rsidRDefault="00367E28" w:rsidP="00367E28">
      <w:pPr>
        <w:pStyle w:val="IPPBullet1"/>
        <w:ind w:left="720" w:hanging="360"/>
        <w:rPr>
          <w:i/>
        </w:rPr>
      </w:pPr>
      <w:r w:rsidRPr="009A77CE">
        <w:rPr>
          <w:u w:val="single"/>
        </w:rPr>
        <w:t>Under development</w:t>
      </w:r>
      <w:r w:rsidRPr="009A77CE">
        <w:t xml:space="preserve"> - twelve draft DPs under development; </w:t>
      </w:r>
    </w:p>
    <w:p w14:paraId="14D7C04C" w14:textId="77777777" w:rsidR="00367E28" w:rsidRPr="009A77CE" w:rsidRDefault="00367E28" w:rsidP="00367E28">
      <w:pPr>
        <w:pStyle w:val="IPPBullet1"/>
        <w:ind w:left="720" w:hanging="360"/>
        <w:rPr>
          <w:i/>
        </w:rPr>
      </w:pPr>
      <w:r>
        <w:t xml:space="preserve">Awaiting authors </w:t>
      </w:r>
      <w:r w:rsidRPr="009B21DC">
        <w:t xml:space="preserve">– </w:t>
      </w:r>
      <w:r w:rsidRPr="00683393">
        <w:t>eight draft</w:t>
      </w:r>
      <w:r w:rsidRPr="009B21DC">
        <w:t xml:space="preserve"> DPs are awaiting</w:t>
      </w:r>
      <w:r>
        <w:t xml:space="preserve"> authors to be nominated or selected by the TPDP;</w:t>
      </w:r>
    </w:p>
    <w:p w14:paraId="33F8EB64" w14:textId="77777777" w:rsidR="00367E28" w:rsidRPr="009A77CE" w:rsidRDefault="00367E28" w:rsidP="00367E28">
      <w:pPr>
        <w:pStyle w:val="IPPBullet1"/>
        <w:spacing w:after="180"/>
        <w:ind w:left="714" w:hanging="357"/>
        <w:rPr>
          <w:i/>
        </w:rPr>
      </w:pPr>
      <w:r w:rsidRPr="009A77CE">
        <w:rPr>
          <w:u w:val="single"/>
        </w:rPr>
        <w:t>Pending</w:t>
      </w:r>
      <w:r w:rsidRPr="009A77CE">
        <w:t xml:space="preserve"> - </w:t>
      </w:r>
      <w:r>
        <w:t>one</w:t>
      </w:r>
      <w:r w:rsidRPr="009A77CE">
        <w:t xml:space="preserve"> subject</w:t>
      </w:r>
      <w:r>
        <w:t xml:space="preserve">: </w:t>
      </w:r>
      <w:proofErr w:type="spellStart"/>
      <w:r w:rsidRPr="00BA4E9E">
        <w:t>Tephritidae</w:t>
      </w:r>
      <w:proofErr w:type="spellEnd"/>
      <w:r>
        <w:t xml:space="preserve"> -</w:t>
      </w:r>
      <w:r w:rsidRPr="00BA4E9E">
        <w:t xml:space="preserve"> Identification of immature stages of fruit flies of economic importance by molecular techniques</w:t>
      </w:r>
      <w:r w:rsidRPr="009A77CE">
        <w:t xml:space="preserve">. </w:t>
      </w:r>
    </w:p>
    <w:p w14:paraId="6F6B359D" w14:textId="77777777" w:rsidR="00367E28" w:rsidRDefault="00367E28" w:rsidP="00367E28">
      <w:pPr>
        <w:pStyle w:val="IPPNormal"/>
        <w:jc w:val="center"/>
        <w:rPr>
          <w:color w:val="0070C0"/>
        </w:rPr>
      </w:pPr>
      <w:r>
        <w:rPr>
          <w:noProof/>
          <w:color w:val="2B579A"/>
          <w:shd w:val="clear" w:color="auto" w:fill="E6E6E6"/>
          <w:lang w:val="en-US"/>
        </w:rPr>
        <w:drawing>
          <wp:inline distT="0" distB="0" distL="0" distR="0" wp14:anchorId="6F8A5ACC" wp14:editId="29CA3255">
            <wp:extent cx="5761300" cy="2672991"/>
            <wp:effectExtent l="0" t="0" r="11430"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EF4C383" w14:textId="77777777" w:rsidR="00367E28" w:rsidRPr="00FE3C82" w:rsidRDefault="00367E28" w:rsidP="00367E28">
      <w:pPr>
        <w:pStyle w:val="IPPNormal"/>
        <w:jc w:val="center"/>
        <w:rPr>
          <w:szCs w:val="22"/>
        </w:rPr>
      </w:pPr>
      <w:r w:rsidRPr="00FE3C82">
        <w:rPr>
          <w:b/>
          <w:bCs/>
          <w:szCs w:val="22"/>
        </w:rPr>
        <w:t xml:space="preserve">Figure 1. </w:t>
      </w:r>
      <w:r w:rsidRPr="00FE3C82">
        <w:rPr>
          <w:szCs w:val="22"/>
        </w:rPr>
        <w:t>Number of diagnostic protocols per discipline currently in the TPDP work programme (July 2022).</w:t>
      </w:r>
    </w:p>
    <w:p w14:paraId="0EFD85FC" w14:textId="77777777" w:rsidR="00367E28" w:rsidRPr="00A23614" w:rsidRDefault="00367E28" w:rsidP="00367E28">
      <w:pPr>
        <w:pStyle w:val="IPPParagraphnumbering"/>
      </w:pPr>
      <w:r>
        <w:t xml:space="preserve">The TPDP assigned the discipline leads and referees for the new subjects added and the SC noted them at the SC May 2022 meeting. </w:t>
      </w:r>
    </w:p>
    <w:p w14:paraId="2F09BEBC" w14:textId="77777777" w:rsidR="00367E28" w:rsidRPr="000544B5" w:rsidRDefault="00367E28" w:rsidP="00367E28">
      <w:pPr>
        <w:pStyle w:val="IPPParagraphnumbering"/>
        <w:numPr>
          <w:ilvl w:val="0"/>
          <w:numId w:val="0"/>
        </w:numPr>
        <w:rPr>
          <w:b/>
        </w:rPr>
      </w:pPr>
      <w:r>
        <w:rPr>
          <w:b/>
        </w:rPr>
        <w:t>Selection of DP</w:t>
      </w:r>
      <w:r w:rsidRPr="000544B5">
        <w:rPr>
          <w:b/>
        </w:rPr>
        <w:t xml:space="preserve"> authors</w:t>
      </w:r>
    </w:p>
    <w:p w14:paraId="23E6EFE4" w14:textId="77777777" w:rsidR="00367E28" w:rsidRDefault="00367E28" w:rsidP="00367E28">
      <w:pPr>
        <w:pStyle w:val="IPPParagraphnumbering"/>
      </w:pPr>
      <w:r>
        <w:lastRenderedPageBreak/>
        <w:t>The IPPC Secretariat presented the calls for DP authors to the focused meeting of the SC in June 2021</w:t>
      </w:r>
      <w:r>
        <w:rPr>
          <w:rStyle w:val="FootnoteReference"/>
        </w:rPr>
        <w:footnoteReference w:id="5"/>
      </w:r>
      <w:r>
        <w:t>. At the time, the SC were asked to</w:t>
      </w:r>
      <w:r w:rsidRPr="00AD0E25">
        <w:t xml:space="preserve"> consider</w:t>
      </w:r>
      <w:r>
        <w:t xml:space="preserve"> nominating experts for several DP subjects within their national and regional systems and submit them to the Secretariat by 15 August 2021.</w:t>
      </w:r>
    </w:p>
    <w:p w14:paraId="6D8DBD24" w14:textId="77777777" w:rsidR="00367E28" w:rsidRPr="00683393" w:rsidRDefault="00367E28" w:rsidP="00367E28">
      <w:pPr>
        <w:pStyle w:val="IPPParagraphnumbering"/>
        <w:spacing w:after="60"/>
      </w:pPr>
      <w:r w:rsidRPr="00683393">
        <w:t xml:space="preserve">The TPDP also tried to identify key experts to be able to form a DP drafting group but unfortunately, no further experts were submitted to the Secretariat and the following subjects still do not have sufficient authors to form drafting groups. </w:t>
      </w:r>
    </w:p>
    <w:p w14:paraId="719DFA92" w14:textId="77777777" w:rsidR="00367E28" w:rsidRPr="00683393" w:rsidRDefault="00367E28" w:rsidP="00367E28">
      <w:pPr>
        <w:pStyle w:val="IPPParagraphnumbering"/>
        <w:spacing w:after="60"/>
      </w:pPr>
      <w:r w:rsidRPr="00683393">
        <w:t xml:space="preserve">The IPPC Secretariat opened a new call for authors soliciting nominations for the following IPPC DPs on the work </w:t>
      </w:r>
      <w:proofErr w:type="spellStart"/>
      <w:r w:rsidRPr="00683393">
        <w:t>programme</w:t>
      </w:r>
      <w:proofErr w:type="spellEnd"/>
      <w:r w:rsidRPr="00683393">
        <w:t xml:space="preserve"> of the TPDP</w:t>
      </w:r>
      <w:r w:rsidRPr="00683393">
        <w:rPr>
          <w:rStyle w:val="FootnoteReference"/>
        </w:rPr>
        <w:footnoteReference w:id="6"/>
      </w:r>
      <w:r w:rsidRPr="00683393">
        <w:t>: </w:t>
      </w:r>
    </w:p>
    <w:p w14:paraId="54A2B3D7" w14:textId="77777777" w:rsidR="00367E28" w:rsidRPr="00683393" w:rsidRDefault="00367E28" w:rsidP="00367E28">
      <w:pPr>
        <w:pStyle w:val="IPPBullet1"/>
        <w:ind w:left="720" w:hanging="360"/>
      </w:pPr>
      <w:r w:rsidRPr="00683393">
        <w:rPr>
          <w:bCs/>
          <w:i/>
          <w:iCs/>
          <w:lang w:val="ru-RU"/>
        </w:rPr>
        <w:t>Bactrocera zonata</w:t>
      </w:r>
      <w:r w:rsidRPr="00683393">
        <w:rPr>
          <w:lang w:val="ru-RU"/>
        </w:rPr>
        <w:t> (Saunders, 1842) (2021-013)</w:t>
      </w:r>
      <w:r w:rsidRPr="00683393">
        <w:t> </w:t>
      </w:r>
    </w:p>
    <w:p w14:paraId="00DA223D" w14:textId="77777777" w:rsidR="00367E28" w:rsidRPr="00683393" w:rsidRDefault="00367E28" w:rsidP="00367E28">
      <w:pPr>
        <w:pStyle w:val="IPPBullet1"/>
        <w:ind w:left="720" w:hanging="360"/>
      </w:pPr>
      <w:r w:rsidRPr="00683393">
        <w:rPr>
          <w:i/>
          <w:iCs/>
          <w:lang w:val="ru-RU"/>
        </w:rPr>
        <w:t>Dickeya spp.</w:t>
      </w:r>
      <w:r w:rsidRPr="00683393">
        <w:rPr>
          <w:lang w:val="ru-RU"/>
        </w:rPr>
        <w:t> on potato (2021-014)</w:t>
      </w:r>
      <w:r w:rsidRPr="00683393">
        <w:t> </w:t>
      </w:r>
    </w:p>
    <w:p w14:paraId="4B603D8D" w14:textId="77777777" w:rsidR="00367E28" w:rsidRPr="00683393" w:rsidRDefault="00367E28" w:rsidP="00367E28">
      <w:pPr>
        <w:pStyle w:val="IPPBullet1"/>
        <w:ind w:left="720" w:hanging="360"/>
      </w:pPr>
      <w:r w:rsidRPr="00683393">
        <w:rPr>
          <w:i/>
          <w:lang w:val="ru-RU"/>
        </w:rPr>
        <w:t>Heterobasidion annosum</w:t>
      </w:r>
      <w:r w:rsidRPr="00683393">
        <w:rPr>
          <w:lang w:val="ru-RU"/>
        </w:rPr>
        <w:t> (2021-015)</w:t>
      </w:r>
      <w:r w:rsidRPr="00683393">
        <w:t> </w:t>
      </w:r>
    </w:p>
    <w:p w14:paraId="46261753" w14:textId="77777777" w:rsidR="00367E28" w:rsidRPr="00683393" w:rsidRDefault="00367E28" w:rsidP="00367E28">
      <w:pPr>
        <w:pStyle w:val="IPPBullet1"/>
        <w:ind w:left="720" w:hanging="360"/>
      </w:pPr>
      <w:r w:rsidRPr="00683393">
        <w:rPr>
          <w:i/>
          <w:lang w:val="ru-RU"/>
        </w:rPr>
        <w:t>Spodoptera frugiperda</w:t>
      </w:r>
      <w:r w:rsidRPr="00683393">
        <w:rPr>
          <w:lang w:val="ru-RU"/>
        </w:rPr>
        <w:t> (2021-016)</w:t>
      </w:r>
      <w:r w:rsidRPr="00683393">
        <w:t> </w:t>
      </w:r>
    </w:p>
    <w:p w14:paraId="3E59ACEF" w14:textId="77777777" w:rsidR="00367E28" w:rsidRPr="00683393" w:rsidRDefault="00367E28" w:rsidP="00367E28">
      <w:pPr>
        <w:pStyle w:val="IPPBullet1"/>
        <w:ind w:left="720" w:hanging="360"/>
      </w:pPr>
      <w:r w:rsidRPr="00683393">
        <w:rPr>
          <w:bCs/>
          <w:i/>
          <w:iCs/>
          <w:lang w:val="ru-RU"/>
        </w:rPr>
        <w:t>Drosophila suzukii</w:t>
      </w:r>
      <w:r w:rsidRPr="00683393">
        <w:rPr>
          <w:lang w:val="ru-RU"/>
        </w:rPr>
        <w:t> (Diptera: Drosophilidae) (2021-017)</w:t>
      </w:r>
      <w:r w:rsidRPr="00683393">
        <w:t> </w:t>
      </w:r>
    </w:p>
    <w:p w14:paraId="114C283D" w14:textId="77777777" w:rsidR="00367E28" w:rsidRPr="00683393" w:rsidRDefault="00367E28" w:rsidP="00367E28">
      <w:pPr>
        <w:pStyle w:val="IPPBullet1"/>
        <w:ind w:left="720" w:hanging="360"/>
      </w:pPr>
      <w:r w:rsidRPr="00683393">
        <w:rPr>
          <w:bCs/>
        </w:rPr>
        <w:t>Tomato brown rugose fruit virus</w:t>
      </w:r>
      <w:r w:rsidRPr="00683393">
        <w:t> (2021-025) </w:t>
      </w:r>
    </w:p>
    <w:p w14:paraId="31B076B7" w14:textId="77777777" w:rsidR="00367E28" w:rsidRPr="00683393" w:rsidRDefault="00367E28" w:rsidP="00367E28">
      <w:pPr>
        <w:pStyle w:val="IPPBullet1"/>
        <w:ind w:left="720" w:hanging="360"/>
      </w:pPr>
      <w:r w:rsidRPr="00683393">
        <w:rPr>
          <w:bCs/>
          <w:i/>
          <w:iCs/>
          <w:lang w:val="ru-RU"/>
        </w:rPr>
        <w:t>Amaranthus palmeri</w:t>
      </w:r>
      <w:r w:rsidRPr="00683393">
        <w:rPr>
          <w:lang w:val="ru-RU"/>
        </w:rPr>
        <w:t> (2019-006)</w:t>
      </w:r>
      <w:r w:rsidRPr="00683393">
        <w:t> </w:t>
      </w:r>
    </w:p>
    <w:p w14:paraId="59C71A0E" w14:textId="77777777" w:rsidR="00367E28" w:rsidRPr="00683393" w:rsidRDefault="00367E28" w:rsidP="00367E28">
      <w:pPr>
        <w:pStyle w:val="IPPBullet1"/>
        <w:ind w:left="720" w:hanging="360"/>
      </w:pPr>
      <w:r w:rsidRPr="00683393">
        <w:rPr>
          <w:bCs/>
          <w:i/>
          <w:iCs/>
          <w:lang w:val="ru-RU"/>
        </w:rPr>
        <w:t>Solanum rostratum</w:t>
      </w:r>
      <w:r w:rsidRPr="00683393">
        <w:rPr>
          <w:lang w:val="ru-RU"/>
        </w:rPr>
        <w:t> (2019-007)</w:t>
      </w:r>
      <w:r w:rsidRPr="00683393">
        <w:t> </w:t>
      </w:r>
    </w:p>
    <w:p w14:paraId="463F612E" w14:textId="77777777" w:rsidR="00367E28" w:rsidRPr="00683393" w:rsidRDefault="00367E28" w:rsidP="00367E28">
      <w:pPr>
        <w:pStyle w:val="IPPBullet1"/>
        <w:ind w:left="720" w:hanging="360"/>
      </w:pPr>
      <w:r w:rsidRPr="00683393">
        <w:rPr>
          <w:bCs/>
          <w:i/>
          <w:iCs/>
          <w:lang w:val="ru-RU"/>
        </w:rPr>
        <w:t>Moniliophthora roreri</w:t>
      </w:r>
      <w:r w:rsidRPr="00683393">
        <w:rPr>
          <w:lang w:val="ru-RU"/>
        </w:rPr>
        <w:t> (2019-005)</w:t>
      </w:r>
      <w:r w:rsidRPr="00683393">
        <w:t> </w:t>
      </w:r>
    </w:p>
    <w:p w14:paraId="087FF03D" w14:textId="77777777" w:rsidR="00367E28" w:rsidRPr="00683393" w:rsidRDefault="00367E28" w:rsidP="00367E28">
      <w:pPr>
        <w:pStyle w:val="IPPBullet1"/>
        <w:ind w:left="720" w:hanging="360"/>
      </w:pPr>
      <w:r w:rsidRPr="00683393">
        <w:rPr>
          <w:bCs/>
          <w:i/>
          <w:iCs/>
          <w:lang w:val="ru-RU"/>
        </w:rPr>
        <w:t>Meloidogyne mali</w:t>
      </w:r>
      <w:r w:rsidRPr="00683393">
        <w:rPr>
          <w:lang w:val="ru-RU"/>
        </w:rPr>
        <w:t> (2018-019)</w:t>
      </w:r>
      <w:r w:rsidRPr="00683393">
        <w:t> </w:t>
      </w:r>
    </w:p>
    <w:p w14:paraId="2F30156D" w14:textId="77777777" w:rsidR="00367E28" w:rsidRPr="00683393" w:rsidRDefault="00367E28" w:rsidP="00367E28">
      <w:pPr>
        <w:pStyle w:val="IPPBullet1"/>
        <w:ind w:left="720" w:hanging="360"/>
      </w:pPr>
      <w:r w:rsidRPr="00683393">
        <w:rPr>
          <w:bCs/>
          <w:i/>
          <w:iCs/>
          <w:lang w:val="ru-RU"/>
        </w:rPr>
        <w:t>Cronartium comandrae</w:t>
      </w:r>
      <w:r w:rsidRPr="00683393">
        <w:rPr>
          <w:lang w:val="ru-RU"/>
        </w:rPr>
        <w:t> (2018-015)</w:t>
      </w:r>
      <w:r w:rsidRPr="00683393">
        <w:t> </w:t>
      </w:r>
    </w:p>
    <w:p w14:paraId="62B2B217" w14:textId="77777777" w:rsidR="00367E28" w:rsidRPr="00A23614" w:rsidRDefault="00367E28" w:rsidP="00367E28">
      <w:pPr>
        <w:pStyle w:val="IPPBullet1"/>
        <w:spacing w:after="180"/>
        <w:ind w:left="714" w:hanging="357"/>
      </w:pPr>
      <w:r w:rsidRPr="00683393">
        <w:rPr>
          <w:bCs/>
          <w:i/>
          <w:iCs/>
          <w:lang w:val="ru-RU"/>
        </w:rPr>
        <w:t>Microcyclus ulei</w:t>
      </w:r>
      <w:r w:rsidRPr="00683393">
        <w:rPr>
          <w:lang w:val="ru-RU"/>
        </w:rPr>
        <w:t> (2019-003)</w:t>
      </w:r>
      <w:r w:rsidRPr="00683393">
        <w:t> </w:t>
      </w:r>
    </w:p>
    <w:p w14:paraId="7C66FEBC" w14:textId="77777777" w:rsidR="00367E28" w:rsidRPr="00A23614" w:rsidRDefault="00367E28" w:rsidP="00367E28">
      <w:pPr>
        <w:pStyle w:val="IPPParagraphnumberingclose"/>
      </w:pPr>
      <w:r>
        <w:t>The IPPC Secretariat received more than 39 nominations, however not sufficient for all DPs. This may delay the work for the development of some draft DPs.</w:t>
      </w:r>
    </w:p>
    <w:p w14:paraId="16475F18" w14:textId="77777777" w:rsidR="00367E28" w:rsidRDefault="00367E28" w:rsidP="00367E28">
      <w:pPr>
        <w:pStyle w:val="IPPNormal"/>
        <w:rPr>
          <w:b/>
        </w:rPr>
      </w:pPr>
      <w:r w:rsidRPr="00232862">
        <w:rPr>
          <w:b/>
        </w:rPr>
        <w:t xml:space="preserve">Expert consultation </w:t>
      </w:r>
    </w:p>
    <w:p w14:paraId="4B17EBAB" w14:textId="77777777" w:rsidR="00367E28" w:rsidRPr="00232862" w:rsidRDefault="00367E28" w:rsidP="00367E28">
      <w:pPr>
        <w:pStyle w:val="IPPParagraphnumbering"/>
        <w:spacing w:after="60"/>
      </w:pPr>
      <w:r w:rsidRPr="00CE5F5F">
        <w:t xml:space="preserve">The TPDP work </w:t>
      </w:r>
      <w:proofErr w:type="spellStart"/>
      <w:r w:rsidRPr="00CE5F5F">
        <w:t>programme</w:t>
      </w:r>
      <w:proofErr w:type="spellEnd"/>
      <w:r w:rsidRPr="00CE5F5F">
        <w:t xml:space="preserve"> is delivered through several activities. It </w:t>
      </w:r>
      <w:r>
        <w:t>is</w:t>
      </w:r>
      <w:r w:rsidRPr="00CE5F5F">
        <w:t xml:space="preserve"> recalled that any “new” draft DPs will need to undergo</w:t>
      </w:r>
      <w:r w:rsidRPr="00232862">
        <w:t xml:space="preserve"> expert consultation prior to being discussed by the TPDP. Since</w:t>
      </w:r>
      <w:r>
        <w:t xml:space="preserve"> </w:t>
      </w:r>
      <w:r w:rsidRPr="002E68A3">
        <w:t>June 202</w:t>
      </w:r>
      <w:r>
        <w:t>1</w:t>
      </w:r>
      <w:r w:rsidRPr="00232862">
        <w:t xml:space="preserve">, one draft DP was submitted to </w:t>
      </w:r>
      <w:r w:rsidRPr="00FB309E">
        <w:t>expert consultation</w:t>
      </w:r>
      <w:r>
        <w:rPr>
          <w:rStyle w:val="FootnoteReference"/>
        </w:rPr>
        <w:footnoteReference w:id="7"/>
      </w:r>
      <w:r w:rsidRPr="00232862">
        <w:t>:</w:t>
      </w:r>
    </w:p>
    <w:p w14:paraId="6FB8D1B1" w14:textId="77777777" w:rsidR="00367E28" w:rsidRDefault="00367E28" w:rsidP="00367E28">
      <w:pPr>
        <w:pStyle w:val="IPPBullet1"/>
        <w:spacing w:after="180"/>
        <w:ind w:left="714" w:hanging="357"/>
      </w:pPr>
      <w:r w:rsidRPr="003D0A45">
        <w:rPr>
          <w:iCs/>
        </w:rPr>
        <w:t xml:space="preserve">Genus </w:t>
      </w:r>
      <w:proofErr w:type="spellStart"/>
      <w:r w:rsidRPr="00162740">
        <w:rPr>
          <w:i/>
          <w:iCs/>
        </w:rPr>
        <w:t>Ceratitis</w:t>
      </w:r>
      <w:proofErr w:type="spellEnd"/>
      <w:r w:rsidRPr="003D0A45">
        <w:rPr>
          <w:b/>
          <w:bCs/>
        </w:rPr>
        <w:t> </w:t>
      </w:r>
      <w:r w:rsidRPr="003D0A45">
        <w:rPr>
          <w:bCs/>
        </w:rPr>
        <w:t>(2016-001)</w:t>
      </w:r>
      <w:r w:rsidRPr="003D0A45">
        <w:t xml:space="preserve">: </w:t>
      </w:r>
      <w:r w:rsidRPr="006157EC">
        <w:t>24 September 2021 - 25 October 2021</w:t>
      </w:r>
    </w:p>
    <w:p w14:paraId="20515396" w14:textId="77777777" w:rsidR="00367E28" w:rsidRPr="00814637" w:rsidRDefault="00367E28" w:rsidP="00367E28">
      <w:pPr>
        <w:pStyle w:val="IPPParagraphnumbering"/>
      </w:pPr>
      <w:r>
        <w:t>It is expected to have five draft DPs for expert consultation in 2022 and seven draft DPs in the 1</w:t>
      </w:r>
      <w:r w:rsidRPr="00814637">
        <w:rPr>
          <w:vertAlign w:val="superscript"/>
        </w:rPr>
        <w:t>st</w:t>
      </w:r>
      <w:r>
        <w:t xml:space="preserve"> and 2</w:t>
      </w:r>
      <w:r w:rsidRPr="00814637">
        <w:rPr>
          <w:vertAlign w:val="superscript"/>
        </w:rPr>
        <w:t>nd</w:t>
      </w:r>
      <w:r>
        <w:t xml:space="preserve"> quarter of 2023 (see Table 3). </w:t>
      </w:r>
    </w:p>
    <w:p w14:paraId="6B0064B3" w14:textId="77777777" w:rsidR="00367E28" w:rsidRPr="00204F4F" w:rsidRDefault="00367E28" w:rsidP="00367E28">
      <w:pPr>
        <w:pStyle w:val="IPPNormal"/>
        <w:rPr>
          <w:b/>
        </w:rPr>
      </w:pPr>
      <w:r w:rsidRPr="00204F4F">
        <w:rPr>
          <w:b/>
        </w:rPr>
        <w:t xml:space="preserve">Consultation period </w:t>
      </w:r>
    </w:p>
    <w:p w14:paraId="0924249C" w14:textId="77777777" w:rsidR="00367E28" w:rsidRDefault="00367E28" w:rsidP="00367E28">
      <w:pPr>
        <w:pStyle w:val="IPPParagraphnumbering"/>
      </w:pPr>
      <w:r w:rsidRPr="00C71C68">
        <w:rPr>
          <w:b/>
          <w:u w:val="single"/>
        </w:rPr>
        <w:t>2021.</w:t>
      </w:r>
      <w:r>
        <w:t xml:space="preserve"> One draft DP</w:t>
      </w:r>
      <w:r w:rsidRPr="00204F4F">
        <w:t xml:space="preserve"> </w:t>
      </w:r>
      <w:r>
        <w:t>was</w:t>
      </w:r>
      <w:r w:rsidRPr="00204F4F">
        <w:t xml:space="preserve"> submitted </w:t>
      </w:r>
      <w:r>
        <w:t xml:space="preserve">for </w:t>
      </w:r>
      <w:r w:rsidRPr="00204F4F">
        <w:t>IPPC consultation period in July 2021 (</w:t>
      </w:r>
      <w:proofErr w:type="spellStart"/>
      <w:r w:rsidRPr="00204F4F">
        <w:rPr>
          <w:i/>
        </w:rPr>
        <w:t>Candidatus</w:t>
      </w:r>
      <w:proofErr w:type="spellEnd"/>
      <w:r w:rsidRPr="00204F4F">
        <w:t xml:space="preserve"> </w:t>
      </w:r>
      <w:proofErr w:type="spellStart"/>
      <w:r w:rsidRPr="00204F4F">
        <w:t>Liberibacter</w:t>
      </w:r>
      <w:proofErr w:type="spellEnd"/>
      <w:r w:rsidRPr="00204F4F">
        <w:t xml:space="preserve"> spp. on </w:t>
      </w:r>
      <w:r w:rsidRPr="00204F4F">
        <w:rPr>
          <w:i/>
        </w:rPr>
        <w:t>Citrus</w:t>
      </w:r>
      <w:r w:rsidRPr="00204F4F">
        <w:t xml:space="preserve"> spp.)</w:t>
      </w:r>
      <w:r>
        <w:t>.</w:t>
      </w:r>
      <w:r w:rsidRPr="00204F4F">
        <w:t xml:space="preserve"> </w:t>
      </w:r>
      <w:r>
        <w:t>Two draft DPs were submitted to the SC for</w:t>
      </w:r>
      <w:r w:rsidRPr="00204F4F">
        <w:t xml:space="preserve"> the</w:t>
      </w:r>
      <w:r>
        <w:t xml:space="preserve"> DP</w:t>
      </w:r>
      <w:r w:rsidRPr="00204F4F">
        <w:t xml:space="preserve"> notification period in</w:t>
      </w:r>
      <w:r>
        <w:t xml:space="preserve"> July 2021 and</w:t>
      </w:r>
      <w:r w:rsidRPr="00204F4F">
        <w:t xml:space="preserve"> </w:t>
      </w:r>
      <w:r>
        <w:t xml:space="preserve">January 2022 </w:t>
      </w:r>
      <w:r w:rsidRPr="00E31B28">
        <w:t xml:space="preserve">i.e. adoption by the SC on behalf of the Commission </w:t>
      </w:r>
      <w:r>
        <w:t xml:space="preserve">on </w:t>
      </w:r>
      <w:proofErr w:type="spellStart"/>
      <w:r>
        <w:t>Phytosanitary</w:t>
      </w:r>
      <w:proofErr w:type="spellEnd"/>
      <w:r>
        <w:t xml:space="preserve"> Measures (CPM)</w:t>
      </w:r>
      <w:r w:rsidRPr="00204F4F">
        <w:t>.</w:t>
      </w:r>
    </w:p>
    <w:p w14:paraId="4A9D38A2" w14:textId="77777777" w:rsidR="00367E28" w:rsidRDefault="00367E28" w:rsidP="00367E28">
      <w:pPr>
        <w:pStyle w:val="IPPParagraphnumbering"/>
      </w:pPr>
      <w:r w:rsidRPr="00C71C68">
        <w:rPr>
          <w:b/>
          <w:u w:val="single"/>
        </w:rPr>
        <w:t>2022.</w:t>
      </w:r>
      <w:r>
        <w:t xml:space="preserve"> Two draft DPs were submitted to the SC for approval for consultation period in July 2022. The SC, via e-decisions, approved the draft DPs: </w:t>
      </w:r>
    </w:p>
    <w:p w14:paraId="0C926F07" w14:textId="77777777" w:rsidR="00367E28" w:rsidRDefault="00367E28" w:rsidP="00367E28">
      <w:pPr>
        <w:pStyle w:val="IPPBullet1"/>
        <w:ind w:left="720" w:hanging="360"/>
      </w:pPr>
      <w:proofErr w:type="spellStart"/>
      <w:r w:rsidRPr="008711CE">
        <w:rPr>
          <w:i/>
          <w:iCs/>
        </w:rPr>
        <w:lastRenderedPageBreak/>
        <w:t>Mononychelus</w:t>
      </w:r>
      <w:proofErr w:type="spellEnd"/>
      <w:r w:rsidRPr="008711CE">
        <w:rPr>
          <w:i/>
          <w:iCs/>
        </w:rPr>
        <w:t xml:space="preserve"> </w:t>
      </w:r>
      <w:proofErr w:type="spellStart"/>
      <w:r w:rsidRPr="008711CE">
        <w:rPr>
          <w:i/>
          <w:iCs/>
        </w:rPr>
        <w:t>tanajoa</w:t>
      </w:r>
      <w:proofErr w:type="spellEnd"/>
      <w:r w:rsidRPr="00C71C68">
        <w:t xml:space="preserve"> </w:t>
      </w:r>
      <w:r>
        <w:t>(2018-006)</w:t>
      </w:r>
    </w:p>
    <w:p w14:paraId="68BA20A7" w14:textId="77777777" w:rsidR="00367E28" w:rsidRDefault="00367E28" w:rsidP="00367E28">
      <w:pPr>
        <w:pStyle w:val="IPPBullet1"/>
        <w:spacing w:after="180"/>
        <w:ind w:left="714" w:hanging="357"/>
      </w:pPr>
      <w:r>
        <w:t xml:space="preserve">Genus </w:t>
      </w:r>
      <w:proofErr w:type="spellStart"/>
      <w:r w:rsidRPr="008711CE">
        <w:rPr>
          <w:i/>
          <w:iCs/>
        </w:rPr>
        <w:t>Ceratitis</w:t>
      </w:r>
      <w:proofErr w:type="spellEnd"/>
      <w:r>
        <w:t xml:space="preserve"> (2016-001)</w:t>
      </w:r>
    </w:p>
    <w:p w14:paraId="4783A0F3" w14:textId="77777777" w:rsidR="00367E28" w:rsidRDefault="00367E28" w:rsidP="00367E28">
      <w:pPr>
        <w:pStyle w:val="IPPNormal"/>
        <w:rPr>
          <w:b/>
        </w:rPr>
      </w:pPr>
      <w:r>
        <w:rPr>
          <w:b/>
        </w:rPr>
        <w:t>Diagnostic Protocols adopted</w:t>
      </w:r>
    </w:p>
    <w:p w14:paraId="1FC274E7" w14:textId="77777777" w:rsidR="00367E28" w:rsidRDefault="00367E28" w:rsidP="00367E28">
      <w:pPr>
        <w:pStyle w:val="IPPParagraphnumbering"/>
      </w:pPr>
      <w:r w:rsidRPr="00FA5089">
        <w:t>Since May 202</w:t>
      </w:r>
      <w:r>
        <w:t>1</w:t>
      </w:r>
      <w:r w:rsidRPr="00FA5089">
        <w:t xml:space="preserve">, </w:t>
      </w:r>
      <w:r>
        <w:t>two</w:t>
      </w:r>
      <w:r w:rsidRPr="00FA5089">
        <w:t xml:space="preserve"> diagnostic protocol</w:t>
      </w:r>
      <w:r>
        <w:t>s (DPs)</w:t>
      </w:r>
      <w:r w:rsidRPr="00FA5089">
        <w:t xml:space="preserve"> </w:t>
      </w:r>
      <w:r>
        <w:t>were</w:t>
      </w:r>
      <w:r w:rsidRPr="00FA5089">
        <w:t xml:space="preserve"> adopted as an annex to ISPM 27</w:t>
      </w:r>
      <w:r>
        <w:t>:</w:t>
      </w:r>
    </w:p>
    <w:p w14:paraId="020B879B" w14:textId="77777777" w:rsidR="00367E28" w:rsidRDefault="00367E28" w:rsidP="00367E28">
      <w:pPr>
        <w:pStyle w:val="IPPBullet1"/>
        <w:ind w:left="720" w:hanging="360"/>
      </w:pPr>
      <w:r>
        <w:t xml:space="preserve">DP 30 </w:t>
      </w:r>
      <w:proofErr w:type="spellStart"/>
      <w:r w:rsidRPr="008711CE">
        <w:rPr>
          <w:i/>
          <w:iCs/>
        </w:rPr>
        <w:t>Striga</w:t>
      </w:r>
      <w:proofErr w:type="spellEnd"/>
      <w:r w:rsidRPr="00162740">
        <w:t xml:space="preserve"> spp</w:t>
      </w:r>
      <w:r>
        <w:t>.</w:t>
      </w:r>
      <w:r>
        <w:rPr>
          <w:rStyle w:val="FootnoteReference"/>
        </w:rPr>
        <w:footnoteReference w:id="8"/>
      </w:r>
    </w:p>
    <w:p w14:paraId="0F5DF5F1" w14:textId="77777777" w:rsidR="00367E28" w:rsidRDefault="00367E28" w:rsidP="00367E28">
      <w:pPr>
        <w:pStyle w:val="IPPBullet1"/>
        <w:spacing w:after="180"/>
        <w:ind w:left="714" w:hanging="357"/>
      </w:pPr>
      <w:r>
        <w:t>DP 31 ‘</w:t>
      </w:r>
      <w:proofErr w:type="spellStart"/>
      <w:r w:rsidRPr="00116995">
        <w:t>Candidatus</w:t>
      </w:r>
      <w:proofErr w:type="spellEnd"/>
      <w:r>
        <w:t xml:space="preserve"> </w:t>
      </w:r>
      <w:proofErr w:type="spellStart"/>
      <w:r w:rsidRPr="00162740">
        <w:t>Liberibacter</w:t>
      </w:r>
      <w:proofErr w:type="spellEnd"/>
      <w:r>
        <w:t xml:space="preserve">’ spp. on </w:t>
      </w:r>
      <w:r w:rsidRPr="008711CE">
        <w:rPr>
          <w:i/>
          <w:iCs/>
        </w:rPr>
        <w:t>Citrus</w:t>
      </w:r>
      <w:r w:rsidRPr="00162740">
        <w:t xml:space="preserve"> </w:t>
      </w:r>
      <w:r w:rsidRPr="009B21DC">
        <w:t>spp</w:t>
      </w:r>
      <w:r w:rsidRPr="00C71C68">
        <w:t>.</w:t>
      </w:r>
      <w:r>
        <w:rPr>
          <w:rStyle w:val="FootnoteReference"/>
        </w:rPr>
        <w:footnoteReference w:id="9"/>
      </w:r>
      <w:r>
        <w:t xml:space="preserve"> </w:t>
      </w:r>
    </w:p>
    <w:p w14:paraId="22B0CD9C" w14:textId="77777777" w:rsidR="00367E28" w:rsidRPr="0053053B" w:rsidRDefault="00367E28" w:rsidP="00367E28">
      <w:pPr>
        <w:pStyle w:val="IPPParagraphnumbering"/>
      </w:pPr>
      <w:r w:rsidRPr="00EB04E0">
        <w:t xml:space="preserve">As of </w:t>
      </w:r>
      <w:r>
        <w:t>July</w:t>
      </w:r>
      <w:r w:rsidRPr="00EB04E0">
        <w:t xml:space="preserve"> 202</w:t>
      </w:r>
      <w:r>
        <w:t>2</w:t>
      </w:r>
      <w:r w:rsidRPr="00EB04E0">
        <w:t xml:space="preserve">, </w:t>
      </w:r>
      <w:r>
        <w:t>31</w:t>
      </w:r>
      <w:r w:rsidRPr="00EB04E0">
        <w:t xml:space="preserve"> DPs have been adopted, published as annexes to ISPM 27 (</w:t>
      </w:r>
      <w:r w:rsidRPr="00EB04E0">
        <w:rPr>
          <w:i/>
        </w:rPr>
        <w:t>Diagnostic protocols for regulated pests</w:t>
      </w:r>
      <w:r w:rsidRPr="00EB04E0">
        <w:t>) (Figure 2).</w:t>
      </w:r>
    </w:p>
    <w:p w14:paraId="73CCA6D8" w14:textId="77777777" w:rsidR="00367E28" w:rsidRDefault="00367E28" w:rsidP="00367E28">
      <w:pPr>
        <w:pStyle w:val="IPPNormal"/>
        <w:jc w:val="center"/>
        <w:rPr>
          <w:b/>
          <w:bCs/>
          <w:noProof/>
          <w:lang w:eastAsia="ja-JP"/>
        </w:rPr>
      </w:pPr>
      <w:r w:rsidRPr="00C133A7">
        <w:rPr>
          <w:b/>
          <w:noProof/>
          <w:color w:val="2B579A"/>
          <w:shd w:val="clear" w:color="auto" w:fill="E6E6E6"/>
          <w:lang w:val="en-US"/>
        </w:rPr>
        <w:drawing>
          <wp:inline distT="0" distB="0" distL="0" distR="0" wp14:anchorId="4CF9A1D9" wp14:editId="1FC2D9CD">
            <wp:extent cx="5793712" cy="2588508"/>
            <wp:effectExtent l="0" t="0" r="17145" b="25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D29B01F" w14:textId="77777777" w:rsidR="00367E28" w:rsidRDefault="00367E28" w:rsidP="00367E28">
      <w:pPr>
        <w:pStyle w:val="IPPNormal"/>
        <w:jc w:val="center"/>
        <w:rPr>
          <w:noProof/>
          <w:lang w:eastAsia="ja-JP"/>
        </w:rPr>
      </w:pPr>
      <w:r w:rsidRPr="00683393">
        <w:rPr>
          <w:b/>
          <w:noProof/>
          <w:lang w:eastAsia="ja-JP"/>
        </w:rPr>
        <w:t>Figure 2.</w:t>
      </w:r>
      <w:r w:rsidRPr="009B21DC">
        <w:rPr>
          <w:b/>
          <w:noProof/>
          <w:lang w:eastAsia="ja-JP"/>
        </w:rPr>
        <w:t xml:space="preserve"> </w:t>
      </w:r>
      <w:r w:rsidRPr="009B21DC">
        <w:rPr>
          <w:noProof/>
          <w:lang w:eastAsia="ja-JP"/>
        </w:rPr>
        <w:t>Number of adopted diagnostic protocols (Annexes to ISPM 27) per year.</w:t>
      </w:r>
    </w:p>
    <w:p w14:paraId="13564E49" w14:textId="77777777" w:rsidR="00367E28" w:rsidRPr="006A273E" w:rsidRDefault="00367E28" w:rsidP="00367E28">
      <w:pPr>
        <w:pStyle w:val="IPPHeading1"/>
      </w:pPr>
      <w:r>
        <w:t>3. Highlights of the work</w:t>
      </w:r>
    </w:p>
    <w:p w14:paraId="710602C2" w14:textId="77777777" w:rsidR="00367E28" w:rsidRPr="00FA5089" w:rsidRDefault="00367E28" w:rsidP="00367E28">
      <w:pPr>
        <w:pStyle w:val="IPPParagraphnumbering"/>
        <w:rPr>
          <w:lang w:val="en-GB"/>
        </w:rPr>
      </w:pPr>
      <w:r w:rsidRPr="006A273E">
        <w:rPr>
          <w:lang w:val="en-GB"/>
        </w:rPr>
        <w:t xml:space="preserve">The TPDP continued to deliver its work programme during the </w:t>
      </w:r>
      <w:r w:rsidRPr="00FA5089">
        <w:rPr>
          <w:lang w:val="en-GB"/>
        </w:rPr>
        <w:t>June 202</w:t>
      </w:r>
      <w:r>
        <w:rPr>
          <w:lang w:val="en-GB"/>
        </w:rPr>
        <w:t>1</w:t>
      </w:r>
      <w:r w:rsidRPr="006A273E">
        <w:rPr>
          <w:lang w:val="en-GB"/>
        </w:rPr>
        <w:t xml:space="preserve"> to </w:t>
      </w:r>
      <w:r>
        <w:rPr>
          <w:lang w:val="en-GB"/>
        </w:rPr>
        <w:t>July</w:t>
      </w:r>
      <w:r w:rsidRPr="006A273E">
        <w:rPr>
          <w:lang w:val="en-GB"/>
        </w:rPr>
        <w:t xml:space="preserve"> </w:t>
      </w:r>
      <w:r>
        <w:rPr>
          <w:lang w:val="en-GB"/>
        </w:rPr>
        <w:t>2022</w:t>
      </w:r>
      <w:r w:rsidRPr="006A273E">
        <w:rPr>
          <w:lang w:val="en-GB"/>
        </w:rPr>
        <w:t xml:space="preserve"> period, managing </w:t>
      </w:r>
      <w:r w:rsidRPr="00FA5089">
        <w:rPr>
          <w:lang w:val="en-GB"/>
        </w:rPr>
        <w:t xml:space="preserve">more than </w:t>
      </w:r>
      <w:r w:rsidRPr="009B21DC">
        <w:rPr>
          <w:lang w:val="en-GB"/>
        </w:rPr>
        <w:t>50 DP authors</w:t>
      </w:r>
      <w:r w:rsidRPr="00FA5089">
        <w:rPr>
          <w:lang w:val="en-GB"/>
        </w:rPr>
        <w:t xml:space="preserve"> from various countries</w:t>
      </w:r>
      <w:r w:rsidRPr="00FA5089">
        <w:rPr>
          <w:rStyle w:val="FootnoteReference"/>
          <w:lang w:val="en-GB"/>
        </w:rPr>
        <w:footnoteReference w:id="10"/>
      </w:r>
      <w:r w:rsidRPr="00FA5089">
        <w:rPr>
          <w:lang w:val="en-GB"/>
        </w:rPr>
        <w:t xml:space="preserve">. In this period, </w:t>
      </w:r>
      <w:r>
        <w:rPr>
          <w:lang w:val="en-GB"/>
        </w:rPr>
        <w:t>two</w:t>
      </w:r>
      <w:r w:rsidRPr="00FA5089">
        <w:rPr>
          <w:lang w:val="en-GB"/>
        </w:rPr>
        <w:t xml:space="preserve"> DP</w:t>
      </w:r>
      <w:r>
        <w:rPr>
          <w:lang w:val="en-GB"/>
        </w:rPr>
        <w:t>s</w:t>
      </w:r>
      <w:r w:rsidRPr="00FA5089">
        <w:rPr>
          <w:lang w:val="en-GB"/>
        </w:rPr>
        <w:t xml:space="preserve"> w</w:t>
      </w:r>
      <w:r>
        <w:rPr>
          <w:lang w:val="en-GB"/>
        </w:rPr>
        <w:t>ere</w:t>
      </w:r>
      <w:r w:rsidRPr="00FA5089">
        <w:rPr>
          <w:lang w:val="en-GB"/>
        </w:rPr>
        <w:t xml:space="preserve"> adopted as annex</w:t>
      </w:r>
      <w:r>
        <w:rPr>
          <w:lang w:val="en-GB"/>
        </w:rPr>
        <w:t>es</w:t>
      </w:r>
      <w:r w:rsidRPr="00FA5089">
        <w:rPr>
          <w:lang w:val="en-GB"/>
        </w:rPr>
        <w:t xml:space="preserve"> to ISPM 27, one draft DP was moved through the expert consultation stage</w:t>
      </w:r>
      <w:r>
        <w:rPr>
          <w:lang w:val="en-GB"/>
        </w:rPr>
        <w:t xml:space="preserve"> and </w:t>
      </w:r>
      <w:r w:rsidRPr="00FA5089">
        <w:rPr>
          <w:lang w:val="en-GB"/>
        </w:rPr>
        <w:t xml:space="preserve">approved by the SC to the </w:t>
      </w:r>
      <w:r>
        <w:rPr>
          <w:lang w:val="en-GB"/>
        </w:rPr>
        <w:t>consultation period and two</w:t>
      </w:r>
      <w:r w:rsidRPr="00FA5089">
        <w:rPr>
          <w:lang w:val="en-GB"/>
        </w:rPr>
        <w:t xml:space="preserve"> draft DP</w:t>
      </w:r>
      <w:r>
        <w:rPr>
          <w:lang w:val="en-GB"/>
        </w:rPr>
        <w:t>s</w:t>
      </w:r>
      <w:r w:rsidRPr="00FA5089">
        <w:rPr>
          <w:lang w:val="en-GB"/>
        </w:rPr>
        <w:t xml:space="preserve"> approved for the DP Notification Period. </w:t>
      </w:r>
    </w:p>
    <w:p w14:paraId="0EA4CE2E" w14:textId="77777777" w:rsidR="00367E28" w:rsidRDefault="00367E28" w:rsidP="00367E28">
      <w:pPr>
        <w:pStyle w:val="IPPParagraphnumbering"/>
        <w:rPr>
          <w:lang w:val="en-GB"/>
        </w:rPr>
      </w:pPr>
      <w:r w:rsidRPr="00842F04">
        <w:rPr>
          <w:lang w:val="en-GB"/>
        </w:rPr>
        <w:t xml:space="preserve">The TPDP had </w:t>
      </w:r>
      <w:r>
        <w:rPr>
          <w:lang w:val="en-GB"/>
        </w:rPr>
        <w:t>six</w:t>
      </w:r>
      <w:r w:rsidRPr="00842F04">
        <w:rPr>
          <w:lang w:val="en-GB"/>
        </w:rPr>
        <w:t xml:space="preserve"> virtual meetings during the reporting period (</w:t>
      </w:r>
      <w:r>
        <w:rPr>
          <w:lang w:val="en-GB"/>
        </w:rPr>
        <w:t>July</w:t>
      </w:r>
      <w:r w:rsidRPr="00842F04">
        <w:rPr>
          <w:lang w:val="en-GB"/>
        </w:rPr>
        <w:t xml:space="preserve"> 202</w:t>
      </w:r>
      <w:r>
        <w:rPr>
          <w:lang w:val="en-GB"/>
        </w:rPr>
        <w:t>1</w:t>
      </w:r>
      <w:r w:rsidRPr="00842F04">
        <w:rPr>
          <w:lang w:val="en-GB"/>
        </w:rPr>
        <w:t xml:space="preserve">, </w:t>
      </w:r>
      <w:r>
        <w:rPr>
          <w:lang w:val="en-GB"/>
        </w:rPr>
        <w:t>October</w:t>
      </w:r>
      <w:r w:rsidRPr="00842F04">
        <w:rPr>
          <w:lang w:val="en-GB"/>
        </w:rPr>
        <w:t xml:space="preserve"> 202</w:t>
      </w:r>
      <w:r>
        <w:rPr>
          <w:lang w:val="en-GB"/>
        </w:rPr>
        <w:t>1</w:t>
      </w:r>
      <w:r w:rsidRPr="00842F04">
        <w:rPr>
          <w:lang w:val="en-GB"/>
        </w:rPr>
        <w:t>, November 202</w:t>
      </w:r>
      <w:r>
        <w:rPr>
          <w:lang w:val="en-GB"/>
        </w:rPr>
        <w:t>1</w:t>
      </w:r>
      <w:r w:rsidRPr="00842F04">
        <w:rPr>
          <w:lang w:val="en-GB"/>
        </w:rPr>
        <w:t>,</w:t>
      </w:r>
      <w:r>
        <w:rPr>
          <w:lang w:val="en-GB"/>
        </w:rPr>
        <w:t xml:space="preserve"> two meetings in</w:t>
      </w:r>
      <w:r w:rsidRPr="00842F04">
        <w:rPr>
          <w:lang w:val="en-GB"/>
        </w:rPr>
        <w:t xml:space="preserve"> April 202</w:t>
      </w:r>
      <w:r>
        <w:rPr>
          <w:lang w:val="en-GB"/>
        </w:rPr>
        <w:t>2 and one in May 2022</w:t>
      </w:r>
      <w:r w:rsidRPr="00842F04">
        <w:rPr>
          <w:lang w:val="en-GB"/>
        </w:rPr>
        <w:t xml:space="preserve">). The IPPC Secretariat provided several updates to the panel. The meetings reports are available at </w:t>
      </w:r>
      <w:hyperlink r:id="rId21" w:history="1">
        <w:r w:rsidRPr="003130BE">
          <w:rPr>
            <w:rStyle w:val="Hyperlink"/>
            <w:lang w:val="en-GB"/>
          </w:rPr>
          <w:t>https://www.ippc.int/en/core-activities/standards-setting/expert-drafting-groups/technical-panels/technical-panel-diagnostic-protocols/</w:t>
        </w:r>
      </w:hyperlink>
      <w:r>
        <w:rPr>
          <w:lang w:val="en-GB"/>
        </w:rPr>
        <w:t xml:space="preserve">. </w:t>
      </w:r>
    </w:p>
    <w:p w14:paraId="63867E5F" w14:textId="77777777" w:rsidR="00367E28" w:rsidRDefault="00367E28" w:rsidP="00367E28">
      <w:pPr>
        <w:pStyle w:val="IPPParagraphnumbering"/>
        <w:rPr>
          <w:lang w:val="en-GB"/>
        </w:rPr>
      </w:pPr>
      <w:r w:rsidRPr="00EB00C5">
        <w:rPr>
          <w:lang w:val="en-GB"/>
        </w:rPr>
        <w:t xml:space="preserve">The TPDP is contributing to the first International Plant Health Conference (IPHC) that will take place </w:t>
      </w:r>
      <w:r>
        <w:rPr>
          <w:lang w:val="en-GB"/>
        </w:rPr>
        <w:t xml:space="preserve">on </w:t>
      </w:r>
      <w:r w:rsidRPr="00EB00C5">
        <w:rPr>
          <w:lang w:val="en-GB"/>
        </w:rPr>
        <w:t>21 – 23 September 2022</w:t>
      </w:r>
      <w:r>
        <w:rPr>
          <w:lang w:val="en-GB"/>
        </w:rPr>
        <w:t xml:space="preserve"> in London, UK. A scientific session on the contributions of pest diagnostics for food security is being organized by the IPPC and the European and Mediterranean Plant Protection Organization (EPPO), in collaboration with the TPDP. More information will be made available on the IPHC webpage and on the </w:t>
      </w:r>
      <w:hyperlink r:id="rId22" w:history="1">
        <w:r w:rsidRPr="00EB00C5">
          <w:rPr>
            <w:rStyle w:val="Hyperlink"/>
            <w:lang w:val="en-GB"/>
          </w:rPr>
          <w:t>IPP</w:t>
        </w:r>
      </w:hyperlink>
      <w:r>
        <w:rPr>
          <w:lang w:val="en-GB"/>
        </w:rPr>
        <w:t xml:space="preserve">. </w:t>
      </w:r>
      <w:r w:rsidRPr="00C36DA5">
        <w:rPr>
          <w:color w:val="C00000"/>
          <w:lang w:val="en-GB"/>
        </w:rPr>
        <w:t>(Decision point 5)</w:t>
      </w:r>
      <w:r>
        <w:rPr>
          <w:lang w:val="en-GB"/>
        </w:rPr>
        <w:t xml:space="preserve">. </w:t>
      </w:r>
    </w:p>
    <w:p w14:paraId="39AADD2D" w14:textId="77777777" w:rsidR="00367E28" w:rsidRPr="00EB00C5" w:rsidRDefault="00367E28" w:rsidP="00367E28">
      <w:pPr>
        <w:pStyle w:val="IPPParagraphnumbering"/>
        <w:rPr>
          <w:lang w:val="en-GB"/>
        </w:rPr>
      </w:pPr>
      <w:r>
        <w:rPr>
          <w:lang w:val="en-GB"/>
        </w:rPr>
        <w:t xml:space="preserve">A webinar on the importance of pest diagnostics was planned to happen in June 2022. However, due to the scientific session being organized for the IPHC, the IPPC webinar was postponed for a future date. </w:t>
      </w:r>
    </w:p>
    <w:p w14:paraId="6AF3D8F1" w14:textId="77777777" w:rsidR="00367E28" w:rsidRDefault="00367E28" w:rsidP="00367E28">
      <w:pPr>
        <w:pStyle w:val="IPPHeading1"/>
      </w:pPr>
      <w:r>
        <w:lastRenderedPageBreak/>
        <w:t>4</w:t>
      </w:r>
      <w:r w:rsidRPr="00204D54">
        <w:t xml:space="preserve">. </w:t>
      </w:r>
      <w:r w:rsidRPr="00FA5089">
        <w:t>Tentative work plan for the period 202</w:t>
      </w:r>
      <w:r>
        <w:t>2</w:t>
      </w:r>
      <w:r w:rsidRPr="00FA5089">
        <w:t>-202</w:t>
      </w:r>
      <w:r>
        <w:t>3</w:t>
      </w:r>
    </w:p>
    <w:p w14:paraId="27D68E56" w14:textId="77777777" w:rsidR="00367E28" w:rsidRPr="00CF20D2" w:rsidRDefault="00367E28" w:rsidP="00367E28">
      <w:pPr>
        <w:pStyle w:val="IPPParagraphnumbering"/>
        <w:spacing w:before="240"/>
        <w:rPr>
          <w:lang w:val="en-GB"/>
        </w:rPr>
      </w:pPr>
      <w:r w:rsidRPr="00CF20D2">
        <w:rPr>
          <w:lang w:val="en-GB"/>
        </w:rPr>
        <w:t xml:space="preserve">The TPDP will progress its work through virtual meetings and a one face to face meeting. There is a tentative date of 31 October to 4 November 2022 to hold the face-to-face meeting in Paris, hosted by EPPO </w:t>
      </w:r>
      <w:r w:rsidRPr="00C36DA5">
        <w:rPr>
          <w:color w:val="C00000"/>
          <w:lang w:val="en-GB"/>
        </w:rPr>
        <w:t>(Decision point 4)</w:t>
      </w:r>
      <w:r w:rsidRPr="00CF20D2">
        <w:rPr>
          <w:lang w:val="en-GB"/>
        </w:rPr>
        <w:t xml:space="preserve">. For the face-to-face meeting, it is expected the revision of three to four draft DPs, discussions on several horizontal and quality assurance aspects of the TPDP work, review of the entire work programme of the TPDP and its working procedures. This will be the first in person meeting after the pandemic of COVID-19 and with three new members in the panel. It is expected that the new virologist be selected in due course to be able to join the meeting. The TPDP also envisages the presence of some lead authors of the draft DPs that will be discussed. </w:t>
      </w:r>
    </w:p>
    <w:p w14:paraId="6D1F4B96" w14:textId="77777777" w:rsidR="00367E28" w:rsidRDefault="00367E28" w:rsidP="00367E28">
      <w:pPr>
        <w:pStyle w:val="IPPPargraphnumbering"/>
        <w:numPr>
          <w:ilvl w:val="0"/>
          <w:numId w:val="11"/>
        </w:numPr>
        <w:rPr>
          <w:lang w:val="en-GB"/>
        </w:rPr>
      </w:pPr>
      <w:r w:rsidRPr="0082559E">
        <w:rPr>
          <w:lang w:val="en-GB"/>
        </w:rPr>
        <w:t xml:space="preserve">The TPDP tentative </w:t>
      </w:r>
      <w:r w:rsidRPr="00BF66F6">
        <w:rPr>
          <w:lang w:val="en-GB"/>
        </w:rPr>
        <w:t xml:space="preserve">work plan for </w:t>
      </w:r>
      <w:r>
        <w:rPr>
          <w:lang w:val="en-GB"/>
        </w:rPr>
        <w:t>July</w:t>
      </w:r>
      <w:r w:rsidRPr="00BF66F6">
        <w:rPr>
          <w:lang w:val="en-GB"/>
        </w:rPr>
        <w:t xml:space="preserve"> 202</w:t>
      </w:r>
      <w:r>
        <w:rPr>
          <w:lang w:val="en-GB"/>
        </w:rPr>
        <w:t xml:space="preserve">2 </w:t>
      </w:r>
      <w:r w:rsidRPr="00BF66F6">
        <w:rPr>
          <w:lang w:val="en-GB"/>
        </w:rPr>
        <w:t>to May 202</w:t>
      </w:r>
      <w:r>
        <w:rPr>
          <w:lang w:val="en-GB"/>
        </w:rPr>
        <w:t>3</w:t>
      </w:r>
      <w:r w:rsidRPr="00BF66F6">
        <w:rPr>
          <w:lang w:val="en-GB"/>
        </w:rPr>
        <w:t xml:space="preserve"> is summarized in </w:t>
      </w:r>
      <w:r>
        <w:rPr>
          <w:lang w:val="en-GB"/>
        </w:rPr>
        <w:t>Table 3</w:t>
      </w:r>
      <w:r w:rsidRPr="00BF66F6">
        <w:rPr>
          <w:lang w:val="en-GB"/>
        </w:rPr>
        <w:t xml:space="preserve"> </w:t>
      </w:r>
      <w:r w:rsidRPr="00C36DA5" w:rsidDel="00563A81">
        <w:rPr>
          <w:color w:val="C00000"/>
          <w:lang w:val="en-GB"/>
        </w:rPr>
        <w:t>(</w:t>
      </w:r>
      <w:r w:rsidRPr="00C36DA5">
        <w:rPr>
          <w:color w:val="C00000"/>
          <w:lang w:val="en-GB"/>
        </w:rPr>
        <w:t>D</w:t>
      </w:r>
      <w:r w:rsidRPr="00C36DA5" w:rsidDel="00563A81">
        <w:rPr>
          <w:color w:val="C00000"/>
          <w:lang w:val="en-GB"/>
        </w:rPr>
        <w:t>ecision point</w:t>
      </w:r>
      <w:r w:rsidRPr="00C36DA5">
        <w:rPr>
          <w:color w:val="C00000"/>
          <w:lang w:val="en-GB"/>
        </w:rPr>
        <w:t xml:space="preserve"> 6</w:t>
      </w:r>
      <w:r w:rsidRPr="00C36DA5" w:rsidDel="00563A81">
        <w:rPr>
          <w:color w:val="C00000"/>
          <w:lang w:val="en-GB"/>
        </w:rPr>
        <w:t>)</w:t>
      </w:r>
      <w:r w:rsidRPr="00BF66F6" w:rsidDel="00563A81">
        <w:rPr>
          <w:lang w:val="en-GB"/>
        </w:rPr>
        <w:t>.</w:t>
      </w:r>
      <w:r w:rsidRPr="00563A81" w:rsidDel="00563A81">
        <w:rPr>
          <w:lang w:val="en-GB"/>
        </w:rPr>
        <w:t xml:space="preserve"> </w:t>
      </w:r>
      <w:r w:rsidRPr="00563A81">
        <w:rPr>
          <w:lang w:val="en-GB"/>
        </w:rPr>
        <w:t xml:space="preserve">The TPDP will continue to work on the draft DPs on its work programme, </w:t>
      </w:r>
      <w:r w:rsidRPr="00510E8A">
        <w:rPr>
          <w:lang w:val="en-GB"/>
        </w:rPr>
        <w:t xml:space="preserve">with 8-10 </w:t>
      </w:r>
      <w:r>
        <w:rPr>
          <w:lang w:val="en-GB"/>
        </w:rPr>
        <w:t xml:space="preserve">draft </w:t>
      </w:r>
      <w:r w:rsidRPr="00510E8A">
        <w:rPr>
          <w:lang w:val="en-GB"/>
        </w:rPr>
        <w:t>DPs expected</w:t>
      </w:r>
      <w:r w:rsidRPr="00563A81">
        <w:rPr>
          <w:lang w:val="en-GB"/>
        </w:rPr>
        <w:t xml:space="preserve"> to be </w:t>
      </w:r>
      <w:r>
        <w:rPr>
          <w:lang w:val="en-GB"/>
        </w:rPr>
        <w:t>submitted for the DP Expert Consultation and the Consultation Period in 2022-2023 and two DPs are expected to be adopted in 2023</w:t>
      </w:r>
      <w:r w:rsidRPr="00563A81">
        <w:rPr>
          <w:lang w:val="en-GB"/>
        </w:rPr>
        <w:t>.</w:t>
      </w:r>
      <w:r>
        <w:rPr>
          <w:lang w:val="en-GB"/>
        </w:rPr>
        <w:t xml:space="preserve"> </w:t>
      </w:r>
    </w:p>
    <w:p w14:paraId="64A3AB3B" w14:textId="77777777" w:rsidR="00367E28" w:rsidRPr="00FE3C82" w:rsidRDefault="00367E28" w:rsidP="00367E28">
      <w:pPr>
        <w:pStyle w:val="IPPParagraphnumbering"/>
        <w:numPr>
          <w:ilvl w:val="0"/>
          <w:numId w:val="0"/>
        </w:numPr>
        <w:rPr>
          <w:szCs w:val="22"/>
        </w:rPr>
      </w:pPr>
      <w:r w:rsidRPr="00FE3C82">
        <w:rPr>
          <w:b/>
          <w:bCs/>
          <w:szCs w:val="22"/>
        </w:rPr>
        <w:t>Table 2.</w:t>
      </w:r>
      <w:r w:rsidRPr="00FE3C82">
        <w:rPr>
          <w:szCs w:val="22"/>
        </w:rPr>
        <w:t xml:space="preserve"> Number of diagnostic protocols and TPDP members per discipline currently in the TPDP work </w:t>
      </w:r>
      <w:proofErr w:type="spellStart"/>
      <w:r w:rsidRPr="00FE3C82">
        <w:rPr>
          <w:szCs w:val="22"/>
        </w:rPr>
        <w:t>programme</w:t>
      </w:r>
      <w:proofErr w:type="spellEnd"/>
      <w:r w:rsidRPr="00FE3C82">
        <w:rPr>
          <w:szCs w:val="22"/>
        </w:rPr>
        <w:t xml:space="preserve"> (July 2022). </w:t>
      </w:r>
    </w:p>
    <w:tbl>
      <w:tblPr>
        <w:tblStyle w:val="TableGrid"/>
        <w:tblW w:w="5000" w:type="pct"/>
        <w:tblLook w:val="04A0" w:firstRow="1" w:lastRow="0" w:firstColumn="1" w:lastColumn="0" w:noHBand="0" w:noVBand="1"/>
      </w:tblPr>
      <w:tblGrid>
        <w:gridCol w:w="3723"/>
        <w:gridCol w:w="2428"/>
        <w:gridCol w:w="2855"/>
      </w:tblGrid>
      <w:tr w:rsidR="00367E28" w14:paraId="705188F2" w14:textId="77777777" w:rsidTr="00367E28">
        <w:trPr>
          <w:trHeight w:val="42"/>
        </w:trPr>
        <w:tc>
          <w:tcPr>
            <w:tcW w:w="206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5ECEC71" w14:textId="77777777" w:rsidR="00367E28" w:rsidRDefault="00367E28" w:rsidP="00367E28">
            <w:pPr>
              <w:pStyle w:val="IPPParagraphnumbering"/>
              <w:numPr>
                <w:ilvl w:val="0"/>
                <w:numId w:val="0"/>
              </w:numPr>
              <w:jc w:val="center"/>
            </w:pPr>
            <w:r w:rsidRPr="3F370BEF">
              <w:rPr>
                <w:rFonts w:ascii="Arial" w:eastAsia="Arial" w:hAnsi="Arial" w:cs="Arial"/>
                <w:b/>
                <w:bCs/>
                <w:sz w:val="18"/>
                <w:szCs w:val="18"/>
              </w:rPr>
              <w:t>Technical area</w:t>
            </w:r>
          </w:p>
        </w:tc>
        <w:tc>
          <w:tcPr>
            <w:tcW w:w="1348"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D37AE7A" w14:textId="77777777" w:rsidR="00367E28" w:rsidRDefault="00367E28" w:rsidP="00367E28">
            <w:pPr>
              <w:jc w:val="center"/>
            </w:pPr>
            <w:r w:rsidRPr="3F370BEF">
              <w:rPr>
                <w:rFonts w:ascii="Arial" w:eastAsia="Arial" w:hAnsi="Arial" w:cs="Arial"/>
                <w:b/>
                <w:bCs/>
                <w:sz w:val="18"/>
                <w:szCs w:val="18"/>
              </w:rPr>
              <w:t>Number of topics</w:t>
            </w:r>
          </w:p>
        </w:tc>
        <w:tc>
          <w:tcPr>
            <w:tcW w:w="158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C2D48DF" w14:textId="77777777" w:rsidR="00367E28" w:rsidRDefault="00367E28" w:rsidP="00367E28">
            <w:pPr>
              <w:jc w:val="center"/>
            </w:pPr>
            <w:r w:rsidRPr="3F370BEF">
              <w:rPr>
                <w:rFonts w:ascii="Arial" w:eastAsia="Arial" w:hAnsi="Arial" w:cs="Arial"/>
                <w:b/>
                <w:bCs/>
                <w:sz w:val="18"/>
                <w:szCs w:val="18"/>
              </w:rPr>
              <w:t>TPDP members</w:t>
            </w:r>
          </w:p>
        </w:tc>
      </w:tr>
      <w:tr w:rsidR="00367E28" w14:paraId="38547F59" w14:textId="77777777" w:rsidTr="00367E28">
        <w:tc>
          <w:tcPr>
            <w:tcW w:w="2067" w:type="pct"/>
            <w:tcBorders>
              <w:top w:val="single" w:sz="8" w:space="0" w:color="auto"/>
              <w:left w:val="single" w:sz="8" w:space="0" w:color="auto"/>
              <w:bottom w:val="single" w:sz="8" w:space="0" w:color="auto"/>
              <w:right w:val="single" w:sz="8" w:space="0" w:color="auto"/>
            </w:tcBorders>
          </w:tcPr>
          <w:p w14:paraId="02FFA886" w14:textId="77777777" w:rsidR="00367E28" w:rsidRDefault="00367E28" w:rsidP="00367E28">
            <w:r w:rsidRPr="3F370BEF">
              <w:rPr>
                <w:rFonts w:ascii="Arial" w:eastAsia="Arial" w:hAnsi="Arial" w:cs="Arial"/>
                <w:sz w:val="18"/>
                <w:szCs w:val="18"/>
              </w:rPr>
              <w:t>Nematodes</w:t>
            </w:r>
          </w:p>
        </w:tc>
        <w:tc>
          <w:tcPr>
            <w:tcW w:w="1348" w:type="pct"/>
            <w:tcBorders>
              <w:top w:val="single" w:sz="8" w:space="0" w:color="auto"/>
              <w:left w:val="single" w:sz="8" w:space="0" w:color="auto"/>
              <w:bottom w:val="single" w:sz="8" w:space="0" w:color="auto"/>
              <w:right w:val="single" w:sz="8" w:space="0" w:color="auto"/>
            </w:tcBorders>
          </w:tcPr>
          <w:p w14:paraId="24F0D2DB" w14:textId="77777777" w:rsidR="00367E28" w:rsidRDefault="00367E28" w:rsidP="00367E28">
            <w:pPr>
              <w:jc w:val="center"/>
            </w:pPr>
            <w:r w:rsidRPr="3F370BEF">
              <w:rPr>
                <w:rFonts w:ascii="Arial" w:eastAsia="Arial" w:hAnsi="Arial" w:cs="Arial"/>
                <w:sz w:val="18"/>
                <w:szCs w:val="18"/>
              </w:rPr>
              <w:t>1</w:t>
            </w:r>
          </w:p>
        </w:tc>
        <w:tc>
          <w:tcPr>
            <w:tcW w:w="1586" w:type="pct"/>
            <w:tcBorders>
              <w:top w:val="single" w:sz="8" w:space="0" w:color="auto"/>
              <w:left w:val="single" w:sz="8" w:space="0" w:color="auto"/>
              <w:bottom w:val="single" w:sz="8" w:space="0" w:color="auto"/>
              <w:right w:val="single" w:sz="8" w:space="0" w:color="auto"/>
            </w:tcBorders>
          </w:tcPr>
          <w:p w14:paraId="45D5DB8D" w14:textId="77777777" w:rsidR="00367E28" w:rsidRDefault="00367E28" w:rsidP="00367E28">
            <w:pPr>
              <w:jc w:val="center"/>
            </w:pPr>
            <w:r w:rsidRPr="3F370BEF">
              <w:rPr>
                <w:rFonts w:ascii="Arial" w:eastAsia="Arial" w:hAnsi="Arial" w:cs="Arial"/>
                <w:sz w:val="18"/>
                <w:szCs w:val="18"/>
              </w:rPr>
              <w:t>1</w:t>
            </w:r>
          </w:p>
        </w:tc>
      </w:tr>
      <w:tr w:rsidR="00367E28" w14:paraId="370D27FF" w14:textId="77777777" w:rsidTr="00367E28">
        <w:tc>
          <w:tcPr>
            <w:tcW w:w="2067" w:type="pct"/>
            <w:tcBorders>
              <w:top w:val="single" w:sz="8" w:space="0" w:color="auto"/>
              <w:left w:val="single" w:sz="8" w:space="0" w:color="auto"/>
              <w:bottom w:val="single" w:sz="8" w:space="0" w:color="auto"/>
              <w:right w:val="single" w:sz="8" w:space="0" w:color="auto"/>
            </w:tcBorders>
          </w:tcPr>
          <w:p w14:paraId="1CA64BFB" w14:textId="77777777" w:rsidR="00367E28" w:rsidRDefault="00367E28" w:rsidP="00367E28">
            <w:r w:rsidRPr="3F370BEF">
              <w:rPr>
                <w:rFonts w:ascii="Arial" w:eastAsia="Arial" w:hAnsi="Arial" w:cs="Arial"/>
                <w:sz w:val="18"/>
                <w:szCs w:val="18"/>
              </w:rPr>
              <w:t>Plants</w:t>
            </w:r>
          </w:p>
        </w:tc>
        <w:tc>
          <w:tcPr>
            <w:tcW w:w="1348" w:type="pct"/>
            <w:tcBorders>
              <w:top w:val="single" w:sz="8" w:space="0" w:color="auto"/>
              <w:left w:val="single" w:sz="8" w:space="0" w:color="auto"/>
              <w:bottom w:val="single" w:sz="8" w:space="0" w:color="auto"/>
              <w:right w:val="single" w:sz="8" w:space="0" w:color="auto"/>
            </w:tcBorders>
          </w:tcPr>
          <w:p w14:paraId="32BD9D13" w14:textId="77777777" w:rsidR="00367E28" w:rsidRDefault="00367E28" w:rsidP="00367E28">
            <w:pPr>
              <w:jc w:val="center"/>
            </w:pPr>
            <w:r w:rsidRPr="3F370BEF">
              <w:rPr>
                <w:rFonts w:ascii="Arial" w:eastAsia="Arial" w:hAnsi="Arial" w:cs="Arial"/>
                <w:sz w:val="18"/>
                <w:szCs w:val="18"/>
              </w:rPr>
              <w:t>2</w:t>
            </w:r>
          </w:p>
        </w:tc>
        <w:tc>
          <w:tcPr>
            <w:tcW w:w="1586" w:type="pct"/>
            <w:tcBorders>
              <w:top w:val="single" w:sz="8" w:space="0" w:color="auto"/>
              <w:left w:val="single" w:sz="8" w:space="0" w:color="auto"/>
              <w:bottom w:val="single" w:sz="8" w:space="0" w:color="auto"/>
              <w:right w:val="single" w:sz="8" w:space="0" w:color="auto"/>
            </w:tcBorders>
          </w:tcPr>
          <w:p w14:paraId="2F3FA0EB" w14:textId="77777777" w:rsidR="00367E28" w:rsidRDefault="00367E28" w:rsidP="00367E28">
            <w:pPr>
              <w:jc w:val="center"/>
            </w:pPr>
            <w:r w:rsidRPr="3F370BEF">
              <w:rPr>
                <w:rFonts w:ascii="Arial" w:eastAsia="Arial" w:hAnsi="Arial" w:cs="Arial"/>
                <w:sz w:val="18"/>
                <w:szCs w:val="18"/>
              </w:rPr>
              <w:t>2</w:t>
            </w:r>
          </w:p>
        </w:tc>
      </w:tr>
      <w:tr w:rsidR="00367E28" w14:paraId="035EBB67" w14:textId="77777777" w:rsidTr="00367E28">
        <w:tc>
          <w:tcPr>
            <w:tcW w:w="2067" w:type="pct"/>
            <w:tcBorders>
              <w:top w:val="single" w:sz="8" w:space="0" w:color="auto"/>
              <w:left w:val="single" w:sz="8" w:space="0" w:color="auto"/>
              <w:bottom w:val="single" w:sz="8" w:space="0" w:color="auto"/>
              <w:right w:val="single" w:sz="8" w:space="0" w:color="auto"/>
            </w:tcBorders>
          </w:tcPr>
          <w:p w14:paraId="0EC42633" w14:textId="77777777" w:rsidR="00367E28" w:rsidRDefault="00367E28" w:rsidP="00367E28">
            <w:r w:rsidRPr="3F370BEF">
              <w:rPr>
                <w:rFonts w:ascii="Arial" w:eastAsia="Arial" w:hAnsi="Arial" w:cs="Arial"/>
                <w:sz w:val="18"/>
                <w:szCs w:val="18"/>
              </w:rPr>
              <w:t>Bacteria</w:t>
            </w:r>
          </w:p>
        </w:tc>
        <w:tc>
          <w:tcPr>
            <w:tcW w:w="1348" w:type="pct"/>
            <w:tcBorders>
              <w:top w:val="single" w:sz="8" w:space="0" w:color="auto"/>
              <w:left w:val="single" w:sz="8" w:space="0" w:color="auto"/>
              <w:bottom w:val="single" w:sz="8" w:space="0" w:color="auto"/>
              <w:right w:val="single" w:sz="8" w:space="0" w:color="auto"/>
            </w:tcBorders>
          </w:tcPr>
          <w:p w14:paraId="15FA2DB9" w14:textId="77777777" w:rsidR="00367E28" w:rsidRDefault="00367E28" w:rsidP="00367E28">
            <w:pPr>
              <w:jc w:val="center"/>
            </w:pPr>
            <w:r w:rsidRPr="3F370BEF">
              <w:rPr>
                <w:rFonts w:ascii="Arial" w:eastAsia="Arial" w:hAnsi="Arial" w:cs="Arial"/>
                <w:sz w:val="18"/>
                <w:szCs w:val="18"/>
              </w:rPr>
              <w:t>3</w:t>
            </w:r>
          </w:p>
        </w:tc>
        <w:tc>
          <w:tcPr>
            <w:tcW w:w="1586" w:type="pct"/>
            <w:tcBorders>
              <w:top w:val="single" w:sz="8" w:space="0" w:color="auto"/>
              <w:left w:val="single" w:sz="8" w:space="0" w:color="auto"/>
              <w:bottom w:val="single" w:sz="8" w:space="0" w:color="auto"/>
              <w:right w:val="single" w:sz="8" w:space="0" w:color="auto"/>
            </w:tcBorders>
          </w:tcPr>
          <w:p w14:paraId="39B8D8B7" w14:textId="77777777" w:rsidR="00367E28" w:rsidRDefault="00367E28" w:rsidP="00367E28">
            <w:pPr>
              <w:jc w:val="center"/>
            </w:pPr>
            <w:r w:rsidRPr="3F370BEF">
              <w:rPr>
                <w:rFonts w:ascii="Arial" w:eastAsia="Arial" w:hAnsi="Arial" w:cs="Arial"/>
                <w:sz w:val="18"/>
                <w:szCs w:val="18"/>
              </w:rPr>
              <w:t>1</w:t>
            </w:r>
          </w:p>
        </w:tc>
      </w:tr>
      <w:tr w:rsidR="00367E28" w14:paraId="1FFFDE41" w14:textId="77777777" w:rsidTr="00367E28">
        <w:tc>
          <w:tcPr>
            <w:tcW w:w="2067" w:type="pct"/>
            <w:tcBorders>
              <w:top w:val="single" w:sz="8" w:space="0" w:color="auto"/>
              <w:left w:val="single" w:sz="8" w:space="0" w:color="auto"/>
              <w:bottom w:val="single" w:sz="8" w:space="0" w:color="auto"/>
              <w:right w:val="single" w:sz="8" w:space="0" w:color="auto"/>
            </w:tcBorders>
          </w:tcPr>
          <w:p w14:paraId="64480681" w14:textId="77777777" w:rsidR="00367E28" w:rsidRDefault="00367E28" w:rsidP="00367E28">
            <w:pPr>
              <w:rPr>
                <w:rFonts w:ascii="Arial" w:eastAsia="Arial" w:hAnsi="Arial" w:cs="Arial"/>
                <w:sz w:val="18"/>
                <w:szCs w:val="18"/>
              </w:rPr>
            </w:pPr>
            <w:r w:rsidRPr="3F370BEF">
              <w:rPr>
                <w:rFonts w:ascii="Arial" w:eastAsia="Arial" w:hAnsi="Arial" w:cs="Arial"/>
                <w:sz w:val="18"/>
                <w:szCs w:val="18"/>
              </w:rPr>
              <w:t xml:space="preserve">Viruses and </w:t>
            </w:r>
            <w:proofErr w:type="spellStart"/>
            <w:r w:rsidRPr="3F370BEF">
              <w:rPr>
                <w:rFonts w:ascii="Arial" w:eastAsia="Arial" w:hAnsi="Arial" w:cs="Arial"/>
                <w:sz w:val="18"/>
                <w:szCs w:val="18"/>
              </w:rPr>
              <w:t>phytoplasmas</w:t>
            </w:r>
            <w:proofErr w:type="spellEnd"/>
          </w:p>
        </w:tc>
        <w:tc>
          <w:tcPr>
            <w:tcW w:w="1348" w:type="pct"/>
            <w:tcBorders>
              <w:top w:val="single" w:sz="8" w:space="0" w:color="auto"/>
              <w:left w:val="single" w:sz="8" w:space="0" w:color="auto"/>
              <w:bottom w:val="single" w:sz="8" w:space="0" w:color="auto"/>
              <w:right w:val="single" w:sz="8" w:space="0" w:color="auto"/>
            </w:tcBorders>
          </w:tcPr>
          <w:p w14:paraId="3A2E6385" w14:textId="77777777" w:rsidR="00367E28" w:rsidRDefault="00367E28" w:rsidP="00367E28">
            <w:pPr>
              <w:jc w:val="center"/>
              <w:rPr>
                <w:rFonts w:ascii="Arial" w:eastAsia="Arial" w:hAnsi="Arial" w:cs="Arial"/>
                <w:sz w:val="18"/>
                <w:szCs w:val="18"/>
              </w:rPr>
            </w:pPr>
            <w:r w:rsidRPr="3F370BEF">
              <w:rPr>
                <w:rFonts w:ascii="Arial" w:eastAsia="Arial" w:hAnsi="Arial" w:cs="Arial"/>
                <w:sz w:val="18"/>
                <w:szCs w:val="18"/>
              </w:rPr>
              <w:t>4</w:t>
            </w:r>
          </w:p>
        </w:tc>
        <w:tc>
          <w:tcPr>
            <w:tcW w:w="1586" w:type="pct"/>
            <w:tcBorders>
              <w:top w:val="single" w:sz="8" w:space="0" w:color="auto"/>
              <w:left w:val="single" w:sz="8" w:space="0" w:color="auto"/>
              <w:bottom w:val="single" w:sz="8" w:space="0" w:color="auto"/>
              <w:right w:val="single" w:sz="8" w:space="0" w:color="auto"/>
            </w:tcBorders>
          </w:tcPr>
          <w:p w14:paraId="20ACCB4C" w14:textId="77777777" w:rsidR="00367E28" w:rsidRDefault="00367E28" w:rsidP="00367E28">
            <w:pPr>
              <w:jc w:val="center"/>
              <w:rPr>
                <w:rFonts w:ascii="Arial" w:eastAsia="Arial" w:hAnsi="Arial" w:cs="Arial"/>
                <w:sz w:val="18"/>
                <w:szCs w:val="18"/>
              </w:rPr>
            </w:pPr>
            <w:r w:rsidRPr="3F370BEF">
              <w:rPr>
                <w:rFonts w:ascii="Arial" w:eastAsia="Arial" w:hAnsi="Arial" w:cs="Arial"/>
                <w:sz w:val="18"/>
                <w:szCs w:val="18"/>
              </w:rPr>
              <w:t>1</w:t>
            </w:r>
          </w:p>
        </w:tc>
      </w:tr>
      <w:tr w:rsidR="00367E28" w14:paraId="5F90A3F4" w14:textId="77777777" w:rsidTr="00367E28">
        <w:tc>
          <w:tcPr>
            <w:tcW w:w="2067" w:type="pct"/>
            <w:tcBorders>
              <w:top w:val="single" w:sz="8" w:space="0" w:color="auto"/>
              <w:left w:val="single" w:sz="8" w:space="0" w:color="auto"/>
              <w:bottom w:val="single" w:sz="8" w:space="0" w:color="auto"/>
              <w:right w:val="single" w:sz="8" w:space="0" w:color="auto"/>
            </w:tcBorders>
          </w:tcPr>
          <w:p w14:paraId="35FE2D92" w14:textId="77777777" w:rsidR="00367E28" w:rsidRDefault="00367E28" w:rsidP="00367E28">
            <w:r w:rsidRPr="3F370BEF">
              <w:rPr>
                <w:rFonts w:ascii="Arial" w:eastAsia="Arial" w:hAnsi="Arial" w:cs="Arial"/>
                <w:sz w:val="18"/>
                <w:szCs w:val="18"/>
              </w:rPr>
              <w:t>Fungi and fungus-like organisms</w:t>
            </w:r>
          </w:p>
        </w:tc>
        <w:tc>
          <w:tcPr>
            <w:tcW w:w="1348" w:type="pct"/>
            <w:tcBorders>
              <w:top w:val="single" w:sz="8" w:space="0" w:color="auto"/>
              <w:left w:val="single" w:sz="8" w:space="0" w:color="auto"/>
              <w:bottom w:val="single" w:sz="8" w:space="0" w:color="auto"/>
              <w:right w:val="single" w:sz="8" w:space="0" w:color="auto"/>
            </w:tcBorders>
          </w:tcPr>
          <w:p w14:paraId="7326F83A" w14:textId="77777777" w:rsidR="00367E28" w:rsidRDefault="00367E28" w:rsidP="00367E28">
            <w:pPr>
              <w:jc w:val="center"/>
            </w:pPr>
            <w:r w:rsidRPr="3F370BEF">
              <w:rPr>
                <w:rFonts w:ascii="Arial" w:eastAsia="Arial" w:hAnsi="Arial" w:cs="Arial"/>
                <w:sz w:val="18"/>
                <w:szCs w:val="18"/>
              </w:rPr>
              <w:t>7</w:t>
            </w:r>
          </w:p>
        </w:tc>
        <w:tc>
          <w:tcPr>
            <w:tcW w:w="1586" w:type="pct"/>
            <w:tcBorders>
              <w:top w:val="single" w:sz="8" w:space="0" w:color="auto"/>
              <w:left w:val="single" w:sz="8" w:space="0" w:color="auto"/>
              <w:bottom w:val="single" w:sz="8" w:space="0" w:color="auto"/>
              <w:right w:val="single" w:sz="8" w:space="0" w:color="auto"/>
            </w:tcBorders>
          </w:tcPr>
          <w:p w14:paraId="390DC022" w14:textId="77777777" w:rsidR="00367E28" w:rsidRDefault="00367E28" w:rsidP="00367E28">
            <w:pPr>
              <w:jc w:val="center"/>
            </w:pPr>
            <w:r w:rsidRPr="3F370BEF">
              <w:rPr>
                <w:rFonts w:ascii="Arial" w:eastAsia="Arial" w:hAnsi="Arial" w:cs="Arial"/>
                <w:sz w:val="18"/>
                <w:szCs w:val="18"/>
              </w:rPr>
              <w:t>2</w:t>
            </w:r>
          </w:p>
        </w:tc>
      </w:tr>
      <w:tr w:rsidR="00367E28" w14:paraId="6867A797" w14:textId="77777777" w:rsidTr="00367E28">
        <w:tc>
          <w:tcPr>
            <w:tcW w:w="2067" w:type="pct"/>
            <w:tcBorders>
              <w:top w:val="single" w:sz="8" w:space="0" w:color="auto"/>
              <w:left w:val="single" w:sz="8" w:space="0" w:color="auto"/>
              <w:bottom w:val="single" w:sz="8" w:space="0" w:color="auto"/>
              <w:right w:val="single" w:sz="8" w:space="0" w:color="auto"/>
            </w:tcBorders>
          </w:tcPr>
          <w:p w14:paraId="4AEEAC0B" w14:textId="77777777" w:rsidR="00367E28" w:rsidRDefault="00367E28" w:rsidP="00367E28">
            <w:r w:rsidRPr="3F370BEF">
              <w:rPr>
                <w:rFonts w:ascii="Arial" w:eastAsia="Arial" w:hAnsi="Arial" w:cs="Arial"/>
                <w:sz w:val="18"/>
                <w:szCs w:val="18"/>
              </w:rPr>
              <w:t>Insects and mites</w:t>
            </w:r>
          </w:p>
        </w:tc>
        <w:tc>
          <w:tcPr>
            <w:tcW w:w="1348" w:type="pct"/>
            <w:tcBorders>
              <w:top w:val="single" w:sz="8" w:space="0" w:color="auto"/>
              <w:left w:val="single" w:sz="8" w:space="0" w:color="auto"/>
              <w:bottom w:val="single" w:sz="8" w:space="0" w:color="auto"/>
              <w:right w:val="single" w:sz="8" w:space="0" w:color="auto"/>
            </w:tcBorders>
          </w:tcPr>
          <w:p w14:paraId="414B0B1F" w14:textId="77777777" w:rsidR="00367E28" w:rsidRDefault="00367E28" w:rsidP="00367E28">
            <w:pPr>
              <w:jc w:val="center"/>
            </w:pPr>
            <w:r w:rsidRPr="3F370BEF">
              <w:rPr>
                <w:rFonts w:ascii="Arial" w:eastAsia="Arial" w:hAnsi="Arial" w:cs="Arial"/>
                <w:sz w:val="18"/>
                <w:szCs w:val="18"/>
              </w:rPr>
              <w:t>10</w:t>
            </w:r>
          </w:p>
        </w:tc>
        <w:tc>
          <w:tcPr>
            <w:tcW w:w="1586" w:type="pct"/>
            <w:tcBorders>
              <w:top w:val="single" w:sz="8" w:space="0" w:color="auto"/>
              <w:left w:val="single" w:sz="8" w:space="0" w:color="auto"/>
              <w:bottom w:val="single" w:sz="8" w:space="0" w:color="auto"/>
              <w:right w:val="single" w:sz="8" w:space="0" w:color="auto"/>
            </w:tcBorders>
          </w:tcPr>
          <w:p w14:paraId="76F67807" w14:textId="77777777" w:rsidR="00367E28" w:rsidRDefault="00367E28" w:rsidP="00367E28">
            <w:pPr>
              <w:jc w:val="center"/>
            </w:pPr>
            <w:r w:rsidRPr="3F370BEF">
              <w:rPr>
                <w:rFonts w:ascii="Arial" w:eastAsia="Arial" w:hAnsi="Arial" w:cs="Arial"/>
                <w:sz w:val="18"/>
                <w:szCs w:val="18"/>
              </w:rPr>
              <w:t>2</w:t>
            </w:r>
          </w:p>
        </w:tc>
      </w:tr>
      <w:tr w:rsidR="00367E28" w14:paraId="6EC6EFDA" w14:textId="77777777" w:rsidTr="00367E28">
        <w:tc>
          <w:tcPr>
            <w:tcW w:w="206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B954037" w14:textId="77777777" w:rsidR="00367E28" w:rsidRDefault="00367E28" w:rsidP="00367E28">
            <w:r w:rsidRPr="3F370BEF">
              <w:rPr>
                <w:rFonts w:ascii="Arial" w:eastAsia="Arial" w:hAnsi="Arial" w:cs="Arial"/>
                <w:b/>
                <w:bCs/>
                <w:sz w:val="18"/>
                <w:szCs w:val="18"/>
              </w:rPr>
              <w:t>TOTAL</w:t>
            </w:r>
          </w:p>
        </w:tc>
        <w:tc>
          <w:tcPr>
            <w:tcW w:w="1348"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7CD818E" w14:textId="77777777" w:rsidR="00367E28" w:rsidRDefault="00367E28" w:rsidP="00367E28">
            <w:pPr>
              <w:jc w:val="center"/>
            </w:pPr>
            <w:r w:rsidRPr="3F370BEF">
              <w:rPr>
                <w:rFonts w:ascii="Arial" w:eastAsia="Arial" w:hAnsi="Arial" w:cs="Arial"/>
                <w:b/>
                <w:bCs/>
                <w:sz w:val="18"/>
                <w:szCs w:val="18"/>
              </w:rPr>
              <w:t>27</w:t>
            </w:r>
          </w:p>
        </w:tc>
        <w:tc>
          <w:tcPr>
            <w:tcW w:w="158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1EFFCEE" w14:textId="77777777" w:rsidR="00367E28" w:rsidRDefault="00367E28" w:rsidP="00367E28">
            <w:pPr>
              <w:jc w:val="center"/>
            </w:pPr>
            <w:r w:rsidRPr="3F370BEF">
              <w:rPr>
                <w:rFonts w:ascii="Arial" w:eastAsia="Arial" w:hAnsi="Arial" w:cs="Arial"/>
                <w:b/>
                <w:bCs/>
                <w:sz w:val="18"/>
                <w:szCs w:val="18"/>
              </w:rPr>
              <w:t>9</w:t>
            </w:r>
          </w:p>
        </w:tc>
      </w:tr>
    </w:tbl>
    <w:p w14:paraId="60EC83A5" w14:textId="77777777" w:rsidR="00367E28" w:rsidRPr="009A77CE" w:rsidRDefault="00367E28" w:rsidP="00367E28">
      <w:pPr>
        <w:pStyle w:val="IPPParagraphnumbering"/>
        <w:spacing w:before="240"/>
      </w:pPr>
      <w:r w:rsidRPr="009A77CE">
        <w:rPr>
          <w:szCs w:val="16"/>
          <w:lang w:val="en-GB"/>
        </w:rPr>
        <w:t>During the</w:t>
      </w:r>
      <w:r>
        <w:rPr>
          <w:szCs w:val="16"/>
          <w:lang w:val="en-GB"/>
        </w:rPr>
        <w:t xml:space="preserve"> TPDP</w:t>
      </w:r>
      <w:r w:rsidRPr="009A77CE">
        <w:rPr>
          <w:szCs w:val="16"/>
          <w:lang w:val="en-GB"/>
        </w:rPr>
        <w:t xml:space="preserve"> April 2022 meeting, </w:t>
      </w:r>
      <w:r>
        <w:rPr>
          <w:szCs w:val="16"/>
          <w:lang w:val="en-GB"/>
        </w:rPr>
        <w:t xml:space="preserve">it was agreed that </w:t>
      </w:r>
      <w:r w:rsidRPr="009A77CE">
        <w:rPr>
          <w:szCs w:val="16"/>
          <w:lang w:val="en-GB"/>
        </w:rPr>
        <w:t xml:space="preserve">the Discipline Lead </w:t>
      </w:r>
      <w:r>
        <w:rPr>
          <w:szCs w:val="16"/>
          <w:lang w:val="en-GB"/>
        </w:rPr>
        <w:t xml:space="preserve">will present a paper to broaden the scope </w:t>
      </w:r>
      <w:r w:rsidRPr="009A77CE">
        <w:rPr>
          <w:szCs w:val="16"/>
          <w:lang w:val="en-GB"/>
        </w:rPr>
        <w:t xml:space="preserve">for the draft DP </w:t>
      </w:r>
      <w:proofErr w:type="spellStart"/>
      <w:r w:rsidRPr="009A77CE">
        <w:rPr>
          <w:i/>
          <w:szCs w:val="16"/>
          <w:lang w:val="en-GB"/>
        </w:rPr>
        <w:t>Puccinia</w:t>
      </w:r>
      <w:proofErr w:type="spellEnd"/>
      <w:r w:rsidRPr="009A77CE">
        <w:rPr>
          <w:i/>
          <w:szCs w:val="16"/>
          <w:lang w:val="en-GB"/>
        </w:rPr>
        <w:t xml:space="preserve"> </w:t>
      </w:r>
      <w:proofErr w:type="spellStart"/>
      <w:r w:rsidRPr="009A77CE">
        <w:rPr>
          <w:i/>
          <w:szCs w:val="16"/>
          <w:lang w:val="en-GB"/>
        </w:rPr>
        <w:t>graminis</w:t>
      </w:r>
      <w:proofErr w:type="spellEnd"/>
      <w:r w:rsidRPr="009A77CE">
        <w:rPr>
          <w:szCs w:val="16"/>
          <w:lang w:val="en-GB"/>
        </w:rPr>
        <w:t xml:space="preserve"> f. sp. </w:t>
      </w:r>
      <w:proofErr w:type="spellStart"/>
      <w:r w:rsidRPr="009A77CE">
        <w:rPr>
          <w:i/>
          <w:szCs w:val="16"/>
          <w:lang w:val="en-GB"/>
        </w:rPr>
        <w:t>tritici</w:t>
      </w:r>
      <w:proofErr w:type="spellEnd"/>
      <w:r w:rsidRPr="009A77CE">
        <w:rPr>
          <w:szCs w:val="16"/>
          <w:lang w:val="en-GB"/>
        </w:rPr>
        <w:t xml:space="preserve"> UG 99 (2019-004)</w:t>
      </w:r>
      <w:r>
        <w:rPr>
          <w:szCs w:val="16"/>
          <w:lang w:val="en-GB"/>
        </w:rPr>
        <w:t xml:space="preserve"> for other strains. The TPDP will discuss this in due course.</w:t>
      </w:r>
    </w:p>
    <w:p w14:paraId="6C832EAD" w14:textId="77777777" w:rsidR="00367E28" w:rsidRPr="00683393" w:rsidRDefault="00367E28" w:rsidP="00367E28">
      <w:pPr>
        <w:pStyle w:val="IPPPargraphnumbering"/>
        <w:numPr>
          <w:ilvl w:val="0"/>
          <w:numId w:val="11"/>
        </w:numPr>
        <w:rPr>
          <w:lang w:val="en-GB"/>
        </w:rPr>
      </w:pPr>
      <w:r w:rsidRPr="00683393">
        <w:rPr>
          <w:lang w:val="en-GB"/>
        </w:rPr>
        <w:t>A call for DP authors was issued for the new subjects on the work plan but no drafts are expected until 2023.</w:t>
      </w:r>
    </w:p>
    <w:p w14:paraId="7FA28599" w14:textId="77777777" w:rsidR="00367E28" w:rsidRPr="00563A81" w:rsidRDefault="00367E28" w:rsidP="00367E28">
      <w:pPr>
        <w:pStyle w:val="IPPPargraphnumbering"/>
        <w:numPr>
          <w:ilvl w:val="0"/>
          <w:numId w:val="11"/>
        </w:numPr>
        <w:rPr>
          <w:lang w:val="en-GB"/>
        </w:rPr>
      </w:pPr>
      <w:r>
        <w:rPr>
          <w:lang w:val="en-GB"/>
        </w:rPr>
        <w:t>It should be noted again that not all DPs in the TPDP work programme has a DP drafting group yet which is something that it is impacting on the work of the panel.</w:t>
      </w:r>
      <w:r w:rsidRPr="00563A81">
        <w:rPr>
          <w:lang w:val="en-GB"/>
        </w:rPr>
        <w:t xml:space="preserve"> </w:t>
      </w:r>
    </w:p>
    <w:tbl>
      <w:tblPr>
        <w:tblStyle w:val="TableGrid"/>
        <w:tblW w:w="5000" w:type="pct"/>
        <w:tblLook w:val="04A0" w:firstRow="1" w:lastRow="0" w:firstColumn="1" w:lastColumn="0" w:noHBand="0" w:noVBand="1"/>
      </w:tblPr>
      <w:tblGrid>
        <w:gridCol w:w="409"/>
        <w:gridCol w:w="4951"/>
        <w:gridCol w:w="457"/>
        <w:gridCol w:w="457"/>
        <w:gridCol w:w="457"/>
        <w:gridCol w:w="457"/>
        <w:gridCol w:w="457"/>
        <w:gridCol w:w="457"/>
        <w:gridCol w:w="457"/>
        <w:gridCol w:w="457"/>
      </w:tblGrid>
      <w:tr w:rsidR="00367E28" w:rsidRPr="003B1EB0" w14:paraId="7D82E4FE" w14:textId="77777777" w:rsidTr="00367E28">
        <w:trPr>
          <w:tblHeader/>
        </w:trPr>
        <w:tc>
          <w:tcPr>
            <w:tcW w:w="232" w:type="pct"/>
            <w:vMerge w:val="restart"/>
          </w:tcPr>
          <w:p w14:paraId="18EC4E5F" w14:textId="77777777" w:rsidR="00367E28" w:rsidRPr="003B1EB0" w:rsidRDefault="00367E28" w:rsidP="00367E28">
            <w:pPr>
              <w:pStyle w:val="IPPPargraphnumbering"/>
              <w:tabs>
                <w:tab w:val="clear" w:pos="0"/>
              </w:tabs>
              <w:spacing w:after="0"/>
              <w:ind w:left="288" w:firstLine="0"/>
              <w:rPr>
                <w:rFonts w:ascii="Arial" w:hAnsi="Arial" w:cs="Arial"/>
                <w:sz w:val="18"/>
                <w:szCs w:val="18"/>
              </w:rPr>
            </w:pPr>
          </w:p>
        </w:tc>
        <w:tc>
          <w:tcPr>
            <w:tcW w:w="2750" w:type="pct"/>
            <w:vMerge w:val="restart"/>
            <w:vAlign w:val="center"/>
          </w:tcPr>
          <w:p w14:paraId="3C875BDE" w14:textId="77777777" w:rsidR="00367E28" w:rsidRPr="003B1EB0" w:rsidRDefault="00367E28" w:rsidP="00367E28">
            <w:pPr>
              <w:pStyle w:val="IPPPargraphnumbering"/>
              <w:tabs>
                <w:tab w:val="clear" w:pos="0"/>
              </w:tabs>
              <w:ind w:firstLine="0"/>
              <w:jc w:val="center"/>
              <w:rPr>
                <w:rFonts w:ascii="Arial" w:hAnsi="Arial" w:cs="Arial"/>
                <w:b/>
                <w:sz w:val="18"/>
                <w:szCs w:val="18"/>
              </w:rPr>
            </w:pPr>
            <w:r w:rsidRPr="003B1EB0">
              <w:rPr>
                <w:rFonts w:ascii="Arial" w:hAnsi="Arial" w:cs="Arial"/>
                <w:b/>
                <w:sz w:val="18"/>
                <w:szCs w:val="18"/>
              </w:rPr>
              <w:t xml:space="preserve">IPPC Diagnostic Protocols </w:t>
            </w:r>
          </w:p>
          <w:p w14:paraId="2FDC26D2" w14:textId="77777777" w:rsidR="00367E28" w:rsidRPr="003B1EB0" w:rsidRDefault="00367E28" w:rsidP="00367E28">
            <w:pPr>
              <w:pStyle w:val="IPPPargraphnumbering"/>
              <w:tabs>
                <w:tab w:val="clear" w:pos="0"/>
              </w:tabs>
              <w:ind w:firstLine="0"/>
              <w:jc w:val="center"/>
              <w:rPr>
                <w:rFonts w:ascii="Arial" w:hAnsi="Arial" w:cs="Arial"/>
                <w:b/>
                <w:sz w:val="18"/>
                <w:szCs w:val="18"/>
              </w:rPr>
            </w:pPr>
            <w:r w:rsidRPr="003B1EB0">
              <w:rPr>
                <w:rFonts w:ascii="Arial" w:hAnsi="Arial" w:cs="Arial"/>
                <w:b/>
                <w:sz w:val="18"/>
                <w:szCs w:val="18"/>
              </w:rPr>
              <w:t>(as May 2022 – tentative schedule)</w:t>
            </w:r>
          </w:p>
        </w:tc>
        <w:tc>
          <w:tcPr>
            <w:tcW w:w="1009" w:type="pct"/>
            <w:gridSpan w:val="4"/>
          </w:tcPr>
          <w:p w14:paraId="2BCA1198" w14:textId="77777777" w:rsidR="00367E28" w:rsidRPr="003B1EB0" w:rsidRDefault="00367E28" w:rsidP="00367E28">
            <w:pPr>
              <w:pStyle w:val="IPPPargraphnumbering"/>
              <w:tabs>
                <w:tab w:val="clear" w:pos="0"/>
              </w:tabs>
              <w:ind w:firstLine="0"/>
              <w:jc w:val="center"/>
              <w:rPr>
                <w:rFonts w:ascii="Arial" w:hAnsi="Arial" w:cs="Arial"/>
                <w:b/>
                <w:sz w:val="18"/>
                <w:szCs w:val="18"/>
              </w:rPr>
            </w:pPr>
            <w:r w:rsidRPr="003B1EB0">
              <w:rPr>
                <w:rFonts w:ascii="Arial" w:hAnsi="Arial" w:cs="Arial"/>
                <w:b/>
                <w:sz w:val="18"/>
                <w:szCs w:val="18"/>
              </w:rPr>
              <w:t>2022</w:t>
            </w:r>
          </w:p>
        </w:tc>
        <w:tc>
          <w:tcPr>
            <w:tcW w:w="1009" w:type="pct"/>
            <w:gridSpan w:val="4"/>
          </w:tcPr>
          <w:p w14:paraId="0211BCC1" w14:textId="77777777" w:rsidR="00367E28" w:rsidRPr="003B1EB0" w:rsidRDefault="00367E28" w:rsidP="00367E28">
            <w:pPr>
              <w:pStyle w:val="IPPPargraphnumbering"/>
              <w:tabs>
                <w:tab w:val="clear" w:pos="0"/>
              </w:tabs>
              <w:ind w:firstLine="0"/>
              <w:jc w:val="center"/>
              <w:rPr>
                <w:rFonts w:ascii="Arial" w:hAnsi="Arial" w:cs="Arial"/>
                <w:b/>
                <w:sz w:val="18"/>
                <w:szCs w:val="18"/>
              </w:rPr>
            </w:pPr>
            <w:r w:rsidRPr="003B1EB0">
              <w:rPr>
                <w:rFonts w:ascii="Arial" w:hAnsi="Arial" w:cs="Arial"/>
                <w:b/>
                <w:sz w:val="18"/>
                <w:szCs w:val="18"/>
              </w:rPr>
              <w:t>2023</w:t>
            </w:r>
          </w:p>
        </w:tc>
      </w:tr>
      <w:tr w:rsidR="00367E28" w:rsidRPr="003B1EB0" w14:paraId="5D6FB3AE" w14:textId="77777777" w:rsidTr="00367E28">
        <w:trPr>
          <w:tblHeader/>
        </w:trPr>
        <w:tc>
          <w:tcPr>
            <w:tcW w:w="232" w:type="pct"/>
            <w:vMerge/>
          </w:tcPr>
          <w:p w14:paraId="2197DCEA"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vMerge/>
          </w:tcPr>
          <w:p w14:paraId="5A02B221"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tcPr>
          <w:p w14:paraId="347893E0" w14:textId="77777777" w:rsidR="00367E28" w:rsidRPr="003B1EB0" w:rsidRDefault="00367E28" w:rsidP="00367E28">
            <w:pPr>
              <w:pStyle w:val="IPPPargraphnumbering"/>
              <w:tabs>
                <w:tab w:val="clear" w:pos="0"/>
              </w:tabs>
              <w:ind w:firstLine="0"/>
              <w:jc w:val="center"/>
              <w:rPr>
                <w:rFonts w:ascii="Arial" w:hAnsi="Arial" w:cs="Arial"/>
                <w:sz w:val="18"/>
                <w:szCs w:val="18"/>
              </w:rPr>
            </w:pPr>
            <w:r w:rsidRPr="003B1EB0">
              <w:rPr>
                <w:rFonts w:ascii="Arial" w:hAnsi="Arial" w:cs="Arial"/>
                <w:sz w:val="18"/>
                <w:szCs w:val="18"/>
              </w:rPr>
              <w:t>Q1</w:t>
            </w:r>
          </w:p>
        </w:tc>
        <w:tc>
          <w:tcPr>
            <w:tcW w:w="252" w:type="pct"/>
          </w:tcPr>
          <w:p w14:paraId="10CDC3D5" w14:textId="77777777" w:rsidR="00367E28" w:rsidRPr="003B1EB0" w:rsidRDefault="00367E28" w:rsidP="00367E28">
            <w:pPr>
              <w:pStyle w:val="IPPPargraphnumbering"/>
              <w:tabs>
                <w:tab w:val="clear" w:pos="0"/>
              </w:tabs>
              <w:ind w:firstLine="0"/>
              <w:jc w:val="center"/>
              <w:rPr>
                <w:rFonts w:ascii="Arial" w:hAnsi="Arial" w:cs="Arial"/>
                <w:sz w:val="18"/>
                <w:szCs w:val="18"/>
              </w:rPr>
            </w:pPr>
            <w:r w:rsidRPr="003B1EB0">
              <w:rPr>
                <w:rFonts w:ascii="Arial" w:hAnsi="Arial" w:cs="Arial"/>
                <w:sz w:val="18"/>
                <w:szCs w:val="18"/>
              </w:rPr>
              <w:t>Q2</w:t>
            </w:r>
          </w:p>
        </w:tc>
        <w:tc>
          <w:tcPr>
            <w:tcW w:w="252" w:type="pct"/>
          </w:tcPr>
          <w:p w14:paraId="40DE727C" w14:textId="77777777" w:rsidR="00367E28" w:rsidRPr="003B1EB0" w:rsidRDefault="00367E28" w:rsidP="00367E28">
            <w:pPr>
              <w:pStyle w:val="IPPPargraphnumbering"/>
              <w:tabs>
                <w:tab w:val="clear" w:pos="0"/>
              </w:tabs>
              <w:ind w:firstLine="0"/>
              <w:jc w:val="center"/>
              <w:rPr>
                <w:rFonts w:ascii="Arial" w:hAnsi="Arial" w:cs="Arial"/>
                <w:sz w:val="18"/>
                <w:szCs w:val="18"/>
              </w:rPr>
            </w:pPr>
            <w:r w:rsidRPr="003B1EB0">
              <w:rPr>
                <w:rFonts w:ascii="Arial" w:hAnsi="Arial" w:cs="Arial"/>
                <w:sz w:val="18"/>
                <w:szCs w:val="18"/>
              </w:rPr>
              <w:t>Q3</w:t>
            </w:r>
          </w:p>
        </w:tc>
        <w:tc>
          <w:tcPr>
            <w:tcW w:w="252" w:type="pct"/>
          </w:tcPr>
          <w:p w14:paraId="30DACA0D" w14:textId="77777777" w:rsidR="00367E28" w:rsidRPr="003B1EB0" w:rsidRDefault="00367E28" w:rsidP="00367E28">
            <w:pPr>
              <w:pStyle w:val="IPPPargraphnumbering"/>
              <w:tabs>
                <w:tab w:val="clear" w:pos="0"/>
              </w:tabs>
              <w:ind w:firstLine="0"/>
              <w:jc w:val="center"/>
              <w:rPr>
                <w:rFonts w:ascii="Arial" w:hAnsi="Arial" w:cs="Arial"/>
                <w:sz w:val="18"/>
                <w:szCs w:val="18"/>
              </w:rPr>
            </w:pPr>
            <w:r w:rsidRPr="003B1EB0">
              <w:rPr>
                <w:rFonts w:ascii="Arial" w:hAnsi="Arial" w:cs="Arial"/>
                <w:sz w:val="18"/>
                <w:szCs w:val="18"/>
              </w:rPr>
              <w:t>Q4</w:t>
            </w:r>
          </w:p>
        </w:tc>
        <w:tc>
          <w:tcPr>
            <w:tcW w:w="252" w:type="pct"/>
          </w:tcPr>
          <w:p w14:paraId="548627BE" w14:textId="77777777" w:rsidR="00367E28" w:rsidRPr="003B1EB0" w:rsidRDefault="00367E28" w:rsidP="00367E28">
            <w:pPr>
              <w:pStyle w:val="IPPPargraphnumbering"/>
              <w:tabs>
                <w:tab w:val="clear" w:pos="0"/>
              </w:tabs>
              <w:ind w:firstLine="0"/>
              <w:jc w:val="center"/>
              <w:rPr>
                <w:rFonts w:ascii="Arial" w:hAnsi="Arial" w:cs="Arial"/>
                <w:sz w:val="18"/>
                <w:szCs w:val="18"/>
              </w:rPr>
            </w:pPr>
            <w:r w:rsidRPr="003B1EB0">
              <w:rPr>
                <w:rFonts w:ascii="Arial" w:hAnsi="Arial" w:cs="Arial"/>
                <w:sz w:val="18"/>
                <w:szCs w:val="18"/>
              </w:rPr>
              <w:t>Q1</w:t>
            </w:r>
          </w:p>
        </w:tc>
        <w:tc>
          <w:tcPr>
            <w:tcW w:w="252" w:type="pct"/>
          </w:tcPr>
          <w:p w14:paraId="39AF87C1" w14:textId="77777777" w:rsidR="00367E28" w:rsidRPr="003B1EB0" w:rsidRDefault="00367E28" w:rsidP="00367E28">
            <w:pPr>
              <w:pStyle w:val="IPPPargraphnumbering"/>
              <w:tabs>
                <w:tab w:val="clear" w:pos="0"/>
              </w:tabs>
              <w:ind w:firstLine="0"/>
              <w:jc w:val="center"/>
              <w:rPr>
                <w:rFonts w:ascii="Arial" w:hAnsi="Arial" w:cs="Arial"/>
                <w:sz w:val="18"/>
                <w:szCs w:val="18"/>
              </w:rPr>
            </w:pPr>
            <w:r w:rsidRPr="003B1EB0">
              <w:rPr>
                <w:rFonts w:ascii="Arial" w:hAnsi="Arial" w:cs="Arial"/>
                <w:sz w:val="18"/>
                <w:szCs w:val="18"/>
              </w:rPr>
              <w:t>Q2</w:t>
            </w:r>
          </w:p>
        </w:tc>
        <w:tc>
          <w:tcPr>
            <w:tcW w:w="252" w:type="pct"/>
          </w:tcPr>
          <w:p w14:paraId="1DF7C7E3" w14:textId="77777777" w:rsidR="00367E28" w:rsidRPr="003B1EB0" w:rsidRDefault="00367E28" w:rsidP="00367E28">
            <w:pPr>
              <w:pStyle w:val="IPPPargraphnumbering"/>
              <w:tabs>
                <w:tab w:val="clear" w:pos="0"/>
              </w:tabs>
              <w:ind w:firstLine="0"/>
              <w:jc w:val="center"/>
              <w:rPr>
                <w:rFonts w:ascii="Arial" w:hAnsi="Arial" w:cs="Arial"/>
                <w:sz w:val="18"/>
                <w:szCs w:val="18"/>
              </w:rPr>
            </w:pPr>
            <w:r w:rsidRPr="003B1EB0">
              <w:rPr>
                <w:rFonts w:ascii="Arial" w:hAnsi="Arial" w:cs="Arial"/>
                <w:sz w:val="18"/>
                <w:szCs w:val="18"/>
              </w:rPr>
              <w:t>Q3</w:t>
            </w:r>
          </w:p>
        </w:tc>
        <w:tc>
          <w:tcPr>
            <w:tcW w:w="252" w:type="pct"/>
          </w:tcPr>
          <w:p w14:paraId="45BC21F6" w14:textId="77777777" w:rsidR="00367E28" w:rsidRPr="003B1EB0" w:rsidRDefault="00367E28" w:rsidP="00367E28">
            <w:pPr>
              <w:pStyle w:val="IPPPargraphnumbering"/>
              <w:tabs>
                <w:tab w:val="clear" w:pos="0"/>
              </w:tabs>
              <w:ind w:firstLine="0"/>
              <w:jc w:val="center"/>
              <w:rPr>
                <w:rFonts w:ascii="Arial" w:hAnsi="Arial" w:cs="Arial"/>
                <w:sz w:val="18"/>
                <w:szCs w:val="18"/>
              </w:rPr>
            </w:pPr>
            <w:r w:rsidRPr="003B1EB0">
              <w:rPr>
                <w:rFonts w:ascii="Arial" w:hAnsi="Arial" w:cs="Arial"/>
                <w:sz w:val="18"/>
                <w:szCs w:val="18"/>
              </w:rPr>
              <w:t>Q4</w:t>
            </w:r>
          </w:p>
        </w:tc>
      </w:tr>
      <w:tr w:rsidR="00367E28" w:rsidRPr="003B1EB0" w14:paraId="308784CB" w14:textId="77777777" w:rsidTr="00367E28">
        <w:tc>
          <w:tcPr>
            <w:tcW w:w="232" w:type="pct"/>
          </w:tcPr>
          <w:p w14:paraId="214D07D5"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23324641" w14:textId="77777777" w:rsidR="00367E28" w:rsidRPr="003B1EB0" w:rsidRDefault="00367E28" w:rsidP="00367E28">
            <w:pPr>
              <w:pStyle w:val="IPPPargraphnumbering"/>
              <w:tabs>
                <w:tab w:val="clear" w:pos="0"/>
              </w:tabs>
              <w:ind w:firstLine="0"/>
              <w:rPr>
                <w:rFonts w:ascii="Arial" w:hAnsi="Arial" w:cs="Arial"/>
                <w:sz w:val="18"/>
                <w:szCs w:val="18"/>
              </w:rPr>
            </w:pPr>
            <w:proofErr w:type="spellStart"/>
            <w:r w:rsidRPr="003B1EB0">
              <w:rPr>
                <w:rFonts w:ascii="Arial" w:hAnsi="Arial" w:cs="Arial"/>
                <w:i/>
                <w:sz w:val="18"/>
                <w:szCs w:val="18"/>
              </w:rPr>
              <w:t>Mononychelus</w:t>
            </w:r>
            <w:proofErr w:type="spellEnd"/>
            <w:r w:rsidRPr="003B1EB0">
              <w:rPr>
                <w:rFonts w:ascii="Arial" w:hAnsi="Arial" w:cs="Arial"/>
                <w:i/>
                <w:sz w:val="18"/>
                <w:szCs w:val="18"/>
              </w:rPr>
              <w:t xml:space="preserve"> </w:t>
            </w:r>
            <w:proofErr w:type="spellStart"/>
            <w:r w:rsidRPr="003B1EB0">
              <w:rPr>
                <w:rFonts w:ascii="Arial" w:hAnsi="Arial" w:cs="Arial"/>
                <w:i/>
                <w:sz w:val="18"/>
                <w:szCs w:val="18"/>
              </w:rPr>
              <w:t>tanajoa</w:t>
            </w:r>
            <w:proofErr w:type="spellEnd"/>
            <w:r w:rsidRPr="003B1EB0">
              <w:rPr>
                <w:rFonts w:ascii="Arial" w:hAnsi="Arial" w:cs="Arial"/>
                <w:i/>
                <w:sz w:val="18"/>
                <w:szCs w:val="18"/>
              </w:rPr>
              <w:t xml:space="preserve"> </w:t>
            </w:r>
            <w:r w:rsidRPr="003B1EB0">
              <w:rPr>
                <w:rFonts w:ascii="Arial" w:hAnsi="Arial" w:cs="Arial"/>
                <w:sz w:val="18"/>
                <w:szCs w:val="18"/>
              </w:rPr>
              <w:t>(2018-006)</w:t>
            </w:r>
          </w:p>
        </w:tc>
        <w:tc>
          <w:tcPr>
            <w:tcW w:w="252" w:type="pct"/>
            <w:shd w:val="clear" w:color="auto" w:fill="FFC000"/>
          </w:tcPr>
          <w:p w14:paraId="5ABDF737" w14:textId="77777777" w:rsidR="00367E28" w:rsidRPr="003B1EB0" w:rsidRDefault="00367E28" w:rsidP="00367E28">
            <w:pPr>
              <w:pStyle w:val="IPPPargraphnumbering"/>
              <w:tabs>
                <w:tab w:val="clear" w:pos="0"/>
              </w:tabs>
              <w:ind w:firstLine="0"/>
              <w:rPr>
                <w:rFonts w:ascii="Arial" w:hAnsi="Arial" w:cs="Arial"/>
                <w:color w:val="FFC000"/>
                <w:sz w:val="18"/>
                <w:szCs w:val="18"/>
              </w:rPr>
            </w:pPr>
          </w:p>
        </w:tc>
        <w:tc>
          <w:tcPr>
            <w:tcW w:w="252" w:type="pct"/>
            <w:shd w:val="clear" w:color="auto" w:fill="00B0F0"/>
          </w:tcPr>
          <w:p w14:paraId="44C1DD62"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00B0F0"/>
          </w:tcPr>
          <w:p w14:paraId="5C56E1B9"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0C1E7058"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92D050"/>
          </w:tcPr>
          <w:p w14:paraId="06C8964C"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583A892C"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58AD333A"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07931489" w14:textId="77777777" w:rsidR="00367E28" w:rsidRPr="003B1EB0" w:rsidRDefault="00367E28" w:rsidP="00367E28">
            <w:pPr>
              <w:pStyle w:val="IPPPargraphnumbering"/>
              <w:tabs>
                <w:tab w:val="clear" w:pos="0"/>
              </w:tabs>
              <w:ind w:firstLine="0"/>
              <w:rPr>
                <w:rFonts w:ascii="Arial" w:hAnsi="Arial" w:cs="Arial"/>
                <w:sz w:val="18"/>
                <w:szCs w:val="18"/>
              </w:rPr>
            </w:pPr>
          </w:p>
        </w:tc>
      </w:tr>
      <w:tr w:rsidR="00367E28" w:rsidRPr="003B1EB0" w14:paraId="5D0989DE" w14:textId="77777777" w:rsidTr="00367E28">
        <w:tc>
          <w:tcPr>
            <w:tcW w:w="232" w:type="pct"/>
          </w:tcPr>
          <w:p w14:paraId="59FE1BFD"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04849440" w14:textId="77777777" w:rsidR="00367E28" w:rsidRPr="003B1EB0" w:rsidRDefault="00367E28" w:rsidP="00367E28">
            <w:pPr>
              <w:pStyle w:val="IPPPargraphnumbering"/>
              <w:tabs>
                <w:tab w:val="clear" w:pos="0"/>
              </w:tabs>
              <w:ind w:firstLine="0"/>
              <w:rPr>
                <w:rFonts w:ascii="Arial" w:hAnsi="Arial" w:cs="Arial"/>
                <w:i/>
                <w:sz w:val="18"/>
                <w:szCs w:val="18"/>
              </w:rPr>
            </w:pPr>
            <w:r w:rsidRPr="003B1EB0">
              <w:rPr>
                <w:rFonts w:ascii="Arial" w:hAnsi="Arial" w:cs="Arial"/>
                <w:sz w:val="18"/>
                <w:szCs w:val="18"/>
              </w:rPr>
              <w:t xml:space="preserve">Genus </w:t>
            </w:r>
            <w:proofErr w:type="spellStart"/>
            <w:r w:rsidRPr="003B1EB0">
              <w:rPr>
                <w:rFonts w:ascii="Arial" w:hAnsi="Arial" w:cs="Arial"/>
                <w:i/>
                <w:sz w:val="18"/>
                <w:szCs w:val="18"/>
              </w:rPr>
              <w:t>Ceratitis</w:t>
            </w:r>
            <w:proofErr w:type="spellEnd"/>
            <w:r w:rsidRPr="003B1EB0">
              <w:rPr>
                <w:rFonts w:ascii="Arial" w:hAnsi="Arial" w:cs="Arial"/>
                <w:sz w:val="18"/>
                <w:szCs w:val="18"/>
              </w:rPr>
              <w:t xml:space="preserve"> (2016-001)</w:t>
            </w:r>
          </w:p>
        </w:tc>
        <w:tc>
          <w:tcPr>
            <w:tcW w:w="252" w:type="pct"/>
            <w:shd w:val="clear" w:color="auto" w:fill="FFC000"/>
          </w:tcPr>
          <w:p w14:paraId="6D381ED5" w14:textId="77777777" w:rsidR="00367E28" w:rsidRPr="003B1EB0" w:rsidRDefault="00367E28" w:rsidP="00367E28">
            <w:pPr>
              <w:pStyle w:val="IPPPargraphnumbering"/>
              <w:tabs>
                <w:tab w:val="clear" w:pos="0"/>
              </w:tabs>
              <w:ind w:firstLine="0"/>
              <w:rPr>
                <w:rFonts w:ascii="Arial" w:hAnsi="Arial" w:cs="Arial"/>
                <w:color w:val="FFC000"/>
                <w:sz w:val="18"/>
                <w:szCs w:val="18"/>
              </w:rPr>
            </w:pPr>
          </w:p>
        </w:tc>
        <w:tc>
          <w:tcPr>
            <w:tcW w:w="252" w:type="pct"/>
            <w:shd w:val="clear" w:color="auto" w:fill="00B0F0"/>
          </w:tcPr>
          <w:p w14:paraId="1D03CB71"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00B0F0"/>
          </w:tcPr>
          <w:p w14:paraId="35A05D7B" w14:textId="77777777" w:rsidR="00367E28" w:rsidRPr="003B1EB0" w:rsidRDefault="00367E28" w:rsidP="00367E28">
            <w:pPr>
              <w:pStyle w:val="IPPPargraphnumbering"/>
              <w:tabs>
                <w:tab w:val="clear" w:pos="0"/>
              </w:tabs>
              <w:ind w:firstLine="0"/>
              <w:rPr>
                <w:rFonts w:ascii="Arial" w:hAnsi="Arial" w:cs="Arial"/>
                <w:sz w:val="18"/>
                <w:szCs w:val="18"/>
              </w:rPr>
            </w:pPr>
            <w:r w:rsidRPr="003B1EB0">
              <w:rPr>
                <w:rFonts w:ascii="Arial" w:hAnsi="Arial" w:cs="Arial"/>
                <w:sz w:val="18"/>
                <w:szCs w:val="18"/>
              </w:rPr>
              <w:t>*</w:t>
            </w:r>
          </w:p>
        </w:tc>
        <w:tc>
          <w:tcPr>
            <w:tcW w:w="252" w:type="pct"/>
            <w:shd w:val="clear" w:color="auto" w:fill="FFC000"/>
          </w:tcPr>
          <w:p w14:paraId="642F10B2"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92D050"/>
          </w:tcPr>
          <w:p w14:paraId="7CA074C5"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tcPr>
          <w:p w14:paraId="32ACB04A"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tcPr>
          <w:p w14:paraId="25F3D123"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tcPr>
          <w:p w14:paraId="15AB05C8" w14:textId="77777777" w:rsidR="00367E28" w:rsidRPr="003B1EB0" w:rsidRDefault="00367E28" w:rsidP="00367E28">
            <w:pPr>
              <w:pStyle w:val="IPPPargraphnumbering"/>
              <w:tabs>
                <w:tab w:val="clear" w:pos="0"/>
              </w:tabs>
              <w:ind w:firstLine="0"/>
              <w:rPr>
                <w:rFonts w:ascii="Arial" w:hAnsi="Arial" w:cs="Arial"/>
                <w:sz w:val="18"/>
                <w:szCs w:val="18"/>
              </w:rPr>
            </w:pPr>
          </w:p>
        </w:tc>
      </w:tr>
      <w:tr w:rsidR="00367E28" w:rsidRPr="003B1EB0" w14:paraId="422C8F5B" w14:textId="77777777" w:rsidTr="00367E28">
        <w:tc>
          <w:tcPr>
            <w:tcW w:w="232" w:type="pct"/>
          </w:tcPr>
          <w:p w14:paraId="51FAFD0A"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24CA37FC" w14:textId="77777777" w:rsidR="00367E28" w:rsidRPr="003B1EB0" w:rsidRDefault="00367E28" w:rsidP="00367E28">
            <w:pPr>
              <w:pStyle w:val="IPPPargraphnumbering"/>
              <w:tabs>
                <w:tab w:val="clear" w:pos="0"/>
              </w:tabs>
              <w:ind w:firstLine="0"/>
              <w:rPr>
                <w:rFonts w:ascii="Arial" w:hAnsi="Arial" w:cs="Arial"/>
                <w:sz w:val="18"/>
                <w:szCs w:val="18"/>
              </w:rPr>
            </w:pPr>
            <w:proofErr w:type="spellStart"/>
            <w:r w:rsidRPr="003B1EB0">
              <w:rPr>
                <w:rFonts w:ascii="Arial" w:hAnsi="Arial" w:cs="Arial"/>
                <w:sz w:val="18"/>
                <w:szCs w:val="18"/>
              </w:rPr>
              <w:t>Begomoviruses</w:t>
            </w:r>
            <w:proofErr w:type="spellEnd"/>
            <w:r w:rsidRPr="003B1EB0">
              <w:rPr>
                <w:rFonts w:ascii="Arial" w:hAnsi="Arial" w:cs="Arial"/>
                <w:sz w:val="18"/>
                <w:szCs w:val="18"/>
              </w:rPr>
              <w:t xml:space="preserve"> transmitted by</w:t>
            </w:r>
            <w:r w:rsidRPr="003B1EB0">
              <w:rPr>
                <w:rFonts w:ascii="Arial" w:hAnsi="Arial" w:cs="Arial"/>
                <w:i/>
                <w:sz w:val="18"/>
                <w:szCs w:val="18"/>
              </w:rPr>
              <w:t xml:space="preserve"> </w:t>
            </w:r>
            <w:proofErr w:type="spellStart"/>
            <w:r w:rsidRPr="003B1EB0">
              <w:rPr>
                <w:rFonts w:ascii="Arial" w:hAnsi="Arial" w:cs="Arial"/>
                <w:i/>
                <w:sz w:val="18"/>
                <w:szCs w:val="18"/>
              </w:rPr>
              <w:t>Bemisia</w:t>
            </w:r>
            <w:proofErr w:type="spellEnd"/>
            <w:r w:rsidRPr="003B1EB0">
              <w:rPr>
                <w:rFonts w:ascii="Arial" w:hAnsi="Arial" w:cs="Arial"/>
                <w:i/>
                <w:sz w:val="18"/>
                <w:szCs w:val="18"/>
              </w:rPr>
              <w:t xml:space="preserve"> </w:t>
            </w:r>
            <w:proofErr w:type="spellStart"/>
            <w:r w:rsidRPr="003B1EB0">
              <w:rPr>
                <w:rFonts w:ascii="Arial" w:hAnsi="Arial" w:cs="Arial"/>
                <w:i/>
                <w:sz w:val="18"/>
                <w:szCs w:val="18"/>
              </w:rPr>
              <w:t>tabaci</w:t>
            </w:r>
            <w:proofErr w:type="spellEnd"/>
            <w:r w:rsidRPr="003B1EB0">
              <w:rPr>
                <w:rFonts w:ascii="Arial" w:hAnsi="Arial" w:cs="Arial"/>
                <w:i/>
                <w:sz w:val="18"/>
                <w:szCs w:val="18"/>
              </w:rPr>
              <w:t xml:space="preserve"> </w:t>
            </w:r>
            <w:r w:rsidRPr="003B1EB0">
              <w:rPr>
                <w:rFonts w:ascii="Arial" w:hAnsi="Arial" w:cs="Arial"/>
                <w:sz w:val="18"/>
                <w:szCs w:val="18"/>
              </w:rPr>
              <w:t>(2006-026)*</w:t>
            </w:r>
          </w:p>
        </w:tc>
        <w:tc>
          <w:tcPr>
            <w:tcW w:w="252" w:type="pct"/>
            <w:shd w:val="clear" w:color="auto" w:fill="FFFFFF" w:themeFill="background1"/>
          </w:tcPr>
          <w:p w14:paraId="7CD27FBB" w14:textId="77777777" w:rsidR="00367E28" w:rsidRPr="003B1EB0" w:rsidRDefault="00367E28" w:rsidP="00367E28">
            <w:pPr>
              <w:pStyle w:val="IPPPargraphnumbering"/>
              <w:tabs>
                <w:tab w:val="clear" w:pos="0"/>
              </w:tabs>
              <w:ind w:firstLine="0"/>
              <w:rPr>
                <w:rFonts w:ascii="Arial" w:hAnsi="Arial" w:cs="Arial"/>
                <w:color w:val="FFC000"/>
                <w:sz w:val="18"/>
                <w:szCs w:val="18"/>
              </w:rPr>
            </w:pPr>
            <w:r w:rsidRPr="003B1EB0">
              <w:rPr>
                <w:rFonts w:ascii="Arial" w:hAnsi="Arial" w:cs="Arial"/>
                <w:sz w:val="18"/>
                <w:szCs w:val="18"/>
              </w:rPr>
              <w:t>-</w:t>
            </w:r>
          </w:p>
        </w:tc>
        <w:tc>
          <w:tcPr>
            <w:tcW w:w="252" w:type="pct"/>
            <w:shd w:val="clear" w:color="auto" w:fill="FFFFFF" w:themeFill="background1"/>
          </w:tcPr>
          <w:p w14:paraId="327B2A30" w14:textId="77777777" w:rsidR="00367E28" w:rsidRPr="003B1EB0" w:rsidRDefault="00367E28" w:rsidP="00367E28">
            <w:pPr>
              <w:pStyle w:val="IPPPargraphnumbering"/>
              <w:tabs>
                <w:tab w:val="clear" w:pos="0"/>
              </w:tabs>
              <w:ind w:firstLine="0"/>
              <w:rPr>
                <w:rFonts w:ascii="Arial" w:hAnsi="Arial" w:cs="Arial"/>
                <w:sz w:val="18"/>
                <w:szCs w:val="18"/>
              </w:rPr>
            </w:pPr>
            <w:r w:rsidRPr="003B1EB0">
              <w:rPr>
                <w:rFonts w:ascii="Arial" w:hAnsi="Arial" w:cs="Arial"/>
                <w:sz w:val="18"/>
                <w:szCs w:val="18"/>
              </w:rPr>
              <w:t>-</w:t>
            </w:r>
          </w:p>
        </w:tc>
        <w:tc>
          <w:tcPr>
            <w:tcW w:w="252" w:type="pct"/>
            <w:shd w:val="clear" w:color="auto" w:fill="auto"/>
          </w:tcPr>
          <w:p w14:paraId="3A0E33A7" w14:textId="77777777" w:rsidR="00367E28" w:rsidRPr="003B1EB0" w:rsidRDefault="00367E28" w:rsidP="00367E28">
            <w:pPr>
              <w:pStyle w:val="IPPPargraphnumbering"/>
              <w:tabs>
                <w:tab w:val="clear" w:pos="0"/>
              </w:tabs>
              <w:ind w:firstLine="0"/>
              <w:rPr>
                <w:rFonts w:ascii="Arial" w:hAnsi="Arial" w:cs="Arial"/>
                <w:sz w:val="18"/>
                <w:szCs w:val="18"/>
              </w:rPr>
            </w:pPr>
            <w:r w:rsidRPr="003B1EB0">
              <w:rPr>
                <w:rFonts w:ascii="Arial" w:hAnsi="Arial" w:cs="Arial"/>
                <w:sz w:val="18"/>
                <w:szCs w:val="18"/>
              </w:rPr>
              <w:t>-</w:t>
            </w:r>
          </w:p>
        </w:tc>
        <w:tc>
          <w:tcPr>
            <w:tcW w:w="252" w:type="pct"/>
          </w:tcPr>
          <w:p w14:paraId="4DE05AB2" w14:textId="77777777" w:rsidR="00367E28" w:rsidRPr="003B1EB0" w:rsidRDefault="00367E28" w:rsidP="00367E28">
            <w:pPr>
              <w:pStyle w:val="IPPPargraphnumbering"/>
              <w:tabs>
                <w:tab w:val="clear" w:pos="0"/>
              </w:tabs>
              <w:ind w:firstLine="0"/>
              <w:rPr>
                <w:rFonts w:ascii="Arial" w:hAnsi="Arial" w:cs="Arial"/>
                <w:sz w:val="18"/>
                <w:szCs w:val="18"/>
              </w:rPr>
            </w:pPr>
            <w:r w:rsidRPr="003B1EB0">
              <w:rPr>
                <w:rFonts w:ascii="Arial" w:hAnsi="Arial" w:cs="Arial"/>
                <w:sz w:val="18"/>
                <w:szCs w:val="18"/>
              </w:rPr>
              <w:t>-</w:t>
            </w:r>
          </w:p>
        </w:tc>
        <w:tc>
          <w:tcPr>
            <w:tcW w:w="252" w:type="pct"/>
          </w:tcPr>
          <w:p w14:paraId="33042E04" w14:textId="77777777" w:rsidR="00367E28" w:rsidRPr="003B1EB0" w:rsidRDefault="00367E28" w:rsidP="00367E28">
            <w:pPr>
              <w:pStyle w:val="IPPPargraphnumbering"/>
              <w:tabs>
                <w:tab w:val="clear" w:pos="0"/>
              </w:tabs>
              <w:ind w:firstLine="0"/>
              <w:rPr>
                <w:rFonts w:ascii="Arial" w:hAnsi="Arial" w:cs="Arial"/>
                <w:sz w:val="18"/>
                <w:szCs w:val="18"/>
              </w:rPr>
            </w:pPr>
            <w:r w:rsidRPr="003B1EB0">
              <w:rPr>
                <w:rFonts w:ascii="Arial" w:hAnsi="Arial" w:cs="Arial"/>
                <w:sz w:val="18"/>
                <w:szCs w:val="18"/>
              </w:rPr>
              <w:t>-</w:t>
            </w:r>
          </w:p>
        </w:tc>
        <w:tc>
          <w:tcPr>
            <w:tcW w:w="252" w:type="pct"/>
          </w:tcPr>
          <w:p w14:paraId="426610A4" w14:textId="77777777" w:rsidR="00367E28" w:rsidRPr="003B1EB0" w:rsidRDefault="00367E28" w:rsidP="00367E28">
            <w:pPr>
              <w:pStyle w:val="IPPPargraphnumbering"/>
              <w:tabs>
                <w:tab w:val="clear" w:pos="0"/>
              </w:tabs>
              <w:ind w:firstLine="0"/>
              <w:rPr>
                <w:rFonts w:ascii="Arial" w:hAnsi="Arial" w:cs="Arial"/>
                <w:sz w:val="18"/>
                <w:szCs w:val="18"/>
              </w:rPr>
            </w:pPr>
            <w:r w:rsidRPr="003B1EB0">
              <w:rPr>
                <w:rFonts w:ascii="Arial" w:hAnsi="Arial" w:cs="Arial"/>
                <w:sz w:val="18"/>
                <w:szCs w:val="18"/>
              </w:rPr>
              <w:t>-</w:t>
            </w:r>
          </w:p>
        </w:tc>
        <w:tc>
          <w:tcPr>
            <w:tcW w:w="252" w:type="pct"/>
          </w:tcPr>
          <w:p w14:paraId="60993E77" w14:textId="77777777" w:rsidR="00367E28" w:rsidRPr="003B1EB0" w:rsidRDefault="00367E28" w:rsidP="00367E28">
            <w:pPr>
              <w:pStyle w:val="IPPPargraphnumbering"/>
              <w:tabs>
                <w:tab w:val="clear" w:pos="0"/>
              </w:tabs>
              <w:ind w:firstLine="0"/>
              <w:rPr>
                <w:rFonts w:ascii="Arial" w:hAnsi="Arial" w:cs="Arial"/>
                <w:sz w:val="18"/>
                <w:szCs w:val="18"/>
              </w:rPr>
            </w:pPr>
            <w:r w:rsidRPr="003B1EB0">
              <w:rPr>
                <w:rFonts w:ascii="Arial" w:hAnsi="Arial" w:cs="Arial"/>
                <w:sz w:val="18"/>
                <w:szCs w:val="18"/>
              </w:rPr>
              <w:t>-</w:t>
            </w:r>
          </w:p>
        </w:tc>
        <w:tc>
          <w:tcPr>
            <w:tcW w:w="252" w:type="pct"/>
          </w:tcPr>
          <w:p w14:paraId="71FE41BB" w14:textId="77777777" w:rsidR="00367E28" w:rsidRPr="003B1EB0" w:rsidRDefault="00367E28" w:rsidP="00367E28">
            <w:pPr>
              <w:pStyle w:val="IPPPargraphnumbering"/>
              <w:tabs>
                <w:tab w:val="clear" w:pos="0"/>
              </w:tabs>
              <w:ind w:firstLine="0"/>
              <w:rPr>
                <w:rFonts w:ascii="Arial" w:hAnsi="Arial" w:cs="Arial"/>
                <w:sz w:val="18"/>
                <w:szCs w:val="18"/>
              </w:rPr>
            </w:pPr>
            <w:r w:rsidRPr="003B1EB0">
              <w:rPr>
                <w:rFonts w:ascii="Arial" w:hAnsi="Arial" w:cs="Arial"/>
                <w:sz w:val="18"/>
                <w:szCs w:val="18"/>
              </w:rPr>
              <w:t>-</w:t>
            </w:r>
          </w:p>
        </w:tc>
      </w:tr>
      <w:tr w:rsidR="00367E28" w:rsidRPr="003B1EB0" w14:paraId="23F2FA95" w14:textId="77777777" w:rsidTr="00367E28">
        <w:tc>
          <w:tcPr>
            <w:tcW w:w="232" w:type="pct"/>
          </w:tcPr>
          <w:p w14:paraId="4284699B"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6CD42716" w14:textId="77777777" w:rsidR="00367E28" w:rsidRPr="003B1EB0" w:rsidRDefault="00367E28" w:rsidP="00367E28">
            <w:pPr>
              <w:pStyle w:val="IPPPargraphnumbering"/>
              <w:tabs>
                <w:tab w:val="clear" w:pos="0"/>
              </w:tabs>
              <w:ind w:firstLine="0"/>
              <w:rPr>
                <w:rFonts w:ascii="Arial" w:hAnsi="Arial" w:cs="Arial"/>
                <w:sz w:val="18"/>
                <w:szCs w:val="18"/>
              </w:rPr>
            </w:pPr>
            <w:proofErr w:type="spellStart"/>
            <w:r w:rsidRPr="003B1EB0">
              <w:rPr>
                <w:rFonts w:ascii="Arial" w:hAnsi="Arial" w:cs="Arial"/>
                <w:sz w:val="18"/>
                <w:szCs w:val="18"/>
              </w:rPr>
              <w:t>Tephritidae</w:t>
            </w:r>
            <w:proofErr w:type="spellEnd"/>
            <w:r w:rsidRPr="003B1EB0">
              <w:rPr>
                <w:rFonts w:ascii="Arial" w:hAnsi="Arial" w:cs="Arial"/>
                <w:sz w:val="18"/>
                <w:szCs w:val="18"/>
              </w:rPr>
              <w:t>: Identification of immature stages of fruit flies of economic importance by molecular techniques (2006-028) (currently with “pending status”)</w:t>
            </w:r>
          </w:p>
        </w:tc>
        <w:tc>
          <w:tcPr>
            <w:tcW w:w="252" w:type="pct"/>
            <w:shd w:val="clear" w:color="auto" w:fill="auto"/>
          </w:tcPr>
          <w:p w14:paraId="21EC77A5" w14:textId="77777777" w:rsidR="00367E28" w:rsidRPr="003B1EB0" w:rsidRDefault="00367E28" w:rsidP="00367E28">
            <w:pPr>
              <w:pStyle w:val="IPPPargraphnumbering"/>
              <w:tabs>
                <w:tab w:val="clear" w:pos="0"/>
              </w:tabs>
              <w:ind w:firstLine="0"/>
              <w:rPr>
                <w:rFonts w:ascii="Arial" w:hAnsi="Arial" w:cs="Arial"/>
                <w:sz w:val="18"/>
                <w:szCs w:val="18"/>
              </w:rPr>
            </w:pPr>
            <w:r w:rsidRPr="003B1EB0">
              <w:rPr>
                <w:rFonts w:ascii="Arial" w:hAnsi="Arial" w:cs="Arial"/>
                <w:sz w:val="18"/>
                <w:szCs w:val="18"/>
              </w:rPr>
              <w:t>-</w:t>
            </w:r>
          </w:p>
        </w:tc>
        <w:tc>
          <w:tcPr>
            <w:tcW w:w="252" w:type="pct"/>
            <w:shd w:val="clear" w:color="auto" w:fill="FFC000"/>
          </w:tcPr>
          <w:p w14:paraId="07B6CA23"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0A75685A"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5530EAAF"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50A818EF"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7030A0"/>
          </w:tcPr>
          <w:p w14:paraId="5BD16F1A" w14:textId="77777777" w:rsidR="00367E28" w:rsidRPr="003B1EB0" w:rsidRDefault="00367E28" w:rsidP="00367E28">
            <w:pPr>
              <w:pStyle w:val="IPPPargraphnumbering"/>
              <w:tabs>
                <w:tab w:val="clear" w:pos="0"/>
              </w:tabs>
              <w:ind w:firstLine="0"/>
              <w:rPr>
                <w:rFonts w:ascii="Arial" w:hAnsi="Arial" w:cs="Arial"/>
                <w:sz w:val="18"/>
                <w:szCs w:val="18"/>
              </w:rPr>
            </w:pPr>
            <w:r w:rsidRPr="003B1EB0">
              <w:rPr>
                <w:rFonts w:ascii="Arial" w:hAnsi="Arial" w:cs="Arial"/>
                <w:sz w:val="18"/>
                <w:szCs w:val="18"/>
              </w:rPr>
              <w:t>-</w:t>
            </w:r>
          </w:p>
        </w:tc>
        <w:tc>
          <w:tcPr>
            <w:tcW w:w="252" w:type="pct"/>
            <w:shd w:val="clear" w:color="auto" w:fill="FFC000"/>
          </w:tcPr>
          <w:p w14:paraId="0CA00FF7" w14:textId="77777777" w:rsidR="00367E28" w:rsidRPr="003B1EB0" w:rsidRDefault="00367E28" w:rsidP="00367E28">
            <w:pPr>
              <w:pStyle w:val="IPPPargraphnumbering"/>
              <w:tabs>
                <w:tab w:val="clear" w:pos="0"/>
              </w:tabs>
              <w:ind w:firstLine="0"/>
              <w:rPr>
                <w:rFonts w:ascii="Arial" w:hAnsi="Arial" w:cs="Arial"/>
                <w:sz w:val="18"/>
                <w:szCs w:val="18"/>
              </w:rPr>
            </w:pPr>
            <w:r w:rsidRPr="003B1EB0">
              <w:rPr>
                <w:rFonts w:ascii="Arial" w:hAnsi="Arial" w:cs="Arial"/>
                <w:sz w:val="18"/>
                <w:szCs w:val="18"/>
              </w:rPr>
              <w:t>-</w:t>
            </w:r>
          </w:p>
        </w:tc>
        <w:tc>
          <w:tcPr>
            <w:tcW w:w="252" w:type="pct"/>
            <w:shd w:val="clear" w:color="auto" w:fill="FFC000"/>
          </w:tcPr>
          <w:p w14:paraId="73913033" w14:textId="77777777" w:rsidR="00367E28" w:rsidRPr="003B1EB0" w:rsidRDefault="00367E28" w:rsidP="00367E28">
            <w:pPr>
              <w:pStyle w:val="IPPPargraphnumbering"/>
              <w:tabs>
                <w:tab w:val="clear" w:pos="0"/>
              </w:tabs>
              <w:ind w:firstLine="0"/>
              <w:rPr>
                <w:rFonts w:ascii="Arial" w:hAnsi="Arial" w:cs="Arial"/>
                <w:sz w:val="18"/>
                <w:szCs w:val="18"/>
              </w:rPr>
            </w:pPr>
            <w:r w:rsidRPr="003B1EB0">
              <w:rPr>
                <w:rFonts w:ascii="Arial" w:hAnsi="Arial" w:cs="Arial"/>
                <w:sz w:val="18"/>
                <w:szCs w:val="18"/>
              </w:rPr>
              <w:t>-</w:t>
            </w:r>
          </w:p>
        </w:tc>
      </w:tr>
      <w:tr w:rsidR="00367E28" w:rsidRPr="003B1EB0" w14:paraId="2B3899D1" w14:textId="77777777" w:rsidTr="00367E28">
        <w:tc>
          <w:tcPr>
            <w:tcW w:w="232" w:type="pct"/>
          </w:tcPr>
          <w:p w14:paraId="3B83E8E4"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4E8A4699" w14:textId="77777777" w:rsidR="00367E28" w:rsidRPr="003B1EB0" w:rsidRDefault="00367E28" w:rsidP="00367E28">
            <w:pPr>
              <w:pStyle w:val="IPPPargraphnumbering"/>
              <w:tabs>
                <w:tab w:val="clear" w:pos="0"/>
              </w:tabs>
              <w:ind w:firstLine="0"/>
              <w:rPr>
                <w:rFonts w:ascii="Arial" w:hAnsi="Arial" w:cs="Arial"/>
                <w:sz w:val="18"/>
                <w:szCs w:val="18"/>
                <w:lang w:val="it-IT"/>
              </w:rPr>
            </w:pPr>
            <w:r w:rsidRPr="003B1EB0">
              <w:rPr>
                <w:rFonts w:ascii="Arial" w:hAnsi="Arial" w:cs="Arial"/>
                <w:i/>
                <w:sz w:val="18"/>
                <w:szCs w:val="18"/>
                <w:lang w:val="it-IT"/>
              </w:rPr>
              <w:t>Puccinia graminis</w:t>
            </w:r>
            <w:r w:rsidRPr="003B1EB0">
              <w:rPr>
                <w:rFonts w:ascii="Arial" w:hAnsi="Arial" w:cs="Arial"/>
                <w:sz w:val="18"/>
                <w:szCs w:val="18"/>
                <w:lang w:val="it-IT"/>
              </w:rPr>
              <w:t xml:space="preserve"> f. sp. </w:t>
            </w:r>
            <w:r w:rsidRPr="003B1EB0">
              <w:rPr>
                <w:rFonts w:ascii="Arial" w:hAnsi="Arial" w:cs="Arial"/>
                <w:i/>
                <w:sz w:val="18"/>
                <w:szCs w:val="18"/>
                <w:lang w:val="it-IT"/>
              </w:rPr>
              <w:t xml:space="preserve">tritici </w:t>
            </w:r>
            <w:r w:rsidRPr="003B1EB0">
              <w:rPr>
                <w:rFonts w:ascii="Arial" w:hAnsi="Arial" w:cs="Arial"/>
                <w:sz w:val="18"/>
                <w:szCs w:val="18"/>
                <w:lang w:val="it-IT"/>
              </w:rPr>
              <w:t>UG 99 (2019-004)</w:t>
            </w:r>
          </w:p>
        </w:tc>
        <w:tc>
          <w:tcPr>
            <w:tcW w:w="252" w:type="pct"/>
            <w:shd w:val="clear" w:color="auto" w:fill="FFFFFF" w:themeFill="background1"/>
          </w:tcPr>
          <w:p w14:paraId="29C33845" w14:textId="77777777" w:rsidR="00367E28" w:rsidRPr="003B1EB0" w:rsidRDefault="00367E28" w:rsidP="00367E28">
            <w:pPr>
              <w:pStyle w:val="IPPPargraphnumbering"/>
              <w:tabs>
                <w:tab w:val="clear" w:pos="0"/>
              </w:tabs>
              <w:ind w:firstLine="0"/>
              <w:rPr>
                <w:rFonts w:ascii="Arial" w:hAnsi="Arial" w:cs="Arial"/>
                <w:sz w:val="18"/>
                <w:szCs w:val="18"/>
              </w:rPr>
            </w:pPr>
            <w:r w:rsidRPr="003B1EB0">
              <w:rPr>
                <w:rFonts w:ascii="Arial" w:hAnsi="Arial" w:cs="Arial"/>
                <w:sz w:val="18"/>
                <w:szCs w:val="18"/>
              </w:rPr>
              <w:t>-</w:t>
            </w:r>
          </w:p>
        </w:tc>
        <w:tc>
          <w:tcPr>
            <w:tcW w:w="252" w:type="pct"/>
            <w:shd w:val="clear" w:color="auto" w:fill="FFC000"/>
          </w:tcPr>
          <w:p w14:paraId="41527CFE"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1491F285"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3E118E6A"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429157E4"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7030A0"/>
          </w:tcPr>
          <w:p w14:paraId="5CE5A86F"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717B85A9"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2AC38E58" w14:textId="77777777" w:rsidR="00367E28" w:rsidRPr="003B1EB0" w:rsidRDefault="00367E28" w:rsidP="00367E28">
            <w:pPr>
              <w:pStyle w:val="IPPPargraphnumbering"/>
              <w:tabs>
                <w:tab w:val="clear" w:pos="0"/>
              </w:tabs>
              <w:ind w:firstLine="0"/>
              <w:rPr>
                <w:rFonts w:ascii="Arial" w:hAnsi="Arial" w:cs="Arial"/>
                <w:sz w:val="18"/>
                <w:szCs w:val="18"/>
              </w:rPr>
            </w:pPr>
          </w:p>
        </w:tc>
      </w:tr>
      <w:tr w:rsidR="00367E28" w:rsidRPr="003B1EB0" w14:paraId="698059C7" w14:textId="77777777" w:rsidTr="00367E28">
        <w:tc>
          <w:tcPr>
            <w:tcW w:w="232" w:type="pct"/>
          </w:tcPr>
          <w:p w14:paraId="3571A438"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63B5C225" w14:textId="77777777" w:rsidR="00367E28" w:rsidRPr="003B1EB0" w:rsidRDefault="00367E28" w:rsidP="00367E28">
            <w:pPr>
              <w:pStyle w:val="IPPPargraphnumbering"/>
              <w:tabs>
                <w:tab w:val="clear" w:pos="0"/>
              </w:tabs>
              <w:ind w:firstLine="0"/>
              <w:rPr>
                <w:rFonts w:ascii="Arial" w:hAnsi="Arial" w:cs="Arial"/>
                <w:sz w:val="18"/>
                <w:szCs w:val="18"/>
              </w:rPr>
            </w:pPr>
            <w:r w:rsidRPr="003B1EB0">
              <w:rPr>
                <w:rFonts w:ascii="Arial" w:hAnsi="Arial" w:cs="Arial"/>
                <w:sz w:val="18"/>
                <w:szCs w:val="18"/>
              </w:rPr>
              <w:t xml:space="preserve">Psyllid vectors of </w:t>
            </w:r>
            <w:proofErr w:type="spellStart"/>
            <w:r w:rsidRPr="003B1EB0">
              <w:rPr>
                <w:rFonts w:ascii="Arial" w:hAnsi="Arial" w:cs="Arial"/>
                <w:i/>
                <w:sz w:val="18"/>
                <w:szCs w:val="18"/>
              </w:rPr>
              <w:t>Candidatus</w:t>
            </w:r>
            <w:proofErr w:type="spellEnd"/>
            <w:r w:rsidRPr="003B1EB0">
              <w:rPr>
                <w:rFonts w:ascii="Arial" w:hAnsi="Arial" w:cs="Arial"/>
                <w:sz w:val="18"/>
                <w:szCs w:val="18"/>
              </w:rPr>
              <w:t xml:space="preserve"> </w:t>
            </w:r>
            <w:proofErr w:type="spellStart"/>
            <w:r w:rsidRPr="003B1EB0">
              <w:rPr>
                <w:rFonts w:ascii="Arial" w:hAnsi="Arial" w:cs="Arial"/>
                <w:sz w:val="18"/>
                <w:szCs w:val="18"/>
              </w:rPr>
              <w:t>Liberibacter</w:t>
            </w:r>
            <w:proofErr w:type="spellEnd"/>
            <w:r w:rsidRPr="003B1EB0">
              <w:rPr>
                <w:rFonts w:ascii="Arial" w:hAnsi="Arial" w:cs="Arial"/>
                <w:sz w:val="18"/>
                <w:szCs w:val="18"/>
              </w:rPr>
              <w:t xml:space="preserve"> </w:t>
            </w:r>
            <w:proofErr w:type="spellStart"/>
            <w:r w:rsidRPr="003B1EB0">
              <w:rPr>
                <w:rFonts w:ascii="Arial" w:hAnsi="Arial" w:cs="Arial"/>
                <w:sz w:val="18"/>
                <w:szCs w:val="18"/>
              </w:rPr>
              <w:t>Solanacearum</w:t>
            </w:r>
            <w:proofErr w:type="spellEnd"/>
            <w:r w:rsidRPr="003B1EB0">
              <w:rPr>
                <w:rFonts w:ascii="Arial" w:hAnsi="Arial" w:cs="Arial"/>
                <w:sz w:val="18"/>
                <w:szCs w:val="18"/>
              </w:rPr>
              <w:t xml:space="preserve"> (2018-030)</w:t>
            </w:r>
          </w:p>
        </w:tc>
        <w:tc>
          <w:tcPr>
            <w:tcW w:w="252" w:type="pct"/>
            <w:shd w:val="clear" w:color="auto" w:fill="FFC000"/>
          </w:tcPr>
          <w:p w14:paraId="4EE6026C" w14:textId="77777777" w:rsidR="00367E28" w:rsidRPr="003B1EB0" w:rsidRDefault="00367E28" w:rsidP="00367E28">
            <w:pPr>
              <w:pStyle w:val="IPPPargraphnumbering"/>
              <w:tabs>
                <w:tab w:val="clear" w:pos="0"/>
              </w:tabs>
              <w:ind w:firstLine="0"/>
              <w:rPr>
                <w:rFonts w:ascii="Arial" w:hAnsi="Arial" w:cs="Arial"/>
                <w:color w:val="FFC000"/>
                <w:sz w:val="18"/>
                <w:szCs w:val="18"/>
              </w:rPr>
            </w:pPr>
          </w:p>
        </w:tc>
        <w:tc>
          <w:tcPr>
            <w:tcW w:w="252" w:type="pct"/>
            <w:shd w:val="clear" w:color="auto" w:fill="FFC000"/>
          </w:tcPr>
          <w:p w14:paraId="68F7C22C"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03E10321"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6A41C71A"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78802089"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7030A0"/>
          </w:tcPr>
          <w:p w14:paraId="666D1DC8"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031C5ECC"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726D631E" w14:textId="77777777" w:rsidR="00367E28" w:rsidRPr="003B1EB0" w:rsidRDefault="00367E28" w:rsidP="00367E28">
            <w:pPr>
              <w:pStyle w:val="IPPPargraphnumbering"/>
              <w:tabs>
                <w:tab w:val="clear" w:pos="0"/>
              </w:tabs>
              <w:ind w:firstLine="0"/>
              <w:rPr>
                <w:rFonts w:ascii="Arial" w:hAnsi="Arial" w:cs="Arial"/>
                <w:sz w:val="18"/>
                <w:szCs w:val="18"/>
              </w:rPr>
            </w:pPr>
          </w:p>
        </w:tc>
      </w:tr>
      <w:tr w:rsidR="00367E28" w:rsidRPr="003B1EB0" w14:paraId="4EAA0988" w14:textId="77777777" w:rsidTr="00367E28">
        <w:tc>
          <w:tcPr>
            <w:tcW w:w="232" w:type="pct"/>
          </w:tcPr>
          <w:p w14:paraId="7C011D01"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51C296EA" w14:textId="77777777" w:rsidR="00367E28" w:rsidRPr="003B1EB0" w:rsidRDefault="00367E28" w:rsidP="00367E28">
            <w:pPr>
              <w:pStyle w:val="IPPPargraphnumbering"/>
              <w:tabs>
                <w:tab w:val="clear" w:pos="0"/>
              </w:tabs>
              <w:ind w:firstLine="0"/>
              <w:rPr>
                <w:rFonts w:ascii="Arial" w:hAnsi="Arial" w:cs="Arial"/>
                <w:sz w:val="18"/>
                <w:szCs w:val="18"/>
              </w:rPr>
            </w:pPr>
            <w:proofErr w:type="spellStart"/>
            <w:r w:rsidRPr="003B1EB0">
              <w:rPr>
                <w:rFonts w:ascii="Arial" w:hAnsi="Arial" w:cs="Arial"/>
                <w:i/>
                <w:sz w:val="18"/>
                <w:szCs w:val="18"/>
              </w:rPr>
              <w:t>Pyricularia</w:t>
            </w:r>
            <w:proofErr w:type="spellEnd"/>
            <w:r w:rsidRPr="003B1EB0">
              <w:rPr>
                <w:rFonts w:ascii="Arial" w:hAnsi="Arial" w:cs="Arial"/>
                <w:i/>
                <w:sz w:val="18"/>
                <w:szCs w:val="18"/>
              </w:rPr>
              <w:t xml:space="preserve"> </w:t>
            </w:r>
            <w:proofErr w:type="spellStart"/>
            <w:r w:rsidRPr="003B1EB0">
              <w:rPr>
                <w:rFonts w:ascii="Arial" w:hAnsi="Arial" w:cs="Arial"/>
                <w:i/>
                <w:sz w:val="18"/>
                <w:szCs w:val="18"/>
              </w:rPr>
              <w:t>oryzae</w:t>
            </w:r>
            <w:proofErr w:type="spellEnd"/>
            <w:r w:rsidRPr="003B1EB0">
              <w:rPr>
                <w:rFonts w:ascii="Arial" w:hAnsi="Arial" w:cs="Arial"/>
                <w:sz w:val="18"/>
                <w:szCs w:val="18"/>
              </w:rPr>
              <w:t xml:space="preserve"> (syn. </w:t>
            </w:r>
            <w:proofErr w:type="spellStart"/>
            <w:r w:rsidRPr="003B1EB0">
              <w:rPr>
                <w:rFonts w:ascii="Arial" w:hAnsi="Arial" w:cs="Arial"/>
                <w:i/>
                <w:sz w:val="18"/>
                <w:szCs w:val="18"/>
              </w:rPr>
              <w:t>Magnaporthe</w:t>
            </w:r>
            <w:proofErr w:type="spellEnd"/>
            <w:r w:rsidRPr="003B1EB0">
              <w:rPr>
                <w:rFonts w:ascii="Arial" w:hAnsi="Arial" w:cs="Arial"/>
                <w:i/>
                <w:sz w:val="18"/>
                <w:szCs w:val="18"/>
              </w:rPr>
              <w:t xml:space="preserve"> </w:t>
            </w:r>
            <w:proofErr w:type="spellStart"/>
            <w:r w:rsidRPr="003B1EB0">
              <w:rPr>
                <w:rFonts w:ascii="Arial" w:hAnsi="Arial" w:cs="Arial"/>
                <w:i/>
                <w:sz w:val="18"/>
                <w:szCs w:val="18"/>
              </w:rPr>
              <w:t>oryzae</w:t>
            </w:r>
            <w:proofErr w:type="spellEnd"/>
            <w:r w:rsidRPr="003B1EB0">
              <w:rPr>
                <w:rFonts w:ascii="Arial" w:hAnsi="Arial" w:cs="Arial"/>
                <w:sz w:val="18"/>
                <w:szCs w:val="18"/>
              </w:rPr>
              <w:t xml:space="preserve">) on </w:t>
            </w:r>
            <w:proofErr w:type="spellStart"/>
            <w:r w:rsidRPr="003B1EB0">
              <w:rPr>
                <w:rFonts w:ascii="Arial" w:hAnsi="Arial" w:cs="Arial"/>
                <w:i/>
                <w:sz w:val="18"/>
                <w:szCs w:val="18"/>
              </w:rPr>
              <w:t>Triticum</w:t>
            </w:r>
            <w:proofErr w:type="spellEnd"/>
            <w:r w:rsidRPr="003B1EB0">
              <w:rPr>
                <w:rFonts w:ascii="Arial" w:hAnsi="Arial" w:cs="Arial"/>
                <w:sz w:val="18"/>
                <w:szCs w:val="18"/>
              </w:rPr>
              <w:t xml:space="preserve"> (2019-010)</w:t>
            </w:r>
          </w:p>
        </w:tc>
        <w:tc>
          <w:tcPr>
            <w:tcW w:w="252" w:type="pct"/>
            <w:shd w:val="clear" w:color="auto" w:fill="FFC000"/>
          </w:tcPr>
          <w:p w14:paraId="31246A0C" w14:textId="77777777" w:rsidR="00367E28" w:rsidRPr="003B1EB0" w:rsidRDefault="00367E28" w:rsidP="00367E28">
            <w:pPr>
              <w:pStyle w:val="IPPPargraphnumbering"/>
              <w:tabs>
                <w:tab w:val="clear" w:pos="0"/>
              </w:tabs>
              <w:ind w:firstLine="0"/>
              <w:rPr>
                <w:rFonts w:ascii="Arial" w:hAnsi="Arial" w:cs="Arial"/>
                <w:color w:val="FFC000"/>
                <w:sz w:val="18"/>
                <w:szCs w:val="18"/>
              </w:rPr>
            </w:pPr>
          </w:p>
        </w:tc>
        <w:tc>
          <w:tcPr>
            <w:tcW w:w="252" w:type="pct"/>
            <w:shd w:val="clear" w:color="auto" w:fill="FFC000"/>
          </w:tcPr>
          <w:p w14:paraId="5D051C6F"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7030A0"/>
          </w:tcPr>
          <w:p w14:paraId="2820B281"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096CD316"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2EEAACC3"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00B0F0"/>
          </w:tcPr>
          <w:p w14:paraId="7BF29066"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00B0F0"/>
          </w:tcPr>
          <w:p w14:paraId="239A97E9"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7CC28D0C" w14:textId="77777777" w:rsidR="00367E28" w:rsidRPr="003B1EB0" w:rsidRDefault="00367E28" w:rsidP="00367E28">
            <w:pPr>
              <w:pStyle w:val="IPPPargraphnumbering"/>
              <w:tabs>
                <w:tab w:val="clear" w:pos="0"/>
              </w:tabs>
              <w:ind w:firstLine="0"/>
              <w:rPr>
                <w:rFonts w:ascii="Arial" w:hAnsi="Arial" w:cs="Arial"/>
                <w:sz w:val="18"/>
                <w:szCs w:val="18"/>
              </w:rPr>
            </w:pPr>
          </w:p>
        </w:tc>
      </w:tr>
      <w:tr w:rsidR="00367E28" w:rsidRPr="003B1EB0" w14:paraId="04D73294" w14:textId="77777777" w:rsidTr="00367E28">
        <w:tc>
          <w:tcPr>
            <w:tcW w:w="232" w:type="pct"/>
          </w:tcPr>
          <w:p w14:paraId="6C3C9021"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6A722724" w14:textId="77777777" w:rsidR="00367E28" w:rsidRPr="003B1EB0" w:rsidRDefault="00367E28" w:rsidP="00367E28">
            <w:pPr>
              <w:pStyle w:val="IPPPargraphnumbering"/>
              <w:tabs>
                <w:tab w:val="clear" w:pos="0"/>
              </w:tabs>
              <w:ind w:firstLine="0"/>
              <w:rPr>
                <w:rFonts w:ascii="Arial" w:hAnsi="Arial" w:cs="Arial"/>
                <w:sz w:val="18"/>
                <w:szCs w:val="18"/>
              </w:rPr>
            </w:pPr>
            <w:r w:rsidRPr="003B1EB0">
              <w:rPr>
                <w:rFonts w:ascii="Arial" w:hAnsi="Arial" w:cs="Arial"/>
                <w:i/>
                <w:sz w:val="18"/>
                <w:szCs w:val="18"/>
              </w:rPr>
              <w:t xml:space="preserve">Citrus </w:t>
            </w:r>
            <w:proofErr w:type="spellStart"/>
            <w:r w:rsidRPr="003B1EB0">
              <w:rPr>
                <w:rFonts w:ascii="Arial" w:hAnsi="Arial" w:cs="Arial"/>
                <w:i/>
                <w:sz w:val="18"/>
                <w:szCs w:val="18"/>
              </w:rPr>
              <w:t>leprosis</w:t>
            </w:r>
            <w:proofErr w:type="spellEnd"/>
            <w:r w:rsidRPr="003B1EB0">
              <w:rPr>
                <w:rFonts w:ascii="Arial" w:hAnsi="Arial" w:cs="Arial"/>
                <w:i/>
                <w:sz w:val="18"/>
                <w:szCs w:val="18"/>
              </w:rPr>
              <w:t xml:space="preserve"> virus</w:t>
            </w:r>
            <w:r w:rsidRPr="003B1EB0">
              <w:rPr>
                <w:rFonts w:ascii="Arial" w:hAnsi="Arial" w:cs="Arial"/>
                <w:sz w:val="18"/>
                <w:szCs w:val="18"/>
              </w:rPr>
              <w:t xml:space="preserve"> (2018-025)</w:t>
            </w:r>
          </w:p>
        </w:tc>
        <w:tc>
          <w:tcPr>
            <w:tcW w:w="252" w:type="pct"/>
            <w:shd w:val="clear" w:color="auto" w:fill="FFC000"/>
          </w:tcPr>
          <w:p w14:paraId="3854724F" w14:textId="77777777" w:rsidR="00367E28" w:rsidRPr="003B1EB0" w:rsidRDefault="00367E28" w:rsidP="00367E28">
            <w:pPr>
              <w:pStyle w:val="IPPPargraphnumbering"/>
              <w:tabs>
                <w:tab w:val="clear" w:pos="0"/>
              </w:tabs>
              <w:ind w:firstLine="0"/>
              <w:rPr>
                <w:rFonts w:ascii="Arial" w:hAnsi="Arial" w:cs="Arial"/>
                <w:color w:val="FFC000"/>
                <w:sz w:val="18"/>
                <w:szCs w:val="18"/>
              </w:rPr>
            </w:pPr>
          </w:p>
        </w:tc>
        <w:tc>
          <w:tcPr>
            <w:tcW w:w="252" w:type="pct"/>
            <w:shd w:val="clear" w:color="auto" w:fill="FFC000"/>
          </w:tcPr>
          <w:p w14:paraId="1AB21F90"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7030A0"/>
          </w:tcPr>
          <w:p w14:paraId="3E718924"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24A6FBE7"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351A8DE2"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00B0F0"/>
          </w:tcPr>
          <w:p w14:paraId="56C1DD15"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00B0F0"/>
          </w:tcPr>
          <w:p w14:paraId="664B617E"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74E80A11" w14:textId="77777777" w:rsidR="00367E28" w:rsidRPr="003B1EB0" w:rsidRDefault="00367E28" w:rsidP="00367E28">
            <w:pPr>
              <w:pStyle w:val="IPPPargraphnumbering"/>
              <w:tabs>
                <w:tab w:val="clear" w:pos="0"/>
              </w:tabs>
              <w:ind w:firstLine="0"/>
              <w:rPr>
                <w:rFonts w:ascii="Arial" w:hAnsi="Arial" w:cs="Arial"/>
                <w:sz w:val="18"/>
                <w:szCs w:val="18"/>
              </w:rPr>
            </w:pPr>
          </w:p>
        </w:tc>
      </w:tr>
      <w:tr w:rsidR="00367E28" w:rsidRPr="003B1EB0" w14:paraId="153CCD25" w14:textId="77777777" w:rsidTr="00367E28">
        <w:tc>
          <w:tcPr>
            <w:tcW w:w="232" w:type="pct"/>
          </w:tcPr>
          <w:p w14:paraId="4EBC09BE"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1ECE9DC9" w14:textId="77777777" w:rsidR="00367E28" w:rsidRPr="003B1EB0" w:rsidRDefault="00367E28" w:rsidP="00367E28">
            <w:pPr>
              <w:pStyle w:val="IPPPargraphnumbering"/>
              <w:tabs>
                <w:tab w:val="clear" w:pos="0"/>
              </w:tabs>
              <w:ind w:firstLine="0"/>
              <w:rPr>
                <w:rFonts w:ascii="Arial" w:hAnsi="Arial" w:cs="Arial"/>
                <w:sz w:val="18"/>
                <w:szCs w:val="18"/>
              </w:rPr>
            </w:pPr>
            <w:proofErr w:type="spellStart"/>
            <w:r w:rsidRPr="003B1EB0">
              <w:rPr>
                <w:rFonts w:ascii="Arial" w:hAnsi="Arial" w:cs="Arial"/>
                <w:sz w:val="18"/>
                <w:szCs w:val="18"/>
              </w:rPr>
              <w:t>Pospiviroid</w:t>
            </w:r>
            <w:proofErr w:type="spellEnd"/>
            <w:r w:rsidRPr="003B1EB0">
              <w:rPr>
                <w:rFonts w:ascii="Arial" w:hAnsi="Arial" w:cs="Arial"/>
                <w:sz w:val="18"/>
                <w:szCs w:val="18"/>
              </w:rPr>
              <w:t xml:space="preserve"> species (except </w:t>
            </w:r>
            <w:r w:rsidRPr="003B1EB0">
              <w:rPr>
                <w:rFonts w:ascii="Arial" w:hAnsi="Arial" w:cs="Arial"/>
                <w:i/>
                <w:sz w:val="18"/>
                <w:szCs w:val="18"/>
              </w:rPr>
              <w:t>Potato spindle tuber viroid</w:t>
            </w:r>
            <w:r w:rsidRPr="003B1EB0">
              <w:rPr>
                <w:rFonts w:ascii="Arial" w:hAnsi="Arial" w:cs="Arial"/>
                <w:sz w:val="18"/>
                <w:szCs w:val="18"/>
              </w:rPr>
              <w:t xml:space="preserve"> (DP 7)) (2018-031)</w:t>
            </w:r>
          </w:p>
        </w:tc>
        <w:tc>
          <w:tcPr>
            <w:tcW w:w="252" w:type="pct"/>
            <w:shd w:val="clear" w:color="auto" w:fill="FFC000"/>
          </w:tcPr>
          <w:p w14:paraId="7787E0BD"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32C59FC2"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628E9AEF"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13DAAB47"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7030A0"/>
          </w:tcPr>
          <w:p w14:paraId="46E97E36"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00B0F0"/>
          </w:tcPr>
          <w:p w14:paraId="069BB909"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00B0F0"/>
          </w:tcPr>
          <w:p w14:paraId="1F163276"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319AA871" w14:textId="77777777" w:rsidR="00367E28" w:rsidRPr="003B1EB0" w:rsidRDefault="00367E28" w:rsidP="00367E28">
            <w:pPr>
              <w:pStyle w:val="IPPPargraphnumbering"/>
              <w:tabs>
                <w:tab w:val="clear" w:pos="0"/>
              </w:tabs>
              <w:ind w:firstLine="0"/>
              <w:rPr>
                <w:rFonts w:ascii="Arial" w:hAnsi="Arial" w:cs="Arial"/>
                <w:sz w:val="18"/>
                <w:szCs w:val="18"/>
              </w:rPr>
            </w:pPr>
          </w:p>
        </w:tc>
      </w:tr>
      <w:tr w:rsidR="00367E28" w:rsidRPr="003B1EB0" w14:paraId="360E0E99" w14:textId="77777777" w:rsidTr="00367E28">
        <w:tc>
          <w:tcPr>
            <w:tcW w:w="232" w:type="pct"/>
          </w:tcPr>
          <w:p w14:paraId="5896D2F7"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2D28355C" w14:textId="77777777" w:rsidR="00367E28" w:rsidRPr="003B1EB0" w:rsidRDefault="00367E28" w:rsidP="00367E28">
            <w:pPr>
              <w:pStyle w:val="IPPPargraphnumbering"/>
              <w:tabs>
                <w:tab w:val="clear" w:pos="0"/>
              </w:tabs>
              <w:ind w:firstLine="0"/>
              <w:rPr>
                <w:rFonts w:ascii="Arial" w:hAnsi="Arial" w:cs="Arial"/>
                <w:sz w:val="18"/>
                <w:szCs w:val="18"/>
              </w:rPr>
            </w:pPr>
            <w:proofErr w:type="spellStart"/>
            <w:r w:rsidRPr="003B1EB0">
              <w:rPr>
                <w:rFonts w:ascii="Arial" w:hAnsi="Arial" w:cs="Arial"/>
                <w:i/>
                <w:sz w:val="18"/>
                <w:szCs w:val="18"/>
              </w:rPr>
              <w:t>Acidovorax</w:t>
            </w:r>
            <w:proofErr w:type="spellEnd"/>
            <w:r w:rsidRPr="003B1EB0">
              <w:rPr>
                <w:rFonts w:ascii="Arial" w:hAnsi="Arial" w:cs="Arial"/>
                <w:i/>
                <w:sz w:val="18"/>
                <w:szCs w:val="18"/>
              </w:rPr>
              <w:t xml:space="preserve"> </w:t>
            </w:r>
            <w:proofErr w:type="spellStart"/>
            <w:r w:rsidRPr="003B1EB0">
              <w:rPr>
                <w:rFonts w:ascii="Arial" w:hAnsi="Arial" w:cs="Arial"/>
                <w:i/>
                <w:sz w:val="18"/>
                <w:szCs w:val="18"/>
              </w:rPr>
              <w:t>avenae</w:t>
            </w:r>
            <w:proofErr w:type="spellEnd"/>
            <w:r w:rsidRPr="003B1EB0">
              <w:rPr>
                <w:rFonts w:ascii="Arial" w:hAnsi="Arial" w:cs="Arial"/>
                <w:sz w:val="18"/>
                <w:szCs w:val="18"/>
              </w:rPr>
              <w:t xml:space="preserve"> subsp. </w:t>
            </w:r>
            <w:proofErr w:type="spellStart"/>
            <w:r w:rsidRPr="003B1EB0">
              <w:rPr>
                <w:rFonts w:ascii="Arial" w:hAnsi="Arial" w:cs="Arial"/>
                <w:i/>
                <w:sz w:val="18"/>
                <w:szCs w:val="18"/>
              </w:rPr>
              <w:t>citrulli</w:t>
            </w:r>
            <w:proofErr w:type="spellEnd"/>
            <w:r w:rsidRPr="003B1EB0">
              <w:rPr>
                <w:rFonts w:ascii="Arial" w:hAnsi="Arial" w:cs="Arial"/>
                <w:i/>
                <w:sz w:val="18"/>
                <w:szCs w:val="18"/>
              </w:rPr>
              <w:t xml:space="preserve"> </w:t>
            </w:r>
            <w:r w:rsidRPr="003B1EB0">
              <w:rPr>
                <w:rFonts w:ascii="Arial" w:hAnsi="Arial" w:cs="Arial"/>
                <w:sz w:val="18"/>
                <w:szCs w:val="18"/>
              </w:rPr>
              <w:t>(2018-032)</w:t>
            </w:r>
          </w:p>
        </w:tc>
        <w:tc>
          <w:tcPr>
            <w:tcW w:w="252" w:type="pct"/>
            <w:shd w:val="clear" w:color="auto" w:fill="FFC000"/>
          </w:tcPr>
          <w:p w14:paraId="7A93C5E9"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121C8464"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6B0FB6D5"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54E606A8"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7030A0"/>
          </w:tcPr>
          <w:p w14:paraId="179A4FD9"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00B0F0"/>
          </w:tcPr>
          <w:p w14:paraId="15F5F221"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00B0F0"/>
          </w:tcPr>
          <w:p w14:paraId="17569B9B"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709C44F3" w14:textId="77777777" w:rsidR="00367E28" w:rsidRPr="003B1EB0" w:rsidRDefault="00367E28" w:rsidP="00367E28">
            <w:pPr>
              <w:pStyle w:val="IPPPargraphnumbering"/>
              <w:tabs>
                <w:tab w:val="clear" w:pos="0"/>
              </w:tabs>
              <w:ind w:firstLine="0"/>
              <w:rPr>
                <w:rFonts w:ascii="Arial" w:hAnsi="Arial" w:cs="Arial"/>
                <w:sz w:val="18"/>
                <w:szCs w:val="18"/>
              </w:rPr>
            </w:pPr>
          </w:p>
        </w:tc>
      </w:tr>
      <w:tr w:rsidR="00367E28" w:rsidRPr="003B1EB0" w14:paraId="7436D105" w14:textId="77777777" w:rsidTr="00367E28">
        <w:tc>
          <w:tcPr>
            <w:tcW w:w="232" w:type="pct"/>
          </w:tcPr>
          <w:p w14:paraId="5452C1D9"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05E37981" w14:textId="77777777" w:rsidR="00367E28" w:rsidRPr="003B1EB0" w:rsidRDefault="00367E28" w:rsidP="00367E28">
            <w:pPr>
              <w:pStyle w:val="IPPPargraphnumbering"/>
              <w:tabs>
                <w:tab w:val="clear" w:pos="0"/>
              </w:tabs>
              <w:ind w:firstLine="0"/>
              <w:rPr>
                <w:rFonts w:ascii="Arial" w:hAnsi="Arial" w:cs="Arial"/>
                <w:i/>
                <w:sz w:val="18"/>
                <w:szCs w:val="18"/>
              </w:rPr>
            </w:pPr>
            <w:r w:rsidRPr="003B1EB0">
              <w:rPr>
                <w:rFonts w:ascii="Arial" w:hAnsi="Arial" w:cs="Arial"/>
                <w:sz w:val="18"/>
                <w:szCs w:val="18"/>
              </w:rPr>
              <w:t>Revision of DP 03:</w:t>
            </w:r>
            <w:r w:rsidRPr="003B1EB0">
              <w:rPr>
                <w:rFonts w:ascii="Arial" w:hAnsi="Arial" w:cs="Arial"/>
                <w:i/>
                <w:sz w:val="18"/>
                <w:szCs w:val="18"/>
              </w:rPr>
              <w:t xml:space="preserve"> </w:t>
            </w:r>
            <w:proofErr w:type="spellStart"/>
            <w:r w:rsidRPr="003B1EB0">
              <w:rPr>
                <w:rFonts w:ascii="Arial" w:hAnsi="Arial" w:cs="Arial"/>
                <w:i/>
                <w:sz w:val="18"/>
                <w:szCs w:val="18"/>
              </w:rPr>
              <w:t>Trogoderma</w:t>
            </w:r>
            <w:proofErr w:type="spellEnd"/>
            <w:r w:rsidRPr="003B1EB0">
              <w:rPr>
                <w:rFonts w:ascii="Arial" w:hAnsi="Arial" w:cs="Arial"/>
                <w:i/>
                <w:sz w:val="18"/>
                <w:szCs w:val="18"/>
              </w:rPr>
              <w:t xml:space="preserve"> </w:t>
            </w:r>
            <w:proofErr w:type="spellStart"/>
            <w:r w:rsidRPr="003B1EB0">
              <w:rPr>
                <w:rFonts w:ascii="Arial" w:hAnsi="Arial" w:cs="Arial"/>
                <w:i/>
                <w:sz w:val="18"/>
                <w:szCs w:val="18"/>
              </w:rPr>
              <w:t>granarium</w:t>
            </w:r>
            <w:proofErr w:type="spellEnd"/>
            <w:r w:rsidRPr="003B1EB0">
              <w:rPr>
                <w:rFonts w:ascii="Arial" w:hAnsi="Arial" w:cs="Arial"/>
                <w:i/>
                <w:sz w:val="18"/>
                <w:szCs w:val="18"/>
              </w:rPr>
              <w:t xml:space="preserve"> </w:t>
            </w:r>
            <w:r w:rsidRPr="003B1EB0">
              <w:rPr>
                <w:rFonts w:ascii="Arial" w:hAnsi="Arial" w:cs="Arial"/>
                <w:sz w:val="18"/>
                <w:szCs w:val="18"/>
              </w:rPr>
              <w:t>Everts</w:t>
            </w:r>
            <w:r w:rsidRPr="003B1EB0">
              <w:rPr>
                <w:rFonts w:ascii="Arial" w:hAnsi="Arial" w:cs="Arial"/>
                <w:i/>
                <w:sz w:val="18"/>
                <w:szCs w:val="18"/>
              </w:rPr>
              <w:t xml:space="preserve"> </w:t>
            </w:r>
            <w:r w:rsidRPr="003B1EB0">
              <w:rPr>
                <w:rFonts w:ascii="Arial" w:hAnsi="Arial" w:cs="Arial"/>
                <w:sz w:val="18"/>
                <w:szCs w:val="18"/>
              </w:rPr>
              <w:t>(2021-001)</w:t>
            </w:r>
          </w:p>
        </w:tc>
        <w:tc>
          <w:tcPr>
            <w:tcW w:w="252" w:type="pct"/>
            <w:shd w:val="clear" w:color="auto" w:fill="FFC000"/>
          </w:tcPr>
          <w:p w14:paraId="02B8EAE9"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FFC000"/>
          </w:tcPr>
          <w:p w14:paraId="0B18A418"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FFC000"/>
          </w:tcPr>
          <w:p w14:paraId="4B5BF015"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21162B6A"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7030A0"/>
          </w:tcPr>
          <w:p w14:paraId="6A8C4B3C"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00B0F0"/>
          </w:tcPr>
          <w:p w14:paraId="232F32D0"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00B0F0"/>
          </w:tcPr>
          <w:p w14:paraId="64BD0C42"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438C30BE" w14:textId="77777777" w:rsidR="00367E28" w:rsidRPr="003B1EB0" w:rsidRDefault="00367E28" w:rsidP="00367E28">
            <w:pPr>
              <w:pStyle w:val="IPPPargraphnumbering"/>
              <w:tabs>
                <w:tab w:val="clear" w:pos="0"/>
              </w:tabs>
              <w:ind w:firstLine="0"/>
              <w:rPr>
                <w:rFonts w:ascii="Arial" w:hAnsi="Arial" w:cs="Arial"/>
                <w:sz w:val="18"/>
                <w:szCs w:val="18"/>
              </w:rPr>
            </w:pPr>
          </w:p>
        </w:tc>
      </w:tr>
      <w:tr w:rsidR="00367E28" w:rsidRPr="003B1EB0" w14:paraId="47276F66" w14:textId="77777777" w:rsidTr="00367E28">
        <w:tc>
          <w:tcPr>
            <w:tcW w:w="232" w:type="pct"/>
          </w:tcPr>
          <w:p w14:paraId="75FDB183"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208FE2CE" w14:textId="77777777" w:rsidR="00367E28" w:rsidRPr="003B1EB0" w:rsidRDefault="00367E28" w:rsidP="00367E28">
            <w:pPr>
              <w:pStyle w:val="IPPPargraphnumbering"/>
              <w:tabs>
                <w:tab w:val="clear" w:pos="0"/>
              </w:tabs>
              <w:ind w:firstLine="0"/>
              <w:rPr>
                <w:rFonts w:ascii="Arial" w:hAnsi="Arial" w:cs="Arial"/>
                <w:i/>
                <w:sz w:val="18"/>
                <w:szCs w:val="18"/>
              </w:rPr>
            </w:pPr>
            <w:r w:rsidRPr="003B1EB0">
              <w:rPr>
                <w:rFonts w:ascii="Arial" w:hAnsi="Arial" w:cs="Arial"/>
                <w:sz w:val="18"/>
                <w:szCs w:val="18"/>
              </w:rPr>
              <w:t>Revision of DP 05:</w:t>
            </w:r>
            <w:r w:rsidRPr="003B1EB0">
              <w:rPr>
                <w:rFonts w:ascii="Arial" w:hAnsi="Arial" w:cs="Arial"/>
                <w:i/>
                <w:sz w:val="18"/>
                <w:szCs w:val="18"/>
              </w:rPr>
              <w:t xml:space="preserve"> (</w:t>
            </w:r>
            <w:proofErr w:type="spellStart"/>
            <w:r w:rsidRPr="003B1EB0">
              <w:rPr>
                <w:rFonts w:ascii="Arial" w:hAnsi="Arial" w:cs="Arial"/>
                <w:i/>
                <w:sz w:val="18"/>
                <w:szCs w:val="18"/>
              </w:rPr>
              <w:t>Phyllosticta</w:t>
            </w:r>
            <w:proofErr w:type="spellEnd"/>
            <w:r w:rsidRPr="003B1EB0">
              <w:rPr>
                <w:rFonts w:ascii="Arial" w:hAnsi="Arial" w:cs="Arial"/>
                <w:i/>
                <w:sz w:val="18"/>
                <w:szCs w:val="18"/>
              </w:rPr>
              <w:t xml:space="preserve"> </w:t>
            </w:r>
            <w:proofErr w:type="spellStart"/>
            <w:r w:rsidRPr="003B1EB0">
              <w:rPr>
                <w:rFonts w:ascii="Arial" w:hAnsi="Arial" w:cs="Arial"/>
                <w:i/>
                <w:sz w:val="18"/>
                <w:szCs w:val="18"/>
              </w:rPr>
              <w:t>citricarpa</w:t>
            </w:r>
            <w:proofErr w:type="spellEnd"/>
            <w:r w:rsidRPr="003B1EB0">
              <w:rPr>
                <w:rFonts w:ascii="Arial" w:hAnsi="Arial" w:cs="Arial"/>
                <w:i/>
                <w:sz w:val="18"/>
                <w:szCs w:val="18"/>
              </w:rPr>
              <w:t xml:space="preserve"> </w:t>
            </w:r>
            <w:r w:rsidRPr="003B1EB0">
              <w:rPr>
                <w:rFonts w:ascii="Arial" w:hAnsi="Arial" w:cs="Arial"/>
                <w:sz w:val="18"/>
                <w:szCs w:val="18"/>
              </w:rPr>
              <w:t>(</w:t>
            </w:r>
            <w:proofErr w:type="spellStart"/>
            <w:r w:rsidRPr="003B1EB0">
              <w:rPr>
                <w:rFonts w:ascii="Arial" w:hAnsi="Arial" w:cs="Arial"/>
                <w:sz w:val="18"/>
                <w:szCs w:val="18"/>
              </w:rPr>
              <w:t>McAlpine</w:t>
            </w:r>
            <w:proofErr w:type="spellEnd"/>
            <w:r w:rsidRPr="003B1EB0">
              <w:rPr>
                <w:rFonts w:ascii="Arial" w:hAnsi="Arial" w:cs="Arial"/>
                <w:sz w:val="18"/>
                <w:szCs w:val="18"/>
              </w:rPr>
              <w:t>)) Aa (2019-011)</w:t>
            </w:r>
          </w:p>
        </w:tc>
        <w:tc>
          <w:tcPr>
            <w:tcW w:w="252" w:type="pct"/>
            <w:shd w:val="clear" w:color="auto" w:fill="FFC000"/>
          </w:tcPr>
          <w:p w14:paraId="4AFCC82F"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FFC000"/>
          </w:tcPr>
          <w:p w14:paraId="5E989AA0"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7030A0"/>
          </w:tcPr>
          <w:p w14:paraId="1F70C704"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448FA497"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55AA2147"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00B0F0"/>
          </w:tcPr>
          <w:p w14:paraId="7ACB7443"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00B0F0"/>
          </w:tcPr>
          <w:p w14:paraId="6A381584"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049E4771" w14:textId="77777777" w:rsidR="00367E28" w:rsidRPr="003B1EB0" w:rsidRDefault="00367E28" w:rsidP="00367E28">
            <w:pPr>
              <w:pStyle w:val="IPPPargraphnumbering"/>
              <w:tabs>
                <w:tab w:val="clear" w:pos="0"/>
              </w:tabs>
              <w:ind w:firstLine="0"/>
              <w:rPr>
                <w:rFonts w:ascii="Arial" w:hAnsi="Arial" w:cs="Arial"/>
                <w:sz w:val="18"/>
                <w:szCs w:val="18"/>
              </w:rPr>
            </w:pPr>
          </w:p>
        </w:tc>
      </w:tr>
      <w:tr w:rsidR="00367E28" w:rsidRPr="003B1EB0" w14:paraId="081BDAE0" w14:textId="77777777" w:rsidTr="00367E28">
        <w:tc>
          <w:tcPr>
            <w:tcW w:w="232" w:type="pct"/>
          </w:tcPr>
          <w:p w14:paraId="4EE9827B"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6F3F8E22" w14:textId="77777777" w:rsidR="00367E28" w:rsidRPr="003B1EB0" w:rsidRDefault="00367E28" w:rsidP="00367E28">
            <w:pPr>
              <w:pStyle w:val="IPPPargraphnumbering"/>
              <w:tabs>
                <w:tab w:val="clear" w:pos="0"/>
              </w:tabs>
              <w:ind w:firstLine="0"/>
              <w:rPr>
                <w:rFonts w:ascii="Arial" w:hAnsi="Arial" w:cs="Arial"/>
                <w:i/>
                <w:sz w:val="18"/>
                <w:szCs w:val="18"/>
              </w:rPr>
            </w:pPr>
            <w:r w:rsidRPr="003B1EB0">
              <w:rPr>
                <w:rFonts w:ascii="Arial" w:hAnsi="Arial" w:cs="Arial"/>
                <w:sz w:val="18"/>
                <w:szCs w:val="18"/>
              </w:rPr>
              <w:t>Revision of DP 09:</w:t>
            </w:r>
            <w:r w:rsidRPr="003B1EB0">
              <w:rPr>
                <w:rFonts w:ascii="Arial" w:hAnsi="Arial" w:cs="Arial"/>
                <w:i/>
                <w:sz w:val="18"/>
                <w:szCs w:val="18"/>
              </w:rPr>
              <w:t xml:space="preserve"> Genus </w:t>
            </w:r>
            <w:proofErr w:type="spellStart"/>
            <w:r w:rsidRPr="003B1EB0">
              <w:rPr>
                <w:rFonts w:ascii="Arial" w:hAnsi="Arial" w:cs="Arial"/>
                <w:i/>
                <w:sz w:val="18"/>
                <w:szCs w:val="18"/>
              </w:rPr>
              <w:t>Anastrepha</w:t>
            </w:r>
            <w:proofErr w:type="spellEnd"/>
            <w:r w:rsidRPr="003B1EB0">
              <w:rPr>
                <w:rFonts w:ascii="Arial" w:hAnsi="Arial" w:cs="Arial"/>
                <w:i/>
                <w:sz w:val="18"/>
                <w:szCs w:val="18"/>
              </w:rPr>
              <w:t xml:space="preserve"> </w:t>
            </w:r>
            <w:r w:rsidRPr="003B1EB0">
              <w:rPr>
                <w:rFonts w:ascii="Arial" w:hAnsi="Arial" w:cs="Arial"/>
                <w:sz w:val="18"/>
                <w:szCs w:val="18"/>
              </w:rPr>
              <w:t>(2021-002)</w:t>
            </w:r>
          </w:p>
        </w:tc>
        <w:tc>
          <w:tcPr>
            <w:tcW w:w="252" w:type="pct"/>
            <w:shd w:val="clear" w:color="auto" w:fill="FFC000"/>
          </w:tcPr>
          <w:p w14:paraId="743CAC4E"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FFC000"/>
          </w:tcPr>
          <w:p w14:paraId="56AB1336"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FFC000"/>
          </w:tcPr>
          <w:p w14:paraId="7C0CE797"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161D780E"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7030A0"/>
          </w:tcPr>
          <w:p w14:paraId="03936FA8"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00B0F0"/>
          </w:tcPr>
          <w:p w14:paraId="4A2F26D8"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00B0F0"/>
          </w:tcPr>
          <w:p w14:paraId="0DF209C2"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196D106D" w14:textId="77777777" w:rsidR="00367E28" w:rsidRPr="003B1EB0" w:rsidRDefault="00367E28" w:rsidP="00367E28">
            <w:pPr>
              <w:pStyle w:val="IPPPargraphnumbering"/>
              <w:tabs>
                <w:tab w:val="clear" w:pos="0"/>
              </w:tabs>
              <w:ind w:firstLine="0"/>
              <w:rPr>
                <w:rFonts w:ascii="Arial" w:hAnsi="Arial" w:cs="Arial"/>
                <w:sz w:val="18"/>
                <w:szCs w:val="18"/>
              </w:rPr>
            </w:pPr>
          </w:p>
        </w:tc>
      </w:tr>
      <w:tr w:rsidR="00367E28" w:rsidRPr="003B1EB0" w14:paraId="3BA8E315" w14:textId="77777777" w:rsidTr="00367E28">
        <w:tc>
          <w:tcPr>
            <w:tcW w:w="232" w:type="pct"/>
          </w:tcPr>
          <w:p w14:paraId="2FA87C79"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6DBBF12A" w14:textId="77777777" w:rsidR="00367E28" w:rsidRPr="003B1EB0" w:rsidRDefault="00367E28" w:rsidP="00367E28">
            <w:pPr>
              <w:pStyle w:val="IPPPargraphnumbering"/>
              <w:tabs>
                <w:tab w:val="clear" w:pos="0"/>
              </w:tabs>
              <w:ind w:firstLine="0"/>
              <w:rPr>
                <w:rFonts w:ascii="Arial" w:hAnsi="Arial" w:cs="Arial"/>
                <w:i/>
                <w:sz w:val="18"/>
                <w:szCs w:val="18"/>
              </w:rPr>
            </w:pPr>
            <w:r w:rsidRPr="003B1EB0">
              <w:rPr>
                <w:rFonts w:ascii="Arial" w:hAnsi="Arial" w:cs="Arial"/>
                <w:sz w:val="18"/>
                <w:szCs w:val="18"/>
              </w:rPr>
              <w:t>Revision of DP 25:</w:t>
            </w:r>
            <w:r w:rsidRPr="003B1EB0">
              <w:rPr>
                <w:rFonts w:ascii="Arial" w:hAnsi="Arial" w:cs="Arial"/>
                <w:i/>
                <w:sz w:val="18"/>
                <w:szCs w:val="18"/>
              </w:rPr>
              <w:t xml:space="preserve"> </w:t>
            </w:r>
            <w:proofErr w:type="spellStart"/>
            <w:r w:rsidRPr="003B1EB0">
              <w:rPr>
                <w:rFonts w:ascii="Arial" w:hAnsi="Arial" w:cs="Arial"/>
                <w:i/>
                <w:sz w:val="18"/>
                <w:szCs w:val="18"/>
              </w:rPr>
              <w:t>Xylella</w:t>
            </w:r>
            <w:proofErr w:type="spellEnd"/>
            <w:r w:rsidRPr="003B1EB0">
              <w:rPr>
                <w:rFonts w:ascii="Arial" w:hAnsi="Arial" w:cs="Arial"/>
                <w:i/>
                <w:sz w:val="18"/>
                <w:szCs w:val="18"/>
              </w:rPr>
              <w:t xml:space="preserve"> </w:t>
            </w:r>
            <w:proofErr w:type="spellStart"/>
            <w:r w:rsidRPr="003B1EB0">
              <w:rPr>
                <w:rFonts w:ascii="Arial" w:hAnsi="Arial" w:cs="Arial"/>
                <w:i/>
                <w:sz w:val="18"/>
                <w:szCs w:val="18"/>
              </w:rPr>
              <w:t>fastidiosa</w:t>
            </w:r>
            <w:proofErr w:type="spellEnd"/>
            <w:r w:rsidRPr="003B1EB0">
              <w:rPr>
                <w:rFonts w:ascii="Arial" w:hAnsi="Arial" w:cs="Arial"/>
                <w:i/>
                <w:sz w:val="18"/>
                <w:szCs w:val="18"/>
              </w:rPr>
              <w:t xml:space="preserve"> </w:t>
            </w:r>
            <w:r w:rsidRPr="003B1EB0">
              <w:rPr>
                <w:rFonts w:ascii="Arial" w:hAnsi="Arial" w:cs="Arial"/>
                <w:sz w:val="18"/>
                <w:szCs w:val="18"/>
              </w:rPr>
              <w:t>(2021-003)</w:t>
            </w:r>
          </w:p>
        </w:tc>
        <w:tc>
          <w:tcPr>
            <w:tcW w:w="252" w:type="pct"/>
            <w:shd w:val="clear" w:color="auto" w:fill="FFC000"/>
          </w:tcPr>
          <w:p w14:paraId="5E1FD5D6"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FFC000"/>
          </w:tcPr>
          <w:p w14:paraId="065B5D12"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7030A0"/>
          </w:tcPr>
          <w:p w14:paraId="7A0E2559"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FFC000"/>
          </w:tcPr>
          <w:p w14:paraId="0BBBAED0"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FFC000"/>
          </w:tcPr>
          <w:p w14:paraId="3A2E0F32"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00B0F0"/>
          </w:tcPr>
          <w:p w14:paraId="1409BC65"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00B0F0"/>
          </w:tcPr>
          <w:p w14:paraId="548D3041"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FFC000"/>
          </w:tcPr>
          <w:p w14:paraId="478104FB"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r>
      <w:tr w:rsidR="00367E28" w:rsidRPr="003B1EB0" w14:paraId="777617C7" w14:textId="77777777" w:rsidTr="00367E28">
        <w:tc>
          <w:tcPr>
            <w:tcW w:w="232" w:type="pct"/>
          </w:tcPr>
          <w:p w14:paraId="591C648F"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314AAA2D" w14:textId="77777777" w:rsidR="00367E28" w:rsidRPr="003B1EB0" w:rsidRDefault="00367E28" w:rsidP="00367E28">
            <w:pPr>
              <w:pStyle w:val="IPPPargraphnumbering"/>
              <w:tabs>
                <w:tab w:val="clear" w:pos="0"/>
              </w:tabs>
              <w:ind w:firstLine="0"/>
              <w:rPr>
                <w:rFonts w:ascii="Arial" w:hAnsi="Arial" w:cs="Arial"/>
                <w:i/>
                <w:sz w:val="18"/>
                <w:szCs w:val="18"/>
              </w:rPr>
            </w:pPr>
            <w:r w:rsidRPr="003B1EB0">
              <w:rPr>
                <w:rFonts w:ascii="Arial" w:hAnsi="Arial" w:cs="Arial"/>
                <w:sz w:val="18"/>
                <w:szCs w:val="18"/>
              </w:rPr>
              <w:t>Revision of DP 27:</w:t>
            </w:r>
            <w:r w:rsidRPr="003B1EB0">
              <w:rPr>
                <w:rFonts w:ascii="Arial" w:hAnsi="Arial" w:cs="Arial"/>
                <w:i/>
                <w:sz w:val="18"/>
                <w:szCs w:val="18"/>
              </w:rPr>
              <w:t xml:space="preserve"> </w:t>
            </w:r>
            <w:proofErr w:type="spellStart"/>
            <w:r w:rsidRPr="003B1EB0">
              <w:rPr>
                <w:rFonts w:ascii="Arial" w:hAnsi="Arial" w:cs="Arial"/>
                <w:i/>
                <w:sz w:val="18"/>
                <w:szCs w:val="18"/>
              </w:rPr>
              <w:t>Ips</w:t>
            </w:r>
            <w:proofErr w:type="spellEnd"/>
            <w:r w:rsidRPr="003B1EB0">
              <w:rPr>
                <w:rFonts w:ascii="Arial" w:hAnsi="Arial" w:cs="Arial"/>
                <w:i/>
                <w:sz w:val="18"/>
                <w:szCs w:val="18"/>
              </w:rPr>
              <w:t xml:space="preserve"> </w:t>
            </w:r>
            <w:r w:rsidRPr="003B1EB0">
              <w:rPr>
                <w:rFonts w:ascii="Arial" w:hAnsi="Arial" w:cs="Arial"/>
                <w:sz w:val="18"/>
                <w:szCs w:val="18"/>
              </w:rPr>
              <w:t>spp.</w:t>
            </w:r>
            <w:r w:rsidRPr="003B1EB0">
              <w:rPr>
                <w:rFonts w:ascii="Arial" w:hAnsi="Arial" w:cs="Arial"/>
                <w:i/>
                <w:sz w:val="18"/>
                <w:szCs w:val="18"/>
              </w:rPr>
              <w:t xml:space="preserve"> </w:t>
            </w:r>
            <w:r w:rsidRPr="003B1EB0">
              <w:rPr>
                <w:rFonts w:ascii="Arial" w:hAnsi="Arial" w:cs="Arial"/>
                <w:sz w:val="18"/>
                <w:szCs w:val="18"/>
              </w:rPr>
              <w:t>(2021-004)</w:t>
            </w:r>
          </w:p>
        </w:tc>
        <w:tc>
          <w:tcPr>
            <w:tcW w:w="252" w:type="pct"/>
            <w:shd w:val="clear" w:color="auto" w:fill="FFC000"/>
          </w:tcPr>
          <w:p w14:paraId="186F4D3A"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FFC000"/>
          </w:tcPr>
          <w:p w14:paraId="00F26B7D"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7030A0"/>
          </w:tcPr>
          <w:p w14:paraId="6F123D79"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29CD4B76"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43D4C0AA"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00B0F0"/>
          </w:tcPr>
          <w:p w14:paraId="53F00895"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00B0F0"/>
          </w:tcPr>
          <w:p w14:paraId="3A861944"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auto"/>
          </w:tcPr>
          <w:p w14:paraId="45841713" w14:textId="77777777" w:rsidR="00367E28" w:rsidRPr="003B1EB0" w:rsidRDefault="00367E28" w:rsidP="00367E28">
            <w:pPr>
              <w:pStyle w:val="IPPPargraphnumbering"/>
              <w:tabs>
                <w:tab w:val="clear" w:pos="0"/>
              </w:tabs>
              <w:ind w:firstLine="0"/>
              <w:rPr>
                <w:rFonts w:ascii="Arial" w:hAnsi="Arial" w:cs="Arial"/>
                <w:sz w:val="18"/>
                <w:szCs w:val="18"/>
              </w:rPr>
            </w:pPr>
          </w:p>
        </w:tc>
      </w:tr>
      <w:tr w:rsidR="00367E28" w:rsidRPr="003B1EB0" w14:paraId="19E9742D" w14:textId="77777777" w:rsidTr="00367E28">
        <w:tc>
          <w:tcPr>
            <w:tcW w:w="232" w:type="pct"/>
          </w:tcPr>
          <w:p w14:paraId="087B325F"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79480A66" w14:textId="77777777" w:rsidR="00367E28" w:rsidRPr="003B1EB0" w:rsidRDefault="00367E28" w:rsidP="00367E28">
            <w:pPr>
              <w:pStyle w:val="IPPPargraphnumbering"/>
              <w:tabs>
                <w:tab w:val="clear" w:pos="0"/>
              </w:tabs>
              <w:ind w:firstLine="0"/>
              <w:rPr>
                <w:rFonts w:ascii="Arial" w:hAnsi="Arial" w:cs="Arial"/>
                <w:sz w:val="18"/>
                <w:szCs w:val="18"/>
              </w:rPr>
            </w:pPr>
            <w:proofErr w:type="spellStart"/>
            <w:r w:rsidRPr="003B1EB0">
              <w:rPr>
                <w:rFonts w:ascii="Arial" w:hAnsi="Arial" w:cs="Arial"/>
                <w:i/>
                <w:sz w:val="18"/>
                <w:szCs w:val="18"/>
              </w:rPr>
              <w:t>Amaranthus</w:t>
            </w:r>
            <w:proofErr w:type="spellEnd"/>
            <w:r w:rsidRPr="003B1EB0">
              <w:rPr>
                <w:rFonts w:ascii="Arial" w:hAnsi="Arial" w:cs="Arial"/>
                <w:i/>
                <w:sz w:val="18"/>
                <w:szCs w:val="18"/>
              </w:rPr>
              <w:t xml:space="preserve"> </w:t>
            </w:r>
            <w:proofErr w:type="spellStart"/>
            <w:r w:rsidRPr="003B1EB0">
              <w:rPr>
                <w:rFonts w:ascii="Arial" w:hAnsi="Arial" w:cs="Arial"/>
                <w:i/>
                <w:sz w:val="18"/>
                <w:szCs w:val="18"/>
              </w:rPr>
              <w:t>palmeri</w:t>
            </w:r>
            <w:proofErr w:type="spellEnd"/>
            <w:r w:rsidRPr="003B1EB0">
              <w:rPr>
                <w:rFonts w:ascii="Arial" w:hAnsi="Arial" w:cs="Arial"/>
                <w:i/>
                <w:sz w:val="18"/>
                <w:szCs w:val="18"/>
              </w:rPr>
              <w:t xml:space="preserve"> </w:t>
            </w:r>
            <w:r w:rsidRPr="003B1EB0">
              <w:rPr>
                <w:rFonts w:ascii="Arial" w:hAnsi="Arial" w:cs="Arial"/>
                <w:sz w:val="18"/>
                <w:szCs w:val="18"/>
              </w:rPr>
              <w:t>(2019-006)</w:t>
            </w:r>
          </w:p>
        </w:tc>
        <w:tc>
          <w:tcPr>
            <w:tcW w:w="252" w:type="pct"/>
            <w:shd w:val="clear" w:color="auto" w:fill="auto"/>
          </w:tcPr>
          <w:p w14:paraId="5BC3EB7B"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auto"/>
          </w:tcPr>
          <w:p w14:paraId="062DB46A"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D9D9D9" w:themeFill="background1" w:themeFillShade="D9"/>
          </w:tcPr>
          <w:p w14:paraId="226EFB1C"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16A42848"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32AA1418"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41D1B090"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246F67F8"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60F45EE5" w14:textId="77777777" w:rsidR="00367E28" w:rsidRPr="003B1EB0" w:rsidRDefault="00367E28" w:rsidP="00367E28">
            <w:pPr>
              <w:pStyle w:val="IPPPargraphnumbering"/>
              <w:tabs>
                <w:tab w:val="clear" w:pos="0"/>
              </w:tabs>
              <w:ind w:firstLine="0"/>
              <w:rPr>
                <w:rFonts w:ascii="Arial" w:hAnsi="Arial" w:cs="Arial"/>
                <w:sz w:val="18"/>
                <w:szCs w:val="18"/>
              </w:rPr>
            </w:pPr>
          </w:p>
        </w:tc>
      </w:tr>
      <w:tr w:rsidR="00367E28" w:rsidRPr="003B1EB0" w14:paraId="30E38A0C" w14:textId="77777777" w:rsidTr="00367E28">
        <w:tc>
          <w:tcPr>
            <w:tcW w:w="232" w:type="pct"/>
          </w:tcPr>
          <w:p w14:paraId="2C1A94ED"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12D012E1" w14:textId="77777777" w:rsidR="00367E28" w:rsidRPr="003B1EB0" w:rsidRDefault="00367E28" w:rsidP="00367E28">
            <w:pPr>
              <w:pStyle w:val="IPPPargraphnumbering"/>
              <w:tabs>
                <w:tab w:val="clear" w:pos="0"/>
              </w:tabs>
              <w:ind w:firstLine="0"/>
              <w:rPr>
                <w:rFonts w:ascii="Arial" w:hAnsi="Arial" w:cs="Arial"/>
                <w:sz w:val="18"/>
                <w:szCs w:val="18"/>
              </w:rPr>
            </w:pPr>
            <w:proofErr w:type="spellStart"/>
            <w:r w:rsidRPr="003B1EB0">
              <w:rPr>
                <w:rFonts w:ascii="Arial" w:hAnsi="Arial" w:cs="Arial"/>
                <w:i/>
                <w:sz w:val="18"/>
                <w:szCs w:val="18"/>
              </w:rPr>
              <w:t>Solanum</w:t>
            </w:r>
            <w:proofErr w:type="spellEnd"/>
            <w:r w:rsidRPr="003B1EB0">
              <w:rPr>
                <w:rFonts w:ascii="Arial" w:hAnsi="Arial" w:cs="Arial"/>
                <w:i/>
                <w:sz w:val="18"/>
                <w:szCs w:val="18"/>
              </w:rPr>
              <w:t xml:space="preserve"> </w:t>
            </w:r>
            <w:proofErr w:type="spellStart"/>
            <w:r w:rsidRPr="003B1EB0">
              <w:rPr>
                <w:rFonts w:ascii="Arial" w:hAnsi="Arial" w:cs="Arial"/>
                <w:i/>
                <w:sz w:val="18"/>
                <w:szCs w:val="18"/>
              </w:rPr>
              <w:t>rostratum</w:t>
            </w:r>
            <w:proofErr w:type="spellEnd"/>
            <w:r w:rsidRPr="003B1EB0">
              <w:rPr>
                <w:rFonts w:ascii="Arial" w:hAnsi="Arial" w:cs="Arial"/>
                <w:i/>
                <w:sz w:val="18"/>
                <w:szCs w:val="18"/>
              </w:rPr>
              <w:t xml:space="preserve"> </w:t>
            </w:r>
            <w:r w:rsidRPr="003B1EB0">
              <w:rPr>
                <w:rFonts w:ascii="Arial" w:hAnsi="Arial" w:cs="Arial"/>
                <w:sz w:val="18"/>
                <w:szCs w:val="18"/>
              </w:rPr>
              <w:t>(2019-007)</w:t>
            </w:r>
          </w:p>
        </w:tc>
        <w:tc>
          <w:tcPr>
            <w:tcW w:w="252" w:type="pct"/>
            <w:shd w:val="clear" w:color="auto" w:fill="auto"/>
          </w:tcPr>
          <w:p w14:paraId="5370FFDA"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auto"/>
          </w:tcPr>
          <w:p w14:paraId="31143E4A"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D9D9D9" w:themeFill="background1" w:themeFillShade="D9"/>
          </w:tcPr>
          <w:p w14:paraId="70A66C87"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3B9E7A78"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49CD1826"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5C243961"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74BA1454"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21AACF68" w14:textId="77777777" w:rsidR="00367E28" w:rsidRPr="003B1EB0" w:rsidRDefault="00367E28" w:rsidP="00367E28">
            <w:pPr>
              <w:pStyle w:val="IPPPargraphnumbering"/>
              <w:tabs>
                <w:tab w:val="clear" w:pos="0"/>
              </w:tabs>
              <w:ind w:firstLine="0"/>
              <w:rPr>
                <w:rFonts w:ascii="Arial" w:hAnsi="Arial" w:cs="Arial"/>
                <w:sz w:val="18"/>
                <w:szCs w:val="18"/>
              </w:rPr>
            </w:pPr>
          </w:p>
        </w:tc>
      </w:tr>
      <w:tr w:rsidR="00367E28" w:rsidRPr="003B1EB0" w14:paraId="3295D8A3" w14:textId="77777777" w:rsidTr="00367E28">
        <w:tc>
          <w:tcPr>
            <w:tcW w:w="232" w:type="pct"/>
          </w:tcPr>
          <w:p w14:paraId="2433A9DB"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6D07F293" w14:textId="77777777" w:rsidR="00367E28" w:rsidRPr="003B1EB0" w:rsidRDefault="00367E28" w:rsidP="00367E28">
            <w:pPr>
              <w:pStyle w:val="IPPPargraphnumbering"/>
              <w:tabs>
                <w:tab w:val="clear" w:pos="0"/>
              </w:tabs>
              <w:ind w:firstLine="0"/>
              <w:rPr>
                <w:rFonts w:ascii="Arial" w:hAnsi="Arial" w:cs="Arial"/>
                <w:sz w:val="18"/>
                <w:szCs w:val="18"/>
              </w:rPr>
            </w:pPr>
            <w:proofErr w:type="spellStart"/>
            <w:r w:rsidRPr="003B1EB0">
              <w:rPr>
                <w:rFonts w:ascii="Arial" w:hAnsi="Arial" w:cs="Arial"/>
                <w:i/>
                <w:sz w:val="18"/>
                <w:szCs w:val="18"/>
              </w:rPr>
              <w:t>Moniliophthora</w:t>
            </w:r>
            <w:proofErr w:type="spellEnd"/>
            <w:r w:rsidRPr="003B1EB0">
              <w:rPr>
                <w:rFonts w:ascii="Arial" w:hAnsi="Arial" w:cs="Arial"/>
                <w:i/>
                <w:sz w:val="18"/>
                <w:szCs w:val="18"/>
              </w:rPr>
              <w:t xml:space="preserve"> </w:t>
            </w:r>
            <w:proofErr w:type="spellStart"/>
            <w:r w:rsidRPr="003B1EB0">
              <w:rPr>
                <w:rFonts w:ascii="Arial" w:hAnsi="Arial" w:cs="Arial"/>
                <w:i/>
                <w:sz w:val="18"/>
                <w:szCs w:val="18"/>
              </w:rPr>
              <w:t>roreri</w:t>
            </w:r>
            <w:proofErr w:type="spellEnd"/>
            <w:r w:rsidRPr="003B1EB0">
              <w:rPr>
                <w:rFonts w:ascii="Arial" w:hAnsi="Arial" w:cs="Arial"/>
                <w:i/>
                <w:sz w:val="18"/>
                <w:szCs w:val="18"/>
              </w:rPr>
              <w:t xml:space="preserve"> </w:t>
            </w:r>
            <w:r w:rsidRPr="003B1EB0">
              <w:rPr>
                <w:rFonts w:ascii="Arial" w:hAnsi="Arial" w:cs="Arial"/>
                <w:sz w:val="18"/>
                <w:szCs w:val="18"/>
              </w:rPr>
              <w:t>(2019-005)</w:t>
            </w:r>
          </w:p>
        </w:tc>
        <w:tc>
          <w:tcPr>
            <w:tcW w:w="252" w:type="pct"/>
            <w:shd w:val="clear" w:color="auto" w:fill="auto"/>
          </w:tcPr>
          <w:p w14:paraId="64F1DE32"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auto"/>
          </w:tcPr>
          <w:p w14:paraId="2DE61A7A"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D9D9D9" w:themeFill="background1" w:themeFillShade="D9"/>
          </w:tcPr>
          <w:p w14:paraId="6F928CE4"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6433E71C"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363606BF"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51ADA49A"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0D909246"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7E48313C" w14:textId="77777777" w:rsidR="00367E28" w:rsidRPr="003B1EB0" w:rsidRDefault="00367E28" w:rsidP="00367E28">
            <w:pPr>
              <w:pStyle w:val="IPPPargraphnumbering"/>
              <w:tabs>
                <w:tab w:val="clear" w:pos="0"/>
              </w:tabs>
              <w:ind w:firstLine="0"/>
              <w:rPr>
                <w:rFonts w:ascii="Arial" w:hAnsi="Arial" w:cs="Arial"/>
                <w:sz w:val="18"/>
                <w:szCs w:val="18"/>
              </w:rPr>
            </w:pPr>
          </w:p>
        </w:tc>
      </w:tr>
      <w:tr w:rsidR="00367E28" w:rsidRPr="003B1EB0" w14:paraId="2CAB9062" w14:textId="77777777" w:rsidTr="00367E28">
        <w:tc>
          <w:tcPr>
            <w:tcW w:w="232" w:type="pct"/>
          </w:tcPr>
          <w:p w14:paraId="39A4B936"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7F6217D7" w14:textId="77777777" w:rsidR="00367E28" w:rsidRPr="003B1EB0" w:rsidRDefault="00367E28" w:rsidP="00367E28">
            <w:pPr>
              <w:pStyle w:val="IPPPargraphnumbering"/>
              <w:tabs>
                <w:tab w:val="clear" w:pos="0"/>
              </w:tabs>
              <w:ind w:firstLine="0"/>
              <w:rPr>
                <w:rFonts w:ascii="Arial" w:hAnsi="Arial" w:cs="Arial"/>
                <w:sz w:val="18"/>
                <w:szCs w:val="18"/>
              </w:rPr>
            </w:pPr>
            <w:proofErr w:type="spellStart"/>
            <w:r w:rsidRPr="003B1EB0">
              <w:rPr>
                <w:rFonts w:ascii="Arial" w:hAnsi="Arial" w:cs="Arial"/>
                <w:i/>
                <w:sz w:val="18"/>
                <w:szCs w:val="18"/>
              </w:rPr>
              <w:t>Meloidogyne</w:t>
            </w:r>
            <w:proofErr w:type="spellEnd"/>
            <w:r w:rsidRPr="003B1EB0">
              <w:rPr>
                <w:rFonts w:ascii="Arial" w:hAnsi="Arial" w:cs="Arial"/>
                <w:i/>
                <w:sz w:val="18"/>
                <w:szCs w:val="18"/>
              </w:rPr>
              <w:t xml:space="preserve"> </w:t>
            </w:r>
            <w:proofErr w:type="spellStart"/>
            <w:r w:rsidRPr="003B1EB0">
              <w:rPr>
                <w:rFonts w:ascii="Arial" w:hAnsi="Arial" w:cs="Arial"/>
                <w:i/>
                <w:sz w:val="18"/>
                <w:szCs w:val="18"/>
              </w:rPr>
              <w:t>mali</w:t>
            </w:r>
            <w:proofErr w:type="spellEnd"/>
            <w:r w:rsidRPr="003B1EB0">
              <w:rPr>
                <w:rFonts w:ascii="Arial" w:hAnsi="Arial" w:cs="Arial"/>
                <w:i/>
                <w:sz w:val="18"/>
                <w:szCs w:val="18"/>
              </w:rPr>
              <w:t xml:space="preserve"> </w:t>
            </w:r>
            <w:r w:rsidRPr="003B1EB0">
              <w:rPr>
                <w:rFonts w:ascii="Arial" w:hAnsi="Arial" w:cs="Arial"/>
                <w:sz w:val="18"/>
                <w:szCs w:val="18"/>
              </w:rPr>
              <w:t>(2018-019)</w:t>
            </w:r>
          </w:p>
        </w:tc>
        <w:tc>
          <w:tcPr>
            <w:tcW w:w="252" w:type="pct"/>
            <w:shd w:val="clear" w:color="auto" w:fill="auto"/>
          </w:tcPr>
          <w:p w14:paraId="7139A164"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auto"/>
          </w:tcPr>
          <w:p w14:paraId="4AF17722"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D9D9D9" w:themeFill="background1" w:themeFillShade="D9"/>
          </w:tcPr>
          <w:p w14:paraId="2C742C4B"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7FD40405"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03AB3EAA"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5B8FA333"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3074B225"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07E30E63" w14:textId="77777777" w:rsidR="00367E28" w:rsidRPr="003B1EB0" w:rsidRDefault="00367E28" w:rsidP="00367E28">
            <w:pPr>
              <w:pStyle w:val="IPPPargraphnumbering"/>
              <w:tabs>
                <w:tab w:val="clear" w:pos="0"/>
              </w:tabs>
              <w:ind w:firstLine="0"/>
              <w:rPr>
                <w:rFonts w:ascii="Arial" w:hAnsi="Arial" w:cs="Arial"/>
                <w:sz w:val="18"/>
                <w:szCs w:val="18"/>
              </w:rPr>
            </w:pPr>
          </w:p>
        </w:tc>
      </w:tr>
      <w:tr w:rsidR="00367E28" w:rsidRPr="003B1EB0" w14:paraId="6FC218E9" w14:textId="77777777" w:rsidTr="00367E28">
        <w:tc>
          <w:tcPr>
            <w:tcW w:w="232" w:type="pct"/>
          </w:tcPr>
          <w:p w14:paraId="4CCEBDB7"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32510593" w14:textId="77777777" w:rsidR="00367E28" w:rsidRPr="003B1EB0" w:rsidRDefault="00367E28" w:rsidP="00367E28">
            <w:pPr>
              <w:pStyle w:val="IPPPargraphnumbering"/>
              <w:tabs>
                <w:tab w:val="clear" w:pos="0"/>
              </w:tabs>
              <w:ind w:firstLine="0"/>
              <w:rPr>
                <w:rFonts w:ascii="Arial" w:hAnsi="Arial" w:cs="Arial"/>
                <w:sz w:val="18"/>
                <w:szCs w:val="18"/>
              </w:rPr>
            </w:pPr>
            <w:proofErr w:type="spellStart"/>
            <w:r w:rsidRPr="003B1EB0">
              <w:rPr>
                <w:rFonts w:ascii="Arial" w:hAnsi="Arial" w:cs="Arial"/>
                <w:i/>
                <w:sz w:val="18"/>
                <w:szCs w:val="18"/>
              </w:rPr>
              <w:t>Cronartium</w:t>
            </w:r>
            <w:proofErr w:type="spellEnd"/>
            <w:r w:rsidRPr="003B1EB0">
              <w:rPr>
                <w:rFonts w:ascii="Arial" w:hAnsi="Arial" w:cs="Arial"/>
                <w:i/>
                <w:sz w:val="18"/>
                <w:szCs w:val="18"/>
              </w:rPr>
              <w:t xml:space="preserve"> </w:t>
            </w:r>
            <w:proofErr w:type="spellStart"/>
            <w:r w:rsidRPr="003B1EB0">
              <w:rPr>
                <w:rFonts w:ascii="Arial" w:hAnsi="Arial" w:cs="Arial"/>
                <w:i/>
                <w:sz w:val="18"/>
                <w:szCs w:val="18"/>
              </w:rPr>
              <w:t>comandrae</w:t>
            </w:r>
            <w:proofErr w:type="spellEnd"/>
            <w:r w:rsidRPr="003B1EB0">
              <w:rPr>
                <w:rFonts w:ascii="Arial" w:hAnsi="Arial" w:cs="Arial"/>
                <w:i/>
                <w:sz w:val="18"/>
                <w:szCs w:val="18"/>
              </w:rPr>
              <w:t xml:space="preserve"> </w:t>
            </w:r>
            <w:r w:rsidRPr="003B1EB0">
              <w:rPr>
                <w:rFonts w:ascii="Arial" w:hAnsi="Arial" w:cs="Arial"/>
                <w:sz w:val="18"/>
                <w:szCs w:val="18"/>
              </w:rPr>
              <w:t>(2018-015)</w:t>
            </w:r>
          </w:p>
        </w:tc>
        <w:tc>
          <w:tcPr>
            <w:tcW w:w="252" w:type="pct"/>
            <w:shd w:val="clear" w:color="auto" w:fill="auto"/>
          </w:tcPr>
          <w:p w14:paraId="694FA80D"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auto"/>
          </w:tcPr>
          <w:p w14:paraId="2FEED7C9"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D9D9D9" w:themeFill="background1" w:themeFillShade="D9"/>
          </w:tcPr>
          <w:p w14:paraId="78D9046C"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388B8B3C"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5C695B21"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50D9F520"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549DBB4B"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422710F3" w14:textId="77777777" w:rsidR="00367E28" w:rsidRPr="003B1EB0" w:rsidRDefault="00367E28" w:rsidP="00367E28">
            <w:pPr>
              <w:pStyle w:val="IPPPargraphnumbering"/>
              <w:tabs>
                <w:tab w:val="clear" w:pos="0"/>
              </w:tabs>
              <w:ind w:firstLine="0"/>
              <w:rPr>
                <w:rFonts w:ascii="Arial" w:hAnsi="Arial" w:cs="Arial"/>
                <w:sz w:val="18"/>
                <w:szCs w:val="18"/>
              </w:rPr>
            </w:pPr>
          </w:p>
        </w:tc>
      </w:tr>
      <w:tr w:rsidR="00367E28" w:rsidRPr="003B1EB0" w14:paraId="5B1D134C" w14:textId="77777777" w:rsidTr="00367E28">
        <w:tc>
          <w:tcPr>
            <w:tcW w:w="232" w:type="pct"/>
          </w:tcPr>
          <w:p w14:paraId="04428C4C"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080CF796" w14:textId="77777777" w:rsidR="00367E28" w:rsidRPr="003B1EB0" w:rsidRDefault="00367E28" w:rsidP="00367E28">
            <w:pPr>
              <w:pStyle w:val="IPPPargraphnumbering"/>
              <w:tabs>
                <w:tab w:val="clear" w:pos="0"/>
              </w:tabs>
              <w:ind w:firstLine="0"/>
              <w:rPr>
                <w:rFonts w:ascii="Arial" w:hAnsi="Arial" w:cs="Arial"/>
                <w:sz w:val="18"/>
                <w:szCs w:val="18"/>
              </w:rPr>
            </w:pPr>
            <w:proofErr w:type="spellStart"/>
            <w:r w:rsidRPr="003B1EB0">
              <w:rPr>
                <w:rFonts w:ascii="Arial" w:hAnsi="Arial" w:cs="Arial"/>
                <w:i/>
                <w:sz w:val="18"/>
                <w:szCs w:val="18"/>
              </w:rPr>
              <w:t>Microcyclus</w:t>
            </w:r>
            <w:proofErr w:type="spellEnd"/>
            <w:r w:rsidRPr="003B1EB0">
              <w:rPr>
                <w:rFonts w:ascii="Arial" w:hAnsi="Arial" w:cs="Arial"/>
                <w:i/>
                <w:sz w:val="18"/>
                <w:szCs w:val="18"/>
              </w:rPr>
              <w:t xml:space="preserve"> </w:t>
            </w:r>
            <w:proofErr w:type="spellStart"/>
            <w:r w:rsidRPr="003B1EB0">
              <w:rPr>
                <w:rFonts w:ascii="Arial" w:hAnsi="Arial" w:cs="Arial"/>
                <w:i/>
                <w:sz w:val="18"/>
                <w:szCs w:val="18"/>
              </w:rPr>
              <w:t>ulei</w:t>
            </w:r>
            <w:proofErr w:type="spellEnd"/>
            <w:r w:rsidRPr="003B1EB0">
              <w:rPr>
                <w:rFonts w:ascii="Arial" w:hAnsi="Arial" w:cs="Arial"/>
                <w:i/>
                <w:sz w:val="18"/>
                <w:szCs w:val="18"/>
              </w:rPr>
              <w:t xml:space="preserve"> </w:t>
            </w:r>
            <w:r w:rsidRPr="003B1EB0">
              <w:rPr>
                <w:rFonts w:ascii="Arial" w:hAnsi="Arial" w:cs="Arial"/>
                <w:sz w:val="18"/>
                <w:szCs w:val="18"/>
              </w:rPr>
              <w:t>(2019-003)</w:t>
            </w:r>
          </w:p>
        </w:tc>
        <w:tc>
          <w:tcPr>
            <w:tcW w:w="252" w:type="pct"/>
            <w:shd w:val="clear" w:color="auto" w:fill="auto"/>
          </w:tcPr>
          <w:p w14:paraId="7482DCE7"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auto"/>
          </w:tcPr>
          <w:p w14:paraId="5B617896"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p>
        </w:tc>
        <w:tc>
          <w:tcPr>
            <w:tcW w:w="252" w:type="pct"/>
            <w:shd w:val="clear" w:color="auto" w:fill="D9D9D9" w:themeFill="background1" w:themeFillShade="D9"/>
          </w:tcPr>
          <w:p w14:paraId="455BF745"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7429F7AB"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090F40A7"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292FFEF1"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315426D6"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FFFF" w:themeFill="background1"/>
          </w:tcPr>
          <w:p w14:paraId="0462BDEE" w14:textId="77777777" w:rsidR="00367E28" w:rsidRPr="003B1EB0" w:rsidRDefault="00367E28" w:rsidP="00367E28">
            <w:pPr>
              <w:pStyle w:val="IPPPargraphnumbering"/>
              <w:tabs>
                <w:tab w:val="clear" w:pos="0"/>
              </w:tabs>
              <w:ind w:firstLine="0"/>
              <w:rPr>
                <w:rFonts w:ascii="Arial" w:hAnsi="Arial" w:cs="Arial"/>
                <w:sz w:val="18"/>
                <w:szCs w:val="18"/>
              </w:rPr>
            </w:pPr>
          </w:p>
        </w:tc>
      </w:tr>
      <w:tr w:rsidR="00367E28" w:rsidRPr="003B1EB0" w14:paraId="4F704D89" w14:textId="77777777" w:rsidTr="00367E28">
        <w:tc>
          <w:tcPr>
            <w:tcW w:w="232" w:type="pct"/>
          </w:tcPr>
          <w:p w14:paraId="057A4186"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3E306F45" w14:textId="77777777" w:rsidR="00367E28" w:rsidRPr="003B1EB0" w:rsidRDefault="00367E28" w:rsidP="00367E28">
            <w:pPr>
              <w:pStyle w:val="IPPPargraphnumbering"/>
              <w:tabs>
                <w:tab w:val="clear" w:pos="0"/>
              </w:tabs>
              <w:ind w:firstLine="0"/>
              <w:rPr>
                <w:rFonts w:ascii="Arial" w:hAnsi="Arial" w:cs="Arial"/>
                <w:sz w:val="18"/>
                <w:szCs w:val="18"/>
              </w:rPr>
            </w:pPr>
            <w:proofErr w:type="spellStart"/>
            <w:r w:rsidRPr="003B1EB0">
              <w:rPr>
                <w:rFonts w:ascii="Arial" w:hAnsi="Arial" w:cs="Arial"/>
                <w:i/>
                <w:sz w:val="18"/>
                <w:szCs w:val="18"/>
              </w:rPr>
              <w:t>Bactrocera</w:t>
            </w:r>
            <w:proofErr w:type="spellEnd"/>
            <w:r w:rsidRPr="003B1EB0">
              <w:rPr>
                <w:rFonts w:ascii="Arial" w:hAnsi="Arial" w:cs="Arial"/>
                <w:i/>
                <w:sz w:val="18"/>
                <w:szCs w:val="18"/>
              </w:rPr>
              <w:t xml:space="preserve"> </w:t>
            </w:r>
            <w:proofErr w:type="spellStart"/>
            <w:r w:rsidRPr="003B1EB0">
              <w:rPr>
                <w:rFonts w:ascii="Arial" w:hAnsi="Arial" w:cs="Arial"/>
                <w:i/>
                <w:sz w:val="18"/>
                <w:szCs w:val="18"/>
              </w:rPr>
              <w:t>zonata</w:t>
            </w:r>
            <w:proofErr w:type="spellEnd"/>
            <w:r w:rsidRPr="003B1EB0">
              <w:rPr>
                <w:rFonts w:ascii="Arial" w:hAnsi="Arial" w:cs="Arial"/>
                <w:i/>
                <w:sz w:val="18"/>
                <w:szCs w:val="18"/>
              </w:rPr>
              <w:t xml:space="preserve"> </w:t>
            </w:r>
            <w:r w:rsidRPr="003B1EB0">
              <w:rPr>
                <w:rFonts w:ascii="Arial" w:hAnsi="Arial" w:cs="Arial"/>
                <w:sz w:val="18"/>
                <w:szCs w:val="18"/>
              </w:rPr>
              <w:t>(2022-013)</w:t>
            </w:r>
          </w:p>
        </w:tc>
        <w:tc>
          <w:tcPr>
            <w:tcW w:w="252" w:type="pct"/>
            <w:shd w:val="clear" w:color="auto" w:fill="auto"/>
          </w:tcPr>
          <w:p w14:paraId="63298FBE"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r w:rsidRPr="003B1EB0">
              <w:rPr>
                <w:rFonts w:ascii="Arial" w:hAnsi="Arial" w:cs="Arial"/>
                <w:color w:val="AEAAAA" w:themeColor="background2" w:themeShade="BF"/>
                <w:sz w:val="18"/>
                <w:szCs w:val="18"/>
              </w:rPr>
              <w:t>-</w:t>
            </w:r>
          </w:p>
        </w:tc>
        <w:tc>
          <w:tcPr>
            <w:tcW w:w="252" w:type="pct"/>
            <w:shd w:val="clear" w:color="auto" w:fill="auto"/>
          </w:tcPr>
          <w:p w14:paraId="4C7C5885"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r w:rsidRPr="003B1EB0">
              <w:rPr>
                <w:rFonts w:ascii="Arial" w:hAnsi="Arial" w:cs="Arial"/>
                <w:color w:val="AEAAAA" w:themeColor="background2" w:themeShade="BF"/>
                <w:sz w:val="18"/>
                <w:szCs w:val="18"/>
              </w:rPr>
              <w:t>-</w:t>
            </w:r>
          </w:p>
        </w:tc>
        <w:tc>
          <w:tcPr>
            <w:tcW w:w="252" w:type="pct"/>
            <w:shd w:val="clear" w:color="auto" w:fill="D9D9D9" w:themeFill="background1" w:themeFillShade="D9"/>
          </w:tcPr>
          <w:p w14:paraId="595CC0C1"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565B8F2B"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11904369"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6676BE00"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7030A0"/>
          </w:tcPr>
          <w:p w14:paraId="7464024E"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3BB9514A" w14:textId="77777777" w:rsidR="00367E28" w:rsidRPr="003B1EB0" w:rsidRDefault="00367E28" w:rsidP="00367E28">
            <w:pPr>
              <w:pStyle w:val="IPPPargraphnumbering"/>
              <w:tabs>
                <w:tab w:val="clear" w:pos="0"/>
              </w:tabs>
              <w:ind w:firstLine="0"/>
              <w:rPr>
                <w:rFonts w:ascii="Arial" w:hAnsi="Arial" w:cs="Arial"/>
                <w:sz w:val="18"/>
                <w:szCs w:val="18"/>
              </w:rPr>
            </w:pPr>
          </w:p>
        </w:tc>
      </w:tr>
      <w:tr w:rsidR="00367E28" w:rsidRPr="003B1EB0" w14:paraId="5180EDA2" w14:textId="77777777" w:rsidTr="00367E28">
        <w:tc>
          <w:tcPr>
            <w:tcW w:w="232" w:type="pct"/>
          </w:tcPr>
          <w:p w14:paraId="225B6FD1"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28DD5FBF" w14:textId="77777777" w:rsidR="00367E28" w:rsidRPr="003B1EB0" w:rsidRDefault="00367E28" w:rsidP="00367E28">
            <w:pPr>
              <w:pStyle w:val="IPPPargraphnumbering"/>
              <w:tabs>
                <w:tab w:val="clear" w:pos="0"/>
              </w:tabs>
              <w:ind w:firstLine="0"/>
              <w:rPr>
                <w:rFonts w:ascii="Arial" w:hAnsi="Arial" w:cs="Arial"/>
                <w:i/>
                <w:sz w:val="18"/>
                <w:szCs w:val="18"/>
              </w:rPr>
            </w:pPr>
            <w:proofErr w:type="spellStart"/>
            <w:r w:rsidRPr="003B1EB0">
              <w:rPr>
                <w:rFonts w:ascii="Arial" w:hAnsi="Arial" w:cs="Arial"/>
                <w:i/>
                <w:sz w:val="18"/>
                <w:szCs w:val="18"/>
              </w:rPr>
              <w:t>Dickeya</w:t>
            </w:r>
            <w:proofErr w:type="spellEnd"/>
            <w:r w:rsidRPr="003B1EB0">
              <w:rPr>
                <w:rFonts w:ascii="Arial" w:hAnsi="Arial" w:cs="Arial"/>
                <w:i/>
                <w:sz w:val="18"/>
                <w:szCs w:val="18"/>
              </w:rPr>
              <w:t xml:space="preserve"> spp. on potato </w:t>
            </w:r>
            <w:r w:rsidRPr="003B1EB0">
              <w:rPr>
                <w:rFonts w:ascii="Arial" w:hAnsi="Arial" w:cs="Arial"/>
                <w:sz w:val="18"/>
                <w:szCs w:val="18"/>
              </w:rPr>
              <w:t>(2022-014)</w:t>
            </w:r>
          </w:p>
        </w:tc>
        <w:tc>
          <w:tcPr>
            <w:tcW w:w="252" w:type="pct"/>
            <w:shd w:val="clear" w:color="auto" w:fill="auto"/>
          </w:tcPr>
          <w:p w14:paraId="4FAEEC6A"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r w:rsidRPr="003B1EB0">
              <w:rPr>
                <w:rFonts w:ascii="Arial" w:hAnsi="Arial" w:cs="Arial"/>
                <w:color w:val="AEAAAA" w:themeColor="background2" w:themeShade="BF"/>
                <w:sz w:val="18"/>
                <w:szCs w:val="18"/>
              </w:rPr>
              <w:t>-</w:t>
            </w:r>
          </w:p>
        </w:tc>
        <w:tc>
          <w:tcPr>
            <w:tcW w:w="252" w:type="pct"/>
            <w:shd w:val="clear" w:color="auto" w:fill="auto"/>
          </w:tcPr>
          <w:p w14:paraId="04B08A09"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r w:rsidRPr="003B1EB0">
              <w:rPr>
                <w:rFonts w:ascii="Arial" w:hAnsi="Arial" w:cs="Arial"/>
                <w:color w:val="AEAAAA" w:themeColor="background2" w:themeShade="BF"/>
                <w:sz w:val="18"/>
                <w:szCs w:val="18"/>
              </w:rPr>
              <w:t>-</w:t>
            </w:r>
          </w:p>
        </w:tc>
        <w:tc>
          <w:tcPr>
            <w:tcW w:w="252" w:type="pct"/>
            <w:shd w:val="clear" w:color="auto" w:fill="D9D9D9" w:themeFill="background1" w:themeFillShade="D9"/>
          </w:tcPr>
          <w:p w14:paraId="03AC217D"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7D8D5DF2"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335A0D31"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20B8E971"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7030A0"/>
          </w:tcPr>
          <w:p w14:paraId="70E06951"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6C353D63" w14:textId="77777777" w:rsidR="00367E28" w:rsidRPr="003B1EB0" w:rsidRDefault="00367E28" w:rsidP="00367E28">
            <w:pPr>
              <w:pStyle w:val="IPPPargraphnumbering"/>
              <w:tabs>
                <w:tab w:val="clear" w:pos="0"/>
              </w:tabs>
              <w:ind w:firstLine="0"/>
              <w:rPr>
                <w:rFonts w:ascii="Arial" w:hAnsi="Arial" w:cs="Arial"/>
                <w:sz w:val="18"/>
                <w:szCs w:val="18"/>
              </w:rPr>
            </w:pPr>
          </w:p>
        </w:tc>
      </w:tr>
      <w:tr w:rsidR="00367E28" w:rsidRPr="003B1EB0" w14:paraId="66208E9D" w14:textId="77777777" w:rsidTr="00367E28">
        <w:tc>
          <w:tcPr>
            <w:tcW w:w="232" w:type="pct"/>
          </w:tcPr>
          <w:p w14:paraId="5A2944A1"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7C3ABA16" w14:textId="77777777" w:rsidR="00367E28" w:rsidRPr="003B1EB0" w:rsidRDefault="00367E28" w:rsidP="00367E28">
            <w:pPr>
              <w:pStyle w:val="IPPPargraphnumbering"/>
              <w:tabs>
                <w:tab w:val="clear" w:pos="0"/>
              </w:tabs>
              <w:ind w:firstLine="0"/>
              <w:rPr>
                <w:rFonts w:ascii="Arial" w:hAnsi="Arial" w:cs="Arial"/>
                <w:i/>
                <w:sz w:val="18"/>
                <w:szCs w:val="18"/>
              </w:rPr>
            </w:pPr>
            <w:proofErr w:type="spellStart"/>
            <w:r w:rsidRPr="003B1EB0">
              <w:rPr>
                <w:rFonts w:ascii="Arial" w:hAnsi="Arial" w:cs="Arial"/>
                <w:i/>
                <w:sz w:val="18"/>
                <w:szCs w:val="18"/>
              </w:rPr>
              <w:t>Heterobasidion</w:t>
            </w:r>
            <w:proofErr w:type="spellEnd"/>
            <w:r w:rsidRPr="003B1EB0">
              <w:rPr>
                <w:rFonts w:ascii="Arial" w:hAnsi="Arial" w:cs="Arial"/>
                <w:i/>
                <w:sz w:val="18"/>
                <w:szCs w:val="18"/>
              </w:rPr>
              <w:t xml:space="preserve"> </w:t>
            </w:r>
            <w:proofErr w:type="spellStart"/>
            <w:r w:rsidRPr="003B1EB0">
              <w:rPr>
                <w:rFonts w:ascii="Arial" w:hAnsi="Arial" w:cs="Arial"/>
                <w:i/>
                <w:sz w:val="18"/>
                <w:szCs w:val="18"/>
              </w:rPr>
              <w:t>annosum</w:t>
            </w:r>
            <w:proofErr w:type="spellEnd"/>
            <w:r w:rsidRPr="003B1EB0">
              <w:rPr>
                <w:rFonts w:ascii="Arial" w:hAnsi="Arial" w:cs="Arial"/>
                <w:i/>
                <w:sz w:val="18"/>
                <w:szCs w:val="18"/>
              </w:rPr>
              <w:t xml:space="preserve"> </w:t>
            </w:r>
            <w:r w:rsidRPr="003B1EB0">
              <w:rPr>
                <w:rFonts w:ascii="Arial" w:hAnsi="Arial" w:cs="Arial"/>
                <w:sz w:val="18"/>
                <w:szCs w:val="18"/>
              </w:rPr>
              <w:t>(2022-015)</w:t>
            </w:r>
          </w:p>
        </w:tc>
        <w:tc>
          <w:tcPr>
            <w:tcW w:w="252" w:type="pct"/>
            <w:shd w:val="clear" w:color="auto" w:fill="auto"/>
          </w:tcPr>
          <w:p w14:paraId="7401E9E1"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r w:rsidRPr="003B1EB0">
              <w:rPr>
                <w:rFonts w:ascii="Arial" w:hAnsi="Arial" w:cs="Arial"/>
                <w:color w:val="AEAAAA" w:themeColor="background2" w:themeShade="BF"/>
                <w:sz w:val="18"/>
                <w:szCs w:val="18"/>
              </w:rPr>
              <w:t>-</w:t>
            </w:r>
          </w:p>
        </w:tc>
        <w:tc>
          <w:tcPr>
            <w:tcW w:w="252" w:type="pct"/>
            <w:shd w:val="clear" w:color="auto" w:fill="auto"/>
          </w:tcPr>
          <w:p w14:paraId="087661BD"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r w:rsidRPr="003B1EB0">
              <w:rPr>
                <w:rFonts w:ascii="Arial" w:hAnsi="Arial" w:cs="Arial"/>
                <w:color w:val="AEAAAA" w:themeColor="background2" w:themeShade="BF"/>
                <w:sz w:val="18"/>
                <w:szCs w:val="18"/>
              </w:rPr>
              <w:t>-</w:t>
            </w:r>
          </w:p>
        </w:tc>
        <w:tc>
          <w:tcPr>
            <w:tcW w:w="252" w:type="pct"/>
            <w:shd w:val="clear" w:color="auto" w:fill="D9D9D9" w:themeFill="background1" w:themeFillShade="D9"/>
          </w:tcPr>
          <w:p w14:paraId="40905305"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7BCDCBF7"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2116CB2D"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027D4E59"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7030A0"/>
          </w:tcPr>
          <w:p w14:paraId="1C336D5F"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7BF7A276" w14:textId="77777777" w:rsidR="00367E28" w:rsidRPr="003B1EB0" w:rsidRDefault="00367E28" w:rsidP="00367E28">
            <w:pPr>
              <w:pStyle w:val="IPPPargraphnumbering"/>
              <w:tabs>
                <w:tab w:val="clear" w:pos="0"/>
              </w:tabs>
              <w:ind w:firstLine="0"/>
              <w:rPr>
                <w:rFonts w:ascii="Arial" w:hAnsi="Arial" w:cs="Arial"/>
                <w:sz w:val="18"/>
                <w:szCs w:val="18"/>
              </w:rPr>
            </w:pPr>
          </w:p>
        </w:tc>
      </w:tr>
      <w:tr w:rsidR="00367E28" w:rsidRPr="003B1EB0" w14:paraId="2444B2C3" w14:textId="77777777" w:rsidTr="00367E28">
        <w:tc>
          <w:tcPr>
            <w:tcW w:w="232" w:type="pct"/>
          </w:tcPr>
          <w:p w14:paraId="0A0BFFB8"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095DF1CA" w14:textId="77777777" w:rsidR="00367E28" w:rsidRPr="003B1EB0" w:rsidRDefault="00367E28" w:rsidP="00367E28">
            <w:pPr>
              <w:pStyle w:val="IPPPargraphnumbering"/>
              <w:tabs>
                <w:tab w:val="clear" w:pos="0"/>
              </w:tabs>
              <w:ind w:firstLine="0"/>
              <w:rPr>
                <w:rFonts w:ascii="Arial" w:hAnsi="Arial" w:cs="Arial"/>
                <w:i/>
                <w:sz w:val="18"/>
                <w:szCs w:val="18"/>
              </w:rPr>
            </w:pPr>
            <w:proofErr w:type="spellStart"/>
            <w:r w:rsidRPr="003B1EB0">
              <w:rPr>
                <w:rFonts w:ascii="Arial" w:hAnsi="Arial" w:cs="Arial"/>
                <w:i/>
                <w:sz w:val="18"/>
                <w:szCs w:val="18"/>
              </w:rPr>
              <w:t>Spodoptera</w:t>
            </w:r>
            <w:proofErr w:type="spellEnd"/>
            <w:r w:rsidRPr="003B1EB0">
              <w:rPr>
                <w:rFonts w:ascii="Arial" w:hAnsi="Arial" w:cs="Arial"/>
                <w:i/>
                <w:sz w:val="18"/>
                <w:szCs w:val="18"/>
              </w:rPr>
              <w:t xml:space="preserve"> </w:t>
            </w:r>
            <w:proofErr w:type="spellStart"/>
            <w:r w:rsidRPr="003B1EB0">
              <w:rPr>
                <w:rFonts w:ascii="Arial" w:hAnsi="Arial" w:cs="Arial"/>
                <w:i/>
                <w:sz w:val="18"/>
                <w:szCs w:val="18"/>
              </w:rPr>
              <w:t>frugiperda</w:t>
            </w:r>
            <w:proofErr w:type="spellEnd"/>
            <w:r w:rsidRPr="003B1EB0">
              <w:rPr>
                <w:rFonts w:ascii="Arial" w:hAnsi="Arial" w:cs="Arial"/>
                <w:i/>
                <w:sz w:val="18"/>
                <w:szCs w:val="18"/>
              </w:rPr>
              <w:t xml:space="preserve"> </w:t>
            </w:r>
            <w:r w:rsidRPr="003B1EB0">
              <w:rPr>
                <w:rFonts w:ascii="Arial" w:hAnsi="Arial" w:cs="Arial"/>
                <w:sz w:val="18"/>
                <w:szCs w:val="18"/>
              </w:rPr>
              <w:t>(2022-016)</w:t>
            </w:r>
          </w:p>
        </w:tc>
        <w:tc>
          <w:tcPr>
            <w:tcW w:w="252" w:type="pct"/>
            <w:shd w:val="clear" w:color="auto" w:fill="auto"/>
          </w:tcPr>
          <w:p w14:paraId="741191D8"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r w:rsidRPr="003B1EB0">
              <w:rPr>
                <w:rFonts w:ascii="Arial" w:hAnsi="Arial" w:cs="Arial"/>
                <w:color w:val="AEAAAA" w:themeColor="background2" w:themeShade="BF"/>
                <w:sz w:val="18"/>
                <w:szCs w:val="18"/>
              </w:rPr>
              <w:t>-</w:t>
            </w:r>
          </w:p>
        </w:tc>
        <w:tc>
          <w:tcPr>
            <w:tcW w:w="252" w:type="pct"/>
            <w:shd w:val="clear" w:color="auto" w:fill="auto"/>
          </w:tcPr>
          <w:p w14:paraId="611505E6"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r w:rsidRPr="003B1EB0">
              <w:rPr>
                <w:rFonts w:ascii="Arial" w:hAnsi="Arial" w:cs="Arial"/>
                <w:color w:val="AEAAAA" w:themeColor="background2" w:themeShade="BF"/>
                <w:sz w:val="18"/>
                <w:szCs w:val="18"/>
              </w:rPr>
              <w:t>-</w:t>
            </w:r>
          </w:p>
        </w:tc>
        <w:tc>
          <w:tcPr>
            <w:tcW w:w="252" w:type="pct"/>
            <w:shd w:val="clear" w:color="auto" w:fill="D9D9D9" w:themeFill="background1" w:themeFillShade="D9"/>
          </w:tcPr>
          <w:p w14:paraId="7E904143"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7F249914"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3A118A47"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4DF2A2EE"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7030A0"/>
          </w:tcPr>
          <w:p w14:paraId="706155D5"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6126B042" w14:textId="77777777" w:rsidR="00367E28" w:rsidRPr="003B1EB0" w:rsidRDefault="00367E28" w:rsidP="00367E28">
            <w:pPr>
              <w:pStyle w:val="IPPPargraphnumbering"/>
              <w:tabs>
                <w:tab w:val="clear" w:pos="0"/>
              </w:tabs>
              <w:ind w:firstLine="0"/>
              <w:rPr>
                <w:rFonts w:ascii="Arial" w:hAnsi="Arial" w:cs="Arial"/>
                <w:sz w:val="18"/>
                <w:szCs w:val="18"/>
              </w:rPr>
            </w:pPr>
          </w:p>
        </w:tc>
      </w:tr>
      <w:tr w:rsidR="00367E28" w:rsidRPr="003B1EB0" w14:paraId="3642A22B" w14:textId="77777777" w:rsidTr="00367E28">
        <w:tc>
          <w:tcPr>
            <w:tcW w:w="232" w:type="pct"/>
          </w:tcPr>
          <w:p w14:paraId="7A8AB40F"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362A9FC2" w14:textId="77777777" w:rsidR="00367E28" w:rsidRPr="003B1EB0" w:rsidRDefault="00367E28" w:rsidP="00367E28">
            <w:pPr>
              <w:pStyle w:val="IPPPargraphnumbering"/>
              <w:tabs>
                <w:tab w:val="clear" w:pos="0"/>
              </w:tabs>
              <w:ind w:firstLine="0"/>
              <w:rPr>
                <w:rFonts w:ascii="Arial" w:hAnsi="Arial" w:cs="Arial"/>
                <w:i/>
                <w:sz w:val="18"/>
                <w:szCs w:val="18"/>
              </w:rPr>
            </w:pPr>
            <w:r w:rsidRPr="003B1EB0">
              <w:rPr>
                <w:rFonts w:ascii="Arial" w:hAnsi="Arial" w:cs="Arial"/>
                <w:i/>
                <w:sz w:val="18"/>
                <w:szCs w:val="18"/>
              </w:rPr>
              <w:t xml:space="preserve">Drosophila </w:t>
            </w:r>
            <w:proofErr w:type="spellStart"/>
            <w:r w:rsidRPr="003B1EB0">
              <w:rPr>
                <w:rFonts w:ascii="Arial" w:hAnsi="Arial" w:cs="Arial"/>
                <w:i/>
                <w:sz w:val="18"/>
                <w:szCs w:val="18"/>
              </w:rPr>
              <w:t>suzukii</w:t>
            </w:r>
            <w:proofErr w:type="spellEnd"/>
            <w:r w:rsidRPr="003B1EB0">
              <w:rPr>
                <w:rFonts w:ascii="Arial" w:hAnsi="Arial" w:cs="Arial"/>
                <w:i/>
                <w:sz w:val="18"/>
                <w:szCs w:val="18"/>
              </w:rPr>
              <w:t xml:space="preserve"> (</w:t>
            </w:r>
            <w:proofErr w:type="spellStart"/>
            <w:r w:rsidRPr="003B1EB0">
              <w:rPr>
                <w:rFonts w:ascii="Arial" w:hAnsi="Arial" w:cs="Arial"/>
                <w:i/>
                <w:sz w:val="18"/>
                <w:szCs w:val="18"/>
              </w:rPr>
              <w:t>Diptera</w:t>
            </w:r>
            <w:proofErr w:type="spellEnd"/>
            <w:r w:rsidRPr="003B1EB0">
              <w:rPr>
                <w:rFonts w:ascii="Arial" w:hAnsi="Arial" w:cs="Arial"/>
                <w:i/>
                <w:sz w:val="18"/>
                <w:szCs w:val="18"/>
              </w:rPr>
              <w:t xml:space="preserve">: </w:t>
            </w:r>
            <w:proofErr w:type="spellStart"/>
            <w:r w:rsidRPr="003B1EB0">
              <w:rPr>
                <w:rFonts w:ascii="Arial" w:hAnsi="Arial" w:cs="Arial"/>
                <w:i/>
                <w:sz w:val="18"/>
                <w:szCs w:val="18"/>
              </w:rPr>
              <w:t>Drosophilidae</w:t>
            </w:r>
            <w:proofErr w:type="spellEnd"/>
            <w:r w:rsidRPr="003B1EB0">
              <w:rPr>
                <w:rFonts w:ascii="Arial" w:hAnsi="Arial" w:cs="Arial"/>
                <w:i/>
                <w:sz w:val="18"/>
                <w:szCs w:val="18"/>
              </w:rPr>
              <w:t xml:space="preserve">) </w:t>
            </w:r>
            <w:r w:rsidRPr="003B1EB0">
              <w:rPr>
                <w:rFonts w:ascii="Arial" w:hAnsi="Arial" w:cs="Arial"/>
                <w:sz w:val="18"/>
                <w:szCs w:val="18"/>
              </w:rPr>
              <w:t>(2022-017)</w:t>
            </w:r>
          </w:p>
        </w:tc>
        <w:tc>
          <w:tcPr>
            <w:tcW w:w="252" w:type="pct"/>
            <w:shd w:val="clear" w:color="auto" w:fill="auto"/>
          </w:tcPr>
          <w:p w14:paraId="1C3F9624"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r w:rsidRPr="003B1EB0">
              <w:rPr>
                <w:rFonts w:ascii="Arial" w:hAnsi="Arial" w:cs="Arial"/>
                <w:color w:val="AEAAAA" w:themeColor="background2" w:themeShade="BF"/>
                <w:sz w:val="18"/>
                <w:szCs w:val="18"/>
              </w:rPr>
              <w:t>-</w:t>
            </w:r>
          </w:p>
        </w:tc>
        <w:tc>
          <w:tcPr>
            <w:tcW w:w="252" w:type="pct"/>
            <w:shd w:val="clear" w:color="auto" w:fill="auto"/>
          </w:tcPr>
          <w:p w14:paraId="4E6FB38D"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r w:rsidRPr="003B1EB0">
              <w:rPr>
                <w:rFonts w:ascii="Arial" w:hAnsi="Arial" w:cs="Arial"/>
                <w:color w:val="AEAAAA" w:themeColor="background2" w:themeShade="BF"/>
                <w:sz w:val="18"/>
                <w:szCs w:val="18"/>
              </w:rPr>
              <w:t>-</w:t>
            </w:r>
          </w:p>
        </w:tc>
        <w:tc>
          <w:tcPr>
            <w:tcW w:w="252" w:type="pct"/>
            <w:shd w:val="clear" w:color="auto" w:fill="D9D9D9" w:themeFill="background1" w:themeFillShade="D9"/>
          </w:tcPr>
          <w:p w14:paraId="2E480536"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1BFCAC0E"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47615AD8"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7CE6EE6D"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7030A0"/>
          </w:tcPr>
          <w:p w14:paraId="4255C342"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6F3097F6" w14:textId="77777777" w:rsidR="00367E28" w:rsidRPr="003B1EB0" w:rsidRDefault="00367E28" w:rsidP="00367E28">
            <w:pPr>
              <w:pStyle w:val="IPPPargraphnumbering"/>
              <w:tabs>
                <w:tab w:val="clear" w:pos="0"/>
              </w:tabs>
              <w:ind w:firstLine="0"/>
              <w:rPr>
                <w:rFonts w:ascii="Arial" w:hAnsi="Arial" w:cs="Arial"/>
                <w:sz w:val="18"/>
                <w:szCs w:val="18"/>
              </w:rPr>
            </w:pPr>
          </w:p>
        </w:tc>
      </w:tr>
      <w:tr w:rsidR="00367E28" w:rsidRPr="003B1EB0" w14:paraId="75142982" w14:textId="77777777" w:rsidTr="00367E28">
        <w:tc>
          <w:tcPr>
            <w:tcW w:w="232" w:type="pct"/>
          </w:tcPr>
          <w:p w14:paraId="35541161" w14:textId="77777777" w:rsidR="00367E28" w:rsidRPr="003B1EB0" w:rsidRDefault="00367E28" w:rsidP="00367E28">
            <w:pPr>
              <w:pStyle w:val="IPPPargraphnumbering"/>
              <w:numPr>
                <w:ilvl w:val="0"/>
                <w:numId w:val="29"/>
              </w:numPr>
              <w:spacing w:after="0"/>
              <w:ind w:left="288"/>
              <w:rPr>
                <w:rFonts w:ascii="Arial" w:hAnsi="Arial" w:cs="Arial"/>
                <w:sz w:val="18"/>
                <w:szCs w:val="18"/>
              </w:rPr>
            </w:pPr>
          </w:p>
        </w:tc>
        <w:tc>
          <w:tcPr>
            <w:tcW w:w="2750" w:type="pct"/>
          </w:tcPr>
          <w:p w14:paraId="752B9432" w14:textId="77777777" w:rsidR="00367E28" w:rsidRPr="003B1EB0" w:rsidRDefault="00367E28" w:rsidP="00367E28">
            <w:pPr>
              <w:pStyle w:val="IPPPargraphnumbering"/>
              <w:tabs>
                <w:tab w:val="clear" w:pos="0"/>
              </w:tabs>
              <w:ind w:firstLine="0"/>
              <w:rPr>
                <w:rFonts w:ascii="Arial" w:hAnsi="Arial" w:cs="Arial"/>
                <w:sz w:val="18"/>
                <w:szCs w:val="18"/>
              </w:rPr>
            </w:pPr>
            <w:r w:rsidRPr="003B1EB0">
              <w:rPr>
                <w:rFonts w:ascii="Arial" w:hAnsi="Arial" w:cs="Arial"/>
                <w:sz w:val="18"/>
                <w:szCs w:val="18"/>
              </w:rPr>
              <w:t>Tomato brown rugose fruit virus (2022-018)</w:t>
            </w:r>
          </w:p>
        </w:tc>
        <w:tc>
          <w:tcPr>
            <w:tcW w:w="252" w:type="pct"/>
            <w:shd w:val="clear" w:color="auto" w:fill="auto"/>
          </w:tcPr>
          <w:p w14:paraId="23E139D4"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r w:rsidRPr="003B1EB0">
              <w:rPr>
                <w:rFonts w:ascii="Arial" w:hAnsi="Arial" w:cs="Arial"/>
                <w:color w:val="AEAAAA" w:themeColor="background2" w:themeShade="BF"/>
                <w:sz w:val="18"/>
                <w:szCs w:val="18"/>
              </w:rPr>
              <w:t>-</w:t>
            </w:r>
          </w:p>
        </w:tc>
        <w:tc>
          <w:tcPr>
            <w:tcW w:w="252" w:type="pct"/>
            <w:shd w:val="clear" w:color="auto" w:fill="auto"/>
          </w:tcPr>
          <w:p w14:paraId="127430A4" w14:textId="77777777" w:rsidR="00367E28" w:rsidRPr="003B1EB0" w:rsidRDefault="00367E28" w:rsidP="00367E28">
            <w:pPr>
              <w:pStyle w:val="IPPPargraphnumbering"/>
              <w:tabs>
                <w:tab w:val="clear" w:pos="0"/>
              </w:tabs>
              <w:ind w:firstLine="0"/>
              <w:rPr>
                <w:rFonts w:ascii="Arial" w:hAnsi="Arial" w:cs="Arial"/>
                <w:color w:val="AEAAAA" w:themeColor="background2" w:themeShade="BF"/>
                <w:sz w:val="18"/>
                <w:szCs w:val="18"/>
              </w:rPr>
            </w:pPr>
            <w:r w:rsidRPr="003B1EB0">
              <w:rPr>
                <w:rFonts w:ascii="Arial" w:hAnsi="Arial" w:cs="Arial"/>
                <w:color w:val="AEAAAA" w:themeColor="background2" w:themeShade="BF"/>
                <w:sz w:val="18"/>
                <w:szCs w:val="18"/>
              </w:rPr>
              <w:t>-</w:t>
            </w:r>
          </w:p>
        </w:tc>
        <w:tc>
          <w:tcPr>
            <w:tcW w:w="252" w:type="pct"/>
            <w:shd w:val="clear" w:color="auto" w:fill="D9D9D9" w:themeFill="background1" w:themeFillShade="D9"/>
          </w:tcPr>
          <w:p w14:paraId="0E7AC704"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1731AA37"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675BB793"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449E7A10"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7030A0"/>
          </w:tcPr>
          <w:p w14:paraId="0EBD94BA" w14:textId="77777777" w:rsidR="00367E28" w:rsidRPr="003B1EB0" w:rsidRDefault="00367E28" w:rsidP="00367E28">
            <w:pPr>
              <w:pStyle w:val="IPPPargraphnumbering"/>
              <w:tabs>
                <w:tab w:val="clear" w:pos="0"/>
              </w:tabs>
              <w:ind w:firstLine="0"/>
              <w:rPr>
                <w:rFonts w:ascii="Arial" w:hAnsi="Arial" w:cs="Arial"/>
                <w:sz w:val="18"/>
                <w:szCs w:val="18"/>
              </w:rPr>
            </w:pPr>
          </w:p>
        </w:tc>
        <w:tc>
          <w:tcPr>
            <w:tcW w:w="252" w:type="pct"/>
            <w:shd w:val="clear" w:color="auto" w:fill="FFC000"/>
          </w:tcPr>
          <w:p w14:paraId="19FF600A" w14:textId="77777777" w:rsidR="00367E28" w:rsidRPr="003B1EB0" w:rsidRDefault="00367E28" w:rsidP="00367E28">
            <w:pPr>
              <w:pStyle w:val="IPPPargraphnumbering"/>
              <w:tabs>
                <w:tab w:val="clear" w:pos="0"/>
              </w:tabs>
              <w:ind w:firstLine="0"/>
              <w:rPr>
                <w:rFonts w:ascii="Arial" w:hAnsi="Arial" w:cs="Arial"/>
                <w:sz w:val="18"/>
                <w:szCs w:val="18"/>
              </w:rPr>
            </w:pPr>
          </w:p>
        </w:tc>
      </w:tr>
    </w:tbl>
    <w:p w14:paraId="2189642D" w14:textId="77777777" w:rsidR="00367E28" w:rsidRPr="00F833AA" w:rsidRDefault="00367E28" w:rsidP="00367E28">
      <w:pPr>
        <w:spacing w:before="60" w:after="60"/>
        <w:rPr>
          <w:rFonts w:ascii="Arial" w:hAnsi="Arial" w:cs="Arial"/>
          <w:sz w:val="16"/>
        </w:rPr>
      </w:pPr>
      <w:r w:rsidRPr="00F833AA">
        <w:rPr>
          <w:rFonts w:ascii="Arial" w:hAnsi="Arial" w:cs="Arial"/>
          <w:sz w:val="16"/>
        </w:rPr>
        <w:t>* The subject “</w:t>
      </w:r>
      <w:proofErr w:type="spellStart"/>
      <w:r w:rsidRPr="00F833AA">
        <w:rPr>
          <w:rFonts w:ascii="Arial" w:hAnsi="Arial" w:cs="Arial"/>
          <w:sz w:val="16"/>
        </w:rPr>
        <w:t>Begomoviruses</w:t>
      </w:r>
      <w:proofErr w:type="spellEnd"/>
      <w:r w:rsidRPr="00F833AA">
        <w:rPr>
          <w:rFonts w:ascii="Arial" w:hAnsi="Arial" w:cs="Arial"/>
          <w:sz w:val="16"/>
        </w:rPr>
        <w:t xml:space="preserve"> transmitted by </w:t>
      </w:r>
      <w:proofErr w:type="spellStart"/>
      <w:r w:rsidRPr="00F833AA">
        <w:rPr>
          <w:rFonts w:ascii="Arial" w:hAnsi="Arial" w:cs="Arial"/>
          <w:i/>
          <w:sz w:val="16"/>
        </w:rPr>
        <w:t>Bemisia</w:t>
      </w:r>
      <w:proofErr w:type="spellEnd"/>
      <w:r w:rsidRPr="00F833AA">
        <w:rPr>
          <w:rFonts w:ascii="Arial" w:hAnsi="Arial" w:cs="Arial"/>
          <w:i/>
          <w:sz w:val="16"/>
        </w:rPr>
        <w:t xml:space="preserve"> </w:t>
      </w:r>
      <w:proofErr w:type="spellStart"/>
      <w:r w:rsidRPr="00F833AA">
        <w:rPr>
          <w:rFonts w:ascii="Arial" w:hAnsi="Arial" w:cs="Arial"/>
          <w:i/>
          <w:sz w:val="16"/>
        </w:rPr>
        <w:t>tabaci</w:t>
      </w:r>
      <w:proofErr w:type="spellEnd"/>
      <w:r w:rsidRPr="00F833AA">
        <w:rPr>
          <w:rFonts w:ascii="Arial" w:hAnsi="Arial" w:cs="Arial"/>
          <w:sz w:val="16"/>
        </w:rPr>
        <w:t>” is being considered by the TPDP to recommend to the SC to remove it from the work programme</w:t>
      </w:r>
      <w:r>
        <w:rPr>
          <w:rFonts w:ascii="Arial" w:hAnsi="Arial" w:cs="Arial"/>
          <w:sz w:val="1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tblGrid>
      <w:tr w:rsidR="00367E28" w14:paraId="38B807A5" w14:textId="77777777" w:rsidTr="00367E28">
        <w:trPr>
          <w:trHeight w:val="1647"/>
        </w:trPr>
        <w:tc>
          <w:tcPr>
            <w:tcW w:w="3228" w:type="dxa"/>
            <w:vAlign w:val="center"/>
          </w:tcPr>
          <w:p w14:paraId="2ED4E73E" w14:textId="77777777" w:rsidR="00367E28" w:rsidRDefault="00367E28" w:rsidP="00367E28">
            <w:pPr>
              <w:jc w:val="left"/>
            </w:pPr>
            <w:r>
              <w:rPr>
                <w:noProof/>
                <w:color w:val="2B579A"/>
                <w:shd w:val="clear" w:color="auto" w:fill="E6E6E6"/>
                <w:lang w:val="en-US"/>
              </w:rPr>
              <w:drawing>
                <wp:inline distT="0" distB="0" distL="0" distR="0" wp14:anchorId="112A4A64" wp14:editId="1E74ABA8">
                  <wp:extent cx="1763367" cy="1053037"/>
                  <wp:effectExtent l="19050" t="19050" r="9525" b="177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63367" cy="1053037"/>
                          </a:xfrm>
                          <a:prstGeom prst="rect">
                            <a:avLst/>
                          </a:prstGeom>
                          <a:ln>
                            <a:solidFill>
                              <a:schemeClr val="tx1"/>
                            </a:solidFill>
                          </a:ln>
                        </pic:spPr>
                      </pic:pic>
                    </a:graphicData>
                  </a:graphic>
                </wp:inline>
              </w:drawing>
            </w:r>
          </w:p>
        </w:tc>
      </w:tr>
    </w:tbl>
    <w:p w14:paraId="070A21C8" w14:textId="77777777" w:rsidR="00367E28" w:rsidRDefault="00367E28" w:rsidP="00367E28">
      <w:pPr>
        <w:pStyle w:val="IPPNormal"/>
        <w:spacing w:before="180"/>
        <w:jc w:val="center"/>
      </w:pPr>
      <w:r>
        <w:rPr>
          <w:b/>
        </w:rPr>
        <w:t xml:space="preserve">Table 3: </w:t>
      </w:r>
      <w:r w:rsidRPr="006314F0">
        <w:t>Tentative work plan of the TPDP for the years 20</w:t>
      </w:r>
      <w:r>
        <w:t>22-2023</w:t>
      </w:r>
      <w:r w:rsidRPr="006314F0">
        <w:t xml:space="preserve"> with important stages in the drafting process </w:t>
      </w:r>
      <w:r>
        <w:t xml:space="preserve">of the current draft DPs in the work programme </w:t>
      </w:r>
      <w:r w:rsidRPr="006314F0">
        <w:t>highlighted. This work plan is based on the current list of topics and may be adjusted as necessary.</w:t>
      </w:r>
    </w:p>
    <w:p w14:paraId="2ABEAB28" w14:textId="77777777" w:rsidR="00367E28" w:rsidRDefault="00367E28" w:rsidP="00367E28">
      <w:pPr>
        <w:pStyle w:val="IPPParagraphnumbering"/>
      </w:pPr>
      <w:r>
        <w:t>The subject “</w:t>
      </w:r>
      <w:proofErr w:type="spellStart"/>
      <w:r w:rsidRPr="005461D0">
        <w:t>Tephritidae</w:t>
      </w:r>
      <w:proofErr w:type="spellEnd"/>
      <w:r w:rsidRPr="005461D0">
        <w:t>: Identification of immature stages of fruit flies of economic importance by molecular techniques</w:t>
      </w:r>
      <w:r>
        <w:t xml:space="preserve"> </w:t>
      </w:r>
      <w:r w:rsidRPr="005461D0">
        <w:t>(2006-028)</w:t>
      </w:r>
      <w:r>
        <w:t xml:space="preserve">” is currently on “pending status”. </w:t>
      </w:r>
    </w:p>
    <w:p w14:paraId="6FB8EB87" w14:textId="77777777" w:rsidR="00367E28" w:rsidRPr="00F235EB" w:rsidRDefault="00367E28" w:rsidP="00367E28">
      <w:pPr>
        <w:pStyle w:val="IPPNormal"/>
        <w:rPr>
          <w:b/>
          <w:u w:val="single"/>
        </w:rPr>
      </w:pPr>
      <w:r w:rsidRPr="00F235EB">
        <w:rPr>
          <w:b/>
          <w:u w:val="single"/>
        </w:rPr>
        <w:t xml:space="preserve">Upcoming SC </w:t>
      </w:r>
      <w:proofErr w:type="spellStart"/>
      <w:r w:rsidRPr="00F235EB">
        <w:rPr>
          <w:b/>
          <w:u w:val="single"/>
        </w:rPr>
        <w:t>eDecisions</w:t>
      </w:r>
      <w:proofErr w:type="spellEnd"/>
    </w:p>
    <w:p w14:paraId="24309D9E" w14:textId="77777777" w:rsidR="00367E28" w:rsidRDefault="00367E28" w:rsidP="00367E28">
      <w:pPr>
        <w:pStyle w:val="IPPParagraphnumbering"/>
        <w:rPr>
          <w:szCs w:val="16"/>
          <w:lang w:val="en-GB"/>
        </w:rPr>
      </w:pPr>
      <w:r w:rsidRPr="00CE5F5F">
        <w:lastRenderedPageBreak/>
        <w:t xml:space="preserve">The TPDP </w:t>
      </w:r>
      <w:r>
        <w:t xml:space="preserve">agreed to present a scope change to the draft DP </w:t>
      </w:r>
      <w:proofErr w:type="spellStart"/>
      <w:r w:rsidRPr="009A77CE">
        <w:rPr>
          <w:i/>
          <w:szCs w:val="16"/>
          <w:lang w:val="en-GB"/>
        </w:rPr>
        <w:t>Tephritidae</w:t>
      </w:r>
      <w:proofErr w:type="spellEnd"/>
      <w:r w:rsidRPr="00510E8A">
        <w:rPr>
          <w:szCs w:val="16"/>
          <w:lang w:val="en-GB"/>
        </w:rPr>
        <w:t>: Identification of immature stages of fruit flies of economic importance by molecular techniques (2006-028) (currently with “pending status”)</w:t>
      </w:r>
      <w:r>
        <w:rPr>
          <w:szCs w:val="16"/>
          <w:lang w:val="en-GB"/>
        </w:rPr>
        <w:t xml:space="preserve"> to the SC.</w:t>
      </w:r>
    </w:p>
    <w:p w14:paraId="781B8EBC" w14:textId="77777777" w:rsidR="00367E28" w:rsidRDefault="00367E28" w:rsidP="00367E28">
      <w:pPr>
        <w:pStyle w:val="IPPParagraphnumbering"/>
      </w:pPr>
      <w:r>
        <w:t>T</w:t>
      </w:r>
      <w:r w:rsidRPr="00CE5F5F">
        <w:t xml:space="preserve">he TPDP </w:t>
      </w:r>
      <w:r>
        <w:t xml:space="preserve">will also present the SC with the recommendation to remove the subject </w:t>
      </w:r>
      <w:r w:rsidRPr="00242128">
        <w:t>“</w:t>
      </w:r>
      <w:proofErr w:type="spellStart"/>
      <w:r w:rsidRPr="00242128">
        <w:t>Begomoviruses</w:t>
      </w:r>
      <w:proofErr w:type="spellEnd"/>
      <w:r w:rsidRPr="00242128">
        <w:t xml:space="preserve"> transmitted by </w:t>
      </w:r>
      <w:proofErr w:type="spellStart"/>
      <w:r w:rsidRPr="00242128">
        <w:rPr>
          <w:i/>
        </w:rPr>
        <w:t>Bemisia</w:t>
      </w:r>
      <w:proofErr w:type="spellEnd"/>
      <w:r w:rsidRPr="00242128">
        <w:rPr>
          <w:i/>
        </w:rPr>
        <w:t xml:space="preserve"> </w:t>
      </w:r>
      <w:proofErr w:type="spellStart"/>
      <w:r w:rsidRPr="00242128">
        <w:rPr>
          <w:i/>
        </w:rPr>
        <w:t>tabaci</w:t>
      </w:r>
      <w:proofErr w:type="spellEnd"/>
      <w:r w:rsidRPr="00242128">
        <w:t>”</w:t>
      </w:r>
      <w:r>
        <w:t xml:space="preserve"> </w:t>
      </w:r>
      <w:r w:rsidRPr="009A77CE">
        <w:rPr>
          <w:bCs/>
        </w:rPr>
        <w:t xml:space="preserve">(2006-003) </w:t>
      </w:r>
      <w:r w:rsidRPr="00242128">
        <w:t xml:space="preserve">from </w:t>
      </w:r>
      <w:r>
        <w:t xml:space="preserve">its </w:t>
      </w:r>
      <w:r w:rsidRPr="00242128">
        <w:t xml:space="preserve">work </w:t>
      </w:r>
      <w:proofErr w:type="spellStart"/>
      <w:r w:rsidRPr="00242128">
        <w:t>programme</w:t>
      </w:r>
      <w:proofErr w:type="spellEnd"/>
      <w:r w:rsidRPr="00242128">
        <w:t>.</w:t>
      </w:r>
    </w:p>
    <w:p w14:paraId="543FC86B" w14:textId="77777777" w:rsidR="00367E28" w:rsidRPr="00E676E8" w:rsidRDefault="00367E28" w:rsidP="00367E28">
      <w:pPr>
        <w:pStyle w:val="IPPHeading1"/>
      </w:pPr>
      <w:r>
        <w:t>5. Recommendations to the SC</w:t>
      </w:r>
    </w:p>
    <w:p w14:paraId="2DF8901B" w14:textId="77777777" w:rsidR="00367E28" w:rsidRPr="00440A73" w:rsidRDefault="00367E28" w:rsidP="00367E28">
      <w:pPr>
        <w:pStyle w:val="IPPPargraphnumbering"/>
        <w:numPr>
          <w:ilvl w:val="0"/>
          <w:numId w:val="11"/>
        </w:numPr>
        <w:rPr>
          <w:lang w:val="en-GB"/>
        </w:rPr>
      </w:pPr>
      <w:r w:rsidRPr="00440A73">
        <w:rPr>
          <w:lang w:val="en-GB"/>
        </w:rPr>
        <w:t>The SC is invited to:</w:t>
      </w:r>
    </w:p>
    <w:p w14:paraId="33BD307B" w14:textId="77777777" w:rsidR="00367E28" w:rsidRPr="00440A73" w:rsidRDefault="00367E28" w:rsidP="00367E28">
      <w:pPr>
        <w:pStyle w:val="IPPNumberedList"/>
      </w:pPr>
      <w:proofErr w:type="gramStart"/>
      <w:r w:rsidRPr="009B21DC">
        <w:rPr>
          <w:i/>
        </w:rPr>
        <w:t>note</w:t>
      </w:r>
      <w:proofErr w:type="gramEnd"/>
      <w:r w:rsidRPr="00440A73">
        <w:t xml:space="preserve"> </w:t>
      </w:r>
      <w:r w:rsidRPr="006157EC">
        <w:t xml:space="preserve">the TPDP update and </w:t>
      </w:r>
      <w:r w:rsidRPr="006157EC">
        <w:rPr>
          <w:iCs/>
        </w:rPr>
        <w:t xml:space="preserve">the </w:t>
      </w:r>
      <w:r w:rsidRPr="006157EC">
        <w:t xml:space="preserve">work accomplished from May 2021 to </w:t>
      </w:r>
      <w:r>
        <w:t>July</w:t>
      </w:r>
      <w:r w:rsidRPr="006157EC">
        <w:t xml:space="preserve"> 2022</w:t>
      </w:r>
      <w:r>
        <w:t>.</w:t>
      </w:r>
    </w:p>
    <w:p w14:paraId="7BF99BE6" w14:textId="77777777" w:rsidR="00367E28" w:rsidRDefault="00367E28" w:rsidP="00367E28">
      <w:pPr>
        <w:pStyle w:val="IPPNumberedList"/>
      </w:pPr>
      <w:proofErr w:type="gramStart"/>
      <w:r w:rsidRPr="009B21DC">
        <w:rPr>
          <w:i/>
        </w:rPr>
        <w:t>agree</w:t>
      </w:r>
      <w:proofErr w:type="gramEnd"/>
      <w:r w:rsidRPr="009B21DC">
        <w:rPr>
          <w:i/>
        </w:rPr>
        <w:t xml:space="preserve"> </w:t>
      </w:r>
      <w:r>
        <w:t>that a call for virologist is made and ask the IPPC Secretariat to open the call soon.</w:t>
      </w:r>
    </w:p>
    <w:p w14:paraId="31DEAFC1" w14:textId="77777777" w:rsidR="00367E28" w:rsidRDefault="00367E28" w:rsidP="00367E28">
      <w:pPr>
        <w:pStyle w:val="IPPNumberedList"/>
      </w:pPr>
      <w:proofErr w:type="gramStart"/>
      <w:r w:rsidRPr="00F235EB">
        <w:rPr>
          <w:i/>
        </w:rPr>
        <w:t>renew</w:t>
      </w:r>
      <w:proofErr w:type="gramEnd"/>
      <w:r w:rsidRPr="00440A73">
        <w:t xml:space="preserve"> </w:t>
      </w:r>
      <w:r w:rsidRPr="006157EC">
        <w:t xml:space="preserve">the membership of </w:t>
      </w:r>
      <w:proofErr w:type="spellStart"/>
      <w:r w:rsidRPr="006157EC">
        <w:t>Mr</w:t>
      </w:r>
      <w:proofErr w:type="spellEnd"/>
      <w:r w:rsidRPr="006157EC">
        <w:t xml:space="preserve"> Norman BARR (Entomology) for another 5-year term</w:t>
      </w:r>
      <w:r>
        <w:t>.</w:t>
      </w:r>
    </w:p>
    <w:p w14:paraId="470959DA" w14:textId="77777777" w:rsidR="00367E28" w:rsidRDefault="00367E28" w:rsidP="00367E28">
      <w:pPr>
        <w:pStyle w:val="IPPNumberedList"/>
      </w:pPr>
      <w:proofErr w:type="gramStart"/>
      <w:r w:rsidRPr="00F235EB">
        <w:rPr>
          <w:i/>
        </w:rPr>
        <w:t>note</w:t>
      </w:r>
      <w:proofErr w:type="gramEnd"/>
      <w:r>
        <w:t xml:space="preserve"> that the tentative dates for the face to face meeting are 31 October to 04 November, in EPPO headquarters. </w:t>
      </w:r>
    </w:p>
    <w:p w14:paraId="4CC8D8C3" w14:textId="77777777" w:rsidR="00367E28" w:rsidRPr="00FA5089" w:rsidRDefault="00367E28" w:rsidP="00367E28">
      <w:pPr>
        <w:pStyle w:val="IPPNumberedList"/>
      </w:pPr>
      <w:proofErr w:type="gramStart"/>
      <w:r>
        <w:rPr>
          <w:i/>
        </w:rPr>
        <w:t>note</w:t>
      </w:r>
      <w:proofErr w:type="gramEnd"/>
      <w:r>
        <w:rPr>
          <w:i/>
        </w:rPr>
        <w:t xml:space="preserve"> </w:t>
      </w:r>
      <w:r>
        <w:t xml:space="preserve">that the TPDP is contributing to </w:t>
      </w:r>
      <w:r>
        <w:rPr>
          <w:lang w:val="en-GB"/>
        </w:rPr>
        <w:t>a scientific session on pest diagnostics and food security for the IPHC, which is being organized by the IPPC and EPPO Secretariats.</w:t>
      </w:r>
    </w:p>
    <w:p w14:paraId="50307F24" w14:textId="77777777" w:rsidR="00367E28" w:rsidRPr="00FA5089" w:rsidRDefault="00367E28" w:rsidP="00367E28">
      <w:pPr>
        <w:pStyle w:val="IPPNumberedList"/>
      </w:pPr>
      <w:r w:rsidRPr="00FA5089">
        <w:t xml:space="preserve"> </w:t>
      </w:r>
      <w:proofErr w:type="gramStart"/>
      <w:r w:rsidRPr="00F235EB">
        <w:rPr>
          <w:i/>
        </w:rPr>
        <w:t>note</w:t>
      </w:r>
      <w:proofErr w:type="gramEnd"/>
      <w:r w:rsidRPr="00FA5089">
        <w:t xml:space="preserve"> </w:t>
      </w:r>
      <w:r w:rsidRPr="006157EC">
        <w:t xml:space="preserve">the TPDP tentative work plan for </w:t>
      </w:r>
      <w:r>
        <w:t>July</w:t>
      </w:r>
      <w:r w:rsidRPr="006157EC">
        <w:t xml:space="preserve"> 2022 to May 2023 (summarized in Table 3).</w:t>
      </w:r>
    </w:p>
    <w:p w14:paraId="39754FCA" w14:textId="77777777" w:rsidR="00367E28" w:rsidRDefault="00367E28" w:rsidP="00367E28">
      <w:pPr>
        <w:pStyle w:val="IPPNumberedList"/>
        <w:numPr>
          <w:ilvl w:val="0"/>
          <w:numId w:val="0"/>
        </w:numPr>
      </w:pPr>
    </w:p>
    <w:sectPr w:rsidR="00367E28" w:rsidSect="00367E28">
      <w:headerReference w:type="even" r:id="rId24"/>
      <w:headerReference w:type="default" r:id="rId25"/>
      <w:footerReference w:type="even" r:id="rId26"/>
      <w:footerReference w:type="default" r:id="rId27"/>
      <w:headerReference w:type="first" r:id="rId28"/>
      <w:footerReference w:type="first" r:id="rId29"/>
      <w:pgSz w:w="11906" w:h="16838" w:code="9"/>
      <w:pgMar w:top="1440" w:right="1440" w:bottom="1440" w:left="1440"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82D2E" w14:textId="77777777" w:rsidR="00027E3D" w:rsidRDefault="00027E3D" w:rsidP="00F83E30">
      <w:r>
        <w:separator/>
      </w:r>
    </w:p>
  </w:endnote>
  <w:endnote w:type="continuationSeparator" w:id="0">
    <w:p w14:paraId="4F7CBBAD" w14:textId="77777777" w:rsidR="00027E3D" w:rsidRDefault="00027E3D" w:rsidP="00F8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AF3C5" w14:textId="4411CA8E" w:rsidR="00367E28" w:rsidRPr="0079797C" w:rsidRDefault="00367E28" w:rsidP="00367E28">
    <w:pPr>
      <w:pStyle w:val="IPPFooter"/>
      <w:tabs>
        <w:tab w:val="clear" w:pos="9072"/>
        <w:tab w:val="right" w:pos="9360"/>
      </w:tabs>
      <w:jc w:val="both"/>
      <w:rPr>
        <w:b w:val="0"/>
      </w:rPr>
    </w:pPr>
    <w:r w:rsidRPr="0079797C">
      <w:rPr>
        <w:rStyle w:val="PageNumber"/>
      </w:rPr>
      <w:t xml:space="preserve">Page </w:t>
    </w:r>
    <w:r w:rsidRPr="0079797C">
      <w:rPr>
        <w:rStyle w:val="PageNumber"/>
        <w:b/>
      </w:rPr>
      <w:fldChar w:fldCharType="begin"/>
    </w:r>
    <w:r w:rsidRPr="0079797C">
      <w:rPr>
        <w:rStyle w:val="PageNumber"/>
      </w:rPr>
      <w:instrText xml:space="preserve"> PAGE </w:instrText>
    </w:r>
    <w:r w:rsidRPr="0079797C">
      <w:rPr>
        <w:rStyle w:val="PageNumber"/>
        <w:b/>
      </w:rPr>
      <w:fldChar w:fldCharType="separate"/>
    </w:r>
    <w:r w:rsidR="003C75D7">
      <w:rPr>
        <w:rStyle w:val="PageNumber"/>
        <w:noProof/>
      </w:rPr>
      <w:t>8</w:t>
    </w:r>
    <w:r w:rsidRPr="0079797C">
      <w:rPr>
        <w:rStyle w:val="PageNumber"/>
        <w:b/>
      </w:rPr>
      <w:fldChar w:fldCharType="end"/>
    </w:r>
    <w:r w:rsidRPr="0079797C">
      <w:rPr>
        <w:rStyle w:val="PageNumber"/>
      </w:rPr>
      <w:t xml:space="preserve"> of </w:t>
    </w:r>
    <w:r w:rsidRPr="0079797C">
      <w:rPr>
        <w:rStyle w:val="PageNumber"/>
        <w:b/>
      </w:rPr>
      <w:fldChar w:fldCharType="begin"/>
    </w:r>
    <w:r w:rsidRPr="0079797C">
      <w:rPr>
        <w:rStyle w:val="PageNumber"/>
      </w:rPr>
      <w:instrText xml:space="preserve"> NUMPAGES </w:instrText>
    </w:r>
    <w:r w:rsidRPr="0079797C">
      <w:rPr>
        <w:rStyle w:val="PageNumber"/>
        <w:b/>
      </w:rPr>
      <w:fldChar w:fldCharType="separate"/>
    </w:r>
    <w:r w:rsidR="003C75D7">
      <w:rPr>
        <w:rStyle w:val="PageNumber"/>
        <w:noProof/>
      </w:rPr>
      <w:t>9</w:t>
    </w:r>
    <w:r w:rsidRPr="0079797C">
      <w:rPr>
        <w:rStyle w:val="PageNumber"/>
        <w:b/>
      </w:rPr>
      <w:fldChar w:fldCharType="end"/>
    </w:r>
    <w:r w:rsidRPr="0079797C">
      <w:rPr>
        <w:rStyle w:val="PageNumber"/>
      </w:rPr>
      <w:tab/>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489E3" w14:textId="2C3B0C82" w:rsidR="00367E28" w:rsidRPr="0079797C" w:rsidRDefault="00367E28" w:rsidP="00367E28">
    <w:pPr>
      <w:pStyle w:val="IPPFooter"/>
      <w:tabs>
        <w:tab w:val="clear" w:pos="9072"/>
        <w:tab w:val="right" w:pos="9360"/>
      </w:tabs>
      <w:jc w:val="both"/>
      <w:rPr>
        <w:b w:val="0"/>
      </w:rPr>
    </w:pPr>
    <w:r w:rsidRPr="0079797C">
      <w:rPr>
        <w:rStyle w:val="PageNumber"/>
      </w:rPr>
      <w:t>International Plant Protection Convention</w:t>
    </w:r>
    <w:r w:rsidRPr="0079797C">
      <w:rPr>
        <w:rStyle w:val="PageNumber"/>
      </w:rPr>
      <w:tab/>
      <w:t xml:space="preserve">Page </w:t>
    </w:r>
    <w:r w:rsidRPr="0079797C">
      <w:rPr>
        <w:rStyle w:val="PageNumber"/>
        <w:b/>
      </w:rPr>
      <w:fldChar w:fldCharType="begin"/>
    </w:r>
    <w:r w:rsidRPr="0079797C">
      <w:rPr>
        <w:rStyle w:val="PageNumber"/>
      </w:rPr>
      <w:instrText xml:space="preserve"> PAGE </w:instrText>
    </w:r>
    <w:r w:rsidRPr="0079797C">
      <w:rPr>
        <w:rStyle w:val="PageNumber"/>
        <w:b/>
      </w:rPr>
      <w:fldChar w:fldCharType="separate"/>
    </w:r>
    <w:r w:rsidR="003C75D7">
      <w:rPr>
        <w:rStyle w:val="PageNumber"/>
        <w:noProof/>
      </w:rPr>
      <w:t>9</w:t>
    </w:r>
    <w:r w:rsidRPr="0079797C">
      <w:rPr>
        <w:rStyle w:val="PageNumber"/>
        <w:b/>
      </w:rPr>
      <w:fldChar w:fldCharType="end"/>
    </w:r>
    <w:r w:rsidRPr="0079797C">
      <w:rPr>
        <w:rStyle w:val="PageNumber"/>
      </w:rPr>
      <w:t xml:space="preserve"> of </w:t>
    </w:r>
    <w:r w:rsidRPr="0079797C">
      <w:rPr>
        <w:rStyle w:val="PageNumber"/>
        <w:b/>
      </w:rPr>
      <w:fldChar w:fldCharType="begin"/>
    </w:r>
    <w:r w:rsidRPr="0079797C">
      <w:rPr>
        <w:rStyle w:val="PageNumber"/>
      </w:rPr>
      <w:instrText xml:space="preserve"> NUMPAGES </w:instrText>
    </w:r>
    <w:r w:rsidRPr="0079797C">
      <w:rPr>
        <w:rStyle w:val="PageNumber"/>
        <w:b/>
      </w:rPr>
      <w:fldChar w:fldCharType="separate"/>
    </w:r>
    <w:r w:rsidR="003C75D7">
      <w:rPr>
        <w:rStyle w:val="PageNumber"/>
        <w:noProof/>
      </w:rPr>
      <w:t>9</w:t>
    </w:r>
    <w:r w:rsidRPr="0079797C">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2389" w14:textId="4C274211" w:rsidR="00367E28" w:rsidRPr="00B63F48" w:rsidRDefault="00367E28" w:rsidP="00367E28">
    <w:pPr>
      <w:pStyle w:val="IPPFooter"/>
      <w:tabs>
        <w:tab w:val="clear" w:pos="9072"/>
        <w:tab w:val="right" w:pos="9360"/>
      </w:tabs>
      <w:jc w:val="both"/>
      <w:rPr>
        <w:b w:val="0"/>
      </w:rPr>
    </w:pPr>
    <w:r w:rsidRPr="00B63F48">
      <w:rPr>
        <w:rStyle w:val="PageNumber"/>
        <w:b/>
      </w:rPr>
      <w:t>International Plant Protection Convention</w:t>
    </w:r>
    <w:r w:rsidRPr="00B63F48">
      <w:rPr>
        <w:rStyle w:val="PageNumber"/>
        <w:b/>
      </w:rPr>
      <w:tab/>
      <w:t xml:space="preserve">Page </w:t>
    </w:r>
    <w:r w:rsidRPr="00B63F48">
      <w:rPr>
        <w:rStyle w:val="PageNumber"/>
        <w:b/>
      </w:rPr>
      <w:fldChar w:fldCharType="begin"/>
    </w:r>
    <w:r w:rsidRPr="00B63F48">
      <w:rPr>
        <w:rStyle w:val="PageNumber"/>
        <w:b/>
      </w:rPr>
      <w:instrText xml:space="preserve"> PAGE </w:instrText>
    </w:r>
    <w:r w:rsidRPr="00B63F48">
      <w:rPr>
        <w:rStyle w:val="PageNumber"/>
        <w:b/>
      </w:rPr>
      <w:fldChar w:fldCharType="separate"/>
    </w:r>
    <w:r w:rsidR="00577FA6">
      <w:rPr>
        <w:rStyle w:val="PageNumber"/>
        <w:b/>
        <w:noProof/>
      </w:rPr>
      <w:t>1</w:t>
    </w:r>
    <w:r w:rsidRPr="00B63F48">
      <w:rPr>
        <w:rStyle w:val="PageNumber"/>
        <w:b/>
      </w:rPr>
      <w:fldChar w:fldCharType="end"/>
    </w:r>
    <w:r w:rsidRPr="00B63F48">
      <w:rPr>
        <w:rStyle w:val="PageNumber"/>
        <w:b/>
      </w:rPr>
      <w:t xml:space="preserve"> of </w:t>
    </w:r>
    <w:r w:rsidRPr="00B63F48">
      <w:rPr>
        <w:rStyle w:val="PageNumber"/>
        <w:b/>
      </w:rPr>
      <w:fldChar w:fldCharType="begin"/>
    </w:r>
    <w:r w:rsidRPr="00B63F48">
      <w:rPr>
        <w:rStyle w:val="PageNumber"/>
        <w:b/>
      </w:rPr>
      <w:instrText xml:space="preserve"> NUMPAGES </w:instrText>
    </w:r>
    <w:r w:rsidRPr="00B63F48">
      <w:rPr>
        <w:rStyle w:val="PageNumber"/>
        <w:b/>
      </w:rPr>
      <w:fldChar w:fldCharType="separate"/>
    </w:r>
    <w:r w:rsidR="00577FA6">
      <w:rPr>
        <w:rStyle w:val="PageNumber"/>
        <w:b/>
        <w:noProof/>
      </w:rPr>
      <w:t>9</w:t>
    </w:r>
    <w:r w:rsidRPr="00B63F48">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6CD52" w14:textId="77777777" w:rsidR="00027E3D" w:rsidRDefault="00027E3D" w:rsidP="00F83E30">
      <w:r>
        <w:separator/>
      </w:r>
    </w:p>
  </w:footnote>
  <w:footnote w:type="continuationSeparator" w:id="0">
    <w:p w14:paraId="5F07B5F4" w14:textId="77777777" w:rsidR="00027E3D" w:rsidRDefault="00027E3D" w:rsidP="00F83E30">
      <w:r>
        <w:continuationSeparator/>
      </w:r>
    </w:p>
  </w:footnote>
  <w:footnote w:id="1">
    <w:p w14:paraId="5013F7E6" w14:textId="6A41724A" w:rsidR="00367E28" w:rsidRDefault="00367E28">
      <w:pPr>
        <w:pStyle w:val="FootnoteText"/>
      </w:pPr>
      <w:r>
        <w:rPr>
          <w:rStyle w:val="FootnoteReference"/>
        </w:rPr>
        <w:footnoteRef/>
      </w:r>
      <w:r>
        <w:t xml:space="preserve"> </w:t>
      </w:r>
      <w:r w:rsidRPr="00DB5702">
        <w:t>2022-04 TPDP Virtual Meeting Report</w:t>
      </w:r>
      <w:r>
        <w:t xml:space="preserve">: </w:t>
      </w:r>
      <w:hyperlink r:id="rId1" w:history="1">
        <w:r w:rsidRPr="004F759F">
          <w:rPr>
            <w:rStyle w:val="Hyperlink"/>
          </w:rPr>
          <w:t>https://www.ippc.int/en/publications/91297/</w:t>
        </w:r>
      </w:hyperlink>
    </w:p>
  </w:footnote>
  <w:footnote w:id="2">
    <w:p w14:paraId="063B3F01" w14:textId="3035AE01" w:rsidR="00367E28" w:rsidRDefault="00367E28">
      <w:pPr>
        <w:pStyle w:val="FootnoteText"/>
      </w:pPr>
      <w:r>
        <w:rPr>
          <w:rStyle w:val="FootnoteReference"/>
        </w:rPr>
        <w:footnoteRef/>
      </w:r>
      <w:r>
        <w:t xml:space="preserve"> Current consultation for draft ISPMs: </w:t>
      </w:r>
      <w:hyperlink r:id="rId2" w:history="1">
        <w:r w:rsidRPr="00B66277">
          <w:rPr>
            <w:rStyle w:val="Hyperlink"/>
          </w:rPr>
          <w:t>https://www.ippc.int/en/core-activities/standards-setting/member-consultation-draft-ispms/</w:t>
        </w:r>
      </w:hyperlink>
      <w:r>
        <w:t xml:space="preserve"> </w:t>
      </w:r>
    </w:p>
  </w:footnote>
  <w:footnote w:id="3">
    <w:p w14:paraId="7CEA10E3" w14:textId="77777777" w:rsidR="00367E28" w:rsidRPr="00C71BF8" w:rsidRDefault="00367E28" w:rsidP="00367E28">
      <w:pPr>
        <w:pStyle w:val="IPPFootnote"/>
        <w:jc w:val="left"/>
      </w:pPr>
      <w:r>
        <w:rPr>
          <w:rStyle w:val="FootnoteReference"/>
        </w:rPr>
        <w:footnoteRef/>
      </w:r>
      <w:r>
        <w:t xml:space="preserve"> TPDP main page on IPP: </w:t>
      </w:r>
      <w:hyperlink r:id="rId3" w:history="1">
        <w:r w:rsidRPr="00EA4C9A">
          <w:rPr>
            <w:rStyle w:val="Hyperlink"/>
          </w:rPr>
          <w:t>https://www.ippc.int/en/core-activities/standards-setting/expert-drafting-groups/technical-panels/technical-panel-diagnostic-protocols/</w:t>
        </w:r>
      </w:hyperlink>
      <w:r>
        <w:t xml:space="preserve"> </w:t>
      </w:r>
    </w:p>
  </w:footnote>
  <w:footnote w:id="4">
    <w:p w14:paraId="3A96D1E5" w14:textId="77777777" w:rsidR="00367E28" w:rsidRDefault="00367E28" w:rsidP="00367E28">
      <w:pPr>
        <w:pStyle w:val="IPPFootnote"/>
        <w:jc w:val="left"/>
      </w:pPr>
      <w:r>
        <w:rPr>
          <w:rStyle w:val="FootnoteReference"/>
        </w:rPr>
        <w:footnoteRef/>
      </w:r>
      <w:r>
        <w:t xml:space="preserve"> List of Topics for IPPC standards (</w:t>
      </w:r>
      <w:r w:rsidRPr="00FB309E">
        <w:t>Table 3: Subjects for TPDP</w:t>
      </w:r>
      <w:r>
        <w:t xml:space="preserve">): </w:t>
      </w:r>
      <w:hyperlink r:id="rId4" w:history="1">
        <w:r w:rsidRPr="00CC40F6">
          <w:rPr>
            <w:rStyle w:val="Hyperlink"/>
          </w:rPr>
          <w:t>https://www.ippc.int/en/core-activities/standards-setting/list-topics-ippc-standards/list</w:t>
        </w:r>
      </w:hyperlink>
    </w:p>
  </w:footnote>
  <w:footnote w:id="5">
    <w:p w14:paraId="46FF1ABA" w14:textId="77777777" w:rsidR="00367E28" w:rsidRPr="00CE5F5F" w:rsidRDefault="00367E28" w:rsidP="00367E28">
      <w:pPr>
        <w:pStyle w:val="IPPFootnote"/>
        <w:jc w:val="left"/>
      </w:pPr>
      <w:r>
        <w:rPr>
          <w:rStyle w:val="FootnoteReference"/>
        </w:rPr>
        <w:footnoteRef/>
      </w:r>
      <w:r>
        <w:t xml:space="preserve"> SC June 2021 meeting work area: </w:t>
      </w:r>
      <w:hyperlink r:id="rId5" w:history="1">
        <w:r w:rsidRPr="00A43BBF">
          <w:rPr>
            <w:rStyle w:val="Hyperlink"/>
          </w:rPr>
          <w:t>https://www.ippc.int/en/work-area-pages/standards-committee-sc/2021-sc-meetings/2021-june-sc-virtual-focused-meeting/</w:t>
        </w:r>
      </w:hyperlink>
      <w:r>
        <w:t xml:space="preserve"> </w:t>
      </w:r>
    </w:p>
  </w:footnote>
  <w:footnote w:id="6">
    <w:p w14:paraId="43B137EC" w14:textId="77777777" w:rsidR="00367E28" w:rsidRPr="009B21DC" w:rsidRDefault="00367E28" w:rsidP="00367E28">
      <w:pPr>
        <w:pStyle w:val="IPPFootnote"/>
        <w:jc w:val="left"/>
      </w:pPr>
      <w:r>
        <w:rPr>
          <w:rStyle w:val="FootnoteReference"/>
        </w:rPr>
        <w:footnoteRef/>
      </w:r>
      <w:r>
        <w:t xml:space="preserve"> </w:t>
      </w:r>
      <w:r w:rsidRPr="00392DDD">
        <w:t>2022-05 - Call for DP authors</w:t>
      </w:r>
      <w:r>
        <w:t xml:space="preserve">: </w:t>
      </w:r>
      <w:hyperlink r:id="rId6" w:anchor=":~:text=IPPC%20Diagnostic%20Protocols%20are%20developed,as%20part%20of%20phytosanitary%20measures" w:history="1">
        <w:r w:rsidRPr="000B51B5">
          <w:rPr>
            <w:rStyle w:val="Hyperlink"/>
          </w:rPr>
          <w:t>https://www.ippc.int/en/core-activities/standards-setting/calls-and-consultations/calls-for-dp-authors/#:~:text=IPPC%20Diagnostic%20Protocols%20are%20developed,as%20part%20of%20phytosanitary%20measures</w:t>
        </w:r>
      </w:hyperlink>
      <w:r w:rsidRPr="00392DDD">
        <w:t>.</w:t>
      </w:r>
    </w:p>
  </w:footnote>
  <w:footnote w:id="7">
    <w:p w14:paraId="00BB3739" w14:textId="77777777" w:rsidR="00367E28" w:rsidRPr="00CC4DF6" w:rsidRDefault="00367E28" w:rsidP="00367E28">
      <w:pPr>
        <w:pStyle w:val="IPPFootnote"/>
        <w:jc w:val="left"/>
        <w:rPr>
          <w:szCs w:val="20"/>
        </w:rPr>
      </w:pPr>
      <w:r>
        <w:rPr>
          <w:rStyle w:val="FootnoteReference"/>
        </w:rPr>
        <w:footnoteRef/>
      </w:r>
      <w:r>
        <w:t xml:space="preserve"> IPPC expert consultation on draft diagnostic protocols: </w:t>
      </w:r>
      <w:hyperlink r:id="rId7" w:history="1">
        <w:r w:rsidRPr="00CC40F6">
          <w:rPr>
            <w:rStyle w:val="Hyperlink"/>
            <w:szCs w:val="20"/>
          </w:rPr>
          <w:t>https://www.ippc.int/core-activities/expert-consultation-draft-diagnostic-protocols/</w:t>
        </w:r>
      </w:hyperlink>
    </w:p>
  </w:footnote>
  <w:footnote w:id="8">
    <w:p w14:paraId="29423B0F" w14:textId="77777777" w:rsidR="00367E28" w:rsidRPr="00116995" w:rsidRDefault="00367E28" w:rsidP="00367E28">
      <w:pPr>
        <w:pStyle w:val="IPPFootnote"/>
        <w:jc w:val="left"/>
      </w:pPr>
      <w:r>
        <w:rPr>
          <w:rStyle w:val="FootnoteReference"/>
        </w:rPr>
        <w:footnoteRef/>
      </w:r>
      <w:r>
        <w:t xml:space="preserve"> DP 30 </w:t>
      </w:r>
      <w:proofErr w:type="spellStart"/>
      <w:r w:rsidRPr="00116995">
        <w:rPr>
          <w:i/>
        </w:rPr>
        <w:t>Striga</w:t>
      </w:r>
      <w:proofErr w:type="spellEnd"/>
      <w:r>
        <w:t xml:space="preserve"> spp.: </w:t>
      </w:r>
      <w:hyperlink r:id="rId8" w:history="1">
        <w:r w:rsidRPr="00A43BBF">
          <w:rPr>
            <w:rStyle w:val="Hyperlink"/>
          </w:rPr>
          <w:t>https://www.ippc.int/en/publications/90164/</w:t>
        </w:r>
      </w:hyperlink>
      <w:r>
        <w:t xml:space="preserve"> </w:t>
      </w:r>
    </w:p>
  </w:footnote>
  <w:footnote w:id="9">
    <w:p w14:paraId="6CE06E83" w14:textId="77777777" w:rsidR="00367E28" w:rsidRPr="00116995" w:rsidRDefault="00367E28" w:rsidP="00367E28">
      <w:pPr>
        <w:pStyle w:val="IPPFootnote"/>
        <w:jc w:val="left"/>
      </w:pPr>
      <w:r>
        <w:rPr>
          <w:rStyle w:val="FootnoteReference"/>
        </w:rPr>
        <w:footnoteRef/>
      </w:r>
      <w:r>
        <w:t xml:space="preserve"> </w:t>
      </w:r>
      <w:r w:rsidRPr="00116995">
        <w:t>DP 31 ‘</w:t>
      </w:r>
      <w:proofErr w:type="spellStart"/>
      <w:r w:rsidRPr="00116995">
        <w:rPr>
          <w:i/>
        </w:rPr>
        <w:t>Candidatus</w:t>
      </w:r>
      <w:proofErr w:type="spellEnd"/>
      <w:r w:rsidRPr="00116995">
        <w:t xml:space="preserve"> </w:t>
      </w:r>
      <w:proofErr w:type="spellStart"/>
      <w:r w:rsidRPr="00116995">
        <w:t>Liberibacter</w:t>
      </w:r>
      <w:proofErr w:type="spellEnd"/>
      <w:r w:rsidRPr="00116995">
        <w:t xml:space="preserve">’ spp. on </w:t>
      </w:r>
      <w:r w:rsidRPr="00116995">
        <w:rPr>
          <w:i/>
        </w:rPr>
        <w:t>Citrus</w:t>
      </w:r>
      <w:r w:rsidRPr="00116995">
        <w:t xml:space="preserve"> spp.:</w:t>
      </w:r>
      <w:r>
        <w:t xml:space="preserve"> </w:t>
      </w:r>
      <w:hyperlink r:id="rId9" w:history="1">
        <w:r w:rsidRPr="00A43BBF">
          <w:rPr>
            <w:rStyle w:val="Hyperlink"/>
          </w:rPr>
          <w:t>https://www.ippc.int/en/publications/90935/</w:t>
        </w:r>
      </w:hyperlink>
      <w:r>
        <w:t xml:space="preserve"> </w:t>
      </w:r>
    </w:p>
  </w:footnote>
  <w:footnote w:id="10">
    <w:p w14:paraId="78FC888B" w14:textId="77777777" w:rsidR="00367E28" w:rsidRPr="00316E50" w:rsidRDefault="00367E28" w:rsidP="00367E28">
      <w:pPr>
        <w:pStyle w:val="IPPFootnote"/>
        <w:jc w:val="left"/>
      </w:pPr>
      <w:r w:rsidRPr="00FA5089">
        <w:rPr>
          <w:rStyle w:val="FootnoteReference"/>
        </w:rPr>
        <w:footnoteRef/>
      </w:r>
      <w:r w:rsidRPr="00FA5089">
        <w:t xml:space="preserve"> IPPC Diagnostic Protocols (DPs) drafting groups: </w:t>
      </w:r>
      <w:hyperlink r:id="rId10" w:history="1">
        <w:r w:rsidRPr="00FA5089">
          <w:rPr>
            <w:rStyle w:val="Hyperlink"/>
          </w:rPr>
          <w:t>https://www.ippc.int/en/publications/2582/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C0EE4" w14:textId="1EB1CE86" w:rsidR="00367E28" w:rsidRPr="00804746" w:rsidRDefault="00367E28" w:rsidP="00367E28">
    <w:pPr>
      <w:pStyle w:val="IPPHeader"/>
      <w:spacing w:after="0"/>
    </w:pPr>
    <w:r>
      <w:t>05_TPDP_Tel_2022_July</w:t>
    </w:r>
    <w:r w:rsidRPr="0079797C">
      <w:t xml:space="preserve"> </w:t>
    </w:r>
    <w:r>
      <w:t xml:space="preserve">   (5.4)                                                                              Update from IPPC Secretariat</w:t>
    </w:r>
  </w:p>
  <w:p w14:paraId="1083F73B" w14:textId="77777777" w:rsidR="00367E28" w:rsidRPr="00F42C07" w:rsidRDefault="00367E28" w:rsidP="00367E28">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15DA" w14:textId="77777777" w:rsidR="00367E28" w:rsidRPr="00804746" w:rsidRDefault="00367E28" w:rsidP="00367E28">
    <w:pPr>
      <w:pStyle w:val="IPPHeader"/>
      <w:spacing w:after="0"/>
    </w:pPr>
    <w:r w:rsidRPr="00C6789B">
      <w:t xml:space="preserve">Update on Diagnostic Laboratory Network </w:t>
    </w:r>
    <w:r>
      <w:t xml:space="preserve">                                                                      04_TPDP_Tel_2021_July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89239" w14:textId="00FC015A" w:rsidR="00367E28" w:rsidRPr="00BB763A" w:rsidRDefault="00367E28" w:rsidP="00D25117">
    <w:pPr>
      <w:pBdr>
        <w:bottom w:val="single" w:sz="4" w:space="4" w:color="auto"/>
      </w:pBdr>
      <w:tabs>
        <w:tab w:val="left" w:pos="1134"/>
        <w:tab w:val="right" w:pos="9072"/>
      </w:tabs>
      <w:spacing w:after="120"/>
      <w:jc w:val="left"/>
      <w:rPr>
        <w:rFonts w:ascii="Arial" w:hAnsi="Arial"/>
        <w:sz w:val="18"/>
        <w:lang w:val="en-US"/>
      </w:rPr>
    </w:pPr>
    <w:r w:rsidRPr="00BB763A">
      <w:rPr>
        <w:rFonts w:ascii="Arial" w:hAnsi="Arial"/>
        <w:noProof/>
        <w:sz w:val="18"/>
        <w:lang w:val="en-US"/>
      </w:rPr>
      <w:drawing>
        <wp:anchor distT="0" distB="0" distL="114300" distR="114300" simplePos="0" relativeHeight="251662336" behindDoc="0" locked="0" layoutInCell="1" allowOverlap="1" wp14:anchorId="21EE6721" wp14:editId="51F72F55">
          <wp:simplePos x="0" y="0"/>
          <wp:positionH relativeFrom="margin">
            <wp:posOffset>-912007</wp:posOffset>
          </wp:positionH>
          <wp:positionV relativeFrom="paragraph">
            <wp:posOffset>-527539</wp:posOffset>
          </wp:positionV>
          <wp:extent cx="7572375" cy="462915"/>
          <wp:effectExtent l="0" t="0" r="9525"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462915"/>
                  </a:xfrm>
                  <a:prstGeom prst="rect">
                    <a:avLst/>
                  </a:prstGeom>
                  <a:noFill/>
                </pic:spPr>
              </pic:pic>
            </a:graphicData>
          </a:graphic>
        </wp:anchor>
      </w:drawing>
    </w:r>
    <w:r w:rsidRPr="00BB763A">
      <w:rPr>
        <w:rFonts w:ascii="Arial" w:hAnsi="Arial"/>
        <w:noProof/>
        <w:sz w:val="18"/>
        <w:lang w:val="en-US"/>
      </w:rPr>
      <w:drawing>
        <wp:anchor distT="0" distB="0" distL="114300" distR="114300" simplePos="0" relativeHeight="251657216" behindDoc="0" locked="0" layoutInCell="1" allowOverlap="1" wp14:anchorId="12DFC1A0" wp14:editId="2D13C043">
          <wp:simplePos x="0" y="0"/>
          <wp:positionH relativeFrom="leftMargin">
            <wp:posOffset>886196</wp:posOffset>
          </wp:positionH>
          <wp:positionV relativeFrom="paragraph">
            <wp:posOffset>-15875</wp:posOffset>
          </wp:positionV>
          <wp:extent cx="632460" cy="321310"/>
          <wp:effectExtent l="0" t="0" r="0" b="2540"/>
          <wp:wrapSquare wrapText="bothSides"/>
          <wp:docPr id="9" name="Picture 2"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PCLogo"/>
                  <pic:cNvPicPr>
                    <a:picLocks noChangeAspect="1" noChangeArrowheads="1"/>
                  </pic:cNvPicPr>
                </pic:nvPicPr>
                <pic:blipFill>
                  <a:blip r:embed="rId2"/>
                  <a:srcRect/>
                  <a:stretch>
                    <a:fillRect/>
                  </a:stretch>
                </pic:blipFill>
                <pic:spPr bwMode="auto">
                  <a:xfrm>
                    <a:off x="0" y="0"/>
                    <a:ext cx="632460" cy="321310"/>
                  </a:xfrm>
                  <a:prstGeom prst="rect">
                    <a:avLst/>
                  </a:prstGeom>
                  <a:noFill/>
                </pic:spPr>
              </pic:pic>
            </a:graphicData>
          </a:graphic>
        </wp:anchor>
      </w:drawing>
    </w:r>
    <w:r w:rsidRPr="00BB763A">
      <w:rPr>
        <w:rFonts w:ascii="Arial" w:hAnsi="Arial"/>
        <w:sz w:val="18"/>
        <w:lang w:val="en-US"/>
      </w:rPr>
      <w:t>International Plant Protection Convention</w:t>
    </w:r>
    <w:r w:rsidRPr="00BB763A">
      <w:rPr>
        <w:rFonts w:ascii="Arial" w:hAnsi="Arial"/>
        <w:sz w:val="18"/>
        <w:lang w:val="en-US"/>
      </w:rPr>
      <w:tab/>
    </w:r>
    <w:r>
      <w:rPr>
        <w:rFonts w:ascii="Arial" w:hAnsi="Arial"/>
        <w:sz w:val="18"/>
        <w:lang w:val="en-US"/>
      </w:rPr>
      <w:t>05</w:t>
    </w:r>
    <w:r w:rsidRPr="00BB763A">
      <w:rPr>
        <w:rFonts w:ascii="Arial" w:hAnsi="Arial"/>
        <w:sz w:val="18"/>
        <w:lang w:val="en-US"/>
      </w:rPr>
      <w:t>_</w:t>
    </w:r>
    <w:r>
      <w:rPr>
        <w:rFonts w:ascii="Arial" w:hAnsi="Arial"/>
        <w:sz w:val="18"/>
        <w:lang w:val="en-US"/>
      </w:rPr>
      <w:t>TPDP_Tel_</w:t>
    </w:r>
    <w:r w:rsidRPr="00BB763A">
      <w:rPr>
        <w:rFonts w:ascii="Arial" w:hAnsi="Arial"/>
        <w:sz w:val="18"/>
        <w:lang w:val="en-US"/>
      </w:rPr>
      <w:t>20</w:t>
    </w:r>
    <w:r>
      <w:rPr>
        <w:rFonts w:ascii="Arial" w:hAnsi="Arial"/>
        <w:sz w:val="18"/>
        <w:lang w:val="en-US"/>
      </w:rPr>
      <w:t>22</w:t>
    </w:r>
    <w:r w:rsidRPr="00BB763A">
      <w:rPr>
        <w:rFonts w:ascii="Arial" w:hAnsi="Arial"/>
        <w:sz w:val="18"/>
        <w:lang w:val="en-US"/>
      </w:rPr>
      <w:t>_</w:t>
    </w:r>
    <w:r>
      <w:rPr>
        <w:rFonts w:ascii="Arial" w:hAnsi="Arial"/>
        <w:sz w:val="18"/>
        <w:lang w:val="en-US"/>
      </w:rPr>
      <w:t>Jul</w:t>
    </w:r>
    <w:r w:rsidRPr="00BB763A">
      <w:rPr>
        <w:rFonts w:ascii="Arial" w:hAnsi="Arial"/>
        <w:sz w:val="18"/>
        <w:lang w:val="en-US"/>
      </w:rPr>
      <w:br/>
    </w:r>
    <w:r>
      <w:rPr>
        <w:rFonts w:ascii="Arial" w:hAnsi="Arial"/>
        <w:i/>
        <w:iCs/>
        <w:sz w:val="18"/>
        <w:lang w:val="en-US"/>
      </w:rPr>
      <w:t>Update from IPPC Secretariat</w:t>
    </w:r>
    <w:r w:rsidRPr="00BB763A">
      <w:rPr>
        <w:rFonts w:ascii="Arial" w:hAnsi="Arial"/>
        <w:i/>
        <w:iCs/>
        <w:sz w:val="18"/>
        <w:lang w:val="en-US"/>
      </w:rPr>
      <w:tab/>
      <w:t xml:space="preserve">Agenda item: </w:t>
    </w:r>
    <w:r>
      <w:rPr>
        <w:rFonts w:ascii="Arial" w:hAnsi="Arial"/>
        <w:i/>
        <w:iCs/>
        <w:sz w:val="18"/>
        <w:lang w:val="en-US"/>
      </w:rPr>
      <w:t>5.4</w:t>
    </w:r>
  </w:p>
  <w:p w14:paraId="3E6E3B98" w14:textId="3C697920" w:rsidR="00367E28" w:rsidRPr="00D25117" w:rsidRDefault="00367E28" w:rsidP="00D25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CCC"/>
    <w:multiLevelType w:val="hybridMultilevel"/>
    <w:tmpl w:val="E214D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C0A6C"/>
    <w:multiLevelType w:val="multilevel"/>
    <w:tmpl w:val="06E871E4"/>
    <w:numStyleLink w:val="IPPParagraphnumberedlist"/>
  </w:abstractNum>
  <w:abstractNum w:abstractNumId="3"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8458F1"/>
    <w:multiLevelType w:val="multilevel"/>
    <w:tmpl w:val="D23E3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A3358"/>
    <w:multiLevelType w:val="hybridMultilevel"/>
    <w:tmpl w:val="447E2320"/>
    <w:lvl w:ilvl="0" w:tplc="FFFFFFFF">
      <w:start w:val="1"/>
      <w:numFmt w:val="decimal"/>
      <w:lvlText w:val="%1."/>
      <w:lvlJc w:val="left"/>
      <w:pPr>
        <w:ind w:left="720" w:hanging="360"/>
      </w:pPr>
      <w:rPr>
        <w:b/>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302A7A"/>
    <w:multiLevelType w:val="multilevel"/>
    <w:tmpl w:val="811A6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28A4589B"/>
    <w:multiLevelType w:val="multilevel"/>
    <w:tmpl w:val="F294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D472E6"/>
    <w:multiLevelType w:val="hybridMultilevel"/>
    <w:tmpl w:val="2C22A16E"/>
    <w:lvl w:ilvl="0" w:tplc="AB78AE4C">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1" w15:restartNumberingAfterBreak="0">
    <w:nsid w:val="3A7736D4"/>
    <w:multiLevelType w:val="hybridMultilevel"/>
    <w:tmpl w:val="1FF6AA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63E80134"/>
    <w:multiLevelType w:val="multilevel"/>
    <w:tmpl w:val="C70A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96A35"/>
    <w:multiLevelType w:val="hybridMultilevel"/>
    <w:tmpl w:val="816EF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717C8"/>
    <w:multiLevelType w:val="hybridMultilevel"/>
    <w:tmpl w:val="0E86A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6"/>
  </w:num>
  <w:num w:numId="3">
    <w:abstractNumId w:val="3"/>
  </w:num>
  <w:num w:numId="4">
    <w:abstractNumId w:val="2"/>
  </w:num>
  <w:num w:numId="5">
    <w:abstractNumId w:val="10"/>
  </w:num>
  <w:num w:numId="6">
    <w:abstractNumId w:val="19"/>
  </w:num>
  <w:num w:numId="7">
    <w:abstractNumId w:val="14"/>
  </w:num>
  <w:num w:numId="8">
    <w:abstractNumId w:val="12"/>
  </w:num>
  <w:num w:numId="9">
    <w:abstractNumId w:val="21"/>
  </w:num>
  <w:num w:numId="10">
    <w:abstractNumId w:val="7"/>
  </w:num>
  <w:num w:numId="11">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2">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3">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1"/>
  </w:num>
  <w:num w:numId="18">
    <w:abstractNumId w:val="13"/>
  </w:num>
  <w:num w:numId="19">
    <w:abstractNumId w:val="17"/>
  </w:num>
  <w:num w:numId="20">
    <w:abstractNumId w:val="1"/>
    <w:lvlOverride w:ilvl="0">
      <w:startOverride w:val="1"/>
    </w:lvlOverride>
  </w:num>
  <w:num w:numId="21">
    <w:abstractNumId w:val="6"/>
  </w:num>
  <w:num w:numId="22">
    <w:abstractNumId w:val="15"/>
  </w:num>
  <w:num w:numId="23">
    <w:abstractNumId w:val="4"/>
  </w:num>
  <w:num w:numId="24">
    <w:abstractNumId w:val="8"/>
  </w:num>
  <w:num w:numId="25">
    <w:abstractNumId w:val="5"/>
    <w:lvlOverride w:ilvl="0">
      <w:startOverride w:val="1"/>
    </w:lvlOverride>
    <w:lvlOverride w:ilvl="1"/>
    <w:lvlOverride w:ilvl="2"/>
    <w:lvlOverride w:ilvl="3"/>
    <w:lvlOverride w:ilvl="4"/>
    <w:lvlOverride w:ilvl="5"/>
    <w:lvlOverride w:ilvl="6"/>
    <w:lvlOverride w:ilvl="7"/>
    <w:lvlOverride w:ilvl="8"/>
  </w:num>
  <w:num w:numId="26">
    <w:abstractNumId w:val="18"/>
  </w:num>
  <w:num w:numId="27">
    <w:abstractNumId w:val="9"/>
  </w:num>
  <w:num w:numId="28">
    <w:abstractNumId w:val="2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BE" w:vendorID="64" w:dllVersion="131078" w:nlCheck="1" w:checkStyle="0"/>
  <w:activeWritingStyle w:appName="MSWord" w:lang="en-NZ" w:vendorID="64" w:dllVersion="131078" w:nlCheck="1" w:checkStyle="1"/>
  <w:activeWritingStyle w:appName="MSWord" w:lang="en-GB" w:vendorID="64" w:dllVersion="131078" w:nlCheck="1" w:checkStyle="1"/>
  <w:activeWritingStyle w:appName="MSWord" w:lang="es-AR" w:vendorID="64" w:dllVersion="131078" w:nlCheck="1" w:checkStyle="0"/>
  <w:activeWritingStyle w:appName="MSWord" w:lang="en-US" w:vendorID="64" w:dllVersion="131078" w:nlCheck="1" w:checkStyle="1"/>
  <w:proofState w:spelling="clean" w:grammar="clean"/>
  <w:attachedTemplate r:id="rId1"/>
  <w:linkStyle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yNDExNjczMjOzMDVX0lEKTi0uzszPAykwrAUA7uqPtiwAAAA="/>
  </w:docVars>
  <w:rsids>
    <w:rsidRoot w:val="00366F89"/>
    <w:rsid w:val="00000290"/>
    <w:rsid w:val="00010DE5"/>
    <w:rsid w:val="00011DDE"/>
    <w:rsid w:val="000129EE"/>
    <w:rsid w:val="00013770"/>
    <w:rsid w:val="00015157"/>
    <w:rsid w:val="000163D8"/>
    <w:rsid w:val="0002523A"/>
    <w:rsid w:val="00027E3D"/>
    <w:rsid w:val="00033AA8"/>
    <w:rsid w:val="000346FC"/>
    <w:rsid w:val="00035E77"/>
    <w:rsid w:val="00036D21"/>
    <w:rsid w:val="00036D2D"/>
    <w:rsid w:val="00037322"/>
    <w:rsid w:val="00037FC2"/>
    <w:rsid w:val="00042F5D"/>
    <w:rsid w:val="00043920"/>
    <w:rsid w:val="00043CE6"/>
    <w:rsid w:val="00046BC2"/>
    <w:rsid w:val="00057347"/>
    <w:rsid w:val="00061BD9"/>
    <w:rsid w:val="00061FCC"/>
    <w:rsid w:val="000627D5"/>
    <w:rsid w:val="00065B05"/>
    <w:rsid w:val="00067DA1"/>
    <w:rsid w:val="00075A79"/>
    <w:rsid w:val="00081C34"/>
    <w:rsid w:val="00083812"/>
    <w:rsid w:val="00083968"/>
    <w:rsid w:val="00083A7C"/>
    <w:rsid w:val="000873D7"/>
    <w:rsid w:val="0008748D"/>
    <w:rsid w:val="00090339"/>
    <w:rsid w:val="0009496A"/>
    <w:rsid w:val="00094FFF"/>
    <w:rsid w:val="000A0445"/>
    <w:rsid w:val="000A085B"/>
    <w:rsid w:val="000A372A"/>
    <w:rsid w:val="000A3B19"/>
    <w:rsid w:val="000A63C4"/>
    <w:rsid w:val="000B4B9C"/>
    <w:rsid w:val="000C2259"/>
    <w:rsid w:val="000C42ED"/>
    <w:rsid w:val="000C5FF8"/>
    <w:rsid w:val="000C67BA"/>
    <w:rsid w:val="000D47F2"/>
    <w:rsid w:val="000D4C80"/>
    <w:rsid w:val="000D751A"/>
    <w:rsid w:val="000E6FEA"/>
    <w:rsid w:val="000F5220"/>
    <w:rsid w:val="00100E98"/>
    <w:rsid w:val="00102906"/>
    <w:rsid w:val="00102F71"/>
    <w:rsid w:val="00104211"/>
    <w:rsid w:val="0010442A"/>
    <w:rsid w:val="00104B0E"/>
    <w:rsid w:val="00104C30"/>
    <w:rsid w:val="00110114"/>
    <w:rsid w:val="00113CE3"/>
    <w:rsid w:val="0011484D"/>
    <w:rsid w:val="0013368B"/>
    <w:rsid w:val="00134F83"/>
    <w:rsid w:val="00135F20"/>
    <w:rsid w:val="001366AE"/>
    <w:rsid w:val="00141BA4"/>
    <w:rsid w:val="001422D5"/>
    <w:rsid w:val="0014422A"/>
    <w:rsid w:val="00146E22"/>
    <w:rsid w:val="00150285"/>
    <w:rsid w:val="00150C76"/>
    <w:rsid w:val="001629B6"/>
    <w:rsid w:val="00163B82"/>
    <w:rsid w:val="00165B5C"/>
    <w:rsid w:val="001817F0"/>
    <w:rsid w:val="001823CB"/>
    <w:rsid w:val="001823F6"/>
    <w:rsid w:val="0018398C"/>
    <w:rsid w:val="00185624"/>
    <w:rsid w:val="0018714E"/>
    <w:rsid w:val="00191D30"/>
    <w:rsid w:val="00192752"/>
    <w:rsid w:val="00192BB0"/>
    <w:rsid w:val="00195845"/>
    <w:rsid w:val="001A395C"/>
    <w:rsid w:val="001A4FA2"/>
    <w:rsid w:val="001B6EDC"/>
    <w:rsid w:val="001C0FC7"/>
    <w:rsid w:val="001C4E56"/>
    <w:rsid w:val="001C7360"/>
    <w:rsid w:val="001D1061"/>
    <w:rsid w:val="001D36EC"/>
    <w:rsid w:val="001D4EE9"/>
    <w:rsid w:val="001E3C24"/>
    <w:rsid w:val="001E4E68"/>
    <w:rsid w:val="001E5C71"/>
    <w:rsid w:val="001F12C1"/>
    <w:rsid w:val="001F220B"/>
    <w:rsid w:val="001F44B9"/>
    <w:rsid w:val="00203211"/>
    <w:rsid w:val="00203D7D"/>
    <w:rsid w:val="00203EEF"/>
    <w:rsid w:val="00204779"/>
    <w:rsid w:val="002065DA"/>
    <w:rsid w:val="002067F7"/>
    <w:rsid w:val="00213DDE"/>
    <w:rsid w:val="00216A70"/>
    <w:rsid w:val="00221FF8"/>
    <w:rsid w:val="002251C4"/>
    <w:rsid w:val="00230965"/>
    <w:rsid w:val="00231803"/>
    <w:rsid w:val="002330E1"/>
    <w:rsid w:val="0023391E"/>
    <w:rsid w:val="00234917"/>
    <w:rsid w:val="002422EA"/>
    <w:rsid w:val="00243BF7"/>
    <w:rsid w:val="00245531"/>
    <w:rsid w:val="00252836"/>
    <w:rsid w:val="002573B2"/>
    <w:rsid w:val="00260893"/>
    <w:rsid w:val="00262E36"/>
    <w:rsid w:val="00262F51"/>
    <w:rsid w:val="00264632"/>
    <w:rsid w:val="00265465"/>
    <w:rsid w:val="00275DF3"/>
    <w:rsid w:val="00282BD0"/>
    <w:rsid w:val="00282D64"/>
    <w:rsid w:val="002843A8"/>
    <w:rsid w:val="00295576"/>
    <w:rsid w:val="00297FEB"/>
    <w:rsid w:val="002A459F"/>
    <w:rsid w:val="002A4731"/>
    <w:rsid w:val="002A6CC9"/>
    <w:rsid w:val="002A7BB2"/>
    <w:rsid w:val="002B0734"/>
    <w:rsid w:val="002B42B6"/>
    <w:rsid w:val="002B756F"/>
    <w:rsid w:val="002B7CF5"/>
    <w:rsid w:val="002C1154"/>
    <w:rsid w:val="002C2692"/>
    <w:rsid w:val="002C4673"/>
    <w:rsid w:val="002C544B"/>
    <w:rsid w:val="002C6744"/>
    <w:rsid w:val="002D1179"/>
    <w:rsid w:val="002D353C"/>
    <w:rsid w:val="002E0CA9"/>
    <w:rsid w:val="002E12F0"/>
    <w:rsid w:val="002E36A0"/>
    <w:rsid w:val="002E3975"/>
    <w:rsid w:val="002E5FA9"/>
    <w:rsid w:val="002E6250"/>
    <w:rsid w:val="002E7AA3"/>
    <w:rsid w:val="002E7E75"/>
    <w:rsid w:val="002F1C37"/>
    <w:rsid w:val="002F4973"/>
    <w:rsid w:val="002F4A2B"/>
    <w:rsid w:val="00300380"/>
    <w:rsid w:val="00302327"/>
    <w:rsid w:val="0030242C"/>
    <w:rsid w:val="003036CA"/>
    <w:rsid w:val="0030536C"/>
    <w:rsid w:val="00305746"/>
    <w:rsid w:val="00310891"/>
    <w:rsid w:val="003119DA"/>
    <w:rsid w:val="003138B8"/>
    <w:rsid w:val="003168CF"/>
    <w:rsid w:val="00320051"/>
    <w:rsid w:val="00320121"/>
    <w:rsid w:val="00320ACF"/>
    <w:rsid w:val="00320E52"/>
    <w:rsid w:val="003362CE"/>
    <w:rsid w:val="00337546"/>
    <w:rsid w:val="0034127E"/>
    <w:rsid w:val="003423BD"/>
    <w:rsid w:val="003443A4"/>
    <w:rsid w:val="00345775"/>
    <w:rsid w:val="00351867"/>
    <w:rsid w:val="00351CAA"/>
    <w:rsid w:val="00355192"/>
    <w:rsid w:val="00357E22"/>
    <w:rsid w:val="00361C41"/>
    <w:rsid w:val="00364938"/>
    <w:rsid w:val="00364C75"/>
    <w:rsid w:val="00366ED6"/>
    <w:rsid w:val="00366F89"/>
    <w:rsid w:val="00367E28"/>
    <w:rsid w:val="00370024"/>
    <w:rsid w:val="0037274C"/>
    <w:rsid w:val="00376F4E"/>
    <w:rsid w:val="0037794D"/>
    <w:rsid w:val="00377C66"/>
    <w:rsid w:val="003821EB"/>
    <w:rsid w:val="00387076"/>
    <w:rsid w:val="00397838"/>
    <w:rsid w:val="003A355D"/>
    <w:rsid w:val="003A35A6"/>
    <w:rsid w:val="003A3E03"/>
    <w:rsid w:val="003B698D"/>
    <w:rsid w:val="003B78B3"/>
    <w:rsid w:val="003C08D0"/>
    <w:rsid w:val="003C0E8B"/>
    <w:rsid w:val="003C2D79"/>
    <w:rsid w:val="003C4272"/>
    <w:rsid w:val="003C75D7"/>
    <w:rsid w:val="003E06B5"/>
    <w:rsid w:val="003E18AC"/>
    <w:rsid w:val="003E2F61"/>
    <w:rsid w:val="003E5A3E"/>
    <w:rsid w:val="003F6FF9"/>
    <w:rsid w:val="00402D73"/>
    <w:rsid w:val="004117A1"/>
    <w:rsid w:val="0041219D"/>
    <w:rsid w:val="004127A5"/>
    <w:rsid w:val="004142B9"/>
    <w:rsid w:val="00416FC9"/>
    <w:rsid w:val="00417456"/>
    <w:rsid w:val="00417521"/>
    <w:rsid w:val="004179F5"/>
    <w:rsid w:val="00422FE3"/>
    <w:rsid w:val="00427913"/>
    <w:rsid w:val="00437FE4"/>
    <w:rsid w:val="00440BA6"/>
    <w:rsid w:val="00444C39"/>
    <w:rsid w:val="00445DEC"/>
    <w:rsid w:val="004464A4"/>
    <w:rsid w:val="00450EE3"/>
    <w:rsid w:val="0045256F"/>
    <w:rsid w:val="00452F03"/>
    <w:rsid w:val="00452F57"/>
    <w:rsid w:val="00454846"/>
    <w:rsid w:val="00454E22"/>
    <w:rsid w:val="00461083"/>
    <w:rsid w:val="00462ADE"/>
    <w:rsid w:val="00464277"/>
    <w:rsid w:val="004675A7"/>
    <w:rsid w:val="0047128C"/>
    <w:rsid w:val="00474ED1"/>
    <w:rsid w:val="0047513D"/>
    <w:rsid w:val="00477E25"/>
    <w:rsid w:val="0048092E"/>
    <w:rsid w:val="00483043"/>
    <w:rsid w:val="004840F7"/>
    <w:rsid w:val="00486159"/>
    <w:rsid w:val="004935F0"/>
    <w:rsid w:val="00494513"/>
    <w:rsid w:val="004A1F59"/>
    <w:rsid w:val="004A5078"/>
    <w:rsid w:val="004A5081"/>
    <w:rsid w:val="004A6170"/>
    <w:rsid w:val="004A7132"/>
    <w:rsid w:val="004C03D2"/>
    <w:rsid w:val="004C213D"/>
    <w:rsid w:val="004C39FA"/>
    <w:rsid w:val="004C7683"/>
    <w:rsid w:val="004D1966"/>
    <w:rsid w:val="004D2F1F"/>
    <w:rsid w:val="004D4879"/>
    <w:rsid w:val="004E11C2"/>
    <w:rsid w:val="004E1859"/>
    <w:rsid w:val="004E22E6"/>
    <w:rsid w:val="004E26E0"/>
    <w:rsid w:val="004E379A"/>
    <w:rsid w:val="004E3D40"/>
    <w:rsid w:val="004E64CF"/>
    <w:rsid w:val="004E671E"/>
    <w:rsid w:val="004F037F"/>
    <w:rsid w:val="004F0A73"/>
    <w:rsid w:val="004F4289"/>
    <w:rsid w:val="004F469E"/>
    <w:rsid w:val="00506474"/>
    <w:rsid w:val="00506D1A"/>
    <w:rsid w:val="00506FA8"/>
    <w:rsid w:val="00510A94"/>
    <w:rsid w:val="00511F1B"/>
    <w:rsid w:val="00513714"/>
    <w:rsid w:val="0051574A"/>
    <w:rsid w:val="005165BC"/>
    <w:rsid w:val="005250A6"/>
    <w:rsid w:val="00527773"/>
    <w:rsid w:val="00530C8C"/>
    <w:rsid w:val="0053336C"/>
    <w:rsid w:val="00540435"/>
    <w:rsid w:val="00541104"/>
    <w:rsid w:val="00541171"/>
    <w:rsid w:val="00541A2C"/>
    <w:rsid w:val="00541B07"/>
    <w:rsid w:val="005559BE"/>
    <w:rsid w:val="00555B00"/>
    <w:rsid w:val="0056230F"/>
    <w:rsid w:val="00566F0D"/>
    <w:rsid w:val="00571095"/>
    <w:rsid w:val="00571D92"/>
    <w:rsid w:val="005745F1"/>
    <w:rsid w:val="005770C9"/>
    <w:rsid w:val="00577FA6"/>
    <w:rsid w:val="005826B8"/>
    <w:rsid w:val="00586425"/>
    <w:rsid w:val="00586B63"/>
    <w:rsid w:val="00590DE5"/>
    <w:rsid w:val="005937D6"/>
    <w:rsid w:val="005938DB"/>
    <w:rsid w:val="00595D57"/>
    <w:rsid w:val="00595DA3"/>
    <w:rsid w:val="005A5504"/>
    <w:rsid w:val="005B29E6"/>
    <w:rsid w:val="005B7977"/>
    <w:rsid w:val="005C2761"/>
    <w:rsid w:val="005C2DE6"/>
    <w:rsid w:val="005D2310"/>
    <w:rsid w:val="005D5D4C"/>
    <w:rsid w:val="005D5D64"/>
    <w:rsid w:val="005E15B9"/>
    <w:rsid w:val="005E3D42"/>
    <w:rsid w:val="005E43C3"/>
    <w:rsid w:val="005F77F7"/>
    <w:rsid w:val="0060643B"/>
    <w:rsid w:val="006112CB"/>
    <w:rsid w:val="0061341E"/>
    <w:rsid w:val="00620603"/>
    <w:rsid w:val="006249C2"/>
    <w:rsid w:val="00624BB1"/>
    <w:rsid w:val="00625515"/>
    <w:rsid w:val="00626540"/>
    <w:rsid w:val="00626F53"/>
    <w:rsid w:val="0062780E"/>
    <w:rsid w:val="00627812"/>
    <w:rsid w:val="00631865"/>
    <w:rsid w:val="00643513"/>
    <w:rsid w:val="00645FD1"/>
    <w:rsid w:val="0064645D"/>
    <w:rsid w:val="00651AAD"/>
    <w:rsid w:val="006529E8"/>
    <w:rsid w:val="00652D63"/>
    <w:rsid w:val="006652FC"/>
    <w:rsid w:val="006670C8"/>
    <w:rsid w:val="006713DB"/>
    <w:rsid w:val="006746B1"/>
    <w:rsid w:val="006764BA"/>
    <w:rsid w:val="0067689A"/>
    <w:rsid w:val="00676C7E"/>
    <w:rsid w:val="00680860"/>
    <w:rsid w:val="00681AE5"/>
    <w:rsid w:val="006827E8"/>
    <w:rsid w:val="0069144C"/>
    <w:rsid w:val="0069154A"/>
    <w:rsid w:val="006A010C"/>
    <w:rsid w:val="006A034A"/>
    <w:rsid w:val="006A3D39"/>
    <w:rsid w:val="006A582D"/>
    <w:rsid w:val="006B16EB"/>
    <w:rsid w:val="006B2C4C"/>
    <w:rsid w:val="006B3981"/>
    <w:rsid w:val="006C02F4"/>
    <w:rsid w:val="006C263A"/>
    <w:rsid w:val="006D08D2"/>
    <w:rsid w:val="006D7EBC"/>
    <w:rsid w:val="006E1F85"/>
    <w:rsid w:val="006E2C79"/>
    <w:rsid w:val="006E5634"/>
    <w:rsid w:val="006E6D34"/>
    <w:rsid w:val="006E6FDF"/>
    <w:rsid w:val="006F056B"/>
    <w:rsid w:val="006F4592"/>
    <w:rsid w:val="006F5F43"/>
    <w:rsid w:val="00702552"/>
    <w:rsid w:val="007061B0"/>
    <w:rsid w:val="0071081A"/>
    <w:rsid w:val="007160C4"/>
    <w:rsid w:val="00720855"/>
    <w:rsid w:val="007208F6"/>
    <w:rsid w:val="007240DB"/>
    <w:rsid w:val="00724EFF"/>
    <w:rsid w:val="0072518B"/>
    <w:rsid w:val="00725371"/>
    <w:rsid w:val="00726783"/>
    <w:rsid w:val="00727018"/>
    <w:rsid w:val="00733968"/>
    <w:rsid w:val="00746633"/>
    <w:rsid w:val="00750E3B"/>
    <w:rsid w:val="00754472"/>
    <w:rsid w:val="00755CA0"/>
    <w:rsid w:val="00755FF0"/>
    <w:rsid w:val="007562A7"/>
    <w:rsid w:val="00756CCE"/>
    <w:rsid w:val="00757DF7"/>
    <w:rsid w:val="00762E09"/>
    <w:rsid w:val="007646CA"/>
    <w:rsid w:val="0077402E"/>
    <w:rsid w:val="00774E86"/>
    <w:rsid w:val="007752FD"/>
    <w:rsid w:val="007801AE"/>
    <w:rsid w:val="00780F8A"/>
    <w:rsid w:val="00781371"/>
    <w:rsid w:val="007855F1"/>
    <w:rsid w:val="00790BD0"/>
    <w:rsid w:val="00791F41"/>
    <w:rsid w:val="00794501"/>
    <w:rsid w:val="00794A6F"/>
    <w:rsid w:val="007952C0"/>
    <w:rsid w:val="007A3FD6"/>
    <w:rsid w:val="007B08B3"/>
    <w:rsid w:val="007B15E6"/>
    <w:rsid w:val="007B24FB"/>
    <w:rsid w:val="007B5BA7"/>
    <w:rsid w:val="007B65C0"/>
    <w:rsid w:val="007B7D77"/>
    <w:rsid w:val="007C2B89"/>
    <w:rsid w:val="007C69A6"/>
    <w:rsid w:val="007D0493"/>
    <w:rsid w:val="007D287F"/>
    <w:rsid w:val="007D2AA0"/>
    <w:rsid w:val="007D2D4B"/>
    <w:rsid w:val="007D3B83"/>
    <w:rsid w:val="007D3E6B"/>
    <w:rsid w:val="007D5AAD"/>
    <w:rsid w:val="007D67C5"/>
    <w:rsid w:val="007D6841"/>
    <w:rsid w:val="007E2FE5"/>
    <w:rsid w:val="007E4E5E"/>
    <w:rsid w:val="007E5D64"/>
    <w:rsid w:val="007E673F"/>
    <w:rsid w:val="007F5DDD"/>
    <w:rsid w:val="008001B1"/>
    <w:rsid w:val="0080172E"/>
    <w:rsid w:val="00802151"/>
    <w:rsid w:val="00805C9E"/>
    <w:rsid w:val="00807E96"/>
    <w:rsid w:val="00810039"/>
    <w:rsid w:val="008129FA"/>
    <w:rsid w:val="0081530D"/>
    <w:rsid w:val="008167B5"/>
    <w:rsid w:val="00817645"/>
    <w:rsid w:val="00817DD9"/>
    <w:rsid w:val="00821290"/>
    <w:rsid w:val="00825DB7"/>
    <w:rsid w:val="00830782"/>
    <w:rsid w:val="008321DD"/>
    <w:rsid w:val="008327B8"/>
    <w:rsid w:val="00835520"/>
    <w:rsid w:val="00842572"/>
    <w:rsid w:val="00842B7F"/>
    <w:rsid w:val="0084425A"/>
    <w:rsid w:val="00845CAE"/>
    <w:rsid w:val="00850CBB"/>
    <w:rsid w:val="00852C67"/>
    <w:rsid w:val="00855D14"/>
    <w:rsid w:val="00856C0F"/>
    <w:rsid w:val="00857AE7"/>
    <w:rsid w:val="00862D29"/>
    <w:rsid w:val="00870D26"/>
    <w:rsid w:val="0087369D"/>
    <w:rsid w:val="00873961"/>
    <w:rsid w:val="008749A0"/>
    <w:rsid w:val="0087611C"/>
    <w:rsid w:val="0088393A"/>
    <w:rsid w:val="0088697F"/>
    <w:rsid w:val="00890205"/>
    <w:rsid w:val="00893EF5"/>
    <w:rsid w:val="00895D38"/>
    <w:rsid w:val="008A1709"/>
    <w:rsid w:val="008A253E"/>
    <w:rsid w:val="008B6B39"/>
    <w:rsid w:val="008C1266"/>
    <w:rsid w:val="008C51C1"/>
    <w:rsid w:val="008D12BE"/>
    <w:rsid w:val="008D27DE"/>
    <w:rsid w:val="008D32AC"/>
    <w:rsid w:val="008E2258"/>
    <w:rsid w:val="008E411C"/>
    <w:rsid w:val="008F6D75"/>
    <w:rsid w:val="008F73E8"/>
    <w:rsid w:val="00900542"/>
    <w:rsid w:val="00916BC1"/>
    <w:rsid w:val="00916ED2"/>
    <w:rsid w:val="009219CD"/>
    <w:rsid w:val="00922E9F"/>
    <w:rsid w:val="00924E20"/>
    <w:rsid w:val="009253EB"/>
    <w:rsid w:val="00927821"/>
    <w:rsid w:val="0093003D"/>
    <w:rsid w:val="00934050"/>
    <w:rsid w:val="00945E3C"/>
    <w:rsid w:val="00952EBB"/>
    <w:rsid w:val="0095323F"/>
    <w:rsid w:val="009544E5"/>
    <w:rsid w:val="00960DEC"/>
    <w:rsid w:val="00964B08"/>
    <w:rsid w:val="00965878"/>
    <w:rsid w:val="00975267"/>
    <w:rsid w:val="009763FC"/>
    <w:rsid w:val="00976739"/>
    <w:rsid w:val="009802DB"/>
    <w:rsid w:val="00982832"/>
    <w:rsid w:val="00984F82"/>
    <w:rsid w:val="00986ABA"/>
    <w:rsid w:val="00987360"/>
    <w:rsid w:val="0099066C"/>
    <w:rsid w:val="00990AD3"/>
    <w:rsid w:val="00990B8C"/>
    <w:rsid w:val="00995D56"/>
    <w:rsid w:val="009A04A0"/>
    <w:rsid w:val="009A1BE3"/>
    <w:rsid w:val="009B4CD7"/>
    <w:rsid w:val="009B7758"/>
    <w:rsid w:val="009C00C3"/>
    <w:rsid w:val="009C7747"/>
    <w:rsid w:val="009D00B0"/>
    <w:rsid w:val="009D092E"/>
    <w:rsid w:val="009D3DBC"/>
    <w:rsid w:val="009E2A1C"/>
    <w:rsid w:val="009E36B7"/>
    <w:rsid w:val="009E6639"/>
    <w:rsid w:val="00A00A71"/>
    <w:rsid w:val="00A00D31"/>
    <w:rsid w:val="00A04F20"/>
    <w:rsid w:val="00A05BD7"/>
    <w:rsid w:val="00A0722C"/>
    <w:rsid w:val="00A11283"/>
    <w:rsid w:val="00A11624"/>
    <w:rsid w:val="00A15BC2"/>
    <w:rsid w:val="00A248C7"/>
    <w:rsid w:val="00A25F09"/>
    <w:rsid w:val="00A322A9"/>
    <w:rsid w:val="00A372A5"/>
    <w:rsid w:val="00A41343"/>
    <w:rsid w:val="00A470BA"/>
    <w:rsid w:val="00A47CC2"/>
    <w:rsid w:val="00A50E0C"/>
    <w:rsid w:val="00A534B0"/>
    <w:rsid w:val="00A57373"/>
    <w:rsid w:val="00A611A6"/>
    <w:rsid w:val="00A625DA"/>
    <w:rsid w:val="00A632BC"/>
    <w:rsid w:val="00A63D2A"/>
    <w:rsid w:val="00A66F3F"/>
    <w:rsid w:val="00A679CF"/>
    <w:rsid w:val="00A7060D"/>
    <w:rsid w:val="00A713F0"/>
    <w:rsid w:val="00A7260D"/>
    <w:rsid w:val="00A75786"/>
    <w:rsid w:val="00A75B14"/>
    <w:rsid w:val="00A75C6A"/>
    <w:rsid w:val="00A760BA"/>
    <w:rsid w:val="00A8098B"/>
    <w:rsid w:val="00A87E27"/>
    <w:rsid w:val="00A91AC9"/>
    <w:rsid w:val="00A9466A"/>
    <w:rsid w:val="00A94764"/>
    <w:rsid w:val="00AA03A5"/>
    <w:rsid w:val="00AA34E5"/>
    <w:rsid w:val="00AB0673"/>
    <w:rsid w:val="00AB564F"/>
    <w:rsid w:val="00AB5867"/>
    <w:rsid w:val="00AC08C3"/>
    <w:rsid w:val="00AC67A7"/>
    <w:rsid w:val="00AD070B"/>
    <w:rsid w:val="00AD14D5"/>
    <w:rsid w:val="00AD2213"/>
    <w:rsid w:val="00AE0557"/>
    <w:rsid w:val="00AE3AE5"/>
    <w:rsid w:val="00AE4936"/>
    <w:rsid w:val="00AE723B"/>
    <w:rsid w:val="00AE74B9"/>
    <w:rsid w:val="00AF2CA7"/>
    <w:rsid w:val="00AF6AB2"/>
    <w:rsid w:val="00AF7138"/>
    <w:rsid w:val="00B001AB"/>
    <w:rsid w:val="00B02C51"/>
    <w:rsid w:val="00B0521A"/>
    <w:rsid w:val="00B13D82"/>
    <w:rsid w:val="00B14CF5"/>
    <w:rsid w:val="00B31E29"/>
    <w:rsid w:val="00B35FF7"/>
    <w:rsid w:val="00B4098F"/>
    <w:rsid w:val="00B42F58"/>
    <w:rsid w:val="00B459E4"/>
    <w:rsid w:val="00B46B6D"/>
    <w:rsid w:val="00B4731F"/>
    <w:rsid w:val="00B630B9"/>
    <w:rsid w:val="00B63967"/>
    <w:rsid w:val="00B63F48"/>
    <w:rsid w:val="00B65F45"/>
    <w:rsid w:val="00B70364"/>
    <w:rsid w:val="00B70483"/>
    <w:rsid w:val="00B74456"/>
    <w:rsid w:val="00B75A96"/>
    <w:rsid w:val="00B75DA8"/>
    <w:rsid w:val="00B75E24"/>
    <w:rsid w:val="00B7771B"/>
    <w:rsid w:val="00B84266"/>
    <w:rsid w:val="00B84544"/>
    <w:rsid w:val="00B845F5"/>
    <w:rsid w:val="00B86B66"/>
    <w:rsid w:val="00B97221"/>
    <w:rsid w:val="00BA20D7"/>
    <w:rsid w:val="00BA23E1"/>
    <w:rsid w:val="00BB0649"/>
    <w:rsid w:val="00BD0733"/>
    <w:rsid w:val="00BD09B1"/>
    <w:rsid w:val="00BD2792"/>
    <w:rsid w:val="00BD7D5A"/>
    <w:rsid w:val="00BE0E00"/>
    <w:rsid w:val="00BE16F6"/>
    <w:rsid w:val="00BE57A6"/>
    <w:rsid w:val="00BF70A1"/>
    <w:rsid w:val="00C01605"/>
    <w:rsid w:val="00C017D1"/>
    <w:rsid w:val="00C036A3"/>
    <w:rsid w:val="00C13329"/>
    <w:rsid w:val="00C14D09"/>
    <w:rsid w:val="00C21000"/>
    <w:rsid w:val="00C2164B"/>
    <w:rsid w:val="00C21DB9"/>
    <w:rsid w:val="00C22588"/>
    <w:rsid w:val="00C2296D"/>
    <w:rsid w:val="00C23254"/>
    <w:rsid w:val="00C257F2"/>
    <w:rsid w:val="00C30D17"/>
    <w:rsid w:val="00C31647"/>
    <w:rsid w:val="00C325BE"/>
    <w:rsid w:val="00C3317D"/>
    <w:rsid w:val="00C342A2"/>
    <w:rsid w:val="00C34843"/>
    <w:rsid w:val="00C34EDA"/>
    <w:rsid w:val="00C42B6F"/>
    <w:rsid w:val="00C4305B"/>
    <w:rsid w:val="00C530F2"/>
    <w:rsid w:val="00C546F2"/>
    <w:rsid w:val="00C5497A"/>
    <w:rsid w:val="00C615C7"/>
    <w:rsid w:val="00C64032"/>
    <w:rsid w:val="00C70AC4"/>
    <w:rsid w:val="00C75C50"/>
    <w:rsid w:val="00C75FC4"/>
    <w:rsid w:val="00C77CE6"/>
    <w:rsid w:val="00C77F4D"/>
    <w:rsid w:val="00C86247"/>
    <w:rsid w:val="00C919D5"/>
    <w:rsid w:val="00C92618"/>
    <w:rsid w:val="00C93A19"/>
    <w:rsid w:val="00CB026C"/>
    <w:rsid w:val="00CB02BC"/>
    <w:rsid w:val="00CC0968"/>
    <w:rsid w:val="00CC50D7"/>
    <w:rsid w:val="00CD2B3C"/>
    <w:rsid w:val="00CD5A03"/>
    <w:rsid w:val="00CD5E87"/>
    <w:rsid w:val="00CD6764"/>
    <w:rsid w:val="00CE2430"/>
    <w:rsid w:val="00CE775E"/>
    <w:rsid w:val="00CF0558"/>
    <w:rsid w:val="00CF1718"/>
    <w:rsid w:val="00CF3ACA"/>
    <w:rsid w:val="00CF60E3"/>
    <w:rsid w:val="00D02D43"/>
    <w:rsid w:val="00D0360B"/>
    <w:rsid w:val="00D11C84"/>
    <w:rsid w:val="00D1477A"/>
    <w:rsid w:val="00D15CA7"/>
    <w:rsid w:val="00D17CE1"/>
    <w:rsid w:val="00D21549"/>
    <w:rsid w:val="00D22372"/>
    <w:rsid w:val="00D223FF"/>
    <w:rsid w:val="00D226CA"/>
    <w:rsid w:val="00D25117"/>
    <w:rsid w:val="00D26868"/>
    <w:rsid w:val="00D338BA"/>
    <w:rsid w:val="00D3408E"/>
    <w:rsid w:val="00D4426A"/>
    <w:rsid w:val="00D44919"/>
    <w:rsid w:val="00D45612"/>
    <w:rsid w:val="00D53A39"/>
    <w:rsid w:val="00D55F1B"/>
    <w:rsid w:val="00D5653B"/>
    <w:rsid w:val="00D57848"/>
    <w:rsid w:val="00D61477"/>
    <w:rsid w:val="00D62355"/>
    <w:rsid w:val="00D65271"/>
    <w:rsid w:val="00D67AA2"/>
    <w:rsid w:val="00D70BB6"/>
    <w:rsid w:val="00D71A3E"/>
    <w:rsid w:val="00D73ED8"/>
    <w:rsid w:val="00D77D3D"/>
    <w:rsid w:val="00D841F3"/>
    <w:rsid w:val="00D84A8F"/>
    <w:rsid w:val="00D87871"/>
    <w:rsid w:val="00D91477"/>
    <w:rsid w:val="00D92B1E"/>
    <w:rsid w:val="00D9483C"/>
    <w:rsid w:val="00D95CD6"/>
    <w:rsid w:val="00D97B75"/>
    <w:rsid w:val="00DB0C3E"/>
    <w:rsid w:val="00DB2583"/>
    <w:rsid w:val="00DB525B"/>
    <w:rsid w:val="00DB5702"/>
    <w:rsid w:val="00DB6C7E"/>
    <w:rsid w:val="00DC104B"/>
    <w:rsid w:val="00DC13E7"/>
    <w:rsid w:val="00DD5EB4"/>
    <w:rsid w:val="00DD5F3F"/>
    <w:rsid w:val="00DD775E"/>
    <w:rsid w:val="00DD7902"/>
    <w:rsid w:val="00DE4930"/>
    <w:rsid w:val="00DF2B9D"/>
    <w:rsid w:val="00DF363C"/>
    <w:rsid w:val="00DF3E15"/>
    <w:rsid w:val="00DF601E"/>
    <w:rsid w:val="00E0383A"/>
    <w:rsid w:val="00E03A13"/>
    <w:rsid w:val="00E046AE"/>
    <w:rsid w:val="00E07D2D"/>
    <w:rsid w:val="00E1221B"/>
    <w:rsid w:val="00E13918"/>
    <w:rsid w:val="00E15094"/>
    <w:rsid w:val="00E16452"/>
    <w:rsid w:val="00E16BD6"/>
    <w:rsid w:val="00E178F8"/>
    <w:rsid w:val="00E20CCD"/>
    <w:rsid w:val="00E210D1"/>
    <w:rsid w:val="00E218DE"/>
    <w:rsid w:val="00E23AD6"/>
    <w:rsid w:val="00E26874"/>
    <w:rsid w:val="00E26F9C"/>
    <w:rsid w:val="00E27823"/>
    <w:rsid w:val="00E31546"/>
    <w:rsid w:val="00E32177"/>
    <w:rsid w:val="00E3271F"/>
    <w:rsid w:val="00E35C84"/>
    <w:rsid w:val="00E36940"/>
    <w:rsid w:val="00E371B4"/>
    <w:rsid w:val="00E37956"/>
    <w:rsid w:val="00E429F1"/>
    <w:rsid w:val="00E4436E"/>
    <w:rsid w:val="00E45B48"/>
    <w:rsid w:val="00E47047"/>
    <w:rsid w:val="00E515B1"/>
    <w:rsid w:val="00E612D3"/>
    <w:rsid w:val="00E6275B"/>
    <w:rsid w:val="00E659ED"/>
    <w:rsid w:val="00E65FFE"/>
    <w:rsid w:val="00E667B1"/>
    <w:rsid w:val="00E77CBA"/>
    <w:rsid w:val="00E805D9"/>
    <w:rsid w:val="00E81676"/>
    <w:rsid w:val="00E820FE"/>
    <w:rsid w:val="00E87981"/>
    <w:rsid w:val="00E90B36"/>
    <w:rsid w:val="00E97556"/>
    <w:rsid w:val="00EA2119"/>
    <w:rsid w:val="00EA2ECC"/>
    <w:rsid w:val="00EA3415"/>
    <w:rsid w:val="00EA7DBF"/>
    <w:rsid w:val="00EB0257"/>
    <w:rsid w:val="00EB1CBF"/>
    <w:rsid w:val="00EB7566"/>
    <w:rsid w:val="00EB7783"/>
    <w:rsid w:val="00EC6B67"/>
    <w:rsid w:val="00ED0ED7"/>
    <w:rsid w:val="00ED1C1E"/>
    <w:rsid w:val="00ED3F65"/>
    <w:rsid w:val="00EE081C"/>
    <w:rsid w:val="00EE14E2"/>
    <w:rsid w:val="00EE663D"/>
    <w:rsid w:val="00EE6F69"/>
    <w:rsid w:val="00EF2FFC"/>
    <w:rsid w:val="00EF3ADD"/>
    <w:rsid w:val="00EF4550"/>
    <w:rsid w:val="00EF6BEA"/>
    <w:rsid w:val="00F01531"/>
    <w:rsid w:val="00F05EAD"/>
    <w:rsid w:val="00F06ADD"/>
    <w:rsid w:val="00F11061"/>
    <w:rsid w:val="00F13987"/>
    <w:rsid w:val="00F13EAD"/>
    <w:rsid w:val="00F140F6"/>
    <w:rsid w:val="00F210F7"/>
    <w:rsid w:val="00F256DE"/>
    <w:rsid w:val="00F31B67"/>
    <w:rsid w:val="00F31E8B"/>
    <w:rsid w:val="00F404B1"/>
    <w:rsid w:val="00F46716"/>
    <w:rsid w:val="00F4695A"/>
    <w:rsid w:val="00F47015"/>
    <w:rsid w:val="00F51986"/>
    <w:rsid w:val="00F61B21"/>
    <w:rsid w:val="00F62D09"/>
    <w:rsid w:val="00F63FC4"/>
    <w:rsid w:val="00F646B8"/>
    <w:rsid w:val="00F72291"/>
    <w:rsid w:val="00F736D0"/>
    <w:rsid w:val="00F750F1"/>
    <w:rsid w:val="00F7694C"/>
    <w:rsid w:val="00F83E30"/>
    <w:rsid w:val="00F90C6F"/>
    <w:rsid w:val="00F96883"/>
    <w:rsid w:val="00F97471"/>
    <w:rsid w:val="00F979E1"/>
    <w:rsid w:val="00F97BDE"/>
    <w:rsid w:val="00FA3299"/>
    <w:rsid w:val="00FA346C"/>
    <w:rsid w:val="00FA5ECD"/>
    <w:rsid w:val="00FB01E7"/>
    <w:rsid w:val="00FB1462"/>
    <w:rsid w:val="00FB2B39"/>
    <w:rsid w:val="00FB72FD"/>
    <w:rsid w:val="00FC1598"/>
    <w:rsid w:val="00FC2C62"/>
    <w:rsid w:val="00FC4EC9"/>
    <w:rsid w:val="00FC6260"/>
    <w:rsid w:val="00FC72C0"/>
    <w:rsid w:val="00FD1B13"/>
    <w:rsid w:val="00FD5BED"/>
    <w:rsid w:val="00FE0B56"/>
    <w:rsid w:val="00FE3A73"/>
    <w:rsid w:val="00FE6311"/>
    <w:rsid w:val="00FF0C88"/>
    <w:rsid w:val="00FF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3E427"/>
  <w15:chartTrackingRefBased/>
  <w15:docId w15:val="{C8FD244F-E4B8-4A33-AE89-62AA63B6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E75"/>
    <w:pPr>
      <w:spacing w:after="0" w:line="240" w:lineRule="auto"/>
      <w:jc w:val="both"/>
    </w:pPr>
    <w:rPr>
      <w:rFonts w:ascii="Times New Roman" w:eastAsia="MS Mincho" w:hAnsi="Times New Roman" w:cs="Times New Roman"/>
      <w:szCs w:val="24"/>
      <w:lang w:val="en-GB"/>
    </w:rPr>
  </w:style>
  <w:style w:type="paragraph" w:styleId="Heading1">
    <w:name w:val="heading 1"/>
    <w:basedOn w:val="Normal"/>
    <w:next w:val="Normal"/>
    <w:link w:val="Heading1Char"/>
    <w:qFormat/>
    <w:rsid w:val="002E7E75"/>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2E7E75"/>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2E7E75"/>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E75"/>
    <w:pPr>
      <w:spacing w:line="240" w:lineRule="atLeast"/>
      <w:ind w:leftChars="400" w:left="800"/>
    </w:pPr>
    <w:rPr>
      <w:rFonts w:ascii="Verdana" w:eastAsia="Times New Roman" w:hAnsi="Verdana"/>
      <w:sz w:val="20"/>
      <w:lang w:val="nl-NL" w:eastAsia="nl-NL"/>
    </w:rPr>
  </w:style>
  <w:style w:type="paragraph" w:styleId="Header">
    <w:name w:val="header"/>
    <w:basedOn w:val="Normal"/>
    <w:link w:val="HeaderChar"/>
    <w:rsid w:val="002E7E75"/>
    <w:pPr>
      <w:tabs>
        <w:tab w:val="center" w:pos="4680"/>
        <w:tab w:val="right" w:pos="9360"/>
      </w:tabs>
    </w:pPr>
  </w:style>
  <w:style w:type="character" w:customStyle="1" w:styleId="HeaderChar">
    <w:name w:val="Header Char"/>
    <w:basedOn w:val="DefaultParagraphFont"/>
    <w:link w:val="Header"/>
    <w:rsid w:val="002E7E75"/>
    <w:rPr>
      <w:rFonts w:ascii="Times New Roman" w:eastAsia="MS Mincho" w:hAnsi="Times New Roman" w:cs="Times New Roman"/>
      <w:szCs w:val="24"/>
      <w:lang w:val="en-GB"/>
    </w:rPr>
  </w:style>
  <w:style w:type="paragraph" w:styleId="Footer">
    <w:name w:val="footer"/>
    <w:basedOn w:val="Normal"/>
    <w:link w:val="FooterChar"/>
    <w:rsid w:val="002E7E75"/>
    <w:pPr>
      <w:tabs>
        <w:tab w:val="center" w:pos="4680"/>
        <w:tab w:val="right" w:pos="9360"/>
      </w:tabs>
    </w:pPr>
  </w:style>
  <w:style w:type="character" w:customStyle="1" w:styleId="FooterChar">
    <w:name w:val="Footer Char"/>
    <w:basedOn w:val="DefaultParagraphFont"/>
    <w:link w:val="Footer"/>
    <w:rsid w:val="002E7E75"/>
    <w:rPr>
      <w:rFonts w:ascii="Times New Roman" w:eastAsia="MS Mincho" w:hAnsi="Times New Roman" w:cs="Times New Roman"/>
      <w:szCs w:val="24"/>
      <w:lang w:val="en-GB"/>
    </w:rPr>
  </w:style>
  <w:style w:type="paragraph" w:customStyle="1" w:styleId="IPPHeader">
    <w:name w:val="IPP Header"/>
    <w:basedOn w:val="Normal"/>
    <w:qFormat/>
    <w:rsid w:val="002E7E75"/>
    <w:pPr>
      <w:pBdr>
        <w:bottom w:val="single" w:sz="4" w:space="4" w:color="auto"/>
      </w:pBdr>
      <w:tabs>
        <w:tab w:val="left" w:pos="1134"/>
        <w:tab w:val="right" w:pos="9072"/>
      </w:tabs>
      <w:spacing w:after="120"/>
      <w:jc w:val="left"/>
    </w:pPr>
    <w:rPr>
      <w:rFonts w:ascii="Arial" w:hAnsi="Arial"/>
      <w:sz w:val="18"/>
      <w:lang w:val="en-US"/>
    </w:rPr>
  </w:style>
  <w:style w:type="paragraph" w:customStyle="1" w:styleId="IPPFooter">
    <w:name w:val="IPP Footer"/>
    <w:basedOn w:val="IPPHeader"/>
    <w:next w:val="PlainText"/>
    <w:qFormat/>
    <w:rsid w:val="002E7E75"/>
    <w:pPr>
      <w:pBdr>
        <w:top w:val="single" w:sz="4" w:space="4" w:color="auto"/>
        <w:bottom w:val="none" w:sz="0" w:space="0" w:color="auto"/>
      </w:pBdr>
      <w:tabs>
        <w:tab w:val="clear" w:pos="1134"/>
      </w:tabs>
      <w:jc w:val="right"/>
    </w:pPr>
    <w:rPr>
      <w:b/>
    </w:rPr>
  </w:style>
  <w:style w:type="character" w:styleId="PageNumber">
    <w:name w:val="page number"/>
    <w:rsid w:val="002E7E75"/>
    <w:rPr>
      <w:rFonts w:ascii="Arial" w:hAnsi="Arial"/>
      <w:b/>
      <w:sz w:val="18"/>
    </w:rPr>
  </w:style>
  <w:style w:type="paragraph" w:styleId="PlainText">
    <w:name w:val="Plain Text"/>
    <w:basedOn w:val="Normal"/>
    <w:link w:val="PlainTextChar"/>
    <w:uiPriority w:val="99"/>
    <w:unhideWhenUsed/>
    <w:rsid w:val="002E7E75"/>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2E7E75"/>
    <w:rPr>
      <w:rFonts w:ascii="Courier" w:eastAsia="Times" w:hAnsi="Courier" w:cs="Times New Roman"/>
      <w:sz w:val="21"/>
      <w:szCs w:val="21"/>
      <w:lang w:val="en-AU"/>
    </w:rPr>
  </w:style>
  <w:style w:type="character" w:customStyle="1" w:styleId="Heading1Char">
    <w:name w:val="Heading 1 Char"/>
    <w:basedOn w:val="DefaultParagraphFont"/>
    <w:link w:val="Heading1"/>
    <w:rsid w:val="002E7E75"/>
    <w:rPr>
      <w:rFonts w:ascii="Times New Roman" w:eastAsia="MS Mincho" w:hAnsi="Times New Roman" w:cs="Times New Roman"/>
      <w:b/>
      <w:bCs/>
      <w:szCs w:val="24"/>
      <w:lang w:val="en-GB"/>
    </w:rPr>
  </w:style>
  <w:style w:type="character" w:customStyle="1" w:styleId="Heading2Char">
    <w:name w:val="Heading 2 Char"/>
    <w:basedOn w:val="DefaultParagraphFont"/>
    <w:link w:val="Heading2"/>
    <w:rsid w:val="002E7E75"/>
    <w:rPr>
      <w:rFonts w:ascii="Calibri" w:eastAsia="MS Mincho" w:hAnsi="Calibri" w:cs="Times New Roman"/>
      <w:b/>
      <w:bCs/>
      <w:i/>
      <w:iCs/>
      <w:sz w:val="28"/>
      <w:szCs w:val="28"/>
      <w:lang w:val="en-GB"/>
    </w:rPr>
  </w:style>
  <w:style w:type="character" w:customStyle="1" w:styleId="Heading3Char">
    <w:name w:val="Heading 3 Char"/>
    <w:basedOn w:val="DefaultParagraphFont"/>
    <w:link w:val="Heading3"/>
    <w:rsid w:val="002E7E75"/>
    <w:rPr>
      <w:rFonts w:ascii="Calibri" w:eastAsia="MS Mincho" w:hAnsi="Calibri" w:cs="Times New Roman"/>
      <w:b/>
      <w:bCs/>
      <w:sz w:val="26"/>
      <w:szCs w:val="26"/>
      <w:lang w:val="en-GB"/>
    </w:rPr>
  </w:style>
  <w:style w:type="paragraph" w:styleId="FootnoteText">
    <w:name w:val="footnote text"/>
    <w:basedOn w:val="Normal"/>
    <w:link w:val="FootnoteTextChar"/>
    <w:semiHidden/>
    <w:rsid w:val="002E7E75"/>
    <w:pPr>
      <w:spacing w:before="60"/>
    </w:pPr>
    <w:rPr>
      <w:sz w:val="20"/>
    </w:rPr>
  </w:style>
  <w:style w:type="character" w:customStyle="1" w:styleId="FootnoteTextChar">
    <w:name w:val="Footnote Text Char"/>
    <w:basedOn w:val="DefaultParagraphFont"/>
    <w:link w:val="FootnoteText"/>
    <w:semiHidden/>
    <w:rsid w:val="002E7E75"/>
    <w:rPr>
      <w:rFonts w:ascii="Times New Roman" w:eastAsia="MS Mincho" w:hAnsi="Times New Roman" w:cs="Times New Roman"/>
      <w:sz w:val="20"/>
      <w:szCs w:val="24"/>
      <w:lang w:val="en-GB"/>
    </w:rPr>
  </w:style>
  <w:style w:type="character" w:styleId="FootnoteReference">
    <w:name w:val="footnote reference"/>
    <w:aliases w:val="16 Point,Superscript 6 Point,Ref,de nota al pie,Footnote Reference1,Ref1,de nota al pie1,註腳內容,de nota al pie + (Asian) MS Mincho,11 pt"/>
    <w:basedOn w:val="DefaultParagraphFont"/>
    <w:rsid w:val="002E7E75"/>
    <w:rPr>
      <w:vertAlign w:val="superscript"/>
    </w:rPr>
  </w:style>
  <w:style w:type="paragraph" w:customStyle="1" w:styleId="Style">
    <w:name w:val="Style"/>
    <w:basedOn w:val="Footer"/>
    <w:autoRedefine/>
    <w:qFormat/>
    <w:rsid w:val="002E7E75"/>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customStyle="1" w:styleId="IPPArialFootnote">
    <w:name w:val="IPP Arial Footnote"/>
    <w:basedOn w:val="IPPArialTable"/>
    <w:qFormat/>
    <w:rsid w:val="002E7E75"/>
    <w:pPr>
      <w:tabs>
        <w:tab w:val="left" w:pos="28"/>
      </w:tabs>
      <w:ind w:left="284" w:hanging="284"/>
    </w:pPr>
    <w:rPr>
      <w:sz w:val="16"/>
    </w:rPr>
  </w:style>
  <w:style w:type="paragraph" w:customStyle="1" w:styleId="IPPContentsHead">
    <w:name w:val="IPP ContentsHead"/>
    <w:basedOn w:val="IPPSubhead"/>
    <w:next w:val="IPPNormal"/>
    <w:qFormat/>
    <w:rsid w:val="002E7E75"/>
    <w:pPr>
      <w:spacing w:after="240"/>
    </w:pPr>
    <w:rPr>
      <w:sz w:val="24"/>
    </w:rPr>
  </w:style>
  <w:style w:type="table" w:styleId="TableGrid">
    <w:name w:val="Table Grid"/>
    <w:basedOn w:val="TableNormal"/>
    <w:rsid w:val="002E7E75"/>
    <w:pPr>
      <w:spacing w:after="0" w:line="240" w:lineRule="auto"/>
    </w:pPr>
    <w:rPr>
      <w:rFonts w:ascii="Cambria" w:eastAsia="MS Mincho" w:hAnsi="Cambria"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E7E75"/>
    <w:rPr>
      <w:rFonts w:ascii="Tahoma" w:hAnsi="Tahoma" w:cs="Tahoma"/>
      <w:sz w:val="16"/>
      <w:szCs w:val="16"/>
    </w:rPr>
  </w:style>
  <w:style w:type="character" w:customStyle="1" w:styleId="BalloonTextChar">
    <w:name w:val="Balloon Text Char"/>
    <w:basedOn w:val="DefaultParagraphFont"/>
    <w:link w:val="BalloonText"/>
    <w:rsid w:val="002E7E75"/>
    <w:rPr>
      <w:rFonts w:ascii="Tahoma" w:eastAsia="MS Mincho" w:hAnsi="Tahoma" w:cs="Tahoma"/>
      <w:sz w:val="16"/>
      <w:szCs w:val="16"/>
      <w:lang w:val="en-GB"/>
    </w:rPr>
  </w:style>
  <w:style w:type="paragraph" w:customStyle="1" w:styleId="IPPBullet2">
    <w:name w:val="IPP Bullet2"/>
    <w:basedOn w:val="IPPNormal"/>
    <w:next w:val="IPPBullet1"/>
    <w:qFormat/>
    <w:rsid w:val="002E7E75"/>
    <w:pPr>
      <w:numPr>
        <w:numId w:val="6"/>
      </w:numPr>
      <w:tabs>
        <w:tab w:val="left" w:pos="1134"/>
      </w:tabs>
      <w:spacing w:after="60"/>
      <w:ind w:left="1134" w:hanging="567"/>
    </w:pPr>
  </w:style>
  <w:style w:type="paragraph" w:customStyle="1" w:styleId="IPPQuote">
    <w:name w:val="IPP Quote"/>
    <w:basedOn w:val="IPPNormal"/>
    <w:qFormat/>
    <w:rsid w:val="002E7E75"/>
    <w:pPr>
      <w:ind w:left="851" w:right="851"/>
    </w:pPr>
    <w:rPr>
      <w:sz w:val="18"/>
    </w:rPr>
  </w:style>
  <w:style w:type="paragraph" w:customStyle="1" w:styleId="IPPNormal">
    <w:name w:val="IPP Normal"/>
    <w:basedOn w:val="Normal"/>
    <w:link w:val="IPPNormalChar"/>
    <w:qFormat/>
    <w:rsid w:val="002E7E75"/>
    <w:pPr>
      <w:spacing w:after="180"/>
    </w:pPr>
    <w:rPr>
      <w:rFonts w:eastAsia="Times"/>
    </w:rPr>
  </w:style>
  <w:style w:type="paragraph" w:customStyle="1" w:styleId="IPPIndentClose">
    <w:name w:val="IPP Indent Close"/>
    <w:basedOn w:val="IPPNormal"/>
    <w:qFormat/>
    <w:rsid w:val="002E7E75"/>
    <w:pPr>
      <w:tabs>
        <w:tab w:val="left" w:pos="2835"/>
      </w:tabs>
      <w:spacing w:after="60"/>
      <w:ind w:left="567"/>
    </w:pPr>
  </w:style>
  <w:style w:type="paragraph" w:customStyle="1" w:styleId="IPPIndent">
    <w:name w:val="IPP Indent"/>
    <w:basedOn w:val="IPPIndentClose"/>
    <w:qFormat/>
    <w:rsid w:val="002E7E75"/>
    <w:pPr>
      <w:spacing w:after="180"/>
    </w:pPr>
  </w:style>
  <w:style w:type="paragraph" w:customStyle="1" w:styleId="IPPFootnote">
    <w:name w:val="IPP Footnote"/>
    <w:basedOn w:val="IPPArialFootnote"/>
    <w:qFormat/>
    <w:rsid w:val="002E7E75"/>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2E7E75"/>
    <w:pPr>
      <w:keepNext/>
      <w:tabs>
        <w:tab w:val="left" w:pos="567"/>
      </w:tabs>
      <w:spacing w:before="120" w:after="120"/>
      <w:ind w:left="567" w:hanging="567"/>
    </w:pPr>
    <w:rPr>
      <w:b/>
      <w:i/>
    </w:rPr>
  </w:style>
  <w:style w:type="character" w:customStyle="1" w:styleId="IPPnormalitalics">
    <w:name w:val="IPP normal italics"/>
    <w:basedOn w:val="DefaultParagraphFont"/>
    <w:rsid w:val="002E7E75"/>
    <w:rPr>
      <w:rFonts w:ascii="Times New Roman" w:hAnsi="Times New Roman"/>
      <w:i/>
      <w:sz w:val="22"/>
      <w:lang w:val="en-US"/>
    </w:rPr>
  </w:style>
  <w:style w:type="character" w:customStyle="1" w:styleId="IPPNormalbold">
    <w:name w:val="IPP Normal bold"/>
    <w:basedOn w:val="PlainTextChar"/>
    <w:rsid w:val="002E7E75"/>
    <w:rPr>
      <w:rFonts w:ascii="Times New Roman" w:eastAsia="Times" w:hAnsi="Times New Roman" w:cs="Times New Roman"/>
      <w:b/>
      <w:sz w:val="22"/>
      <w:szCs w:val="21"/>
      <w:lang w:val="en-AU"/>
    </w:rPr>
  </w:style>
  <w:style w:type="paragraph" w:customStyle="1" w:styleId="IPPHeadSection">
    <w:name w:val="IPP HeadSection"/>
    <w:basedOn w:val="Normal"/>
    <w:next w:val="Normal"/>
    <w:qFormat/>
    <w:rsid w:val="002E7E75"/>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2E7E75"/>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2E7E75"/>
    <w:pPr>
      <w:keepNext/>
      <w:ind w:left="567" w:hanging="567"/>
      <w:jc w:val="left"/>
    </w:pPr>
    <w:rPr>
      <w:b/>
      <w:bCs/>
      <w:iCs/>
      <w:szCs w:val="22"/>
    </w:rPr>
  </w:style>
  <w:style w:type="character" w:customStyle="1" w:styleId="IPPNormalunderlined">
    <w:name w:val="IPP Normal underlined"/>
    <w:basedOn w:val="DefaultParagraphFont"/>
    <w:rsid w:val="002E7E75"/>
    <w:rPr>
      <w:rFonts w:ascii="Times New Roman" w:hAnsi="Times New Roman"/>
      <w:sz w:val="22"/>
      <w:u w:val="single"/>
      <w:lang w:val="en-US"/>
    </w:rPr>
  </w:style>
  <w:style w:type="paragraph" w:customStyle="1" w:styleId="IPPBullet1">
    <w:name w:val="IPP Bullet1"/>
    <w:basedOn w:val="IPPBullet1Last"/>
    <w:qFormat/>
    <w:rsid w:val="002E7E75"/>
    <w:pPr>
      <w:numPr>
        <w:numId w:val="19"/>
      </w:numPr>
      <w:spacing w:after="60"/>
      <w:ind w:left="567" w:hanging="567"/>
    </w:pPr>
    <w:rPr>
      <w:lang w:val="en-US"/>
    </w:rPr>
  </w:style>
  <w:style w:type="paragraph" w:customStyle="1" w:styleId="IPPBullet1Last">
    <w:name w:val="IPP Bullet1Last"/>
    <w:basedOn w:val="IPPNormal"/>
    <w:next w:val="IPPNormal"/>
    <w:autoRedefine/>
    <w:qFormat/>
    <w:rsid w:val="002E7E75"/>
    <w:pPr>
      <w:numPr>
        <w:numId w:val="7"/>
      </w:numPr>
    </w:pPr>
  </w:style>
  <w:style w:type="character" w:customStyle="1" w:styleId="IPPNormalstrikethrough">
    <w:name w:val="IPP Normal strikethrough"/>
    <w:rsid w:val="002E7E75"/>
    <w:rPr>
      <w:rFonts w:ascii="Times New Roman" w:hAnsi="Times New Roman"/>
      <w:strike/>
      <w:dstrike w:val="0"/>
      <w:sz w:val="22"/>
    </w:rPr>
  </w:style>
  <w:style w:type="paragraph" w:customStyle="1" w:styleId="IPPTitle16pt">
    <w:name w:val="IPP Title16pt"/>
    <w:basedOn w:val="Normal"/>
    <w:qFormat/>
    <w:rsid w:val="002E7E75"/>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2E7E75"/>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2E7E75"/>
    <w:pPr>
      <w:keepNext/>
      <w:tabs>
        <w:tab w:val="left" w:pos="567"/>
      </w:tabs>
      <w:spacing w:before="120"/>
      <w:jc w:val="left"/>
      <w:outlineLvl w:val="1"/>
    </w:pPr>
    <w:rPr>
      <w:b/>
      <w:sz w:val="24"/>
    </w:rPr>
  </w:style>
  <w:style w:type="numbering" w:customStyle="1" w:styleId="IPPParagraphnumberedlist">
    <w:name w:val="IPP Paragraph numbered list"/>
    <w:rsid w:val="002E7E75"/>
    <w:pPr>
      <w:numPr>
        <w:numId w:val="5"/>
      </w:numPr>
    </w:pPr>
  </w:style>
  <w:style w:type="paragraph" w:customStyle="1" w:styleId="IPPNormalCloseSpace">
    <w:name w:val="IPP NormalCloseSpace"/>
    <w:basedOn w:val="Normal"/>
    <w:qFormat/>
    <w:rsid w:val="002E7E75"/>
    <w:pPr>
      <w:keepNext/>
      <w:spacing w:after="60"/>
    </w:pPr>
  </w:style>
  <w:style w:type="paragraph" w:customStyle="1" w:styleId="IPPHeading2">
    <w:name w:val="IPP Heading2"/>
    <w:basedOn w:val="IPPNormal"/>
    <w:next w:val="IPPNormal"/>
    <w:qFormat/>
    <w:rsid w:val="002E7E75"/>
    <w:pPr>
      <w:keepNext/>
      <w:tabs>
        <w:tab w:val="left" w:pos="567"/>
      </w:tabs>
      <w:spacing w:before="120" w:after="120"/>
      <w:ind w:left="567" w:hanging="567"/>
      <w:jc w:val="left"/>
      <w:outlineLvl w:val="2"/>
    </w:pPr>
    <w:rPr>
      <w:b/>
      <w:sz w:val="24"/>
    </w:rPr>
  </w:style>
  <w:style w:type="paragraph" w:styleId="TOC1">
    <w:name w:val="toc 1"/>
    <w:basedOn w:val="IPPNormalCloseSpace"/>
    <w:next w:val="Normal"/>
    <w:autoRedefine/>
    <w:uiPriority w:val="39"/>
    <w:rsid w:val="002E7E75"/>
    <w:pPr>
      <w:tabs>
        <w:tab w:val="right" w:leader="dot" w:pos="9072"/>
      </w:tabs>
      <w:spacing w:before="240"/>
      <w:ind w:left="567" w:hanging="567"/>
    </w:pPr>
  </w:style>
  <w:style w:type="paragraph" w:styleId="TOC2">
    <w:name w:val="toc 2"/>
    <w:basedOn w:val="TOC1"/>
    <w:next w:val="Normal"/>
    <w:autoRedefine/>
    <w:uiPriority w:val="39"/>
    <w:rsid w:val="002E7E75"/>
    <w:pPr>
      <w:keepNext w:val="0"/>
      <w:tabs>
        <w:tab w:val="left" w:pos="425"/>
      </w:tabs>
      <w:spacing w:before="120" w:after="0"/>
      <w:ind w:left="425" w:right="284" w:hanging="425"/>
    </w:pPr>
  </w:style>
  <w:style w:type="paragraph" w:styleId="TOC3">
    <w:name w:val="toc 3"/>
    <w:basedOn w:val="TOC2"/>
    <w:next w:val="Normal"/>
    <w:autoRedefine/>
    <w:uiPriority w:val="39"/>
    <w:rsid w:val="002E7E75"/>
    <w:pPr>
      <w:tabs>
        <w:tab w:val="left" w:pos="1276"/>
      </w:tabs>
      <w:spacing w:before="60"/>
      <w:ind w:left="1276" w:hanging="851"/>
    </w:pPr>
    <w:rPr>
      <w:rFonts w:eastAsia="Times"/>
    </w:rPr>
  </w:style>
  <w:style w:type="paragraph" w:styleId="TOC4">
    <w:name w:val="toc 4"/>
    <w:basedOn w:val="Normal"/>
    <w:next w:val="Normal"/>
    <w:autoRedefine/>
    <w:uiPriority w:val="39"/>
    <w:rsid w:val="002E7E75"/>
    <w:pPr>
      <w:spacing w:after="120"/>
      <w:ind w:left="660"/>
    </w:pPr>
    <w:rPr>
      <w:rFonts w:eastAsia="Times"/>
      <w:lang w:val="en-AU"/>
    </w:rPr>
  </w:style>
  <w:style w:type="paragraph" w:styleId="TOC5">
    <w:name w:val="toc 5"/>
    <w:basedOn w:val="Normal"/>
    <w:next w:val="Normal"/>
    <w:autoRedefine/>
    <w:uiPriority w:val="39"/>
    <w:rsid w:val="002E7E75"/>
    <w:pPr>
      <w:spacing w:after="120"/>
      <w:ind w:left="880"/>
    </w:pPr>
    <w:rPr>
      <w:rFonts w:eastAsia="Times"/>
      <w:lang w:val="en-AU"/>
    </w:rPr>
  </w:style>
  <w:style w:type="paragraph" w:styleId="TOC6">
    <w:name w:val="toc 6"/>
    <w:basedOn w:val="Normal"/>
    <w:next w:val="Normal"/>
    <w:autoRedefine/>
    <w:uiPriority w:val="39"/>
    <w:rsid w:val="002E7E75"/>
    <w:pPr>
      <w:spacing w:after="120"/>
      <w:ind w:left="1100"/>
    </w:pPr>
    <w:rPr>
      <w:rFonts w:eastAsia="Times"/>
      <w:lang w:val="en-AU"/>
    </w:rPr>
  </w:style>
  <w:style w:type="paragraph" w:styleId="TOC7">
    <w:name w:val="toc 7"/>
    <w:basedOn w:val="Normal"/>
    <w:next w:val="Normal"/>
    <w:autoRedefine/>
    <w:uiPriority w:val="39"/>
    <w:rsid w:val="002E7E75"/>
    <w:pPr>
      <w:spacing w:after="120"/>
      <w:ind w:left="1320"/>
    </w:pPr>
    <w:rPr>
      <w:rFonts w:eastAsia="Times"/>
      <w:lang w:val="en-AU"/>
    </w:rPr>
  </w:style>
  <w:style w:type="paragraph" w:styleId="TOC8">
    <w:name w:val="toc 8"/>
    <w:basedOn w:val="Normal"/>
    <w:next w:val="Normal"/>
    <w:autoRedefine/>
    <w:uiPriority w:val="39"/>
    <w:rsid w:val="002E7E75"/>
    <w:pPr>
      <w:spacing w:after="120"/>
      <w:ind w:left="1540"/>
    </w:pPr>
    <w:rPr>
      <w:rFonts w:eastAsia="Times"/>
      <w:lang w:val="en-AU"/>
    </w:rPr>
  </w:style>
  <w:style w:type="paragraph" w:styleId="TOC9">
    <w:name w:val="toc 9"/>
    <w:basedOn w:val="Normal"/>
    <w:next w:val="Normal"/>
    <w:autoRedefine/>
    <w:uiPriority w:val="39"/>
    <w:rsid w:val="002E7E75"/>
    <w:pPr>
      <w:spacing w:after="120"/>
      <w:ind w:left="1760"/>
    </w:pPr>
    <w:rPr>
      <w:rFonts w:eastAsia="Times"/>
      <w:lang w:val="en-AU"/>
    </w:rPr>
  </w:style>
  <w:style w:type="paragraph" w:customStyle="1" w:styleId="IPPReferences">
    <w:name w:val="IPP References"/>
    <w:basedOn w:val="IPPNormal"/>
    <w:qFormat/>
    <w:rsid w:val="002E7E75"/>
    <w:pPr>
      <w:spacing w:after="60"/>
      <w:ind w:left="567" w:hanging="567"/>
    </w:pPr>
  </w:style>
  <w:style w:type="paragraph" w:customStyle="1" w:styleId="IPPArial">
    <w:name w:val="IPP Arial"/>
    <w:basedOn w:val="IPPNormal"/>
    <w:qFormat/>
    <w:rsid w:val="002E7E75"/>
    <w:pPr>
      <w:spacing w:after="0"/>
    </w:pPr>
    <w:rPr>
      <w:rFonts w:ascii="Arial" w:hAnsi="Arial"/>
      <w:sz w:val="18"/>
    </w:rPr>
  </w:style>
  <w:style w:type="paragraph" w:customStyle="1" w:styleId="IPPArialTable">
    <w:name w:val="IPP Arial Table"/>
    <w:basedOn w:val="IPPArial"/>
    <w:qFormat/>
    <w:rsid w:val="002E7E75"/>
    <w:pPr>
      <w:spacing w:before="60" w:after="60"/>
      <w:jc w:val="left"/>
    </w:pPr>
  </w:style>
  <w:style w:type="paragraph" w:customStyle="1" w:styleId="IPPHeaderlandscape">
    <w:name w:val="IPP Header landscape"/>
    <w:basedOn w:val="IPPHeader"/>
    <w:qFormat/>
    <w:rsid w:val="002E7E75"/>
    <w:pPr>
      <w:pBdr>
        <w:bottom w:val="single" w:sz="4" w:space="1" w:color="auto"/>
      </w:pBdr>
      <w:tabs>
        <w:tab w:val="clear" w:pos="9072"/>
        <w:tab w:val="right" w:pos="14034"/>
      </w:tabs>
      <w:spacing w:after="0"/>
      <w:ind w:right="-32"/>
    </w:pPr>
    <w:rPr>
      <w:noProof/>
    </w:rPr>
  </w:style>
  <w:style w:type="paragraph" w:customStyle="1" w:styleId="IPPLetterList">
    <w:name w:val="IPP LetterList"/>
    <w:basedOn w:val="IPPBullet2"/>
    <w:qFormat/>
    <w:rsid w:val="002E7E75"/>
    <w:pPr>
      <w:numPr>
        <w:numId w:val="2"/>
      </w:numPr>
      <w:jc w:val="left"/>
    </w:pPr>
  </w:style>
  <w:style w:type="paragraph" w:customStyle="1" w:styleId="IPPLetterListIndent">
    <w:name w:val="IPP LetterList Indent"/>
    <w:basedOn w:val="IPPLetterList"/>
    <w:qFormat/>
    <w:rsid w:val="002E7E75"/>
    <w:pPr>
      <w:numPr>
        <w:numId w:val="3"/>
      </w:numPr>
    </w:pPr>
  </w:style>
  <w:style w:type="paragraph" w:customStyle="1" w:styleId="IPPFooterLandscape">
    <w:name w:val="IPP Footer Landscape"/>
    <w:basedOn w:val="IPPHeaderlandscape"/>
    <w:qFormat/>
    <w:rsid w:val="002E7E75"/>
    <w:pPr>
      <w:pBdr>
        <w:top w:val="single" w:sz="4" w:space="1" w:color="auto"/>
        <w:bottom w:val="none" w:sz="0" w:space="0" w:color="auto"/>
      </w:pBdr>
      <w:jc w:val="right"/>
    </w:pPr>
    <w:rPr>
      <w:b/>
    </w:rPr>
  </w:style>
  <w:style w:type="paragraph" w:customStyle="1" w:styleId="IPPSubheadSpace">
    <w:name w:val="IPP Subhead Space"/>
    <w:basedOn w:val="IPPSubhead"/>
    <w:qFormat/>
    <w:rsid w:val="002E7E75"/>
    <w:pPr>
      <w:tabs>
        <w:tab w:val="left" w:pos="567"/>
      </w:tabs>
      <w:spacing w:before="60" w:after="60"/>
    </w:pPr>
  </w:style>
  <w:style w:type="paragraph" w:customStyle="1" w:styleId="IPPSubheadSpaceAfter">
    <w:name w:val="IPP Subhead SpaceAfter"/>
    <w:basedOn w:val="IPPSubhead"/>
    <w:qFormat/>
    <w:rsid w:val="002E7E75"/>
    <w:pPr>
      <w:spacing w:after="60"/>
    </w:pPr>
  </w:style>
  <w:style w:type="paragraph" w:customStyle="1" w:styleId="IPPHdg1Num">
    <w:name w:val="IPP Hdg1Num"/>
    <w:basedOn w:val="IPPHeading1"/>
    <w:next w:val="IPPNormal"/>
    <w:qFormat/>
    <w:rsid w:val="002E7E75"/>
    <w:pPr>
      <w:numPr>
        <w:numId w:val="8"/>
      </w:numPr>
    </w:pPr>
  </w:style>
  <w:style w:type="paragraph" w:customStyle="1" w:styleId="IPPHdg2Num">
    <w:name w:val="IPP Hdg2Num"/>
    <w:basedOn w:val="IPPHeading2"/>
    <w:next w:val="IPPNormal"/>
    <w:qFormat/>
    <w:rsid w:val="002E7E75"/>
    <w:pPr>
      <w:numPr>
        <w:ilvl w:val="1"/>
        <w:numId w:val="9"/>
      </w:numPr>
    </w:pPr>
  </w:style>
  <w:style w:type="paragraph" w:customStyle="1" w:styleId="IPPNumberedList">
    <w:name w:val="IPP NumberedList"/>
    <w:basedOn w:val="IPPBullet1"/>
    <w:qFormat/>
    <w:rsid w:val="002E7E75"/>
    <w:pPr>
      <w:numPr>
        <w:numId w:val="17"/>
      </w:numPr>
    </w:pPr>
  </w:style>
  <w:style w:type="character" w:styleId="Strong">
    <w:name w:val="Strong"/>
    <w:basedOn w:val="DefaultParagraphFont"/>
    <w:qFormat/>
    <w:rsid w:val="002E7E75"/>
    <w:rPr>
      <w:b/>
      <w:bCs/>
    </w:rPr>
  </w:style>
  <w:style w:type="paragraph" w:customStyle="1" w:styleId="IPPParagraphnumbering">
    <w:name w:val="IPP Paragraph numbering"/>
    <w:basedOn w:val="IPPNormal"/>
    <w:qFormat/>
    <w:rsid w:val="002E7E75"/>
    <w:pPr>
      <w:numPr>
        <w:numId w:val="11"/>
      </w:numPr>
    </w:pPr>
    <w:rPr>
      <w:lang w:val="en-US"/>
    </w:rPr>
  </w:style>
  <w:style w:type="paragraph" w:customStyle="1" w:styleId="IPPParagraphnumberingclose">
    <w:name w:val="IPP Paragraph numbering close"/>
    <w:basedOn w:val="IPPParagraphnumbering"/>
    <w:qFormat/>
    <w:rsid w:val="002E7E75"/>
    <w:pPr>
      <w:keepNext/>
      <w:spacing w:after="60"/>
    </w:pPr>
  </w:style>
  <w:style w:type="paragraph" w:customStyle="1" w:styleId="IPPNumberedListLast">
    <w:name w:val="IPP NumberedListLast"/>
    <w:basedOn w:val="IPPNumberedList"/>
    <w:qFormat/>
    <w:rsid w:val="002E7E75"/>
    <w:pPr>
      <w:spacing w:after="180"/>
    </w:pPr>
  </w:style>
  <w:style w:type="character" w:styleId="Hyperlink">
    <w:name w:val="Hyperlink"/>
    <w:basedOn w:val="DefaultParagraphFont"/>
    <w:uiPriority w:val="99"/>
    <w:unhideWhenUsed/>
    <w:rsid w:val="00755CA0"/>
    <w:rPr>
      <w:color w:val="0563C1" w:themeColor="hyperlink"/>
      <w:u w:val="single"/>
    </w:rPr>
  </w:style>
  <w:style w:type="character" w:customStyle="1" w:styleId="normaltextrun">
    <w:name w:val="normaltextrun"/>
    <w:basedOn w:val="DefaultParagraphFont"/>
    <w:rsid w:val="005B7977"/>
  </w:style>
  <w:style w:type="character" w:customStyle="1" w:styleId="spellingerror">
    <w:name w:val="spellingerror"/>
    <w:basedOn w:val="DefaultParagraphFont"/>
    <w:rsid w:val="005B7977"/>
  </w:style>
  <w:style w:type="character" w:customStyle="1" w:styleId="eop">
    <w:name w:val="eop"/>
    <w:basedOn w:val="DefaultParagraphFont"/>
    <w:rsid w:val="005B7977"/>
  </w:style>
  <w:style w:type="character" w:styleId="FollowedHyperlink">
    <w:name w:val="FollowedHyperlink"/>
    <w:basedOn w:val="DefaultParagraphFont"/>
    <w:uiPriority w:val="99"/>
    <w:semiHidden/>
    <w:unhideWhenUsed/>
    <w:rsid w:val="002E7E75"/>
    <w:rPr>
      <w:color w:val="954F72" w:themeColor="followedHyperlink"/>
      <w:u w:val="single"/>
    </w:rPr>
  </w:style>
  <w:style w:type="character" w:styleId="CommentReference">
    <w:name w:val="annotation reference"/>
    <w:basedOn w:val="DefaultParagraphFont"/>
    <w:uiPriority w:val="99"/>
    <w:semiHidden/>
    <w:unhideWhenUsed/>
    <w:rsid w:val="00B63F48"/>
    <w:rPr>
      <w:sz w:val="16"/>
      <w:szCs w:val="16"/>
    </w:rPr>
  </w:style>
  <w:style w:type="paragraph" w:styleId="CommentText">
    <w:name w:val="annotation text"/>
    <w:basedOn w:val="Normal"/>
    <w:link w:val="CommentTextChar"/>
    <w:uiPriority w:val="99"/>
    <w:unhideWhenUsed/>
    <w:rsid w:val="00B63F48"/>
    <w:rPr>
      <w:sz w:val="20"/>
      <w:szCs w:val="20"/>
    </w:rPr>
  </w:style>
  <w:style w:type="character" w:customStyle="1" w:styleId="CommentTextChar">
    <w:name w:val="Comment Text Char"/>
    <w:basedOn w:val="DefaultParagraphFont"/>
    <w:link w:val="CommentText"/>
    <w:uiPriority w:val="99"/>
    <w:rsid w:val="00B63F48"/>
    <w:rPr>
      <w:rFonts w:ascii="Times New Roman" w:eastAsia="MS Mincho" w:hAnsi="Times New Roman" w:cs="Times New Roman"/>
      <w:sz w:val="20"/>
      <w:szCs w:val="20"/>
      <w:lang w:val="en-GB"/>
    </w:rPr>
  </w:style>
  <w:style w:type="paragraph" w:customStyle="1" w:styleId="paragraph">
    <w:name w:val="paragraph"/>
    <w:basedOn w:val="Normal"/>
    <w:rsid w:val="00B63F48"/>
    <w:pPr>
      <w:spacing w:before="100" w:beforeAutospacing="1" w:after="100" w:afterAutospacing="1"/>
      <w:jc w:val="left"/>
    </w:pPr>
    <w:rPr>
      <w:rFonts w:eastAsia="Times New Roman"/>
      <w:sz w:val="24"/>
      <w:lang w:val="en-US"/>
    </w:rPr>
  </w:style>
  <w:style w:type="paragraph" w:styleId="CommentSubject">
    <w:name w:val="annotation subject"/>
    <w:basedOn w:val="CommentText"/>
    <w:next w:val="CommentText"/>
    <w:link w:val="CommentSubjectChar"/>
    <w:uiPriority w:val="99"/>
    <w:semiHidden/>
    <w:unhideWhenUsed/>
    <w:rsid w:val="00D25117"/>
    <w:rPr>
      <w:b/>
      <w:bCs/>
    </w:rPr>
  </w:style>
  <w:style w:type="character" w:customStyle="1" w:styleId="CommentSubjectChar">
    <w:name w:val="Comment Subject Char"/>
    <w:basedOn w:val="CommentTextChar"/>
    <w:link w:val="CommentSubject"/>
    <w:uiPriority w:val="99"/>
    <w:semiHidden/>
    <w:rsid w:val="00D25117"/>
    <w:rPr>
      <w:rFonts w:ascii="Times New Roman" w:eastAsia="MS Mincho" w:hAnsi="Times New Roman" w:cs="Times New Roman"/>
      <w:b/>
      <w:bCs/>
      <w:sz w:val="20"/>
      <w:szCs w:val="20"/>
      <w:lang w:val="en-GB"/>
    </w:rPr>
  </w:style>
  <w:style w:type="paragraph" w:customStyle="1" w:styleId="IPPPargraphnumbering">
    <w:name w:val="IPP Pargraph numbering"/>
    <w:basedOn w:val="Normal"/>
    <w:qFormat/>
    <w:rsid w:val="00367E28"/>
    <w:pPr>
      <w:tabs>
        <w:tab w:val="num" w:pos="0"/>
      </w:tabs>
      <w:spacing w:after="180"/>
      <w:ind w:hanging="482"/>
    </w:pPr>
    <w:rPr>
      <w:rFonts w:eastAsia="Times"/>
      <w:lang w:val="en-US"/>
    </w:rPr>
  </w:style>
  <w:style w:type="character" w:customStyle="1" w:styleId="IPPNormalChar">
    <w:name w:val="IPP Normal Char"/>
    <w:link w:val="IPPNormal"/>
    <w:rsid w:val="00367E28"/>
    <w:rPr>
      <w:rFonts w:ascii="Times New Roman" w:eastAsia="Times" w:hAnsi="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www.ippc.int%2Fen%2Fnews%2Fippc-is-hiring-international-consultant%2F&amp;data=05%7C01%7C%7Cf5676432a8d0421315b108da60f7a600%7Ced5b36e701ee4ebc867ee03cfa0d4697%7C0%7C0%7C637928915120583650%7CUnknown%7CTWFpbGZsb3d8eyJWIjoiMC4wLjAwMDAiLCJQIjoiV2luMzIiLCJBTiI6Ik1haWwiLCJXVCI6Mn0%3D%7C3000%7C%7C%7C&amp;sdata=1wiYZ8ORMAokP6Eb1GE8D5YxW47jS5YYg2fh4tO5sMA%3D&amp;reserved=0" TargetMode="External"/><Relationship Id="rId18" Type="http://schemas.openxmlformats.org/officeDocument/2006/relationships/hyperlink" Target="file:///C:/Users/MoreiraA/Documents/01_FAO/02_Governance/05%20SC/2021-06%20SC%20Focused%20meeting/01_Working%20papers/Drafts/TPDP%20work%20programm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ppc.int/en/core-activities/standards-setting/expert-drafting-groups/technical-panels/technical-panel-diagnostic-protocols/" TargetMode="External"/><Relationship Id="rId7" Type="http://schemas.openxmlformats.org/officeDocument/2006/relationships/settings" Target="settings.xml"/><Relationship Id="rId12" Type="http://schemas.openxmlformats.org/officeDocument/2006/relationships/hyperlink" Target="https://www.ippc.int/en/core-activities/standards-setting/standards-committee/" TargetMode="External"/><Relationship Id="rId17" Type="http://schemas.openxmlformats.org/officeDocument/2006/relationships/hyperlink" Target="https://www.ippc.int/en/publications/8156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ppc.int/en/core-activities/standards-setting/expert-drafting-groups/technical-panels/technical-panel-diagnostic-protocols/" TargetMode="External"/><Relationship Id="rId20" Type="http://schemas.openxmlformats.org/officeDocument/2006/relationships/chart" Target="charts/chart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s-new.ippc.int/Public/LoginPage.aspx?ReturnUrl=%2f&amp;framevalidated=tru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cc02.safelinks.protection.outlook.com/?url=https%3A%2F%2Fassets.ippc.int%2Fstatic%2Fmedia%2Ffiles%2Fevent%2F2022%2F06%2F09%2FIPHC_Public_Programme_2022-06-08.pdf&amp;data=05%7C01%7C%7Cf5676432a8d0421315b108da60f7a600%7Ced5b36e701ee4ebc867ee03cfa0d4697%7C0%7C0%7C637928915120583650%7CUnknown%7CTWFpbGZsb3d8eyJWIjoiMC4wLjAwMDAiLCJQIjoiV2luMzIiLCJBTiI6Ik1haWwiLCJXVCI6Mn0%3D%7C3000%7C%7C%7C&amp;sdata=TZc%2FaTt3Wu%2FYyIAFN0avY8JdijA8HyaygbUUbIuYyno%3D&amp;reserved=0" TargetMode="External"/><Relationship Id="rId23" Type="http://schemas.openxmlformats.org/officeDocument/2006/relationships/image" Target="media/image1.jpe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pc.int/en/news/save-the-date-2/" TargetMode="External"/><Relationship Id="rId22" Type="http://schemas.openxmlformats.org/officeDocument/2006/relationships/hyperlink" Target="https://www.ippc.int/en/"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ppc.int/en/publications/90164/" TargetMode="External"/><Relationship Id="rId3" Type="http://schemas.openxmlformats.org/officeDocument/2006/relationships/hyperlink" Target="https://www.ippc.int/en/core-activities/standards-setting/expert-drafting-groups/technical-panels/technical-panel-diagnostic-protocols/" TargetMode="External"/><Relationship Id="rId7" Type="http://schemas.openxmlformats.org/officeDocument/2006/relationships/hyperlink" Target="https://www.ippc.int/core-activities/expert-consultation-draft-diagnostic-protocols/" TargetMode="External"/><Relationship Id="rId2" Type="http://schemas.openxmlformats.org/officeDocument/2006/relationships/hyperlink" Target="https://www.ippc.int/en/core-activities/standards-setting/member-consultation-draft-ispms/" TargetMode="External"/><Relationship Id="rId1" Type="http://schemas.openxmlformats.org/officeDocument/2006/relationships/hyperlink" Target="https://www.ippc.int/en/publications/91297/" TargetMode="External"/><Relationship Id="rId6" Type="http://schemas.openxmlformats.org/officeDocument/2006/relationships/hyperlink" Target="https://www.ippc.int/en/core-activities/standards-setting/calls-and-consultations/calls-for-dp-authors/" TargetMode="External"/><Relationship Id="rId5" Type="http://schemas.openxmlformats.org/officeDocument/2006/relationships/hyperlink" Target="https://www.ippc.int/en/work-area-pages/standards-committee-sc/2021-sc-meetings/2021-june-sc-virtual-focused-meeting/" TargetMode="External"/><Relationship Id="rId10" Type="http://schemas.openxmlformats.org/officeDocument/2006/relationships/hyperlink" Target="https://www.ippc.int/en/publications/2582/" TargetMode="External"/><Relationship Id="rId4" Type="http://schemas.openxmlformats.org/officeDocument/2006/relationships/hyperlink" Target="https://www.ippc.int/en/core-activities/standards-setting/list-topics-ippc-standards/list" TargetMode="External"/><Relationship Id="rId9" Type="http://schemas.openxmlformats.org/officeDocument/2006/relationships/hyperlink" Target="https://www.ippc.int/en/publications/90935/"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IN\OneDrive%20-%20Food%20and%20Agriculture%20Organization\Desktop\Teleworking\SSU\SC\SC%20November\IPPC_2015-06-04.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r>
              <a:rPr lang="en-US" sz="1200"/>
              <a:t>TPDP Working Program (July</a:t>
            </a:r>
            <a:r>
              <a:rPr lang="en-US" sz="1200" baseline="0"/>
              <a:t> 2022</a:t>
            </a:r>
            <a:r>
              <a:rPr lang="en-US" sz="1200"/>
              <a:t>)</a:t>
            </a:r>
          </a:p>
        </c:rich>
      </c:tx>
      <c:overlay val="0"/>
      <c:spPr>
        <a:noFill/>
        <a:ln>
          <a:noFill/>
        </a:ln>
        <a:effectLst/>
      </c:spPr>
      <c:txPr>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Column1</c:v>
                </c:pt>
              </c:strCache>
            </c:strRef>
          </c:tx>
          <c:dPt>
            <c:idx val="0"/>
            <c:bubble3D val="0"/>
            <c:spPr>
              <a:solidFill>
                <a:schemeClr val="bg2">
                  <a:lumMod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691-4052-AB6B-BE8B2D46BDA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691-4052-AB6B-BE8B2D46BDA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691-4052-AB6B-BE8B2D46BDA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691-4052-AB6B-BE8B2D46BDA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691-4052-AB6B-BE8B2D46BDA5}"/>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9691-4052-AB6B-BE8B2D46BDA5}"/>
              </c:ext>
            </c:extLst>
          </c:dPt>
          <c:dLbls>
            <c:dLbl>
              <c:idx val="0"/>
              <c:layout>
                <c:manualLayout>
                  <c:x val="-1.2695188523549582E-3"/>
                  <c:y val="-2.7777777777777748E-3"/>
                </c:manualLayout>
              </c:layout>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2.6850223765192992E-2"/>
                      <c:h val="8.5722222222222227E-2"/>
                    </c:manualLayout>
                  </c15:layout>
                </c:ext>
                <c:ext xmlns:c16="http://schemas.microsoft.com/office/drawing/2014/chart" uri="{C3380CC4-5D6E-409C-BE32-E72D297353CC}">
                  <c16:uniqueId val="{00000001-9691-4052-AB6B-BE8B2D46BDA5}"/>
                </c:ext>
              </c:extLst>
            </c:dLbl>
            <c:dLbl>
              <c:idx val="2"/>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691-4052-AB6B-BE8B2D46BDA5}"/>
                </c:ext>
              </c:extLst>
            </c:dLbl>
            <c:dLbl>
              <c:idx val="3"/>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691-4052-AB6B-BE8B2D46BDA5}"/>
                </c:ext>
              </c:extLst>
            </c:dLbl>
            <c:dLbl>
              <c:idx val="4"/>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691-4052-AB6B-BE8B2D46BDA5}"/>
                </c:ext>
              </c:extLst>
            </c:dLbl>
            <c:dLbl>
              <c:idx val="5"/>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691-4052-AB6B-BE8B2D46BDA5}"/>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Nematodes</c:v>
                </c:pt>
                <c:pt idx="1">
                  <c:v>Bacteria</c:v>
                </c:pt>
                <c:pt idx="2">
                  <c:v>Plants</c:v>
                </c:pt>
                <c:pt idx="3">
                  <c:v>Viruses and Phytoplasmas</c:v>
                </c:pt>
                <c:pt idx="4">
                  <c:v>Fungi</c:v>
                </c:pt>
                <c:pt idx="5">
                  <c:v>Insects and Mites</c:v>
                </c:pt>
              </c:strCache>
            </c:strRef>
          </c:cat>
          <c:val>
            <c:numRef>
              <c:f>Sheet1!$B$2:$B$7</c:f>
              <c:numCache>
                <c:formatCode>General</c:formatCode>
                <c:ptCount val="6"/>
                <c:pt idx="0">
                  <c:v>1</c:v>
                </c:pt>
                <c:pt idx="1">
                  <c:v>3</c:v>
                </c:pt>
                <c:pt idx="2">
                  <c:v>3</c:v>
                </c:pt>
                <c:pt idx="3">
                  <c:v>3</c:v>
                </c:pt>
                <c:pt idx="4">
                  <c:v>6</c:v>
                </c:pt>
                <c:pt idx="5">
                  <c:v>7</c:v>
                </c:pt>
              </c:numCache>
            </c:numRef>
          </c:val>
          <c:extLst>
            <c:ext xmlns:c16="http://schemas.microsoft.com/office/drawing/2014/chart" uri="{C3380CC4-5D6E-409C-BE32-E72D297353CC}">
              <c16:uniqueId val="{0000000C-9691-4052-AB6B-BE8B2D46BDA5}"/>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ln>
                <a:noFill/>
              </a:ln>
              <a:solidFill>
                <a:schemeClr val="dk1">
                  <a:lumMod val="75000"/>
                  <a:lumOff val="25000"/>
                  <a:alpha val="99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200">
                <a:solidFill>
                  <a:sysClr val="windowText" lastClr="000000"/>
                </a:solidFill>
              </a:rPr>
              <a:t>IPPC Diagnostic Protocols adopted</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a:scene3d>
              <a:camera prst="orthographicFront"/>
              <a:lightRig rig="threePt" dir="t"/>
            </a:scene3d>
            <a:sp3d>
              <a:bevelT/>
            </a:sp3d>
          </c:spPr>
          <c:invertIfNegative val="0"/>
          <c:dPt>
            <c:idx val="0"/>
            <c:invertIfNegative val="0"/>
            <c:bubble3D val="0"/>
            <c:spPr>
              <a:solidFill>
                <a:schemeClr val="accent1"/>
              </a:solidFill>
              <a:ln>
                <a:noFill/>
              </a:ln>
              <a:effectLst/>
              <a:scene3d>
                <a:camera prst="orthographicFront"/>
                <a:lightRig rig="threePt" dir="t"/>
              </a:scene3d>
              <a:sp3d>
                <a:bevelT/>
              </a:sp3d>
            </c:spPr>
            <c:extLst>
              <c:ext xmlns:c16="http://schemas.microsoft.com/office/drawing/2014/chart" uri="{C3380CC4-5D6E-409C-BE32-E72D297353CC}">
                <c16:uniqueId val="{00000001-73EA-44ED-8EFE-89F8EF1350AB}"/>
              </c:ext>
            </c:extLst>
          </c:dPt>
          <c:dPt>
            <c:idx val="2"/>
            <c:invertIfNegative val="0"/>
            <c:bubble3D val="0"/>
            <c:spPr>
              <a:solidFill>
                <a:schemeClr val="accent1"/>
              </a:solidFill>
              <a:ln>
                <a:noFill/>
              </a:ln>
              <a:effectLst/>
              <a:scene3d>
                <a:camera prst="orthographicFront"/>
                <a:lightRig rig="threePt" dir="t"/>
              </a:scene3d>
              <a:sp3d>
                <a:bevelT/>
                <a:bevelB prst="relaxedInset"/>
              </a:sp3d>
            </c:spPr>
            <c:extLst>
              <c:ext xmlns:c16="http://schemas.microsoft.com/office/drawing/2014/chart" uri="{C3380CC4-5D6E-409C-BE32-E72D297353CC}">
                <c16:uniqueId val="{00000003-73EA-44ED-8EFE-89F8EF1350AB}"/>
              </c:ext>
            </c:extLst>
          </c:dPt>
          <c:dPt>
            <c:idx val="4"/>
            <c:invertIfNegative val="0"/>
            <c:bubble3D val="0"/>
            <c:spPr>
              <a:solidFill>
                <a:schemeClr val="accent1"/>
              </a:solidFill>
              <a:ln>
                <a:noFill/>
              </a:ln>
              <a:effectLst/>
              <a:scene3d>
                <a:camera prst="orthographicFront"/>
                <a:lightRig rig="threePt" dir="t"/>
              </a:scene3d>
              <a:sp3d>
                <a:bevelT/>
                <a:bevelB prst="relaxedInset"/>
              </a:sp3d>
            </c:spPr>
            <c:extLst>
              <c:ext xmlns:c16="http://schemas.microsoft.com/office/drawing/2014/chart" uri="{C3380CC4-5D6E-409C-BE32-E72D297353CC}">
                <c16:uniqueId val="{00000005-73EA-44ED-8EFE-89F8EF1350AB}"/>
              </c:ext>
            </c:extLst>
          </c:dPt>
          <c:dPt>
            <c:idx val="6"/>
            <c:invertIfNegative val="0"/>
            <c:bubble3D val="0"/>
            <c:extLst>
              <c:ext xmlns:c16="http://schemas.microsoft.com/office/drawing/2014/chart" uri="{C3380CC4-5D6E-409C-BE32-E72D297353CC}">
                <c16:uniqueId val="{00000006-73EA-44ED-8EFE-89F8EF1350AB}"/>
              </c:ext>
            </c:extLst>
          </c:dPt>
          <c:dLbls>
            <c:dLbl>
              <c:idx val="0"/>
              <c:layout>
                <c:manualLayout>
                  <c:x val="6.9444444444444501E-3"/>
                  <c:y val="-3.968253968253968E-3"/>
                </c:manualLayout>
              </c:layout>
              <c:tx>
                <c:rich>
                  <a:bodyPr/>
                  <a:lstStyle/>
                  <a:p>
                    <a:r>
                      <a:rPr lang="en-US"/>
                      <a:t>ISPM 27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EA-44ED-8EFE-89F8EF1350A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Sheet1!$A$2:$A$17</c:f>
              <c:numCache>
                <c:formatCode>General</c:formatCode>
                <c:ptCount val="16"/>
                <c:pt idx="0">
                  <c:v>2006</c:v>
                </c:pt>
                <c:pt idx="1">
                  <c:v>2007</c:v>
                </c:pt>
                <c:pt idx="2">
                  <c:v>2008</c:v>
                </c:pt>
                <c:pt idx="3">
                  <c:v>2009</c:v>
                </c:pt>
                <c:pt idx="4">
                  <c:v>2010</c:v>
                </c:pt>
                <c:pt idx="5">
                  <c:v>2011</c:v>
                </c:pt>
                <c:pt idx="6">
                  <c:v>2012</c:v>
                </c:pt>
                <c:pt idx="7">
                  <c:v>2014</c:v>
                </c:pt>
                <c:pt idx="8">
                  <c:v>2015</c:v>
                </c:pt>
                <c:pt idx="9">
                  <c:v>2016</c:v>
                </c:pt>
                <c:pt idx="10">
                  <c:v>2017</c:v>
                </c:pt>
                <c:pt idx="11">
                  <c:v>2018</c:v>
                </c:pt>
                <c:pt idx="12">
                  <c:v>2019</c:v>
                </c:pt>
                <c:pt idx="13">
                  <c:v>2020</c:v>
                </c:pt>
                <c:pt idx="14">
                  <c:v>2021</c:v>
                </c:pt>
                <c:pt idx="15">
                  <c:v>2022</c:v>
                </c:pt>
              </c:numCache>
            </c:numRef>
          </c:cat>
          <c:val>
            <c:numRef>
              <c:f>Sheet1!$B$2:$B$17</c:f>
              <c:numCache>
                <c:formatCode>General</c:formatCode>
                <c:ptCount val="16"/>
                <c:pt idx="0" formatCode="@">
                  <c:v>0</c:v>
                </c:pt>
                <c:pt idx="4">
                  <c:v>1</c:v>
                </c:pt>
                <c:pt idx="6">
                  <c:v>2</c:v>
                </c:pt>
                <c:pt idx="7">
                  <c:v>3</c:v>
                </c:pt>
                <c:pt idx="8">
                  <c:v>3</c:v>
                </c:pt>
                <c:pt idx="9">
                  <c:v>8</c:v>
                </c:pt>
                <c:pt idx="10">
                  <c:v>7</c:v>
                </c:pt>
                <c:pt idx="11">
                  <c:v>5</c:v>
                </c:pt>
                <c:pt idx="12">
                  <c:v>1</c:v>
                </c:pt>
                <c:pt idx="14">
                  <c:v>1</c:v>
                </c:pt>
                <c:pt idx="15">
                  <c:v>1</c:v>
                </c:pt>
              </c:numCache>
            </c:numRef>
          </c:val>
          <c:extLst>
            <c:ext xmlns:c16="http://schemas.microsoft.com/office/drawing/2014/chart" uri="{C3380CC4-5D6E-409C-BE32-E72D297353CC}">
              <c16:uniqueId val="{00000007-73EA-44ED-8EFE-89F8EF1350AB}"/>
            </c:ext>
          </c:extLst>
        </c:ser>
        <c:dLbls>
          <c:dLblPos val="outEnd"/>
          <c:showLegendKey val="0"/>
          <c:showVal val="1"/>
          <c:showCatName val="0"/>
          <c:showSerName val="0"/>
          <c:showPercent val="0"/>
          <c:showBubbleSize val="0"/>
        </c:dLbls>
        <c:gapWidth val="219"/>
        <c:overlap val="-27"/>
        <c:axId val="543406888"/>
        <c:axId val="543407872"/>
      </c:barChart>
      <c:catAx>
        <c:axId val="543406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407872"/>
        <c:crosses val="autoZero"/>
        <c:auto val="1"/>
        <c:lblAlgn val="ctr"/>
        <c:lblOffset val="100"/>
        <c:noMultiLvlLbl val="0"/>
      </c:catAx>
      <c:valAx>
        <c:axId val="543407872"/>
        <c:scaling>
          <c:orientation val="minMax"/>
        </c:scaling>
        <c:delete val="0"/>
        <c:axPos val="l"/>
        <c:majorGridlines>
          <c:spPr>
            <a:ln w="9525" cap="flat" cmpd="sng" algn="ctr">
              <a:noFill/>
              <a:round/>
            </a:ln>
            <a:effectLst/>
          </c:spPr>
        </c:majorGridlines>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406888"/>
        <c:crosses val="autoZero"/>
        <c:crossBetween val="between"/>
      </c:valAx>
      <c:spPr>
        <a:noFill/>
        <a:ln>
          <a:solidFill>
            <a:schemeClr val="bg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7" ma:contentTypeDescription="Create a new document." ma:contentTypeScope="" ma:versionID="b97c355e8ddb83b53e10132d4d0c39dd">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7ee668c2352abc57114714e7d7c6a8d9"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2F2ED-F96B-43A8-8CD2-99A262A015C4}">
  <ds:schemaRefs>
    <ds:schemaRef ds:uri="http://schemas.microsoft.com/office/2006/metadata/properties"/>
    <ds:schemaRef ds:uri="http://schemas.microsoft.com/office/infopath/2007/PartnerControls"/>
    <ds:schemaRef ds:uri="ea6feb38-a85a-45e8-92e9-814486bbe375"/>
    <ds:schemaRef ds:uri="a05d7f75-f42e-4288-8809-604fd4d9691f"/>
  </ds:schemaRefs>
</ds:datastoreItem>
</file>

<file path=customXml/itemProps2.xml><?xml version="1.0" encoding="utf-8"?>
<ds:datastoreItem xmlns:ds="http://schemas.openxmlformats.org/officeDocument/2006/customXml" ds:itemID="{893C1110-A90E-4FFF-8CCF-29B25DACE2B8}">
  <ds:schemaRefs>
    <ds:schemaRef ds:uri="http://schemas.microsoft.com/sharepoint/v3/contenttype/forms"/>
  </ds:schemaRefs>
</ds:datastoreItem>
</file>

<file path=customXml/itemProps3.xml><?xml version="1.0" encoding="utf-8"?>
<ds:datastoreItem xmlns:ds="http://schemas.openxmlformats.org/officeDocument/2006/customXml" ds:itemID="{55C1EAA7-3992-4D0A-A96A-8D3FF095B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B649C-27BD-4FED-989E-B747A0072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0</TotalTime>
  <Pages>9</Pages>
  <Words>3119</Words>
  <Characters>17781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Norman B - APHIS</dc:creator>
  <cp:keywords/>
  <dc:description/>
  <cp:lastModifiedBy>MangiliAndre, Erika (NSPD)</cp:lastModifiedBy>
  <cp:revision>2</cp:revision>
  <dcterms:created xsi:type="dcterms:W3CDTF">2022-07-13T19:35:00Z</dcterms:created>
  <dcterms:modified xsi:type="dcterms:W3CDTF">2022-07-13T19:35:00Z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