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247B" w14:textId="0B0A5104" w:rsidR="0004782C" w:rsidRDefault="0004782C" w:rsidP="005D1B37">
      <w:pPr>
        <w:pStyle w:val="IPPHeadSection"/>
        <w:jc w:val="center"/>
      </w:pPr>
      <w:r>
        <w:t>Sustainable f</w:t>
      </w:r>
      <w:r w:rsidR="004E0BF4">
        <w:t xml:space="preserve">unding of the ePhyto solution </w:t>
      </w:r>
    </w:p>
    <w:p w14:paraId="0A520D75" w14:textId="0D95A3E3" w:rsidR="004C0135" w:rsidRPr="004E0BF4" w:rsidRDefault="00D055C0" w:rsidP="004E0BF4">
      <w:pPr>
        <w:pStyle w:val="IPPHeading1"/>
      </w:pPr>
      <w:r w:rsidRPr="004E0BF4">
        <w:t xml:space="preserve">Background </w:t>
      </w:r>
      <w:r w:rsidR="004C0135" w:rsidRPr="004E0BF4">
        <w:t xml:space="preserve">and purpose </w:t>
      </w:r>
    </w:p>
    <w:p w14:paraId="6B279D94" w14:textId="42A479FE" w:rsidR="007A6DB4" w:rsidRDefault="007A6DB4" w:rsidP="005D1B37">
      <w:pPr>
        <w:pStyle w:val="IPPParagraphnumbering"/>
      </w:pPr>
      <w:r>
        <w:t xml:space="preserve">This paper outlines options for </w:t>
      </w:r>
      <w:r w:rsidR="00502292">
        <w:t xml:space="preserve">sustained </w:t>
      </w:r>
      <w:r>
        <w:t xml:space="preserve">funding of the </w:t>
      </w:r>
      <w:r w:rsidR="00502292">
        <w:t xml:space="preserve">IPPC </w:t>
      </w:r>
      <w:r>
        <w:t xml:space="preserve">ePhyto Solution and seeks </w:t>
      </w:r>
      <w:r w:rsidR="00502292">
        <w:t xml:space="preserve">feedback and guidance from </w:t>
      </w:r>
      <w:r>
        <w:t>the Strategic Planning Group, prior to finalising a paper with recommendations for CPM</w:t>
      </w:r>
      <w:r w:rsidR="00502292">
        <w:t> </w:t>
      </w:r>
      <w:r>
        <w:t xml:space="preserve">17 (2023). </w:t>
      </w:r>
    </w:p>
    <w:p w14:paraId="0D18CEDC" w14:textId="2440CC28" w:rsidR="00D12CB4" w:rsidRDefault="00D055C0" w:rsidP="005D1B37">
      <w:pPr>
        <w:pStyle w:val="IPPParagraphnumbering"/>
      </w:pPr>
      <w:r>
        <w:t xml:space="preserve">The IPPC ePhyto solution </w:t>
      </w:r>
      <w:r w:rsidR="001D6C5F">
        <w:t>enables countries to produce, send and receive harmonized electronic phytosanitary certificates with other participating NPPOs through the ePhyto Hub in a secure, low cost, and efficient manner. The initial stages of the development and implementation of the ePhyto solution were supported by the Standards and Trade Development Facility and donor countries</w:t>
      </w:r>
    </w:p>
    <w:p w14:paraId="64E3D86B" w14:textId="1F4A3EA6" w:rsidR="00077B39" w:rsidRPr="00077B39" w:rsidRDefault="00077B39" w:rsidP="005D1B37">
      <w:pPr>
        <w:pStyle w:val="IPPParagraphnumbering"/>
      </w:pPr>
      <w:r w:rsidRPr="00077B39">
        <w:t xml:space="preserve">CPM 14 </w:t>
      </w:r>
      <w:r w:rsidR="001522C0">
        <w:t xml:space="preserve">(2019) </w:t>
      </w:r>
      <w:r w:rsidRPr="00077B39">
        <w:t>considered but did not agree a 5</w:t>
      </w:r>
      <w:r w:rsidR="006C342F">
        <w:t>-</w:t>
      </w:r>
      <w:r w:rsidRPr="00077B39">
        <w:t xml:space="preserve">year plan for </w:t>
      </w:r>
      <w:r w:rsidR="009930C5">
        <w:t xml:space="preserve">the </w:t>
      </w:r>
      <w:r w:rsidRPr="00077B39">
        <w:t>e</w:t>
      </w:r>
      <w:r w:rsidR="009930C5">
        <w:t>P</w:t>
      </w:r>
      <w:r w:rsidRPr="00077B39">
        <w:t>hyto</w:t>
      </w:r>
      <w:r w:rsidR="009930C5">
        <w:t xml:space="preserve"> solution</w:t>
      </w:r>
      <w:r w:rsidRPr="00077B39">
        <w:t xml:space="preserve">.  There were calls for </w:t>
      </w:r>
      <w:r w:rsidR="006C342F">
        <w:t xml:space="preserve">a </w:t>
      </w:r>
      <w:r w:rsidRPr="00077B39">
        <w:t>sustainable funding model to be established that did not rely on donors</w:t>
      </w:r>
      <w:r w:rsidR="006C342F">
        <w:t xml:space="preserve">.  </w:t>
      </w:r>
    </w:p>
    <w:p w14:paraId="5C7E7B1E" w14:textId="183CCA53" w:rsidR="00144591" w:rsidRDefault="001522C0" w:rsidP="005D1B37">
      <w:pPr>
        <w:pStyle w:val="IPPParagraphnumbering"/>
      </w:pPr>
      <w:r>
        <w:t>A</w:t>
      </w:r>
      <w:r w:rsidR="00077B39" w:rsidRPr="00077B39">
        <w:t>t CPM 15</w:t>
      </w:r>
      <w:r>
        <w:t xml:space="preserve"> (2021)</w:t>
      </w:r>
      <w:r w:rsidR="006C342F">
        <w:t>,</w:t>
      </w:r>
      <w:r w:rsidR="00077B39" w:rsidRPr="00077B39">
        <w:t xml:space="preserve"> </w:t>
      </w:r>
      <w:r w:rsidR="00077B39">
        <w:t>t</w:t>
      </w:r>
      <w:r w:rsidR="00077B39" w:rsidRPr="00077B39">
        <w:t xml:space="preserve">he Secretariat presented </w:t>
      </w:r>
      <w:r w:rsidR="006C342F">
        <w:t>a</w:t>
      </w:r>
      <w:r w:rsidR="00077B39" w:rsidRPr="00077B39">
        <w:t xml:space="preserve"> paper</w:t>
      </w:r>
      <w:r w:rsidR="004F420F">
        <w:rPr>
          <w:rStyle w:val="FootnoteReference"/>
          <w:lang w:val="en-NZ"/>
        </w:rPr>
        <w:footnoteReference w:id="1"/>
      </w:r>
      <w:r w:rsidR="004F420F" w:rsidRPr="00077B39">
        <w:t xml:space="preserve"> </w:t>
      </w:r>
      <w:r w:rsidR="001D6C5F">
        <w:t xml:space="preserve">with </w:t>
      </w:r>
      <w:r w:rsidR="002B5436">
        <w:t xml:space="preserve">seven </w:t>
      </w:r>
      <w:r w:rsidR="001D6C5F">
        <w:t xml:space="preserve">options for </w:t>
      </w:r>
      <w:r w:rsidR="00077B39" w:rsidRPr="00077B39">
        <w:t>financially sustain</w:t>
      </w:r>
      <w:r w:rsidR="001D6C5F">
        <w:t>ing</w:t>
      </w:r>
      <w:r w:rsidR="00077B39" w:rsidRPr="00077B39">
        <w:t xml:space="preserve"> the IPPC e</w:t>
      </w:r>
      <w:r w:rsidR="006C342F">
        <w:t>p</w:t>
      </w:r>
      <w:r w:rsidR="00077B39" w:rsidRPr="00077B39">
        <w:t xml:space="preserve">hyto </w:t>
      </w:r>
      <w:r w:rsidR="006C342F">
        <w:t>s</w:t>
      </w:r>
      <w:r w:rsidR="00077B39" w:rsidRPr="00077B39">
        <w:t xml:space="preserve">olution. </w:t>
      </w:r>
      <w:r w:rsidR="00A43354">
        <w:t xml:space="preserve">CPM 15 agreed to establish a focus group to prepare a funding proposal for CPM to consider in 2023.  In the interim </w:t>
      </w:r>
      <w:r w:rsidR="006C342F">
        <w:t xml:space="preserve">the </w:t>
      </w:r>
      <w:r w:rsidR="00A43354">
        <w:t xml:space="preserve">ephyto </w:t>
      </w:r>
      <w:r w:rsidR="006C342F">
        <w:t xml:space="preserve">solution </w:t>
      </w:r>
      <w:r w:rsidR="00A43354">
        <w:t xml:space="preserve">would continue to be funded through </w:t>
      </w:r>
      <w:r w:rsidR="006C342F">
        <w:t>donor country contributions</w:t>
      </w:r>
      <w:r w:rsidR="00C133FF">
        <w:t xml:space="preserve"> (however there is no guarantee that sufficient funding will be available)</w:t>
      </w:r>
      <w:r w:rsidR="006C342F">
        <w:t>.</w:t>
      </w:r>
    </w:p>
    <w:p w14:paraId="6F2A9A9B" w14:textId="61B41B60" w:rsidR="004F420F" w:rsidRDefault="004F420F" w:rsidP="004F420F">
      <w:pPr>
        <w:pStyle w:val="Heading1"/>
        <w:rPr>
          <w:lang w:val="en-NZ"/>
        </w:rPr>
      </w:pPr>
      <w:r>
        <w:rPr>
          <w:lang w:val="en-NZ"/>
        </w:rPr>
        <w:t xml:space="preserve">Scope </w:t>
      </w:r>
    </w:p>
    <w:p w14:paraId="00C801D1" w14:textId="77777777" w:rsidR="004F420F" w:rsidRDefault="004F420F" w:rsidP="004E0BF4">
      <w:pPr>
        <w:pStyle w:val="IPPParagraphnumbering"/>
      </w:pPr>
      <w:r>
        <w:t>The scope of the sustainable funding mechanism the focus group is developing is set out below.</w:t>
      </w:r>
    </w:p>
    <w:tbl>
      <w:tblPr>
        <w:tblStyle w:val="TableGrid"/>
        <w:tblW w:w="0" w:type="auto"/>
        <w:tblLook w:val="04A0" w:firstRow="1" w:lastRow="0" w:firstColumn="1" w:lastColumn="0" w:noHBand="0" w:noVBand="1"/>
      </w:tblPr>
      <w:tblGrid>
        <w:gridCol w:w="4675"/>
        <w:gridCol w:w="4675"/>
      </w:tblGrid>
      <w:tr w:rsidR="004F420F" w:rsidRPr="004E0BF4" w14:paraId="06A7367E" w14:textId="77777777" w:rsidTr="00B45AFC">
        <w:tc>
          <w:tcPr>
            <w:tcW w:w="4675" w:type="dxa"/>
          </w:tcPr>
          <w:p w14:paraId="13FA7151" w14:textId="77777777" w:rsidR="004F420F" w:rsidRPr="004E0BF4" w:rsidRDefault="004F420F" w:rsidP="00B45AFC">
            <w:pPr>
              <w:rPr>
                <w:rFonts w:ascii="Arial" w:hAnsi="Arial" w:cs="Arial"/>
                <w:b/>
                <w:bCs/>
                <w:sz w:val="18"/>
                <w:szCs w:val="18"/>
                <w:lang w:val="en-NZ"/>
              </w:rPr>
            </w:pPr>
            <w:r w:rsidRPr="004E0BF4">
              <w:rPr>
                <w:rFonts w:ascii="Arial" w:hAnsi="Arial" w:cs="Arial"/>
                <w:b/>
                <w:bCs/>
                <w:sz w:val="18"/>
                <w:szCs w:val="18"/>
                <w:lang w:val="en-NZ"/>
              </w:rPr>
              <w:t>In Scope</w:t>
            </w:r>
          </w:p>
        </w:tc>
        <w:tc>
          <w:tcPr>
            <w:tcW w:w="4675" w:type="dxa"/>
          </w:tcPr>
          <w:p w14:paraId="09D9E15C" w14:textId="77777777" w:rsidR="004F420F" w:rsidRPr="004E0BF4" w:rsidRDefault="004F420F" w:rsidP="00B45AFC">
            <w:pPr>
              <w:rPr>
                <w:rFonts w:ascii="Arial" w:hAnsi="Arial" w:cs="Arial"/>
                <w:b/>
                <w:bCs/>
                <w:sz w:val="18"/>
                <w:szCs w:val="18"/>
                <w:lang w:val="en-NZ"/>
              </w:rPr>
            </w:pPr>
            <w:r w:rsidRPr="004E0BF4">
              <w:rPr>
                <w:rFonts w:ascii="Arial" w:hAnsi="Arial" w:cs="Arial"/>
                <w:b/>
                <w:bCs/>
                <w:sz w:val="18"/>
                <w:szCs w:val="18"/>
                <w:lang w:val="en-NZ"/>
              </w:rPr>
              <w:t>Out of Scope</w:t>
            </w:r>
          </w:p>
        </w:tc>
      </w:tr>
      <w:tr w:rsidR="004F420F" w:rsidRPr="004E0BF4" w14:paraId="472ECBD4" w14:textId="77777777" w:rsidTr="00B45AFC">
        <w:tc>
          <w:tcPr>
            <w:tcW w:w="4675" w:type="dxa"/>
          </w:tcPr>
          <w:p w14:paraId="57E2341C" w14:textId="77777777" w:rsidR="004F420F" w:rsidRPr="004E0BF4" w:rsidRDefault="004F420F" w:rsidP="00B45AFC">
            <w:pPr>
              <w:pStyle w:val="ListParagraph"/>
              <w:numPr>
                <w:ilvl w:val="0"/>
                <w:numId w:val="25"/>
              </w:numPr>
              <w:ind w:left="1240"/>
              <w:rPr>
                <w:rFonts w:ascii="Arial" w:hAnsi="Arial" w:cs="Arial"/>
                <w:sz w:val="18"/>
                <w:szCs w:val="18"/>
                <w:lang w:val="en-NZ"/>
              </w:rPr>
            </w:pPr>
            <w:r w:rsidRPr="004E0BF4">
              <w:rPr>
                <w:rFonts w:ascii="Arial" w:hAnsi="Arial" w:cs="Arial"/>
                <w:sz w:val="18"/>
                <w:szCs w:val="18"/>
                <w:lang w:val="en-NZ"/>
              </w:rPr>
              <w:t>How to fund the operation, on-going development and management of the ePhyto Solution at the international level.</w:t>
            </w:r>
          </w:p>
        </w:tc>
        <w:tc>
          <w:tcPr>
            <w:tcW w:w="4675" w:type="dxa"/>
          </w:tcPr>
          <w:p w14:paraId="1BF5FE70" w14:textId="77777777" w:rsidR="004F420F" w:rsidRPr="004E0BF4" w:rsidRDefault="004F420F" w:rsidP="00B45AFC">
            <w:pPr>
              <w:pStyle w:val="ListParagraph"/>
              <w:numPr>
                <w:ilvl w:val="0"/>
                <w:numId w:val="24"/>
              </w:numPr>
              <w:ind w:left="1240"/>
              <w:rPr>
                <w:rFonts w:ascii="Arial" w:hAnsi="Arial" w:cs="Arial"/>
                <w:sz w:val="18"/>
                <w:szCs w:val="18"/>
                <w:lang w:val="en-NZ"/>
              </w:rPr>
            </w:pPr>
            <w:r w:rsidRPr="004E0BF4">
              <w:rPr>
                <w:rFonts w:ascii="Arial" w:hAnsi="Arial" w:cs="Arial"/>
                <w:sz w:val="18"/>
                <w:szCs w:val="18"/>
                <w:lang w:val="en-NZ"/>
              </w:rPr>
              <w:t>How countries fund the export or official assurance system in their own country</w:t>
            </w:r>
          </w:p>
        </w:tc>
      </w:tr>
      <w:tr w:rsidR="004F420F" w:rsidRPr="004E0BF4" w14:paraId="6BDA4093" w14:textId="77777777" w:rsidTr="00B45AFC">
        <w:tc>
          <w:tcPr>
            <w:tcW w:w="4675" w:type="dxa"/>
          </w:tcPr>
          <w:p w14:paraId="694E663F" w14:textId="77777777" w:rsidR="004F420F" w:rsidRPr="004E0BF4" w:rsidRDefault="004F420F" w:rsidP="00B45AFC">
            <w:pPr>
              <w:pStyle w:val="ListParagraph"/>
              <w:numPr>
                <w:ilvl w:val="0"/>
                <w:numId w:val="25"/>
              </w:numPr>
              <w:ind w:left="1240"/>
              <w:rPr>
                <w:rFonts w:ascii="Arial" w:hAnsi="Arial" w:cs="Arial"/>
                <w:sz w:val="18"/>
                <w:szCs w:val="18"/>
                <w:lang w:val="en-NZ"/>
              </w:rPr>
            </w:pPr>
            <w:r w:rsidRPr="004E0BF4">
              <w:rPr>
                <w:rFonts w:ascii="Arial" w:hAnsi="Arial" w:cs="Arial"/>
                <w:sz w:val="18"/>
                <w:szCs w:val="18"/>
                <w:lang w:val="en-NZ"/>
              </w:rPr>
              <w:t xml:space="preserve">Identifying viable mechanisms for funding. </w:t>
            </w:r>
          </w:p>
        </w:tc>
        <w:tc>
          <w:tcPr>
            <w:tcW w:w="4675" w:type="dxa"/>
          </w:tcPr>
          <w:p w14:paraId="7FB55DBE" w14:textId="77777777" w:rsidR="004F420F" w:rsidRPr="004E0BF4" w:rsidRDefault="004F420F" w:rsidP="00B45AFC">
            <w:pPr>
              <w:pStyle w:val="ListParagraph"/>
              <w:numPr>
                <w:ilvl w:val="0"/>
                <w:numId w:val="24"/>
              </w:numPr>
              <w:ind w:left="1240"/>
              <w:rPr>
                <w:rFonts w:ascii="Arial" w:hAnsi="Arial" w:cs="Arial"/>
                <w:sz w:val="18"/>
                <w:szCs w:val="18"/>
                <w:lang w:val="en-NZ"/>
              </w:rPr>
            </w:pPr>
            <w:r w:rsidRPr="004E0BF4">
              <w:rPr>
                <w:rFonts w:ascii="Arial" w:hAnsi="Arial" w:cs="Arial"/>
                <w:sz w:val="18"/>
                <w:szCs w:val="18"/>
                <w:lang w:val="en-NZ"/>
              </w:rPr>
              <w:t>How countries fund the infrastructure to send or receive ePhytos</w:t>
            </w:r>
          </w:p>
        </w:tc>
      </w:tr>
      <w:tr w:rsidR="004F420F" w:rsidRPr="004E0BF4" w14:paraId="68B63C08" w14:textId="77777777" w:rsidTr="00B45AFC">
        <w:tc>
          <w:tcPr>
            <w:tcW w:w="4675" w:type="dxa"/>
          </w:tcPr>
          <w:p w14:paraId="2EEC3FAA" w14:textId="77777777" w:rsidR="004F420F" w:rsidRPr="004E0BF4" w:rsidRDefault="004F420F" w:rsidP="00274106">
            <w:pPr>
              <w:pStyle w:val="ListParagraph"/>
              <w:numPr>
                <w:ilvl w:val="0"/>
                <w:numId w:val="24"/>
              </w:numPr>
              <w:ind w:left="1240"/>
              <w:rPr>
                <w:rFonts w:ascii="Arial" w:hAnsi="Arial" w:cs="Arial"/>
                <w:sz w:val="18"/>
                <w:szCs w:val="18"/>
                <w:lang w:val="en-NZ"/>
              </w:rPr>
            </w:pPr>
            <w:r w:rsidRPr="004E0BF4">
              <w:rPr>
                <w:rFonts w:ascii="Arial" w:hAnsi="Arial" w:cs="Arial"/>
                <w:sz w:val="18"/>
                <w:szCs w:val="18"/>
                <w:lang w:val="en-NZ"/>
              </w:rPr>
              <w:t xml:space="preserve">What costs should be included within the funding envelope (e.g. should promotion, education, assisting countries to join ephyto, etc be part of the costs?) </w:t>
            </w:r>
          </w:p>
        </w:tc>
        <w:tc>
          <w:tcPr>
            <w:tcW w:w="4675" w:type="dxa"/>
          </w:tcPr>
          <w:p w14:paraId="385324C4" w14:textId="77777777" w:rsidR="004F420F" w:rsidRPr="004E0BF4" w:rsidRDefault="004F420F" w:rsidP="00B45AFC">
            <w:pPr>
              <w:pStyle w:val="ListParagraph"/>
              <w:numPr>
                <w:ilvl w:val="0"/>
                <w:numId w:val="24"/>
              </w:numPr>
              <w:ind w:left="1240"/>
              <w:rPr>
                <w:rFonts w:ascii="Arial" w:hAnsi="Arial" w:cs="Arial"/>
                <w:sz w:val="18"/>
                <w:szCs w:val="18"/>
                <w:lang w:val="en-NZ"/>
              </w:rPr>
            </w:pPr>
            <w:r w:rsidRPr="004E0BF4">
              <w:rPr>
                <w:rFonts w:ascii="Arial" w:hAnsi="Arial" w:cs="Arial"/>
                <w:sz w:val="18"/>
                <w:szCs w:val="18"/>
                <w:lang w:val="en-NZ"/>
              </w:rPr>
              <w:t xml:space="preserve">If there is a fee for countries to use ePhyto, how the countries gather the finance to pay the fee </w:t>
            </w:r>
          </w:p>
        </w:tc>
      </w:tr>
      <w:tr w:rsidR="004F420F" w:rsidRPr="004E0BF4" w14:paraId="655336C9" w14:textId="77777777" w:rsidTr="00B45AFC">
        <w:tc>
          <w:tcPr>
            <w:tcW w:w="4675" w:type="dxa"/>
          </w:tcPr>
          <w:p w14:paraId="3229EE07" w14:textId="77777777" w:rsidR="004F420F" w:rsidRPr="004E0BF4" w:rsidRDefault="004F420F" w:rsidP="00B45AFC">
            <w:pPr>
              <w:rPr>
                <w:rFonts w:ascii="Arial" w:hAnsi="Arial" w:cs="Arial"/>
                <w:sz w:val="18"/>
                <w:szCs w:val="18"/>
                <w:lang w:val="en-NZ"/>
              </w:rPr>
            </w:pPr>
          </w:p>
        </w:tc>
        <w:tc>
          <w:tcPr>
            <w:tcW w:w="4675" w:type="dxa"/>
          </w:tcPr>
          <w:p w14:paraId="0D9D4455" w14:textId="77777777" w:rsidR="004F420F" w:rsidRPr="004E0BF4" w:rsidRDefault="004F420F" w:rsidP="00B45AFC">
            <w:pPr>
              <w:pStyle w:val="ListParagraph"/>
              <w:numPr>
                <w:ilvl w:val="0"/>
                <w:numId w:val="24"/>
              </w:numPr>
              <w:ind w:left="1240"/>
              <w:rPr>
                <w:rFonts w:ascii="Arial" w:hAnsi="Arial" w:cs="Arial"/>
                <w:sz w:val="18"/>
                <w:szCs w:val="18"/>
                <w:lang w:val="en-NZ"/>
              </w:rPr>
            </w:pPr>
            <w:r w:rsidRPr="004E0BF4">
              <w:rPr>
                <w:rFonts w:ascii="Arial" w:hAnsi="Arial" w:cs="Arial"/>
                <w:sz w:val="18"/>
                <w:szCs w:val="18"/>
                <w:lang w:val="en-NZ"/>
              </w:rPr>
              <w:t>Implementing the sustainable funding mechanism CPM agrees.</w:t>
            </w:r>
          </w:p>
        </w:tc>
      </w:tr>
      <w:tr w:rsidR="00274106" w:rsidRPr="004E0BF4" w14:paraId="76707186" w14:textId="77777777" w:rsidTr="00B45AFC">
        <w:tc>
          <w:tcPr>
            <w:tcW w:w="4675" w:type="dxa"/>
          </w:tcPr>
          <w:p w14:paraId="38602601" w14:textId="77777777" w:rsidR="00274106" w:rsidRPr="004E0BF4" w:rsidRDefault="00274106" w:rsidP="00B45AFC">
            <w:pPr>
              <w:rPr>
                <w:rFonts w:ascii="Arial" w:hAnsi="Arial" w:cs="Arial"/>
                <w:sz w:val="18"/>
                <w:szCs w:val="18"/>
                <w:lang w:val="en-NZ"/>
              </w:rPr>
            </w:pPr>
          </w:p>
        </w:tc>
        <w:tc>
          <w:tcPr>
            <w:tcW w:w="4675" w:type="dxa"/>
          </w:tcPr>
          <w:p w14:paraId="5B9ECECD" w14:textId="18E3756A" w:rsidR="00274106" w:rsidRPr="004E0BF4" w:rsidRDefault="00274106" w:rsidP="00B45AFC">
            <w:pPr>
              <w:pStyle w:val="ListParagraph"/>
              <w:numPr>
                <w:ilvl w:val="0"/>
                <w:numId w:val="24"/>
              </w:numPr>
              <w:ind w:left="1240"/>
              <w:rPr>
                <w:rFonts w:ascii="Arial" w:hAnsi="Arial" w:cs="Arial"/>
                <w:sz w:val="18"/>
                <w:szCs w:val="18"/>
                <w:lang w:val="en-NZ"/>
              </w:rPr>
            </w:pPr>
            <w:r w:rsidRPr="004E0BF4">
              <w:rPr>
                <w:rFonts w:ascii="Arial" w:hAnsi="Arial" w:cs="Arial"/>
                <w:sz w:val="18"/>
                <w:szCs w:val="18"/>
                <w:lang w:val="en-NZ"/>
              </w:rPr>
              <w:t>How countries may seek payment from industry to cover the costs of export checking and the use of parts of the ePhyto Solution such as the Hub or the GeNS.</w:t>
            </w:r>
          </w:p>
        </w:tc>
      </w:tr>
    </w:tbl>
    <w:p w14:paraId="5FE93BEB" w14:textId="77777777" w:rsidR="004F420F" w:rsidRDefault="004F420F" w:rsidP="004F420F">
      <w:pPr>
        <w:rPr>
          <w:lang w:val="en-NZ"/>
        </w:rPr>
      </w:pPr>
    </w:p>
    <w:p w14:paraId="3CCC31F3" w14:textId="77777777" w:rsidR="006A067F" w:rsidRDefault="006A067F" w:rsidP="00331051">
      <w:pPr>
        <w:pStyle w:val="Heading1"/>
        <w:rPr>
          <w:lang w:val="en-NZ"/>
        </w:rPr>
      </w:pPr>
      <w:r w:rsidRPr="00331051">
        <w:t>Discussion</w:t>
      </w:r>
      <w:r>
        <w:rPr>
          <w:lang w:val="en-NZ"/>
        </w:rPr>
        <w:t xml:space="preserve"> </w:t>
      </w:r>
    </w:p>
    <w:p w14:paraId="5D05352A" w14:textId="1C31B70C" w:rsidR="006A067F" w:rsidRDefault="007A6DB4" w:rsidP="004E0BF4">
      <w:pPr>
        <w:pStyle w:val="IPPParagraphnumbering"/>
      </w:pPr>
      <w:r>
        <w:t xml:space="preserve">The IPPC ePhyto Solution </w:t>
      </w:r>
      <w:r w:rsidR="006938DD">
        <w:t xml:space="preserve">has become </w:t>
      </w:r>
      <w:r>
        <w:t>part of the core international infrastructure to facilitate safe global trade in plants and plant products</w:t>
      </w:r>
      <w:r w:rsidR="006938DD">
        <w:t xml:space="preserve"> (see Figure 1 for usage data)</w:t>
      </w:r>
      <w:r>
        <w:t>.</w:t>
      </w:r>
      <w:r w:rsidR="00C12F65">
        <w:t xml:space="preserve"> </w:t>
      </w:r>
    </w:p>
    <w:p w14:paraId="0380DDAE" w14:textId="77777777" w:rsidR="00502292" w:rsidRDefault="007A6DB4" w:rsidP="00502292">
      <w:pPr>
        <w:keepNext/>
      </w:pPr>
      <w:r w:rsidRPr="007C0DC5">
        <w:rPr>
          <w:rFonts w:cstheme="minorHAnsi"/>
          <w:noProof/>
          <w:color w:val="000000" w:themeColor="text1"/>
          <w:lang w:val="en-US"/>
        </w:rPr>
        <w:lastRenderedPageBreak/>
        <w:drawing>
          <wp:inline distT="0" distB="0" distL="0" distR="0" wp14:anchorId="411B8F6F" wp14:editId="595A7A67">
            <wp:extent cx="5638800" cy="2743200"/>
            <wp:effectExtent l="0" t="0" r="0" b="0"/>
            <wp:docPr id="1" name="Chart 1">
              <a:extLst xmlns:a="http://schemas.openxmlformats.org/drawingml/2006/main">
                <a:ext uri="{FF2B5EF4-FFF2-40B4-BE49-F238E27FC236}">
                  <a16:creationId xmlns:a16="http://schemas.microsoft.com/office/drawing/2014/main" id="{C36F2A3A-E3E2-AB90-63FC-D8D246A77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13CF07" w14:textId="70CBF440" w:rsidR="007A6DB4" w:rsidRDefault="00502292" w:rsidP="005244F8">
      <w:pPr>
        <w:pStyle w:val="Caption"/>
        <w:rPr>
          <w:lang w:val="en-NZ"/>
        </w:rPr>
      </w:pPr>
      <w:r>
        <w:t xml:space="preserve">Figure </w:t>
      </w:r>
      <w:r w:rsidR="00725D46">
        <w:fldChar w:fldCharType="begin"/>
      </w:r>
      <w:r w:rsidR="00725D46">
        <w:instrText xml:space="preserve"> SEQ Figure \* ARABIC </w:instrText>
      </w:r>
      <w:r w:rsidR="00725D46">
        <w:fldChar w:fldCharType="separate"/>
      </w:r>
      <w:r w:rsidR="00A02F87">
        <w:rPr>
          <w:noProof/>
        </w:rPr>
        <w:t>1</w:t>
      </w:r>
      <w:r w:rsidR="00725D46">
        <w:rPr>
          <w:noProof/>
        </w:rPr>
        <w:fldChar w:fldCharType="end"/>
      </w:r>
      <w:r>
        <w:t>:</w:t>
      </w:r>
      <w:r w:rsidR="00763F92">
        <w:t xml:space="preserve"> Monthly exchange of </w:t>
      </w:r>
      <w:r>
        <w:t>ePhytos</w:t>
      </w:r>
      <w:r w:rsidR="00B9508A">
        <w:br/>
        <w:t>Source: IPPC ep Hub Service – Hub Monthly Report June 2022</w:t>
      </w:r>
    </w:p>
    <w:p w14:paraId="7A068C07" w14:textId="12603A0B" w:rsidR="00330A5B" w:rsidRDefault="00330A5B" w:rsidP="004E0BF4">
      <w:pPr>
        <w:pStyle w:val="IPPParagraphnumbering"/>
      </w:pPr>
      <w:r>
        <w:t xml:space="preserve">By 2025 </w:t>
      </w:r>
      <w:r w:rsidR="00B9508A">
        <w:t xml:space="preserve">the </w:t>
      </w:r>
      <w:r>
        <w:t xml:space="preserve">estimated </w:t>
      </w:r>
      <w:r w:rsidR="00B9508A">
        <w:t xml:space="preserve">annual cost will reach </w:t>
      </w:r>
      <w:r>
        <w:t xml:space="preserve">USD 933,000 (inflation adjusted) to support, maintain and enhance the core elements: IPPC ePhyto Hub, the Generic National System and programme </w:t>
      </w:r>
      <w:r w:rsidR="005244F8">
        <w:t>management</w:t>
      </w:r>
      <w:r>
        <w:t xml:space="preserve"> and support from the IPPC (Table 1).  Annex 1 </w:t>
      </w:r>
      <w:r w:rsidR="005244F8">
        <w:t xml:space="preserve">provides </w:t>
      </w:r>
      <w:r>
        <w:t>full cost estimates</w:t>
      </w:r>
      <w:r w:rsidR="005244F8">
        <w:t xml:space="preserve"> and considerations. </w:t>
      </w:r>
    </w:p>
    <w:tbl>
      <w:tblPr>
        <w:tblW w:w="9980" w:type="dxa"/>
        <w:tblInd w:w="2" w:type="dxa"/>
        <w:tblCellMar>
          <w:left w:w="0" w:type="dxa"/>
          <w:right w:w="0" w:type="dxa"/>
        </w:tblCellMar>
        <w:tblLook w:val="04A0" w:firstRow="1" w:lastRow="0" w:firstColumn="1" w:lastColumn="0" w:noHBand="0" w:noVBand="1"/>
      </w:tblPr>
      <w:tblGrid>
        <w:gridCol w:w="4160"/>
        <w:gridCol w:w="1500"/>
        <w:gridCol w:w="1420"/>
        <w:gridCol w:w="1340"/>
        <w:gridCol w:w="1560"/>
      </w:tblGrid>
      <w:tr w:rsidR="005244F8" w:rsidRPr="004E0BF4" w14:paraId="7347C702" w14:textId="77777777" w:rsidTr="00F965A6">
        <w:trPr>
          <w:trHeight w:val="315"/>
        </w:trPr>
        <w:tc>
          <w:tcPr>
            <w:tcW w:w="4160" w:type="dxa"/>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14:paraId="2C31A96B"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Type of Cost</w:t>
            </w:r>
          </w:p>
        </w:tc>
        <w:tc>
          <w:tcPr>
            <w:tcW w:w="1500"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083D4671" w14:textId="77777777" w:rsidR="005244F8" w:rsidRPr="004E0BF4" w:rsidRDefault="005244F8" w:rsidP="00F965A6">
            <w:pPr>
              <w:jc w:val="cente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2022</w:t>
            </w:r>
          </w:p>
        </w:tc>
        <w:tc>
          <w:tcPr>
            <w:tcW w:w="1420"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1C404FD" w14:textId="77777777" w:rsidR="005244F8" w:rsidRPr="004E0BF4" w:rsidRDefault="005244F8" w:rsidP="00F965A6">
            <w:pPr>
              <w:jc w:val="cente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2023</w:t>
            </w:r>
          </w:p>
        </w:tc>
        <w:tc>
          <w:tcPr>
            <w:tcW w:w="1340"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480030A1" w14:textId="77777777" w:rsidR="005244F8" w:rsidRPr="004E0BF4" w:rsidRDefault="005244F8" w:rsidP="00F965A6">
            <w:pPr>
              <w:jc w:val="cente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2024</w:t>
            </w:r>
          </w:p>
        </w:tc>
        <w:tc>
          <w:tcPr>
            <w:tcW w:w="1560"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4A567EB5" w14:textId="77777777" w:rsidR="005244F8" w:rsidRPr="004E0BF4" w:rsidRDefault="005244F8" w:rsidP="00F965A6">
            <w:pPr>
              <w:jc w:val="cente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2025</w:t>
            </w:r>
          </w:p>
        </w:tc>
      </w:tr>
      <w:tr w:rsidR="005244F8" w:rsidRPr="004E0BF4" w14:paraId="032244A0" w14:textId="77777777" w:rsidTr="00F965A6">
        <w:trPr>
          <w:trHeight w:val="6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A8F17"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UNICC Operations – including Management and Support (Hub and GeNS)</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02677"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09D83"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79537"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424BE"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r>
      <w:tr w:rsidR="005244F8" w:rsidRPr="004E0BF4" w14:paraId="370CCB7E"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F590F" w14:textId="77777777" w:rsidR="005244F8" w:rsidRPr="004E0BF4" w:rsidRDefault="005244F8" w:rsidP="00F965A6">
            <w:pPr>
              <w:ind w:firstLine="1100"/>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UNICC Hub Operations</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8715C"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164,000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1D042"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164,000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F34CA"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164,000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907CC"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164,000</w:t>
            </w:r>
          </w:p>
        </w:tc>
      </w:tr>
      <w:tr w:rsidR="005244F8" w:rsidRPr="004E0BF4" w14:paraId="120D85AA"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764F6" w14:textId="77777777" w:rsidR="005244F8" w:rsidRPr="004E0BF4" w:rsidRDefault="005244F8" w:rsidP="00F965A6">
            <w:pPr>
              <w:ind w:firstLine="1100"/>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UNICC GeNS Operations</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8F015"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247,000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F30BD"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247,000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C987"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300,000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93E72"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300,000</w:t>
            </w:r>
          </w:p>
        </w:tc>
      </w:tr>
      <w:tr w:rsidR="005244F8" w:rsidRPr="004E0BF4" w14:paraId="5FEDAD6B" w14:textId="77777777" w:rsidTr="00F965A6">
        <w:trPr>
          <w:trHeight w:val="300"/>
        </w:trPr>
        <w:tc>
          <w:tcPr>
            <w:tcW w:w="41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BCD93F7" w14:textId="77777777" w:rsidR="005244F8" w:rsidRPr="004E0BF4" w:rsidRDefault="005244F8" w:rsidP="00F965A6">
            <w:pPr>
              <w:ind w:firstLine="1100"/>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Further enhancements and development</w:t>
            </w:r>
          </w:p>
        </w:tc>
        <w:tc>
          <w:tcPr>
            <w:tcW w:w="15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8B22FF8"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4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6E6EA47"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89,000</w:t>
            </w:r>
          </w:p>
        </w:tc>
        <w:tc>
          <w:tcPr>
            <w:tcW w:w="1340" w:type="dxa"/>
            <w:tcBorders>
              <w:top w:val="nil"/>
              <w:left w:val="nil"/>
              <w:bottom w:val="nil"/>
              <w:right w:val="single" w:sz="8" w:space="0" w:color="auto"/>
            </w:tcBorders>
            <w:tcMar>
              <w:top w:w="0" w:type="dxa"/>
              <w:left w:w="108" w:type="dxa"/>
              <w:bottom w:w="0" w:type="dxa"/>
              <w:right w:w="108" w:type="dxa"/>
            </w:tcMar>
            <w:vAlign w:val="center"/>
            <w:hideMark/>
          </w:tcPr>
          <w:p w14:paraId="53B66D93"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14:paraId="18967AB2"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r>
      <w:tr w:rsidR="005244F8" w:rsidRPr="004E0BF4" w14:paraId="1D5F6408" w14:textId="77777777" w:rsidTr="00F965A6">
        <w:trPr>
          <w:trHeight w:val="315"/>
        </w:trPr>
        <w:tc>
          <w:tcPr>
            <w:tcW w:w="0" w:type="auto"/>
            <w:vMerge/>
            <w:tcBorders>
              <w:top w:val="nil"/>
              <w:left w:val="single" w:sz="8" w:space="0" w:color="auto"/>
              <w:bottom w:val="single" w:sz="8" w:space="0" w:color="000000"/>
              <w:right w:val="single" w:sz="8" w:space="0" w:color="auto"/>
            </w:tcBorders>
            <w:vAlign w:val="center"/>
            <w:hideMark/>
          </w:tcPr>
          <w:p w14:paraId="3C22C8E6" w14:textId="77777777" w:rsidR="005244F8" w:rsidRPr="004E0BF4" w:rsidRDefault="005244F8" w:rsidP="00F965A6">
            <w:pPr>
              <w:rPr>
                <w:rFonts w:ascii="Arial" w:eastAsia="Times New Roman" w:hAnsi="Arial" w:cs="Arial"/>
                <w:sz w:val="18"/>
                <w:szCs w:val="18"/>
                <w:lang w:eastAsia="en-IE"/>
              </w:rPr>
            </w:pPr>
          </w:p>
        </w:tc>
        <w:tc>
          <w:tcPr>
            <w:tcW w:w="0" w:type="auto"/>
            <w:vMerge/>
            <w:tcBorders>
              <w:top w:val="nil"/>
              <w:left w:val="nil"/>
              <w:bottom w:val="single" w:sz="8" w:space="0" w:color="000000"/>
              <w:right w:val="single" w:sz="8" w:space="0" w:color="auto"/>
            </w:tcBorders>
            <w:vAlign w:val="center"/>
            <w:hideMark/>
          </w:tcPr>
          <w:p w14:paraId="1D81F008" w14:textId="77777777" w:rsidR="005244F8" w:rsidRPr="004E0BF4" w:rsidRDefault="005244F8" w:rsidP="00F965A6">
            <w:pPr>
              <w:rPr>
                <w:rFonts w:ascii="Arial" w:eastAsia="Times New Roman" w:hAnsi="Arial" w:cs="Arial"/>
                <w:sz w:val="18"/>
                <w:szCs w:val="18"/>
                <w:lang w:eastAsia="en-IE"/>
              </w:rPr>
            </w:pPr>
          </w:p>
        </w:tc>
        <w:tc>
          <w:tcPr>
            <w:tcW w:w="0" w:type="auto"/>
            <w:vMerge/>
            <w:tcBorders>
              <w:top w:val="nil"/>
              <w:left w:val="nil"/>
              <w:bottom w:val="single" w:sz="8" w:space="0" w:color="000000"/>
              <w:right w:val="single" w:sz="8" w:space="0" w:color="auto"/>
            </w:tcBorders>
            <w:vAlign w:val="center"/>
            <w:hideMark/>
          </w:tcPr>
          <w:p w14:paraId="1CE21988" w14:textId="77777777" w:rsidR="005244F8" w:rsidRPr="004E0BF4" w:rsidRDefault="005244F8" w:rsidP="00F965A6">
            <w:pPr>
              <w:rPr>
                <w:rFonts w:ascii="Arial" w:eastAsia="Times New Roman" w:hAnsi="Arial" w:cs="Arial"/>
                <w:sz w:val="18"/>
                <w:szCs w:val="18"/>
                <w:lang w:eastAsia="en-IE"/>
              </w:rPr>
            </w:pP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A39D8"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89,000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9D93B"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89,000</w:t>
            </w:r>
          </w:p>
        </w:tc>
      </w:tr>
      <w:tr w:rsidR="005244F8" w:rsidRPr="004E0BF4" w14:paraId="7992FE7E"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D5833" w14:textId="77777777" w:rsidR="005244F8" w:rsidRPr="004E0BF4" w:rsidRDefault="005244F8" w:rsidP="00F965A6">
            <w:pPr>
              <w:ind w:firstLine="1100"/>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Inflation adjustment</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D9FCE"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85E4E"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41,000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6A037"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54,000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D3B92"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60,000</w:t>
            </w:r>
          </w:p>
        </w:tc>
      </w:tr>
      <w:tr w:rsidR="005244F8" w:rsidRPr="004E0BF4" w14:paraId="4E91BBFB"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A194B"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SUB-TOTAL</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91875"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411,000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BFB8C"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541,000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E08CC"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607,000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432E7"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613,000</w:t>
            </w:r>
          </w:p>
        </w:tc>
      </w:tr>
      <w:tr w:rsidR="005244F8" w:rsidRPr="004E0BF4" w14:paraId="13A22A41"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573E2"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B8DED"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09B5C"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4DF3B"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4A6DC"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r>
      <w:tr w:rsidR="005244F8" w:rsidRPr="004E0BF4" w14:paraId="041EB36B" w14:textId="77777777" w:rsidTr="00F965A6">
        <w:trPr>
          <w:trHeight w:val="6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BBB68"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ePhyto Program Management and Support (IPPC)</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15CAC"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0ECD"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D798F"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D276F"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r>
      <w:tr w:rsidR="005244F8" w:rsidRPr="004E0BF4" w14:paraId="0B69560F"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5C2D3" w14:textId="77777777" w:rsidR="005244F8" w:rsidRPr="004E0BF4" w:rsidRDefault="005244F8" w:rsidP="00F965A6">
            <w:pPr>
              <w:ind w:firstLine="1100"/>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ePhyto Program Manager*</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FDFE9"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100,000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DBD85"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100,000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C62EB"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100,000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BB5C7"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200,000</w:t>
            </w:r>
          </w:p>
        </w:tc>
      </w:tr>
      <w:tr w:rsidR="005244F8" w:rsidRPr="004E0BF4" w14:paraId="278000DE"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72ADB" w14:textId="77777777" w:rsidR="005244F8" w:rsidRPr="004E0BF4" w:rsidRDefault="005244F8" w:rsidP="00F965A6">
            <w:pPr>
              <w:ind w:firstLine="1100"/>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ePhyto Program Assistant</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3F040"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50,000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46ECF"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50,000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BF7CE"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E7660"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50,000</w:t>
            </w:r>
          </w:p>
        </w:tc>
      </w:tr>
      <w:tr w:rsidR="005244F8" w:rsidRPr="004E0BF4" w14:paraId="73265ED3"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DFCC4" w14:textId="77777777" w:rsidR="005244F8" w:rsidRPr="004E0BF4" w:rsidRDefault="005244F8" w:rsidP="00F965A6">
            <w:pPr>
              <w:ind w:firstLine="1100"/>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Travel</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6ED47"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20,000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9A338"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50,000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780CC"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60,000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4E9B4"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70,000</w:t>
            </w:r>
          </w:p>
        </w:tc>
      </w:tr>
      <w:tr w:rsidR="005244F8" w:rsidRPr="004E0BF4" w14:paraId="0D9EECF3"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0CCF3"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SUB-TOTAL</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34956"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170,000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57E3"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200,000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56BD0"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210,000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60E4A"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320,000</w:t>
            </w:r>
          </w:p>
        </w:tc>
      </w:tr>
      <w:tr w:rsidR="005244F8" w:rsidRPr="004E0BF4" w14:paraId="3C0BCB2E" w14:textId="77777777" w:rsidTr="00F965A6">
        <w:trPr>
          <w:trHeight w:val="315"/>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4E55E"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01EBD"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81F77"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BD3CC"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92276"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color w:val="000000"/>
                <w:sz w:val="18"/>
                <w:szCs w:val="18"/>
                <w:bdr w:val="none" w:sz="0" w:space="0" w:color="auto" w:frame="1"/>
                <w:lang w:eastAsia="en-IE"/>
              </w:rPr>
              <w:t> </w:t>
            </w:r>
          </w:p>
        </w:tc>
      </w:tr>
      <w:tr w:rsidR="005244F8" w:rsidRPr="004E0BF4" w14:paraId="3DC48B6C" w14:textId="77777777" w:rsidTr="00F965A6">
        <w:trPr>
          <w:trHeight w:val="315"/>
        </w:trPr>
        <w:tc>
          <w:tcPr>
            <w:tcW w:w="416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14:paraId="2B7E7409" w14:textId="77777777" w:rsidR="005244F8" w:rsidRPr="004E0BF4" w:rsidRDefault="005244F8" w:rsidP="00F965A6">
            <w:pPr>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Total Operational Costs in USD</w:t>
            </w:r>
          </w:p>
        </w:tc>
        <w:tc>
          <w:tcPr>
            <w:tcW w:w="150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2D364C52"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581,000</w:t>
            </w:r>
          </w:p>
        </w:tc>
        <w:tc>
          <w:tcPr>
            <w:tcW w:w="14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171AB178"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741,000</w:t>
            </w:r>
          </w:p>
        </w:tc>
        <w:tc>
          <w:tcPr>
            <w:tcW w:w="13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76170D9A"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817,000</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6D71B1F2" w14:textId="77777777" w:rsidR="005244F8" w:rsidRPr="004E0BF4" w:rsidRDefault="005244F8" w:rsidP="00F965A6">
            <w:pPr>
              <w:jc w:val="right"/>
              <w:rPr>
                <w:rFonts w:ascii="Arial" w:eastAsia="Times New Roman" w:hAnsi="Arial" w:cs="Arial"/>
                <w:sz w:val="18"/>
                <w:szCs w:val="18"/>
                <w:lang w:eastAsia="en-IE"/>
              </w:rPr>
            </w:pPr>
            <w:r w:rsidRPr="004E0BF4">
              <w:rPr>
                <w:rFonts w:ascii="Arial" w:eastAsia="Times New Roman" w:hAnsi="Arial" w:cs="Arial"/>
                <w:b/>
                <w:bCs/>
                <w:color w:val="000000"/>
                <w:sz w:val="18"/>
                <w:szCs w:val="18"/>
                <w:bdr w:val="none" w:sz="0" w:space="0" w:color="auto" w:frame="1"/>
                <w:lang w:eastAsia="en-IE"/>
              </w:rPr>
              <w:t>933,000</w:t>
            </w:r>
          </w:p>
        </w:tc>
      </w:tr>
    </w:tbl>
    <w:p w14:paraId="3AC41B67" w14:textId="2A332A66" w:rsidR="005244F8" w:rsidRDefault="005244F8" w:rsidP="005244F8">
      <w:pPr>
        <w:pStyle w:val="Caption"/>
        <w:rPr>
          <w:lang w:val="en-NZ"/>
        </w:rPr>
      </w:pPr>
      <w:r>
        <w:rPr>
          <w:lang w:val="en-NZ"/>
        </w:rPr>
        <w:t>Table 1. Costs association with operating the IPPC ePhyto Solution</w:t>
      </w:r>
      <w:r w:rsidR="00B9508A">
        <w:rPr>
          <w:lang w:val="en-NZ"/>
        </w:rPr>
        <w:br/>
        <w:t>Source: IPPC Secretariat</w:t>
      </w:r>
    </w:p>
    <w:p w14:paraId="3E59B045" w14:textId="4DD14DF9" w:rsidR="002E4EB3" w:rsidRDefault="002E4EB3" w:rsidP="004E0BF4">
      <w:pPr>
        <w:pStyle w:val="IPPParagraphnumbering"/>
      </w:pPr>
      <w:r>
        <w:t xml:space="preserve">At CPM 16 </w:t>
      </w:r>
      <w:r w:rsidR="00C133FF">
        <w:t>(</w:t>
      </w:r>
      <w:r>
        <w:t>2022</w:t>
      </w:r>
      <w:r w:rsidR="00C133FF">
        <w:t>)</w:t>
      </w:r>
      <w:r>
        <w:t xml:space="preserve"> several contracting parties </w:t>
      </w:r>
      <w:r w:rsidRPr="00144591">
        <w:t>shared their experience of the ePhyto Solution, commenting on how it reduce</w:t>
      </w:r>
      <w:r>
        <w:t>s</w:t>
      </w:r>
      <w:r w:rsidRPr="00144591">
        <w:t xml:space="preserve"> the incidence of fraudulent phytosanitary certificates, save</w:t>
      </w:r>
      <w:r>
        <w:t>s</w:t>
      </w:r>
      <w:r w:rsidRPr="00144591">
        <w:t xml:space="preserve"> time, facilitate</w:t>
      </w:r>
      <w:r>
        <w:t>s</w:t>
      </w:r>
      <w:r w:rsidRPr="00144591">
        <w:t xml:space="preserve"> data </w:t>
      </w:r>
      <w:r w:rsidRPr="00144591">
        <w:lastRenderedPageBreak/>
        <w:t>management and decision-making, and how beneficial it has been during the COVID-19 pandemic</w:t>
      </w:r>
      <w:r>
        <w:t xml:space="preserve">. It was also acknowledged that some countries can experience difficulties implementing ePhyto because of inadequate infrastructure. </w:t>
      </w:r>
    </w:p>
    <w:p w14:paraId="6F5A0431" w14:textId="39045F13" w:rsidR="00452CBE" w:rsidRDefault="00251535" w:rsidP="004E0BF4">
      <w:pPr>
        <w:pStyle w:val="IPPParagraphnumbering"/>
        <w:rPr>
          <w:lang w:val="en-NZ"/>
        </w:rPr>
      </w:pPr>
      <w:r>
        <w:rPr>
          <w:lang w:val="en-NZ"/>
        </w:rPr>
        <w:t xml:space="preserve">Funding of </w:t>
      </w:r>
      <w:r w:rsidR="00412DD2">
        <w:rPr>
          <w:lang w:val="en-NZ"/>
        </w:rPr>
        <w:t xml:space="preserve">the development, maintenance and implementation of the IPPC </w:t>
      </w:r>
      <w:r>
        <w:rPr>
          <w:lang w:val="en-NZ"/>
        </w:rPr>
        <w:t xml:space="preserve">ePhyto </w:t>
      </w:r>
      <w:r w:rsidR="00412DD2">
        <w:rPr>
          <w:lang w:val="en-NZ"/>
        </w:rPr>
        <w:t>S</w:t>
      </w:r>
      <w:r>
        <w:rPr>
          <w:lang w:val="en-NZ"/>
        </w:rPr>
        <w:t xml:space="preserve">olution </w:t>
      </w:r>
      <w:r w:rsidR="00412DD2">
        <w:rPr>
          <w:lang w:val="en-NZ"/>
        </w:rPr>
        <w:t xml:space="preserve">currently </w:t>
      </w:r>
      <w:r>
        <w:rPr>
          <w:lang w:val="en-NZ"/>
        </w:rPr>
        <w:t>relies on donors.</w:t>
      </w:r>
      <w:r w:rsidR="002916D3">
        <w:rPr>
          <w:lang w:val="en-NZ"/>
        </w:rPr>
        <w:t xml:space="preserve"> It is untenable in the long-term for countries to rely on a system for provision of trade-related official assurances (the ePhyto Solution) that is solely funded by voluntary donations.  This </w:t>
      </w:r>
      <w:r w:rsidR="00B45AFC">
        <w:rPr>
          <w:lang w:val="en-NZ"/>
        </w:rPr>
        <w:t xml:space="preserve">puts international trade at risk, </w:t>
      </w:r>
      <w:r w:rsidR="002916D3">
        <w:rPr>
          <w:lang w:val="en-NZ"/>
        </w:rPr>
        <w:t xml:space="preserve">makes </w:t>
      </w:r>
      <w:r w:rsidR="00C133FF">
        <w:rPr>
          <w:lang w:val="en-NZ"/>
        </w:rPr>
        <w:t xml:space="preserve">long-term </w:t>
      </w:r>
      <w:r w:rsidR="002916D3">
        <w:rPr>
          <w:lang w:val="en-NZ"/>
        </w:rPr>
        <w:t xml:space="preserve">planning </w:t>
      </w:r>
      <w:r w:rsidR="00B45AFC">
        <w:rPr>
          <w:lang w:val="en-NZ"/>
        </w:rPr>
        <w:t xml:space="preserve">difficult </w:t>
      </w:r>
      <w:r w:rsidR="002916D3">
        <w:rPr>
          <w:lang w:val="en-NZ"/>
        </w:rPr>
        <w:t xml:space="preserve">and </w:t>
      </w:r>
      <w:r w:rsidR="00C133FF">
        <w:rPr>
          <w:lang w:val="en-NZ"/>
        </w:rPr>
        <w:t xml:space="preserve">results in </w:t>
      </w:r>
      <w:r w:rsidR="002916D3">
        <w:rPr>
          <w:lang w:val="en-NZ"/>
        </w:rPr>
        <w:t xml:space="preserve">efforts </w:t>
      </w:r>
      <w:r w:rsidR="00C133FF">
        <w:rPr>
          <w:lang w:val="en-NZ"/>
        </w:rPr>
        <w:t xml:space="preserve">mainly being focussed on </w:t>
      </w:r>
      <w:r w:rsidR="002916D3">
        <w:rPr>
          <w:lang w:val="en-NZ"/>
        </w:rPr>
        <w:t>secur</w:t>
      </w:r>
      <w:r w:rsidR="00C133FF">
        <w:rPr>
          <w:lang w:val="en-NZ"/>
        </w:rPr>
        <w:t>ing</w:t>
      </w:r>
      <w:r w:rsidR="002916D3">
        <w:rPr>
          <w:lang w:val="en-NZ"/>
        </w:rPr>
        <w:t xml:space="preserve"> donor funding rather than maintaining, developing, and implementing ePhyto.  A robust and sustainable funding arrangement will provide a financially secure base and enhance confidence in the system.</w:t>
      </w:r>
    </w:p>
    <w:p w14:paraId="24A14439" w14:textId="286D7764" w:rsidR="00494E46" w:rsidRDefault="002916D3" w:rsidP="004E0BF4">
      <w:pPr>
        <w:pStyle w:val="IPPParagraphnumbering"/>
        <w:rPr>
          <w:lang w:val="en-NZ"/>
        </w:rPr>
      </w:pPr>
      <w:r>
        <w:rPr>
          <w:lang w:val="en-NZ"/>
        </w:rPr>
        <w:t xml:space="preserve">The </w:t>
      </w:r>
      <w:r w:rsidR="000C0334">
        <w:rPr>
          <w:lang w:val="en-NZ"/>
        </w:rPr>
        <w:t xml:space="preserve">ePhyto </w:t>
      </w:r>
      <w:r w:rsidR="00494E46">
        <w:rPr>
          <w:lang w:val="en-NZ"/>
        </w:rPr>
        <w:t xml:space="preserve">sustainable funding </w:t>
      </w:r>
      <w:r w:rsidR="000C0334">
        <w:rPr>
          <w:lang w:val="en-NZ"/>
        </w:rPr>
        <w:t xml:space="preserve">focus group </w:t>
      </w:r>
      <w:r w:rsidR="00494E46">
        <w:rPr>
          <w:lang w:val="en-NZ"/>
        </w:rPr>
        <w:t xml:space="preserve">(ePhyto FG) was established in April 2022. The proposals and questions in this paper are the result of discussions and work of that group.  </w:t>
      </w:r>
    </w:p>
    <w:p w14:paraId="0A8A0E19" w14:textId="61EE4724" w:rsidR="000C2C74" w:rsidRDefault="000C2C74" w:rsidP="00331051">
      <w:pPr>
        <w:pStyle w:val="Heading2"/>
        <w:rPr>
          <w:lang w:val="en-NZ"/>
        </w:rPr>
      </w:pPr>
      <w:r>
        <w:rPr>
          <w:lang w:val="en-NZ"/>
        </w:rPr>
        <w:t>Principles</w:t>
      </w:r>
    </w:p>
    <w:p w14:paraId="15712E95" w14:textId="0D5C791B" w:rsidR="000C2C74" w:rsidRDefault="000C2C74" w:rsidP="004E0BF4">
      <w:pPr>
        <w:pStyle w:val="IPPParagraphnumbering"/>
      </w:pPr>
      <w:r>
        <w:t xml:space="preserve">CPM 15 </w:t>
      </w:r>
      <w:r w:rsidR="007C007C">
        <w:t xml:space="preserve">(2021) </w:t>
      </w:r>
      <w:r>
        <w:t>noted some fundamental principles for consideration in developing a sustainable funding mechanism for the ePhyto Solution, including fee exemptions for countries with low usage, payments being based on usage, and that an ePhyto funding mechanism should not be used to support other IPPC activities. The ePhyto FG acknowledged these principles and developed the following to guide discussions on options</w:t>
      </w:r>
      <w:r w:rsidR="00904AE0">
        <w:t>.</w:t>
      </w:r>
      <w:r>
        <w:t xml:space="preserve"> </w:t>
      </w:r>
    </w:p>
    <w:p w14:paraId="218B8DD2" w14:textId="3BCC7642" w:rsidR="00904AE0" w:rsidRDefault="00904AE0" w:rsidP="004E0BF4">
      <w:pPr>
        <w:pStyle w:val="IPPParagraphnumbering"/>
      </w:pPr>
      <w:r>
        <w:rPr>
          <w:rStyle w:val="Strong"/>
        </w:rPr>
        <w:t xml:space="preserve">Equity </w:t>
      </w:r>
      <w:r>
        <w:br/>
        <w:t xml:space="preserve">The sustainable funding mechanism must not create unequal rights or access. This recognises that ePhyto is for all contracting parties and that the benefits of the ePhyto solution are available to all participating NPPOs. </w:t>
      </w:r>
    </w:p>
    <w:p w14:paraId="1C05A510" w14:textId="07C16122" w:rsidR="00904AE0" w:rsidRDefault="00904AE0" w:rsidP="004E0BF4">
      <w:pPr>
        <w:pStyle w:val="IPPParagraphnumbering"/>
      </w:pPr>
      <w:r w:rsidRPr="0015141E">
        <w:rPr>
          <w:rStyle w:val="Strong"/>
        </w:rPr>
        <w:t>Accessible</w:t>
      </w:r>
      <w:r>
        <w:br/>
        <w:t>The sustainable funding mechanism must ensure that all participating NPPOs who wish to access ePhyto are able to do so. It must not present or create unreasonable barriers to entry</w:t>
      </w:r>
      <w:r w:rsidR="00B359C1">
        <w:t xml:space="preserve"> and </w:t>
      </w:r>
      <w:r>
        <w:t xml:space="preserve">should enable maximum participation by NPPOs and may do this by putting in place </w:t>
      </w:r>
      <w:r w:rsidR="00D03859">
        <w:t xml:space="preserve">free or low-cost </w:t>
      </w:r>
      <w:r>
        <w:t xml:space="preserve">thresholds or similar for </w:t>
      </w:r>
      <w:r w:rsidR="00B45AFC">
        <w:t>L</w:t>
      </w:r>
      <w:r>
        <w:t xml:space="preserve">east </w:t>
      </w:r>
      <w:r w:rsidR="00B45AFC">
        <w:t>D</w:t>
      </w:r>
      <w:r>
        <w:t xml:space="preserve">eveloped </w:t>
      </w:r>
      <w:r w:rsidR="00B359C1">
        <w:t>economies</w:t>
      </w:r>
      <w:r>
        <w:t xml:space="preserve">. </w:t>
      </w:r>
    </w:p>
    <w:p w14:paraId="1F9A1FDF" w14:textId="5CA0C2D4" w:rsidR="00904AE0" w:rsidRPr="007A5533" w:rsidRDefault="00904AE0" w:rsidP="004E0BF4">
      <w:pPr>
        <w:pStyle w:val="IPPParagraphnumbering"/>
        <w:rPr>
          <w:lang w:eastAsia="en-NZ"/>
        </w:rPr>
      </w:pPr>
      <w:r w:rsidRPr="00393EB4">
        <w:rPr>
          <w:rStyle w:val="Strong"/>
        </w:rPr>
        <w:t>Transparent</w:t>
      </w:r>
      <w:r>
        <w:br/>
        <w:t xml:space="preserve">All costs, cost components and usage </w:t>
      </w:r>
      <w:r w:rsidR="00D03859">
        <w:t xml:space="preserve">information and </w:t>
      </w:r>
      <w:r>
        <w:t xml:space="preserve">data must be </w:t>
      </w:r>
      <w:r>
        <w:rPr>
          <w:lang w:eastAsia="en-NZ"/>
        </w:rPr>
        <w:t>available to all participating NPPOs and reported on regularly. Any calculations used to determine contributions must be transparent to enable accountability</w:t>
      </w:r>
      <w:r w:rsidR="00B45AFC">
        <w:rPr>
          <w:lang w:eastAsia="en-NZ"/>
        </w:rPr>
        <w:t xml:space="preserve"> and maintain confidence in the funding mechanism</w:t>
      </w:r>
      <w:r>
        <w:rPr>
          <w:lang w:eastAsia="en-NZ"/>
        </w:rPr>
        <w:t>.</w:t>
      </w:r>
    </w:p>
    <w:p w14:paraId="76C57C4F" w14:textId="361F90B1" w:rsidR="00904AE0" w:rsidRDefault="00904AE0" w:rsidP="004E0BF4">
      <w:pPr>
        <w:pStyle w:val="IPPParagraphnumbering"/>
      </w:pPr>
      <w:r w:rsidRPr="00AD10CB">
        <w:rPr>
          <w:rStyle w:val="Strong"/>
        </w:rPr>
        <w:t>Efficient</w:t>
      </w:r>
      <w:r>
        <w:t xml:space="preserve"> </w:t>
      </w:r>
      <w:r>
        <w:br/>
        <w:t xml:space="preserve">The sustainable funding mechanism must aim to provide the maximum benefit at a cost affordable to those who are paying.  The mechanism needs to be </w:t>
      </w:r>
      <w:r w:rsidR="002B54E8">
        <w:t xml:space="preserve">clear, auditable, </w:t>
      </w:r>
      <w:r>
        <w:t xml:space="preserve">simple to administer, </w:t>
      </w:r>
      <w:r w:rsidR="002B54E8">
        <w:t xml:space="preserve">and facilitate </w:t>
      </w:r>
      <w:r>
        <w:t xml:space="preserve">fund transfer / collection. </w:t>
      </w:r>
    </w:p>
    <w:p w14:paraId="79A12E9C" w14:textId="73210B70" w:rsidR="00904AE0" w:rsidRDefault="004E0BF4" w:rsidP="00904AE0">
      <w:pPr>
        <w:rPr>
          <w:lang w:val="en-NZ"/>
        </w:rPr>
      </w:pPr>
      <w:r>
        <w:rPr>
          <w:b/>
          <w:bCs/>
          <w:lang w:val="en-NZ"/>
        </w:rPr>
        <w:t>User</w:t>
      </w:r>
      <w:r w:rsidR="00904AE0">
        <w:rPr>
          <w:b/>
          <w:bCs/>
          <w:lang w:val="en-NZ"/>
        </w:rPr>
        <w:t>pays</w:t>
      </w:r>
      <w:r w:rsidR="00904AE0">
        <w:rPr>
          <w:b/>
          <w:bCs/>
          <w:lang w:val="en-NZ"/>
        </w:rPr>
        <w:br/>
      </w:r>
      <w:r w:rsidR="002B54E8">
        <w:rPr>
          <w:lang w:val="en-NZ"/>
        </w:rPr>
        <w:t xml:space="preserve">Only those </w:t>
      </w:r>
      <w:r w:rsidR="00904AE0" w:rsidRPr="00F23212">
        <w:rPr>
          <w:lang w:val="en-NZ"/>
        </w:rPr>
        <w:t xml:space="preserve">who </w:t>
      </w:r>
      <w:r w:rsidR="00B359C1">
        <w:rPr>
          <w:lang w:val="en-NZ"/>
        </w:rPr>
        <w:t xml:space="preserve">use </w:t>
      </w:r>
      <w:r w:rsidR="00904AE0" w:rsidRPr="00F23212">
        <w:rPr>
          <w:lang w:val="en-NZ"/>
        </w:rPr>
        <w:t>the e</w:t>
      </w:r>
      <w:r w:rsidR="00B359C1">
        <w:rPr>
          <w:lang w:val="en-NZ"/>
        </w:rPr>
        <w:t>P</w:t>
      </w:r>
      <w:r w:rsidR="00904AE0" w:rsidRPr="00F23212">
        <w:rPr>
          <w:lang w:val="en-NZ"/>
        </w:rPr>
        <w:t xml:space="preserve">hyto solution should bear the cost </w:t>
      </w:r>
      <w:r w:rsidR="002B54E8">
        <w:rPr>
          <w:lang w:val="en-NZ"/>
        </w:rPr>
        <w:t xml:space="preserve">associated with it. Note that this </w:t>
      </w:r>
      <w:r w:rsidR="00B359C1">
        <w:rPr>
          <w:lang w:val="en-NZ"/>
        </w:rPr>
        <w:t>p</w:t>
      </w:r>
      <w:r w:rsidR="00904AE0">
        <w:rPr>
          <w:lang w:val="en-NZ"/>
        </w:rPr>
        <w:t>rinciple may not always be applied to all users in favour of other principles, e.g. efficient, accessible.</w:t>
      </w:r>
    </w:p>
    <w:p w14:paraId="68AF0B73" w14:textId="77777777" w:rsidR="004E0BF4" w:rsidRDefault="004E0BF4" w:rsidP="00416679">
      <w:pPr>
        <w:pStyle w:val="Heading1"/>
        <w:rPr>
          <w:lang w:val="en-NZ"/>
        </w:rPr>
      </w:pPr>
      <w:bookmarkStart w:id="0" w:name="_Hlk113287993"/>
    </w:p>
    <w:p w14:paraId="18F20CEA" w14:textId="13F2E7B0" w:rsidR="00C941D0" w:rsidRDefault="00673FE6" w:rsidP="00416679">
      <w:pPr>
        <w:pStyle w:val="Heading1"/>
        <w:rPr>
          <w:lang w:val="en-NZ"/>
        </w:rPr>
      </w:pPr>
      <w:r>
        <w:rPr>
          <w:lang w:val="en-NZ"/>
        </w:rPr>
        <w:t>Options for sustainable funding of the ePhyto S</w:t>
      </w:r>
      <w:r w:rsidR="0032786D">
        <w:rPr>
          <w:lang w:val="en-NZ"/>
        </w:rPr>
        <w:t xml:space="preserve">olution </w:t>
      </w:r>
    </w:p>
    <w:p w14:paraId="6A0EC277" w14:textId="52069B12" w:rsidR="0085612C" w:rsidRDefault="00673FE6" w:rsidP="004E0BF4">
      <w:pPr>
        <w:pStyle w:val="IPPParagraphnumbering"/>
      </w:pPr>
      <w:r>
        <w:t xml:space="preserve">There are three components to a sustainable funding mechanism: </w:t>
      </w:r>
    </w:p>
    <w:p w14:paraId="1164C9C1" w14:textId="10ABC243" w:rsidR="00376851" w:rsidRDefault="0032786D" w:rsidP="004E0BF4">
      <w:pPr>
        <w:pStyle w:val="IPPBullet1"/>
      </w:pPr>
      <w:r>
        <w:t>Scope</w:t>
      </w:r>
      <w:r w:rsidR="00673FE6">
        <w:t xml:space="preserve"> of costs to include or exclude </w:t>
      </w:r>
    </w:p>
    <w:p w14:paraId="193ABC7F" w14:textId="10619AD2" w:rsidR="0032786D" w:rsidRDefault="0032786D" w:rsidP="004E0BF4">
      <w:pPr>
        <w:pStyle w:val="IPPBullet1"/>
      </w:pPr>
      <w:r>
        <w:t xml:space="preserve">How </w:t>
      </w:r>
      <w:r w:rsidR="00673FE6">
        <w:t xml:space="preserve">to </w:t>
      </w:r>
      <w:r>
        <w:t>apportion</w:t>
      </w:r>
      <w:r w:rsidR="00673FE6">
        <w:t xml:space="preserve"> costs </w:t>
      </w:r>
      <w:r>
        <w:t xml:space="preserve">across users </w:t>
      </w:r>
    </w:p>
    <w:p w14:paraId="5FB49CDD" w14:textId="2376EE7C" w:rsidR="0032786D" w:rsidRPr="0085612C" w:rsidRDefault="00673FE6" w:rsidP="004E0BF4">
      <w:pPr>
        <w:pStyle w:val="IPPBullet1"/>
      </w:pPr>
      <w:r>
        <w:t xml:space="preserve">An efficient and effective </w:t>
      </w:r>
      <w:r w:rsidR="0032786D">
        <w:t>payment system</w:t>
      </w:r>
    </w:p>
    <w:p w14:paraId="1ED1C442" w14:textId="05B62B17" w:rsidR="00717A8A" w:rsidRDefault="00717A8A" w:rsidP="004E0BF4">
      <w:pPr>
        <w:pStyle w:val="IPPParagraphnumbering"/>
      </w:pPr>
      <w:r>
        <w:lastRenderedPageBreak/>
        <w:t>As a baseline,</w:t>
      </w:r>
      <w:r w:rsidR="00673FE6">
        <w:t xml:space="preserve"> the ePhyto FG proposes that, to ensure transparency, ePhyto Solution costs</w:t>
      </w:r>
      <w:r w:rsidR="00E07B35">
        <w:t>, revenue</w:t>
      </w:r>
      <w:r w:rsidR="00673FE6">
        <w:t xml:space="preserve"> and usage are reported on annually</w:t>
      </w:r>
      <w:r w:rsidR="002B54E8">
        <w:t xml:space="preserve"> </w:t>
      </w:r>
      <w:r w:rsidR="002B54E8" w:rsidRPr="0051446C">
        <w:t>to CPM</w:t>
      </w:r>
      <w:r w:rsidR="00673FE6">
        <w:t xml:space="preserve">. </w:t>
      </w:r>
      <w:r w:rsidR="00E07B35">
        <w:t xml:space="preserve"> </w:t>
      </w:r>
      <w:r w:rsidR="0083796F">
        <w:t xml:space="preserve">Note that it is challenging to </w:t>
      </w:r>
      <w:r w:rsidR="002B54E8">
        <w:t xml:space="preserve">perfectly align </w:t>
      </w:r>
      <w:r w:rsidR="00E07B35">
        <w:t xml:space="preserve">revenue and expenses </w:t>
      </w:r>
      <w:r w:rsidR="002B54E8">
        <w:t>and as a result there is a likelihood of either under or over charging</w:t>
      </w:r>
      <w:r w:rsidR="00E07B35">
        <w:t xml:space="preserve">.  To limit either </w:t>
      </w:r>
      <w:r w:rsidR="004E42FC">
        <w:t xml:space="preserve">significant </w:t>
      </w:r>
      <w:r w:rsidR="00D03859">
        <w:t xml:space="preserve">surpluses or </w:t>
      </w:r>
      <w:r w:rsidR="004E42FC">
        <w:t>shortfalls</w:t>
      </w:r>
      <w:r w:rsidR="00D03859">
        <w:t xml:space="preserve"> accumulating</w:t>
      </w:r>
      <w:r w:rsidR="004E42FC">
        <w:t>,</w:t>
      </w:r>
      <w:r w:rsidR="0083796F">
        <w:t xml:space="preserve"> funding contributions </w:t>
      </w:r>
      <w:r w:rsidR="004E42FC">
        <w:t xml:space="preserve">should be reviewed </w:t>
      </w:r>
      <w:r w:rsidR="008F3AC1">
        <w:t>regularly</w:t>
      </w:r>
      <w:r w:rsidR="0083796F">
        <w:t xml:space="preserve">, for example every two </w:t>
      </w:r>
      <w:r w:rsidR="004E42FC">
        <w:t xml:space="preserve">years. </w:t>
      </w:r>
      <w:r w:rsidR="00E07B35">
        <w:t xml:space="preserve"> </w:t>
      </w:r>
      <w:r w:rsidR="004E42FC">
        <w:t xml:space="preserve">In addition, </w:t>
      </w:r>
      <w:r w:rsidR="0083796F">
        <w:t xml:space="preserve">the ePhyto FG </w:t>
      </w:r>
      <w:r w:rsidR="004E42FC">
        <w:t xml:space="preserve">propose </w:t>
      </w:r>
      <w:r w:rsidR="00E07B35">
        <w:t xml:space="preserve">that </w:t>
      </w:r>
      <w:r w:rsidR="008F3AC1">
        <w:t xml:space="preserve">after </w:t>
      </w:r>
      <w:r w:rsidR="004E42FC">
        <w:t xml:space="preserve">the </w:t>
      </w:r>
      <w:r w:rsidR="00E07B35">
        <w:t xml:space="preserve">funding solution </w:t>
      </w:r>
      <w:r w:rsidR="004E42FC">
        <w:t xml:space="preserve">and system </w:t>
      </w:r>
      <w:r w:rsidR="008F3AC1">
        <w:t>are established, that they</w:t>
      </w:r>
      <w:r w:rsidR="004E42FC">
        <w:t xml:space="preserve"> </w:t>
      </w:r>
      <w:r w:rsidR="00E07B35">
        <w:t xml:space="preserve">reviewed after </w:t>
      </w:r>
      <w:r w:rsidR="0083796F">
        <w:t xml:space="preserve">five </w:t>
      </w:r>
      <w:r w:rsidR="00E07B35">
        <w:t xml:space="preserve">years to ensure </w:t>
      </w:r>
      <w:r w:rsidR="008F3AC1">
        <w:t xml:space="preserve">they are </w:t>
      </w:r>
      <w:r w:rsidR="00E07B35">
        <w:t xml:space="preserve">working </w:t>
      </w:r>
      <w:r w:rsidR="0083796F">
        <w:t xml:space="preserve">as intended, with the aim of </w:t>
      </w:r>
      <w:r w:rsidR="00E07B35">
        <w:t>propos</w:t>
      </w:r>
      <w:r w:rsidR="0083796F">
        <w:t xml:space="preserve">ing relevant </w:t>
      </w:r>
      <w:r w:rsidR="00E07B35">
        <w:t xml:space="preserve">changes. </w:t>
      </w:r>
    </w:p>
    <w:p w14:paraId="7E23E05E" w14:textId="0B558DB3" w:rsidR="0083796F" w:rsidRDefault="0083796F" w:rsidP="004E0BF4">
      <w:pPr>
        <w:pStyle w:val="IPPParagraphnumbering"/>
      </w:pPr>
      <w:r>
        <w:t xml:space="preserve">Note that </w:t>
      </w:r>
      <w:r w:rsidR="007B1864">
        <w:t xml:space="preserve">of the </w:t>
      </w:r>
      <w:r w:rsidR="002B5436">
        <w:t xml:space="preserve">seven </w:t>
      </w:r>
      <w:r w:rsidR="007B1864">
        <w:t xml:space="preserve">options presented at </w:t>
      </w:r>
      <w:r w:rsidR="002E4EB3">
        <w:t>CPM 15</w:t>
      </w:r>
      <w:r w:rsidR="002B54E8">
        <w:t xml:space="preserve"> (2021)</w:t>
      </w:r>
      <w:r w:rsidR="007B1864">
        <w:t xml:space="preserve">, none were </w:t>
      </w:r>
      <w:r w:rsidR="00D03859">
        <w:t xml:space="preserve">selected </w:t>
      </w:r>
      <w:r w:rsidR="00C13004">
        <w:t xml:space="preserve">by CPM as warranting </w:t>
      </w:r>
      <w:r w:rsidR="007B1864">
        <w:t>further development or consideration. For completeness, these are presented in Annex 2</w:t>
      </w:r>
      <w:r w:rsidR="002B5436">
        <w:t xml:space="preserve"> with a comment on how they were considered by the ePhyto FG</w:t>
      </w:r>
      <w:r w:rsidR="009C1E5F">
        <w:t>.</w:t>
      </w:r>
      <w:r w:rsidR="007B1864">
        <w:t xml:space="preserve"> </w:t>
      </w:r>
    </w:p>
    <w:p w14:paraId="58B5E9AD" w14:textId="65251FD6" w:rsidR="00E2052A" w:rsidRPr="004E0BF4" w:rsidRDefault="00376851" w:rsidP="00331051">
      <w:pPr>
        <w:pStyle w:val="Heading2"/>
        <w:rPr>
          <w:rFonts w:ascii="Times New Roman" w:hAnsi="Times New Roman"/>
          <w:lang w:val="en-NZ"/>
        </w:rPr>
      </w:pPr>
      <w:r w:rsidRPr="004E0BF4">
        <w:rPr>
          <w:rFonts w:ascii="Times New Roman" w:hAnsi="Times New Roman"/>
          <w:lang w:val="en-NZ"/>
        </w:rPr>
        <w:t>Scope</w:t>
      </w:r>
      <w:r w:rsidR="007B1864" w:rsidRPr="004E0BF4">
        <w:rPr>
          <w:rFonts w:ascii="Times New Roman" w:hAnsi="Times New Roman"/>
          <w:lang w:val="en-NZ"/>
        </w:rPr>
        <w:t xml:space="preserve"> of </w:t>
      </w:r>
      <w:r w:rsidRPr="004E0BF4">
        <w:rPr>
          <w:rFonts w:ascii="Times New Roman" w:hAnsi="Times New Roman"/>
          <w:lang w:val="en-NZ"/>
        </w:rPr>
        <w:t xml:space="preserve">costs to include or </w:t>
      </w:r>
      <w:r w:rsidR="00E2052A" w:rsidRPr="004E0BF4">
        <w:rPr>
          <w:rFonts w:ascii="Times New Roman" w:hAnsi="Times New Roman"/>
          <w:lang w:val="en-NZ"/>
        </w:rPr>
        <w:t xml:space="preserve">exclude </w:t>
      </w:r>
    </w:p>
    <w:p w14:paraId="226C43AB" w14:textId="541E1C62" w:rsidR="00E2052A" w:rsidRPr="004E0BF4" w:rsidRDefault="00F84395" w:rsidP="00376851">
      <w:pPr>
        <w:pStyle w:val="ListParagraph"/>
        <w:numPr>
          <w:ilvl w:val="0"/>
          <w:numId w:val="3"/>
        </w:numPr>
        <w:ind w:left="1240"/>
        <w:rPr>
          <w:rFonts w:ascii="Times New Roman" w:hAnsi="Times New Roman"/>
          <w:b/>
          <w:sz w:val="22"/>
          <w:szCs w:val="22"/>
          <w:lang w:val="en-NZ"/>
        </w:rPr>
      </w:pPr>
      <w:r w:rsidRPr="004E0BF4">
        <w:rPr>
          <w:rFonts w:ascii="Times New Roman" w:hAnsi="Times New Roman"/>
          <w:b/>
          <w:sz w:val="22"/>
          <w:szCs w:val="22"/>
          <w:lang w:val="en-NZ"/>
        </w:rPr>
        <w:t>Include all</w:t>
      </w:r>
      <w:r w:rsidR="00C068C7" w:rsidRPr="004E0BF4">
        <w:rPr>
          <w:rFonts w:ascii="Times New Roman" w:hAnsi="Times New Roman"/>
          <w:b/>
          <w:sz w:val="22"/>
          <w:szCs w:val="22"/>
          <w:lang w:val="en-NZ"/>
        </w:rPr>
        <w:t xml:space="preserve"> fixed costs, maintenance, enhancements, </w:t>
      </w:r>
      <w:r w:rsidR="008F3AC1" w:rsidRPr="004E0BF4">
        <w:rPr>
          <w:rFonts w:ascii="Times New Roman" w:hAnsi="Times New Roman"/>
          <w:b/>
          <w:sz w:val="22"/>
          <w:szCs w:val="22"/>
          <w:lang w:val="en-NZ"/>
        </w:rPr>
        <w:t>communications</w:t>
      </w:r>
      <w:r w:rsidR="00C068C7" w:rsidRPr="004E0BF4">
        <w:rPr>
          <w:rFonts w:ascii="Times New Roman" w:hAnsi="Times New Roman"/>
          <w:b/>
          <w:sz w:val="22"/>
          <w:szCs w:val="22"/>
          <w:lang w:val="en-NZ"/>
        </w:rPr>
        <w:t xml:space="preserve">, secretariat support, </w:t>
      </w:r>
      <w:r w:rsidR="008F3AC1" w:rsidRPr="004E0BF4">
        <w:rPr>
          <w:rFonts w:ascii="Times New Roman" w:hAnsi="Times New Roman"/>
          <w:b/>
          <w:sz w:val="22"/>
          <w:szCs w:val="22"/>
          <w:lang w:val="en-NZ"/>
        </w:rPr>
        <w:t xml:space="preserve">and </w:t>
      </w:r>
      <w:r w:rsidR="00C068C7" w:rsidRPr="004E0BF4">
        <w:rPr>
          <w:rFonts w:ascii="Times New Roman" w:hAnsi="Times New Roman"/>
          <w:b/>
          <w:sz w:val="22"/>
          <w:szCs w:val="22"/>
          <w:lang w:val="en-NZ"/>
        </w:rPr>
        <w:t xml:space="preserve">future governance costs </w:t>
      </w:r>
      <w:r w:rsidR="00831329" w:rsidRPr="004E0BF4">
        <w:rPr>
          <w:rFonts w:ascii="Times New Roman" w:hAnsi="Times New Roman"/>
          <w:b/>
          <w:sz w:val="22"/>
          <w:szCs w:val="22"/>
          <w:lang w:val="en-NZ"/>
        </w:rPr>
        <w:t xml:space="preserve">of both the Hub and GENS </w:t>
      </w:r>
    </w:p>
    <w:p w14:paraId="453D30EE" w14:textId="1D9E5B0A" w:rsidR="00C068C7" w:rsidRPr="00F84395" w:rsidRDefault="004C77C6" w:rsidP="004E0BF4">
      <w:pPr>
        <w:pStyle w:val="IPPParagraphnumbering"/>
      </w:pPr>
      <w:r w:rsidRPr="00F84395">
        <w:rPr>
          <w:b/>
          <w:bCs/>
        </w:rPr>
        <w:t>Advantages</w:t>
      </w:r>
      <w:r w:rsidR="00F84395">
        <w:rPr>
          <w:b/>
          <w:bCs/>
        </w:rPr>
        <w:br/>
      </w:r>
      <w:r w:rsidR="00483573">
        <w:t xml:space="preserve">This option keeps the costs contained to </w:t>
      </w:r>
      <w:r w:rsidR="00C068C7" w:rsidRPr="00F84395">
        <w:t xml:space="preserve">direct actual costs of providing the </w:t>
      </w:r>
      <w:r w:rsidR="00483573">
        <w:t xml:space="preserve">ePhyto Solution. It ensures that </w:t>
      </w:r>
      <w:r w:rsidR="00C068C7" w:rsidRPr="00F84395">
        <w:t>fund</w:t>
      </w:r>
      <w:r w:rsidR="00483573">
        <w:t xml:space="preserve">ing is </w:t>
      </w:r>
      <w:r w:rsidR="00C068C7" w:rsidRPr="00F84395">
        <w:t xml:space="preserve">available for on-going </w:t>
      </w:r>
      <w:r w:rsidR="00483573">
        <w:t xml:space="preserve">maintenance and </w:t>
      </w:r>
      <w:r w:rsidR="00C068C7" w:rsidRPr="00F84395">
        <w:t>enhancement</w:t>
      </w:r>
      <w:r w:rsidR="00483573">
        <w:t xml:space="preserve"> e.g. security updates, addition of languages) as well as operational costs.</w:t>
      </w:r>
      <w:r w:rsidR="00C068C7" w:rsidRPr="00F84395">
        <w:t xml:space="preserve"> </w:t>
      </w:r>
    </w:p>
    <w:p w14:paraId="166F0CD1" w14:textId="2775C7A9" w:rsidR="00C068C7" w:rsidRPr="00DE0D37" w:rsidRDefault="004C77C6" w:rsidP="004E0BF4">
      <w:pPr>
        <w:pStyle w:val="IPPParagraphnumbering"/>
      </w:pPr>
      <w:r w:rsidRPr="00F84395">
        <w:rPr>
          <w:b/>
          <w:bCs/>
        </w:rPr>
        <w:t>Disadvantages</w:t>
      </w:r>
      <w:r w:rsidR="00DD7A51">
        <w:rPr>
          <w:b/>
          <w:bCs/>
        </w:rPr>
        <w:br/>
      </w:r>
      <w:r w:rsidR="00DE0D37">
        <w:t>No real disadvantage</w:t>
      </w:r>
      <w:r w:rsidR="00F965A6">
        <w:t xml:space="preserve">; this option </w:t>
      </w:r>
      <w:r w:rsidR="00994CEA">
        <w:t>cover</w:t>
      </w:r>
      <w:r w:rsidR="00F965A6">
        <w:t>s</w:t>
      </w:r>
      <w:r w:rsidR="00994CEA">
        <w:t xml:space="preserve"> all costs </w:t>
      </w:r>
      <w:r w:rsidR="00F965A6">
        <w:t>need to operate, maintain and undertaken necessary enhancements</w:t>
      </w:r>
      <w:r w:rsidR="00953486">
        <w:t xml:space="preserve">. </w:t>
      </w:r>
    </w:p>
    <w:p w14:paraId="6449912A" w14:textId="61490DE7" w:rsidR="00E2052A" w:rsidRDefault="00F84395" w:rsidP="004E0BF4">
      <w:pPr>
        <w:pStyle w:val="ListParagraph"/>
        <w:numPr>
          <w:ilvl w:val="0"/>
          <w:numId w:val="3"/>
        </w:numPr>
        <w:ind w:left="1240"/>
        <w:rPr>
          <w:rFonts w:ascii="Times New Roman" w:hAnsi="Times New Roman"/>
          <w:b/>
          <w:sz w:val="22"/>
          <w:szCs w:val="22"/>
          <w:lang w:val="en-NZ"/>
        </w:rPr>
      </w:pPr>
      <w:r w:rsidRPr="004E0BF4">
        <w:rPr>
          <w:rFonts w:ascii="Times New Roman" w:hAnsi="Times New Roman"/>
          <w:b/>
          <w:sz w:val="22"/>
          <w:szCs w:val="22"/>
          <w:lang w:val="en-NZ"/>
        </w:rPr>
        <w:t xml:space="preserve">All costs </w:t>
      </w:r>
      <w:r w:rsidR="00283A7D" w:rsidRPr="004E0BF4">
        <w:rPr>
          <w:rFonts w:ascii="Times New Roman" w:hAnsi="Times New Roman"/>
          <w:b/>
          <w:sz w:val="22"/>
          <w:szCs w:val="22"/>
          <w:lang w:val="en-NZ"/>
        </w:rPr>
        <w:t xml:space="preserve">(same as option 1) </w:t>
      </w:r>
      <w:r w:rsidRPr="004E0BF4">
        <w:rPr>
          <w:rFonts w:ascii="Times New Roman" w:hAnsi="Times New Roman"/>
          <w:b/>
          <w:sz w:val="22"/>
          <w:szCs w:val="22"/>
          <w:lang w:val="en-NZ"/>
        </w:rPr>
        <w:t xml:space="preserve">plus an additional amount </w:t>
      </w:r>
      <w:r w:rsidR="00E2052A" w:rsidRPr="004E0BF4">
        <w:rPr>
          <w:rFonts w:ascii="Times New Roman" w:hAnsi="Times New Roman"/>
          <w:b/>
          <w:sz w:val="22"/>
          <w:szCs w:val="22"/>
          <w:lang w:val="en-NZ"/>
        </w:rPr>
        <w:t>(</w:t>
      </w:r>
      <w:r w:rsidR="004004CF" w:rsidRPr="004E0BF4">
        <w:rPr>
          <w:rFonts w:ascii="Times New Roman" w:hAnsi="Times New Roman"/>
          <w:b/>
          <w:sz w:val="22"/>
          <w:szCs w:val="22"/>
          <w:lang w:val="en-NZ"/>
        </w:rPr>
        <w:t>USD 320,000)</w:t>
      </w:r>
      <w:r w:rsidR="00E2052A" w:rsidRPr="004E0BF4">
        <w:rPr>
          <w:rFonts w:ascii="Times New Roman" w:hAnsi="Times New Roman"/>
          <w:b/>
          <w:sz w:val="22"/>
          <w:szCs w:val="22"/>
          <w:lang w:val="en-NZ"/>
        </w:rPr>
        <w:t xml:space="preserve"> </w:t>
      </w:r>
      <w:r w:rsidR="00E07B35" w:rsidRPr="004E0BF4">
        <w:rPr>
          <w:rFonts w:ascii="Times New Roman" w:hAnsi="Times New Roman"/>
          <w:b/>
          <w:sz w:val="22"/>
          <w:szCs w:val="22"/>
          <w:lang w:val="en-NZ"/>
        </w:rPr>
        <w:t xml:space="preserve">for </w:t>
      </w:r>
      <w:r w:rsidR="004004CF" w:rsidRPr="004E0BF4">
        <w:rPr>
          <w:rFonts w:ascii="Times New Roman" w:hAnsi="Times New Roman"/>
          <w:b/>
          <w:sz w:val="22"/>
          <w:szCs w:val="22"/>
          <w:lang w:val="en-NZ"/>
        </w:rPr>
        <w:t xml:space="preserve">basic level </w:t>
      </w:r>
      <w:r w:rsidR="00E07B35" w:rsidRPr="004E0BF4">
        <w:rPr>
          <w:rFonts w:ascii="Times New Roman" w:hAnsi="Times New Roman"/>
          <w:b/>
          <w:sz w:val="22"/>
          <w:szCs w:val="22"/>
          <w:lang w:val="en-NZ"/>
        </w:rPr>
        <w:t>capa</w:t>
      </w:r>
      <w:r w:rsidR="00F965A6" w:rsidRPr="004E0BF4">
        <w:rPr>
          <w:rFonts w:ascii="Times New Roman" w:hAnsi="Times New Roman"/>
          <w:b/>
          <w:sz w:val="22"/>
          <w:szCs w:val="22"/>
          <w:lang w:val="en-NZ"/>
        </w:rPr>
        <w:t xml:space="preserve">city </w:t>
      </w:r>
      <w:r w:rsidR="00E07B35" w:rsidRPr="004E0BF4">
        <w:rPr>
          <w:rFonts w:ascii="Times New Roman" w:hAnsi="Times New Roman"/>
          <w:b/>
          <w:sz w:val="22"/>
          <w:szCs w:val="22"/>
          <w:lang w:val="en-NZ"/>
        </w:rPr>
        <w:t xml:space="preserve">development </w:t>
      </w:r>
      <w:r w:rsidR="004004CF" w:rsidRPr="004E0BF4">
        <w:rPr>
          <w:rFonts w:ascii="Times New Roman" w:hAnsi="Times New Roman"/>
          <w:b/>
          <w:sz w:val="22"/>
          <w:szCs w:val="22"/>
          <w:lang w:val="en-NZ"/>
        </w:rPr>
        <w:t xml:space="preserve">and support </w:t>
      </w:r>
      <w:r w:rsidR="00F965A6" w:rsidRPr="004E0BF4">
        <w:rPr>
          <w:rFonts w:ascii="Times New Roman" w:hAnsi="Times New Roman"/>
          <w:b/>
          <w:sz w:val="22"/>
          <w:szCs w:val="22"/>
          <w:lang w:val="en-NZ"/>
        </w:rPr>
        <w:t xml:space="preserve">to assist </w:t>
      </w:r>
      <w:r w:rsidR="008F3AC1" w:rsidRPr="004E0BF4">
        <w:rPr>
          <w:rFonts w:ascii="Times New Roman" w:hAnsi="Times New Roman"/>
          <w:b/>
          <w:sz w:val="22"/>
          <w:szCs w:val="22"/>
          <w:lang w:val="en-NZ"/>
        </w:rPr>
        <w:t xml:space="preserve">initial </w:t>
      </w:r>
      <w:r w:rsidR="00F965A6" w:rsidRPr="004E0BF4">
        <w:rPr>
          <w:rFonts w:ascii="Times New Roman" w:hAnsi="Times New Roman"/>
          <w:b/>
          <w:sz w:val="22"/>
          <w:szCs w:val="22"/>
          <w:lang w:val="en-NZ"/>
        </w:rPr>
        <w:t xml:space="preserve">uptake by NPPOs. </w:t>
      </w:r>
      <w:r w:rsidR="00D03859" w:rsidRPr="004E0BF4">
        <w:rPr>
          <w:rFonts w:ascii="Times New Roman" w:hAnsi="Times New Roman"/>
          <w:b/>
          <w:sz w:val="22"/>
          <w:szCs w:val="22"/>
          <w:lang w:val="en-NZ"/>
        </w:rPr>
        <w:t xml:space="preserve">More comprehensive capacity development could be provided to NPPOs by donor </w:t>
      </w:r>
      <w:r w:rsidR="00124B8D" w:rsidRPr="004E0BF4">
        <w:rPr>
          <w:rFonts w:ascii="Times New Roman" w:hAnsi="Times New Roman"/>
          <w:b/>
          <w:sz w:val="22"/>
          <w:szCs w:val="22"/>
          <w:lang w:val="en-NZ"/>
        </w:rPr>
        <w:t>organisations</w:t>
      </w:r>
      <w:r w:rsidR="00D03859" w:rsidRPr="004E0BF4">
        <w:rPr>
          <w:rFonts w:ascii="Times New Roman" w:hAnsi="Times New Roman"/>
          <w:b/>
          <w:sz w:val="22"/>
          <w:szCs w:val="22"/>
          <w:lang w:val="en-NZ"/>
        </w:rPr>
        <w:t xml:space="preserve">. </w:t>
      </w:r>
      <w:r w:rsidR="00F965A6" w:rsidRPr="004E0BF4">
        <w:rPr>
          <w:rFonts w:ascii="Times New Roman" w:hAnsi="Times New Roman"/>
          <w:b/>
          <w:sz w:val="22"/>
          <w:szCs w:val="22"/>
          <w:lang w:val="en-NZ"/>
        </w:rPr>
        <w:t xml:space="preserve">See the Capacity Building Section of the </w:t>
      </w:r>
      <w:r w:rsidR="00D03859" w:rsidRPr="004E0BF4">
        <w:rPr>
          <w:rFonts w:ascii="Times New Roman" w:hAnsi="Times New Roman"/>
          <w:b/>
          <w:sz w:val="22"/>
          <w:szCs w:val="22"/>
          <w:lang w:val="en-NZ"/>
        </w:rPr>
        <w:t xml:space="preserve">cost </w:t>
      </w:r>
      <w:r w:rsidR="00F965A6" w:rsidRPr="004E0BF4">
        <w:rPr>
          <w:rFonts w:ascii="Times New Roman" w:hAnsi="Times New Roman"/>
          <w:b/>
          <w:sz w:val="22"/>
          <w:szCs w:val="22"/>
          <w:lang w:val="en-NZ"/>
        </w:rPr>
        <w:t>paper at Annex 1 for details. Note that over time the level of funding needed for capacity develop</w:t>
      </w:r>
      <w:r w:rsidR="00124B8D" w:rsidRPr="004E0BF4">
        <w:rPr>
          <w:rFonts w:ascii="Times New Roman" w:hAnsi="Times New Roman"/>
          <w:b/>
          <w:sz w:val="22"/>
          <w:szCs w:val="22"/>
          <w:lang w:val="en-NZ"/>
        </w:rPr>
        <w:t xml:space="preserve">ment </w:t>
      </w:r>
      <w:r w:rsidR="00F965A6" w:rsidRPr="004E0BF4">
        <w:rPr>
          <w:rFonts w:ascii="Times New Roman" w:hAnsi="Times New Roman"/>
          <w:b/>
          <w:sz w:val="22"/>
          <w:szCs w:val="22"/>
          <w:lang w:val="en-NZ"/>
        </w:rPr>
        <w:t xml:space="preserve">is likely to decrease as </w:t>
      </w:r>
      <w:r w:rsidR="00483573" w:rsidRPr="004E0BF4">
        <w:rPr>
          <w:rFonts w:ascii="Times New Roman" w:hAnsi="Times New Roman"/>
          <w:b/>
          <w:sz w:val="22"/>
          <w:szCs w:val="22"/>
          <w:lang w:val="en-NZ"/>
        </w:rPr>
        <w:t>e</w:t>
      </w:r>
      <w:r w:rsidR="00F965A6" w:rsidRPr="004E0BF4">
        <w:rPr>
          <w:rFonts w:ascii="Times New Roman" w:hAnsi="Times New Roman"/>
          <w:b/>
          <w:sz w:val="22"/>
          <w:szCs w:val="22"/>
          <w:lang w:val="en-NZ"/>
        </w:rPr>
        <w:t xml:space="preserve">Phyto participation increases. </w:t>
      </w:r>
    </w:p>
    <w:p w14:paraId="4AA752A0" w14:textId="77777777" w:rsidR="004E0BF4" w:rsidRPr="004E0BF4" w:rsidRDefault="004E0BF4" w:rsidP="004E0BF4">
      <w:pPr>
        <w:pStyle w:val="ListParagraph"/>
        <w:ind w:leftChars="0" w:left="1240"/>
        <w:rPr>
          <w:rFonts w:ascii="Times New Roman" w:hAnsi="Times New Roman"/>
          <w:b/>
          <w:sz w:val="22"/>
          <w:szCs w:val="22"/>
          <w:lang w:val="en-NZ"/>
        </w:rPr>
      </w:pPr>
    </w:p>
    <w:p w14:paraId="1722C78C" w14:textId="37868428" w:rsidR="00994CEA" w:rsidRDefault="004C77C6" w:rsidP="004E0BF4">
      <w:pPr>
        <w:pStyle w:val="IPPParagraphnumbering"/>
      </w:pPr>
      <w:r w:rsidRPr="00F84395">
        <w:rPr>
          <w:b/>
          <w:bCs/>
        </w:rPr>
        <w:t>Advantages</w:t>
      </w:r>
      <w:r w:rsidR="00F84395">
        <w:br/>
      </w:r>
      <w:r w:rsidR="00483573">
        <w:t xml:space="preserve">Same advantages as above. It also acknowledges the </w:t>
      </w:r>
      <w:r w:rsidR="00E2052A" w:rsidRPr="00F84395">
        <w:t>e</w:t>
      </w:r>
      <w:r w:rsidR="00483573">
        <w:t>P</w:t>
      </w:r>
      <w:r w:rsidR="00E2052A" w:rsidRPr="00F84395">
        <w:t xml:space="preserve">hyto </w:t>
      </w:r>
      <w:r w:rsidR="00483573">
        <w:t xml:space="preserve">Solution as </w:t>
      </w:r>
      <w:r w:rsidR="00283A7D">
        <w:t xml:space="preserve">a </w:t>
      </w:r>
      <w:r w:rsidR="00E2052A" w:rsidRPr="00F84395">
        <w:t>core strategic priority</w:t>
      </w:r>
      <w:r w:rsidR="00483573">
        <w:t xml:space="preserve"> for IPPC and avoids</w:t>
      </w:r>
      <w:r w:rsidR="008F3AC1">
        <w:t xml:space="preserve"> complete </w:t>
      </w:r>
      <w:r w:rsidR="00483573">
        <w:t xml:space="preserve">reliance on donors to </w:t>
      </w:r>
      <w:r w:rsidR="00E2052A" w:rsidRPr="00F84395">
        <w:t>help countries build capacity to implement</w:t>
      </w:r>
      <w:r w:rsidR="00283A7D">
        <w:t xml:space="preserve"> it. Funding basic capacity development would enable more </w:t>
      </w:r>
      <w:r w:rsidR="007D1FA6">
        <w:t xml:space="preserve">users in the system and </w:t>
      </w:r>
      <w:r w:rsidR="00283A7D">
        <w:t xml:space="preserve">would </w:t>
      </w:r>
      <w:r w:rsidR="007D1FA6">
        <w:t>therefore more beneficial for trade overall.</w:t>
      </w:r>
      <w:r w:rsidR="00283A7D">
        <w:t xml:space="preserve"> It would assist greater equity and accessibility. </w:t>
      </w:r>
      <w:r w:rsidR="008F3AC1">
        <w:t xml:space="preserve">Some of the additional costs, including for a two-yearly ePhyto conference, and for regular webinars, would benefit all users and potential users. </w:t>
      </w:r>
    </w:p>
    <w:p w14:paraId="6C7DF385" w14:textId="52BE00BC" w:rsidR="00E2052A" w:rsidRPr="00F84395" w:rsidRDefault="004C77C6" w:rsidP="004E0BF4">
      <w:pPr>
        <w:pStyle w:val="IPPParagraphnumbering"/>
      </w:pPr>
      <w:r w:rsidRPr="00F84395">
        <w:rPr>
          <w:b/>
          <w:bCs/>
        </w:rPr>
        <w:t>Disadvantages</w:t>
      </w:r>
      <w:r w:rsidR="00F84395">
        <w:rPr>
          <w:b/>
          <w:bCs/>
        </w:rPr>
        <w:br/>
      </w:r>
      <w:r w:rsidR="00B25F0D">
        <w:t xml:space="preserve">An increased </w:t>
      </w:r>
      <w:r w:rsidR="00283A7D">
        <w:t xml:space="preserve">scope </w:t>
      </w:r>
      <w:r w:rsidR="00B25F0D">
        <w:t xml:space="preserve">of costs </w:t>
      </w:r>
      <w:r w:rsidR="00283A7D">
        <w:t>increase</w:t>
      </w:r>
      <w:r w:rsidR="00B25F0D">
        <w:t>s</w:t>
      </w:r>
      <w:r w:rsidR="00283A7D">
        <w:t xml:space="preserve"> the overall costs and would mean that some users </w:t>
      </w:r>
      <w:r w:rsidR="00F84395">
        <w:t xml:space="preserve">are </w:t>
      </w:r>
      <w:r w:rsidR="00B25F0D">
        <w:t xml:space="preserve">indirectly </w:t>
      </w:r>
      <w:r w:rsidR="00F84395">
        <w:t xml:space="preserve">subsidising </w:t>
      </w:r>
      <w:r w:rsidR="007D1FA6">
        <w:t xml:space="preserve">/ </w:t>
      </w:r>
      <w:r w:rsidR="00B25F0D">
        <w:t xml:space="preserve">supporting </w:t>
      </w:r>
      <w:r w:rsidR="007D1FA6">
        <w:t>other NPPOs to adopt the system</w:t>
      </w:r>
      <w:r w:rsidR="00283A7D">
        <w:t xml:space="preserve">. Such </w:t>
      </w:r>
      <w:r w:rsidR="00B25F0D">
        <w:t xml:space="preserve">indirect support </w:t>
      </w:r>
      <w:r w:rsidR="00283A7D">
        <w:t>may</w:t>
      </w:r>
      <w:r w:rsidR="007D1FA6">
        <w:t xml:space="preserve"> not work </w:t>
      </w:r>
      <w:r w:rsidR="00953486">
        <w:t xml:space="preserve">be acceptable to </w:t>
      </w:r>
      <w:r w:rsidR="007D1FA6">
        <w:t xml:space="preserve">some </w:t>
      </w:r>
      <w:r w:rsidR="00283A7D">
        <w:t xml:space="preserve">contracting parties. </w:t>
      </w:r>
    </w:p>
    <w:p w14:paraId="09F0E9F1" w14:textId="090C3A93" w:rsidR="006D5E64" w:rsidRDefault="00E2052A" w:rsidP="00331051">
      <w:pPr>
        <w:pStyle w:val="Heading2"/>
        <w:rPr>
          <w:lang w:val="en-NZ"/>
        </w:rPr>
      </w:pPr>
      <w:r w:rsidRPr="00376851">
        <w:rPr>
          <w:lang w:val="en-NZ"/>
        </w:rPr>
        <w:t>How to apportion costs</w:t>
      </w:r>
      <w:r w:rsidR="007A7AF2">
        <w:rPr>
          <w:lang w:val="en-NZ"/>
        </w:rPr>
        <w:t xml:space="preserve"> across users </w:t>
      </w:r>
    </w:p>
    <w:p w14:paraId="0D6595B3" w14:textId="77777777" w:rsidR="00362EFD" w:rsidRDefault="00155F2E" w:rsidP="004E0BF4">
      <w:pPr>
        <w:pStyle w:val="IPPParagraphnumbering"/>
      </w:pPr>
      <w:r>
        <w:t xml:space="preserve">All options provide an assured income stream. </w:t>
      </w:r>
    </w:p>
    <w:p w14:paraId="2709CABE" w14:textId="4094C6D0" w:rsidR="00CE4651" w:rsidRPr="007A7AF2" w:rsidRDefault="002E1AE1" w:rsidP="007A7AF2">
      <w:pPr>
        <w:pStyle w:val="ListParagraph"/>
        <w:numPr>
          <w:ilvl w:val="0"/>
          <w:numId w:val="18"/>
        </w:numPr>
        <w:ind w:left="1240"/>
        <w:rPr>
          <w:lang w:val="en-NZ"/>
        </w:rPr>
      </w:pPr>
      <w:r w:rsidRPr="004E0BF4">
        <w:rPr>
          <w:rFonts w:ascii="Times New Roman" w:hAnsi="Times New Roman"/>
          <w:b/>
          <w:sz w:val="22"/>
          <w:szCs w:val="22"/>
          <w:lang w:val="en-NZ"/>
        </w:rPr>
        <w:t xml:space="preserve">Apportion costs </w:t>
      </w:r>
      <w:r w:rsidR="00CE4651" w:rsidRPr="004E0BF4">
        <w:rPr>
          <w:rFonts w:ascii="Times New Roman" w:hAnsi="Times New Roman"/>
          <w:b/>
          <w:sz w:val="22"/>
          <w:szCs w:val="22"/>
          <w:lang w:val="en-NZ"/>
        </w:rPr>
        <w:t xml:space="preserve">according to </w:t>
      </w:r>
      <w:r w:rsidRPr="004E0BF4">
        <w:rPr>
          <w:rFonts w:ascii="Times New Roman" w:hAnsi="Times New Roman"/>
          <w:b/>
          <w:sz w:val="22"/>
          <w:szCs w:val="22"/>
          <w:lang w:val="en-NZ"/>
        </w:rPr>
        <w:t xml:space="preserve">annual number of </w:t>
      </w:r>
      <w:r w:rsidR="00A02F87" w:rsidRPr="004E0BF4">
        <w:rPr>
          <w:rFonts w:ascii="Times New Roman" w:hAnsi="Times New Roman"/>
          <w:b/>
          <w:sz w:val="22"/>
          <w:szCs w:val="22"/>
          <w:lang w:val="en-NZ"/>
        </w:rPr>
        <w:t xml:space="preserve">ePhyto </w:t>
      </w:r>
      <w:r w:rsidRPr="004E0BF4">
        <w:rPr>
          <w:rFonts w:ascii="Times New Roman" w:hAnsi="Times New Roman"/>
          <w:b/>
          <w:sz w:val="22"/>
          <w:szCs w:val="22"/>
          <w:lang w:val="en-NZ"/>
        </w:rPr>
        <w:t xml:space="preserve">certificates </w:t>
      </w:r>
      <w:r w:rsidR="00B25F0D" w:rsidRPr="004E0BF4">
        <w:rPr>
          <w:rFonts w:ascii="Times New Roman" w:hAnsi="Times New Roman"/>
          <w:b/>
          <w:sz w:val="22"/>
          <w:szCs w:val="22"/>
          <w:lang w:val="en-NZ"/>
        </w:rPr>
        <w:t xml:space="preserve">sent and received </w:t>
      </w:r>
      <w:r w:rsidR="00421C7A" w:rsidRPr="004E0BF4">
        <w:rPr>
          <w:rFonts w:ascii="Times New Roman" w:hAnsi="Times New Roman"/>
          <w:b/>
          <w:sz w:val="22"/>
          <w:szCs w:val="22"/>
          <w:lang w:val="en-NZ"/>
        </w:rPr>
        <w:t xml:space="preserve">via </w:t>
      </w:r>
      <w:r w:rsidRPr="004E0BF4">
        <w:rPr>
          <w:rFonts w:ascii="Times New Roman" w:hAnsi="Times New Roman"/>
          <w:b/>
          <w:sz w:val="22"/>
          <w:szCs w:val="22"/>
          <w:lang w:val="en-NZ"/>
        </w:rPr>
        <w:t>the Hub</w:t>
      </w:r>
      <w:r w:rsidR="00A02F87" w:rsidRPr="004E0BF4">
        <w:rPr>
          <w:rFonts w:ascii="Times New Roman" w:hAnsi="Times New Roman"/>
          <w:b/>
          <w:sz w:val="22"/>
          <w:szCs w:val="22"/>
          <w:lang w:val="en-NZ"/>
        </w:rPr>
        <w:t>.</w:t>
      </w:r>
      <w:r w:rsidR="00C36558" w:rsidRPr="004E0BF4">
        <w:rPr>
          <w:rFonts w:ascii="Times New Roman" w:hAnsi="Times New Roman"/>
          <w:b/>
          <w:sz w:val="22"/>
          <w:szCs w:val="22"/>
          <w:lang w:val="en-NZ"/>
        </w:rPr>
        <w:t xml:space="preserve"> Contracting parties pay the direct proportion of their total transactions through of the Hub. For example, </w:t>
      </w:r>
      <w:r w:rsidR="00D00077" w:rsidRPr="004E0BF4">
        <w:rPr>
          <w:rFonts w:ascii="Times New Roman" w:hAnsi="Times New Roman"/>
          <w:b/>
          <w:sz w:val="22"/>
          <w:szCs w:val="22"/>
          <w:lang w:val="en-NZ"/>
        </w:rPr>
        <w:t xml:space="preserve">in a year where the Hub has 2 million transactions, </w:t>
      </w:r>
      <w:r w:rsidR="00C36558" w:rsidRPr="004E0BF4">
        <w:rPr>
          <w:rFonts w:ascii="Times New Roman" w:hAnsi="Times New Roman"/>
          <w:b/>
          <w:sz w:val="22"/>
          <w:szCs w:val="22"/>
          <w:lang w:val="en-NZ"/>
        </w:rPr>
        <w:t>a contracting party that has a total of 1</w:t>
      </w:r>
      <w:r w:rsidR="005D035C" w:rsidRPr="004E0BF4">
        <w:rPr>
          <w:rFonts w:ascii="Times New Roman" w:hAnsi="Times New Roman"/>
          <w:b/>
          <w:sz w:val="22"/>
          <w:szCs w:val="22"/>
          <w:lang w:val="en-NZ"/>
        </w:rPr>
        <w:t>00</w:t>
      </w:r>
      <w:r w:rsidR="00C36558" w:rsidRPr="004E0BF4">
        <w:rPr>
          <w:rFonts w:ascii="Times New Roman" w:hAnsi="Times New Roman"/>
          <w:b/>
          <w:sz w:val="22"/>
          <w:szCs w:val="22"/>
          <w:lang w:val="en-NZ"/>
        </w:rPr>
        <w:t>,</w:t>
      </w:r>
      <w:r w:rsidR="005D035C" w:rsidRPr="004E0BF4">
        <w:rPr>
          <w:rFonts w:ascii="Times New Roman" w:hAnsi="Times New Roman"/>
          <w:b/>
          <w:sz w:val="22"/>
          <w:szCs w:val="22"/>
          <w:lang w:val="en-NZ"/>
        </w:rPr>
        <w:t>000</w:t>
      </w:r>
      <w:r w:rsidR="00C36558" w:rsidRPr="004E0BF4">
        <w:rPr>
          <w:rFonts w:ascii="Times New Roman" w:hAnsi="Times New Roman"/>
          <w:b/>
          <w:sz w:val="22"/>
          <w:szCs w:val="22"/>
          <w:lang w:val="en-NZ"/>
        </w:rPr>
        <w:t xml:space="preserve"> transactions</w:t>
      </w:r>
      <w:r w:rsidR="005D035C" w:rsidRPr="004E0BF4">
        <w:rPr>
          <w:rFonts w:ascii="Times New Roman" w:hAnsi="Times New Roman"/>
          <w:b/>
          <w:sz w:val="22"/>
          <w:szCs w:val="22"/>
          <w:lang w:val="en-NZ"/>
        </w:rPr>
        <w:t xml:space="preserve"> </w:t>
      </w:r>
      <w:r w:rsidR="00C36558" w:rsidRPr="004E0BF4">
        <w:rPr>
          <w:rFonts w:ascii="Times New Roman" w:hAnsi="Times New Roman"/>
          <w:b/>
          <w:sz w:val="22"/>
          <w:szCs w:val="22"/>
          <w:lang w:val="en-NZ"/>
        </w:rPr>
        <w:t xml:space="preserve">through the Hub would pay </w:t>
      </w:r>
      <w:r w:rsidR="005D035C" w:rsidRPr="004E0BF4">
        <w:rPr>
          <w:rFonts w:ascii="Times New Roman" w:hAnsi="Times New Roman"/>
          <w:b/>
          <w:sz w:val="22"/>
          <w:szCs w:val="22"/>
          <w:lang w:val="en-NZ"/>
        </w:rPr>
        <w:t xml:space="preserve">5% </w:t>
      </w:r>
      <w:r w:rsidR="00C36558" w:rsidRPr="004E0BF4">
        <w:rPr>
          <w:rFonts w:ascii="Times New Roman" w:hAnsi="Times New Roman"/>
          <w:b/>
          <w:sz w:val="22"/>
          <w:szCs w:val="22"/>
          <w:lang w:val="en-NZ"/>
        </w:rPr>
        <w:t xml:space="preserve">of the estimated </w:t>
      </w:r>
      <w:r w:rsidR="00D00077" w:rsidRPr="004E0BF4">
        <w:rPr>
          <w:rFonts w:ascii="Times New Roman" w:hAnsi="Times New Roman"/>
          <w:b/>
          <w:sz w:val="22"/>
          <w:szCs w:val="22"/>
          <w:lang w:val="en-NZ"/>
        </w:rPr>
        <w:t xml:space="preserve">cost of the </w:t>
      </w:r>
      <w:r w:rsidR="005D035C" w:rsidRPr="004E0BF4">
        <w:rPr>
          <w:rFonts w:ascii="Times New Roman" w:hAnsi="Times New Roman"/>
          <w:b/>
          <w:sz w:val="22"/>
          <w:szCs w:val="22"/>
          <w:lang w:val="en-NZ"/>
        </w:rPr>
        <w:t xml:space="preserve">ePhyto </w:t>
      </w:r>
      <w:r w:rsidR="00D00077" w:rsidRPr="004E0BF4">
        <w:rPr>
          <w:rFonts w:ascii="Times New Roman" w:hAnsi="Times New Roman"/>
          <w:b/>
          <w:sz w:val="22"/>
          <w:szCs w:val="22"/>
          <w:lang w:val="en-NZ"/>
        </w:rPr>
        <w:t>Solution for that year.</w:t>
      </w:r>
      <w:r w:rsidR="00DB3E98">
        <w:rPr>
          <w:lang w:val="en-NZ"/>
        </w:rPr>
        <w:t xml:space="preserve">  </w:t>
      </w:r>
      <w:r w:rsidR="00D00077">
        <w:rPr>
          <w:lang w:val="en-NZ"/>
        </w:rPr>
        <w:br/>
      </w:r>
      <w:r w:rsidR="00D00077" w:rsidRPr="004E0BF4">
        <w:rPr>
          <w:rFonts w:ascii="Times New Roman" w:hAnsi="Times New Roman"/>
          <w:b/>
          <w:sz w:val="22"/>
          <w:szCs w:val="22"/>
          <w:lang w:val="en-NZ"/>
        </w:rPr>
        <w:lastRenderedPageBreak/>
        <w:t xml:space="preserve">ePhyto transactions for Least Developed economies and contracting parties with a very low level of transactions </w:t>
      </w:r>
      <w:r w:rsidR="00884F5F" w:rsidRPr="004E0BF4">
        <w:rPr>
          <w:rFonts w:ascii="Times New Roman" w:hAnsi="Times New Roman"/>
          <w:b/>
          <w:sz w:val="22"/>
          <w:szCs w:val="22"/>
          <w:lang w:val="en-NZ"/>
        </w:rPr>
        <w:t xml:space="preserve">could </w:t>
      </w:r>
      <w:r w:rsidR="00D00077" w:rsidRPr="004E0BF4">
        <w:rPr>
          <w:rFonts w:ascii="Times New Roman" w:hAnsi="Times New Roman"/>
          <w:b/>
          <w:sz w:val="22"/>
          <w:szCs w:val="22"/>
          <w:lang w:val="en-NZ"/>
        </w:rPr>
        <w:t>be exempt from the calculation of total transactions and would therefore not pay. This is for efficiency reasons to ensure the cost of processing a payment does not exceed the payment amount.</w:t>
      </w:r>
      <w:r w:rsidR="00D00077">
        <w:rPr>
          <w:lang w:val="en-NZ"/>
        </w:rPr>
        <w:t xml:space="preserve"> </w:t>
      </w:r>
    </w:p>
    <w:p w14:paraId="37732622" w14:textId="77777777" w:rsidR="004E0BF4" w:rsidRDefault="004E0BF4" w:rsidP="00EE37BA">
      <w:pPr>
        <w:ind w:left="720"/>
        <w:rPr>
          <w:b/>
          <w:bCs/>
          <w:lang w:val="en-NZ"/>
        </w:rPr>
      </w:pPr>
    </w:p>
    <w:p w14:paraId="7A71C99A" w14:textId="26FC486C" w:rsidR="004C77C6" w:rsidRPr="00EE37BA" w:rsidRDefault="004C77C6" w:rsidP="004E0BF4">
      <w:pPr>
        <w:pStyle w:val="IPPParagraphnumbering"/>
      </w:pPr>
      <w:r w:rsidRPr="00EE37BA">
        <w:rPr>
          <w:b/>
          <w:bCs/>
        </w:rPr>
        <w:t>Advantages</w:t>
      </w:r>
      <w:r w:rsidR="006C32A6" w:rsidRPr="00EE37BA">
        <w:t>:</w:t>
      </w:r>
      <w:r w:rsidR="00EE37BA">
        <w:br/>
      </w:r>
      <w:r w:rsidR="00C36558">
        <w:t xml:space="preserve">This </w:t>
      </w:r>
      <w:r w:rsidR="0008165A">
        <w:t xml:space="preserve">is </w:t>
      </w:r>
      <w:r w:rsidR="00421C7A">
        <w:t xml:space="preserve">based </w:t>
      </w:r>
      <w:r w:rsidR="0008165A">
        <w:t xml:space="preserve">on a beneficiary pays model – those who benefit pay in proportion to their use. </w:t>
      </w:r>
      <w:r w:rsidR="00D00077" w:rsidRPr="009D4BAB">
        <w:t>The efficiency principle is also applied by exempting contracting parties with very low transaction levels.</w:t>
      </w:r>
    </w:p>
    <w:p w14:paraId="3A6F700B" w14:textId="5A40AAB1" w:rsidR="00E57E28" w:rsidRDefault="004C77C6" w:rsidP="004E0BF4">
      <w:pPr>
        <w:pStyle w:val="IPPParagraphnumbering"/>
      </w:pPr>
      <w:r w:rsidRPr="008B73BC">
        <w:rPr>
          <w:b/>
          <w:bCs/>
        </w:rPr>
        <w:t>Disadvantages</w:t>
      </w:r>
      <w:r w:rsidR="008B73BC">
        <w:br/>
      </w:r>
      <w:r w:rsidR="0008165A">
        <w:t xml:space="preserve">It </w:t>
      </w:r>
      <w:r w:rsidR="00D00077">
        <w:t xml:space="preserve">may not </w:t>
      </w:r>
      <w:r w:rsidR="0008165A">
        <w:t xml:space="preserve">meet the accessibility principle </w:t>
      </w:r>
      <w:r w:rsidR="00402071">
        <w:t xml:space="preserve">if the annual cost for any contacting party is considered unaffordable.  </w:t>
      </w:r>
    </w:p>
    <w:p w14:paraId="0032FE12" w14:textId="1A64DC93" w:rsidR="00005FC0" w:rsidRPr="004E0BF4" w:rsidRDefault="00DB3E98" w:rsidP="00005FC0">
      <w:pPr>
        <w:pStyle w:val="ListParagraph"/>
        <w:numPr>
          <w:ilvl w:val="0"/>
          <w:numId w:val="18"/>
        </w:numPr>
        <w:ind w:left="1240"/>
        <w:rPr>
          <w:rFonts w:ascii="Times New Roman" w:hAnsi="Times New Roman"/>
          <w:b/>
          <w:sz w:val="22"/>
          <w:szCs w:val="22"/>
          <w:lang w:val="en-NZ"/>
        </w:rPr>
      </w:pPr>
      <w:r w:rsidRPr="004E0BF4">
        <w:rPr>
          <w:rFonts w:ascii="Times New Roman" w:hAnsi="Times New Roman"/>
          <w:b/>
          <w:sz w:val="22"/>
          <w:szCs w:val="22"/>
          <w:lang w:val="en-NZ"/>
        </w:rPr>
        <w:t xml:space="preserve">Charge all </w:t>
      </w:r>
      <w:r w:rsidR="00402071" w:rsidRPr="004E0BF4">
        <w:rPr>
          <w:rFonts w:ascii="Times New Roman" w:hAnsi="Times New Roman"/>
          <w:b/>
          <w:sz w:val="22"/>
          <w:szCs w:val="22"/>
          <w:lang w:val="en-NZ"/>
        </w:rPr>
        <w:t xml:space="preserve">contracting parties that use </w:t>
      </w:r>
      <w:r w:rsidRPr="004E0BF4">
        <w:rPr>
          <w:rFonts w:ascii="Times New Roman" w:hAnsi="Times New Roman"/>
          <w:b/>
          <w:sz w:val="22"/>
          <w:szCs w:val="22"/>
          <w:lang w:val="en-NZ"/>
        </w:rPr>
        <w:t xml:space="preserve">the ePhyto </w:t>
      </w:r>
      <w:r w:rsidR="00402071" w:rsidRPr="004E0BF4">
        <w:rPr>
          <w:rFonts w:ascii="Times New Roman" w:hAnsi="Times New Roman"/>
          <w:b/>
          <w:sz w:val="22"/>
          <w:szCs w:val="22"/>
          <w:lang w:val="en-NZ"/>
        </w:rPr>
        <w:t xml:space="preserve">Solution </w:t>
      </w:r>
      <w:r w:rsidRPr="004E0BF4">
        <w:rPr>
          <w:rFonts w:ascii="Times New Roman" w:hAnsi="Times New Roman"/>
          <w:b/>
          <w:sz w:val="22"/>
          <w:szCs w:val="22"/>
          <w:lang w:val="en-NZ"/>
        </w:rPr>
        <w:t>a base fee based on a recognised developed status</w:t>
      </w:r>
      <w:r w:rsidR="008B4298" w:rsidRPr="004E0BF4">
        <w:rPr>
          <w:rFonts w:ascii="Times New Roman" w:hAnsi="Times New Roman"/>
          <w:b/>
          <w:sz w:val="22"/>
          <w:szCs w:val="22"/>
          <w:lang w:val="en-NZ"/>
        </w:rPr>
        <w:t xml:space="preserve"> already used by the IPPC</w:t>
      </w:r>
      <w:r w:rsidR="00402071" w:rsidRPr="004E0BF4">
        <w:rPr>
          <w:rFonts w:ascii="Times New Roman" w:hAnsi="Times New Roman"/>
          <w:b/>
          <w:sz w:val="22"/>
          <w:szCs w:val="22"/>
          <w:lang w:val="en-NZ"/>
        </w:rPr>
        <w:t xml:space="preserve"> when determinin</w:t>
      </w:r>
      <w:r w:rsidR="00FF5FBE" w:rsidRPr="004E0BF4">
        <w:rPr>
          <w:rFonts w:ascii="Times New Roman" w:hAnsi="Times New Roman"/>
          <w:b/>
          <w:sz w:val="22"/>
          <w:szCs w:val="22"/>
          <w:lang w:val="en-NZ"/>
        </w:rPr>
        <w:t>g travel assistance to meetings (</w:t>
      </w:r>
      <w:r w:rsidR="00E32468" w:rsidRPr="004E0BF4">
        <w:rPr>
          <w:rFonts w:ascii="Times New Roman" w:hAnsi="Times New Roman"/>
          <w:b/>
          <w:sz w:val="22"/>
          <w:szCs w:val="22"/>
          <w:lang w:val="en-NZ"/>
        </w:rPr>
        <w:t>World bank</w:t>
      </w:r>
      <w:r w:rsidR="007C7C63" w:rsidRPr="004E0BF4">
        <w:rPr>
          <w:rStyle w:val="FootnoteReference"/>
          <w:rFonts w:ascii="Times New Roman" w:hAnsi="Times New Roman"/>
          <w:b/>
          <w:sz w:val="22"/>
          <w:szCs w:val="22"/>
          <w:lang w:val="en-NZ"/>
        </w:rPr>
        <w:footnoteReference w:id="2"/>
      </w:r>
      <w:r w:rsidR="00E32468" w:rsidRPr="004E0BF4">
        <w:rPr>
          <w:rFonts w:ascii="Times New Roman" w:hAnsi="Times New Roman"/>
          <w:b/>
          <w:sz w:val="22"/>
          <w:szCs w:val="22"/>
          <w:lang w:val="en-NZ"/>
        </w:rPr>
        <w:t xml:space="preserve"> criteria of assessment of the development of a country, which is published annually</w:t>
      </w:r>
      <w:r w:rsidR="00FF5FBE" w:rsidRPr="004E0BF4">
        <w:rPr>
          <w:rFonts w:ascii="Times New Roman" w:hAnsi="Times New Roman"/>
          <w:b/>
          <w:sz w:val="22"/>
          <w:szCs w:val="22"/>
          <w:lang w:val="en-NZ"/>
        </w:rPr>
        <w:t>)</w:t>
      </w:r>
      <w:r w:rsidRPr="004E0BF4">
        <w:rPr>
          <w:rFonts w:ascii="Times New Roman" w:hAnsi="Times New Roman"/>
          <w:b/>
          <w:sz w:val="22"/>
          <w:szCs w:val="22"/>
          <w:lang w:val="en-NZ"/>
        </w:rPr>
        <w:t>.</w:t>
      </w:r>
      <w:r w:rsidR="00005FC0" w:rsidRPr="004E0BF4">
        <w:rPr>
          <w:rFonts w:ascii="Times New Roman" w:hAnsi="Times New Roman"/>
          <w:b/>
          <w:sz w:val="22"/>
          <w:szCs w:val="22"/>
          <w:lang w:val="en-NZ"/>
        </w:rPr>
        <w:t xml:space="preserve"> The</w:t>
      </w:r>
      <w:r w:rsidR="00804FDF" w:rsidRPr="004E0BF4">
        <w:rPr>
          <w:rFonts w:ascii="Times New Roman" w:hAnsi="Times New Roman"/>
          <w:b/>
          <w:sz w:val="22"/>
          <w:szCs w:val="22"/>
          <w:lang w:val="en-NZ"/>
        </w:rPr>
        <w:t>n</w:t>
      </w:r>
      <w:r w:rsidR="00005FC0" w:rsidRPr="004E0BF4">
        <w:rPr>
          <w:rFonts w:ascii="Times New Roman" w:hAnsi="Times New Roman"/>
          <w:b/>
          <w:sz w:val="22"/>
          <w:szCs w:val="22"/>
          <w:lang w:val="en-NZ"/>
        </w:rPr>
        <w:t xml:space="preserve"> apportion the remainder of the costs as above in direct proportion to</w:t>
      </w:r>
      <w:r w:rsidR="00804FDF" w:rsidRPr="004E0BF4">
        <w:rPr>
          <w:rFonts w:ascii="Times New Roman" w:hAnsi="Times New Roman"/>
          <w:b/>
          <w:sz w:val="22"/>
          <w:szCs w:val="22"/>
          <w:lang w:val="en-NZ"/>
        </w:rPr>
        <w:t xml:space="preserve"> usage</w:t>
      </w:r>
      <w:r w:rsidR="001953FE" w:rsidRPr="004E0BF4">
        <w:rPr>
          <w:rFonts w:ascii="Times New Roman" w:hAnsi="Times New Roman"/>
          <w:b/>
          <w:sz w:val="22"/>
          <w:szCs w:val="22"/>
          <w:lang w:val="en-NZ"/>
        </w:rPr>
        <w:t xml:space="preserve">. Total contribution per NPPO would be the sum of the base fee and usage fee. </w:t>
      </w:r>
      <w:r w:rsidRPr="004E0BF4">
        <w:rPr>
          <w:rFonts w:ascii="Times New Roman" w:hAnsi="Times New Roman"/>
          <w:b/>
          <w:sz w:val="22"/>
          <w:szCs w:val="22"/>
          <w:lang w:val="en-NZ"/>
        </w:rPr>
        <w:br/>
        <w:t>L</w:t>
      </w:r>
      <w:r w:rsidR="00005FC0" w:rsidRPr="004E0BF4">
        <w:rPr>
          <w:rFonts w:ascii="Times New Roman" w:hAnsi="Times New Roman"/>
          <w:b/>
          <w:sz w:val="22"/>
          <w:szCs w:val="22"/>
          <w:lang w:val="en-NZ"/>
        </w:rPr>
        <w:t>east developed countries</w:t>
      </w:r>
      <w:r w:rsidRPr="004E0BF4">
        <w:rPr>
          <w:rFonts w:ascii="Times New Roman" w:hAnsi="Times New Roman"/>
          <w:b/>
          <w:sz w:val="22"/>
          <w:szCs w:val="22"/>
          <w:lang w:val="en-NZ"/>
        </w:rPr>
        <w:t xml:space="preserve">: </w:t>
      </w:r>
      <w:r w:rsidRPr="004E0BF4">
        <w:rPr>
          <w:rFonts w:ascii="Times New Roman" w:hAnsi="Times New Roman"/>
          <w:b/>
          <w:sz w:val="22"/>
          <w:szCs w:val="22"/>
          <w:lang w:val="en-NZ"/>
        </w:rPr>
        <w:tab/>
      </w:r>
      <w:r w:rsidR="00804FDF" w:rsidRPr="004E0BF4">
        <w:rPr>
          <w:rFonts w:ascii="Times New Roman" w:hAnsi="Times New Roman"/>
          <w:b/>
          <w:sz w:val="22"/>
          <w:szCs w:val="22"/>
          <w:lang w:val="en-NZ"/>
        </w:rPr>
        <w:tab/>
      </w:r>
      <w:r w:rsidRPr="004E0BF4">
        <w:rPr>
          <w:rFonts w:ascii="Times New Roman" w:hAnsi="Times New Roman"/>
          <w:b/>
          <w:sz w:val="22"/>
          <w:szCs w:val="22"/>
          <w:lang w:val="en-NZ"/>
        </w:rPr>
        <w:t>No fee</w:t>
      </w:r>
      <w:r w:rsidRPr="004E0BF4">
        <w:rPr>
          <w:rFonts w:ascii="Times New Roman" w:hAnsi="Times New Roman"/>
          <w:b/>
          <w:sz w:val="22"/>
          <w:szCs w:val="22"/>
          <w:lang w:val="en-NZ"/>
        </w:rPr>
        <w:br/>
        <w:t xml:space="preserve">Low income countries: </w:t>
      </w:r>
      <w:r w:rsidRPr="004E0BF4">
        <w:rPr>
          <w:rFonts w:ascii="Times New Roman" w:hAnsi="Times New Roman"/>
          <w:b/>
          <w:sz w:val="22"/>
          <w:szCs w:val="22"/>
          <w:lang w:val="en-NZ"/>
        </w:rPr>
        <w:tab/>
      </w:r>
      <w:r w:rsidR="00005FC0" w:rsidRPr="004E0BF4">
        <w:rPr>
          <w:rFonts w:ascii="Times New Roman" w:hAnsi="Times New Roman"/>
          <w:b/>
          <w:sz w:val="22"/>
          <w:szCs w:val="22"/>
          <w:lang w:val="en-NZ"/>
        </w:rPr>
        <w:tab/>
      </w:r>
      <w:r w:rsidR="00804FDF" w:rsidRPr="004E0BF4">
        <w:rPr>
          <w:rFonts w:ascii="Times New Roman" w:hAnsi="Times New Roman"/>
          <w:b/>
          <w:sz w:val="22"/>
          <w:szCs w:val="22"/>
          <w:lang w:val="en-NZ"/>
        </w:rPr>
        <w:tab/>
      </w:r>
      <w:r w:rsidR="00005FC0" w:rsidRPr="004E0BF4">
        <w:rPr>
          <w:rFonts w:ascii="Times New Roman" w:hAnsi="Times New Roman"/>
          <w:b/>
          <w:sz w:val="22"/>
          <w:szCs w:val="22"/>
          <w:lang w:val="en-NZ"/>
        </w:rPr>
        <w:t>USD 2</w:t>
      </w:r>
      <w:r w:rsidR="00804FDF" w:rsidRPr="004E0BF4">
        <w:rPr>
          <w:rFonts w:ascii="Times New Roman" w:hAnsi="Times New Roman"/>
          <w:b/>
          <w:sz w:val="22"/>
          <w:szCs w:val="22"/>
          <w:lang w:val="en-NZ"/>
        </w:rPr>
        <w:t>,</w:t>
      </w:r>
      <w:r w:rsidR="00005FC0" w:rsidRPr="004E0BF4">
        <w:rPr>
          <w:rFonts w:ascii="Times New Roman" w:hAnsi="Times New Roman"/>
          <w:b/>
          <w:sz w:val="22"/>
          <w:szCs w:val="22"/>
          <w:lang w:val="en-NZ"/>
        </w:rPr>
        <w:t>500</w:t>
      </w:r>
      <w:r w:rsidR="00005FC0" w:rsidRPr="004E0BF4">
        <w:rPr>
          <w:rFonts w:ascii="Times New Roman" w:hAnsi="Times New Roman"/>
          <w:b/>
          <w:sz w:val="22"/>
          <w:szCs w:val="22"/>
          <w:lang w:val="en-NZ"/>
        </w:rPr>
        <w:br/>
      </w:r>
      <w:r w:rsidR="00804FDF" w:rsidRPr="004E0BF4">
        <w:rPr>
          <w:rFonts w:ascii="Times New Roman" w:hAnsi="Times New Roman"/>
          <w:b/>
          <w:sz w:val="22"/>
          <w:szCs w:val="22"/>
          <w:lang w:val="en-NZ"/>
        </w:rPr>
        <w:t>Lower middle</w:t>
      </w:r>
      <w:r w:rsidR="00005FC0" w:rsidRPr="004E0BF4">
        <w:rPr>
          <w:rFonts w:ascii="Times New Roman" w:hAnsi="Times New Roman"/>
          <w:b/>
          <w:sz w:val="22"/>
          <w:szCs w:val="22"/>
          <w:lang w:val="en-NZ"/>
        </w:rPr>
        <w:t xml:space="preserve"> income countries:</w:t>
      </w:r>
      <w:r w:rsidR="00005FC0" w:rsidRPr="004E0BF4">
        <w:rPr>
          <w:rFonts w:ascii="Times New Roman" w:hAnsi="Times New Roman"/>
          <w:b/>
          <w:sz w:val="22"/>
          <w:szCs w:val="22"/>
          <w:lang w:val="en-NZ"/>
        </w:rPr>
        <w:tab/>
      </w:r>
      <w:r w:rsidR="00804FDF" w:rsidRPr="004E0BF4">
        <w:rPr>
          <w:rFonts w:ascii="Times New Roman" w:hAnsi="Times New Roman"/>
          <w:b/>
          <w:sz w:val="22"/>
          <w:szCs w:val="22"/>
          <w:lang w:val="en-NZ"/>
        </w:rPr>
        <w:tab/>
      </w:r>
      <w:r w:rsidR="00005FC0" w:rsidRPr="004E0BF4">
        <w:rPr>
          <w:rFonts w:ascii="Times New Roman" w:hAnsi="Times New Roman"/>
          <w:b/>
          <w:sz w:val="22"/>
          <w:szCs w:val="22"/>
          <w:lang w:val="en-NZ"/>
        </w:rPr>
        <w:t>USD 5,000</w:t>
      </w:r>
      <w:r w:rsidR="00005FC0" w:rsidRPr="004E0BF4">
        <w:rPr>
          <w:rFonts w:ascii="Times New Roman" w:hAnsi="Times New Roman"/>
          <w:b/>
          <w:sz w:val="22"/>
          <w:szCs w:val="22"/>
          <w:lang w:val="en-NZ"/>
        </w:rPr>
        <w:br/>
      </w:r>
      <w:r w:rsidR="00804FDF" w:rsidRPr="004E0BF4">
        <w:rPr>
          <w:rFonts w:ascii="Times New Roman" w:hAnsi="Times New Roman"/>
          <w:b/>
          <w:sz w:val="22"/>
          <w:szCs w:val="22"/>
          <w:lang w:val="en-NZ"/>
        </w:rPr>
        <w:t xml:space="preserve">Upper middle </w:t>
      </w:r>
      <w:r w:rsidR="00005FC0" w:rsidRPr="004E0BF4">
        <w:rPr>
          <w:rFonts w:ascii="Times New Roman" w:hAnsi="Times New Roman"/>
          <w:b/>
          <w:sz w:val="22"/>
          <w:szCs w:val="22"/>
          <w:lang w:val="en-NZ"/>
        </w:rPr>
        <w:t>income countries:</w:t>
      </w:r>
      <w:r w:rsidR="00005FC0" w:rsidRPr="004E0BF4">
        <w:rPr>
          <w:rFonts w:ascii="Times New Roman" w:hAnsi="Times New Roman"/>
          <w:b/>
          <w:sz w:val="22"/>
          <w:szCs w:val="22"/>
          <w:lang w:val="en-NZ"/>
        </w:rPr>
        <w:tab/>
        <w:t>USD 10,000</w:t>
      </w:r>
      <w:r w:rsidR="00804FDF" w:rsidRPr="004E0BF4">
        <w:rPr>
          <w:rFonts w:ascii="Times New Roman" w:hAnsi="Times New Roman"/>
          <w:b/>
          <w:sz w:val="22"/>
          <w:szCs w:val="22"/>
          <w:lang w:val="en-NZ"/>
        </w:rPr>
        <w:br/>
        <w:t>High income countries:</w:t>
      </w:r>
      <w:r w:rsidR="00804FDF" w:rsidRPr="004E0BF4">
        <w:rPr>
          <w:rFonts w:ascii="Times New Roman" w:hAnsi="Times New Roman"/>
          <w:b/>
          <w:sz w:val="22"/>
          <w:szCs w:val="22"/>
          <w:lang w:val="en-NZ"/>
        </w:rPr>
        <w:tab/>
      </w:r>
      <w:r w:rsidR="00804FDF" w:rsidRPr="004E0BF4">
        <w:rPr>
          <w:rFonts w:ascii="Times New Roman" w:hAnsi="Times New Roman"/>
          <w:b/>
          <w:sz w:val="22"/>
          <w:szCs w:val="22"/>
          <w:lang w:val="en-NZ"/>
        </w:rPr>
        <w:tab/>
      </w:r>
      <w:r w:rsidR="00804FDF" w:rsidRPr="004E0BF4">
        <w:rPr>
          <w:rFonts w:ascii="Times New Roman" w:hAnsi="Times New Roman"/>
          <w:b/>
          <w:sz w:val="22"/>
          <w:szCs w:val="22"/>
          <w:lang w:val="en-NZ"/>
        </w:rPr>
        <w:tab/>
        <w:t>USD 20,000</w:t>
      </w:r>
    </w:p>
    <w:p w14:paraId="5EB195AF" w14:textId="77777777" w:rsidR="004E0BF4" w:rsidRDefault="004E0BF4" w:rsidP="00E57E28">
      <w:pPr>
        <w:ind w:left="720"/>
        <w:rPr>
          <w:b/>
          <w:bCs/>
          <w:lang w:val="en-NZ"/>
        </w:rPr>
      </w:pPr>
    </w:p>
    <w:p w14:paraId="295955E0" w14:textId="0EF4C18A" w:rsidR="004C77C6" w:rsidRPr="00E57E28" w:rsidRDefault="004C77C6" w:rsidP="004E0BF4">
      <w:pPr>
        <w:pStyle w:val="IPPParagraphnumbering"/>
      </w:pPr>
      <w:r w:rsidRPr="00E57E28">
        <w:rPr>
          <w:b/>
          <w:bCs/>
        </w:rPr>
        <w:t>Advantages</w:t>
      </w:r>
      <w:r w:rsidR="00E57E28">
        <w:br/>
      </w:r>
      <w:r w:rsidR="00804FDF">
        <w:t xml:space="preserve">Reduces the barriers to participation and promotes accessibility.  It provides an acknowledgement of development status but also applies the </w:t>
      </w:r>
      <w:r w:rsidR="00402071">
        <w:t xml:space="preserve">user pays </w:t>
      </w:r>
      <w:r w:rsidR="00804FDF">
        <w:t>principle</w:t>
      </w:r>
      <w:r w:rsidR="001953FE">
        <w:t xml:space="preserve"> so that users contribute to the cost of ePhyto Solution. </w:t>
      </w:r>
      <w:r w:rsidR="00C471F6">
        <w:t xml:space="preserve">The overall quantum of base fee is not so large as </w:t>
      </w:r>
      <w:r w:rsidR="00402071">
        <w:t xml:space="preserve">to presents </w:t>
      </w:r>
      <w:r w:rsidR="00C471F6">
        <w:t xml:space="preserve">a disincentive to participation. </w:t>
      </w:r>
    </w:p>
    <w:p w14:paraId="1E5F842D" w14:textId="159D3FE6" w:rsidR="008B4298" w:rsidRDefault="004C77C6" w:rsidP="004E0BF4">
      <w:pPr>
        <w:pStyle w:val="IPPParagraphnumbering"/>
      </w:pPr>
      <w:r w:rsidRPr="00E57E28">
        <w:rPr>
          <w:b/>
          <w:bCs/>
        </w:rPr>
        <w:t>Disadvantages</w:t>
      </w:r>
      <w:r w:rsidR="00C0041C" w:rsidRPr="00E57E28">
        <w:t xml:space="preserve"> </w:t>
      </w:r>
      <w:r w:rsidR="00E57E28">
        <w:br/>
      </w:r>
      <w:r w:rsidR="00C471F6">
        <w:t xml:space="preserve">It may be more complicated to administer than a simple proportion. Basing a portion of the contribution on a contracting party’s development status </w:t>
      </w:r>
      <w:r w:rsidR="008B4298">
        <w:t xml:space="preserve">means that some users would be </w:t>
      </w:r>
      <w:r w:rsidR="00402071">
        <w:t xml:space="preserve">indirectly </w:t>
      </w:r>
      <w:r w:rsidR="008B4298">
        <w:t xml:space="preserve">assisting / </w:t>
      </w:r>
      <w:r w:rsidR="00402071">
        <w:t xml:space="preserve">supporting </w:t>
      </w:r>
      <w:r w:rsidR="008B4298">
        <w:t>other user</w:t>
      </w:r>
      <w:r w:rsidR="00402071">
        <w:t>s</w:t>
      </w:r>
      <w:r w:rsidR="008B4298">
        <w:t xml:space="preserve">. Such </w:t>
      </w:r>
      <w:r w:rsidR="00402071">
        <w:t xml:space="preserve">indirect support </w:t>
      </w:r>
      <w:r w:rsidR="008B4298">
        <w:t xml:space="preserve">may not </w:t>
      </w:r>
      <w:r w:rsidR="00421C7A">
        <w:t xml:space="preserve">be acceptable to </w:t>
      </w:r>
      <w:r w:rsidR="008B4298">
        <w:t xml:space="preserve">all contracting parties. </w:t>
      </w:r>
    </w:p>
    <w:p w14:paraId="25E66282" w14:textId="470A5E5B" w:rsidR="00CE4651" w:rsidRPr="004E0BF4" w:rsidRDefault="008B4298" w:rsidP="008B4298">
      <w:pPr>
        <w:pStyle w:val="ListParagraph"/>
        <w:numPr>
          <w:ilvl w:val="0"/>
          <w:numId w:val="18"/>
        </w:numPr>
        <w:ind w:left="1240"/>
        <w:rPr>
          <w:rFonts w:ascii="Times New Roman" w:hAnsi="Times New Roman"/>
          <w:b/>
          <w:sz w:val="22"/>
          <w:szCs w:val="22"/>
          <w:lang w:val="en-NZ"/>
        </w:rPr>
      </w:pPr>
      <w:r w:rsidRPr="004E0BF4">
        <w:rPr>
          <w:rFonts w:ascii="Times New Roman" w:hAnsi="Times New Roman"/>
          <w:b/>
          <w:sz w:val="22"/>
          <w:szCs w:val="22"/>
          <w:lang w:val="en-NZ"/>
        </w:rPr>
        <w:t xml:space="preserve">FAO to cover all </w:t>
      </w:r>
      <w:r w:rsidR="00402071" w:rsidRPr="004E0BF4">
        <w:rPr>
          <w:rFonts w:ascii="Times New Roman" w:hAnsi="Times New Roman"/>
          <w:b/>
          <w:sz w:val="22"/>
          <w:szCs w:val="22"/>
          <w:lang w:val="en-NZ"/>
        </w:rPr>
        <w:t xml:space="preserve">ePhyto Solution </w:t>
      </w:r>
      <w:r w:rsidRPr="004E0BF4">
        <w:rPr>
          <w:rFonts w:ascii="Times New Roman" w:hAnsi="Times New Roman"/>
          <w:b/>
          <w:sz w:val="22"/>
          <w:szCs w:val="22"/>
          <w:lang w:val="en-NZ"/>
        </w:rPr>
        <w:t xml:space="preserve">costs as </w:t>
      </w:r>
      <w:r w:rsidR="00402071" w:rsidRPr="004E0BF4">
        <w:rPr>
          <w:rFonts w:ascii="Times New Roman" w:hAnsi="Times New Roman"/>
          <w:b/>
          <w:sz w:val="22"/>
          <w:szCs w:val="22"/>
          <w:lang w:val="en-NZ"/>
        </w:rPr>
        <w:t xml:space="preserve">per Scope 1 or Scope 2 above, as </w:t>
      </w:r>
      <w:r w:rsidRPr="004E0BF4">
        <w:rPr>
          <w:rFonts w:ascii="Times New Roman" w:hAnsi="Times New Roman"/>
          <w:b/>
          <w:sz w:val="22"/>
          <w:szCs w:val="22"/>
          <w:lang w:val="en-NZ"/>
        </w:rPr>
        <w:t>a component of business</w:t>
      </w:r>
      <w:r w:rsidR="00402071" w:rsidRPr="004E0BF4">
        <w:rPr>
          <w:rFonts w:ascii="Times New Roman" w:hAnsi="Times New Roman"/>
          <w:b/>
          <w:sz w:val="22"/>
          <w:szCs w:val="22"/>
          <w:lang w:val="en-NZ"/>
        </w:rPr>
        <w:t>-</w:t>
      </w:r>
      <w:r w:rsidRPr="004E0BF4">
        <w:rPr>
          <w:rFonts w:ascii="Times New Roman" w:hAnsi="Times New Roman"/>
          <w:b/>
          <w:sz w:val="22"/>
          <w:szCs w:val="22"/>
          <w:lang w:val="en-NZ"/>
        </w:rPr>
        <w:t>as</w:t>
      </w:r>
      <w:r w:rsidR="00402071" w:rsidRPr="004E0BF4">
        <w:rPr>
          <w:rFonts w:ascii="Times New Roman" w:hAnsi="Times New Roman"/>
          <w:b/>
          <w:sz w:val="22"/>
          <w:szCs w:val="22"/>
          <w:lang w:val="en-NZ"/>
        </w:rPr>
        <w:t>-</w:t>
      </w:r>
      <w:r w:rsidRPr="004E0BF4">
        <w:rPr>
          <w:rFonts w:ascii="Times New Roman" w:hAnsi="Times New Roman"/>
          <w:b/>
          <w:sz w:val="22"/>
          <w:szCs w:val="22"/>
          <w:lang w:val="en-NZ"/>
        </w:rPr>
        <w:t xml:space="preserve">usual operations for </w:t>
      </w:r>
      <w:r w:rsidR="00402071" w:rsidRPr="004E0BF4">
        <w:rPr>
          <w:rFonts w:ascii="Times New Roman" w:hAnsi="Times New Roman"/>
          <w:b/>
          <w:sz w:val="22"/>
          <w:szCs w:val="22"/>
          <w:lang w:val="en-NZ"/>
        </w:rPr>
        <w:t xml:space="preserve">FAO as an </w:t>
      </w:r>
      <w:r w:rsidRPr="004E0BF4">
        <w:rPr>
          <w:rFonts w:ascii="Times New Roman" w:hAnsi="Times New Roman"/>
          <w:b/>
          <w:sz w:val="22"/>
          <w:szCs w:val="22"/>
          <w:lang w:val="en-NZ"/>
        </w:rPr>
        <w:t>organisation</w:t>
      </w:r>
      <w:r w:rsidR="002012AA" w:rsidRPr="004E0BF4">
        <w:rPr>
          <w:rFonts w:ascii="Times New Roman" w:hAnsi="Times New Roman"/>
          <w:b/>
          <w:sz w:val="22"/>
          <w:szCs w:val="22"/>
          <w:lang w:val="en-NZ"/>
        </w:rPr>
        <w:t>. This would require the FAO Council to recognise the benefits of the ePhyto Solution and then agree to pay for them. It would require active lobbying by Contracting Parties though their FAO representative as well as lobbying in individual countries to ensure alignment with national goals and objectives regarding FAO operations.</w:t>
      </w:r>
    </w:p>
    <w:p w14:paraId="2D79639C" w14:textId="77777777" w:rsidR="004E0BF4" w:rsidRDefault="004E0BF4" w:rsidP="004E0BF4">
      <w:pPr>
        <w:ind w:left="720"/>
        <w:rPr>
          <w:b/>
          <w:bCs/>
          <w:lang w:val="en-NZ"/>
        </w:rPr>
      </w:pPr>
    </w:p>
    <w:p w14:paraId="62EDEC2B" w14:textId="33891863" w:rsidR="004C77C6" w:rsidRPr="004E0BF4" w:rsidRDefault="004C77C6" w:rsidP="004E0BF4">
      <w:pPr>
        <w:pStyle w:val="IPPParagraphnumbering"/>
        <w:rPr>
          <w:b/>
          <w:bCs/>
        </w:rPr>
      </w:pPr>
      <w:r w:rsidRPr="00DD7A51">
        <w:rPr>
          <w:b/>
          <w:bCs/>
        </w:rPr>
        <w:t>Advantages</w:t>
      </w:r>
      <w:r w:rsidR="00A02F87">
        <w:rPr>
          <w:b/>
          <w:bCs/>
        </w:rPr>
        <w:br/>
      </w:r>
      <w:r w:rsidR="008B4298">
        <w:t>Eliminates t</w:t>
      </w:r>
      <w:r w:rsidR="009E6000">
        <w:t>h</w:t>
      </w:r>
      <w:r w:rsidR="008B4298">
        <w:t>e need for IPPC Contracting Parties to provide resources directly.  Maintains impartiality, non-biased, non-preferential access to the ePhyto Solution</w:t>
      </w:r>
      <w:r w:rsidR="00384199">
        <w:t xml:space="preserve"> in line with the accessibility principle. This option is also aligned with the efficiency principle.</w:t>
      </w:r>
      <w:r w:rsidR="008B4298">
        <w:t xml:space="preserve"> If it were a fixed item in the FAO operating budget, it would have long term certainty. </w:t>
      </w:r>
      <w:r w:rsidR="00384199">
        <w:t>The FAO would be seen to be using FAO funds for something that is delivering significant benefit to developing countries.</w:t>
      </w:r>
    </w:p>
    <w:p w14:paraId="45CBC329" w14:textId="0585A51D" w:rsidR="00C47441" w:rsidRDefault="004C77C6" w:rsidP="004E0BF4">
      <w:pPr>
        <w:pStyle w:val="IPPParagraphnumbering"/>
      </w:pPr>
      <w:r w:rsidRPr="00DD7A51">
        <w:rPr>
          <w:b/>
          <w:bCs/>
        </w:rPr>
        <w:lastRenderedPageBreak/>
        <w:t>Disadvantages</w:t>
      </w:r>
      <w:r w:rsidR="00DD7A51">
        <w:rPr>
          <w:b/>
          <w:bCs/>
        </w:rPr>
        <w:br/>
      </w:r>
      <w:r w:rsidR="003E454E">
        <w:t>It would be a less flexible funding option as the amount of funding available would be constrained by and could be changed by FAO budget processes each</w:t>
      </w:r>
      <w:r w:rsidR="00384199">
        <w:t xml:space="preserve"> biennium</w:t>
      </w:r>
      <w:r w:rsidR="003E454E">
        <w:t xml:space="preserve">. </w:t>
      </w:r>
      <w:r w:rsidR="00384199">
        <w:t>Past experience suggests that the FAO may be unlikely to agree to this option.</w:t>
      </w:r>
    </w:p>
    <w:p w14:paraId="5C1F6F38" w14:textId="355F69FA" w:rsidR="008102C1" w:rsidRPr="004E0BF4" w:rsidRDefault="00384199" w:rsidP="008102C1">
      <w:pPr>
        <w:pStyle w:val="ListParagraph"/>
        <w:numPr>
          <w:ilvl w:val="0"/>
          <w:numId w:val="18"/>
        </w:numPr>
        <w:ind w:left="1240"/>
        <w:rPr>
          <w:rFonts w:ascii="Times New Roman" w:hAnsi="Times New Roman"/>
          <w:b/>
          <w:sz w:val="22"/>
          <w:szCs w:val="22"/>
          <w:lang w:val="en-NZ"/>
        </w:rPr>
      </w:pPr>
      <w:r w:rsidRPr="004E0BF4">
        <w:rPr>
          <w:rFonts w:ascii="Times New Roman" w:hAnsi="Times New Roman"/>
          <w:b/>
          <w:sz w:val="22"/>
          <w:szCs w:val="22"/>
          <w:lang w:val="en-NZ"/>
        </w:rPr>
        <w:t>Establish the funding mechanism using Apportion 1 or Apportion 2 above, but also allow contracting parties and other donors to provide funds through the</w:t>
      </w:r>
      <w:r w:rsidR="00421C7A" w:rsidRPr="004E0BF4">
        <w:rPr>
          <w:rFonts w:ascii="Times New Roman" w:hAnsi="Times New Roman"/>
          <w:b/>
          <w:sz w:val="22"/>
          <w:szCs w:val="22"/>
          <w:lang w:val="en-NZ"/>
        </w:rPr>
        <w:t xml:space="preserve"> multi</w:t>
      </w:r>
      <w:r w:rsidRPr="004E0BF4">
        <w:rPr>
          <w:rFonts w:ascii="Times New Roman" w:hAnsi="Times New Roman"/>
          <w:b/>
          <w:sz w:val="22"/>
          <w:szCs w:val="22"/>
          <w:lang w:val="en-NZ"/>
        </w:rPr>
        <w:t>-</w:t>
      </w:r>
      <w:r w:rsidR="008102C1" w:rsidRPr="004E0BF4">
        <w:rPr>
          <w:rFonts w:ascii="Times New Roman" w:hAnsi="Times New Roman"/>
          <w:b/>
          <w:sz w:val="22"/>
          <w:szCs w:val="22"/>
          <w:lang w:val="en-NZ"/>
        </w:rPr>
        <w:t xml:space="preserve">donor </w:t>
      </w:r>
      <w:r w:rsidRPr="004E0BF4">
        <w:rPr>
          <w:rFonts w:ascii="Times New Roman" w:hAnsi="Times New Roman"/>
          <w:b/>
          <w:sz w:val="22"/>
          <w:szCs w:val="22"/>
          <w:lang w:val="en-NZ"/>
        </w:rPr>
        <w:t xml:space="preserve">trust </w:t>
      </w:r>
      <w:r w:rsidR="008102C1" w:rsidRPr="004E0BF4">
        <w:rPr>
          <w:rFonts w:ascii="Times New Roman" w:hAnsi="Times New Roman"/>
          <w:b/>
          <w:sz w:val="22"/>
          <w:szCs w:val="22"/>
          <w:lang w:val="en-NZ"/>
        </w:rPr>
        <w:t xml:space="preserve">fund to </w:t>
      </w:r>
      <w:r w:rsidR="000125C6" w:rsidRPr="004E0BF4">
        <w:rPr>
          <w:rFonts w:ascii="Times New Roman" w:hAnsi="Times New Roman"/>
          <w:b/>
          <w:sz w:val="22"/>
          <w:szCs w:val="22"/>
          <w:lang w:val="en-NZ"/>
        </w:rPr>
        <w:t xml:space="preserve">enable </w:t>
      </w:r>
      <w:r w:rsidR="00421C7A" w:rsidRPr="004E0BF4">
        <w:rPr>
          <w:rFonts w:ascii="Times New Roman" w:hAnsi="Times New Roman"/>
          <w:b/>
          <w:sz w:val="22"/>
          <w:szCs w:val="22"/>
          <w:lang w:val="en-NZ"/>
        </w:rPr>
        <w:t xml:space="preserve">financial </w:t>
      </w:r>
      <w:r w:rsidR="000125C6" w:rsidRPr="004E0BF4">
        <w:rPr>
          <w:rFonts w:ascii="Times New Roman" w:hAnsi="Times New Roman"/>
          <w:b/>
          <w:sz w:val="22"/>
          <w:szCs w:val="22"/>
          <w:lang w:val="en-NZ"/>
        </w:rPr>
        <w:t>contributions from stakeholders and partner organisations in accordance with rules to ensure transparency</w:t>
      </w:r>
      <w:r w:rsidR="008102C1" w:rsidRPr="004E0BF4">
        <w:rPr>
          <w:rFonts w:ascii="Times New Roman" w:hAnsi="Times New Roman"/>
          <w:b/>
          <w:sz w:val="22"/>
          <w:szCs w:val="22"/>
          <w:lang w:val="en-NZ"/>
        </w:rPr>
        <w:t xml:space="preserve"> </w:t>
      </w:r>
    </w:p>
    <w:p w14:paraId="56C6D336" w14:textId="77777777" w:rsidR="004E0BF4" w:rsidRDefault="004E0BF4" w:rsidP="008102C1">
      <w:pPr>
        <w:ind w:left="720"/>
        <w:rPr>
          <w:b/>
          <w:bCs/>
          <w:lang w:val="en-NZ"/>
        </w:rPr>
      </w:pPr>
    </w:p>
    <w:p w14:paraId="522FFE2A" w14:textId="10BDA746" w:rsidR="008102C1" w:rsidRPr="008102C1" w:rsidRDefault="008102C1" w:rsidP="004E0BF4">
      <w:pPr>
        <w:pStyle w:val="IPPParagraphnumbering"/>
      </w:pPr>
      <w:r w:rsidRPr="008102C1">
        <w:rPr>
          <w:b/>
          <w:bCs/>
        </w:rPr>
        <w:t>Advantages</w:t>
      </w:r>
      <w:r w:rsidRPr="008102C1">
        <w:rPr>
          <w:b/>
          <w:bCs/>
        </w:rPr>
        <w:br/>
      </w:r>
      <w:r w:rsidR="000125C6">
        <w:t xml:space="preserve">Donations could be used to fund capacity development to enable more countries to take up the ePhyto solution. </w:t>
      </w:r>
      <w:r w:rsidR="00384199">
        <w:t xml:space="preserve">The overall costs needed to be charged to contracting parties reduces and this supports the accessibility principle. </w:t>
      </w:r>
    </w:p>
    <w:p w14:paraId="5F5649C0" w14:textId="6E70F99B" w:rsidR="008102C1" w:rsidRDefault="008102C1" w:rsidP="004E0BF4">
      <w:pPr>
        <w:pStyle w:val="IPPParagraphnumbering"/>
      </w:pPr>
      <w:r w:rsidRPr="008102C1">
        <w:rPr>
          <w:b/>
          <w:bCs/>
        </w:rPr>
        <w:t>Disadvantages</w:t>
      </w:r>
      <w:r w:rsidRPr="008102C1">
        <w:rPr>
          <w:b/>
          <w:bCs/>
        </w:rPr>
        <w:br/>
      </w:r>
      <w:r w:rsidR="00384199">
        <w:t xml:space="preserve">Donations may vary significantly from year-to-year, causing unpredictable shifts in charges to contracting parties from year-to-year. </w:t>
      </w:r>
    </w:p>
    <w:p w14:paraId="17242090" w14:textId="23C5E6F3" w:rsidR="00E2052A" w:rsidRPr="004E0BF4" w:rsidRDefault="009E6000" w:rsidP="00331051">
      <w:pPr>
        <w:pStyle w:val="Heading2"/>
        <w:rPr>
          <w:rFonts w:ascii="Times New Roman" w:hAnsi="Times New Roman"/>
          <w:lang w:val="en-NZ"/>
        </w:rPr>
      </w:pPr>
      <w:r w:rsidRPr="004E0BF4">
        <w:rPr>
          <w:rFonts w:ascii="Times New Roman" w:hAnsi="Times New Roman"/>
          <w:lang w:val="en-NZ"/>
        </w:rPr>
        <w:t xml:space="preserve">An efficient and effective payment system </w:t>
      </w:r>
    </w:p>
    <w:p w14:paraId="25BC2974" w14:textId="6782C5AE" w:rsidR="006D5E64" w:rsidRPr="004E0BF4" w:rsidRDefault="00B42F8B" w:rsidP="009E6000">
      <w:pPr>
        <w:pStyle w:val="ListParagraph"/>
        <w:numPr>
          <w:ilvl w:val="0"/>
          <w:numId w:val="19"/>
        </w:numPr>
        <w:ind w:left="1240"/>
        <w:rPr>
          <w:rFonts w:ascii="Times New Roman" w:hAnsi="Times New Roman"/>
          <w:b/>
          <w:sz w:val="22"/>
          <w:szCs w:val="22"/>
          <w:lang w:val="en-NZ"/>
        </w:rPr>
      </w:pPr>
      <w:r w:rsidRPr="004E0BF4">
        <w:rPr>
          <w:rFonts w:ascii="Times New Roman" w:hAnsi="Times New Roman"/>
          <w:b/>
          <w:sz w:val="22"/>
          <w:szCs w:val="22"/>
          <w:lang w:val="en-NZ"/>
        </w:rPr>
        <w:t xml:space="preserve">(for Apportion 3) </w:t>
      </w:r>
      <w:r w:rsidR="009E6000" w:rsidRPr="004E0BF4">
        <w:rPr>
          <w:rFonts w:ascii="Times New Roman" w:hAnsi="Times New Roman"/>
          <w:b/>
          <w:sz w:val="22"/>
          <w:szCs w:val="22"/>
          <w:lang w:val="en-NZ"/>
        </w:rPr>
        <w:t>F</w:t>
      </w:r>
      <w:r w:rsidR="00052B5E" w:rsidRPr="004E0BF4">
        <w:rPr>
          <w:rFonts w:ascii="Times New Roman" w:hAnsi="Times New Roman"/>
          <w:b/>
          <w:sz w:val="22"/>
          <w:szCs w:val="22"/>
          <w:lang w:val="en-NZ"/>
        </w:rPr>
        <w:t>AO</w:t>
      </w:r>
      <w:r w:rsidR="009E6000" w:rsidRPr="004E0BF4">
        <w:rPr>
          <w:rFonts w:ascii="Times New Roman" w:hAnsi="Times New Roman"/>
          <w:b/>
          <w:sz w:val="22"/>
          <w:szCs w:val="22"/>
          <w:lang w:val="en-NZ"/>
        </w:rPr>
        <w:t xml:space="preserve"> pays</w:t>
      </w:r>
      <w:r w:rsidR="00331051" w:rsidRPr="004E0BF4">
        <w:rPr>
          <w:rFonts w:ascii="Times New Roman" w:hAnsi="Times New Roman"/>
          <w:b/>
          <w:sz w:val="22"/>
          <w:szCs w:val="22"/>
          <w:lang w:val="en-NZ"/>
        </w:rPr>
        <w:t xml:space="preserve"> the cost of the ePhyto Solution. No additional system is needed</w:t>
      </w:r>
      <w:r w:rsidR="001F2AF9" w:rsidRPr="004E0BF4">
        <w:rPr>
          <w:rFonts w:ascii="Times New Roman" w:hAnsi="Times New Roman"/>
          <w:b/>
          <w:sz w:val="22"/>
          <w:szCs w:val="22"/>
          <w:lang w:val="en-NZ"/>
        </w:rPr>
        <w:t xml:space="preserve"> other than provide the normal budget and spending reports to CPM so contracting parties understand costs, spending patterns and other aspects of administering the ePhyto programme. </w:t>
      </w:r>
      <w:r w:rsidR="00331051" w:rsidRPr="004E0BF4">
        <w:rPr>
          <w:rFonts w:ascii="Times New Roman" w:hAnsi="Times New Roman"/>
          <w:b/>
          <w:sz w:val="22"/>
          <w:szCs w:val="22"/>
          <w:lang w:val="en-NZ"/>
        </w:rPr>
        <w:t xml:space="preserve"> </w:t>
      </w:r>
    </w:p>
    <w:p w14:paraId="55EEB45D" w14:textId="77777777" w:rsidR="00331051" w:rsidRPr="004E0BF4" w:rsidRDefault="00331051" w:rsidP="00331051">
      <w:pPr>
        <w:pStyle w:val="ListParagraph"/>
        <w:ind w:left="880"/>
        <w:rPr>
          <w:rFonts w:ascii="Times New Roman" w:hAnsi="Times New Roman"/>
          <w:b/>
          <w:sz w:val="22"/>
          <w:szCs w:val="22"/>
          <w:lang w:val="en-NZ"/>
        </w:rPr>
      </w:pPr>
    </w:p>
    <w:p w14:paraId="24E33A15" w14:textId="79CD37D2" w:rsidR="00CE4651" w:rsidRPr="004E0BF4" w:rsidRDefault="00B42F8B" w:rsidP="009E6000">
      <w:pPr>
        <w:pStyle w:val="ListParagraph"/>
        <w:numPr>
          <w:ilvl w:val="0"/>
          <w:numId w:val="19"/>
        </w:numPr>
        <w:ind w:left="1240"/>
        <w:rPr>
          <w:rFonts w:ascii="Times New Roman" w:hAnsi="Times New Roman"/>
          <w:b/>
          <w:sz w:val="22"/>
          <w:szCs w:val="22"/>
          <w:lang w:val="en-NZ"/>
        </w:rPr>
      </w:pPr>
      <w:r w:rsidRPr="004E0BF4">
        <w:rPr>
          <w:rFonts w:ascii="Times New Roman" w:hAnsi="Times New Roman"/>
          <w:b/>
          <w:sz w:val="22"/>
          <w:szCs w:val="22"/>
          <w:lang w:val="en-NZ"/>
        </w:rPr>
        <w:t xml:space="preserve">(for Apportion 1 and 2) </w:t>
      </w:r>
      <w:r w:rsidR="00103549" w:rsidRPr="004E0BF4">
        <w:rPr>
          <w:rFonts w:ascii="Times New Roman" w:hAnsi="Times New Roman"/>
          <w:b/>
          <w:sz w:val="22"/>
          <w:szCs w:val="22"/>
          <w:lang w:val="en-NZ"/>
        </w:rPr>
        <w:t xml:space="preserve">Publish ePhyto usage and </w:t>
      </w:r>
      <w:r w:rsidR="008102C1" w:rsidRPr="004E0BF4">
        <w:rPr>
          <w:rFonts w:ascii="Times New Roman" w:hAnsi="Times New Roman"/>
          <w:b/>
          <w:sz w:val="22"/>
          <w:szCs w:val="22"/>
          <w:lang w:val="en-NZ"/>
        </w:rPr>
        <w:t xml:space="preserve">level of </w:t>
      </w:r>
      <w:r w:rsidR="00FF5FBE" w:rsidRPr="004E0BF4">
        <w:rPr>
          <w:rFonts w:ascii="Times New Roman" w:hAnsi="Times New Roman"/>
          <w:b/>
          <w:sz w:val="22"/>
          <w:szCs w:val="22"/>
          <w:lang w:val="en-NZ"/>
        </w:rPr>
        <w:t xml:space="preserve">voluntary </w:t>
      </w:r>
      <w:r w:rsidR="00103549" w:rsidRPr="004E0BF4">
        <w:rPr>
          <w:rFonts w:ascii="Times New Roman" w:hAnsi="Times New Roman"/>
          <w:b/>
          <w:sz w:val="22"/>
          <w:szCs w:val="22"/>
          <w:lang w:val="en-NZ"/>
        </w:rPr>
        <w:t xml:space="preserve">contribution </w:t>
      </w:r>
      <w:r w:rsidR="008102C1" w:rsidRPr="004E0BF4">
        <w:rPr>
          <w:rFonts w:ascii="Times New Roman" w:hAnsi="Times New Roman"/>
          <w:b/>
          <w:sz w:val="22"/>
          <w:szCs w:val="22"/>
          <w:lang w:val="en-NZ"/>
        </w:rPr>
        <w:t xml:space="preserve">by NPPO </w:t>
      </w:r>
      <w:r w:rsidR="00103549" w:rsidRPr="004E0BF4">
        <w:rPr>
          <w:rFonts w:ascii="Times New Roman" w:hAnsi="Times New Roman"/>
          <w:b/>
          <w:sz w:val="22"/>
          <w:szCs w:val="22"/>
          <w:lang w:val="en-NZ"/>
        </w:rPr>
        <w:t xml:space="preserve">in CPM annual report.  Include payment details </w:t>
      </w:r>
      <w:r w:rsidR="008102C1" w:rsidRPr="004E0BF4">
        <w:rPr>
          <w:rFonts w:ascii="Times New Roman" w:hAnsi="Times New Roman"/>
          <w:b/>
          <w:sz w:val="22"/>
          <w:szCs w:val="22"/>
          <w:lang w:val="en-NZ"/>
        </w:rPr>
        <w:t xml:space="preserve">for the </w:t>
      </w:r>
      <w:r w:rsidR="00FF5FBE" w:rsidRPr="004E0BF4">
        <w:rPr>
          <w:rFonts w:ascii="Times New Roman" w:hAnsi="Times New Roman"/>
          <w:b/>
          <w:sz w:val="22"/>
          <w:szCs w:val="22"/>
          <w:lang w:val="en-NZ"/>
        </w:rPr>
        <w:t xml:space="preserve">IPPC Multi donor </w:t>
      </w:r>
      <w:r w:rsidR="008102C1" w:rsidRPr="004E0BF4">
        <w:rPr>
          <w:rFonts w:ascii="Times New Roman" w:hAnsi="Times New Roman"/>
          <w:b/>
          <w:sz w:val="22"/>
          <w:szCs w:val="22"/>
          <w:lang w:val="en-NZ"/>
        </w:rPr>
        <w:t xml:space="preserve">trust fund. </w:t>
      </w:r>
      <w:r w:rsidR="003524E3" w:rsidRPr="004E0BF4">
        <w:rPr>
          <w:rFonts w:ascii="Times New Roman" w:hAnsi="Times New Roman"/>
          <w:b/>
          <w:sz w:val="22"/>
          <w:szCs w:val="22"/>
          <w:lang w:val="en-NZ"/>
        </w:rPr>
        <w:t xml:space="preserve"> </w:t>
      </w:r>
      <w:r w:rsidR="0051446C" w:rsidRPr="004E0BF4">
        <w:rPr>
          <w:rFonts w:ascii="Times New Roman" w:hAnsi="Times New Roman"/>
          <w:b/>
          <w:sz w:val="22"/>
          <w:szCs w:val="22"/>
          <w:lang w:val="en-NZ"/>
        </w:rPr>
        <w:t>Note that no NPPO would be excluded from accessing the ePhyto Solution due to not making their contribution, but if this is option is part of the funding mechanism, then mitigating non-payment  should be explored as part of impleme</w:t>
      </w:r>
      <w:r w:rsidR="00E232B0" w:rsidRPr="004E0BF4">
        <w:rPr>
          <w:rFonts w:ascii="Times New Roman" w:hAnsi="Times New Roman"/>
          <w:b/>
          <w:sz w:val="22"/>
          <w:szCs w:val="22"/>
          <w:lang w:val="en-NZ"/>
        </w:rPr>
        <w:t>n</w:t>
      </w:r>
      <w:r w:rsidR="0051446C" w:rsidRPr="004E0BF4">
        <w:rPr>
          <w:rFonts w:ascii="Times New Roman" w:hAnsi="Times New Roman"/>
          <w:b/>
          <w:sz w:val="22"/>
          <w:szCs w:val="22"/>
          <w:lang w:val="en-NZ"/>
        </w:rPr>
        <w:t xml:space="preserve">ting it.  </w:t>
      </w:r>
    </w:p>
    <w:p w14:paraId="2B46984D" w14:textId="77777777" w:rsidR="004E0BF4" w:rsidRDefault="004E0BF4" w:rsidP="00C47441">
      <w:pPr>
        <w:ind w:left="720"/>
        <w:rPr>
          <w:b/>
          <w:bCs/>
          <w:lang w:val="en-NZ"/>
        </w:rPr>
      </w:pPr>
    </w:p>
    <w:p w14:paraId="6CE36DCF" w14:textId="05806F9D" w:rsidR="004C77C6" w:rsidRPr="00C47441" w:rsidRDefault="004C77C6" w:rsidP="004E0BF4">
      <w:pPr>
        <w:pStyle w:val="IPPParagraphnumbering"/>
      </w:pPr>
      <w:r w:rsidRPr="00C47441">
        <w:rPr>
          <w:b/>
          <w:bCs/>
        </w:rPr>
        <w:t>Advantages</w:t>
      </w:r>
      <w:r w:rsidR="00C47441">
        <w:br/>
      </w:r>
      <w:r w:rsidR="00103549">
        <w:t>This would be transparent</w:t>
      </w:r>
      <w:r w:rsidR="003524E3">
        <w:t xml:space="preserve"> and simple to implement. It avoids a complex invoicing system</w:t>
      </w:r>
      <w:r w:rsidR="00103549">
        <w:t xml:space="preserve">. </w:t>
      </w:r>
      <w:r w:rsidR="00C0041C" w:rsidRPr="00C47441">
        <w:t>Would formali</w:t>
      </w:r>
      <w:r w:rsidR="00717A8A">
        <w:t>s</w:t>
      </w:r>
      <w:r w:rsidR="00C0041C" w:rsidRPr="00C47441">
        <w:t xml:space="preserve">e commitments and </w:t>
      </w:r>
      <w:r w:rsidR="00717A8A" w:rsidRPr="00C47441">
        <w:t>stabi</w:t>
      </w:r>
      <w:r w:rsidR="00717A8A">
        <w:t>lise</w:t>
      </w:r>
      <w:r w:rsidR="00C0041C" w:rsidRPr="00C47441">
        <w:t xml:space="preserve"> the revenue stream</w:t>
      </w:r>
    </w:p>
    <w:p w14:paraId="18C3C5CA" w14:textId="63252DFF" w:rsidR="00331051" w:rsidRPr="004E0BF4" w:rsidRDefault="004C77C6" w:rsidP="00C0041C">
      <w:pPr>
        <w:pStyle w:val="IPPParagraphnumbering"/>
      </w:pPr>
      <w:r w:rsidRPr="00C47441">
        <w:rPr>
          <w:b/>
          <w:bCs/>
        </w:rPr>
        <w:t>Disadvantages</w:t>
      </w:r>
      <w:r w:rsidR="00C47441">
        <w:rPr>
          <w:b/>
          <w:bCs/>
        </w:rPr>
        <w:br/>
      </w:r>
      <w:r w:rsidR="003524E3">
        <w:t xml:space="preserve">It is not a legally enforceable mechanism and relies on NPPOs making their contribution.  </w:t>
      </w:r>
    </w:p>
    <w:p w14:paraId="4BDDBA59" w14:textId="0BD5A04A" w:rsidR="00331051" w:rsidRDefault="00F41036" w:rsidP="004E0BF4">
      <w:pPr>
        <w:pStyle w:val="IPPParagraphnumbering"/>
      </w:pPr>
      <w:r>
        <w:t xml:space="preserve">SPG </w:t>
      </w:r>
      <w:r w:rsidR="00331051">
        <w:t>is invited to:</w:t>
      </w:r>
    </w:p>
    <w:p w14:paraId="20E89731" w14:textId="5D5CD2BC" w:rsidR="00331051" w:rsidRDefault="00331051" w:rsidP="004E0BF4">
      <w:pPr>
        <w:pStyle w:val="IPPNumberedList"/>
      </w:pPr>
      <w:r w:rsidRPr="004E0BF4">
        <w:rPr>
          <w:i/>
        </w:rPr>
        <w:t>Review</w:t>
      </w:r>
      <w:r>
        <w:t xml:space="preserve"> the </w:t>
      </w:r>
      <w:r w:rsidR="00367303">
        <w:t>principles and options presented</w:t>
      </w:r>
      <w:r>
        <w:t xml:space="preserve"> in this paper</w:t>
      </w:r>
    </w:p>
    <w:p w14:paraId="5FDA999E" w14:textId="1335A659" w:rsidR="00F41036" w:rsidRDefault="00F41036" w:rsidP="004E0BF4">
      <w:pPr>
        <w:pStyle w:val="IPPNumberedList"/>
      </w:pPr>
      <w:r w:rsidRPr="004E0BF4">
        <w:rPr>
          <w:i/>
        </w:rPr>
        <w:t>Provide</w:t>
      </w:r>
      <w:r>
        <w:t xml:space="preserve"> feedback and guidance on options in this paper </w:t>
      </w:r>
    </w:p>
    <w:p w14:paraId="28CE5FE5" w14:textId="12738C03" w:rsidR="00C0041C" w:rsidRDefault="00367303" w:rsidP="004E0BF4">
      <w:pPr>
        <w:pStyle w:val="IPPNumberedList"/>
      </w:pPr>
      <w:r w:rsidRPr="004E0BF4">
        <w:rPr>
          <w:i/>
        </w:rPr>
        <w:t>Recommend</w:t>
      </w:r>
      <w:r>
        <w:t xml:space="preserve"> </w:t>
      </w:r>
      <w:r w:rsidR="00331051">
        <w:t>which options it would like the ePhyto FG to develop further</w:t>
      </w:r>
      <w:r>
        <w:t xml:space="preserve"> and recommend to CPM17 (2023) </w:t>
      </w:r>
    </w:p>
    <w:p w14:paraId="1B135418" w14:textId="77777777" w:rsidR="00D21447" w:rsidRPr="00331051" w:rsidRDefault="00D21447" w:rsidP="004E0BF4">
      <w:pPr>
        <w:pStyle w:val="IPPNumberedList"/>
        <w:numPr>
          <w:ilvl w:val="0"/>
          <w:numId w:val="0"/>
        </w:numPr>
        <w:ind w:left="567"/>
      </w:pPr>
    </w:p>
    <w:bookmarkEnd w:id="0"/>
    <w:p w14:paraId="6F264984" w14:textId="77777777" w:rsidR="00A97E74" w:rsidRDefault="00A97E74" w:rsidP="00C0041C">
      <w:pPr>
        <w:rPr>
          <w:lang w:val="en-NZ"/>
        </w:rPr>
        <w:sectPr w:rsidR="00A97E74" w:rsidSect="005D1B3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18C191C4" w14:textId="77777777" w:rsidR="009A6D19" w:rsidRPr="000A37FF" w:rsidRDefault="009A6D19" w:rsidP="009A6D19">
      <w:pPr>
        <w:jc w:val="center"/>
        <w:rPr>
          <w:rFonts w:cstheme="minorHAnsi"/>
          <w:b/>
          <w:color w:val="000000" w:themeColor="text1"/>
        </w:rPr>
      </w:pPr>
    </w:p>
    <w:p w14:paraId="5501DC14" w14:textId="77777777" w:rsidR="009A6D19" w:rsidRPr="000A37FF" w:rsidRDefault="009A6D19" w:rsidP="009A6D19">
      <w:pPr>
        <w:jc w:val="center"/>
        <w:rPr>
          <w:rFonts w:cstheme="minorHAnsi"/>
          <w:b/>
          <w:color w:val="000000" w:themeColor="text1"/>
        </w:rPr>
      </w:pPr>
    </w:p>
    <w:p w14:paraId="4364CDDF" w14:textId="77777777" w:rsidR="009A6D19" w:rsidRPr="000A37FF" w:rsidRDefault="009A6D19" w:rsidP="009A6D19">
      <w:pPr>
        <w:jc w:val="center"/>
        <w:rPr>
          <w:rFonts w:cstheme="minorHAnsi"/>
          <w:b/>
          <w:color w:val="000000" w:themeColor="text1"/>
        </w:rPr>
      </w:pPr>
    </w:p>
    <w:p w14:paraId="0D3ABF5A" w14:textId="77777777" w:rsidR="009A6D19" w:rsidRPr="000A37FF" w:rsidRDefault="009A6D19" w:rsidP="009A6D19">
      <w:pPr>
        <w:jc w:val="center"/>
        <w:rPr>
          <w:rFonts w:cstheme="minorHAnsi"/>
          <w:b/>
          <w:color w:val="000000" w:themeColor="text1"/>
        </w:rPr>
      </w:pPr>
    </w:p>
    <w:p w14:paraId="21CBA348" w14:textId="77777777" w:rsidR="009A6D19" w:rsidRPr="000A37FF" w:rsidRDefault="009A6D19" w:rsidP="009A6D19">
      <w:pPr>
        <w:jc w:val="center"/>
        <w:rPr>
          <w:rFonts w:cstheme="minorHAnsi"/>
          <w:b/>
          <w:color w:val="000000" w:themeColor="text1"/>
        </w:rPr>
      </w:pPr>
    </w:p>
    <w:p w14:paraId="1C43D4DB" w14:textId="77777777" w:rsidR="009A6D19" w:rsidRPr="000A37FF" w:rsidRDefault="009A6D19" w:rsidP="009A6D19">
      <w:pPr>
        <w:jc w:val="center"/>
        <w:rPr>
          <w:rFonts w:cstheme="minorHAnsi"/>
          <w:b/>
          <w:color w:val="000000" w:themeColor="text1"/>
        </w:rPr>
      </w:pPr>
    </w:p>
    <w:p w14:paraId="714984E9" w14:textId="77777777" w:rsidR="009A6D19" w:rsidRPr="000A37FF" w:rsidRDefault="009A6D19" w:rsidP="009A6D19">
      <w:pPr>
        <w:jc w:val="center"/>
        <w:rPr>
          <w:rFonts w:cstheme="minorHAnsi"/>
          <w:b/>
          <w:color w:val="000000" w:themeColor="text1"/>
        </w:rPr>
      </w:pPr>
    </w:p>
    <w:p w14:paraId="2C7CD70E" w14:textId="77777777" w:rsidR="009A6D19" w:rsidRPr="000A37FF" w:rsidRDefault="009A6D19" w:rsidP="009A6D19">
      <w:pPr>
        <w:jc w:val="center"/>
        <w:rPr>
          <w:rFonts w:cstheme="minorHAnsi"/>
          <w:b/>
          <w:color w:val="000000" w:themeColor="text1"/>
        </w:rPr>
      </w:pPr>
    </w:p>
    <w:p w14:paraId="4C530A07" w14:textId="77777777" w:rsidR="009A6D19" w:rsidRPr="000A37FF" w:rsidRDefault="009A6D19" w:rsidP="009A6D19">
      <w:pPr>
        <w:jc w:val="center"/>
        <w:rPr>
          <w:rFonts w:cstheme="minorHAnsi"/>
          <w:b/>
          <w:color w:val="000000" w:themeColor="text1"/>
        </w:rPr>
      </w:pPr>
    </w:p>
    <w:p w14:paraId="28B4957F" w14:textId="77777777" w:rsidR="009A6D19" w:rsidRPr="000A37FF" w:rsidRDefault="009A6D19" w:rsidP="009A6D19">
      <w:pPr>
        <w:jc w:val="center"/>
        <w:rPr>
          <w:rFonts w:cstheme="minorHAnsi"/>
          <w:b/>
          <w:color w:val="000000" w:themeColor="text1"/>
        </w:rPr>
      </w:pPr>
    </w:p>
    <w:p w14:paraId="32D7F2A4" w14:textId="77777777" w:rsidR="009A6D19" w:rsidRPr="000A37FF" w:rsidRDefault="009A6D19" w:rsidP="009A6D19">
      <w:pPr>
        <w:jc w:val="center"/>
        <w:rPr>
          <w:rFonts w:cstheme="minorHAnsi"/>
          <w:b/>
          <w:color w:val="000000" w:themeColor="text1"/>
        </w:rPr>
      </w:pPr>
    </w:p>
    <w:p w14:paraId="21845EB0" w14:textId="77777777" w:rsidR="009A6D19" w:rsidRPr="000A37FF" w:rsidRDefault="009A6D19" w:rsidP="009A6D19">
      <w:pPr>
        <w:jc w:val="center"/>
        <w:rPr>
          <w:rFonts w:cstheme="minorHAnsi"/>
          <w:b/>
          <w:bCs/>
          <w:color w:val="000000" w:themeColor="text1"/>
          <w:shd w:val="clear" w:color="auto" w:fill="FFFFFF"/>
        </w:rPr>
      </w:pPr>
      <w:r w:rsidRPr="000A37FF">
        <w:rPr>
          <w:rFonts w:cstheme="minorHAnsi"/>
          <w:b/>
          <w:bCs/>
          <w:color w:val="000000" w:themeColor="text1"/>
          <w:shd w:val="clear" w:color="auto" w:fill="FFFFFF"/>
        </w:rPr>
        <w:t xml:space="preserve">CPM Focus Group on Sustainable Funding </w:t>
      </w:r>
    </w:p>
    <w:p w14:paraId="6E3148FF" w14:textId="77777777" w:rsidR="009A6D19" w:rsidRPr="000A37FF" w:rsidRDefault="009A6D19" w:rsidP="009A6D19">
      <w:pPr>
        <w:jc w:val="center"/>
        <w:rPr>
          <w:rFonts w:cstheme="minorHAnsi"/>
          <w:b/>
          <w:bCs/>
          <w:color w:val="000000" w:themeColor="text1"/>
          <w:shd w:val="clear" w:color="auto" w:fill="FFFFFF"/>
        </w:rPr>
      </w:pPr>
      <w:r w:rsidRPr="000A37FF">
        <w:rPr>
          <w:rFonts w:cstheme="minorHAnsi"/>
          <w:b/>
          <w:bCs/>
          <w:color w:val="000000" w:themeColor="text1"/>
          <w:shd w:val="clear" w:color="auto" w:fill="FFFFFF"/>
        </w:rPr>
        <w:t>for the IPPC ePhyto Solution</w:t>
      </w:r>
    </w:p>
    <w:p w14:paraId="73CA4E47" w14:textId="77777777" w:rsidR="009A6D19" w:rsidRPr="000A37FF" w:rsidRDefault="009A6D19" w:rsidP="009A6D19">
      <w:pPr>
        <w:jc w:val="center"/>
        <w:rPr>
          <w:rFonts w:cstheme="minorHAnsi"/>
          <w:b/>
          <w:bCs/>
          <w:color w:val="000000" w:themeColor="text1"/>
          <w:shd w:val="clear" w:color="auto" w:fill="FFFFFF"/>
        </w:rPr>
      </w:pPr>
    </w:p>
    <w:p w14:paraId="3329EC82" w14:textId="77777777" w:rsidR="009A6D19" w:rsidRPr="000A37FF" w:rsidRDefault="009A6D19" w:rsidP="009A6D19">
      <w:pPr>
        <w:jc w:val="center"/>
        <w:rPr>
          <w:rFonts w:cstheme="minorHAnsi"/>
          <w:b/>
          <w:bCs/>
          <w:color w:val="000000" w:themeColor="text1"/>
          <w:shd w:val="clear" w:color="auto" w:fill="FFFFFF"/>
        </w:rPr>
      </w:pPr>
    </w:p>
    <w:p w14:paraId="6A6314A9" w14:textId="77777777" w:rsidR="009A6D19" w:rsidRPr="000A37FF" w:rsidRDefault="009A6D19" w:rsidP="009A6D19">
      <w:pPr>
        <w:jc w:val="center"/>
        <w:rPr>
          <w:rFonts w:cstheme="minorHAnsi"/>
          <w:b/>
          <w:color w:val="000000" w:themeColor="text1"/>
        </w:rPr>
      </w:pPr>
      <w:r w:rsidRPr="000A37FF">
        <w:rPr>
          <w:rFonts w:cstheme="minorHAnsi"/>
          <w:b/>
          <w:color w:val="000000" w:themeColor="text1"/>
        </w:rPr>
        <w:t>Revised Cost Estimates</w:t>
      </w:r>
    </w:p>
    <w:p w14:paraId="761C84A3" w14:textId="77777777" w:rsidR="009A6D19" w:rsidRPr="000A37FF" w:rsidRDefault="009A6D19" w:rsidP="009A6D19">
      <w:pPr>
        <w:jc w:val="center"/>
        <w:rPr>
          <w:rFonts w:cstheme="minorHAnsi"/>
          <w:b/>
          <w:color w:val="000000" w:themeColor="text1"/>
        </w:rPr>
      </w:pPr>
      <w:r w:rsidRPr="000A37FF">
        <w:rPr>
          <w:rFonts w:cstheme="minorHAnsi"/>
          <w:b/>
          <w:color w:val="000000" w:themeColor="text1"/>
        </w:rPr>
        <w:t xml:space="preserve">Rev </w:t>
      </w:r>
      <w:r>
        <w:rPr>
          <w:rFonts w:cstheme="minorHAnsi"/>
          <w:b/>
          <w:color w:val="000000" w:themeColor="text1"/>
        </w:rPr>
        <w:t>4</w:t>
      </w:r>
    </w:p>
    <w:p w14:paraId="3F195AF9" w14:textId="77777777" w:rsidR="009A6D19" w:rsidRPr="000A37FF" w:rsidRDefault="009A6D19" w:rsidP="009A6D19">
      <w:pPr>
        <w:jc w:val="center"/>
        <w:rPr>
          <w:rFonts w:cstheme="minorHAnsi"/>
          <w:b/>
          <w:color w:val="000000" w:themeColor="text1"/>
        </w:rPr>
      </w:pPr>
      <w:r w:rsidRPr="000A37FF">
        <w:rPr>
          <w:rFonts w:cstheme="minorHAnsi"/>
          <w:b/>
          <w:color w:val="000000" w:themeColor="text1"/>
        </w:rPr>
        <w:t xml:space="preserve">Updated Draft, </w:t>
      </w:r>
      <w:r>
        <w:rPr>
          <w:rFonts w:cstheme="minorHAnsi"/>
          <w:b/>
          <w:color w:val="000000" w:themeColor="text1"/>
        </w:rPr>
        <w:t>21</w:t>
      </w:r>
      <w:r w:rsidRPr="000A37FF">
        <w:rPr>
          <w:rFonts w:cstheme="minorHAnsi"/>
          <w:b/>
          <w:color w:val="000000" w:themeColor="text1"/>
        </w:rPr>
        <w:t xml:space="preserve"> September 2022</w:t>
      </w:r>
    </w:p>
    <w:p w14:paraId="4AC3E2BD" w14:textId="77777777" w:rsidR="009A6D19" w:rsidRPr="000A37FF" w:rsidRDefault="009A6D19" w:rsidP="009A6D19">
      <w:pPr>
        <w:rPr>
          <w:rFonts w:cstheme="minorHAnsi"/>
          <w:b/>
          <w:color w:val="000000" w:themeColor="text1"/>
        </w:rPr>
      </w:pPr>
      <w:r w:rsidRPr="000A37FF">
        <w:rPr>
          <w:rFonts w:cstheme="minorHAnsi"/>
          <w:b/>
          <w:color w:val="000000" w:themeColor="text1"/>
        </w:rPr>
        <w:br w:type="page"/>
      </w:r>
    </w:p>
    <w:p w14:paraId="57DE5628" w14:textId="77777777" w:rsidR="009A6D19" w:rsidRPr="000A37FF" w:rsidRDefault="009A6D19" w:rsidP="009A6D19">
      <w:pPr>
        <w:jc w:val="center"/>
        <w:rPr>
          <w:rFonts w:cstheme="minorHAnsi"/>
          <w:b/>
          <w:color w:val="000000" w:themeColor="text1"/>
        </w:rPr>
      </w:pPr>
    </w:p>
    <w:p w14:paraId="079C3326" w14:textId="77777777" w:rsidR="009A6D19" w:rsidRPr="000A37FF" w:rsidRDefault="009A6D19" w:rsidP="009A6D19">
      <w:pPr>
        <w:rPr>
          <w:rFonts w:cstheme="minorHAnsi"/>
          <w:b/>
          <w:color w:val="000000" w:themeColor="text1"/>
        </w:rPr>
      </w:pPr>
      <w:r w:rsidRPr="000A37FF">
        <w:rPr>
          <w:rFonts w:cstheme="minorHAnsi"/>
          <w:b/>
          <w:color w:val="000000" w:themeColor="text1"/>
        </w:rPr>
        <w:t>1.</w:t>
      </w:r>
      <w:r w:rsidRPr="000A37FF">
        <w:rPr>
          <w:rFonts w:cstheme="minorHAnsi"/>
          <w:b/>
          <w:color w:val="000000" w:themeColor="text1"/>
        </w:rPr>
        <w:tab/>
        <w:t>Introduction and Purpose</w:t>
      </w:r>
    </w:p>
    <w:p w14:paraId="0166167C" w14:textId="54C770D5" w:rsidR="009A6D19" w:rsidRPr="000A37FF" w:rsidRDefault="009A6D19" w:rsidP="009A6D19">
      <w:pPr>
        <w:rPr>
          <w:rFonts w:cstheme="minorHAnsi"/>
          <w:color w:val="000000" w:themeColor="text1"/>
        </w:rPr>
      </w:pPr>
      <w:r w:rsidRPr="000A37FF">
        <w:rPr>
          <w:rFonts w:cstheme="minorHAnsi"/>
          <w:color w:val="000000" w:themeColor="text1"/>
        </w:rPr>
        <w:t xml:space="preserve">As part of the work of the </w:t>
      </w:r>
      <w:r w:rsidRPr="000A37FF">
        <w:rPr>
          <w:rFonts w:cstheme="minorHAnsi"/>
          <w:color w:val="000000" w:themeColor="text1"/>
          <w:shd w:val="clear" w:color="auto" w:fill="FFFFFF"/>
        </w:rPr>
        <w:t>CPM Focus Group on Sustainable Funding for the IPPC ePhyto Solution</w:t>
      </w:r>
      <w:r w:rsidRPr="000A37FF">
        <w:rPr>
          <w:rFonts w:cstheme="minorHAnsi"/>
          <w:color w:val="000000" w:themeColor="text1"/>
        </w:rPr>
        <w:t xml:space="preserve">, this paper presents the latest estimates for the full operational cost of the </w:t>
      </w:r>
      <w:r w:rsidRPr="000A37FF">
        <w:rPr>
          <w:rFonts w:eastAsia="Calibri" w:cstheme="minorHAnsi"/>
          <w:color w:val="000000" w:themeColor="text1"/>
        </w:rPr>
        <w:t xml:space="preserve">International Plant Protection Convention (IPPC) </w:t>
      </w:r>
      <w:r w:rsidRPr="000A37FF">
        <w:rPr>
          <w:rFonts w:cstheme="minorHAnsi"/>
          <w:color w:val="000000" w:themeColor="text1"/>
        </w:rPr>
        <w:t>ePhyto Solution up to 2025, based on the current figures provided by the IPPC secretariat. This paper also draws on information contained in the 2018 IPPC ePhyto Solution Business Model “</w:t>
      </w:r>
      <w:r w:rsidRPr="000A37FF">
        <w:rPr>
          <w:rFonts w:cstheme="minorHAnsi"/>
          <w:bCs/>
          <w:color w:val="000000" w:themeColor="text1"/>
        </w:rPr>
        <w:t>Options and Recommendations, 20 June 2018, Final Formatted”, hereafter referred to as “the 2018 Report”.</w:t>
      </w:r>
      <w:r w:rsidR="004C4BB5">
        <w:rPr>
          <w:rFonts w:cstheme="minorHAnsi"/>
          <w:bCs/>
          <w:color w:val="000000" w:themeColor="text1"/>
        </w:rPr>
        <w:t xml:space="preserve"> </w:t>
      </w:r>
      <w:r w:rsidRPr="000A37FF">
        <w:rPr>
          <w:rFonts w:cstheme="minorHAnsi"/>
          <w:color w:val="000000" w:themeColor="text1"/>
        </w:rPr>
        <w:t xml:space="preserve">At this time, this paper does </w:t>
      </w:r>
      <w:r w:rsidRPr="000A37FF">
        <w:rPr>
          <w:rFonts w:cstheme="minorHAnsi"/>
          <w:color w:val="000000" w:themeColor="text1"/>
          <w:u w:val="single"/>
        </w:rPr>
        <w:t>not</w:t>
      </w:r>
      <w:r w:rsidRPr="000A37FF">
        <w:rPr>
          <w:rFonts w:cstheme="minorHAnsi"/>
          <w:color w:val="000000" w:themeColor="text1"/>
        </w:rPr>
        <w:t xml:space="preserve"> consider possible funding options or models to cover the above costs as this will be considered separately be the CPM Focus Group on Sustainable Funding.</w:t>
      </w:r>
    </w:p>
    <w:p w14:paraId="44793151" w14:textId="77777777" w:rsidR="009A6D19" w:rsidRPr="000A37FF" w:rsidRDefault="009A6D19" w:rsidP="009A6D19">
      <w:pPr>
        <w:rPr>
          <w:rFonts w:cstheme="minorHAnsi"/>
          <w:b/>
          <w:color w:val="000000" w:themeColor="text1"/>
        </w:rPr>
      </w:pPr>
      <w:r w:rsidRPr="000A37FF">
        <w:rPr>
          <w:rFonts w:cstheme="minorHAnsi"/>
          <w:b/>
          <w:color w:val="000000" w:themeColor="text1"/>
        </w:rPr>
        <w:t>2.</w:t>
      </w:r>
      <w:r w:rsidRPr="000A37FF">
        <w:rPr>
          <w:rFonts w:cstheme="minorHAnsi"/>
          <w:b/>
          <w:color w:val="000000" w:themeColor="text1"/>
        </w:rPr>
        <w:tab/>
        <w:t>Costs Associated with Operating the ePhyto Solution</w:t>
      </w:r>
    </w:p>
    <w:p w14:paraId="7865D8F3" w14:textId="77777777" w:rsidR="009A6D19" w:rsidRPr="000A37FF" w:rsidRDefault="009A6D19" w:rsidP="009A6D19">
      <w:pPr>
        <w:rPr>
          <w:rFonts w:cstheme="minorHAnsi"/>
          <w:color w:val="000000" w:themeColor="text1"/>
        </w:rPr>
      </w:pPr>
      <w:r w:rsidRPr="000A37FF">
        <w:rPr>
          <w:rFonts w:cstheme="minorHAnsi"/>
          <w:bCs/>
          <w:color w:val="000000" w:themeColor="text1"/>
        </w:rPr>
        <w:t xml:space="preserve">The following are assumed costs of supporting and maintaining the ePhyto Solution. This paper will focus on </w:t>
      </w:r>
      <w:r w:rsidRPr="000A37FF">
        <w:rPr>
          <w:rFonts w:cstheme="minorHAnsi"/>
          <w:color w:val="000000" w:themeColor="text1"/>
        </w:rPr>
        <w:t>the following:</w:t>
      </w:r>
    </w:p>
    <w:p w14:paraId="7640D67D" w14:textId="77777777" w:rsidR="009A6D19" w:rsidRPr="007F4FAB" w:rsidRDefault="009A6D19" w:rsidP="009A6D19">
      <w:pPr>
        <w:pStyle w:val="ListParagraph"/>
        <w:numPr>
          <w:ilvl w:val="0"/>
          <w:numId w:val="23"/>
        </w:numPr>
        <w:ind w:left="1240"/>
        <w:rPr>
          <w:rFonts w:ascii="Times New Roman" w:hAnsi="Times New Roman"/>
          <w:color w:val="000000" w:themeColor="text1"/>
          <w:sz w:val="22"/>
          <w:szCs w:val="22"/>
        </w:rPr>
      </w:pPr>
      <w:r w:rsidRPr="007F4FAB">
        <w:rPr>
          <w:rFonts w:ascii="Times New Roman" w:hAnsi="Times New Roman"/>
          <w:color w:val="000000" w:themeColor="text1"/>
          <w:sz w:val="22"/>
          <w:szCs w:val="22"/>
        </w:rPr>
        <w:t>United Nations Information Computing Centre (UNICC) operations:</w:t>
      </w:r>
    </w:p>
    <w:p w14:paraId="30716F20" w14:textId="77777777" w:rsidR="009A6D19" w:rsidRPr="007F4FAB" w:rsidRDefault="009A6D19" w:rsidP="009A6D19">
      <w:pPr>
        <w:pStyle w:val="ListParagraph"/>
        <w:numPr>
          <w:ilvl w:val="1"/>
          <w:numId w:val="23"/>
        </w:numPr>
        <w:ind w:left="1240"/>
        <w:rPr>
          <w:rFonts w:ascii="Times New Roman" w:hAnsi="Times New Roman"/>
          <w:color w:val="000000" w:themeColor="text1"/>
          <w:sz w:val="22"/>
          <w:szCs w:val="22"/>
        </w:rPr>
      </w:pPr>
      <w:r w:rsidRPr="007F4FAB">
        <w:rPr>
          <w:rFonts w:ascii="Times New Roman" w:hAnsi="Times New Roman"/>
          <w:color w:val="000000" w:themeColor="text1"/>
          <w:sz w:val="22"/>
          <w:szCs w:val="22"/>
        </w:rPr>
        <w:t xml:space="preserve"> IPPC ePhyto Hub </w:t>
      </w:r>
    </w:p>
    <w:p w14:paraId="0AC0DFE4" w14:textId="77777777" w:rsidR="009A6D19" w:rsidRPr="007F4FAB" w:rsidRDefault="009A6D19" w:rsidP="009A6D19">
      <w:pPr>
        <w:pStyle w:val="ListParagraph"/>
        <w:numPr>
          <w:ilvl w:val="1"/>
          <w:numId w:val="23"/>
        </w:numPr>
        <w:ind w:left="1240"/>
        <w:rPr>
          <w:rFonts w:ascii="Times New Roman" w:hAnsi="Times New Roman"/>
          <w:color w:val="000000" w:themeColor="text1"/>
          <w:sz w:val="22"/>
          <w:szCs w:val="22"/>
        </w:rPr>
      </w:pPr>
      <w:r w:rsidRPr="007F4FAB">
        <w:rPr>
          <w:rFonts w:ascii="Times New Roman" w:hAnsi="Times New Roman"/>
          <w:color w:val="000000" w:themeColor="text1"/>
          <w:sz w:val="22"/>
          <w:szCs w:val="22"/>
        </w:rPr>
        <w:t>Generic National System (GeNS)</w:t>
      </w:r>
    </w:p>
    <w:p w14:paraId="2459E953" w14:textId="77777777" w:rsidR="009A6D19" w:rsidRPr="007F4FAB" w:rsidRDefault="009A6D19" w:rsidP="009A6D19">
      <w:pPr>
        <w:pStyle w:val="ListParagraph"/>
        <w:numPr>
          <w:ilvl w:val="1"/>
          <w:numId w:val="23"/>
        </w:numPr>
        <w:ind w:left="1240"/>
        <w:rPr>
          <w:rFonts w:ascii="Times New Roman" w:hAnsi="Times New Roman"/>
          <w:color w:val="000000" w:themeColor="text1"/>
          <w:sz w:val="22"/>
          <w:szCs w:val="22"/>
        </w:rPr>
      </w:pPr>
      <w:r w:rsidRPr="007F4FAB">
        <w:rPr>
          <w:rFonts w:ascii="Times New Roman" w:hAnsi="Times New Roman"/>
          <w:color w:val="000000" w:themeColor="text1"/>
          <w:sz w:val="22"/>
          <w:szCs w:val="22"/>
        </w:rPr>
        <w:t>Further Enhancements and Developments</w:t>
      </w:r>
    </w:p>
    <w:p w14:paraId="2858D12C" w14:textId="77777777" w:rsidR="009A6D19" w:rsidRPr="007F4FAB" w:rsidRDefault="009A6D19" w:rsidP="009A6D19">
      <w:pPr>
        <w:pStyle w:val="ListParagraph"/>
        <w:numPr>
          <w:ilvl w:val="0"/>
          <w:numId w:val="23"/>
        </w:numPr>
        <w:ind w:left="1240"/>
        <w:rPr>
          <w:rFonts w:ascii="Times New Roman" w:hAnsi="Times New Roman"/>
          <w:color w:val="000000" w:themeColor="text1"/>
          <w:sz w:val="22"/>
          <w:szCs w:val="22"/>
        </w:rPr>
      </w:pPr>
      <w:r w:rsidRPr="007F4FAB">
        <w:rPr>
          <w:rFonts w:ascii="Times New Roman" w:hAnsi="Times New Roman"/>
          <w:color w:val="000000" w:themeColor="text1"/>
          <w:sz w:val="22"/>
          <w:szCs w:val="22"/>
        </w:rPr>
        <w:t xml:space="preserve"> ePhyto Solution Program Management and Support from IPPC</w:t>
      </w:r>
    </w:p>
    <w:p w14:paraId="725D4B6A" w14:textId="77777777" w:rsidR="009A6D19" w:rsidRPr="000A37FF" w:rsidRDefault="009A6D19" w:rsidP="009A6D19">
      <w:pPr>
        <w:rPr>
          <w:rFonts w:cstheme="minorHAnsi"/>
          <w:color w:val="000000" w:themeColor="text1"/>
        </w:rPr>
      </w:pPr>
      <w:r w:rsidRPr="000A37FF">
        <w:rPr>
          <w:rFonts w:cstheme="minorHAnsi"/>
          <w:color w:val="000000" w:themeColor="text1"/>
        </w:rPr>
        <w:t>Estimates provided by the IPPC Secretariat in July 2022 indicate the following breakdown for these costs:</w:t>
      </w:r>
    </w:p>
    <w:tbl>
      <w:tblPr>
        <w:tblW w:w="9627" w:type="dxa"/>
        <w:tblInd w:w="2" w:type="dxa"/>
        <w:tblCellMar>
          <w:left w:w="0" w:type="dxa"/>
          <w:right w:w="0" w:type="dxa"/>
        </w:tblCellMar>
        <w:tblLook w:val="04A0" w:firstRow="1" w:lastRow="0" w:firstColumn="1" w:lastColumn="0" w:noHBand="0" w:noVBand="1"/>
      </w:tblPr>
      <w:tblGrid>
        <w:gridCol w:w="4159"/>
        <w:gridCol w:w="1396"/>
        <w:gridCol w:w="1394"/>
        <w:gridCol w:w="1319"/>
        <w:gridCol w:w="1359"/>
      </w:tblGrid>
      <w:tr w:rsidR="009A6D19" w:rsidRPr="000A37FF" w14:paraId="510D9539" w14:textId="77777777" w:rsidTr="009A6D19">
        <w:trPr>
          <w:trHeight w:val="315"/>
        </w:trPr>
        <w:tc>
          <w:tcPr>
            <w:tcW w:w="4204" w:type="dxa"/>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14:paraId="002317D3" w14:textId="77777777" w:rsidR="009A6D19" w:rsidRPr="000A37FF" w:rsidRDefault="009A6D19" w:rsidP="009A6D19">
            <w:pPr>
              <w:rPr>
                <w:rFonts w:eastAsia="Times New Roman" w:cstheme="minorHAnsi"/>
                <w:lang w:eastAsia="en-IE"/>
              </w:rPr>
            </w:pPr>
            <w:r w:rsidRPr="000A37FF">
              <w:rPr>
                <w:rFonts w:eastAsia="Times New Roman" w:cstheme="minorHAnsi"/>
                <w:b/>
                <w:bCs/>
                <w:color w:val="000000"/>
                <w:bdr w:val="none" w:sz="0" w:space="0" w:color="auto" w:frame="1"/>
                <w:lang w:eastAsia="en-IE"/>
              </w:rPr>
              <w:t>Type of Cost</w:t>
            </w:r>
          </w:p>
        </w:tc>
        <w:tc>
          <w:tcPr>
            <w:tcW w:w="1411"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5D55A5EF" w14:textId="77777777" w:rsidR="009A6D19" w:rsidRPr="000A37FF" w:rsidRDefault="009A6D19" w:rsidP="009A6D19">
            <w:pPr>
              <w:jc w:val="center"/>
              <w:rPr>
                <w:rFonts w:eastAsia="Times New Roman" w:cstheme="minorHAnsi"/>
                <w:lang w:eastAsia="en-IE"/>
              </w:rPr>
            </w:pPr>
            <w:r w:rsidRPr="000A37FF">
              <w:rPr>
                <w:rFonts w:eastAsia="Times New Roman" w:cstheme="minorHAnsi"/>
                <w:b/>
                <w:bCs/>
                <w:color w:val="000000"/>
                <w:bdr w:val="none" w:sz="0" w:space="0" w:color="auto" w:frame="1"/>
                <w:lang w:eastAsia="en-IE"/>
              </w:rPr>
              <w:t>2022</w:t>
            </w:r>
          </w:p>
        </w:tc>
        <w:tc>
          <w:tcPr>
            <w:tcW w:w="1409"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9CBA914" w14:textId="77777777" w:rsidR="009A6D19" w:rsidRPr="000A37FF" w:rsidRDefault="009A6D19" w:rsidP="009A6D19">
            <w:pPr>
              <w:jc w:val="center"/>
              <w:rPr>
                <w:rFonts w:eastAsia="Times New Roman" w:cstheme="minorHAnsi"/>
                <w:lang w:eastAsia="en-IE"/>
              </w:rPr>
            </w:pPr>
            <w:r w:rsidRPr="000A37FF">
              <w:rPr>
                <w:rFonts w:eastAsia="Times New Roman" w:cstheme="minorHAnsi"/>
                <w:b/>
                <w:bCs/>
                <w:color w:val="000000"/>
                <w:bdr w:val="none" w:sz="0" w:space="0" w:color="auto" w:frame="1"/>
                <w:lang w:eastAsia="en-IE"/>
              </w:rPr>
              <w:t>2023</w:t>
            </w:r>
          </w:p>
        </w:tc>
        <w:tc>
          <w:tcPr>
            <w:tcW w:w="1331"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552231AA" w14:textId="77777777" w:rsidR="009A6D19" w:rsidRPr="000A37FF" w:rsidRDefault="009A6D19" w:rsidP="009A6D19">
            <w:pPr>
              <w:jc w:val="center"/>
              <w:rPr>
                <w:rFonts w:eastAsia="Times New Roman" w:cstheme="minorHAnsi"/>
                <w:lang w:eastAsia="en-IE"/>
              </w:rPr>
            </w:pPr>
            <w:r w:rsidRPr="000A37FF">
              <w:rPr>
                <w:rFonts w:eastAsia="Times New Roman" w:cstheme="minorHAnsi"/>
                <w:b/>
                <w:bCs/>
                <w:color w:val="000000"/>
                <w:bdr w:val="none" w:sz="0" w:space="0" w:color="auto" w:frame="1"/>
                <w:lang w:eastAsia="en-IE"/>
              </w:rPr>
              <w:t>2024</w:t>
            </w:r>
          </w:p>
        </w:tc>
        <w:tc>
          <w:tcPr>
            <w:tcW w:w="1272"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1BD838F3" w14:textId="77777777" w:rsidR="009A6D19" w:rsidRPr="000A37FF" w:rsidRDefault="009A6D19" w:rsidP="009A6D19">
            <w:pPr>
              <w:jc w:val="center"/>
              <w:rPr>
                <w:rFonts w:eastAsia="Times New Roman" w:cstheme="minorHAnsi"/>
                <w:lang w:eastAsia="en-IE"/>
              </w:rPr>
            </w:pPr>
            <w:r w:rsidRPr="000A37FF">
              <w:rPr>
                <w:rFonts w:eastAsia="Times New Roman" w:cstheme="minorHAnsi"/>
                <w:b/>
                <w:bCs/>
                <w:color w:val="000000"/>
                <w:bdr w:val="none" w:sz="0" w:space="0" w:color="auto" w:frame="1"/>
                <w:lang w:eastAsia="en-IE"/>
              </w:rPr>
              <w:t>2025</w:t>
            </w:r>
          </w:p>
        </w:tc>
      </w:tr>
      <w:tr w:rsidR="009A6D19" w:rsidRPr="000A37FF" w14:paraId="6D2378D5" w14:textId="77777777" w:rsidTr="009A6D19">
        <w:trPr>
          <w:trHeight w:val="6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28879" w14:textId="77777777" w:rsidR="009A6D19" w:rsidRPr="000A37FF" w:rsidRDefault="009A6D19" w:rsidP="009A6D19">
            <w:pPr>
              <w:rPr>
                <w:rFonts w:eastAsia="Times New Roman" w:cstheme="minorHAnsi"/>
                <w:lang w:eastAsia="en-IE"/>
              </w:rPr>
            </w:pPr>
            <w:r w:rsidRPr="000A37FF">
              <w:rPr>
                <w:rFonts w:eastAsia="Times New Roman" w:cstheme="minorHAnsi"/>
                <w:b/>
                <w:bCs/>
                <w:color w:val="000000"/>
                <w:bdr w:val="none" w:sz="0" w:space="0" w:color="auto" w:frame="1"/>
                <w:lang w:eastAsia="en-IE"/>
              </w:rPr>
              <w:t>UNICC Operations – including Management and Support (Hub and GeNS)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A387C"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E587"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36F3E"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F7977"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r>
      <w:tr w:rsidR="009A6D19" w:rsidRPr="000A37FF" w14:paraId="7BD54C1E"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F82D6" w14:textId="77777777" w:rsidR="009A6D19" w:rsidRPr="000A37FF" w:rsidRDefault="009A6D19" w:rsidP="009A6D19">
            <w:pPr>
              <w:ind w:firstLine="1100"/>
              <w:rPr>
                <w:rFonts w:eastAsia="Times New Roman" w:cstheme="minorHAnsi"/>
                <w:lang w:eastAsia="en-IE"/>
              </w:rPr>
            </w:pPr>
            <w:r w:rsidRPr="000A37FF">
              <w:rPr>
                <w:rFonts w:eastAsia="Times New Roman" w:cstheme="minorHAnsi"/>
                <w:color w:val="000000"/>
                <w:bdr w:val="none" w:sz="0" w:space="0" w:color="auto" w:frame="1"/>
                <w:lang w:eastAsia="en-IE"/>
              </w:rPr>
              <w:t>         UNICC Hub Operations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AFE2C"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164,000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59AD3"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164,000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17D5F"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164,000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394ED"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164,000</w:t>
            </w:r>
          </w:p>
        </w:tc>
      </w:tr>
      <w:tr w:rsidR="009A6D19" w:rsidRPr="000A37FF" w14:paraId="7383209A"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D61D33" w14:textId="77777777" w:rsidR="009A6D19" w:rsidRPr="000A37FF" w:rsidRDefault="009A6D19" w:rsidP="009A6D19">
            <w:pPr>
              <w:ind w:firstLine="1100"/>
              <w:rPr>
                <w:rFonts w:eastAsia="Times New Roman" w:cstheme="minorHAnsi"/>
                <w:lang w:eastAsia="en-IE"/>
              </w:rPr>
            </w:pPr>
            <w:r w:rsidRPr="000A37FF">
              <w:rPr>
                <w:rFonts w:eastAsia="Times New Roman" w:cstheme="minorHAnsi"/>
                <w:color w:val="000000"/>
                <w:bdr w:val="none" w:sz="0" w:space="0" w:color="auto" w:frame="1"/>
                <w:lang w:eastAsia="en-IE"/>
              </w:rPr>
              <w:t>         UNICC GeNS Operations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B0291"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247,000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E7B1A"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247,000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542D4"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300,000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18333"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300,000</w:t>
            </w:r>
          </w:p>
        </w:tc>
      </w:tr>
      <w:tr w:rsidR="009A6D19" w:rsidRPr="000A37FF" w14:paraId="14FDF578" w14:textId="77777777" w:rsidTr="009A6D19">
        <w:trPr>
          <w:trHeight w:val="300"/>
        </w:trPr>
        <w:tc>
          <w:tcPr>
            <w:tcW w:w="420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886B56D" w14:textId="77777777" w:rsidR="009A6D19" w:rsidRPr="000A37FF" w:rsidRDefault="009A6D19" w:rsidP="009A6D19">
            <w:pPr>
              <w:ind w:firstLine="1100"/>
              <w:rPr>
                <w:rFonts w:eastAsia="Times New Roman" w:cstheme="minorHAnsi"/>
                <w:lang w:eastAsia="en-IE"/>
              </w:rPr>
            </w:pPr>
            <w:r w:rsidRPr="000A37FF">
              <w:rPr>
                <w:rFonts w:eastAsia="Times New Roman" w:cstheme="minorHAnsi"/>
                <w:color w:val="000000"/>
                <w:bdr w:val="none" w:sz="0" w:space="0" w:color="auto" w:frame="1"/>
                <w:lang w:eastAsia="en-IE"/>
              </w:rPr>
              <w:t>         Further enhancements and development</w:t>
            </w:r>
          </w:p>
        </w:tc>
        <w:tc>
          <w:tcPr>
            <w:tcW w:w="141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2EAC547"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0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39F14D9"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89,000</w:t>
            </w:r>
          </w:p>
        </w:tc>
        <w:tc>
          <w:tcPr>
            <w:tcW w:w="1331" w:type="dxa"/>
            <w:tcBorders>
              <w:top w:val="nil"/>
              <w:left w:val="nil"/>
              <w:bottom w:val="nil"/>
              <w:right w:val="single" w:sz="8" w:space="0" w:color="auto"/>
            </w:tcBorders>
            <w:tcMar>
              <w:top w:w="0" w:type="dxa"/>
              <w:left w:w="108" w:type="dxa"/>
              <w:bottom w:w="0" w:type="dxa"/>
              <w:right w:w="108" w:type="dxa"/>
            </w:tcMar>
            <w:vAlign w:val="center"/>
            <w:hideMark/>
          </w:tcPr>
          <w:p w14:paraId="38EFC3CA"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272" w:type="dxa"/>
            <w:tcBorders>
              <w:top w:val="nil"/>
              <w:left w:val="nil"/>
              <w:bottom w:val="nil"/>
              <w:right w:val="single" w:sz="8" w:space="0" w:color="auto"/>
            </w:tcBorders>
            <w:tcMar>
              <w:top w:w="0" w:type="dxa"/>
              <w:left w:w="108" w:type="dxa"/>
              <w:bottom w:w="0" w:type="dxa"/>
              <w:right w:w="108" w:type="dxa"/>
            </w:tcMar>
            <w:vAlign w:val="center"/>
            <w:hideMark/>
          </w:tcPr>
          <w:p w14:paraId="6136F911"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r>
      <w:tr w:rsidR="009A6D19" w:rsidRPr="000A37FF" w14:paraId="31DA4291" w14:textId="77777777" w:rsidTr="009A6D19">
        <w:trPr>
          <w:trHeight w:val="315"/>
        </w:trPr>
        <w:tc>
          <w:tcPr>
            <w:tcW w:w="4204" w:type="dxa"/>
            <w:vMerge/>
            <w:tcBorders>
              <w:top w:val="nil"/>
              <w:left w:val="single" w:sz="8" w:space="0" w:color="auto"/>
              <w:bottom w:val="single" w:sz="8" w:space="0" w:color="000000"/>
              <w:right w:val="single" w:sz="8" w:space="0" w:color="auto"/>
            </w:tcBorders>
            <w:vAlign w:val="center"/>
            <w:hideMark/>
          </w:tcPr>
          <w:p w14:paraId="6DBEAC78" w14:textId="77777777" w:rsidR="009A6D19" w:rsidRPr="000A37FF" w:rsidRDefault="009A6D19" w:rsidP="009A6D19">
            <w:pPr>
              <w:rPr>
                <w:rFonts w:eastAsia="Times New Roman" w:cstheme="minorHAnsi"/>
                <w:lang w:eastAsia="en-IE"/>
              </w:rPr>
            </w:pPr>
            <w:commentRangeStart w:id="2"/>
          </w:p>
        </w:tc>
        <w:tc>
          <w:tcPr>
            <w:tcW w:w="1411" w:type="dxa"/>
            <w:vMerge/>
            <w:tcBorders>
              <w:top w:val="nil"/>
              <w:left w:val="nil"/>
              <w:bottom w:val="single" w:sz="8" w:space="0" w:color="000000"/>
              <w:right w:val="single" w:sz="8" w:space="0" w:color="auto"/>
            </w:tcBorders>
            <w:vAlign w:val="center"/>
            <w:hideMark/>
          </w:tcPr>
          <w:p w14:paraId="46EB7A6B" w14:textId="77777777" w:rsidR="009A6D19" w:rsidRPr="000A37FF" w:rsidRDefault="009A6D19" w:rsidP="009A6D19">
            <w:pPr>
              <w:rPr>
                <w:rFonts w:eastAsia="Times New Roman" w:cstheme="minorHAnsi"/>
                <w:lang w:eastAsia="en-IE"/>
              </w:rPr>
            </w:pPr>
          </w:p>
        </w:tc>
        <w:tc>
          <w:tcPr>
            <w:tcW w:w="0" w:type="auto"/>
            <w:vMerge/>
            <w:tcBorders>
              <w:top w:val="nil"/>
              <w:left w:val="nil"/>
              <w:bottom w:val="single" w:sz="8" w:space="0" w:color="000000"/>
              <w:right w:val="single" w:sz="8" w:space="0" w:color="auto"/>
            </w:tcBorders>
            <w:vAlign w:val="center"/>
            <w:hideMark/>
          </w:tcPr>
          <w:p w14:paraId="52C43A67" w14:textId="77777777" w:rsidR="009A6D19" w:rsidRPr="000A37FF" w:rsidRDefault="009A6D19" w:rsidP="009A6D19">
            <w:pPr>
              <w:rPr>
                <w:rFonts w:eastAsia="Times New Roman" w:cstheme="minorHAnsi"/>
                <w:lang w:eastAsia="en-IE"/>
              </w:rPr>
            </w:pP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171F6"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89,000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DBD76"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89,000</w:t>
            </w:r>
            <w:commentRangeEnd w:id="2"/>
            <w:r w:rsidRPr="000A37FF">
              <w:rPr>
                <w:rStyle w:val="CommentReference"/>
                <w:rFonts w:cstheme="minorHAnsi"/>
                <w:sz w:val="22"/>
                <w:szCs w:val="22"/>
              </w:rPr>
              <w:commentReference w:id="2"/>
            </w:r>
          </w:p>
        </w:tc>
      </w:tr>
      <w:tr w:rsidR="009A6D19" w:rsidRPr="000A37FF" w14:paraId="0ECAD5C1"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88154" w14:textId="77777777" w:rsidR="009A6D19" w:rsidRPr="000A37FF" w:rsidRDefault="009A6D19" w:rsidP="009A6D19">
            <w:pPr>
              <w:ind w:firstLine="1100"/>
              <w:rPr>
                <w:rFonts w:eastAsia="Times New Roman" w:cstheme="minorHAnsi"/>
                <w:lang w:eastAsia="en-IE"/>
              </w:rPr>
            </w:pPr>
            <w:r w:rsidRPr="000A37FF">
              <w:rPr>
                <w:rFonts w:eastAsia="Times New Roman" w:cstheme="minorHAnsi"/>
                <w:color w:val="000000"/>
                <w:bdr w:val="none" w:sz="0" w:space="0" w:color="auto" w:frame="1"/>
                <w:lang w:eastAsia="en-IE"/>
              </w:rPr>
              <w:t>         Inflation adjustment*</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64664"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719C3"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41,000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4007D"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54,000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3B386"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60,000</w:t>
            </w:r>
          </w:p>
        </w:tc>
      </w:tr>
      <w:tr w:rsidR="009A6D19" w:rsidRPr="000A37FF" w14:paraId="34DBD0BF"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6F7D3" w14:textId="77777777" w:rsidR="009A6D19" w:rsidRPr="000A37FF" w:rsidRDefault="009A6D19" w:rsidP="009A6D19">
            <w:pPr>
              <w:rPr>
                <w:rFonts w:eastAsia="Times New Roman" w:cstheme="minorHAnsi"/>
                <w:lang w:eastAsia="en-IE"/>
              </w:rPr>
            </w:pPr>
            <w:r w:rsidRPr="000A37FF">
              <w:rPr>
                <w:rFonts w:eastAsia="Times New Roman" w:cstheme="minorHAnsi"/>
                <w:b/>
                <w:bCs/>
                <w:color w:val="000000"/>
                <w:bdr w:val="none" w:sz="0" w:space="0" w:color="auto" w:frame="1"/>
                <w:lang w:eastAsia="en-IE"/>
              </w:rPr>
              <w:t>SUB-TOTAL</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E21A8"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411,000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E1939"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541,000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A8ED3"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607,000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61CCD"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613,000</w:t>
            </w:r>
          </w:p>
        </w:tc>
      </w:tr>
      <w:tr w:rsidR="009A6D19" w:rsidRPr="000A37FF" w14:paraId="48B69442"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3F4EB"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7CACB"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B851E"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EB2A8"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899F1"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r>
      <w:tr w:rsidR="009A6D19" w:rsidRPr="000A37FF" w14:paraId="05D10A83" w14:textId="77777777" w:rsidTr="009A6D19">
        <w:trPr>
          <w:trHeight w:val="6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2936D" w14:textId="77777777" w:rsidR="009A6D19" w:rsidRPr="000A37FF" w:rsidRDefault="009A6D19" w:rsidP="009A6D19">
            <w:pPr>
              <w:rPr>
                <w:rFonts w:eastAsia="Times New Roman" w:cstheme="minorHAnsi"/>
                <w:lang w:eastAsia="en-IE"/>
              </w:rPr>
            </w:pPr>
            <w:r w:rsidRPr="000A37FF">
              <w:rPr>
                <w:rFonts w:eastAsia="Times New Roman" w:cstheme="minorHAnsi"/>
                <w:b/>
                <w:bCs/>
                <w:color w:val="000000"/>
                <w:bdr w:val="none" w:sz="0" w:space="0" w:color="auto" w:frame="1"/>
                <w:lang w:eastAsia="en-IE"/>
              </w:rPr>
              <w:t>ePhyto Program Management and Support (IPPC)</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E8235"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5FB47"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5AC55"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1150B"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r>
      <w:tr w:rsidR="009A6D19" w:rsidRPr="000A37FF" w14:paraId="78F36F1D"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CE9F4" w14:textId="77777777" w:rsidR="009A6D19" w:rsidRPr="000A37FF" w:rsidRDefault="009A6D19" w:rsidP="009A6D19">
            <w:pPr>
              <w:ind w:firstLine="1100"/>
              <w:rPr>
                <w:rFonts w:eastAsia="Times New Roman" w:cstheme="minorHAnsi"/>
                <w:lang w:eastAsia="en-IE"/>
              </w:rPr>
            </w:pPr>
            <w:r w:rsidRPr="000A37FF">
              <w:rPr>
                <w:rFonts w:eastAsia="Times New Roman" w:cstheme="minorHAnsi"/>
                <w:color w:val="000000"/>
                <w:bdr w:val="none" w:sz="0" w:space="0" w:color="auto" w:frame="1"/>
                <w:lang w:eastAsia="en-IE"/>
              </w:rPr>
              <w:t>         ePhyto Program Manager</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80F7B"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100,000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6B35C"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100,000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B8372"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100,000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EA101"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200,000</w:t>
            </w:r>
          </w:p>
        </w:tc>
      </w:tr>
      <w:tr w:rsidR="009A6D19" w:rsidRPr="000A37FF" w14:paraId="7ACF8C64"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A9DE1" w14:textId="77777777" w:rsidR="009A6D19" w:rsidRPr="000A37FF" w:rsidRDefault="009A6D19" w:rsidP="009A6D19">
            <w:pPr>
              <w:ind w:firstLine="1100"/>
              <w:rPr>
                <w:rFonts w:eastAsia="Times New Roman" w:cstheme="minorHAnsi"/>
                <w:lang w:eastAsia="en-IE"/>
              </w:rPr>
            </w:pPr>
            <w:r w:rsidRPr="000A37FF">
              <w:rPr>
                <w:rFonts w:eastAsia="Times New Roman" w:cstheme="minorHAnsi"/>
                <w:color w:val="000000"/>
                <w:bdr w:val="none" w:sz="0" w:space="0" w:color="auto" w:frame="1"/>
                <w:lang w:eastAsia="en-IE"/>
              </w:rPr>
              <w:t>         ePhyto Program Assistant</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77B69"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50,000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6273D"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50,000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1C8F"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50,000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0A324"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50,000</w:t>
            </w:r>
          </w:p>
        </w:tc>
      </w:tr>
      <w:tr w:rsidR="009A6D19" w:rsidRPr="000A37FF" w14:paraId="0A8E5946"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9E340" w14:textId="77777777" w:rsidR="009A6D19" w:rsidRPr="000A37FF" w:rsidRDefault="009A6D19" w:rsidP="009A6D19">
            <w:pPr>
              <w:ind w:firstLine="1100"/>
              <w:rPr>
                <w:rFonts w:eastAsia="Times New Roman" w:cstheme="minorHAnsi"/>
                <w:lang w:eastAsia="en-IE"/>
              </w:rPr>
            </w:pPr>
            <w:r w:rsidRPr="000A37FF">
              <w:rPr>
                <w:rFonts w:eastAsia="Times New Roman" w:cstheme="minorHAnsi"/>
                <w:color w:val="000000"/>
                <w:bdr w:val="none" w:sz="0" w:space="0" w:color="auto" w:frame="1"/>
                <w:lang w:eastAsia="en-IE"/>
              </w:rPr>
              <w:t>         Travel</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FB8BC"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20,000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EDDC2"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50,000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E5709"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60,000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DBBE7" w14:textId="77777777" w:rsidR="009A6D19" w:rsidRPr="000A37FF" w:rsidRDefault="009A6D19" w:rsidP="009A6D19">
            <w:pPr>
              <w:jc w:val="right"/>
              <w:rPr>
                <w:rFonts w:eastAsia="Times New Roman" w:cstheme="minorHAnsi"/>
                <w:lang w:eastAsia="en-IE"/>
              </w:rPr>
            </w:pPr>
            <w:r w:rsidRPr="000A37FF">
              <w:rPr>
                <w:rFonts w:eastAsia="Times New Roman" w:cstheme="minorHAnsi"/>
                <w:color w:val="000000"/>
                <w:bdr w:val="none" w:sz="0" w:space="0" w:color="auto" w:frame="1"/>
                <w:lang w:eastAsia="en-IE"/>
              </w:rPr>
              <w:t>70,000</w:t>
            </w:r>
          </w:p>
        </w:tc>
      </w:tr>
      <w:tr w:rsidR="009A6D19" w:rsidRPr="000A37FF" w14:paraId="576B9563"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3896E" w14:textId="77777777" w:rsidR="009A6D19" w:rsidRPr="000A37FF" w:rsidRDefault="009A6D19" w:rsidP="009A6D19">
            <w:pPr>
              <w:rPr>
                <w:rFonts w:eastAsia="Times New Roman" w:cstheme="minorHAnsi"/>
                <w:lang w:eastAsia="en-IE"/>
              </w:rPr>
            </w:pPr>
            <w:r w:rsidRPr="000A37FF">
              <w:rPr>
                <w:rFonts w:eastAsia="Times New Roman" w:cstheme="minorHAnsi"/>
                <w:b/>
                <w:bCs/>
                <w:color w:val="000000"/>
                <w:bdr w:val="none" w:sz="0" w:space="0" w:color="auto" w:frame="1"/>
                <w:lang w:eastAsia="en-IE"/>
              </w:rPr>
              <w:t>SUB-TOTAL</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C00E0"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170,000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A68E4"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200,000</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6D2A9"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210,000</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8372"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320,000</w:t>
            </w:r>
          </w:p>
        </w:tc>
      </w:tr>
      <w:tr w:rsidR="009A6D19" w:rsidRPr="000A37FF" w14:paraId="3C8C93CB" w14:textId="77777777" w:rsidTr="009A6D19">
        <w:trPr>
          <w:trHeight w:val="315"/>
        </w:trPr>
        <w:tc>
          <w:tcPr>
            <w:tcW w:w="4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EE329"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D80D3"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3EBD4"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B014C"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DC649" w14:textId="77777777" w:rsidR="009A6D19" w:rsidRPr="000A37FF" w:rsidRDefault="009A6D19" w:rsidP="009A6D19">
            <w:pPr>
              <w:rPr>
                <w:rFonts w:eastAsia="Times New Roman" w:cstheme="minorHAnsi"/>
                <w:lang w:eastAsia="en-IE"/>
              </w:rPr>
            </w:pPr>
            <w:r w:rsidRPr="000A37FF">
              <w:rPr>
                <w:rFonts w:eastAsia="Times New Roman" w:cstheme="minorHAnsi"/>
                <w:color w:val="000000"/>
                <w:bdr w:val="none" w:sz="0" w:space="0" w:color="auto" w:frame="1"/>
                <w:lang w:eastAsia="en-IE"/>
              </w:rPr>
              <w:t> </w:t>
            </w:r>
          </w:p>
        </w:tc>
      </w:tr>
      <w:tr w:rsidR="009A6D19" w:rsidRPr="000A37FF" w14:paraId="66E5CE0E" w14:textId="77777777" w:rsidTr="009A6D19">
        <w:trPr>
          <w:trHeight w:val="315"/>
        </w:trPr>
        <w:tc>
          <w:tcPr>
            <w:tcW w:w="420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14:paraId="780EB234" w14:textId="77777777" w:rsidR="009A6D19" w:rsidRPr="000A37FF" w:rsidRDefault="009A6D19" w:rsidP="009A6D19">
            <w:pPr>
              <w:rPr>
                <w:rFonts w:eastAsia="Times New Roman" w:cstheme="minorHAnsi"/>
                <w:lang w:eastAsia="en-IE"/>
              </w:rPr>
            </w:pPr>
            <w:r w:rsidRPr="000A37FF">
              <w:rPr>
                <w:rFonts w:eastAsia="Times New Roman" w:cstheme="minorHAnsi"/>
                <w:b/>
                <w:bCs/>
                <w:color w:val="000000"/>
                <w:bdr w:val="none" w:sz="0" w:space="0" w:color="auto" w:frame="1"/>
                <w:lang w:eastAsia="en-IE"/>
              </w:rPr>
              <w:t>Total Operational Costs in USD</w:t>
            </w:r>
          </w:p>
        </w:tc>
        <w:tc>
          <w:tcPr>
            <w:tcW w:w="1411"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66D75E76"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581,000</w:t>
            </w:r>
          </w:p>
        </w:tc>
        <w:tc>
          <w:tcPr>
            <w:tcW w:w="140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6F4FD285"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741,000</w:t>
            </w:r>
          </w:p>
        </w:tc>
        <w:tc>
          <w:tcPr>
            <w:tcW w:w="1331"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644C299B"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817,000</w:t>
            </w:r>
          </w:p>
        </w:tc>
        <w:tc>
          <w:tcPr>
            <w:tcW w:w="127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58E511B9" w14:textId="77777777" w:rsidR="009A6D19" w:rsidRPr="000A37FF" w:rsidRDefault="009A6D19" w:rsidP="009A6D19">
            <w:pPr>
              <w:jc w:val="right"/>
              <w:rPr>
                <w:rFonts w:eastAsia="Times New Roman" w:cstheme="minorHAnsi"/>
                <w:lang w:eastAsia="en-IE"/>
              </w:rPr>
            </w:pPr>
            <w:r w:rsidRPr="000A37FF">
              <w:rPr>
                <w:rFonts w:eastAsia="Times New Roman" w:cstheme="minorHAnsi"/>
                <w:b/>
                <w:bCs/>
                <w:color w:val="000000"/>
                <w:bdr w:val="none" w:sz="0" w:space="0" w:color="auto" w:frame="1"/>
                <w:lang w:eastAsia="en-IE"/>
              </w:rPr>
              <w:t>933,000</w:t>
            </w:r>
          </w:p>
        </w:tc>
      </w:tr>
    </w:tbl>
    <w:p w14:paraId="191EE5DA" w14:textId="77777777" w:rsidR="009A6D19"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p>
    <w:p w14:paraId="51648BD9"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sidRPr="000A37FF">
        <w:rPr>
          <w:rFonts w:asciiTheme="minorHAnsi" w:hAnsiTheme="minorHAnsi" w:cstheme="minorHAnsi"/>
          <w:color w:val="000000" w:themeColor="text1"/>
          <w:sz w:val="22"/>
          <w:szCs w:val="22"/>
          <w:bdr w:val="none" w:sz="0" w:space="0" w:color="auto" w:frame="1"/>
        </w:rPr>
        <w:t xml:space="preserve">Note 1: 2022 funding comes from voluntary contributions from Canada, Republic of Korea, Ireland and USA. </w:t>
      </w:r>
    </w:p>
    <w:p w14:paraId="1955F1C1" w14:textId="02E6866B" w:rsidR="009A6D19"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Note 2: The increase in annual costs for the ePhyto Manager from 2024 to 2022 ($100,000 to $200,000) is due to the movement to a formal post for this position as compared to the cu</w:t>
      </w:r>
      <w:r w:rsidR="004C4BB5">
        <w:rPr>
          <w:rFonts w:asciiTheme="minorHAnsi" w:hAnsiTheme="minorHAnsi" w:cstheme="minorHAnsi"/>
          <w:color w:val="000000" w:themeColor="text1"/>
          <w:sz w:val="22"/>
          <w:szCs w:val="22"/>
          <w:bdr w:val="none" w:sz="0" w:space="0" w:color="auto" w:frame="1"/>
        </w:rPr>
        <w:t xml:space="preserve">rrent consultancy arrangement. This position is just a proposal, it has not been formally approved by FAO.  </w:t>
      </w:r>
    </w:p>
    <w:p w14:paraId="11283E80" w14:textId="3168F03C"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sidRPr="000A37FF">
        <w:rPr>
          <w:rFonts w:asciiTheme="minorHAnsi" w:hAnsiTheme="minorHAnsi" w:cstheme="minorHAnsi"/>
          <w:color w:val="000000" w:themeColor="text1"/>
          <w:sz w:val="22"/>
          <w:szCs w:val="22"/>
          <w:bdr w:val="none" w:sz="0" w:space="0" w:color="auto" w:frame="1"/>
        </w:rPr>
        <w:lastRenderedPageBreak/>
        <w:t xml:space="preserve">Note </w:t>
      </w:r>
      <w:r>
        <w:rPr>
          <w:rFonts w:asciiTheme="minorHAnsi" w:hAnsiTheme="minorHAnsi" w:cstheme="minorHAnsi"/>
          <w:color w:val="000000" w:themeColor="text1"/>
          <w:sz w:val="22"/>
          <w:szCs w:val="22"/>
          <w:bdr w:val="none" w:sz="0" w:space="0" w:color="auto" w:frame="1"/>
        </w:rPr>
        <w:t>3</w:t>
      </w:r>
      <w:r w:rsidRPr="000A37FF">
        <w:rPr>
          <w:rFonts w:asciiTheme="minorHAnsi" w:hAnsiTheme="minorHAnsi" w:cstheme="minorHAnsi"/>
          <w:color w:val="000000" w:themeColor="text1"/>
          <w:sz w:val="22"/>
          <w:szCs w:val="22"/>
          <w:bdr w:val="none" w:sz="0" w:space="0" w:color="auto" w:frame="1"/>
        </w:rPr>
        <w:t>: Job Descriptions for both the ePhyto Program Manager and the ePhyto Program Assistant are provided in Annex</w:t>
      </w:r>
      <w:r>
        <w:rPr>
          <w:rFonts w:asciiTheme="minorHAnsi" w:hAnsiTheme="minorHAnsi" w:cstheme="minorHAnsi"/>
          <w:color w:val="000000" w:themeColor="text1"/>
          <w:sz w:val="22"/>
          <w:szCs w:val="22"/>
          <w:bdr w:val="none" w:sz="0" w:space="0" w:color="auto" w:frame="1"/>
        </w:rPr>
        <w:t xml:space="preserve"> A </w:t>
      </w:r>
      <w:r w:rsidR="004C4BB5">
        <w:rPr>
          <w:rFonts w:asciiTheme="minorHAnsi" w:hAnsiTheme="minorHAnsi" w:cstheme="minorHAnsi"/>
          <w:color w:val="000000" w:themeColor="text1"/>
          <w:sz w:val="22"/>
          <w:szCs w:val="22"/>
          <w:bdr w:val="none" w:sz="0" w:space="0" w:color="auto" w:frame="1"/>
        </w:rPr>
        <w:t xml:space="preserve">. See Section 2.1 for details. </w:t>
      </w:r>
    </w:p>
    <w:p w14:paraId="4FF26F9E"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sidRPr="000A37FF">
        <w:rPr>
          <w:rFonts w:asciiTheme="minorHAnsi" w:hAnsiTheme="minorHAnsi" w:cstheme="minorHAnsi"/>
          <w:color w:val="000000" w:themeColor="text1"/>
          <w:sz w:val="22"/>
          <w:szCs w:val="22"/>
          <w:bdr w:val="none" w:sz="0" w:space="0" w:color="auto" w:frame="1"/>
        </w:rPr>
        <w:t>* Inflation is estimated at 10% per year</w:t>
      </w:r>
    </w:p>
    <w:p w14:paraId="22B0E64E"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p>
    <w:p w14:paraId="777FF302" w14:textId="77777777" w:rsidR="009A6D19" w:rsidRPr="000A37FF" w:rsidRDefault="009A6D19" w:rsidP="009A6D19">
      <w:pPr>
        <w:rPr>
          <w:rFonts w:cstheme="minorHAnsi"/>
          <w:b/>
          <w:bCs/>
          <w:color w:val="000000" w:themeColor="text1"/>
        </w:rPr>
      </w:pPr>
      <w:r w:rsidRPr="000A37FF">
        <w:rPr>
          <w:rFonts w:cstheme="minorHAnsi"/>
          <w:b/>
          <w:bCs/>
          <w:color w:val="000000" w:themeColor="text1"/>
        </w:rPr>
        <w:t>2.1</w:t>
      </w:r>
      <w:r w:rsidRPr="000A37FF">
        <w:rPr>
          <w:rFonts w:cstheme="minorHAnsi"/>
          <w:b/>
          <w:bCs/>
          <w:color w:val="000000" w:themeColor="text1"/>
        </w:rPr>
        <w:tab/>
        <w:t>Assumptions and Comments on IPPC Estimates</w:t>
      </w:r>
    </w:p>
    <w:p w14:paraId="029A882B" w14:textId="77777777" w:rsidR="009A6D19" w:rsidRPr="000022BC" w:rsidRDefault="009A6D19" w:rsidP="009A6D19">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0A37FF">
        <w:rPr>
          <w:rFonts w:asciiTheme="minorHAnsi" w:hAnsiTheme="minorHAnsi" w:cstheme="minorHAnsi"/>
          <w:color w:val="000000" w:themeColor="text1"/>
          <w:sz w:val="22"/>
          <w:szCs w:val="22"/>
          <w:bdr w:val="none" w:sz="0" w:space="0" w:color="auto" w:frame="1"/>
        </w:rPr>
        <w:t xml:space="preserve">The level of the position for the ePhyto Programme Manager position should be determined by the FAO Administration, based on a detailed job description (See Annex </w:t>
      </w:r>
      <w:r>
        <w:rPr>
          <w:rFonts w:asciiTheme="minorHAnsi" w:hAnsiTheme="minorHAnsi" w:cstheme="minorHAnsi"/>
          <w:color w:val="000000" w:themeColor="text1"/>
          <w:sz w:val="22"/>
          <w:szCs w:val="22"/>
          <w:bdr w:val="none" w:sz="0" w:space="0" w:color="auto" w:frame="1"/>
        </w:rPr>
        <w:t>A</w:t>
      </w:r>
      <w:r w:rsidRPr="000A37FF">
        <w:rPr>
          <w:rFonts w:asciiTheme="minorHAnsi" w:hAnsiTheme="minorHAnsi" w:cstheme="minorHAnsi"/>
          <w:color w:val="000000" w:themeColor="text1"/>
          <w:sz w:val="22"/>
          <w:szCs w:val="22"/>
          <w:bdr w:val="none" w:sz="0" w:space="0" w:color="auto" w:frame="1"/>
        </w:rPr>
        <w:t xml:space="preserve">). For the purpose of this paper, at least a middle management level position is assumed in order to properly manage the service. Within the UN system, a middle level management position is termed a Professional Level 4 position </w:t>
      </w:r>
      <w:r w:rsidRPr="000022BC">
        <w:rPr>
          <w:rFonts w:asciiTheme="minorHAnsi" w:hAnsiTheme="minorHAnsi" w:cstheme="minorHAnsi"/>
          <w:sz w:val="22"/>
          <w:szCs w:val="22"/>
          <w:bdr w:val="none" w:sz="0" w:space="0" w:color="auto" w:frame="1"/>
        </w:rPr>
        <w:t>(P4). This Post is currently filled under a consultancy arrangement.</w:t>
      </w:r>
    </w:p>
    <w:p w14:paraId="7D669795"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1F497D"/>
          <w:sz w:val="22"/>
          <w:szCs w:val="22"/>
          <w:bdr w:val="none" w:sz="0" w:space="0" w:color="auto" w:frame="1"/>
        </w:rPr>
      </w:pPr>
    </w:p>
    <w:p w14:paraId="63D237A6"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1F497D"/>
          <w:sz w:val="22"/>
          <w:szCs w:val="22"/>
          <w:bdr w:val="none" w:sz="0" w:space="0" w:color="auto" w:frame="1"/>
        </w:rPr>
      </w:pPr>
      <w:r w:rsidRPr="000A37FF">
        <w:rPr>
          <w:rFonts w:asciiTheme="minorHAnsi" w:hAnsiTheme="minorHAnsi" w:cstheme="minorHAnsi"/>
          <w:color w:val="000000" w:themeColor="text1"/>
          <w:sz w:val="22"/>
          <w:szCs w:val="22"/>
          <w:bdr w:val="none" w:sz="0" w:space="0" w:color="auto" w:frame="1"/>
        </w:rPr>
        <w:t>Similarly, the level of the position for the ePhyto Programme Assistant position should be determined by the FAO Administration, based on a detailed job description (see Annex</w:t>
      </w:r>
      <w:r>
        <w:rPr>
          <w:rFonts w:asciiTheme="minorHAnsi" w:hAnsiTheme="minorHAnsi" w:cstheme="minorHAnsi"/>
          <w:color w:val="000000" w:themeColor="text1"/>
          <w:sz w:val="22"/>
          <w:szCs w:val="22"/>
          <w:bdr w:val="none" w:sz="0" w:space="0" w:color="auto" w:frame="1"/>
        </w:rPr>
        <w:t xml:space="preserve"> A</w:t>
      </w:r>
      <w:r w:rsidRPr="000A37FF">
        <w:rPr>
          <w:rFonts w:asciiTheme="minorHAnsi" w:hAnsiTheme="minorHAnsi" w:cstheme="minorHAnsi"/>
          <w:color w:val="000000" w:themeColor="text1"/>
          <w:sz w:val="22"/>
          <w:szCs w:val="22"/>
          <w:bdr w:val="none" w:sz="0" w:space="0" w:color="auto" w:frame="1"/>
        </w:rPr>
        <w:t>). For the purpose of this paper, a junior professional level position is assumed in order to properly support the service. Within the UN system, a junior level management position is termed a Professional Level 2 position (</w:t>
      </w:r>
      <w:r w:rsidRPr="000A37FF">
        <w:rPr>
          <w:rFonts w:asciiTheme="minorHAnsi" w:hAnsiTheme="minorHAnsi" w:cstheme="minorHAnsi"/>
          <w:color w:val="1F497D"/>
          <w:sz w:val="22"/>
          <w:szCs w:val="22"/>
          <w:bdr w:val="none" w:sz="0" w:space="0" w:color="auto" w:frame="1"/>
        </w:rPr>
        <w:t>P2).</w:t>
      </w:r>
    </w:p>
    <w:p w14:paraId="12ADCA47"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1F497D"/>
          <w:sz w:val="22"/>
          <w:szCs w:val="22"/>
          <w:bdr w:val="none" w:sz="0" w:space="0" w:color="auto" w:frame="1"/>
        </w:rPr>
      </w:pPr>
    </w:p>
    <w:p w14:paraId="3035B9A5"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sidRPr="000A37FF">
        <w:rPr>
          <w:rFonts w:asciiTheme="minorHAnsi" w:hAnsiTheme="minorHAnsi" w:cstheme="minorHAnsi"/>
          <w:color w:val="000000" w:themeColor="text1"/>
          <w:sz w:val="22"/>
          <w:szCs w:val="22"/>
          <w:bdr w:val="none" w:sz="0" w:space="0" w:color="auto" w:frame="1"/>
        </w:rPr>
        <w:t>Both the ePhyto Program Manager and the ePhyto Program Assistant positions would be fully dedicated to supporting the ePhyto program.</w:t>
      </w:r>
    </w:p>
    <w:p w14:paraId="181FBD18"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p>
    <w:p w14:paraId="14A60682"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sidRPr="000A37FF">
        <w:rPr>
          <w:rFonts w:asciiTheme="minorHAnsi" w:hAnsiTheme="minorHAnsi" w:cstheme="minorHAnsi"/>
          <w:color w:val="000000" w:themeColor="text1"/>
          <w:sz w:val="22"/>
          <w:szCs w:val="22"/>
          <w:bdr w:val="none" w:sz="0" w:space="0" w:color="auto" w:frame="1"/>
        </w:rPr>
        <w:t>The staffing levels for the ePhyto secretariat should be reviewed overtime to determine if they are adequate to provide optimum service and support to the programme</w:t>
      </w:r>
    </w:p>
    <w:p w14:paraId="405452F6" w14:textId="77777777" w:rsidR="009A6D19" w:rsidRPr="000A37FF" w:rsidRDefault="009A6D19" w:rsidP="009A6D19">
      <w:pPr>
        <w:pStyle w:val="xmsonormal"/>
        <w:shd w:val="clear" w:color="auto" w:fill="FFFFFF"/>
        <w:spacing w:before="0" w:beforeAutospacing="0" w:after="0" w:afterAutospacing="0"/>
        <w:rPr>
          <w:rFonts w:asciiTheme="minorHAnsi" w:hAnsiTheme="minorHAnsi" w:cstheme="minorHAnsi"/>
          <w:color w:val="201F1E"/>
          <w:sz w:val="22"/>
          <w:szCs w:val="22"/>
        </w:rPr>
      </w:pPr>
    </w:p>
    <w:p w14:paraId="7DFF87DF" w14:textId="77777777" w:rsidR="009A6D19" w:rsidRPr="000A37FF" w:rsidRDefault="009A6D19" w:rsidP="009A6D19">
      <w:pPr>
        <w:pStyle w:val="xmsonormal"/>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37FF">
        <w:rPr>
          <w:rFonts w:asciiTheme="minorHAnsi" w:hAnsiTheme="minorHAnsi" w:cstheme="minorHAnsi"/>
          <w:color w:val="000000" w:themeColor="text1"/>
          <w:sz w:val="22"/>
          <w:szCs w:val="22"/>
          <w:bdr w:val="none" w:sz="0" w:space="0" w:color="auto" w:frame="1"/>
        </w:rPr>
        <w:t>IPPC indicated the above cost estimates for the Hub are accurate up to 2025. The cost estimates noted in the 2018 report were based on a Hub capacity of up to 7 million ePhytos per year – significantly above the current total usage of approximately 1.5 mission ePhytos per year, so the Hub still has considerable capacity for an increased volume of ePhyto exchanges.</w:t>
      </w:r>
    </w:p>
    <w:p w14:paraId="4F0C746A" w14:textId="77777777" w:rsidR="009A6D19" w:rsidRPr="000A37FF" w:rsidRDefault="009A6D19" w:rsidP="009A6D19">
      <w:pPr>
        <w:pStyle w:val="xmsonormal"/>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37FF">
        <w:rPr>
          <w:rFonts w:asciiTheme="minorHAnsi" w:hAnsiTheme="minorHAnsi" w:cstheme="minorHAnsi"/>
          <w:color w:val="000000" w:themeColor="text1"/>
          <w:sz w:val="22"/>
          <w:szCs w:val="22"/>
          <w:bdr w:val="none" w:sz="0" w:space="0" w:color="auto" w:frame="1"/>
        </w:rPr>
        <w:t> </w:t>
      </w:r>
    </w:p>
    <w:p w14:paraId="2BDAF0D5" w14:textId="77777777" w:rsidR="009A6D19" w:rsidRPr="000A37FF" w:rsidRDefault="009A6D19" w:rsidP="009A6D19">
      <w:pPr>
        <w:pStyle w:val="xmsonormal"/>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37FF">
        <w:rPr>
          <w:rFonts w:asciiTheme="minorHAnsi" w:hAnsiTheme="minorHAnsi" w:cstheme="minorHAnsi"/>
          <w:color w:val="000000" w:themeColor="text1"/>
          <w:sz w:val="22"/>
          <w:szCs w:val="22"/>
          <w:bdr w:val="none" w:sz="0" w:space="0" w:color="auto" w:frame="1"/>
        </w:rPr>
        <w:t>Regarding the estimates for GeNS costs ($247,000 per year in 2022 and 2023), the 2018 paper indicated that such estimates were based on 9 countries using the GeNS with 1,400 users, and the capacity to absorb up to 11 countries with 1,700 users. However, there are already up to 20 GeNS countries in production exchanges, and this is likely to increase significantly over the next 5 years. On this basis, the IPPC Secretariat increased the estimates for 2024 and 2025 to $300,000 per year - but this is still under review.</w:t>
      </w:r>
    </w:p>
    <w:p w14:paraId="0955EB8E" w14:textId="77777777" w:rsidR="009A6D19" w:rsidRPr="000A37FF" w:rsidRDefault="009A6D19" w:rsidP="009A6D19">
      <w:pPr>
        <w:pStyle w:val="xmsonormal"/>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37FF">
        <w:rPr>
          <w:rFonts w:asciiTheme="minorHAnsi" w:hAnsiTheme="minorHAnsi" w:cstheme="minorHAnsi"/>
          <w:color w:val="000000" w:themeColor="text1"/>
          <w:sz w:val="22"/>
          <w:szCs w:val="22"/>
          <w:bdr w:val="none" w:sz="0" w:space="0" w:color="auto" w:frame="1"/>
        </w:rPr>
        <w:t> </w:t>
      </w:r>
    </w:p>
    <w:p w14:paraId="403A67B3" w14:textId="77777777" w:rsidR="009A6D19" w:rsidRPr="000A37FF" w:rsidRDefault="009A6D19" w:rsidP="009A6D19">
      <w:pPr>
        <w:pStyle w:val="xmsonormal"/>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0A37FF">
        <w:rPr>
          <w:rFonts w:asciiTheme="minorHAnsi" w:hAnsiTheme="minorHAnsi" w:cstheme="minorHAnsi"/>
          <w:color w:val="000000" w:themeColor="text1"/>
          <w:sz w:val="22"/>
          <w:szCs w:val="22"/>
          <w:shd w:val="clear" w:color="auto" w:fill="FFFFFF"/>
        </w:rPr>
        <w:t xml:space="preserve">The IPPC indicated that the Travel Budget includes limited travel of IPPC staff for work related meetings and for the occasional travel of external experts </w:t>
      </w:r>
      <w:r w:rsidRPr="000A37FF">
        <w:rPr>
          <w:rFonts w:asciiTheme="minorHAnsi" w:hAnsiTheme="minorHAnsi" w:cstheme="minorHAnsi"/>
          <w:color w:val="000000" w:themeColor="text1"/>
          <w:sz w:val="22"/>
          <w:szCs w:val="22"/>
          <w:bdr w:val="none" w:sz="0" w:space="0" w:color="auto" w:frame="1"/>
        </w:rPr>
        <w:t>to provide training and support to new implementing countries (approximately USD 5,000 per trip per expert).</w:t>
      </w:r>
    </w:p>
    <w:p w14:paraId="1BA911F3" w14:textId="77777777" w:rsidR="009A6D19" w:rsidRPr="000A37FF" w:rsidRDefault="009A6D19" w:rsidP="009A6D19">
      <w:pPr>
        <w:pStyle w:val="xmsonormal"/>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40225B8A" w14:textId="77777777" w:rsidR="009A6D19" w:rsidRPr="000A37FF" w:rsidRDefault="009A6D19" w:rsidP="009A6D19">
      <w:pPr>
        <w:pStyle w:val="xmsonormal"/>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37FF">
        <w:rPr>
          <w:rFonts w:asciiTheme="minorHAnsi" w:hAnsiTheme="minorHAnsi" w:cstheme="minorHAnsi"/>
          <w:color w:val="000000" w:themeColor="text1"/>
          <w:sz w:val="22"/>
          <w:szCs w:val="22"/>
          <w:bdr w:val="none" w:sz="0" w:space="0" w:color="auto" w:frame="1"/>
        </w:rPr>
        <w:t>The overall operating costs of the ePhyto solution should be reviewed on a biennial basis.</w:t>
      </w:r>
    </w:p>
    <w:p w14:paraId="011E82D2" w14:textId="77777777" w:rsidR="009A6D19" w:rsidRDefault="009A6D19" w:rsidP="009A6D19">
      <w:pPr>
        <w:rPr>
          <w:rFonts w:cstheme="minorHAnsi"/>
          <w:b/>
          <w:bCs/>
          <w:color w:val="000000" w:themeColor="text1"/>
        </w:rPr>
      </w:pPr>
    </w:p>
    <w:p w14:paraId="0A8D62EC" w14:textId="77777777" w:rsidR="009A6D19" w:rsidRPr="000A37FF" w:rsidRDefault="009A6D19" w:rsidP="009A6D19">
      <w:pPr>
        <w:rPr>
          <w:rFonts w:cstheme="minorHAnsi"/>
          <w:b/>
          <w:color w:val="000000" w:themeColor="text1"/>
        </w:rPr>
      </w:pPr>
      <w:r>
        <w:rPr>
          <w:rFonts w:cstheme="minorHAnsi"/>
          <w:b/>
          <w:color w:val="000000" w:themeColor="text1"/>
        </w:rPr>
        <w:t>3</w:t>
      </w:r>
      <w:r w:rsidRPr="000A37FF">
        <w:rPr>
          <w:rFonts w:cstheme="minorHAnsi"/>
          <w:b/>
          <w:color w:val="000000" w:themeColor="text1"/>
        </w:rPr>
        <w:t xml:space="preserve">. </w:t>
      </w:r>
      <w:r w:rsidRPr="000A37FF">
        <w:rPr>
          <w:rFonts w:cstheme="minorHAnsi"/>
          <w:b/>
          <w:color w:val="000000" w:themeColor="text1"/>
        </w:rPr>
        <w:tab/>
        <w:t>Estimate of Operational Costs per ePhyto</w:t>
      </w:r>
    </w:p>
    <w:p w14:paraId="6D18A6CA" w14:textId="77777777" w:rsidR="009A6D19" w:rsidRPr="000A37FF" w:rsidRDefault="009A6D19" w:rsidP="009A6D19">
      <w:pPr>
        <w:rPr>
          <w:rFonts w:cstheme="minorHAnsi"/>
          <w:bCs/>
          <w:color w:val="000000" w:themeColor="text1"/>
        </w:rPr>
      </w:pPr>
      <w:r w:rsidRPr="000A37FF">
        <w:rPr>
          <w:rFonts w:cstheme="minorHAnsi"/>
          <w:bCs/>
          <w:color w:val="000000" w:themeColor="text1"/>
        </w:rPr>
        <w:t xml:space="preserve">Latest figures from UNICC indicate that 1.4 million ePhytos were exchanged through the Hub in the past 12 months to May 2022. This is equivalent to an average of 113,000 ePhytos per month. As can be seen from the graph below, the number of ePhytos exchanged per month is steadily increasing, and the monthly average for March to May 2022 was 133,000. </w:t>
      </w:r>
    </w:p>
    <w:p w14:paraId="65C37B6B" w14:textId="77777777" w:rsidR="009A6D19" w:rsidRPr="000A37FF" w:rsidRDefault="009A6D19" w:rsidP="009A6D19">
      <w:pPr>
        <w:rPr>
          <w:rFonts w:cstheme="minorHAnsi"/>
          <w:bCs/>
          <w:color w:val="000000" w:themeColor="text1"/>
        </w:rPr>
      </w:pPr>
      <w:r w:rsidRPr="000A37FF">
        <w:rPr>
          <w:rFonts w:cstheme="minorHAnsi"/>
          <w:noProof/>
          <w:color w:val="000000" w:themeColor="text1"/>
          <w:lang w:val="en-US"/>
        </w:rPr>
        <w:lastRenderedPageBreak/>
        <w:drawing>
          <wp:inline distT="0" distB="0" distL="0" distR="0" wp14:anchorId="49B1A6E1" wp14:editId="3F5BCFFE">
            <wp:extent cx="5638800" cy="2743200"/>
            <wp:effectExtent l="0" t="0" r="0" b="0"/>
            <wp:docPr id="2" name="Chart 2">
              <a:extLst xmlns:a="http://schemas.openxmlformats.org/drawingml/2006/main">
                <a:ext uri="{FF2B5EF4-FFF2-40B4-BE49-F238E27FC236}">
                  <a16:creationId xmlns:a16="http://schemas.microsoft.com/office/drawing/2014/main" id="{C36F2A3A-E3E2-AB90-63FC-D8D246A77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62ACFD" w14:textId="77777777" w:rsidR="009A6D19" w:rsidRPr="000A37FF" w:rsidRDefault="009A6D19" w:rsidP="009A6D19">
      <w:pPr>
        <w:rPr>
          <w:rFonts w:cstheme="minorHAnsi"/>
          <w:bCs/>
          <w:color w:val="000000" w:themeColor="text1"/>
        </w:rPr>
      </w:pPr>
      <w:r w:rsidRPr="000A37FF">
        <w:rPr>
          <w:rFonts w:cstheme="minorHAnsi"/>
          <w:bCs/>
          <w:color w:val="000000" w:themeColor="text1"/>
        </w:rPr>
        <w:t>Assuming a total operational cost of USD 581,000 in 2022 as detailed in Section 2 above and taking the estimate of 1.4 million ePhytos exchanged in the past 12 months, the current average IPPC/UNICC operational cost of exchanging an ePhyto is USD 42 cents. Clearly, as the total operational costs and the volume of ePhytos exchange increases, this average cost per ePhyto will change, and will most likely decline, especially if countries such as China and India start exchanging through the Hub.</w:t>
      </w:r>
    </w:p>
    <w:p w14:paraId="3F9315B7" w14:textId="77777777" w:rsidR="009A6D19" w:rsidRPr="000A37FF" w:rsidRDefault="009A6D19" w:rsidP="009A6D19">
      <w:pPr>
        <w:rPr>
          <w:rFonts w:cstheme="minorHAnsi"/>
          <w:bCs/>
          <w:color w:val="000000" w:themeColor="text1"/>
        </w:rPr>
      </w:pPr>
      <w:r w:rsidRPr="000A37FF">
        <w:rPr>
          <w:rFonts w:cstheme="minorHAnsi"/>
          <w:bCs/>
          <w:color w:val="000000" w:themeColor="text1"/>
        </w:rPr>
        <w:t>This is only one part of the puzzle and there are, of course, additional ePhyto operational costs at both the NPPO and business operator level. There are also many other ways of presenting costs, so this is just one example for illustrative purposes.</w:t>
      </w:r>
    </w:p>
    <w:p w14:paraId="08B4E2FA" w14:textId="77777777" w:rsidR="009A6D19" w:rsidRPr="000A37FF" w:rsidRDefault="009A6D19" w:rsidP="009A6D19">
      <w:pPr>
        <w:rPr>
          <w:rFonts w:cstheme="minorHAnsi"/>
          <w:b/>
          <w:bCs/>
          <w:color w:val="000000" w:themeColor="text1"/>
        </w:rPr>
      </w:pPr>
    </w:p>
    <w:p w14:paraId="1E744DF7" w14:textId="77777777" w:rsidR="009A6D19" w:rsidRPr="000A37FF" w:rsidRDefault="009A6D19" w:rsidP="009A6D19">
      <w:pPr>
        <w:rPr>
          <w:rFonts w:cstheme="minorHAnsi"/>
          <w:b/>
          <w:color w:val="000000" w:themeColor="text1"/>
        </w:rPr>
      </w:pPr>
      <w:r>
        <w:rPr>
          <w:rFonts w:cstheme="minorHAnsi"/>
          <w:b/>
          <w:color w:val="000000" w:themeColor="text1"/>
        </w:rPr>
        <w:t>4</w:t>
      </w:r>
      <w:r w:rsidRPr="000A37FF">
        <w:rPr>
          <w:rFonts w:cstheme="minorHAnsi"/>
          <w:b/>
          <w:color w:val="000000" w:themeColor="text1"/>
        </w:rPr>
        <w:t>.</w:t>
      </w:r>
      <w:r w:rsidRPr="000A37FF">
        <w:rPr>
          <w:rFonts w:cstheme="minorHAnsi"/>
          <w:b/>
          <w:color w:val="000000" w:themeColor="text1"/>
        </w:rPr>
        <w:tab/>
        <w:t xml:space="preserve">ePhyto Requirements Related to Capacity Building for Onboarding Developing Countries </w:t>
      </w:r>
    </w:p>
    <w:p w14:paraId="6EDFB898" w14:textId="77777777" w:rsidR="009A6D19" w:rsidRPr="000A37FF" w:rsidRDefault="009A6D19" w:rsidP="009A6D19">
      <w:pPr>
        <w:rPr>
          <w:rFonts w:cstheme="minorHAnsi"/>
          <w:b/>
          <w:bCs/>
        </w:rPr>
      </w:pPr>
      <w:r>
        <w:rPr>
          <w:rFonts w:cstheme="minorHAnsi"/>
          <w:b/>
          <w:bCs/>
        </w:rPr>
        <w:t>4</w:t>
      </w:r>
      <w:r w:rsidRPr="000A37FF">
        <w:rPr>
          <w:rFonts w:cstheme="minorHAnsi"/>
          <w:b/>
          <w:bCs/>
        </w:rPr>
        <w:t>.1</w:t>
      </w:r>
      <w:r w:rsidRPr="000A37FF">
        <w:rPr>
          <w:rFonts w:cstheme="minorHAnsi"/>
          <w:b/>
          <w:bCs/>
        </w:rPr>
        <w:tab/>
        <w:t>Background</w:t>
      </w:r>
    </w:p>
    <w:p w14:paraId="17B9A472" w14:textId="77777777" w:rsidR="009A6D19" w:rsidRPr="000A37FF" w:rsidRDefault="009A6D19" w:rsidP="009A6D19">
      <w:pPr>
        <w:rPr>
          <w:rFonts w:cstheme="minorHAnsi"/>
        </w:rPr>
      </w:pPr>
      <w:r w:rsidRPr="000A37FF">
        <w:rPr>
          <w:rFonts w:cstheme="minorHAnsi"/>
        </w:rPr>
        <w:t>Out of the 183 IPPC member countries, 70 are currently (July 2022) exchanging ePhytos through the IPPC Hub. 50 of these connect their National Systems (NS) to the Hub, while the remaining 20 use the Generic ePhyto National System (GeNS) to connect to the Hub. A further 42 countries are in the process of joining the Hub, while the remaining 7</w:t>
      </w:r>
      <w:r>
        <w:rPr>
          <w:rFonts w:cstheme="minorHAnsi"/>
        </w:rPr>
        <w:t>1</w:t>
      </w:r>
      <w:r w:rsidRPr="000A37FF">
        <w:rPr>
          <w:rFonts w:cstheme="minorHAnsi"/>
        </w:rPr>
        <w:t xml:space="preserve"> members are still not registered with the system</w:t>
      </w:r>
      <w:r w:rsidRPr="000A37FF">
        <w:rPr>
          <w:rStyle w:val="EndnoteReference"/>
          <w:rFonts w:cstheme="minorHAnsi"/>
        </w:rPr>
        <w:endnoteReference w:id="1"/>
      </w:r>
      <w:r w:rsidRPr="000A37FF">
        <w:rPr>
          <w:rFonts w:cstheme="minorHAnsi"/>
        </w:rPr>
        <w:t>.</w:t>
      </w:r>
    </w:p>
    <w:p w14:paraId="47E65B64" w14:textId="77777777" w:rsidR="009A6D19" w:rsidRPr="000A37FF" w:rsidRDefault="009A6D19" w:rsidP="009A6D19">
      <w:pPr>
        <w:rPr>
          <w:rFonts w:cstheme="minorHAnsi"/>
          <w:color w:val="000000" w:themeColor="text1"/>
        </w:rPr>
      </w:pPr>
      <w:r w:rsidRPr="000A37FF">
        <w:rPr>
          <w:rFonts w:cstheme="minorHAnsi"/>
        </w:rPr>
        <w:t>At least some of the countries currently in the process of joining the Hub or not yet registered will require capacity building (CB) support in implementing and using the ePhyto Solution. The provision of such support will be critical to the continued expansion and success of the ePhyto Solution project. I</w:t>
      </w:r>
      <w:r w:rsidRPr="000A37FF">
        <w:rPr>
          <w:rFonts w:cstheme="minorHAnsi"/>
          <w:color w:val="000000" w:themeColor="text1"/>
        </w:rPr>
        <w:t>t is noted that the lack of technical skills and experience was emphasised by NPPOs as a key potential obstacle in implementing the ePhyto Solution</w:t>
      </w:r>
      <w:r w:rsidRPr="000A37FF">
        <w:rPr>
          <w:rStyle w:val="EndnoteReference"/>
          <w:rFonts w:cstheme="minorHAnsi"/>
          <w:color w:val="000000" w:themeColor="text1"/>
        </w:rPr>
        <w:endnoteReference w:id="2"/>
      </w:r>
      <w:r w:rsidRPr="000A37FF">
        <w:rPr>
          <w:rFonts w:cstheme="minorHAnsi"/>
          <w:color w:val="000000" w:themeColor="text1"/>
        </w:rPr>
        <w:t>.</w:t>
      </w:r>
    </w:p>
    <w:p w14:paraId="6B4CEB16" w14:textId="77777777" w:rsidR="009A6D19" w:rsidRPr="000A37FF" w:rsidRDefault="009A6D19" w:rsidP="009A6D19">
      <w:pPr>
        <w:rPr>
          <w:rFonts w:eastAsia="Calibri" w:cstheme="minorHAnsi"/>
          <w:bCs/>
          <w:color w:val="000000"/>
          <w:lang w:eastAsia="en-IE"/>
        </w:rPr>
      </w:pPr>
      <w:r w:rsidRPr="000A37FF">
        <w:rPr>
          <w:rFonts w:eastAsia="Calibri" w:cstheme="minorHAnsi"/>
          <w:bCs/>
          <w:color w:val="000000"/>
          <w:lang w:eastAsia="en-IE"/>
        </w:rPr>
        <w:t>The extent of CB support required, and the nature and delivery of such support, will vary enormously from one country to the next, depending on the requirements of individual NPPOs and their level of maturity regarding IT infrastructure and expertise. For some countries, implementing GeNS has proven to be quite straight forward, while others required considerable support both from a business process and IT equipment perspective, along with related training and change management support.</w:t>
      </w:r>
    </w:p>
    <w:p w14:paraId="00E38A15" w14:textId="77777777" w:rsidR="009A6D19" w:rsidRPr="000A37FF" w:rsidRDefault="009A6D19" w:rsidP="009A6D19">
      <w:pPr>
        <w:rPr>
          <w:rFonts w:eastAsia="Calibri" w:cstheme="minorHAnsi"/>
          <w:bCs/>
          <w:color w:val="000000"/>
          <w:lang w:eastAsia="en-IE"/>
        </w:rPr>
      </w:pPr>
      <w:r w:rsidRPr="000A37FF">
        <w:rPr>
          <w:rFonts w:eastAsia="Calibri" w:cstheme="minorHAnsi"/>
          <w:bCs/>
          <w:color w:val="000000"/>
          <w:lang w:eastAsia="en-IE"/>
        </w:rPr>
        <w:t>In a similar vein, some countries with existing National Systems for Phytosanitary Certificate management have been able to interface their system relatively easily to the Hub, while others have required considerable support and technical modifications to achieve this connection.</w:t>
      </w:r>
    </w:p>
    <w:p w14:paraId="3434E813" w14:textId="77777777" w:rsidR="009A6D19" w:rsidRPr="000A37FF" w:rsidRDefault="009A6D19" w:rsidP="009A6D19">
      <w:pPr>
        <w:rPr>
          <w:rFonts w:eastAsia="Calibri" w:cstheme="minorHAnsi"/>
          <w:bCs/>
          <w:color w:val="000000"/>
          <w:lang w:eastAsia="en-IE"/>
        </w:rPr>
      </w:pPr>
      <w:r w:rsidRPr="000A37FF">
        <w:rPr>
          <w:rFonts w:eastAsia="Calibri" w:cstheme="minorHAnsi"/>
          <w:bCs/>
          <w:color w:val="000000"/>
          <w:lang w:eastAsia="en-IE"/>
        </w:rPr>
        <w:t>To date, the IPPC and the UNICC have provided limited support and training to countries implementing ePhyto. This has been complemented in some countries by more comprehensive technical assistance and capacity building projects undertaken by organizations such as the Global Alliance for Trade Facilitation</w:t>
      </w:r>
      <w:r w:rsidRPr="000A37FF">
        <w:rPr>
          <w:rStyle w:val="FootnoteReference"/>
          <w:rFonts w:eastAsia="Calibri" w:cstheme="minorHAnsi"/>
          <w:bCs/>
          <w:color w:val="000000"/>
          <w:lang w:eastAsia="en-IE"/>
        </w:rPr>
        <w:footnoteReference w:id="3"/>
      </w:r>
      <w:r w:rsidRPr="000A37FF">
        <w:rPr>
          <w:rFonts w:eastAsia="Calibri" w:cstheme="minorHAnsi"/>
          <w:bCs/>
          <w:color w:val="000000"/>
          <w:lang w:eastAsia="en-IE"/>
        </w:rPr>
        <w:t xml:space="preserve"> </w:t>
      </w:r>
      <w:r w:rsidRPr="000A37FF">
        <w:rPr>
          <w:rFonts w:eastAsia="Calibri" w:cstheme="minorHAnsi"/>
          <w:bCs/>
          <w:color w:val="000000"/>
          <w:lang w:eastAsia="en-IE"/>
        </w:rPr>
        <w:lastRenderedPageBreak/>
        <w:t>and the World Bank? It is noted that the Alliance now has a partnership agreement with IPPC to provide such support</w:t>
      </w:r>
      <w:r w:rsidRPr="000A37FF">
        <w:rPr>
          <w:rStyle w:val="FootnoteReference"/>
          <w:rFonts w:eastAsia="Calibri" w:cstheme="minorHAnsi"/>
          <w:bCs/>
          <w:color w:val="000000"/>
          <w:lang w:eastAsia="en-IE"/>
        </w:rPr>
        <w:footnoteReference w:id="4"/>
      </w:r>
      <w:r w:rsidRPr="000A37FF">
        <w:rPr>
          <w:rFonts w:eastAsia="Calibri" w:cstheme="minorHAnsi"/>
          <w:bCs/>
          <w:color w:val="000000"/>
          <w:lang w:eastAsia="en-IE"/>
        </w:rPr>
        <w:t xml:space="preserve"> and is currently assisting nine countries implementing ePhyto</w:t>
      </w:r>
      <w:r w:rsidRPr="000A37FF">
        <w:rPr>
          <w:rStyle w:val="FootnoteReference"/>
          <w:rFonts w:eastAsia="Calibri" w:cstheme="minorHAnsi"/>
          <w:bCs/>
          <w:color w:val="000000"/>
          <w:lang w:eastAsia="en-IE"/>
        </w:rPr>
        <w:footnoteReference w:id="5"/>
      </w:r>
      <w:r w:rsidRPr="000A37FF">
        <w:rPr>
          <w:rFonts w:eastAsia="Calibri" w:cstheme="minorHAnsi"/>
          <w:bCs/>
          <w:color w:val="000000"/>
          <w:lang w:eastAsia="en-IE"/>
        </w:rPr>
        <w:t>.</w:t>
      </w:r>
    </w:p>
    <w:p w14:paraId="6CB7ED54" w14:textId="77777777" w:rsidR="009A6D19" w:rsidRPr="000A37FF" w:rsidRDefault="009A6D19" w:rsidP="009A6D19">
      <w:pPr>
        <w:rPr>
          <w:rFonts w:eastAsia="Calibri" w:cstheme="minorHAnsi"/>
          <w:b/>
          <w:color w:val="000000"/>
          <w:lang w:eastAsia="en-IE"/>
        </w:rPr>
      </w:pPr>
      <w:r>
        <w:rPr>
          <w:rFonts w:eastAsia="Calibri" w:cstheme="minorHAnsi"/>
          <w:b/>
          <w:color w:val="000000"/>
          <w:lang w:eastAsia="en-IE"/>
        </w:rPr>
        <w:t>4</w:t>
      </w:r>
      <w:r w:rsidRPr="000A37FF">
        <w:rPr>
          <w:rFonts w:eastAsia="Calibri" w:cstheme="minorHAnsi"/>
          <w:b/>
          <w:color w:val="000000"/>
          <w:lang w:eastAsia="en-IE"/>
        </w:rPr>
        <w:t>.2</w:t>
      </w:r>
      <w:r w:rsidRPr="000A37FF">
        <w:rPr>
          <w:rFonts w:eastAsia="Calibri" w:cstheme="minorHAnsi"/>
          <w:b/>
          <w:color w:val="000000"/>
          <w:lang w:eastAsia="en-IE"/>
        </w:rPr>
        <w:tab/>
        <w:t>Proposed Capacity Building Approach for IPPC</w:t>
      </w:r>
    </w:p>
    <w:p w14:paraId="67189F58" w14:textId="77777777" w:rsidR="009A6D19" w:rsidRDefault="009A6D19" w:rsidP="009A6D19">
      <w:pPr>
        <w:rPr>
          <w:rFonts w:eastAsia="Calibri" w:cstheme="minorHAnsi"/>
          <w:bCs/>
          <w:color w:val="000000"/>
          <w:lang w:eastAsia="en-IE"/>
        </w:rPr>
      </w:pPr>
      <w:r>
        <w:rPr>
          <w:rFonts w:eastAsia="Calibri" w:cstheme="minorHAnsi"/>
          <w:bCs/>
          <w:color w:val="000000"/>
          <w:lang w:eastAsia="en-IE"/>
        </w:rPr>
        <w:t xml:space="preserve">In order maximise update of the use of the ePhyto solution an agreed sustainable funding model needs to be accompanied by a separately funded capacity development programme. </w:t>
      </w:r>
    </w:p>
    <w:p w14:paraId="36A5E3E3" w14:textId="77777777" w:rsidR="009A6D19" w:rsidRPr="000A37FF" w:rsidRDefault="009A6D19" w:rsidP="009A6D19">
      <w:pPr>
        <w:rPr>
          <w:rFonts w:eastAsia="Calibri" w:cstheme="minorHAnsi"/>
          <w:bCs/>
          <w:color w:val="000000"/>
          <w:lang w:eastAsia="en-IE"/>
        </w:rPr>
      </w:pPr>
      <w:r w:rsidRPr="000A37FF">
        <w:rPr>
          <w:rFonts w:eastAsia="Calibri" w:cstheme="minorHAnsi"/>
          <w:bCs/>
          <w:color w:val="000000"/>
          <w:lang w:eastAsia="en-IE"/>
        </w:rPr>
        <w:t>The cost of Capacity Building to support a country to implement the ePhyto solution depends primarily on the amount of effort required and the type of solution to be implemented (GeNS, NS Interface, or full development of a NS). Such costs could vary anywhere from around $20,000 for very basic GeNS training and support to over $2 million for implementation of a full NS. Experience to date indicate that the average cost of ePhyto capacity building ranges from around $20,000 for basic GeNS training and initial support to over $400,000 for more comprehensive GeNS implementation (including items such as IT equipment, training, Business Process Analysis and redesign, legal reform, implementation of sSignature, change management, etc).</w:t>
      </w:r>
    </w:p>
    <w:p w14:paraId="15244B0B" w14:textId="77777777" w:rsidR="009A6D19" w:rsidRPr="000A37FF" w:rsidRDefault="009A6D19" w:rsidP="009A6D19">
      <w:pPr>
        <w:rPr>
          <w:rFonts w:cstheme="minorHAnsi"/>
        </w:rPr>
      </w:pPr>
      <w:r w:rsidRPr="000A37FF">
        <w:rPr>
          <w:rFonts w:eastAsia="Calibri" w:cstheme="minorHAnsi"/>
          <w:bCs/>
          <w:color w:val="000000"/>
          <w:lang w:eastAsia="en-IE"/>
        </w:rPr>
        <w:t xml:space="preserve">Given the potential range of costs and resource requirements of a full capacity building programme for ePhyto implementation, the </w:t>
      </w:r>
      <w:r>
        <w:rPr>
          <w:rFonts w:eastAsia="Calibri" w:cstheme="minorHAnsi"/>
          <w:bCs/>
          <w:color w:val="000000"/>
          <w:lang w:eastAsia="en-IE"/>
        </w:rPr>
        <w:t>Focus</w:t>
      </w:r>
      <w:r w:rsidRPr="000A37FF">
        <w:rPr>
          <w:rFonts w:eastAsia="Calibri" w:cstheme="minorHAnsi"/>
          <w:bCs/>
          <w:color w:val="000000"/>
          <w:lang w:eastAsia="en-IE"/>
        </w:rPr>
        <w:t xml:space="preserve"> Group recommends </w:t>
      </w:r>
      <w:r w:rsidRPr="000A37FF">
        <w:rPr>
          <w:rFonts w:cstheme="minorHAnsi"/>
          <w:color w:val="000000" w:themeColor="text1"/>
        </w:rPr>
        <w:t>that the IPPC Secretariat should focus on the provision of basic technical support and training to requesting NPPOs, and should establish a limited facility for this. A per-country support package is suggested, consisting of an initial assessment, evaluation and training mission of up to 5 days on-site, followed by up to 15 days training and support (on-site and off-site as required). This would cost approximately $20,000 per country (expert fees, Daily Sustenance Allowance (DSA), and travel) based on current FAO consultancy rates and normal travel and accommodation arrangements</w:t>
      </w:r>
      <w:r w:rsidRPr="000A37FF">
        <w:rPr>
          <w:rStyle w:val="FootnoteReference"/>
          <w:rFonts w:cstheme="minorHAnsi"/>
          <w:color w:val="000000" w:themeColor="text1"/>
        </w:rPr>
        <w:footnoteReference w:id="6"/>
      </w:r>
      <w:r w:rsidRPr="000A37FF">
        <w:rPr>
          <w:rFonts w:cstheme="minorHAnsi"/>
          <w:color w:val="000000" w:themeColor="text1"/>
        </w:rPr>
        <w:t xml:space="preserve">. It is suggested that this programme be established to support up to 10 countries per year, for a total annual cost of $200,000. </w:t>
      </w:r>
      <w:r>
        <w:rPr>
          <w:rFonts w:cstheme="minorHAnsi"/>
        </w:rPr>
        <w:t>This</w:t>
      </w:r>
      <w:r w:rsidRPr="000A37FF">
        <w:rPr>
          <w:rFonts w:cstheme="minorHAnsi"/>
        </w:rPr>
        <w:t xml:space="preserve"> requirement may diminish </w:t>
      </w:r>
      <w:r>
        <w:rPr>
          <w:rFonts w:cstheme="minorHAnsi"/>
        </w:rPr>
        <w:t>over time</w:t>
      </w:r>
      <w:r w:rsidRPr="000A37FF">
        <w:rPr>
          <w:rFonts w:cstheme="minorHAnsi"/>
        </w:rPr>
        <w:t xml:space="preserve"> but </w:t>
      </w:r>
      <w:r>
        <w:rPr>
          <w:rFonts w:cstheme="minorHAnsi"/>
        </w:rPr>
        <w:t xml:space="preserve"> it is unlikely</w:t>
      </w:r>
      <w:r w:rsidRPr="000A37FF">
        <w:rPr>
          <w:rFonts w:cstheme="minorHAnsi"/>
        </w:rPr>
        <w:t xml:space="preserve"> </w:t>
      </w:r>
      <w:r>
        <w:rPr>
          <w:rFonts w:cstheme="minorHAnsi"/>
        </w:rPr>
        <w:t xml:space="preserve">to </w:t>
      </w:r>
      <w:r w:rsidRPr="000A37FF">
        <w:rPr>
          <w:rFonts w:cstheme="minorHAnsi"/>
        </w:rPr>
        <w:t>be eliminated</w:t>
      </w:r>
      <w:r>
        <w:rPr>
          <w:rFonts w:cstheme="minorHAnsi"/>
        </w:rPr>
        <w:t xml:space="preserve"> completely</w:t>
      </w:r>
      <w:r w:rsidRPr="000A37FF">
        <w:rPr>
          <w:rFonts w:cstheme="minorHAnsi"/>
        </w:rPr>
        <w:t>. Therefore, an ongoing longer-term capacity building programme of around $100,000 per annum is recommended as a core component of the overall ePhyto Solution programme.</w:t>
      </w:r>
    </w:p>
    <w:p w14:paraId="2C5F94BA" w14:textId="77777777" w:rsidR="009A6D19" w:rsidRPr="000A37FF" w:rsidRDefault="009A6D19" w:rsidP="009A6D19">
      <w:pPr>
        <w:rPr>
          <w:rFonts w:cstheme="minorHAnsi"/>
          <w:color w:val="000000" w:themeColor="text1"/>
        </w:rPr>
      </w:pPr>
      <w:r w:rsidRPr="000A37FF">
        <w:rPr>
          <w:rFonts w:cstheme="minorHAnsi"/>
          <w:color w:val="000000" w:themeColor="text1"/>
        </w:rPr>
        <w:t xml:space="preserve">The Sustainability Group suggest that the provision of more comprehensive </w:t>
      </w:r>
      <w:r w:rsidRPr="000A37FF">
        <w:rPr>
          <w:rFonts w:cstheme="minorHAnsi"/>
        </w:rPr>
        <w:t xml:space="preserve">capacity building </w:t>
      </w:r>
      <w:r w:rsidRPr="000A37FF">
        <w:rPr>
          <w:rFonts w:cstheme="minorHAnsi"/>
          <w:color w:val="000000" w:themeColor="text1"/>
        </w:rPr>
        <w:t>should be the role of other agencies, assisted by and closely coordinated with the IPPC and UNICC.</w:t>
      </w:r>
      <w:r w:rsidRPr="000A37FF">
        <w:rPr>
          <w:rFonts w:cstheme="minorHAnsi"/>
        </w:rPr>
        <w:tab/>
      </w:r>
    </w:p>
    <w:p w14:paraId="69D97218" w14:textId="77777777" w:rsidR="009A6D19" w:rsidRPr="000A37FF" w:rsidRDefault="009A6D19" w:rsidP="009A6D19">
      <w:pPr>
        <w:keepNext/>
        <w:rPr>
          <w:rFonts w:cstheme="minorHAnsi"/>
          <w:b/>
          <w:bCs/>
          <w:color w:val="000000" w:themeColor="text1"/>
        </w:rPr>
      </w:pPr>
      <w:r>
        <w:rPr>
          <w:rFonts w:cstheme="minorHAnsi"/>
          <w:b/>
          <w:bCs/>
          <w:color w:val="000000" w:themeColor="text1"/>
        </w:rPr>
        <w:t>4</w:t>
      </w:r>
      <w:r w:rsidRPr="000A37FF">
        <w:rPr>
          <w:rFonts w:cstheme="minorHAnsi"/>
          <w:b/>
          <w:bCs/>
          <w:color w:val="000000" w:themeColor="text1"/>
        </w:rPr>
        <w:t>.3</w:t>
      </w:r>
      <w:r w:rsidRPr="000A37FF">
        <w:rPr>
          <w:rFonts w:cstheme="minorHAnsi"/>
          <w:b/>
          <w:bCs/>
          <w:color w:val="000000" w:themeColor="text1"/>
        </w:rPr>
        <w:tab/>
        <w:t>Other Capacity Building and Outreach Support</w:t>
      </w:r>
    </w:p>
    <w:p w14:paraId="55FAEA58" w14:textId="77777777" w:rsidR="009A6D19" w:rsidRPr="00FC0294" w:rsidRDefault="009A6D19" w:rsidP="009A6D19">
      <w:pPr>
        <w:rPr>
          <w:rFonts w:cstheme="minorHAnsi"/>
          <w:color w:val="000000" w:themeColor="text1"/>
        </w:rPr>
      </w:pPr>
      <w:r w:rsidRPr="000A37FF">
        <w:rPr>
          <w:rFonts w:cstheme="minorHAnsi"/>
          <w:color w:val="000000" w:themeColor="text1"/>
        </w:rPr>
        <w:t xml:space="preserve">In addition to the above capacity building, the Sustainability Group recommends that the IPPC develop training webinars, on-line videos and other training material in at least English, French and Spanish, describing the ePhyto Solution, introducing new ePhyto enhancements, and profiling the experiences of NPPOs in implementing the ePhyto Solution. </w:t>
      </w:r>
      <w:r w:rsidRPr="00FC0294">
        <w:rPr>
          <w:rFonts w:cstheme="minorHAnsi"/>
          <w:color w:val="000000" w:themeColor="text1"/>
        </w:rPr>
        <w:t xml:space="preserve"> </w:t>
      </w:r>
      <w:r>
        <w:rPr>
          <w:rFonts w:cstheme="minorHAnsi"/>
          <w:color w:val="000000" w:themeColor="text1"/>
        </w:rPr>
        <w:t>The IPPC secretariat have estimated that a</w:t>
      </w:r>
      <w:r w:rsidRPr="00FC0294">
        <w:rPr>
          <w:rFonts w:cstheme="minorHAnsi"/>
          <w:color w:val="000000" w:themeColor="text1"/>
        </w:rPr>
        <w:t xml:space="preserve">n annual </w:t>
      </w:r>
      <w:r w:rsidRPr="006D285E">
        <w:rPr>
          <w:rFonts w:cstheme="minorHAnsi"/>
          <w:color w:val="000000" w:themeColor="text1"/>
        </w:rPr>
        <w:t xml:space="preserve">allocation </w:t>
      </w:r>
      <w:r w:rsidRPr="000022BC">
        <w:rPr>
          <w:rFonts w:cstheme="minorHAnsi"/>
          <w:color w:val="000000" w:themeColor="text1"/>
        </w:rPr>
        <w:t>of $30,000</w:t>
      </w:r>
      <w:r w:rsidRPr="006D285E">
        <w:rPr>
          <w:rFonts w:cstheme="minorHAnsi"/>
          <w:color w:val="000000" w:themeColor="text1"/>
        </w:rPr>
        <w:t xml:space="preserve"> would</w:t>
      </w:r>
      <w:r>
        <w:rPr>
          <w:rFonts w:cstheme="minorHAnsi"/>
          <w:color w:val="000000" w:themeColor="text1"/>
        </w:rPr>
        <w:t xml:space="preserve"> be needed for</w:t>
      </w:r>
      <w:r w:rsidRPr="00FC0294">
        <w:rPr>
          <w:rFonts w:cstheme="minorHAnsi"/>
          <w:color w:val="000000" w:themeColor="text1"/>
        </w:rPr>
        <w:t xml:space="preserve"> this activity.</w:t>
      </w:r>
    </w:p>
    <w:p w14:paraId="15FD13D4" w14:textId="77777777" w:rsidR="009A6D19" w:rsidRPr="00FC0294" w:rsidRDefault="009A6D19" w:rsidP="009A6D19">
      <w:pPr>
        <w:rPr>
          <w:rFonts w:cstheme="minorHAnsi"/>
          <w:color w:val="000000" w:themeColor="text1"/>
        </w:rPr>
      </w:pPr>
      <w:r w:rsidRPr="000A37FF">
        <w:rPr>
          <w:rFonts w:cstheme="minorHAnsi"/>
          <w:color w:val="000000" w:themeColor="text1"/>
        </w:rPr>
        <w:t xml:space="preserve">Further, in order for NPPOs to share experience and build a network of experience in implementing ePhyto, and to encourage countries that have not already started the process, it is recommended that the IPPC Secretariat continue the ePhyto Symposium series and organize a global seminar or workshop, at least one every 2 years. </w:t>
      </w:r>
      <w:r>
        <w:rPr>
          <w:rFonts w:cstheme="minorHAnsi"/>
          <w:color w:val="000000" w:themeColor="text1"/>
        </w:rPr>
        <w:t xml:space="preserve">The IPPC secretariat has estimated that a </w:t>
      </w:r>
      <w:r w:rsidRPr="00FC0294">
        <w:rPr>
          <w:rFonts w:cstheme="minorHAnsi"/>
          <w:color w:val="000000" w:themeColor="text1"/>
        </w:rPr>
        <w:t xml:space="preserve">full international Symposium is likely to cost up to $200,000, so an allocation of $1000,000 per year </w:t>
      </w:r>
      <w:r>
        <w:rPr>
          <w:rFonts w:cstheme="minorHAnsi"/>
          <w:color w:val="000000" w:themeColor="text1"/>
        </w:rPr>
        <w:t>would be needed</w:t>
      </w:r>
      <w:r w:rsidRPr="00FC0294">
        <w:rPr>
          <w:rFonts w:cstheme="minorHAnsi"/>
          <w:color w:val="000000" w:themeColor="text1"/>
        </w:rPr>
        <w:t xml:space="preserve"> for this activity. </w:t>
      </w:r>
    </w:p>
    <w:p w14:paraId="28EE6809" w14:textId="77777777" w:rsidR="009A6D19" w:rsidRPr="000A37FF" w:rsidRDefault="009A6D19" w:rsidP="009A6D19">
      <w:pPr>
        <w:rPr>
          <w:rFonts w:cstheme="minorHAnsi"/>
          <w:b/>
          <w:bCs/>
        </w:rPr>
      </w:pPr>
      <w:r>
        <w:rPr>
          <w:rFonts w:cstheme="minorHAnsi"/>
          <w:b/>
          <w:bCs/>
        </w:rPr>
        <w:t>4.4</w:t>
      </w:r>
      <w:r w:rsidRPr="000A37FF">
        <w:rPr>
          <w:rFonts w:cstheme="minorHAnsi"/>
          <w:b/>
          <w:bCs/>
        </w:rPr>
        <w:tab/>
        <w:t>Conclusion</w:t>
      </w:r>
    </w:p>
    <w:p w14:paraId="5D19E7B3" w14:textId="77777777" w:rsidR="009A6D19" w:rsidRPr="000A37FF" w:rsidRDefault="009A6D19" w:rsidP="009A6D19">
      <w:pPr>
        <w:rPr>
          <w:rFonts w:cstheme="minorHAnsi"/>
        </w:rPr>
      </w:pPr>
      <w:r w:rsidRPr="000A37FF">
        <w:rPr>
          <w:rFonts w:cstheme="minorHAnsi"/>
        </w:rPr>
        <w:t xml:space="preserve">The total cost of the above </w:t>
      </w:r>
      <w:r>
        <w:rPr>
          <w:rFonts w:cstheme="minorHAnsi"/>
        </w:rPr>
        <w:t>capacity development activities</w:t>
      </w:r>
      <w:r w:rsidRPr="000A37FF">
        <w:rPr>
          <w:rFonts w:cstheme="minorHAnsi"/>
        </w:rPr>
        <w:t xml:space="preserve">, as detailed in Table </w:t>
      </w:r>
      <w:r>
        <w:rPr>
          <w:rFonts w:cstheme="minorHAnsi"/>
        </w:rPr>
        <w:t>1</w:t>
      </w:r>
      <w:r w:rsidRPr="000A37FF">
        <w:rPr>
          <w:rFonts w:cstheme="minorHAnsi"/>
        </w:rPr>
        <w:t xml:space="preserve"> below, would be around $320,000 per annum. </w:t>
      </w:r>
    </w:p>
    <w:p w14:paraId="45DAB457" w14:textId="77777777" w:rsidR="009A6D19" w:rsidRPr="000A37FF" w:rsidRDefault="009A6D19" w:rsidP="009A6D19">
      <w:pPr>
        <w:jc w:val="center"/>
        <w:rPr>
          <w:rFonts w:cstheme="minorHAnsi"/>
          <w:b/>
          <w:color w:val="000000" w:themeColor="text1"/>
        </w:rPr>
      </w:pPr>
      <w:r w:rsidRPr="000A37FF">
        <w:rPr>
          <w:rFonts w:cstheme="minorHAnsi"/>
          <w:b/>
          <w:color w:val="000000" w:themeColor="text1"/>
        </w:rPr>
        <w:t xml:space="preserve">Table </w:t>
      </w:r>
      <w:r>
        <w:rPr>
          <w:rFonts w:cstheme="minorHAnsi"/>
          <w:b/>
          <w:color w:val="000000" w:themeColor="text1"/>
        </w:rPr>
        <w:t>1</w:t>
      </w:r>
    </w:p>
    <w:p w14:paraId="7245402C" w14:textId="77777777" w:rsidR="009A6D19" w:rsidRPr="000A37FF" w:rsidRDefault="009A6D19" w:rsidP="009A6D19">
      <w:pPr>
        <w:jc w:val="center"/>
        <w:rPr>
          <w:rFonts w:cstheme="minorHAnsi"/>
        </w:rPr>
      </w:pPr>
      <w:r w:rsidRPr="000A37FF">
        <w:rPr>
          <w:rFonts w:cstheme="minorHAnsi"/>
          <w:b/>
          <w:color w:val="000000" w:themeColor="text1"/>
        </w:rPr>
        <w:t>Estimated Capacity Building Annual Costs</w:t>
      </w:r>
    </w:p>
    <w:tbl>
      <w:tblPr>
        <w:tblStyle w:val="TableGrid1"/>
        <w:tblW w:w="8647" w:type="dxa"/>
        <w:tblInd w:w="279" w:type="dxa"/>
        <w:tblLayout w:type="fixed"/>
        <w:tblLook w:val="04A0" w:firstRow="1" w:lastRow="0" w:firstColumn="1" w:lastColumn="0" w:noHBand="0" w:noVBand="1"/>
      </w:tblPr>
      <w:tblGrid>
        <w:gridCol w:w="2299"/>
        <w:gridCol w:w="4647"/>
        <w:gridCol w:w="1701"/>
      </w:tblGrid>
      <w:tr w:rsidR="009A6D19" w:rsidRPr="000A37FF" w14:paraId="6D20F51F" w14:textId="77777777" w:rsidTr="009A6D19">
        <w:trPr>
          <w:cantSplit/>
          <w:trHeight w:val="860"/>
        </w:trPr>
        <w:tc>
          <w:tcPr>
            <w:tcW w:w="2299" w:type="dxa"/>
            <w:tcBorders>
              <w:top w:val="single" w:sz="4" w:space="0" w:color="auto"/>
              <w:left w:val="single" w:sz="4" w:space="0" w:color="auto"/>
              <w:bottom w:val="single" w:sz="4" w:space="0" w:color="auto"/>
              <w:right w:val="single" w:sz="4" w:space="0" w:color="auto"/>
            </w:tcBorders>
            <w:vAlign w:val="center"/>
          </w:tcPr>
          <w:p w14:paraId="65BBDEA1" w14:textId="77777777" w:rsidR="009A6D19" w:rsidRPr="000A37FF" w:rsidRDefault="009A6D19" w:rsidP="009A6D19">
            <w:pPr>
              <w:jc w:val="center"/>
              <w:rPr>
                <w:rFonts w:asciiTheme="minorHAnsi" w:hAnsiTheme="minorHAnsi" w:cstheme="minorHAnsi"/>
                <w:b/>
              </w:rPr>
            </w:pPr>
            <w:r w:rsidRPr="000A37FF">
              <w:rPr>
                <w:rFonts w:asciiTheme="minorHAnsi" w:hAnsiTheme="minorHAnsi" w:cstheme="minorHAnsi"/>
                <w:b/>
              </w:rPr>
              <w:lastRenderedPageBreak/>
              <w:t>CB Area</w:t>
            </w:r>
          </w:p>
        </w:tc>
        <w:tc>
          <w:tcPr>
            <w:tcW w:w="4647" w:type="dxa"/>
            <w:tcBorders>
              <w:top w:val="single" w:sz="4" w:space="0" w:color="auto"/>
              <w:left w:val="single" w:sz="4" w:space="0" w:color="auto"/>
              <w:bottom w:val="single" w:sz="4" w:space="0" w:color="auto"/>
              <w:right w:val="single" w:sz="4" w:space="0" w:color="auto"/>
            </w:tcBorders>
          </w:tcPr>
          <w:p w14:paraId="7358B00F" w14:textId="77777777" w:rsidR="009A6D19" w:rsidRPr="000A37FF" w:rsidRDefault="009A6D19" w:rsidP="009A6D19">
            <w:pPr>
              <w:jc w:val="center"/>
              <w:rPr>
                <w:rFonts w:asciiTheme="minorHAnsi" w:hAnsiTheme="minorHAnsi" w:cstheme="minorHAnsi"/>
                <w:b/>
              </w:rPr>
            </w:pPr>
          </w:p>
          <w:p w14:paraId="2C672D08" w14:textId="77777777" w:rsidR="009A6D19" w:rsidRPr="000A37FF" w:rsidRDefault="009A6D19" w:rsidP="009A6D19">
            <w:pPr>
              <w:jc w:val="center"/>
              <w:rPr>
                <w:rFonts w:asciiTheme="minorHAnsi" w:hAnsiTheme="minorHAnsi" w:cstheme="minorHAnsi"/>
                <w:b/>
              </w:rPr>
            </w:pPr>
          </w:p>
          <w:p w14:paraId="0D374FDF" w14:textId="77777777" w:rsidR="009A6D19" w:rsidRPr="000A37FF" w:rsidRDefault="009A6D19" w:rsidP="009A6D19">
            <w:pPr>
              <w:jc w:val="center"/>
              <w:rPr>
                <w:rFonts w:asciiTheme="minorHAnsi" w:hAnsiTheme="minorHAnsi" w:cstheme="minorHAnsi"/>
                <w:b/>
              </w:rPr>
            </w:pPr>
            <w:r w:rsidRPr="000A37FF">
              <w:rPr>
                <w:rFonts w:asciiTheme="minorHAnsi" w:hAnsiTheme="minorHAnsi" w:cstheme="minorHAnsi"/>
                <w:b/>
              </w:rPr>
              <w:t>Detail</w:t>
            </w:r>
          </w:p>
        </w:tc>
        <w:tc>
          <w:tcPr>
            <w:tcW w:w="1701" w:type="dxa"/>
            <w:tcBorders>
              <w:top w:val="single" w:sz="4" w:space="0" w:color="auto"/>
              <w:left w:val="single" w:sz="4" w:space="0" w:color="auto"/>
              <w:bottom w:val="single" w:sz="4" w:space="0" w:color="auto"/>
              <w:right w:val="single" w:sz="4" w:space="0" w:color="auto"/>
            </w:tcBorders>
            <w:vAlign w:val="center"/>
          </w:tcPr>
          <w:p w14:paraId="1DFFC7D3" w14:textId="77777777" w:rsidR="009A6D19" w:rsidRPr="000A37FF" w:rsidRDefault="009A6D19" w:rsidP="009A6D19">
            <w:pPr>
              <w:jc w:val="center"/>
              <w:rPr>
                <w:rFonts w:asciiTheme="minorHAnsi" w:hAnsiTheme="minorHAnsi" w:cstheme="minorHAnsi"/>
                <w:b/>
                <w:lang w:val="en-IE"/>
              </w:rPr>
            </w:pPr>
            <w:r w:rsidRPr="000A37FF">
              <w:rPr>
                <w:rFonts w:asciiTheme="minorHAnsi" w:hAnsiTheme="minorHAnsi" w:cstheme="minorHAnsi"/>
                <w:b/>
              </w:rPr>
              <w:t>Estimated Annual Cost  (US</w:t>
            </w:r>
            <w:r>
              <w:rPr>
                <w:rFonts w:asciiTheme="minorHAnsi" w:hAnsiTheme="minorHAnsi" w:cstheme="minorHAnsi"/>
                <w:b/>
              </w:rPr>
              <w:t xml:space="preserve"> </w:t>
            </w:r>
            <w:r w:rsidRPr="000A37FF">
              <w:rPr>
                <w:rFonts w:asciiTheme="minorHAnsi" w:hAnsiTheme="minorHAnsi" w:cstheme="minorHAnsi"/>
                <w:b/>
              </w:rPr>
              <w:t>$)</w:t>
            </w:r>
          </w:p>
          <w:p w14:paraId="78A1AAC3" w14:textId="77777777" w:rsidR="009A6D19" w:rsidRPr="000A37FF" w:rsidRDefault="009A6D19" w:rsidP="009A6D19">
            <w:pPr>
              <w:jc w:val="center"/>
              <w:rPr>
                <w:rFonts w:asciiTheme="minorHAnsi" w:hAnsiTheme="minorHAnsi" w:cstheme="minorHAnsi"/>
                <w:b/>
              </w:rPr>
            </w:pPr>
          </w:p>
        </w:tc>
      </w:tr>
      <w:tr w:rsidR="009A6D19" w:rsidRPr="000A37FF" w14:paraId="4EC6A36B" w14:textId="77777777" w:rsidTr="009A6D19">
        <w:trPr>
          <w:cantSplit/>
          <w:trHeight w:val="860"/>
        </w:trPr>
        <w:tc>
          <w:tcPr>
            <w:tcW w:w="2299" w:type="dxa"/>
            <w:tcBorders>
              <w:top w:val="single" w:sz="4" w:space="0" w:color="auto"/>
              <w:left w:val="single" w:sz="4" w:space="0" w:color="auto"/>
              <w:bottom w:val="single" w:sz="4" w:space="0" w:color="auto"/>
              <w:right w:val="single" w:sz="4" w:space="0" w:color="auto"/>
            </w:tcBorders>
            <w:vAlign w:val="center"/>
          </w:tcPr>
          <w:p w14:paraId="246890E3" w14:textId="77777777" w:rsidR="009A6D19" w:rsidRPr="000A37FF" w:rsidRDefault="009A6D19" w:rsidP="009A6D19">
            <w:pPr>
              <w:rPr>
                <w:rFonts w:asciiTheme="minorHAnsi" w:hAnsiTheme="minorHAnsi" w:cstheme="minorHAnsi"/>
                <w:b/>
              </w:rPr>
            </w:pPr>
            <w:r w:rsidRPr="000A37FF">
              <w:rPr>
                <w:rFonts w:asciiTheme="minorHAnsi" w:hAnsiTheme="minorHAnsi" w:cstheme="minorHAnsi"/>
              </w:rPr>
              <w:t>IPPC specific NPPO CB support</w:t>
            </w:r>
          </w:p>
        </w:tc>
        <w:tc>
          <w:tcPr>
            <w:tcW w:w="4647" w:type="dxa"/>
            <w:tcBorders>
              <w:top w:val="single" w:sz="4" w:space="0" w:color="auto"/>
              <w:left w:val="single" w:sz="4" w:space="0" w:color="auto"/>
              <w:bottom w:val="single" w:sz="4" w:space="0" w:color="auto"/>
              <w:right w:val="single" w:sz="4" w:space="0" w:color="auto"/>
            </w:tcBorders>
          </w:tcPr>
          <w:p w14:paraId="5A8B1A39" w14:textId="77777777" w:rsidR="009A6D19" w:rsidRPr="000A37FF" w:rsidRDefault="009A6D19" w:rsidP="009A6D19">
            <w:pPr>
              <w:rPr>
                <w:rFonts w:asciiTheme="minorHAnsi" w:hAnsiTheme="minorHAnsi" w:cstheme="minorHAnsi"/>
                <w:b/>
              </w:rPr>
            </w:pPr>
            <w:r w:rsidRPr="000A37FF">
              <w:rPr>
                <w:rFonts w:asciiTheme="minorHAnsi" w:hAnsiTheme="minorHAnsi" w:cstheme="minorHAnsi"/>
              </w:rPr>
              <w:t>10 countries per year at $20,000 per country</w:t>
            </w:r>
          </w:p>
        </w:tc>
        <w:tc>
          <w:tcPr>
            <w:tcW w:w="1701" w:type="dxa"/>
            <w:tcBorders>
              <w:top w:val="single" w:sz="4" w:space="0" w:color="auto"/>
              <w:left w:val="single" w:sz="4" w:space="0" w:color="auto"/>
              <w:bottom w:val="single" w:sz="4" w:space="0" w:color="auto"/>
              <w:right w:val="single" w:sz="4" w:space="0" w:color="auto"/>
            </w:tcBorders>
            <w:vAlign w:val="center"/>
          </w:tcPr>
          <w:p w14:paraId="2579DAAB" w14:textId="77777777" w:rsidR="009A6D19" w:rsidRPr="000A37FF" w:rsidRDefault="009A6D19" w:rsidP="009A6D19">
            <w:pPr>
              <w:jc w:val="right"/>
              <w:rPr>
                <w:rFonts w:asciiTheme="minorHAnsi" w:hAnsiTheme="minorHAnsi" w:cstheme="minorHAnsi"/>
                <w:b/>
              </w:rPr>
            </w:pPr>
            <w:r w:rsidRPr="000A37FF">
              <w:rPr>
                <w:rFonts w:asciiTheme="minorHAnsi" w:hAnsiTheme="minorHAnsi" w:cstheme="minorHAnsi"/>
              </w:rPr>
              <w:t>200,000</w:t>
            </w:r>
          </w:p>
        </w:tc>
      </w:tr>
      <w:tr w:rsidR="009A6D19" w:rsidRPr="000A37FF" w14:paraId="75D6C477" w14:textId="77777777" w:rsidTr="009A6D19">
        <w:trPr>
          <w:cantSplit/>
        </w:trPr>
        <w:tc>
          <w:tcPr>
            <w:tcW w:w="2299" w:type="dxa"/>
            <w:vMerge w:val="restart"/>
            <w:tcBorders>
              <w:left w:val="single" w:sz="4" w:space="0" w:color="auto"/>
              <w:right w:val="single" w:sz="4" w:space="0" w:color="auto"/>
            </w:tcBorders>
            <w:vAlign w:val="center"/>
          </w:tcPr>
          <w:p w14:paraId="35781CC8" w14:textId="77777777" w:rsidR="009A6D19" w:rsidRPr="000A37FF" w:rsidRDefault="009A6D19" w:rsidP="009A6D19">
            <w:pPr>
              <w:rPr>
                <w:rFonts w:asciiTheme="minorHAnsi" w:hAnsiTheme="minorHAnsi" w:cstheme="minorHAnsi"/>
              </w:rPr>
            </w:pPr>
            <w:r w:rsidRPr="000A37FF">
              <w:rPr>
                <w:rFonts w:asciiTheme="minorHAnsi" w:hAnsiTheme="minorHAnsi" w:cstheme="minorHAnsi"/>
              </w:rPr>
              <w:t>Additional general support</w:t>
            </w:r>
          </w:p>
        </w:tc>
        <w:tc>
          <w:tcPr>
            <w:tcW w:w="4647" w:type="dxa"/>
            <w:tcBorders>
              <w:top w:val="single" w:sz="4" w:space="0" w:color="auto"/>
              <w:left w:val="single" w:sz="4" w:space="0" w:color="auto"/>
              <w:bottom w:val="single" w:sz="4" w:space="0" w:color="auto"/>
              <w:right w:val="single" w:sz="4" w:space="0" w:color="auto"/>
            </w:tcBorders>
          </w:tcPr>
          <w:p w14:paraId="5BF5077C" w14:textId="77777777" w:rsidR="009A6D19" w:rsidRPr="000A37FF" w:rsidRDefault="009A6D19" w:rsidP="009A6D19">
            <w:pPr>
              <w:rPr>
                <w:rFonts w:asciiTheme="minorHAnsi" w:hAnsiTheme="minorHAnsi" w:cstheme="minorHAnsi"/>
                <w:color w:val="000000" w:themeColor="text1"/>
              </w:rPr>
            </w:pPr>
            <w:r w:rsidRPr="000A37FF">
              <w:rPr>
                <w:rFonts w:asciiTheme="minorHAnsi" w:hAnsiTheme="minorHAnsi" w:cstheme="minorHAnsi"/>
              </w:rPr>
              <w:t>International ePhyto Solution Conference and Training (one every 2 years)</w:t>
            </w:r>
          </w:p>
        </w:tc>
        <w:tc>
          <w:tcPr>
            <w:tcW w:w="1701" w:type="dxa"/>
            <w:tcBorders>
              <w:top w:val="single" w:sz="4" w:space="0" w:color="auto"/>
              <w:left w:val="single" w:sz="4" w:space="0" w:color="auto"/>
              <w:bottom w:val="single" w:sz="4" w:space="0" w:color="auto"/>
              <w:right w:val="single" w:sz="4" w:space="0" w:color="auto"/>
            </w:tcBorders>
            <w:vAlign w:val="center"/>
          </w:tcPr>
          <w:p w14:paraId="622D104A" w14:textId="77777777" w:rsidR="009A6D19" w:rsidRPr="000A37FF" w:rsidRDefault="009A6D19" w:rsidP="009A6D19">
            <w:pPr>
              <w:jc w:val="right"/>
              <w:rPr>
                <w:rFonts w:asciiTheme="minorHAnsi" w:hAnsiTheme="minorHAnsi" w:cstheme="minorHAnsi"/>
                <w:color w:val="000000" w:themeColor="text1"/>
              </w:rPr>
            </w:pPr>
            <w:r w:rsidRPr="000A37FF">
              <w:rPr>
                <w:rFonts w:asciiTheme="minorHAnsi" w:hAnsiTheme="minorHAnsi" w:cstheme="minorHAnsi"/>
              </w:rPr>
              <w:t>100,000</w:t>
            </w:r>
          </w:p>
        </w:tc>
      </w:tr>
      <w:tr w:rsidR="009A6D19" w:rsidRPr="000A37FF" w14:paraId="533C252F" w14:textId="77777777" w:rsidTr="009A6D19">
        <w:trPr>
          <w:cantSplit/>
        </w:trPr>
        <w:tc>
          <w:tcPr>
            <w:tcW w:w="2299" w:type="dxa"/>
            <w:vMerge/>
            <w:tcBorders>
              <w:left w:val="single" w:sz="4" w:space="0" w:color="auto"/>
              <w:bottom w:val="single" w:sz="4" w:space="0" w:color="auto"/>
              <w:right w:val="single" w:sz="4" w:space="0" w:color="auto"/>
            </w:tcBorders>
            <w:vAlign w:val="center"/>
          </w:tcPr>
          <w:p w14:paraId="4B3C046A" w14:textId="77777777" w:rsidR="009A6D19" w:rsidRPr="000A37FF" w:rsidRDefault="009A6D19" w:rsidP="009A6D19">
            <w:pPr>
              <w:rPr>
                <w:rFonts w:asciiTheme="minorHAnsi" w:hAnsiTheme="minorHAnsi" w:cstheme="minorHAnsi"/>
              </w:rPr>
            </w:pPr>
          </w:p>
        </w:tc>
        <w:tc>
          <w:tcPr>
            <w:tcW w:w="4647" w:type="dxa"/>
            <w:tcBorders>
              <w:top w:val="single" w:sz="4" w:space="0" w:color="auto"/>
              <w:left w:val="single" w:sz="4" w:space="0" w:color="auto"/>
              <w:bottom w:val="single" w:sz="4" w:space="0" w:color="auto"/>
              <w:right w:val="single" w:sz="4" w:space="0" w:color="auto"/>
            </w:tcBorders>
          </w:tcPr>
          <w:p w14:paraId="588221A9" w14:textId="77777777" w:rsidR="009A6D19" w:rsidRPr="000A37FF" w:rsidRDefault="009A6D19" w:rsidP="009A6D19">
            <w:pPr>
              <w:rPr>
                <w:rFonts w:asciiTheme="minorHAnsi" w:hAnsiTheme="minorHAnsi" w:cstheme="minorHAnsi"/>
                <w:color w:val="000000" w:themeColor="text1"/>
              </w:rPr>
            </w:pPr>
            <w:r w:rsidRPr="000A37FF">
              <w:rPr>
                <w:rFonts w:asciiTheme="minorHAnsi" w:hAnsiTheme="minorHAnsi" w:cstheme="minorHAnsi"/>
                <w:color w:val="000000" w:themeColor="text1"/>
              </w:rPr>
              <w:t>Webinars, On-line seminars, etc</w:t>
            </w:r>
          </w:p>
        </w:tc>
        <w:tc>
          <w:tcPr>
            <w:tcW w:w="1701" w:type="dxa"/>
            <w:tcBorders>
              <w:top w:val="single" w:sz="4" w:space="0" w:color="auto"/>
              <w:left w:val="single" w:sz="4" w:space="0" w:color="auto"/>
              <w:bottom w:val="single" w:sz="4" w:space="0" w:color="auto"/>
              <w:right w:val="single" w:sz="4" w:space="0" w:color="auto"/>
            </w:tcBorders>
            <w:vAlign w:val="center"/>
          </w:tcPr>
          <w:p w14:paraId="1352315B" w14:textId="77777777" w:rsidR="009A6D19" w:rsidRPr="000A37FF" w:rsidRDefault="009A6D19" w:rsidP="009A6D19">
            <w:pPr>
              <w:jc w:val="right"/>
              <w:rPr>
                <w:rFonts w:asciiTheme="minorHAnsi" w:hAnsiTheme="minorHAnsi" w:cstheme="minorHAnsi"/>
                <w:color w:val="000000" w:themeColor="text1"/>
              </w:rPr>
            </w:pPr>
            <w:r w:rsidRPr="000A37FF">
              <w:rPr>
                <w:rFonts w:asciiTheme="minorHAnsi" w:hAnsiTheme="minorHAnsi" w:cstheme="minorHAnsi"/>
                <w:color w:val="000000" w:themeColor="text1"/>
              </w:rPr>
              <w:t>30,000</w:t>
            </w:r>
          </w:p>
        </w:tc>
      </w:tr>
      <w:tr w:rsidR="009A6D19" w:rsidRPr="000A37FF" w14:paraId="662BF2A9" w14:textId="77777777" w:rsidTr="009A6D19">
        <w:trPr>
          <w:cantSplit/>
        </w:trPr>
        <w:tc>
          <w:tcPr>
            <w:tcW w:w="2299" w:type="dxa"/>
            <w:tcBorders>
              <w:top w:val="single" w:sz="4" w:space="0" w:color="auto"/>
              <w:left w:val="single" w:sz="4" w:space="0" w:color="auto"/>
              <w:right w:val="single" w:sz="4" w:space="0" w:color="auto"/>
            </w:tcBorders>
            <w:vAlign w:val="center"/>
          </w:tcPr>
          <w:p w14:paraId="456B4D99" w14:textId="77777777" w:rsidR="009A6D19" w:rsidRPr="000A37FF" w:rsidRDefault="009A6D19" w:rsidP="009A6D19">
            <w:pPr>
              <w:rPr>
                <w:rFonts w:asciiTheme="minorHAnsi" w:hAnsiTheme="minorHAnsi" w:cstheme="minorHAnsi"/>
              </w:rPr>
            </w:pPr>
          </w:p>
        </w:tc>
        <w:tc>
          <w:tcPr>
            <w:tcW w:w="4647" w:type="dxa"/>
            <w:tcBorders>
              <w:top w:val="single" w:sz="4" w:space="0" w:color="auto"/>
              <w:left w:val="single" w:sz="4" w:space="0" w:color="auto"/>
              <w:bottom w:val="single" w:sz="4" w:space="0" w:color="auto"/>
              <w:right w:val="single" w:sz="4" w:space="0" w:color="auto"/>
            </w:tcBorders>
          </w:tcPr>
          <w:p w14:paraId="408CB209" w14:textId="77777777" w:rsidR="009A6D19" w:rsidRPr="000A37FF" w:rsidRDefault="009A6D19" w:rsidP="009A6D19">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7096D9BC" w14:textId="77777777" w:rsidR="009A6D19" w:rsidRPr="000A37FF" w:rsidRDefault="009A6D19" w:rsidP="009A6D19">
            <w:pPr>
              <w:jc w:val="right"/>
              <w:rPr>
                <w:rFonts w:asciiTheme="minorHAnsi" w:hAnsiTheme="minorHAnsi" w:cstheme="minorHAnsi"/>
              </w:rPr>
            </w:pPr>
          </w:p>
        </w:tc>
      </w:tr>
      <w:tr w:rsidR="009A6D19" w:rsidRPr="000A37FF" w14:paraId="53F5A4D8" w14:textId="77777777" w:rsidTr="009A6D19">
        <w:trPr>
          <w:cantSplit/>
        </w:trPr>
        <w:tc>
          <w:tcPr>
            <w:tcW w:w="6946" w:type="dxa"/>
            <w:gridSpan w:val="2"/>
            <w:tcBorders>
              <w:top w:val="single" w:sz="4" w:space="0" w:color="auto"/>
              <w:left w:val="single" w:sz="4" w:space="0" w:color="auto"/>
              <w:bottom w:val="single" w:sz="4" w:space="0" w:color="auto"/>
              <w:right w:val="single" w:sz="4" w:space="0" w:color="auto"/>
            </w:tcBorders>
            <w:vAlign w:val="center"/>
          </w:tcPr>
          <w:p w14:paraId="3F0936DB" w14:textId="77777777" w:rsidR="009A6D19" w:rsidRPr="000A37FF" w:rsidRDefault="009A6D19" w:rsidP="009A6D19">
            <w:pPr>
              <w:rPr>
                <w:rFonts w:asciiTheme="minorHAnsi" w:hAnsiTheme="minorHAnsi" w:cstheme="minorHAnsi"/>
                <w:b/>
              </w:rPr>
            </w:pPr>
            <w:r w:rsidRPr="000A37FF">
              <w:rPr>
                <w:rFonts w:asciiTheme="minorHAnsi" w:hAnsiTheme="minorHAnsi" w:cstheme="minorHAnsi"/>
                <w:b/>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5F8A33E4" w14:textId="77777777" w:rsidR="009A6D19" w:rsidRPr="000A37FF" w:rsidRDefault="009A6D19" w:rsidP="009A6D19">
            <w:pPr>
              <w:jc w:val="right"/>
              <w:rPr>
                <w:rFonts w:asciiTheme="minorHAnsi" w:hAnsiTheme="minorHAnsi" w:cstheme="minorHAnsi"/>
                <w:b/>
              </w:rPr>
            </w:pPr>
            <w:r w:rsidRPr="000A37FF">
              <w:rPr>
                <w:rFonts w:asciiTheme="minorHAnsi" w:hAnsiTheme="minorHAnsi" w:cstheme="minorHAnsi"/>
                <w:b/>
              </w:rPr>
              <w:t>330,000</w:t>
            </w:r>
          </w:p>
        </w:tc>
      </w:tr>
    </w:tbl>
    <w:p w14:paraId="11C1C558" w14:textId="77777777" w:rsidR="009A6D19" w:rsidRPr="000A37FF" w:rsidRDefault="009A6D19" w:rsidP="009A6D19">
      <w:pPr>
        <w:rPr>
          <w:rFonts w:cstheme="minorHAnsi"/>
          <w:b/>
        </w:rPr>
      </w:pPr>
    </w:p>
    <w:p w14:paraId="7CF7CE48" w14:textId="77777777" w:rsidR="009A6D19" w:rsidRPr="000A37FF" w:rsidRDefault="009A6D19" w:rsidP="009A6D19">
      <w:pPr>
        <w:rPr>
          <w:rFonts w:cstheme="minorHAnsi"/>
          <w:b/>
        </w:rPr>
      </w:pPr>
      <w:r w:rsidRPr="000A37FF">
        <w:rPr>
          <w:rFonts w:cstheme="minorHAnsi"/>
          <w:b/>
        </w:rPr>
        <w:t xml:space="preserve">The combined annual Total Operation Cost plus Capacity Building is detailed in the </w:t>
      </w:r>
      <w:r>
        <w:rPr>
          <w:rFonts w:cstheme="minorHAnsi"/>
          <w:b/>
        </w:rPr>
        <w:t xml:space="preserve">summary </w:t>
      </w:r>
      <w:r w:rsidRPr="000A37FF">
        <w:rPr>
          <w:rFonts w:cstheme="minorHAnsi"/>
          <w:b/>
        </w:rPr>
        <w:t>table below.</w:t>
      </w:r>
    </w:p>
    <w:tbl>
      <w:tblPr>
        <w:tblStyle w:val="TableGrid"/>
        <w:tblW w:w="0" w:type="auto"/>
        <w:tblLook w:val="04A0" w:firstRow="1" w:lastRow="0" w:firstColumn="1" w:lastColumn="0" w:noHBand="0" w:noVBand="1"/>
      </w:tblPr>
      <w:tblGrid>
        <w:gridCol w:w="4106"/>
        <w:gridCol w:w="1134"/>
        <w:gridCol w:w="1134"/>
        <w:gridCol w:w="1276"/>
        <w:gridCol w:w="1276"/>
      </w:tblGrid>
      <w:tr w:rsidR="009A6D19" w:rsidRPr="000A37FF" w14:paraId="5FF2E3A1" w14:textId="77777777" w:rsidTr="009A6D19">
        <w:tc>
          <w:tcPr>
            <w:tcW w:w="4106" w:type="dxa"/>
            <w:vAlign w:val="center"/>
          </w:tcPr>
          <w:p w14:paraId="3FDE8295" w14:textId="77777777" w:rsidR="009A6D19" w:rsidRPr="000A37FF" w:rsidRDefault="009A6D19" w:rsidP="009A6D19">
            <w:pPr>
              <w:jc w:val="center"/>
              <w:rPr>
                <w:rFonts w:cstheme="minorHAnsi"/>
                <w:b/>
              </w:rPr>
            </w:pPr>
            <w:r w:rsidRPr="000A37FF">
              <w:rPr>
                <w:rFonts w:eastAsia="Times New Roman" w:cstheme="minorHAnsi"/>
                <w:b/>
                <w:bCs/>
                <w:color w:val="000000"/>
                <w:bdr w:val="none" w:sz="0" w:space="0" w:color="auto" w:frame="1"/>
                <w:lang w:eastAsia="en-IE"/>
              </w:rPr>
              <w:t>Type of Cost</w:t>
            </w:r>
          </w:p>
        </w:tc>
        <w:tc>
          <w:tcPr>
            <w:tcW w:w="1134" w:type="dxa"/>
            <w:vAlign w:val="center"/>
          </w:tcPr>
          <w:p w14:paraId="564460EC" w14:textId="77777777" w:rsidR="009A6D19" w:rsidRPr="000A37FF" w:rsidRDefault="009A6D19" w:rsidP="009A6D19">
            <w:pPr>
              <w:jc w:val="center"/>
              <w:rPr>
                <w:rFonts w:cstheme="minorHAnsi"/>
                <w:b/>
              </w:rPr>
            </w:pPr>
            <w:r w:rsidRPr="000A37FF">
              <w:rPr>
                <w:rFonts w:eastAsia="Times New Roman" w:cstheme="minorHAnsi"/>
                <w:b/>
                <w:bCs/>
                <w:color w:val="000000"/>
                <w:bdr w:val="none" w:sz="0" w:space="0" w:color="auto" w:frame="1"/>
                <w:lang w:eastAsia="en-IE"/>
              </w:rPr>
              <w:t>2022</w:t>
            </w:r>
          </w:p>
        </w:tc>
        <w:tc>
          <w:tcPr>
            <w:tcW w:w="1134" w:type="dxa"/>
            <w:vAlign w:val="center"/>
          </w:tcPr>
          <w:p w14:paraId="184732ED" w14:textId="77777777" w:rsidR="009A6D19" w:rsidRPr="000A37FF" w:rsidRDefault="009A6D19" w:rsidP="009A6D19">
            <w:pPr>
              <w:jc w:val="center"/>
              <w:rPr>
                <w:rFonts w:cstheme="minorHAnsi"/>
                <w:b/>
              </w:rPr>
            </w:pPr>
            <w:r w:rsidRPr="000A37FF">
              <w:rPr>
                <w:rFonts w:eastAsia="Times New Roman" w:cstheme="minorHAnsi"/>
                <w:b/>
                <w:bCs/>
                <w:color w:val="000000"/>
                <w:bdr w:val="none" w:sz="0" w:space="0" w:color="auto" w:frame="1"/>
                <w:lang w:eastAsia="en-IE"/>
              </w:rPr>
              <w:t>2023</w:t>
            </w:r>
          </w:p>
        </w:tc>
        <w:tc>
          <w:tcPr>
            <w:tcW w:w="1276" w:type="dxa"/>
            <w:vAlign w:val="center"/>
          </w:tcPr>
          <w:p w14:paraId="7E7964DE" w14:textId="77777777" w:rsidR="009A6D19" w:rsidRPr="000A37FF" w:rsidRDefault="009A6D19" w:rsidP="009A6D19">
            <w:pPr>
              <w:jc w:val="center"/>
              <w:rPr>
                <w:rFonts w:cstheme="minorHAnsi"/>
                <w:b/>
              </w:rPr>
            </w:pPr>
            <w:r w:rsidRPr="000A37FF">
              <w:rPr>
                <w:rFonts w:eastAsia="Times New Roman" w:cstheme="minorHAnsi"/>
                <w:b/>
                <w:bCs/>
                <w:color w:val="000000"/>
                <w:bdr w:val="none" w:sz="0" w:space="0" w:color="auto" w:frame="1"/>
                <w:lang w:eastAsia="en-IE"/>
              </w:rPr>
              <w:t>2024</w:t>
            </w:r>
          </w:p>
        </w:tc>
        <w:tc>
          <w:tcPr>
            <w:tcW w:w="1276" w:type="dxa"/>
            <w:vAlign w:val="center"/>
          </w:tcPr>
          <w:p w14:paraId="121F9063" w14:textId="77777777" w:rsidR="009A6D19" w:rsidRPr="000A37FF" w:rsidRDefault="009A6D19" w:rsidP="009A6D19">
            <w:pPr>
              <w:jc w:val="center"/>
              <w:rPr>
                <w:rFonts w:cstheme="minorHAnsi"/>
                <w:b/>
              </w:rPr>
            </w:pPr>
            <w:r w:rsidRPr="000A37FF">
              <w:rPr>
                <w:rFonts w:eastAsia="Times New Roman" w:cstheme="minorHAnsi"/>
                <w:b/>
                <w:bCs/>
                <w:color w:val="000000"/>
                <w:bdr w:val="none" w:sz="0" w:space="0" w:color="auto" w:frame="1"/>
                <w:lang w:eastAsia="en-IE"/>
              </w:rPr>
              <w:t>2025</w:t>
            </w:r>
          </w:p>
        </w:tc>
      </w:tr>
      <w:tr w:rsidR="009A6D19" w:rsidRPr="000A37FF" w14:paraId="41F12949" w14:textId="77777777" w:rsidTr="009A6D19">
        <w:tc>
          <w:tcPr>
            <w:tcW w:w="4106" w:type="dxa"/>
            <w:vAlign w:val="center"/>
          </w:tcPr>
          <w:p w14:paraId="04138423" w14:textId="77777777" w:rsidR="009A6D19" w:rsidRPr="000A37FF" w:rsidRDefault="009A6D19" w:rsidP="009A6D19">
            <w:pPr>
              <w:rPr>
                <w:rFonts w:cstheme="minorHAnsi"/>
                <w:b/>
              </w:rPr>
            </w:pPr>
            <w:r w:rsidRPr="000A37FF">
              <w:rPr>
                <w:rFonts w:eastAsia="Times New Roman" w:cstheme="minorHAnsi"/>
                <w:b/>
                <w:bCs/>
                <w:color w:val="000000"/>
                <w:bdr w:val="none" w:sz="0" w:space="0" w:color="auto" w:frame="1"/>
                <w:lang w:eastAsia="en-IE"/>
              </w:rPr>
              <w:t>Total Operational Costs in USD</w:t>
            </w:r>
          </w:p>
        </w:tc>
        <w:tc>
          <w:tcPr>
            <w:tcW w:w="1134" w:type="dxa"/>
            <w:vAlign w:val="center"/>
          </w:tcPr>
          <w:p w14:paraId="7BC0F4B9" w14:textId="77777777" w:rsidR="009A6D19" w:rsidRPr="000A37FF" w:rsidRDefault="009A6D19" w:rsidP="009A6D19">
            <w:pPr>
              <w:jc w:val="right"/>
              <w:rPr>
                <w:rFonts w:cstheme="minorHAnsi"/>
                <w:b/>
              </w:rPr>
            </w:pPr>
            <w:r w:rsidRPr="000A37FF">
              <w:rPr>
                <w:rFonts w:eastAsia="Times New Roman" w:cstheme="minorHAnsi"/>
                <w:b/>
                <w:bCs/>
                <w:color w:val="000000"/>
                <w:bdr w:val="none" w:sz="0" w:space="0" w:color="auto" w:frame="1"/>
                <w:lang w:eastAsia="en-IE"/>
              </w:rPr>
              <w:t>581,000</w:t>
            </w:r>
          </w:p>
        </w:tc>
        <w:tc>
          <w:tcPr>
            <w:tcW w:w="1134" w:type="dxa"/>
            <w:vAlign w:val="center"/>
          </w:tcPr>
          <w:p w14:paraId="34795E62" w14:textId="77777777" w:rsidR="009A6D19" w:rsidRPr="000A37FF" w:rsidRDefault="009A6D19" w:rsidP="009A6D19">
            <w:pPr>
              <w:jc w:val="right"/>
              <w:rPr>
                <w:rFonts w:cstheme="minorHAnsi"/>
                <w:b/>
              </w:rPr>
            </w:pPr>
            <w:r w:rsidRPr="000A37FF">
              <w:rPr>
                <w:rFonts w:eastAsia="Times New Roman" w:cstheme="minorHAnsi"/>
                <w:b/>
                <w:bCs/>
                <w:color w:val="000000"/>
                <w:bdr w:val="none" w:sz="0" w:space="0" w:color="auto" w:frame="1"/>
                <w:lang w:eastAsia="en-IE"/>
              </w:rPr>
              <w:t>741,000</w:t>
            </w:r>
          </w:p>
        </w:tc>
        <w:tc>
          <w:tcPr>
            <w:tcW w:w="1276" w:type="dxa"/>
            <w:vAlign w:val="center"/>
          </w:tcPr>
          <w:p w14:paraId="2F26B523" w14:textId="77777777" w:rsidR="009A6D19" w:rsidRPr="000A37FF" w:rsidRDefault="009A6D19" w:rsidP="009A6D19">
            <w:pPr>
              <w:jc w:val="right"/>
              <w:rPr>
                <w:rFonts w:cstheme="minorHAnsi"/>
                <w:b/>
              </w:rPr>
            </w:pPr>
            <w:r w:rsidRPr="000A37FF">
              <w:rPr>
                <w:rFonts w:eastAsia="Times New Roman" w:cstheme="minorHAnsi"/>
                <w:b/>
                <w:bCs/>
                <w:color w:val="000000"/>
                <w:bdr w:val="none" w:sz="0" w:space="0" w:color="auto" w:frame="1"/>
                <w:lang w:eastAsia="en-IE"/>
              </w:rPr>
              <w:t>817,000</w:t>
            </w:r>
          </w:p>
        </w:tc>
        <w:tc>
          <w:tcPr>
            <w:tcW w:w="1276" w:type="dxa"/>
            <w:vAlign w:val="center"/>
          </w:tcPr>
          <w:p w14:paraId="7AFFC9E4" w14:textId="77777777" w:rsidR="009A6D19" w:rsidRPr="000A37FF" w:rsidRDefault="009A6D19" w:rsidP="009A6D19">
            <w:pPr>
              <w:jc w:val="right"/>
              <w:rPr>
                <w:rFonts w:cstheme="minorHAnsi"/>
                <w:b/>
              </w:rPr>
            </w:pPr>
            <w:r w:rsidRPr="000A37FF">
              <w:rPr>
                <w:rFonts w:eastAsia="Times New Roman" w:cstheme="minorHAnsi"/>
                <w:b/>
                <w:bCs/>
                <w:color w:val="000000"/>
                <w:bdr w:val="none" w:sz="0" w:space="0" w:color="auto" w:frame="1"/>
                <w:lang w:eastAsia="en-IE"/>
              </w:rPr>
              <w:t>933,000</w:t>
            </w:r>
          </w:p>
        </w:tc>
      </w:tr>
      <w:tr w:rsidR="009A6D19" w:rsidRPr="000A37FF" w14:paraId="6AA9EE1B" w14:textId="77777777" w:rsidTr="009A6D19">
        <w:tc>
          <w:tcPr>
            <w:tcW w:w="4106" w:type="dxa"/>
          </w:tcPr>
          <w:p w14:paraId="5BC9C04A" w14:textId="77777777" w:rsidR="009A6D19" w:rsidRPr="000A37FF" w:rsidRDefault="009A6D19" w:rsidP="009A6D19">
            <w:pPr>
              <w:rPr>
                <w:rFonts w:cstheme="minorHAnsi"/>
                <w:b/>
              </w:rPr>
            </w:pPr>
            <w:r w:rsidRPr="000A37FF">
              <w:rPr>
                <w:rFonts w:cstheme="minorHAnsi"/>
                <w:b/>
              </w:rPr>
              <w:t>Capacity Building Costs in USD</w:t>
            </w:r>
          </w:p>
        </w:tc>
        <w:tc>
          <w:tcPr>
            <w:tcW w:w="1134" w:type="dxa"/>
          </w:tcPr>
          <w:p w14:paraId="65E2D0DD" w14:textId="77777777" w:rsidR="009A6D19" w:rsidRPr="000A37FF" w:rsidRDefault="009A6D19" w:rsidP="009A6D19">
            <w:pPr>
              <w:jc w:val="right"/>
              <w:rPr>
                <w:rFonts w:cstheme="minorHAnsi"/>
                <w:b/>
              </w:rPr>
            </w:pPr>
            <w:r w:rsidRPr="000A37FF">
              <w:rPr>
                <w:rFonts w:cstheme="minorHAnsi"/>
                <w:b/>
              </w:rPr>
              <w:t>330,000</w:t>
            </w:r>
          </w:p>
        </w:tc>
        <w:tc>
          <w:tcPr>
            <w:tcW w:w="1134" w:type="dxa"/>
          </w:tcPr>
          <w:p w14:paraId="4973A366" w14:textId="77777777" w:rsidR="009A6D19" w:rsidRPr="000A37FF" w:rsidRDefault="009A6D19" w:rsidP="009A6D19">
            <w:pPr>
              <w:jc w:val="right"/>
              <w:rPr>
                <w:rFonts w:cstheme="minorHAnsi"/>
                <w:b/>
              </w:rPr>
            </w:pPr>
            <w:r w:rsidRPr="000A37FF">
              <w:rPr>
                <w:rFonts w:cstheme="minorHAnsi"/>
                <w:b/>
              </w:rPr>
              <w:t>330,000</w:t>
            </w:r>
          </w:p>
        </w:tc>
        <w:tc>
          <w:tcPr>
            <w:tcW w:w="1276" w:type="dxa"/>
          </w:tcPr>
          <w:p w14:paraId="74505638" w14:textId="77777777" w:rsidR="009A6D19" w:rsidRPr="000A37FF" w:rsidRDefault="009A6D19" w:rsidP="009A6D19">
            <w:pPr>
              <w:jc w:val="right"/>
              <w:rPr>
                <w:rFonts w:cstheme="minorHAnsi"/>
                <w:b/>
              </w:rPr>
            </w:pPr>
            <w:r w:rsidRPr="000A37FF">
              <w:rPr>
                <w:rFonts w:cstheme="minorHAnsi"/>
                <w:b/>
              </w:rPr>
              <w:t>330,000</w:t>
            </w:r>
          </w:p>
        </w:tc>
        <w:tc>
          <w:tcPr>
            <w:tcW w:w="1276" w:type="dxa"/>
          </w:tcPr>
          <w:p w14:paraId="49089E33" w14:textId="77777777" w:rsidR="009A6D19" w:rsidRPr="000A37FF" w:rsidRDefault="009A6D19" w:rsidP="009A6D19">
            <w:pPr>
              <w:jc w:val="right"/>
              <w:rPr>
                <w:rFonts w:cstheme="minorHAnsi"/>
                <w:b/>
              </w:rPr>
            </w:pPr>
            <w:r>
              <w:rPr>
                <w:rFonts w:cstheme="minorHAnsi"/>
                <w:b/>
              </w:rPr>
              <w:t>330</w:t>
            </w:r>
            <w:r w:rsidRPr="000A37FF">
              <w:rPr>
                <w:rFonts w:cstheme="minorHAnsi"/>
                <w:b/>
              </w:rPr>
              <w:t>,000</w:t>
            </w:r>
          </w:p>
        </w:tc>
      </w:tr>
      <w:tr w:rsidR="009A6D19" w:rsidRPr="000A37FF" w14:paraId="2D592974" w14:textId="77777777" w:rsidTr="009A6D19">
        <w:tc>
          <w:tcPr>
            <w:tcW w:w="4106" w:type="dxa"/>
          </w:tcPr>
          <w:p w14:paraId="14206B03" w14:textId="77777777" w:rsidR="009A6D19" w:rsidRPr="000A37FF" w:rsidRDefault="009A6D19" w:rsidP="009A6D19">
            <w:pPr>
              <w:rPr>
                <w:rFonts w:cstheme="minorHAnsi"/>
                <w:b/>
              </w:rPr>
            </w:pPr>
          </w:p>
        </w:tc>
        <w:tc>
          <w:tcPr>
            <w:tcW w:w="1134" w:type="dxa"/>
          </w:tcPr>
          <w:p w14:paraId="3AB60677" w14:textId="77777777" w:rsidR="009A6D19" w:rsidRPr="000A37FF" w:rsidRDefault="009A6D19" w:rsidP="009A6D19">
            <w:pPr>
              <w:jc w:val="right"/>
              <w:rPr>
                <w:rFonts w:cstheme="minorHAnsi"/>
                <w:b/>
              </w:rPr>
            </w:pPr>
          </w:p>
        </w:tc>
        <w:tc>
          <w:tcPr>
            <w:tcW w:w="1134" w:type="dxa"/>
          </w:tcPr>
          <w:p w14:paraId="7422DBCB" w14:textId="77777777" w:rsidR="009A6D19" w:rsidRPr="000A37FF" w:rsidRDefault="009A6D19" w:rsidP="009A6D19">
            <w:pPr>
              <w:jc w:val="right"/>
              <w:rPr>
                <w:rFonts w:cstheme="minorHAnsi"/>
                <w:b/>
              </w:rPr>
            </w:pPr>
          </w:p>
        </w:tc>
        <w:tc>
          <w:tcPr>
            <w:tcW w:w="1276" w:type="dxa"/>
          </w:tcPr>
          <w:p w14:paraId="7856EF68" w14:textId="77777777" w:rsidR="009A6D19" w:rsidRPr="000A37FF" w:rsidRDefault="009A6D19" w:rsidP="009A6D19">
            <w:pPr>
              <w:jc w:val="right"/>
              <w:rPr>
                <w:rFonts w:cstheme="minorHAnsi"/>
                <w:b/>
              </w:rPr>
            </w:pPr>
          </w:p>
        </w:tc>
        <w:tc>
          <w:tcPr>
            <w:tcW w:w="1276" w:type="dxa"/>
          </w:tcPr>
          <w:p w14:paraId="3A2B61F1" w14:textId="77777777" w:rsidR="009A6D19" w:rsidRPr="000A37FF" w:rsidRDefault="009A6D19" w:rsidP="009A6D19">
            <w:pPr>
              <w:jc w:val="right"/>
              <w:rPr>
                <w:rFonts w:cstheme="minorHAnsi"/>
                <w:b/>
              </w:rPr>
            </w:pPr>
          </w:p>
        </w:tc>
      </w:tr>
      <w:tr w:rsidR="009A6D19" w:rsidRPr="000A37FF" w14:paraId="26C5A33E" w14:textId="77777777" w:rsidTr="009A6D19">
        <w:tc>
          <w:tcPr>
            <w:tcW w:w="4106" w:type="dxa"/>
          </w:tcPr>
          <w:p w14:paraId="509804E1" w14:textId="77777777" w:rsidR="009A6D19" w:rsidRPr="000A37FF" w:rsidRDefault="009A6D19" w:rsidP="009A6D19">
            <w:pPr>
              <w:rPr>
                <w:rFonts w:cstheme="minorHAnsi"/>
                <w:b/>
              </w:rPr>
            </w:pPr>
            <w:r w:rsidRPr="000A37FF">
              <w:rPr>
                <w:rFonts w:cstheme="minorHAnsi"/>
                <w:b/>
              </w:rPr>
              <w:t>Grand Total in USD</w:t>
            </w:r>
          </w:p>
        </w:tc>
        <w:tc>
          <w:tcPr>
            <w:tcW w:w="1134" w:type="dxa"/>
          </w:tcPr>
          <w:p w14:paraId="73001F5A" w14:textId="77777777" w:rsidR="009A6D19" w:rsidRPr="000A37FF" w:rsidRDefault="009A6D19" w:rsidP="009A6D19">
            <w:pPr>
              <w:jc w:val="right"/>
              <w:rPr>
                <w:rFonts w:cstheme="minorHAnsi"/>
                <w:b/>
              </w:rPr>
            </w:pPr>
            <w:r w:rsidRPr="000A37FF">
              <w:rPr>
                <w:rFonts w:cstheme="minorHAnsi"/>
                <w:b/>
              </w:rPr>
              <w:t>911,000</w:t>
            </w:r>
          </w:p>
        </w:tc>
        <w:tc>
          <w:tcPr>
            <w:tcW w:w="1134" w:type="dxa"/>
          </w:tcPr>
          <w:p w14:paraId="66BFA3F3" w14:textId="77777777" w:rsidR="009A6D19" w:rsidRPr="000A37FF" w:rsidRDefault="009A6D19" w:rsidP="009A6D19">
            <w:pPr>
              <w:jc w:val="right"/>
              <w:rPr>
                <w:rFonts w:cstheme="minorHAnsi"/>
                <w:b/>
              </w:rPr>
            </w:pPr>
            <w:r w:rsidRPr="000A37FF">
              <w:rPr>
                <w:rFonts w:cstheme="minorHAnsi"/>
                <w:b/>
              </w:rPr>
              <w:t>1,071,000</w:t>
            </w:r>
          </w:p>
        </w:tc>
        <w:tc>
          <w:tcPr>
            <w:tcW w:w="1276" w:type="dxa"/>
          </w:tcPr>
          <w:p w14:paraId="61017C9D" w14:textId="77777777" w:rsidR="009A6D19" w:rsidRPr="000A37FF" w:rsidRDefault="009A6D19" w:rsidP="009A6D19">
            <w:pPr>
              <w:jc w:val="right"/>
              <w:rPr>
                <w:rFonts w:cstheme="minorHAnsi"/>
                <w:b/>
              </w:rPr>
            </w:pPr>
            <w:r w:rsidRPr="000A37FF">
              <w:rPr>
                <w:rFonts w:cstheme="minorHAnsi"/>
                <w:b/>
              </w:rPr>
              <w:t>1,147,000</w:t>
            </w:r>
          </w:p>
        </w:tc>
        <w:tc>
          <w:tcPr>
            <w:tcW w:w="1276" w:type="dxa"/>
          </w:tcPr>
          <w:p w14:paraId="11167CFD" w14:textId="77777777" w:rsidR="009A6D19" w:rsidRPr="000A37FF" w:rsidRDefault="009A6D19" w:rsidP="009A6D19">
            <w:pPr>
              <w:jc w:val="right"/>
              <w:rPr>
                <w:rFonts w:cstheme="minorHAnsi"/>
                <w:b/>
              </w:rPr>
            </w:pPr>
            <w:r w:rsidRPr="000A37FF">
              <w:rPr>
                <w:rFonts w:cstheme="minorHAnsi"/>
                <w:b/>
              </w:rPr>
              <w:t>1,</w:t>
            </w:r>
            <w:r>
              <w:rPr>
                <w:rFonts w:cstheme="minorHAnsi"/>
                <w:b/>
              </w:rPr>
              <w:t>263</w:t>
            </w:r>
            <w:r w:rsidRPr="000A37FF">
              <w:rPr>
                <w:rFonts w:cstheme="minorHAnsi"/>
                <w:b/>
              </w:rPr>
              <w:t>,000</w:t>
            </w:r>
          </w:p>
        </w:tc>
      </w:tr>
    </w:tbl>
    <w:p w14:paraId="0714573F" w14:textId="77777777" w:rsidR="009A6D19" w:rsidRPr="000A37FF" w:rsidRDefault="009A6D19" w:rsidP="009A6D19">
      <w:pPr>
        <w:rPr>
          <w:rFonts w:cstheme="minorHAnsi"/>
          <w:b/>
        </w:rPr>
      </w:pPr>
    </w:p>
    <w:p w14:paraId="289007C8" w14:textId="4634D104" w:rsidR="009A6D19" w:rsidRDefault="009A6D19">
      <w:pPr>
        <w:rPr>
          <w:b/>
          <w:bCs/>
          <w:sz w:val="24"/>
          <w:lang w:val="fr-CH"/>
        </w:rPr>
      </w:pPr>
      <w:r>
        <w:rPr>
          <w:b/>
          <w:bCs/>
          <w:sz w:val="24"/>
          <w:lang w:val="fr-CH"/>
        </w:rPr>
        <w:br w:type="page"/>
      </w:r>
    </w:p>
    <w:p w14:paraId="73436430" w14:textId="77777777" w:rsidR="009A6D19" w:rsidRDefault="009A6D19" w:rsidP="009A6D19">
      <w:pPr>
        <w:pStyle w:val="EndnoteText"/>
        <w:jc w:val="center"/>
        <w:rPr>
          <w:b/>
          <w:bCs/>
          <w:sz w:val="24"/>
          <w:szCs w:val="24"/>
          <w:lang w:val="fr-CH"/>
        </w:rPr>
      </w:pPr>
    </w:p>
    <w:p w14:paraId="38874299" w14:textId="77777777" w:rsidR="009A6D19" w:rsidRPr="00910891" w:rsidRDefault="009A6D19" w:rsidP="009A6D19">
      <w:pPr>
        <w:pStyle w:val="EndnoteText"/>
        <w:jc w:val="center"/>
        <w:rPr>
          <w:b/>
          <w:bCs/>
          <w:sz w:val="24"/>
          <w:szCs w:val="24"/>
          <w:lang w:val="fr-CH"/>
        </w:rPr>
      </w:pPr>
      <w:r w:rsidRPr="00910891">
        <w:rPr>
          <w:b/>
          <w:bCs/>
          <w:sz w:val="24"/>
          <w:szCs w:val="24"/>
          <w:lang w:val="fr-CH"/>
        </w:rPr>
        <w:t xml:space="preserve">Annex </w:t>
      </w:r>
      <w:r>
        <w:rPr>
          <w:b/>
          <w:bCs/>
          <w:sz w:val="24"/>
          <w:szCs w:val="24"/>
          <w:lang w:val="fr-CH"/>
        </w:rPr>
        <w:t>A</w:t>
      </w:r>
    </w:p>
    <w:p w14:paraId="3812B13D" w14:textId="77777777" w:rsidR="009A6D19" w:rsidRDefault="009A6D19" w:rsidP="009A6D19">
      <w:pPr>
        <w:pStyle w:val="EndnoteText"/>
        <w:rPr>
          <w:lang w:val="fr-CH"/>
        </w:rPr>
      </w:pPr>
    </w:p>
    <w:p w14:paraId="402639D7" w14:textId="77777777" w:rsidR="009A6D19" w:rsidRPr="00910891" w:rsidRDefault="009A6D19" w:rsidP="009A6D19">
      <w:pPr>
        <w:pStyle w:val="EndnoteText"/>
        <w:jc w:val="center"/>
        <w:rPr>
          <w:b/>
          <w:bCs/>
          <w:sz w:val="22"/>
          <w:szCs w:val="22"/>
          <w:lang w:val="fr-CH"/>
        </w:rPr>
      </w:pPr>
      <w:r w:rsidRPr="00910891">
        <w:rPr>
          <w:b/>
          <w:bCs/>
          <w:sz w:val="22"/>
          <w:szCs w:val="22"/>
          <w:lang w:val="fr-CH"/>
        </w:rPr>
        <w:t>Job Descriptions</w:t>
      </w:r>
    </w:p>
    <w:p w14:paraId="1585CE4A" w14:textId="77777777" w:rsidR="009A6D19" w:rsidRDefault="009A6D19" w:rsidP="009A6D19">
      <w:pPr>
        <w:pStyle w:val="EndnoteText"/>
        <w:rPr>
          <w:lang w:val="fr-CH"/>
        </w:rPr>
      </w:pPr>
    </w:p>
    <w:p w14:paraId="4947B6E9" w14:textId="77777777" w:rsidR="009A6D19" w:rsidRPr="00910891" w:rsidRDefault="009A6D19" w:rsidP="009A6D19">
      <w:pPr>
        <w:pStyle w:val="xmsonormal"/>
        <w:shd w:val="clear" w:color="auto" w:fill="FFFFFF"/>
        <w:spacing w:before="0" w:beforeAutospacing="0" w:after="0" w:afterAutospacing="0"/>
        <w:rPr>
          <w:rFonts w:asciiTheme="minorHAnsi" w:hAnsiTheme="minorHAnsi" w:cstheme="minorHAnsi"/>
          <w:color w:val="201F1E"/>
        </w:rPr>
      </w:pPr>
      <w:r w:rsidRPr="00910891">
        <w:rPr>
          <w:rFonts w:asciiTheme="minorHAnsi" w:hAnsiTheme="minorHAnsi" w:cstheme="minorHAnsi"/>
          <w:b/>
          <w:bCs/>
          <w:color w:val="201F1E"/>
          <w:sz w:val="22"/>
          <w:szCs w:val="22"/>
          <w:u w:val="single"/>
          <w:bdr w:val="none" w:sz="0" w:space="0" w:color="auto" w:frame="1"/>
        </w:rPr>
        <w:t>ePhyto Program Manager:</w:t>
      </w:r>
    </w:p>
    <w:p w14:paraId="5F40F42A" w14:textId="77777777" w:rsidR="009A6D19" w:rsidRPr="00910891" w:rsidRDefault="009A6D19" w:rsidP="009A6D19">
      <w:pPr>
        <w:pStyle w:val="xmsonormal"/>
        <w:shd w:val="clear" w:color="auto" w:fill="FFFFFF"/>
        <w:spacing w:before="0" w:beforeAutospacing="0" w:after="0" w:afterAutospacing="0"/>
        <w:rPr>
          <w:rFonts w:asciiTheme="minorHAnsi" w:hAnsiTheme="minorHAnsi" w:cstheme="minorHAnsi"/>
          <w:color w:val="201F1E"/>
        </w:rPr>
      </w:pPr>
      <w:r w:rsidRPr="00910891">
        <w:rPr>
          <w:rFonts w:asciiTheme="minorHAnsi" w:hAnsiTheme="minorHAnsi" w:cstheme="minorHAnsi"/>
          <w:color w:val="201F1E"/>
          <w:sz w:val="22"/>
          <w:szCs w:val="22"/>
          <w:bdr w:val="none" w:sz="0" w:space="0" w:color="auto" w:frame="1"/>
        </w:rPr>
        <w:t> </w:t>
      </w:r>
    </w:p>
    <w:p w14:paraId="59E3E232" w14:textId="77777777" w:rsidR="009A6D19" w:rsidRPr="007F4FAB" w:rsidRDefault="009A6D19" w:rsidP="009A6D19">
      <w:pPr>
        <w:pStyle w:val="xmsonormal"/>
        <w:shd w:val="clear" w:color="auto" w:fill="FFFFFF"/>
        <w:spacing w:before="0" w:beforeAutospacing="0" w:after="0" w:afterAutospacing="0"/>
        <w:rPr>
          <w:color w:val="201F1E"/>
          <w:sz w:val="22"/>
          <w:szCs w:val="22"/>
          <w:bdr w:val="none" w:sz="0" w:space="0" w:color="auto" w:frame="1"/>
        </w:rPr>
      </w:pPr>
      <w:r w:rsidRPr="007F4FAB">
        <w:rPr>
          <w:color w:val="201F1E"/>
          <w:sz w:val="22"/>
          <w:szCs w:val="22"/>
          <w:bdr w:val="none" w:sz="0" w:space="0" w:color="auto" w:frame="1"/>
        </w:rPr>
        <w:t xml:space="preserve">The ePhyto Program Manager (ePM) is responsible for ensuring the smooth functioning of the IPPC ePhyto Solution, the IPPC “face” of the ePhyto Solution and problem solver for any issues, both technical and political, that may come up.  In this capacity, the ePM interacts with a variety of ePhyto stakeholders. These stakeholders include: 1) FAO and the IPPC contracting parties, 2) the ePhyto Steering Group (eSG) made up of seven FAO regional representatives with expertise in both plant health and electronic certification matters, 3) the United Nations International Computing Center which is the technical provider for the system, 4) the ePhyto Industry Advisory Group, an independent body of global industry organizations that provides support for the implementation of the system in various countries through webinars and workshops, among other things, 5) the Global Alliance for Trade Facilitation, the key implementation partner for the web-based GeNS part of the ePhyto Solution and proponent for the adoption of ePhyto in many countries around the world, 6) the World Bank, which provides support in connecting to various digital Customs systems in some developing countries around the world, and 7) the Electronic Certification Advisory Committee hosted by the WTO and STDF which serves to bring the many different certification bodies (SPS and others) together to discuss current activities and future outlooks.  </w:t>
      </w:r>
    </w:p>
    <w:p w14:paraId="16698A6F" w14:textId="77777777" w:rsidR="009A6D19" w:rsidRPr="007F4FAB" w:rsidRDefault="009A6D19" w:rsidP="009A6D19">
      <w:pPr>
        <w:pStyle w:val="xmsonormal"/>
        <w:shd w:val="clear" w:color="auto" w:fill="FFFFFF"/>
        <w:spacing w:before="0" w:beforeAutospacing="0" w:after="0" w:afterAutospacing="0"/>
        <w:rPr>
          <w:color w:val="201F1E"/>
          <w:sz w:val="22"/>
          <w:szCs w:val="22"/>
          <w:bdr w:val="none" w:sz="0" w:space="0" w:color="auto" w:frame="1"/>
        </w:rPr>
      </w:pPr>
    </w:p>
    <w:p w14:paraId="69F077DF" w14:textId="77777777" w:rsidR="009A6D19" w:rsidRPr="007F4FAB" w:rsidRDefault="009A6D19" w:rsidP="009A6D19">
      <w:pPr>
        <w:pStyle w:val="xmsonormal"/>
        <w:shd w:val="clear" w:color="auto" w:fill="FFFFFF"/>
        <w:spacing w:before="0" w:beforeAutospacing="0" w:after="0" w:afterAutospacing="0"/>
        <w:rPr>
          <w:color w:val="201F1E"/>
        </w:rPr>
      </w:pPr>
      <w:r w:rsidRPr="007F4FAB">
        <w:rPr>
          <w:color w:val="201F1E"/>
          <w:sz w:val="22"/>
          <w:szCs w:val="22"/>
          <w:bdr w:val="none" w:sz="0" w:space="0" w:color="auto" w:frame="1"/>
        </w:rPr>
        <w:t>The position requires a high level of tact, a forward-looking attitude for the digitalization of SPS certificates in general, an ability to be flexible and innovative, and a thorough knowledge of the abilities of the ePhyto system. </w:t>
      </w:r>
    </w:p>
    <w:p w14:paraId="4933A504" w14:textId="77777777" w:rsidR="009A6D19" w:rsidRPr="007F4FAB" w:rsidRDefault="009A6D19" w:rsidP="009A6D19">
      <w:pPr>
        <w:pStyle w:val="xmsonormal"/>
        <w:shd w:val="clear" w:color="auto" w:fill="FFFFFF"/>
        <w:spacing w:before="0" w:beforeAutospacing="0" w:after="0" w:afterAutospacing="0"/>
        <w:rPr>
          <w:color w:val="201F1E"/>
        </w:rPr>
      </w:pPr>
      <w:r w:rsidRPr="007F4FAB">
        <w:rPr>
          <w:color w:val="201F1E"/>
          <w:sz w:val="22"/>
          <w:szCs w:val="22"/>
          <w:bdr w:val="none" w:sz="0" w:space="0" w:color="auto" w:frame="1"/>
        </w:rPr>
        <w:t> </w:t>
      </w:r>
    </w:p>
    <w:p w14:paraId="5D4E5FB8" w14:textId="77777777" w:rsidR="009A6D19" w:rsidRPr="00910891" w:rsidRDefault="009A6D19" w:rsidP="009A6D19">
      <w:pPr>
        <w:pStyle w:val="xmsonormal"/>
        <w:shd w:val="clear" w:color="auto" w:fill="FFFFFF"/>
        <w:spacing w:before="0" w:beforeAutospacing="0" w:after="0" w:afterAutospacing="0"/>
        <w:rPr>
          <w:rFonts w:asciiTheme="minorHAnsi" w:hAnsiTheme="minorHAnsi" w:cstheme="minorHAnsi"/>
          <w:color w:val="201F1E"/>
        </w:rPr>
      </w:pPr>
      <w:r w:rsidRPr="00910891">
        <w:rPr>
          <w:rFonts w:asciiTheme="minorHAnsi" w:hAnsiTheme="minorHAnsi" w:cstheme="minorHAnsi"/>
          <w:b/>
          <w:bCs/>
          <w:color w:val="201F1E"/>
          <w:sz w:val="22"/>
          <w:szCs w:val="22"/>
          <w:u w:val="single"/>
          <w:bdr w:val="none" w:sz="0" w:space="0" w:color="auto" w:frame="1"/>
        </w:rPr>
        <w:t>ePhyto Program Assistant:</w:t>
      </w:r>
    </w:p>
    <w:p w14:paraId="22BB0ACF" w14:textId="77777777" w:rsidR="009A6D19" w:rsidRPr="00910891" w:rsidRDefault="009A6D19" w:rsidP="009A6D19">
      <w:pPr>
        <w:pStyle w:val="xmsonormal"/>
        <w:shd w:val="clear" w:color="auto" w:fill="FFFFFF"/>
        <w:spacing w:before="0" w:beforeAutospacing="0" w:after="0" w:afterAutospacing="0"/>
        <w:rPr>
          <w:rFonts w:asciiTheme="minorHAnsi" w:hAnsiTheme="minorHAnsi" w:cstheme="minorHAnsi"/>
          <w:color w:val="201F1E"/>
        </w:rPr>
      </w:pPr>
      <w:r w:rsidRPr="00910891">
        <w:rPr>
          <w:rFonts w:asciiTheme="minorHAnsi" w:hAnsiTheme="minorHAnsi" w:cstheme="minorHAnsi"/>
          <w:color w:val="201F1E"/>
          <w:sz w:val="22"/>
          <w:szCs w:val="22"/>
          <w:bdr w:val="none" w:sz="0" w:space="0" w:color="auto" w:frame="1"/>
        </w:rPr>
        <w:t> </w:t>
      </w:r>
    </w:p>
    <w:p w14:paraId="7C9A6F6D" w14:textId="77777777" w:rsidR="009A6D19" w:rsidRPr="007F4FAB" w:rsidRDefault="009A6D19" w:rsidP="009A6D19">
      <w:pPr>
        <w:pStyle w:val="xmsonormal"/>
        <w:shd w:val="clear" w:color="auto" w:fill="FFFFFF"/>
        <w:spacing w:before="0" w:beforeAutospacing="0" w:after="0" w:afterAutospacing="0"/>
        <w:rPr>
          <w:color w:val="201F1E"/>
        </w:rPr>
      </w:pPr>
      <w:r w:rsidRPr="007F4FAB">
        <w:rPr>
          <w:color w:val="201F1E"/>
          <w:sz w:val="22"/>
          <w:szCs w:val="22"/>
          <w:bdr w:val="none" w:sz="0" w:space="0" w:color="auto" w:frame="1"/>
        </w:rPr>
        <w:t>The ePhyto Program Assistant supports the program manager in the above activities through helping to draft meeting reports, setting up and keeping track of meetings, having a thorough knowledge of program activities and acting as a de facto deputy when needed in the absence of the ePhyto Program Manager.</w:t>
      </w:r>
    </w:p>
    <w:p w14:paraId="3263B792" w14:textId="77777777" w:rsidR="009A6D19" w:rsidRPr="007F4FAB" w:rsidRDefault="009A6D19" w:rsidP="009A6D19">
      <w:pPr>
        <w:rPr>
          <w:bCs/>
          <w:color w:val="000000" w:themeColor="text1"/>
        </w:rPr>
      </w:pPr>
    </w:p>
    <w:p w14:paraId="4150B4BE" w14:textId="3922A965" w:rsidR="000125C6" w:rsidRPr="007F4FAB" w:rsidRDefault="000125C6" w:rsidP="000125C6">
      <w:pPr>
        <w:rPr>
          <w:lang w:val="en-NZ"/>
        </w:rPr>
      </w:pPr>
    </w:p>
    <w:p w14:paraId="01C955D9" w14:textId="77777777" w:rsidR="00553AF8" w:rsidRPr="007F4FAB" w:rsidRDefault="00553AF8" w:rsidP="000125C6">
      <w:pPr>
        <w:rPr>
          <w:lang w:val="en-NZ"/>
        </w:rPr>
      </w:pPr>
    </w:p>
    <w:p w14:paraId="6D363009" w14:textId="5F4A52A0" w:rsidR="000125C6" w:rsidRPr="000125C6" w:rsidRDefault="000125C6" w:rsidP="000125C6">
      <w:pPr>
        <w:rPr>
          <w:lang w:val="en-NZ"/>
        </w:rPr>
        <w:sectPr w:rsidR="000125C6" w:rsidRPr="000125C6">
          <w:headerReference w:type="default" r:id="rId21"/>
          <w:pgSz w:w="12240" w:h="15840"/>
          <w:pgMar w:top="1440" w:right="1440" w:bottom="1440" w:left="1440" w:header="720" w:footer="720" w:gutter="0"/>
          <w:cols w:space="720"/>
          <w:docGrid w:linePitch="360"/>
        </w:sectPr>
      </w:pPr>
    </w:p>
    <w:p w14:paraId="41A317A1" w14:textId="400DD1CB" w:rsidR="00C0041C" w:rsidRDefault="00A97E74" w:rsidP="00A97E74">
      <w:pPr>
        <w:pStyle w:val="Heading2"/>
        <w:rPr>
          <w:lang w:val="en-NZ"/>
        </w:rPr>
      </w:pPr>
      <w:r>
        <w:rPr>
          <w:lang w:val="en-NZ"/>
        </w:rPr>
        <w:lastRenderedPageBreak/>
        <w:t>Options from CPM 15</w:t>
      </w:r>
    </w:p>
    <w:p w14:paraId="1051E32C" w14:textId="6739976B" w:rsidR="00A97E74" w:rsidRPr="007F4FAB" w:rsidRDefault="00A97E74" w:rsidP="00A97E74">
      <w:pPr>
        <w:pStyle w:val="ListParagraph"/>
        <w:numPr>
          <w:ilvl w:val="0"/>
          <w:numId w:val="17"/>
        </w:numPr>
        <w:ind w:left="1240"/>
        <w:rPr>
          <w:rFonts w:ascii="Times New Roman" w:hAnsi="Times New Roman"/>
          <w:sz w:val="22"/>
          <w:szCs w:val="22"/>
          <w:lang w:val="en-NZ"/>
        </w:rPr>
      </w:pPr>
      <w:r w:rsidRPr="007F4FAB">
        <w:rPr>
          <w:rFonts w:ascii="Times New Roman" w:hAnsi="Times New Roman"/>
          <w:sz w:val="22"/>
          <w:szCs w:val="22"/>
          <w:lang w:val="en-NZ"/>
        </w:rPr>
        <w:t>Fixed charge per phytosanitary certificate payable to the IPPC Secretariat by the contracting part</w:t>
      </w:r>
      <w:r w:rsidR="001A63A5" w:rsidRPr="007F4FAB">
        <w:rPr>
          <w:rFonts w:ascii="Times New Roman" w:hAnsi="Times New Roman"/>
          <w:sz w:val="22"/>
          <w:szCs w:val="22"/>
          <w:lang w:val="en-NZ"/>
        </w:rPr>
        <w:t>y</w:t>
      </w:r>
      <w:r w:rsidRPr="007F4FAB">
        <w:rPr>
          <w:rFonts w:ascii="Times New Roman" w:hAnsi="Times New Roman"/>
          <w:sz w:val="22"/>
          <w:szCs w:val="22"/>
          <w:lang w:val="en-NZ"/>
        </w:rPr>
        <w:t xml:space="preserve"> for the maintenance and options of the system (from USD0.05 to USD1.00 per ePhyto)</w:t>
      </w:r>
      <w:r w:rsidRPr="007F4FAB">
        <w:rPr>
          <w:rFonts w:ascii="Times New Roman" w:hAnsi="Times New Roman"/>
          <w:sz w:val="22"/>
          <w:szCs w:val="22"/>
          <w:lang w:val="en-NZ"/>
        </w:rPr>
        <w:br/>
      </w:r>
      <w:r w:rsidRPr="007F4FAB">
        <w:rPr>
          <w:rFonts w:ascii="Times New Roman" w:hAnsi="Times New Roman"/>
          <w:b/>
          <w:bCs/>
          <w:sz w:val="22"/>
          <w:szCs w:val="22"/>
          <w:lang w:val="en-NZ"/>
        </w:rPr>
        <w:t xml:space="preserve">ePhyto FG comment: </w:t>
      </w:r>
      <w:r w:rsidRPr="007F4FAB">
        <w:rPr>
          <w:rFonts w:ascii="Times New Roman" w:hAnsi="Times New Roman"/>
          <w:sz w:val="22"/>
          <w:szCs w:val="22"/>
          <w:lang w:val="en-NZ"/>
        </w:rPr>
        <w:t>Does not meet accessibility or efficiency principle</w:t>
      </w:r>
      <w:r w:rsidR="001A63A5" w:rsidRPr="007F4FAB">
        <w:rPr>
          <w:rFonts w:ascii="Times New Roman" w:hAnsi="Times New Roman"/>
          <w:sz w:val="22"/>
          <w:szCs w:val="22"/>
          <w:lang w:val="en-NZ"/>
        </w:rPr>
        <w:t>s</w:t>
      </w:r>
      <w:r w:rsidRPr="007F4FAB">
        <w:rPr>
          <w:rFonts w:ascii="Times New Roman" w:hAnsi="Times New Roman"/>
          <w:sz w:val="22"/>
          <w:szCs w:val="22"/>
          <w:lang w:val="en-NZ"/>
        </w:rPr>
        <w:t xml:space="preserve">. Not considered further. </w:t>
      </w:r>
    </w:p>
    <w:p w14:paraId="45C468FF" w14:textId="7090D76C" w:rsidR="001A63A5" w:rsidRPr="007F4FAB" w:rsidRDefault="001A63A5" w:rsidP="001A63A5">
      <w:pPr>
        <w:pStyle w:val="ListParagraph"/>
        <w:ind w:left="880"/>
        <w:rPr>
          <w:rFonts w:ascii="Times New Roman" w:hAnsi="Times New Roman"/>
          <w:sz w:val="22"/>
          <w:szCs w:val="22"/>
          <w:lang w:val="en-NZ"/>
        </w:rPr>
      </w:pPr>
    </w:p>
    <w:p w14:paraId="3B37230F" w14:textId="109CE8AD" w:rsidR="00A97E74" w:rsidRPr="007F4FAB" w:rsidRDefault="001A63A5" w:rsidP="00F965A6">
      <w:pPr>
        <w:pStyle w:val="ListParagraph"/>
        <w:numPr>
          <w:ilvl w:val="0"/>
          <w:numId w:val="17"/>
        </w:numPr>
        <w:ind w:left="1240"/>
        <w:rPr>
          <w:rFonts w:ascii="Times New Roman" w:hAnsi="Times New Roman"/>
          <w:sz w:val="22"/>
          <w:szCs w:val="22"/>
          <w:lang w:val="en-NZ"/>
        </w:rPr>
      </w:pPr>
      <w:r w:rsidRPr="007F4FAB">
        <w:rPr>
          <w:rFonts w:ascii="Times New Roman" w:hAnsi="Times New Roman"/>
          <w:sz w:val="22"/>
          <w:szCs w:val="22"/>
          <w:lang w:val="en-NZ"/>
        </w:rPr>
        <w:t xml:space="preserve">Monthly fee: charged to contracting parties using the ePhyto Solution based on a number of factors such </w:t>
      </w:r>
      <w:r w:rsidR="007B40FC" w:rsidRPr="007F4FAB">
        <w:rPr>
          <w:rFonts w:ascii="Times New Roman" w:hAnsi="Times New Roman"/>
          <w:sz w:val="22"/>
          <w:szCs w:val="22"/>
          <w:lang w:val="en-NZ"/>
        </w:rPr>
        <w:t>a</w:t>
      </w:r>
      <w:r w:rsidRPr="007F4FAB">
        <w:rPr>
          <w:rFonts w:ascii="Times New Roman" w:hAnsi="Times New Roman"/>
          <w:sz w:val="22"/>
          <w:szCs w:val="22"/>
          <w:lang w:val="en-NZ"/>
        </w:rPr>
        <w:t>s country development status, gross national income, population, volume of use and the overall capacity to pay</w:t>
      </w:r>
      <w:r w:rsidRPr="007F4FAB">
        <w:rPr>
          <w:rFonts w:ascii="Times New Roman" w:hAnsi="Times New Roman"/>
          <w:sz w:val="22"/>
          <w:szCs w:val="22"/>
          <w:lang w:val="en-NZ"/>
        </w:rPr>
        <w:br/>
      </w:r>
      <w:r w:rsidRPr="007F4FAB">
        <w:rPr>
          <w:rFonts w:ascii="Times New Roman" w:hAnsi="Times New Roman"/>
          <w:b/>
          <w:bCs/>
          <w:sz w:val="22"/>
          <w:szCs w:val="22"/>
          <w:lang w:val="en-NZ"/>
        </w:rPr>
        <w:t xml:space="preserve">ePhyto FG comment: </w:t>
      </w:r>
      <w:r w:rsidRPr="007F4FAB">
        <w:rPr>
          <w:rFonts w:ascii="Times New Roman" w:hAnsi="Times New Roman"/>
          <w:sz w:val="22"/>
          <w:szCs w:val="22"/>
          <w:lang w:val="en-NZ"/>
        </w:rPr>
        <w:t xml:space="preserve">Very administratively complex with a high transaction cost. Does not meet the efficiency principle. Was discussed but not included as a final option. </w:t>
      </w:r>
    </w:p>
    <w:p w14:paraId="3124EC16" w14:textId="77777777" w:rsidR="001A63A5" w:rsidRPr="007F4FAB" w:rsidRDefault="001A63A5" w:rsidP="001A63A5">
      <w:pPr>
        <w:pStyle w:val="ListParagraph"/>
        <w:ind w:left="880"/>
        <w:rPr>
          <w:rFonts w:ascii="Times New Roman" w:hAnsi="Times New Roman"/>
          <w:sz w:val="22"/>
          <w:szCs w:val="22"/>
          <w:lang w:val="en-NZ"/>
        </w:rPr>
      </w:pPr>
    </w:p>
    <w:p w14:paraId="09377F8D" w14:textId="110A51F7" w:rsidR="001A63A5" w:rsidRPr="007F4FAB" w:rsidRDefault="001A63A5" w:rsidP="00F965A6">
      <w:pPr>
        <w:pStyle w:val="ListParagraph"/>
        <w:numPr>
          <w:ilvl w:val="0"/>
          <w:numId w:val="17"/>
        </w:numPr>
        <w:ind w:left="1240"/>
        <w:rPr>
          <w:rFonts w:ascii="Times New Roman" w:hAnsi="Times New Roman"/>
          <w:sz w:val="22"/>
          <w:szCs w:val="22"/>
          <w:lang w:val="en-NZ"/>
        </w:rPr>
      </w:pPr>
      <w:r w:rsidRPr="007F4FAB">
        <w:rPr>
          <w:rFonts w:ascii="Times New Roman" w:hAnsi="Times New Roman"/>
          <w:sz w:val="22"/>
          <w:szCs w:val="22"/>
          <w:lang w:val="en-NZ"/>
        </w:rPr>
        <w:t xml:space="preserve">Annual fee: charged to contracting parties using the ePhyto Solution based on a number of factors such </w:t>
      </w:r>
      <w:r w:rsidR="00C629B7" w:rsidRPr="007F4FAB">
        <w:rPr>
          <w:rFonts w:ascii="Times New Roman" w:hAnsi="Times New Roman"/>
          <w:sz w:val="22"/>
          <w:szCs w:val="22"/>
          <w:lang w:val="en-NZ"/>
        </w:rPr>
        <w:t>a</w:t>
      </w:r>
      <w:r w:rsidRPr="007F4FAB">
        <w:rPr>
          <w:rFonts w:ascii="Times New Roman" w:hAnsi="Times New Roman"/>
          <w:sz w:val="22"/>
          <w:szCs w:val="22"/>
          <w:lang w:val="en-NZ"/>
        </w:rPr>
        <w:t>s country development status, gross national income, population, volume of use and the overall capacity to pay</w:t>
      </w:r>
      <w:r w:rsidRPr="007F4FAB">
        <w:rPr>
          <w:rFonts w:ascii="Times New Roman" w:hAnsi="Times New Roman"/>
          <w:sz w:val="22"/>
          <w:szCs w:val="22"/>
          <w:lang w:val="en-NZ"/>
        </w:rPr>
        <w:br/>
      </w:r>
      <w:r w:rsidRPr="007F4FAB">
        <w:rPr>
          <w:rFonts w:ascii="Times New Roman" w:hAnsi="Times New Roman"/>
          <w:b/>
          <w:bCs/>
          <w:sz w:val="22"/>
          <w:szCs w:val="22"/>
          <w:lang w:val="en-NZ"/>
        </w:rPr>
        <w:t xml:space="preserve">ePhyto FG comment: </w:t>
      </w:r>
      <w:r w:rsidRPr="007F4FAB">
        <w:rPr>
          <w:rFonts w:ascii="Times New Roman" w:hAnsi="Times New Roman"/>
          <w:sz w:val="22"/>
          <w:szCs w:val="22"/>
          <w:lang w:val="en-NZ"/>
        </w:rPr>
        <w:t>Very administratively complex with a high transaction cost. Does not meet the efficiency principle. Was discussed but not included as a final option.</w:t>
      </w:r>
    </w:p>
    <w:p w14:paraId="031D9E12" w14:textId="77777777" w:rsidR="008B6700" w:rsidRPr="007F4FAB" w:rsidRDefault="008B6700" w:rsidP="008B6700">
      <w:pPr>
        <w:pStyle w:val="ListParagraph"/>
        <w:ind w:left="880"/>
        <w:rPr>
          <w:rFonts w:ascii="Times New Roman" w:hAnsi="Times New Roman"/>
          <w:sz w:val="22"/>
          <w:szCs w:val="22"/>
          <w:lang w:val="en-NZ"/>
        </w:rPr>
      </w:pPr>
    </w:p>
    <w:p w14:paraId="335947A0" w14:textId="19E3111B" w:rsidR="008B6700" w:rsidRPr="007F4FAB" w:rsidRDefault="008B6700" w:rsidP="00F965A6">
      <w:pPr>
        <w:pStyle w:val="ListParagraph"/>
        <w:numPr>
          <w:ilvl w:val="0"/>
          <w:numId w:val="17"/>
        </w:numPr>
        <w:ind w:left="1240"/>
        <w:rPr>
          <w:rFonts w:ascii="Times New Roman" w:hAnsi="Times New Roman"/>
          <w:sz w:val="22"/>
          <w:szCs w:val="22"/>
          <w:lang w:val="en-NZ"/>
        </w:rPr>
      </w:pPr>
      <w:r w:rsidRPr="007F4FAB">
        <w:rPr>
          <w:rFonts w:ascii="Times New Roman" w:hAnsi="Times New Roman"/>
          <w:sz w:val="22"/>
          <w:szCs w:val="22"/>
          <w:lang w:val="en-NZ"/>
        </w:rPr>
        <w:t>Multiyear voluntary contribution agreements from national governments, donor organisations and industry organisations (not individual firms).</w:t>
      </w:r>
      <w:r w:rsidRPr="007F4FAB">
        <w:rPr>
          <w:rFonts w:ascii="Times New Roman" w:hAnsi="Times New Roman"/>
          <w:sz w:val="22"/>
          <w:szCs w:val="22"/>
          <w:lang w:val="en-NZ"/>
        </w:rPr>
        <w:br/>
      </w:r>
      <w:r w:rsidRPr="007F4FAB">
        <w:rPr>
          <w:rFonts w:ascii="Times New Roman" w:hAnsi="Times New Roman"/>
          <w:b/>
          <w:bCs/>
          <w:sz w:val="22"/>
          <w:szCs w:val="22"/>
          <w:lang w:val="en-NZ"/>
        </w:rPr>
        <w:t>ePhtyo FG comment:</w:t>
      </w:r>
      <w:r w:rsidRPr="007F4FAB">
        <w:rPr>
          <w:rFonts w:ascii="Times New Roman" w:hAnsi="Times New Roman"/>
          <w:sz w:val="22"/>
          <w:szCs w:val="22"/>
          <w:lang w:val="en-NZ"/>
        </w:rPr>
        <w:t xml:space="preserve"> Very administratively complex. Would require significant effort to ensure donations keep coming ie may not be sustainable. Does not meet the beneficiary and efficiency principles and concern that could reduce the independence of the ePhyto Solution. </w:t>
      </w:r>
      <w:r w:rsidR="004875CE" w:rsidRPr="007F4FAB">
        <w:rPr>
          <w:rFonts w:ascii="Times New Roman" w:hAnsi="Times New Roman"/>
          <w:sz w:val="22"/>
          <w:szCs w:val="22"/>
          <w:lang w:val="en-NZ"/>
        </w:rPr>
        <w:t xml:space="preserve">Variations of this option were discussed but not included as a final option. </w:t>
      </w:r>
    </w:p>
    <w:p w14:paraId="134DF355" w14:textId="77777777" w:rsidR="004875CE" w:rsidRPr="007F4FAB" w:rsidRDefault="004875CE" w:rsidP="004875CE">
      <w:pPr>
        <w:pStyle w:val="ListParagraph"/>
        <w:ind w:left="880"/>
        <w:rPr>
          <w:rFonts w:ascii="Times New Roman" w:hAnsi="Times New Roman"/>
          <w:sz w:val="22"/>
          <w:szCs w:val="22"/>
          <w:lang w:val="en-NZ"/>
        </w:rPr>
      </w:pPr>
    </w:p>
    <w:p w14:paraId="3713F294" w14:textId="135EBE79" w:rsidR="004875CE" w:rsidRPr="007F4FAB" w:rsidRDefault="004875CE" w:rsidP="00F965A6">
      <w:pPr>
        <w:pStyle w:val="ListParagraph"/>
        <w:numPr>
          <w:ilvl w:val="0"/>
          <w:numId w:val="17"/>
        </w:numPr>
        <w:ind w:left="1240"/>
        <w:rPr>
          <w:rFonts w:ascii="Times New Roman" w:hAnsi="Times New Roman"/>
          <w:sz w:val="22"/>
          <w:szCs w:val="22"/>
          <w:lang w:val="en-NZ"/>
        </w:rPr>
      </w:pPr>
      <w:r w:rsidRPr="007F4FAB">
        <w:rPr>
          <w:rFonts w:ascii="Times New Roman" w:hAnsi="Times New Roman"/>
          <w:sz w:val="22"/>
          <w:szCs w:val="22"/>
          <w:lang w:val="en-NZ"/>
        </w:rPr>
        <w:t>FAO to cover all operation costs as a component of business as usual operations for the organisation.</w:t>
      </w:r>
      <w:r w:rsidRPr="007F4FAB">
        <w:rPr>
          <w:rFonts w:ascii="Times New Roman" w:hAnsi="Times New Roman"/>
          <w:sz w:val="22"/>
          <w:szCs w:val="22"/>
          <w:lang w:val="en-NZ"/>
        </w:rPr>
        <w:br/>
      </w:r>
      <w:r w:rsidRPr="007F4FAB">
        <w:rPr>
          <w:rFonts w:ascii="Times New Roman" w:hAnsi="Times New Roman"/>
          <w:b/>
          <w:bCs/>
          <w:sz w:val="22"/>
          <w:szCs w:val="22"/>
          <w:lang w:val="en-NZ"/>
        </w:rPr>
        <w:t xml:space="preserve">ePhtyo FG comment: </w:t>
      </w:r>
      <w:r w:rsidR="000D4216" w:rsidRPr="007F4FAB">
        <w:rPr>
          <w:rFonts w:ascii="Times New Roman" w:hAnsi="Times New Roman"/>
          <w:sz w:val="22"/>
          <w:szCs w:val="22"/>
          <w:lang w:val="en-NZ"/>
        </w:rPr>
        <w:t xml:space="preserve">This would meet a lot of the principles but would require significant effort by the Bureau </w:t>
      </w:r>
      <w:r w:rsidR="00A45DA8" w:rsidRPr="007F4FAB">
        <w:rPr>
          <w:rFonts w:ascii="Times New Roman" w:hAnsi="Times New Roman"/>
          <w:sz w:val="22"/>
          <w:szCs w:val="22"/>
          <w:lang w:val="en-NZ"/>
        </w:rPr>
        <w:t xml:space="preserve">and contracting parties </w:t>
      </w:r>
      <w:r w:rsidR="000D4216" w:rsidRPr="007F4FAB">
        <w:rPr>
          <w:rFonts w:ascii="Times New Roman" w:hAnsi="Times New Roman"/>
          <w:sz w:val="22"/>
          <w:szCs w:val="22"/>
          <w:lang w:val="en-NZ"/>
        </w:rPr>
        <w:t xml:space="preserve">to obtain agreement.  This has been included as an option. </w:t>
      </w:r>
    </w:p>
    <w:p w14:paraId="05D4CF16" w14:textId="77777777" w:rsidR="000D4216" w:rsidRPr="007F4FAB" w:rsidRDefault="000D4216" w:rsidP="000D4216">
      <w:pPr>
        <w:pStyle w:val="ListParagraph"/>
        <w:ind w:left="880"/>
        <w:rPr>
          <w:rFonts w:ascii="Times New Roman" w:hAnsi="Times New Roman"/>
          <w:sz w:val="22"/>
          <w:szCs w:val="22"/>
          <w:lang w:val="en-NZ"/>
        </w:rPr>
      </w:pPr>
    </w:p>
    <w:p w14:paraId="72000536" w14:textId="4BE6021D" w:rsidR="000D4216" w:rsidRPr="007F4FAB" w:rsidRDefault="000D4216" w:rsidP="00F965A6">
      <w:pPr>
        <w:pStyle w:val="ListParagraph"/>
        <w:numPr>
          <w:ilvl w:val="0"/>
          <w:numId w:val="17"/>
        </w:numPr>
        <w:ind w:left="1240"/>
        <w:rPr>
          <w:rFonts w:ascii="Times New Roman" w:hAnsi="Times New Roman"/>
          <w:sz w:val="22"/>
          <w:szCs w:val="22"/>
          <w:lang w:val="en-NZ"/>
        </w:rPr>
      </w:pPr>
      <w:r w:rsidRPr="007F4FAB">
        <w:rPr>
          <w:rFonts w:ascii="Times New Roman" w:hAnsi="Times New Roman"/>
          <w:sz w:val="22"/>
          <w:szCs w:val="22"/>
          <w:lang w:val="en-NZ"/>
        </w:rPr>
        <w:t>Access fee charges for blockchain companies and/or private industry to access the ePhyto channel services:</w:t>
      </w:r>
      <w:r w:rsidRPr="007F4FAB">
        <w:rPr>
          <w:rFonts w:ascii="Times New Roman" w:hAnsi="Times New Roman"/>
          <w:sz w:val="22"/>
          <w:szCs w:val="22"/>
          <w:lang w:val="en-NZ"/>
        </w:rPr>
        <w:br/>
      </w:r>
      <w:r w:rsidRPr="007F4FAB">
        <w:rPr>
          <w:rFonts w:ascii="Times New Roman" w:hAnsi="Times New Roman"/>
          <w:b/>
          <w:bCs/>
          <w:sz w:val="22"/>
          <w:szCs w:val="22"/>
          <w:lang w:val="en-NZ"/>
        </w:rPr>
        <w:t>ePhtyo FG comment:</w:t>
      </w:r>
      <w:r w:rsidRPr="007F4FAB">
        <w:rPr>
          <w:rFonts w:ascii="Times New Roman" w:hAnsi="Times New Roman"/>
          <w:sz w:val="22"/>
          <w:szCs w:val="22"/>
          <w:lang w:val="en-NZ"/>
        </w:rPr>
        <w:t xml:space="preserve"> This did not seem to be a viable option and was not discussed by the FG.</w:t>
      </w:r>
    </w:p>
    <w:p w14:paraId="62483703" w14:textId="77777777" w:rsidR="000D4216" w:rsidRPr="007F4FAB" w:rsidRDefault="000D4216" w:rsidP="000D4216">
      <w:pPr>
        <w:pStyle w:val="ListParagraph"/>
        <w:ind w:left="880"/>
        <w:rPr>
          <w:rFonts w:ascii="Times New Roman" w:hAnsi="Times New Roman"/>
          <w:sz w:val="22"/>
          <w:szCs w:val="22"/>
          <w:lang w:val="en-NZ"/>
        </w:rPr>
      </w:pPr>
    </w:p>
    <w:p w14:paraId="4EA0EF95" w14:textId="0D7AA70F" w:rsidR="002B5436" w:rsidRPr="007F4FAB" w:rsidRDefault="007C6B1E" w:rsidP="007F4FAB">
      <w:pPr>
        <w:pStyle w:val="ListParagraph"/>
        <w:numPr>
          <w:ilvl w:val="0"/>
          <w:numId w:val="17"/>
        </w:numPr>
        <w:ind w:left="1240"/>
        <w:jc w:val="left"/>
        <w:rPr>
          <w:rFonts w:ascii="Times New Roman" w:hAnsi="Times New Roman"/>
          <w:sz w:val="22"/>
          <w:szCs w:val="22"/>
          <w:lang w:val="en-NZ"/>
        </w:rPr>
      </w:pPr>
      <w:r w:rsidRPr="007F4FAB">
        <w:rPr>
          <w:rFonts w:ascii="Times New Roman" w:hAnsi="Times New Roman"/>
          <w:sz w:val="22"/>
          <w:szCs w:val="22"/>
          <w:lang w:val="en-NZ"/>
        </w:rPr>
        <w:t>Establishment</w:t>
      </w:r>
      <w:r w:rsidR="000D4216" w:rsidRPr="007F4FAB">
        <w:rPr>
          <w:rFonts w:ascii="Times New Roman" w:hAnsi="Times New Roman"/>
          <w:sz w:val="22"/>
          <w:szCs w:val="22"/>
          <w:lang w:val="en-NZ"/>
        </w:rPr>
        <w:t xml:space="preserve"> of a government / private sector consortium (including other international </w:t>
      </w:r>
      <w:r w:rsidRPr="007F4FAB">
        <w:rPr>
          <w:rFonts w:ascii="Times New Roman" w:hAnsi="Times New Roman"/>
          <w:sz w:val="22"/>
          <w:szCs w:val="22"/>
          <w:lang w:val="en-NZ"/>
        </w:rPr>
        <w:t>organisations</w:t>
      </w:r>
      <w:r w:rsidR="000D4216" w:rsidRPr="007F4FAB">
        <w:rPr>
          <w:rFonts w:ascii="Times New Roman" w:hAnsi="Times New Roman"/>
          <w:sz w:val="22"/>
          <w:szCs w:val="22"/>
          <w:lang w:val="en-NZ"/>
        </w:rPr>
        <w:t xml:space="preserve"> intere</w:t>
      </w:r>
      <w:r w:rsidRPr="007F4FAB">
        <w:rPr>
          <w:rFonts w:ascii="Times New Roman" w:hAnsi="Times New Roman"/>
          <w:sz w:val="22"/>
          <w:szCs w:val="22"/>
          <w:lang w:val="en-NZ"/>
        </w:rPr>
        <w:t>sted</w:t>
      </w:r>
      <w:r w:rsidR="000D4216" w:rsidRPr="007F4FAB">
        <w:rPr>
          <w:rFonts w:ascii="Times New Roman" w:hAnsi="Times New Roman"/>
          <w:sz w:val="22"/>
          <w:szCs w:val="22"/>
          <w:lang w:val="en-NZ"/>
        </w:rPr>
        <w:t xml:space="preserve"> in and/or participating in the Hub for </w:t>
      </w:r>
      <w:r w:rsidRPr="007F4FAB">
        <w:rPr>
          <w:rFonts w:ascii="Times New Roman" w:hAnsi="Times New Roman"/>
          <w:sz w:val="22"/>
          <w:szCs w:val="22"/>
          <w:lang w:val="en-NZ"/>
        </w:rPr>
        <w:t>exchanging</w:t>
      </w:r>
      <w:r w:rsidR="000D4216" w:rsidRPr="007F4FAB">
        <w:rPr>
          <w:rFonts w:ascii="Times New Roman" w:hAnsi="Times New Roman"/>
          <w:sz w:val="22"/>
          <w:szCs w:val="22"/>
          <w:lang w:val="en-NZ"/>
        </w:rPr>
        <w:t xml:space="preserve"> their certi</w:t>
      </w:r>
      <w:r w:rsidRPr="007F4FAB">
        <w:rPr>
          <w:rFonts w:ascii="Times New Roman" w:hAnsi="Times New Roman"/>
          <w:sz w:val="22"/>
          <w:szCs w:val="22"/>
          <w:lang w:val="en-NZ"/>
        </w:rPr>
        <w:t>ficates</w:t>
      </w:r>
      <w:r w:rsidR="000D4216" w:rsidRPr="007F4FAB">
        <w:rPr>
          <w:rFonts w:ascii="Times New Roman" w:hAnsi="Times New Roman"/>
          <w:sz w:val="22"/>
          <w:szCs w:val="22"/>
          <w:lang w:val="en-NZ"/>
        </w:rPr>
        <w:t>) which manages and develops a unique funding mechanism</w:t>
      </w:r>
      <w:r w:rsidRPr="007F4FAB">
        <w:rPr>
          <w:rFonts w:ascii="Times New Roman" w:hAnsi="Times New Roman"/>
          <w:sz w:val="22"/>
          <w:szCs w:val="22"/>
          <w:lang w:val="en-NZ"/>
        </w:rPr>
        <w:br/>
      </w:r>
      <w:r w:rsidR="002B5436" w:rsidRPr="007F4FAB">
        <w:rPr>
          <w:rFonts w:ascii="Times New Roman" w:hAnsi="Times New Roman"/>
          <w:b/>
          <w:bCs/>
          <w:sz w:val="22"/>
          <w:szCs w:val="22"/>
          <w:lang w:val="en-NZ"/>
        </w:rPr>
        <w:t>ePh</w:t>
      </w:r>
      <w:r w:rsidR="007F4FAB">
        <w:rPr>
          <w:rFonts w:ascii="Times New Roman" w:hAnsi="Times New Roman"/>
          <w:b/>
          <w:bCs/>
          <w:sz w:val="22"/>
          <w:szCs w:val="22"/>
          <w:lang w:val="en-NZ"/>
        </w:rPr>
        <w:t>yt</w:t>
      </w:r>
      <w:r w:rsidR="002B5436" w:rsidRPr="007F4FAB">
        <w:rPr>
          <w:rFonts w:ascii="Times New Roman" w:hAnsi="Times New Roman"/>
          <w:b/>
          <w:bCs/>
          <w:sz w:val="22"/>
          <w:szCs w:val="22"/>
          <w:lang w:val="en-NZ"/>
        </w:rPr>
        <w:t>o FG comment:</w:t>
      </w:r>
      <w:r w:rsidR="002B5436" w:rsidRPr="007F4FAB">
        <w:rPr>
          <w:rFonts w:ascii="Times New Roman" w:hAnsi="Times New Roman"/>
          <w:sz w:val="22"/>
          <w:szCs w:val="22"/>
          <w:lang w:val="en-NZ"/>
        </w:rPr>
        <w:t xml:space="preserve"> This did not seem to be a viable option and was not discussed by the FG.</w:t>
      </w:r>
    </w:p>
    <w:p w14:paraId="4DDC97C9" w14:textId="0936FAE5" w:rsidR="00B06235" w:rsidRPr="007F4FAB" w:rsidRDefault="00B06235" w:rsidP="00B06235">
      <w:pPr>
        <w:pStyle w:val="ListParagraph"/>
        <w:ind w:left="880"/>
        <w:rPr>
          <w:rFonts w:ascii="Times New Roman" w:hAnsi="Times New Roman"/>
          <w:sz w:val="22"/>
          <w:szCs w:val="22"/>
          <w:lang w:val="en-NZ"/>
        </w:rPr>
      </w:pPr>
    </w:p>
    <w:sectPr w:rsidR="00B06235" w:rsidRPr="007F4FAB">
      <w:head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om Butterly" w:date="2022-07-26T16:21:00Z" w:initials="TB">
    <w:p w14:paraId="40471D56" w14:textId="77777777" w:rsidR="009A6D19" w:rsidRDefault="009A6D19" w:rsidP="009A6D19">
      <w:pPr>
        <w:pStyle w:val="CommentText"/>
      </w:pPr>
      <w:r>
        <w:rPr>
          <w:rStyle w:val="CommentReference"/>
        </w:rPr>
        <w:annotationRef/>
      </w:r>
      <w:r>
        <w:rPr>
          <w:lang w:val="fr-CH"/>
        </w:rPr>
        <w:t>Please provide a breakdown of the costs estimates for both "Further Enhancements" and Inflation Adjustment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71D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A930F" w16cex:dateUtc="2022-07-26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471D56" w16cid:durableId="268A93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1F4A" w14:textId="77777777" w:rsidR="00725D46" w:rsidRDefault="00725D46" w:rsidP="0004782C">
      <w:r>
        <w:separator/>
      </w:r>
    </w:p>
  </w:endnote>
  <w:endnote w:type="continuationSeparator" w:id="0">
    <w:p w14:paraId="4EAB575E" w14:textId="77777777" w:rsidR="00725D46" w:rsidRDefault="00725D46" w:rsidP="0004782C">
      <w:r>
        <w:continuationSeparator/>
      </w:r>
    </w:p>
  </w:endnote>
  <w:endnote w:id="1">
    <w:p w14:paraId="1BEE75DF" w14:textId="77777777" w:rsidR="009A6D19" w:rsidRDefault="009A6D19" w:rsidP="009A6D19">
      <w:pPr>
        <w:pStyle w:val="EndnoteText"/>
      </w:pPr>
      <w:r>
        <w:rPr>
          <w:rStyle w:val="EndnoteReference"/>
        </w:rPr>
        <w:endnoteRef/>
      </w:r>
      <w:r>
        <w:t xml:space="preserve"> </w:t>
      </w:r>
      <w:hyperlink r:id="rId1" w:history="1">
        <w:r w:rsidRPr="00EF269E">
          <w:rPr>
            <w:rStyle w:val="Hyperlink"/>
          </w:rPr>
          <w:t>https://www.ephytoexchange.org/landing/</w:t>
        </w:r>
      </w:hyperlink>
    </w:p>
    <w:p w14:paraId="262CACFA" w14:textId="77777777" w:rsidR="009A6D19" w:rsidRPr="00DD36BD" w:rsidRDefault="009A6D19" w:rsidP="009A6D19">
      <w:pPr>
        <w:pStyle w:val="EndnoteText"/>
        <w:rPr>
          <w:lang w:val="fr-CH"/>
        </w:rPr>
      </w:pPr>
    </w:p>
  </w:endnote>
  <w:endnote w:id="2">
    <w:p w14:paraId="1AF4B8CE" w14:textId="77777777" w:rsidR="009A6D19" w:rsidRDefault="009A6D19" w:rsidP="009A6D19">
      <w:pPr>
        <w:pStyle w:val="EndnoteText"/>
        <w:rPr>
          <w:lang w:val="fr-CH"/>
        </w:rPr>
      </w:pPr>
      <w:r>
        <w:rPr>
          <w:rStyle w:val="EndnoteReference"/>
        </w:rPr>
        <w:endnoteRef/>
      </w:r>
      <w:r>
        <w:t xml:space="preserve"> </w:t>
      </w:r>
      <w:r>
        <w:rPr>
          <w:lang w:val="fr-CH"/>
        </w:rPr>
        <w:t>Xxxxxxxxxx</w:t>
      </w:r>
    </w:p>
    <w:p w14:paraId="39628357" w14:textId="77777777" w:rsidR="009A6D19" w:rsidRDefault="009A6D19" w:rsidP="009A6D19">
      <w:pPr>
        <w:pStyle w:val="EndnoteText"/>
        <w:jc w:val="center"/>
        <w:rPr>
          <w:b/>
          <w:bCs/>
          <w:sz w:val="24"/>
          <w:szCs w:val="24"/>
          <w:lang w:val="fr-CH"/>
        </w:rPr>
      </w:pPr>
    </w:p>
    <w:p w14:paraId="5E20C41B" w14:textId="2D5534E2" w:rsidR="009A6D19" w:rsidRPr="000022BC" w:rsidRDefault="009A6D19" w:rsidP="009A6D19">
      <w:pPr>
        <w:pStyle w:val="xmsonormal"/>
        <w:shd w:val="clear" w:color="auto" w:fill="FFFFFF"/>
        <w:spacing w:before="0" w:beforeAutospacing="0" w:after="0" w:afterAutospacing="0"/>
        <w:rPr>
          <w:rFonts w:asciiTheme="minorHAnsi" w:hAnsiTheme="minorHAnsi" w:cstheme="minorHAnsi"/>
          <w:color w:val="201F1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AB1B" w14:textId="77777777" w:rsidR="007F4FAB" w:rsidRDefault="007F4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66436"/>
      <w:docPartObj>
        <w:docPartGallery w:val="Page Numbers (Bottom of Page)"/>
        <w:docPartUnique/>
      </w:docPartObj>
    </w:sdtPr>
    <w:sdtEndPr>
      <w:rPr>
        <w:noProof/>
      </w:rPr>
    </w:sdtEndPr>
    <w:sdtContent>
      <w:p w14:paraId="068E7F6E" w14:textId="0022A40C" w:rsidR="004E0BF4" w:rsidRDefault="004E0BF4">
        <w:pPr>
          <w:pStyle w:val="Footer"/>
          <w:jc w:val="center"/>
        </w:pPr>
        <w:r>
          <w:fldChar w:fldCharType="begin"/>
        </w:r>
        <w:r>
          <w:instrText xml:space="preserve"> PAGE   \* MERGEFORMAT </w:instrText>
        </w:r>
        <w:r>
          <w:fldChar w:fldCharType="separate"/>
        </w:r>
        <w:r w:rsidR="008328F7">
          <w:rPr>
            <w:noProof/>
          </w:rPr>
          <w:t>14</w:t>
        </w:r>
        <w:r>
          <w:rPr>
            <w:noProof/>
          </w:rPr>
          <w:fldChar w:fldCharType="end"/>
        </w:r>
      </w:p>
    </w:sdtContent>
  </w:sdt>
  <w:p w14:paraId="1E48B653" w14:textId="77777777" w:rsidR="004E0BF4" w:rsidRDefault="004E0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55411"/>
      <w:docPartObj>
        <w:docPartGallery w:val="Page Numbers (Bottom of Page)"/>
        <w:docPartUnique/>
      </w:docPartObj>
    </w:sdtPr>
    <w:sdtEndPr>
      <w:rPr>
        <w:noProof/>
      </w:rPr>
    </w:sdtEndPr>
    <w:sdtContent>
      <w:p w14:paraId="6E6B8ACB" w14:textId="71A334A3" w:rsidR="004E0BF4" w:rsidRDefault="004E0BF4">
        <w:pPr>
          <w:pStyle w:val="Footer"/>
          <w:jc w:val="center"/>
        </w:pPr>
        <w:r>
          <w:fldChar w:fldCharType="begin"/>
        </w:r>
        <w:r>
          <w:instrText xml:space="preserve"> PAGE   \* MERGEFORMAT </w:instrText>
        </w:r>
        <w:r>
          <w:fldChar w:fldCharType="separate"/>
        </w:r>
        <w:r w:rsidR="008328F7">
          <w:rPr>
            <w:noProof/>
          </w:rPr>
          <w:t>1</w:t>
        </w:r>
        <w:r>
          <w:rPr>
            <w:noProof/>
          </w:rPr>
          <w:fldChar w:fldCharType="end"/>
        </w:r>
      </w:p>
    </w:sdtContent>
  </w:sdt>
  <w:p w14:paraId="71E161A2" w14:textId="77777777" w:rsidR="004E0BF4" w:rsidRDefault="004E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3AC0" w14:textId="77777777" w:rsidR="00725D46" w:rsidRDefault="00725D46" w:rsidP="0004782C">
      <w:r>
        <w:separator/>
      </w:r>
    </w:p>
  </w:footnote>
  <w:footnote w:type="continuationSeparator" w:id="0">
    <w:p w14:paraId="61BCDA5E" w14:textId="77777777" w:rsidR="00725D46" w:rsidRDefault="00725D46" w:rsidP="0004782C">
      <w:r>
        <w:continuationSeparator/>
      </w:r>
    </w:p>
  </w:footnote>
  <w:footnote w:id="1">
    <w:p w14:paraId="29E57BAC" w14:textId="77777777" w:rsidR="009A6D19" w:rsidRPr="00B93DBC" w:rsidRDefault="009A6D19" w:rsidP="004F420F">
      <w:pPr>
        <w:pStyle w:val="FootnoteText"/>
        <w:rPr>
          <w:lang w:val="en-NZ"/>
        </w:rPr>
      </w:pPr>
      <w:r>
        <w:rPr>
          <w:rStyle w:val="FootnoteReference"/>
        </w:rPr>
        <w:footnoteRef/>
      </w:r>
      <w:r>
        <w:t xml:space="preserve"> </w:t>
      </w:r>
      <w:hyperlink r:id="rId1" w:history="1">
        <w:r w:rsidRPr="00A025DA">
          <w:rPr>
            <w:color w:val="0000FF"/>
            <w:sz w:val="22"/>
            <w:szCs w:val="22"/>
            <w:u w:val="single"/>
            <w:lang w:val="en-US"/>
          </w:rPr>
          <w:t>31_CPM_2021_ePhytofunding-2021-01-29.pdf (ippc.int)</w:t>
        </w:r>
      </w:hyperlink>
    </w:p>
  </w:footnote>
  <w:footnote w:id="2">
    <w:p w14:paraId="2C77E900" w14:textId="36178ADE" w:rsidR="009A6D19" w:rsidRPr="00554977" w:rsidRDefault="009A6D19">
      <w:pPr>
        <w:pStyle w:val="FootnoteText"/>
      </w:pPr>
      <w:r>
        <w:rPr>
          <w:rStyle w:val="FootnoteReference"/>
        </w:rPr>
        <w:footnoteRef/>
      </w:r>
      <w:r>
        <w:t xml:space="preserve"> </w:t>
      </w:r>
      <w:hyperlink r:id="rId2" w:history="1">
        <w:r w:rsidRPr="00B76670">
          <w:rPr>
            <w:rStyle w:val="Hyperlink"/>
          </w:rPr>
          <w:t>https://datahelpdesk.worldbank.org/knowledgebase/articles/906519-world-bank-country-and-lending-groups</w:t>
        </w:r>
      </w:hyperlink>
      <w:r>
        <w:t xml:space="preserve"> </w:t>
      </w:r>
    </w:p>
  </w:footnote>
  <w:footnote w:id="3">
    <w:p w14:paraId="033D52D3" w14:textId="77777777" w:rsidR="009A6D19" w:rsidRPr="003B0B9E" w:rsidRDefault="009A6D19" w:rsidP="009A6D19">
      <w:pPr>
        <w:pStyle w:val="FootnoteText"/>
      </w:pPr>
      <w:r>
        <w:rPr>
          <w:rStyle w:val="FootnoteReference"/>
        </w:rPr>
        <w:footnoteRef/>
      </w:r>
      <w:r>
        <w:t xml:space="preserve"> </w:t>
      </w:r>
      <w:hyperlink r:id="rId3" w:history="1">
        <w:r w:rsidRPr="00B76670">
          <w:rPr>
            <w:rStyle w:val="Hyperlink"/>
          </w:rPr>
          <w:t>https://www.tradefacilitation.org/who-we-are/who-we-are/</w:t>
        </w:r>
      </w:hyperlink>
      <w:r>
        <w:t xml:space="preserve"> </w:t>
      </w:r>
    </w:p>
  </w:footnote>
  <w:footnote w:id="4">
    <w:p w14:paraId="629F0F50" w14:textId="77777777" w:rsidR="009A6D19" w:rsidRPr="0028662E" w:rsidRDefault="009A6D19" w:rsidP="009A6D19">
      <w:pPr>
        <w:pStyle w:val="FootnoteText"/>
      </w:pPr>
      <w:r>
        <w:rPr>
          <w:rStyle w:val="FootnoteReference"/>
        </w:rPr>
        <w:footnoteRef/>
      </w:r>
      <w:r>
        <w:t xml:space="preserve"> </w:t>
      </w:r>
      <w:hyperlink r:id="rId4" w:history="1">
        <w:r w:rsidRPr="00B76670">
          <w:rPr>
            <w:rStyle w:val="Hyperlink"/>
          </w:rPr>
          <w:t>https://www.tradefacilitation.org/article/international-organisations-formalise-trade-facilitation-partnership/</w:t>
        </w:r>
      </w:hyperlink>
      <w:r>
        <w:t xml:space="preserve"> </w:t>
      </w:r>
    </w:p>
  </w:footnote>
  <w:footnote w:id="5">
    <w:p w14:paraId="0B1B65C8" w14:textId="77777777" w:rsidR="009A6D19" w:rsidRPr="0028662E" w:rsidRDefault="009A6D19" w:rsidP="009A6D19">
      <w:pPr>
        <w:pStyle w:val="FootnoteText"/>
      </w:pPr>
      <w:r>
        <w:rPr>
          <w:rStyle w:val="FootnoteReference"/>
        </w:rPr>
        <w:footnoteRef/>
      </w:r>
      <w:r>
        <w:t xml:space="preserve"> </w:t>
      </w:r>
      <w:hyperlink r:id="rId5" w:history="1">
        <w:r w:rsidRPr="00B76670">
          <w:rPr>
            <w:rStyle w:val="Hyperlink"/>
          </w:rPr>
          <w:t>https://www.tradefacilitation.org/projects-modernising-agricultural-trade/</w:t>
        </w:r>
      </w:hyperlink>
      <w:r>
        <w:t xml:space="preserve"> </w:t>
      </w:r>
    </w:p>
  </w:footnote>
  <w:footnote w:id="6">
    <w:p w14:paraId="351C5B7C" w14:textId="77777777" w:rsidR="009A6D19" w:rsidRPr="000B1848" w:rsidRDefault="009A6D19" w:rsidP="009A6D19">
      <w:pPr>
        <w:pStyle w:val="FootnoteText"/>
      </w:pPr>
      <w:r>
        <w:rPr>
          <w:rStyle w:val="FootnoteReference"/>
        </w:rPr>
        <w:footnoteRef/>
      </w:r>
      <w:r>
        <w:t xml:space="preserve"> 20</w:t>
      </w:r>
      <w:r w:rsidRPr="008D368D">
        <w:t xml:space="preserve"> days at FAO Consultancy R</w:t>
      </w:r>
      <w:r>
        <w:t>a</w:t>
      </w:r>
      <w:r w:rsidRPr="008D368D">
        <w:t xml:space="preserve">te of </w:t>
      </w:r>
      <w:r>
        <w:t>$</w:t>
      </w:r>
      <w:r w:rsidRPr="008D368D">
        <w:t>6</w:t>
      </w:r>
      <w:r>
        <w:t>0</w:t>
      </w:r>
      <w:r w:rsidRPr="008D368D">
        <w:t xml:space="preserve">0 per day, plus </w:t>
      </w:r>
      <w:r>
        <w:t xml:space="preserve">two return </w:t>
      </w:r>
      <w:r w:rsidRPr="008D368D">
        <w:t>flight</w:t>
      </w:r>
      <w:r>
        <w:t>s</w:t>
      </w:r>
      <w:r w:rsidRPr="008D368D">
        <w:t xml:space="preserve"> estimated at an average of </w:t>
      </w:r>
      <w:r>
        <w:t>$2</w:t>
      </w:r>
      <w:r w:rsidRPr="008D368D">
        <w:t>,</w:t>
      </w:r>
      <w:r>
        <w:t>0</w:t>
      </w:r>
      <w:r w:rsidRPr="008D368D">
        <w:t>00</w:t>
      </w:r>
      <w:r>
        <w:t xml:space="preserve"> each</w:t>
      </w:r>
      <w:r w:rsidRPr="008D368D">
        <w:t xml:space="preserve">, plus </w:t>
      </w:r>
      <w:r>
        <w:t>20</w:t>
      </w:r>
      <w:r w:rsidRPr="008D368D">
        <w:t xml:space="preserve"> days DSA estimated at </w:t>
      </w:r>
      <w:r>
        <w:t>$</w:t>
      </w:r>
      <w:r w:rsidRPr="008D368D">
        <w:t xml:space="preserve"> 2</w:t>
      </w:r>
      <w:r>
        <w:t>0</w:t>
      </w:r>
      <w:r w:rsidRPr="008D368D">
        <w:t xml:space="preserve">0 per day. Total </w:t>
      </w:r>
      <w:r>
        <w:t>$20,0</w:t>
      </w:r>
      <w:r w:rsidRPr="008D368D">
        <w:t>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31F8" w14:textId="77777777" w:rsidR="007F4FAB" w:rsidRDefault="007F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437600"/>
      <w:docPartObj>
        <w:docPartGallery w:val="Watermarks"/>
        <w:docPartUnique/>
      </w:docPartObj>
    </w:sdtPr>
    <w:sdtEndPr/>
    <w:sdtContent>
      <w:p w14:paraId="6AAD07CD" w14:textId="673E6DF6" w:rsidR="009A6D19" w:rsidRDefault="008328F7">
        <w:pPr>
          <w:pStyle w:val="Header"/>
        </w:pPr>
        <w:r>
          <w:rPr>
            <w:noProof/>
          </w:rPr>
          <w:pict w14:anchorId="6EC42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33EC" w14:textId="1313E250" w:rsidR="005D1B37" w:rsidRPr="009505E3" w:rsidRDefault="005D1B37" w:rsidP="007F4FAB">
    <w:pPr>
      <w:pStyle w:val="IPPHeader"/>
      <w:tabs>
        <w:tab w:val="clear" w:pos="1134"/>
        <w:tab w:val="clear" w:pos="9072"/>
        <w:tab w:val="left" w:pos="990"/>
        <w:tab w:val="right" w:pos="9360"/>
      </w:tabs>
      <w:rPr>
        <w:rFonts w:cs="Arial"/>
        <w:szCs w:val="18"/>
        <w:lang w:val="fr-FR"/>
      </w:rPr>
    </w:pPr>
    <w:r w:rsidRPr="009F29BB">
      <w:rPr>
        <w:rFonts w:cs="Arial"/>
        <w:noProof/>
        <w:szCs w:val="18"/>
      </w:rPr>
      <w:drawing>
        <wp:anchor distT="0" distB="0" distL="114300" distR="114300" simplePos="0" relativeHeight="251665920" behindDoc="0" locked="0" layoutInCell="1" allowOverlap="1" wp14:anchorId="39F6CFBC" wp14:editId="6A886302">
          <wp:simplePos x="0" y="0"/>
          <wp:positionH relativeFrom="column">
            <wp:posOffset>-165792</wp:posOffset>
          </wp:positionH>
          <wp:positionV relativeFrom="paragraph">
            <wp:posOffset>-34001</wp:posOffset>
          </wp:positionV>
          <wp:extent cx="632460" cy="324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0" wp14:anchorId="36EC6E41" wp14:editId="01B75689">
          <wp:simplePos x="0" y="0"/>
          <wp:positionH relativeFrom="page">
            <wp:align>left</wp:align>
          </wp:positionH>
          <wp:positionV relativeFrom="paragraph">
            <wp:posOffset>-540327</wp:posOffset>
          </wp:positionV>
          <wp:extent cx="777240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5083" cy="46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F91">
      <w:rPr>
        <w:rFonts w:cs="Arial"/>
        <w:szCs w:val="18"/>
        <w:lang w:val="fr-FR"/>
      </w:rPr>
      <w:tab/>
      <w:t>International Plant Protection Convention</w:t>
    </w:r>
    <w:r w:rsidRPr="00D45F91">
      <w:rPr>
        <w:rFonts w:cs="Arial"/>
        <w:szCs w:val="18"/>
        <w:lang w:val="fr-FR"/>
      </w:rPr>
      <w:tab/>
    </w:r>
    <w:r>
      <w:t>09_SPG_2022_Oct</w:t>
    </w:r>
    <w:r w:rsidRPr="00D45F91">
      <w:rPr>
        <w:rFonts w:cs="Arial"/>
        <w:szCs w:val="18"/>
        <w:lang w:val="fr-FR"/>
      </w:rPr>
      <w:t xml:space="preserve"> </w:t>
    </w:r>
    <w:r w:rsidRPr="00D45F91">
      <w:rPr>
        <w:rFonts w:cs="Arial"/>
        <w:szCs w:val="18"/>
        <w:lang w:val="fr-FR"/>
      </w:rPr>
      <w:br/>
    </w:r>
    <w:bookmarkStart w:id="1" w:name="_GoBack"/>
    <w:r>
      <w:rPr>
        <w:rFonts w:cs="Arial"/>
        <w:i/>
        <w:iCs/>
        <w:szCs w:val="18"/>
        <w:lang w:val="fr-FR"/>
      </w:rPr>
      <w:t>Sustainable funding</w:t>
    </w:r>
    <w:r w:rsidR="008328F7">
      <w:rPr>
        <w:rFonts w:cs="Arial"/>
        <w:i/>
        <w:iCs/>
        <w:szCs w:val="18"/>
        <w:lang w:val="fr-FR"/>
      </w:rPr>
      <w:t xml:space="preserve"> of</w:t>
    </w:r>
    <w:r>
      <w:rPr>
        <w:rFonts w:cs="Arial"/>
        <w:i/>
        <w:iCs/>
        <w:szCs w:val="18"/>
        <w:lang w:val="fr-FR"/>
      </w:rPr>
      <w:t xml:space="preserve"> ePhyto solution</w:t>
    </w:r>
    <w:bookmarkEnd w:id="1"/>
    <w:r w:rsidRPr="00D45F91">
      <w:rPr>
        <w:rFonts w:cs="Arial"/>
        <w:i/>
        <w:iCs/>
        <w:szCs w:val="18"/>
        <w:lang w:val="fr-FR"/>
      </w:rPr>
      <w:tab/>
      <w:t>Agenda item: 0</w:t>
    </w:r>
    <w:r>
      <w:rPr>
        <w:rFonts w:cs="Arial"/>
        <w:i/>
        <w:iCs/>
        <w:szCs w:val="18"/>
        <w:lang w:val="fr-FR"/>
      </w:rPr>
      <w:t>5</w:t>
    </w:r>
    <w:r w:rsidRPr="00D45F91">
      <w:rPr>
        <w:rFonts w:cs="Arial"/>
        <w:i/>
        <w:iCs/>
        <w:szCs w:val="18"/>
        <w:lang w:val="fr-FR"/>
      </w:rPr>
      <w:t>.</w:t>
    </w:r>
    <w:r>
      <w:rPr>
        <w:rFonts w:cs="Arial"/>
        <w:i/>
        <w:iCs/>
        <w:szCs w:val="18"/>
        <w:lang w:val="fr-FR"/>
      </w:rPr>
      <w:t>4</w:t>
    </w:r>
  </w:p>
  <w:p w14:paraId="476676AD" w14:textId="77777777" w:rsidR="005D1B37" w:rsidRPr="005D1B37" w:rsidRDefault="005D1B37">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B302" w14:textId="70F30B76" w:rsidR="009A6D19" w:rsidRDefault="009A6D19">
    <w:pPr>
      <w:pStyle w:val="Header"/>
    </w:pPr>
    <w:r>
      <w:t xml:space="preserve">Annex 1: Cost estimates for ePhyto solutions </w:t>
    </w:r>
    <w:sdt>
      <w:sdtPr>
        <w:id w:val="-720745943"/>
        <w:docPartObj>
          <w:docPartGallery w:val="Watermarks"/>
          <w:docPartUnique/>
        </w:docPartObj>
      </w:sdtPr>
      <w:sdtEndPr/>
      <w:sdtContent>
        <w:r>
          <w:rPr>
            <w:noProof/>
            <w:lang w:val="en-US"/>
          </w:rPr>
          <mc:AlternateContent>
            <mc:Choice Requires="wps">
              <w:drawing>
                <wp:anchor distT="0" distB="0" distL="114300" distR="114300" simplePos="0" relativeHeight="251659776" behindDoc="1" locked="0" layoutInCell="0" allowOverlap="1" wp14:anchorId="45445BE1" wp14:editId="50B7B25E">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60DA11" w14:textId="77777777" w:rsidR="009A6D19" w:rsidRDefault="009A6D19" w:rsidP="000125C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445BE1" id="_x0000_t202" coordsize="21600,21600" o:spt="202" path="m,l,21600r21600,l21600,xe">
                  <v:stroke joinstyle="miter"/>
                  <v:path gradientshapeok="t" o:connecttype="rect"/>
                </v:shapetype>
                <v:shape id="Text Box 3" o:spid="_x0000_s1026" type="#_x0000_t202" style="position:absolute;left:0;text-align:left;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2A60DA11" w14:textId="77777777" w:rsidR="009A6D19" w:rsidRDefault="009A6D19" w:rsidP="000125C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1640" w14:textId="6857C672" w:rsidR="009A6D19" w:rsidRDefault="008328F7">
    <w:pPr>
      <w:pStyle w:val="Header"/>
    </w:pPr>
    <w:sdt>
      <w:sdtPr>
        <w:id w:val="-909778232"/>
        <w:docPartObj>
          <w:docPartGallery w:val="Watermarks"/>
          <w:docPartUnique/>
        </w:docPartObj>
      </w:sdtPr>
      <w:sdtEndPr/>
      <w:sdtContent>
        <w:r>
          <w:rPr>
            <w:noProof/>
          </w:rPr>
          <w:pict w14:anchorId="2B61E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412.4pt;height:247.4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6D19">
      <w:t>Annex 2: Sustainable funding options considered by FG (from CPM 15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0ED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FE2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D26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0E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088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B0A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3499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01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20F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A65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E1F"/>
    <w:multiLevelType w:val="hybridMultilevel"/>
    <w:tmpl w:val="2574436C"/>
    <w:lvl w:ilvl="0" w:tplc="EC341C10">
      <w:start w:val="1"/>
      <w:numFmt w:val="decimal"/>
      <w:lvlText w:val="Payment %1."/>
      <w:lvlJc w:val="left"/>
      <w:pPr>
        <w:ind w:left="1260" w:hanging="360"/>
      </w:pPr>
      <w:rPr>
        <w:rFonts w:hint="default"/>
      </w:rPr>
    </w:lvl>
    <w:lvl w:ilvl="1" w:tplc="14090019" w:tentative="1">
      <w:start w:val="1"/>
      <w:numFmt w:val="lowerLetter"/>
      <w:lvlText w:val="%2."/>
      <w:lvlJc w:val="left"/>
      <w:pPr>
        <w:ind w:left="1980" w:hanging="360"/>
      </w:pPr>
    </w:lvl>
    <w:lvl w:ilvl="2" w:tplc="1409001B" w:tentative="1">
      <w:start w:val="1"/>
      <w:numFmt w:val="lowerRoman"/>
      <w:lvlText w:val="%3."/>
      <w:lvlJc w:val="right"/>
      <w:pPr>
        <w:ind w:left="2700" w:hanging="180"/>
      </w:pPr>
    </w:lvl>
    <w:lvl w:ilvl="3" w:tplc="1409000F" w:tentative="1">
      <w:start w:val="1"/>
      <w:numFmt w:val="decimal"/>
      <w:lvlText w:val="%4."/>
      <w:lvlJc w:val="left"/>
      <w:pPr>
        <w:ind w:left="3420" w:hanging="360"/>
      </w:pPr>
    </w:lvl>
    <w:lvl w:ilvl="4" w:tplc="14090019" w:tentative="1">
      <w:start w:val="1"/>
      <w:numFmt w:val="lowerLetter"/>
      <w:lvlText w:val="%5."/>
      <w:lvlJc w:val="left"/>
      <w:pPr>
        <w:ind w:left="4140" w:hanging="360"/>
      </w:pPr>
    </w:lvl>
    <w:lvl w:ilvl="5" w:tplc="1409001B" w:tentative="1">
      <w:start w:val="1"/>
      <w:numFmt w:val="lowerRoman"/>
      <w:lvlText w:val="%6."/>
      <w:lvlJc w:val="right"/>
      <w:pPr>
        <w:ind w:left="4860" w:hanging="180"/>
      </w:pPr>
    </w:lvl>
    <w:lvl w:ilvl="6" w:tplc="1409000F" w:tentative="1">
      <w:start w:val="1"/>
      <w:numFmt w:val="decimal"/>
      <w:lvlText w:val="%7."/>
      <w:lvlJc w:val="left"/>
      <w:pPr>
        <w:ind w:left="5580" w:hanging="360"/>
      </w:pPr>
    </w:lvl>
    <w:lvl w:ilvl="7" w:tplc="14090019" w:tentative="1">
      <w:start w:val="1"/>
      <w:numFmt w:val="lowerLetter"/>
      <w:lvlText w:val="%8."/>
      <w:lvlJc w:val="left"/>
      <w:pPr>
        <w:ind w:left="6300" w:hanging="360"/>
      </w:pPr>
    </w:lvl>
    <w:lvl w:ilvl="8" w:tplc="1409001B" w:tentative="1">
      <w:start w:val="1"/>
      <w:numFmt w:val="lowerRoman"/>
      <w:lvlText w:val="%9."/>
      <w:lvlJc w:val="right"/>
      <w:pPr>
        <w:ind w:left="7020" w:hanging="180"/>
      </w:pPr>
    </w:lvl>
  </w:abstractNum>
  <w:abstractNum w:abstractNumId="1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A623C"/>
    <w:multiLevelType w:val="hybridMultilevel"/>
    <w:tmpl w:val="A64419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84C0A6C"/>
    <w:multiLevelType w:val="multilevel"/>
    <w:tmpl w:val="06E871E4"/>
    <w:numStyleLink w:val="IPPParagraphnumberedlist"/>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44261F3"/>
    <w:multiLevelType w:val="hybridMultilevel"/>
    <w:tmpl w:val="B9323E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7D21659"/>
    <w:multiLevelType w:val="hybridMultilevel"/>
    <w:tmpl w:val="1B087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20120299"/>
    <w:multiLevelType w:val="multilevel"/>
    <w:tmpl w:val="CFFEDB7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614146A"/>
    <w:multiLevelType w:val="hybridMultilevel"/>
    <w:tmpl w:val="9E943B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33B844F7"/>
    <w:multiLevelType w:val="hybridMultilevel"/>
    <w:tmpl w:val="E6CA5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FA7782"/>
    <w:multiLevelType w:val="hybridMultilevel"/>
    <w:tmpl w:val="4CF25BFC"/>
    <w:lvl w:ilvl="0" w:tplc="83943850">
      <w:start w:val="1"/>
      <w:numFmt w:val="decimal"/>
      <w:lvlText w:val="Apportion %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40BC2D37"/>
    <w:multiLevelType w:val="hybridMultilevel"/>
    <w:tmpl w:val="61E05C16"/>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D7140"/>
    <w:multiLevelType w:val="hybridMultilevel"/>
    <w:tmpl w:val="C4B4D7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E2E0DA5"/>
    <w:multiLevelType w:val="hybridMultilevel"/>
    <w:tmpl w:val="55A8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821C5"/>
    <w:multiLevelType w:val="hybridMultilevel"/>
    <w:tmpl w:val="2BC6CEB8"/>
    <w:lvl w:ilvl="0" w:tplc="8A263538">
      <w:start w:val="1"/>
      <w:numFmt w:val="decimal"/>
      <w:lvlText w:val="Scope %1."/>
      <w:lvlJc w:val="left"/>
      <w:pPr>
        <w:ind w:left="1170" w:hanging="360"/>
      </w:pPr>
      <w:rPr>
        <w:rFonts w:hint="default"/>
      </w:rPr>
    </w:lvl>
    <w:lvl w:ilvl="1" w:tplc="FF68DDAC">
      <w:start w:val="1"/>
      <w:numFmt w:val="decimal"/>
      <w:lvlText w:val="Option %2."/>
      <w:lvlJc w:val="left"/>
      <w:pPr>
        <w:ind w:left="1890" w:hanging="360"/>
      </w:pPr>
      <w:rPr>
        <w:rFonts w:hint="default"/>
      </w:rPr>
    </w:lvl>
    <w:lvl w:ilvl="2" w:tplc="1409001B">
      <w:start w:val="1"/>
      <w:numFmt w:val="lowerRoman"/>
      <w:lvlText w:val="%3."/>
      <w:lvlJc w:val="right"/>
      <w:pPr>
        <w:ind w:left="2610" w:hanging="180"/>
      </w:pPr>
    </w:lvl>
    <w:lvl w:ilvl="3" w:tplc="1409000F" w:tentative="1">
      <w:start w:val="1"/>
      <w:numFmt w:val="decimal"/>
      <w:lvlText w:val="%4."/>
      <w:lvlJc w:val="left"/>
      <w:pPr>
        <w:ind w:left="3330" w:hanging="360"/>
      </w:pPr>
    </w:lvl>
    <w:lvl w:ilvl="4" w:tplc="14090019" w:tentative="1">
      <w:start w:val="1"/>
      <w:numFmt w:val="lowerLetter"/>
      <w:lvlText w:val="%5."/>
      <w:lvlJc w:val="left"/>
      <w:pPr>
        <w:ind w:left="4050" w:hanging="360"/>
      </w:pPr>
    </w:lvl>
    <w:lvl w:ilvl="5" w:tplc="1409001B" w:tentative="1">
      <w:start w:val="1"/>
      <w:numFmt w:val="lowerRoman"/>
      <w:lvlText w:val="%6."/>
      <w:lvlJc w:val="right"/>
      <w:pPr>
        <w:ind w:left="4770" w:hanging="180"/>
      </w:pPr>
    </w:lvl>
    <w:lvl w:ilvl="6" w:tplc="1409000F" w:tentative="1">
      <w:start w:val="1"/>
      <w:numFmt w:val="decimal"/>
      <w:lvlText w:val="%7."/>
      <w:lvlJc w:val="left"/>
      <w:pPr>
        <w:ind w:left="5490" w:hanging="360"/>
      </w:pPr>
    </w:lvl>
    <w:lvl w:ilvl="7" w:tplc="14090019" w:tentative="1">
      <w:start w:val="1"/>
      <w:numFmt w:val="lowerLetter"/>
      <w:lvlText w:val="%8."/>
      <w:lvlJc w:val="left"/>
      <w:pPr>
        <w:ind w:left="6210" w:hanging="360"/>
      </w:pPr>
    </w:lvl>
    <w:lvl w:ilvl="8" w:tplc="1409001B" w:tentative="1">
      <w:start w:val="1"/>
      <w:numFmt w:val="lowerRoman"/>
      <w:lvlText w:val="%9."/>
      <w:lvlJc w:val="right"/>
      <w:pPr>
        <w:ind w:left="6930" w:hanging="180"/>
      </w:pPr>
    </w:lvl>
  </w:abstractNum>
  <w:abstractNum w:abstractNumId="2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684452F"/>
    <w:multiLevelType w:val="multilevel"/>
    <w:tmpl w:val="C818ED94"/>
    <w:lvl w:ilvl="0">
      <w:start w:val="1"/>
      <w:numFmt w:val="bullet"/>
      <w:lvlText w:val="o"/>
      <w:lvlJc w:val="left"/>
      <w:pPr>
        <w:tabs>
          <w:tab w:val="num" w:pos="-2880"/>
        </w:tabs>
        <w:ind w:left="-288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0"/>
        </w:tabs>
        <w:ind w:left="0" w:hanging="360"/>
      </w:pPr>
      <w:rPr>
        <w:rFonts w:ascii="Courier New" w:hAnsi="Courier New" w:hint="default"/>
        <w:sz w:val="20"/>
      </w:rPr>
    </w:lvl>
    <w:lvl w:ilvl="5" w:tentative="1">
      <w:start w:val="1"/>
      <w:numFmt w:val="bullet"/>
      <w:lvlText w:val="o"/>
      <w:lvlJc w:val="left"/>
      <w:pPr>
        <w:tabs>
          <w:tab w:val="num" w:pos="720"/>
        </w:tabs>
        <w:ind w:left="720" w:hanging="360"/>
      </w:pPr>
      <w:rPr>
        <w:rFonts w:ascii="Courier New" w:hAnsi="Courier New" w:hint="default"/>
        <w:sz w:val="20"/>
      </w:rPr>
    </w:lvl>
    <w:lvl w:ilvl="6" w:tentative="1">
      <w:start w:val="1"/>
      <w:numFmt w:val="bullet"/>
      <w:lvlText w:val="o"/>
      <w:lvlJc w:val="left"/>
      <w:pPr>
        <w:tabs>
          <w:tab w:val="num" w:pos="1440"/>
        </w:tabs>
        <w:ind w:left="1440" w:hanging="360"/>
      </w:pPr>
      <w:rPr>
        <w:rFonts w:ascii="Courier New" w:hAnsi="Courier New" w:hint="default"/>
        <w:sz w:val="20"/>
      </w:rPr>
    </w:lvl>
    <w:lvl w:ilvl="7" w:tentative="1">
      <w:start w:val="1"/>
      <w:numFmt w:val="bullet"/>
      <w:lvlText w:val="o"/>
      <w:lvlJc w:val="left"/>
      <w:pPr>
        <w:tabs>
          <w:tab w:val="num" w:pos="2160"/>
        </w:tabs>
        <w:ind w:left="2160" w:hanging="360"/>
      </w:pPr>
      <w:rPr>
        <w:rFonts w:ascii="Courier New" w:hAnsi="Courier New" w:hint="default"/>
        <w:sz w:val="20"/>
      </w:rPr>
    </w:lvl>
    <w:lvl w:ilvl="8" w:tentative="1">
      <w:start w:val="1"/>
      <w:numFmt w:val="bullet"/>
      <w:lvlText w:val="o"/>
      <w:lvlJc w:val="left"/>
      <w:pPr>
        <w:tabs>
          <w:tab w:val="num" w:pos="2880"/>
        </w:tabs>
        <w:ind w:left="2880" w:hanging="360"/>
      </w:pPr>
      <w:rPr>
        <w:rFonts w:ascii="Courier New" w:hAnsi="Courier New" w:hint="default"/>
        <w:sz w:val="20"/>
      </w:rPr>
    </w:lvl>
  </w:abstractNum>
  <w:abstractNum w:abstractNumId="31" w15:restartNumberingAfterBreak="0">
    <w:nsid w:val="608C2899"/>
    <w:multiLevelType w:val="hybridMultilevel"/>
    <w:tmpl w:val="DFDEF5AC"/>
    <w:lvl w:ilvl="0" w:tplc="70C81300">
      <w:start w:val="1"/>
      <w:numFmt w:val="decimal"/>
      <w:lvlText w:val="Apportion %1."/>
      <w:lvlJc w:val="left"/>
      <w:pPr>
        <w:ind w:left="360" w:hanging="360"/>
      </w:pPr>
      <w:rPr>
        <w:rFonts w:ascii="Times New Roman" w:hAnsi="Times New Roman" w:cs="Times New Roman"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27CAA"/>
    <w:multiLevelType w:val="hybridMultilevel"/>
    <w:tmpl w:val="B7A6E45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67C23C59"/>
    <w:multiLevelType w:val="hybridMultilevel"/>
    <w:tmpl w:val="ACD88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9121DE0"/>
    <w:multiLevelType w:val="hybridMultilevel"/>
    <w:tmpl w:val="9300F9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35"/>
  </w:num>
  <w:num w:numId="16">
    <w:abstractNumId w:val="33"/>
  </w:num>
  <w:num w:numId="17">
    <w:abstractNumId w:val="19"/>
  </w:num>
  <w:num w:numId="18">
    <w:abstractNumId w:val="31"/>
  </w:num>
  <w:num w:numId="19">
    <w:abstractNumId w:val="10"/>
  </w:num>
  <w:num w:numId="20">
    <w:abstractNumId w:val="15"/>
  </w:num>
  <w:num w:numId="21">
    <w:abstractNumId w:val="23"/>
  </w:num>
  <w:num w:numId="22">
    <w:abstractNumId w:val="12"/>
  </w:num>
  <w:num w:numId="23">
    <w:abstractNumId w:val="26"/>
  </w:num>
  <w:num w:numId="24">
    <w:abstractNumId w:val="21"/>
  </w:num>
  <w:num w:numId="25">
    <w:abstractNumId w:val="16"/>
  </w:num>
  <w:num w:numId="26">
    <w:abstractNumId w:val="32"/>
  </w:num>
  <w:num w:numId="27">
    <w:abstractNumId w:val="14"/>
  </w:num>
  <w:num w:numId="28">
    <w:abstractNumId w:val="13"/>
  </w:num>
  <w:num w:numId="29">
    <w:abstractNumId w:val="20"/>
  </w:num>
  <w:num w:numId="30">
    <w:abstractNumId w:val="37"/>
  </w:num>
  <w:num w:numId="31">
    <w:abstractNumId w:val="29"/>
  </w:num>
  <w:num w:numId="32">
    <w:abstractNumId w:val="22"/>
  </w:num>
  <w:num w:numId="33">
    <w:abstractNumId w:val="38"/>
  </w:num>
  <w:num w:numId="34">
    <w:abstractNumId w:val="17"/>
  </w:num>
  <w:num w:numId="35">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num>
  <w:num w:numId="42">
    <w:abstractNumId w:val="25"/>
  </w:num>
  <w:num w:numId="43">
    <w:abstractNumId w:val="36"/>
  </w:num>
  <w:num w:numId="44">
    <w:abstractNumId w:val="27"/>
  </w:num>
  <w:num w:numId="4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Butterly">
    <w15:presenceInfo w15:providerId="None" w15:userId="Tom Butter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6" w:nlCheck="1" w:checkStyle="0"/>
  <w:activeWritingStyle w:appName="MSWord" w:lang="en-NZ"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NZ" w:vendorID="64" w:dllVersion="0" w:nlCheck="1" w:checkStyle="0"/>
  <w:activeWritingStyle w:appName="MSWord" w:lang="en-IE" w:vendorID="64" w:dllVersion="0" w:nlCheck="1" w:checkStyle="0"/>
  <w:activeWritingStyle w:appName="MSWord" w:lang="en-NZ"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D0"/>
    <w:rsid w:val="00001A13"/>
    <w:rsid w:val="00005FC0"/>
    <w:rsid w:val="000125C6"/>
    <w:rsid w:val="00033041"/>
    <w:rsid w:val="0004782C"/>
    <w:rsid w:val="00052B5E"/>
    <w:rsid w:val="00077B39"/>
    <w:rsid w:val="0008165A"/>
    <w:rsid w:val="000C0334"/>
    <w:rsid w:val="000C2C74"/>
    <w:rsid w:val="000C7C59"/>
    <w:rsid w:val="000D4216"/>
    <w:rsid w:val="00103549"/>
    <w:rsid w:val="00124B8D"/>
    <w:rsid w:val="00144591"/>
    <w:rsid w:val="0015141E"/>
    <w:rsid w:val="001522C0"/>
    <w:rsid w:val="001554F2"/>
    <w:rsid w:val="00155F2E"/>
    <w:rsid w:val="001573CB"/>
    <w:rsid w:val="00164156"/>
    <w:rsid w:val="00182132"/>
    <w:rsid w:val="0019423E"/>
    <w:rsid w:val="001953FE"/>
    <w:rsid w:val="001A63A5"/>
    <w:rsid w:val="001D19E1"/>
    <w:rsid w:val="001D6C5F"/>
    <w:rsid w:val="001D79DA"/>
    <w:rsid w:val="001F2AF9"/>
    <w:rsid w:val="002012AA"/>
    <w:rsid w:val="00230D7F"/>
    <w:rsid w:val="00251535"/>
    <w:rsid w:val="00274106"/>
    <w:rsid w:val="00283A7D"/>
    <w:rsid w:val="002916D3"/>
    <w:rsid w:val="002A2920"/>
    <w:rsid w:val="002A4C2E"/>
    <w:rsid w:val="002B5436"/>
    <w:rsid w:val="002B54E8"/>
    <w:rsid w:val="002B5F82"/>
    <w:rsid w:val="002C7ED9"/>
    <w:rsid w:val="002E1AE1"/>
    <w:rsid w:val="002E4EB3"/>
    <w:rsid w:val="002F1F5F"/>
    <w:rsid w:val="002F2A59"/>
    <w:rsid w:val="003042BB"/>
    <w:rsid w:val="0032786D"/>
    <w:rsid w:val="00330A5B"/>
    <w:rsid w:val="00331051"/>
    <w:rsid w:val="003524E3"/>
    <w:rsid w:val="00362EFD"/>
    <w:rsid w:val="00367303"/>
    <w:rsid w:val="0037022E"/>
    <w:rsid w:val="00376851"/>
    <w:rsid w:val="00384199"/>
    <w:rsid w:val="00384732"/>
    <w:rsid w:val="0038483A"/>
    <w:rsid w:val="00393EB4"/>
    <w:rsid w:val="003C66CA"/>
    <w:rsid w:val="003E019A"/>
    <w:rsid w:val="003E454E"/>
    <w:rsid w:val="004004CF"/>
    <w:rsid w:val="00402071"/>
    <w:rsid w:val="00412DD2"/>
    <w:rsid w:val="00416679"/>
    <w:rsid w:val="00421C7A"/>
    <w:rsid w:val="00426887"/>
    <w:rsid w:val="00452CBE"/>
    <w:rsid w:val="00483573"/>
    <w:rsid w:val="004875CE"/>
    <w:rsid w:val="00494E46"/>
    <w:rsid w:val="004B34B1"/>
    <w:rsid w:val="004C0135"/>
    <w:rsid w:val="004C4BB5"/>
    <w:rsid w:val="004C77C6"/>
    <w:rsid w:val="004D1F1D"/>
    <w:rsid w:val="004E0BF4"/>
    <w:rsid w:val="004E42FC"/>
    <w:rsid w:val="004F1964"/>
    <w:rsid w:val="004F420F"/>
    <w:rsid w:val="00502292"/>
    <w:rsid w:val="0051446C"/>
    <w:rsid w:val="005244F8"/>
    <w:rsid w:val="00552EE2"/>
    <w:rsid w:val="00553AF8"/>
    <w:rsid w:val="00554977"/>
    <w:rsid w:val="005863F1"/>
    <w:rsid w:val="005A2C56"/>
    <w:rsid w:val="005C74E9"/>
    <w:rsid w:val="005D035C"/>
    <w:rsid w:val="005D1B37"/>
    <w:rsid w:val="005E3DD1"/>
    <w:rsid w:val="00612AC0"/>
    <w:rsid w:val="006259D0"/>
    <w:rsid w:val="0065649F"/>
    <w:rsid w:val="00666DE0"/>
    <w:rsid w:val="00670225"/>
    <w:rsid w:val="00673FE6"/>
    <w:rsid w:val="006853F9"/>
    <w:rsid w:val="006938DD"/>
    <w:rsid w:val="006A067F"/>
    <w:rsid w:val="006C32A6"/>
    <w:rsid w:val="006C342F"/>
    <w:rsid w:val="006D45DD"/>
    <w:rsid w:val="006D5E64"/>
    <w:rsid w:val="00706457"/>
    <w:rsid w:val="00717A8A"/>
    <w:rsid w:val="00725D46"/>
    <w:rsid w:val="00745C5E"/>
    <w:rsid w:val="00763F92"/>
    <w:rsid w:val="00777AC6"/>
    <w:rsid w:val="007A5533"/>
    <w:rsid w:val="007A6DB4"/>
    <w:rsid w:val="007A7AF2"/>
    <w:rsid w:val="007B1864"/>
    <w:rsid w:val="007B40FC"/>
    <w:rsid w:val="007C007C"/>
    <w:rsid w:val="007C6B1E"/>
    <w:rsid w:val="007C7C63"/>
    <w:rsid w:val="007D1FA6"/>
    <w:rsid w:val="007E1B11"/>
    <w:rsid w:val="007F4FAB"/>
    <w:rsid w:val="007F60A7"/>
    <w:rsid w:val="007F6FA7"/>
    <w:rsid w:val="00804FDF"/>
    <w:rsid w:val="008102C1"/>
    <w:rsid w:val="00811A32"/>
    <w:rsid w:val="00831329"/>
    <w:rsid w:val="008328F7"/>
    <w:rsid w:val="0083796F"/>
    <w:rsid w:val="0085612C"/>
    <w:rsid w:val="00860C02"/>
    <w:rsid w:val="00884B20"/>
    <w:rsid w:val="00884F5F"/>
    <w:rsid w:val="008B4298"/>
    <w:rsid w:val="008B6700"/>
    <w:rsid w:val="008B73BC"/>
    <w:rsid w:val="008C75C3"/>
    <w:rsid w:val="008E40EC"/>
    <w:rsid w:val="008F3AC1"/>
    <w:rsid w:val="00904AE0"/>
    <w:rsid w:val="00953486"/>
    <w:rsid w:val="00953FAC"/>
    <w:rsid w:val="009930C5"/>
    <w:rsid w:val="00994CEA"/>
    <w:rsid w:val="009A3CC5"/>
    <w:rsid w:val="009A6D19"/>
    <w:rsid w:val="009C1E5F"/>
    <w:rsid w:val="009C4D7D"/>
    <w:rsid w:val="009E6000"/>
    <w:rsid w:val="00A02F87"/>
    <w:rsid w:val="00A377C9"/>
    <w:rsid w:val="00A429DD"/>
    <w:rsid w:val="00A43354"/>
    <w:rsid w:val="00A45DA8"/>
    <w:rsid w:val="00A45EC5"/>
    <w:rsid w:val="00A66DF2"/>
    <w:rsid w:val="00A72AE2"/>
    <w:rsid w:val="00A745F2"/>
    <w:rsid w:val="00A97E74"/>
    <w:rsid w:val="00AD10CB"/>
    <w:rsid w:val="00AE0BE3"/>
    <w:rsid w:val="00AF0F00"/>
    <w:rsid w:val="00AF5ED4"/>
    <w:rsid w:val="00B06235"/>
    <w:rsid w:val="00B201D7"/>
    <w:rsid w:val="00B22AEF"/>
    <w:rsid w:val="00B25F0D"/>
    <w:rsid w:val="00B359C1"/>
    <w:rsid w:val="00B42F8B"/>
    <w:rsid w:val="00B45AFC"/>
    <w:rsid w:val="00B53AA5"/>
    <w:rsid w:val="00B80624"/>
    <w:rsid w:val="00B87DB0"/>
    <w:rsid w:val="00B9508A"/>
    <w:rsid w:val="00BB2F9D"/>
    <w:rsid w:val="00BC6CDD"/>
    <w:rsid w:val="00C0041C"/>
    <w:rsid w:val="00C068C7"/>
    <w:rsid w:val="00C12F65"/>
    <w:rsid w:val="00C13004"/>
    <w:rsid w:val="00C133FF"/>
    <w:rsid w:val="00C36558"/>
    <w:rsid w:val="00C471F6"/>
    <w:rsid w:val="00C47441"/>
    <w:rsid w:val="00C629B7"/>
    <w:rsid w:val="00C941D0"/>
    <w:rsid w:val="00CE4651"/>
    <w:rsid w:val="00CF63FC"/>
    <w:rsid w:val="00D00077"/>
    <w:rsid w:val="00D03724"/>
    <w:rsid w:val="00D03859"/>
    <w:rsid w:val="00D055C0"/>
    <w:rsid w:val="00D12CB4"/>
    <w:rsid w:val="00D16E64"/>
    <w:rsid w:val="00D21447"/>
    <w:rsid w:val="00D31E0E"/>
    <w:rsid w:val="00D4485B"/>
    <w:rsid w:val="00D61757"/>
    <w:rsid w:val="00DA47D7"/>
    <w:rsid w:val="00DB3E98"/>
    <w:rsid w:val="00DD7A51"/>
    <w:rsid w:val="00DE0D37"/>
    <w:rsid w:val="00E07B35"/>
    <w:rsid w:val="00E2052A"/>
    <w:rsid w:val="00E232B0"/>
    <w:rsid w:val="00E32468"/>
    <w:rsid w:val="00E57E28"/>
    <w:rsid w:val="00E74C7C"/>
    <w:rsid w:val="00E80674"/>
    <w:rsid w:val="00EC6EA6"/>
    <w:rsid w:val="00EE37BA"/>
    <w:rsid w:val="00F41036"/>
    <w:rsid w:val="00F458F6"/>
    <w:rsid w:val="00F80FFC"/>
    <w:rsid w:val="00F84395"/>
    <w:rsid w:val="00F965A6"/>
    <w:rsid w:val="00FA152A"/>
    <w:rsid w:val="00FB2F77"/>
    <w:rsid w:val="00FB39E8"/>
    <w:rsid w:val="00FC761B"/>
    <w:rsid w:val="00FC7B08"/>
    <w:rsid w:val="00FF28F2"/>
    <w:rsid w:val="00FF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6B44D5"/>
  <w15:chartTrackingRefBased/>
  <w15:docId w15:val="{F94D13BA-3F04-4279-9171-01150191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F7"/>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8328F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328F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328F7"/>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unhideWhenUsed/>
    <w:qFormat/>
    <w:rsid w:val="000C2C7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C2C7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8328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8F7"/>
  </w:style>
  <w:style w:type="character" w:customStyle="1" w:styleId="Heading1Char">
    <w:name w:val="Heading 1 Char"/>
    <w:basedOn w:val="DefaultParagraphFont"/>
    <w:link w:val="Heading1"/>
    <w:rsid w:val="008328F7"/>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8328F7"/>
    <w:rPr>
      <w:rFonts w:ascii="Calibri" w:eastAsia="MS Mincho" w:hAnsi="Calibri" w:cs="Times New Roman"/>
      <w:b/>
      <w:bCs/>
      <w:i/>
      <w:iCs/>
      <w:sz w:val="28"/>
      <w:szCs w:val="28"/>
      <w:lang w:val="en-GB"/>
    </w:rPr>
  </w:style>
  <w:style w:type="character" w:styleId="Strong">
    <w:name w:val="Strong"/>
    <w:basedOn w:val="DefaultParagraphFont"/>
    <w:qFormat/>
    <w:rsid w:val="008328F7"/>
    <w:rPr>
      <w:b/>
      <w:bCs/>
    </w:rPr>
  </w:style>
  <w:style w:type="character" w:styleId="CommentReference">
    <w:name w:val="annotation reference"/>
    <w:basedOn w:val="DefaultParagraphFont"/>
    <w:uiPriority w:val="99"/>
    <w:semiHidden/>
    <w:unhideWhenUsed/>
    <w:rsid w:val="00D4485B"/>
    <w:rPr>
      <w:sz w:val="16"/>
      <w:szCs w:val="16"/>
    </w:rPr>
  </w:style>
  <w:style w:type="paragraph" w:styleId="CommentText">
    <w:name w:val="annotation text"/>
    <w:basedOn w:val="Normal"/>
    <w:link w:val="CommentTextChar"/>
    <w:uiPriority w:val="99"/>
    <w:unhideWhenUsed/>
    <w:rsid w:val="00D4485B"/>
    <w:rPr>
      <w:sz w:val="20"/>
      <w:szCs w:val="20"/>
    </w:rPr>
  </w:style>
  <w:style w:type="character" w:customStyle="1" w:styleId="CommentTextChar">
    <w:name w:val="Comment Text Char"/>
    <w:basedOn w:val="DefaultParagraphFont"/>
    <w:link w:val="CommentText"/>
    <w:uiPriority w:val="99"/>
    <w:rsid w:val="00D4485B"/>
    <w:rPr>
      <w:sz w:val="20"/>
      <w:szCs w:val="20"/>
    </w:rPr>
  </w:style>
  <w:style w:type="paragraph" w:styleId="CommentSubject">
    <w:name w:val="annotation subject"/>
    <w:basedOn w:val="CommentText"/>
    <w:next w:val="CommentText"/>
    <w:link w:val="CommentSubjectChar"/>
    <w:uiPriority w:val="99"/>
    <w:semiHidden/>
    <w:unhideWhenUsed/>
    <w:rsid w:val="00D4485B"/>
    <w:rPr>
      <w:b/>
      <w:bCs/>
    </w:rPr>
  </w:style>
  <w:style w:type="character" w:customStyle="1" w:styleId="CommentSubjectChar">
    <w:name w:val="Comment Subject Char"/>
    <w:basedOn w:val="CommentTextChar"/>
    <w:link w:val="CommentSubject"/>
    <w:uiPriority w:val="99"/>
    <w:semiHidden/>
    <w:rsid w:val="00D4485B"/>
    <w:rPr>
      <w:b/>
      <w:bCs/>
      <w:sz w:val="20"/>
      <w:szCs w:val="20"/>
    </w:rPr>
  </w:style>
  <w:style w:type="paragraph" w:styleId="ListParagraph">
    <w:name w:val="List Paragraph"/>
    <w:basedOn w:val="Normal"/>
    <w:uiPriority w:val="34"/>
    <w:qFormat/>
    <w:rsid w:val="008328F7"/>
    <w:pPr>
      <w:spacing w:line="240" w:lineRule="atLeast"/>
      <w:ind w:leftChars="400" w:left="800"/>
    </w:pPr>
    <w:rPr>
      <w:rFonts w:ascii="Verdana" w:eastAsia="Times New Roman" w:hAnsi="Verdana"/>
      <w:sz w:val="20"/>
      <w:lang w:val="nl-NL" w:eastAsia="nl-NL"/>
    </w:rPr>
  </w:style>
  <w:style w:type="paragraph" w:styleId="ListBullet">
    <w:name w:val="List Bullet"/>
    <w:basedOn w:val="Normal"/>
    <w:uiPriority w:val="99"/>
    <w:unhideWhenUsed/>
    <w:rsid w:val="000C7C59"/>
    <w:pPr>
      <w:numPr>
        <w:numId w:val="4"/>
      </w:numPr>
      <w:contextualSpacing/>
    </w:pPr>
  </w:style>
  <w:style w:type="paragraph" w:styleId="ListBullet2">
    <w:name w:val="List Bullet 2"/>
    <w:basedOn w:val="Normal"/>
    <w:uiPriority w:val="99"/>
    <w:unhideWhenUsed/>
    <w:rsid w:val="000C7C59"/>
    <w:pPr>
      <w:numPr>
        <w:numId w:val="5"/>
      </w:numPr>
      <w:contextualSpacing/>
    </w:pPr>
  </w:style>
  <w:style w:type="paragraph" w:styleId="Header">
    <w:name w:val="header"/>
    <w:basedOn w:val="Normal"/>
    <w:link w:val="HeaderChar"/>
    <w:rsid w:val="008328F7"/>
    <w:pPr>
      <w:tabs>
        <w:tab w:val="center" w:pos="4680"/>
        <w:tab w:val="right" w:pos="9360"/>
      </w:tabs>
    </w:pPr>
  </w:style>
  <w:style w:type="character" w:customStyle="1" w:styleId="HeaderChar">
    <w:name w:val="Header Char"/>
    <w:basedOn w:val="DefaultParagraphFont"/>
    <w:link w:val="Header"/>
    <w:rsid w:val="008328F7"/>
    <w:rPr>
      <w:rFonts w:ascii="Times New Roman" w:eastAsia="MS Mincho" w:hAnsi="Times New Roman" w:cs="Times New Roman"/>
      <w:szCs w:val="24"/>
      <w:lang w:val="en-GB"/>
    </w:rPr>
  </w:style>
  <w:style w:type="paragraph" w:styleId="Footer">
    <w:name w:val="footer"/>
    <w:basedOn w:val="Normal"/>
    <w:link w:val="FooterChar"/>
    <w:rsid w:val="008328F7"/>
    <w:pPr>
      <w:tabs>
        <w:tab w:val="center" w:pos="4680"/>
        <w:tab w:val="right" w:pos="9360"/>
      </w:tabs>
    </w:pPr>
  </w:style>
  <w:style w:type="character" w:customStyle="1" w:styleId="FooterChar">
    <w:name w:val="Footer Char"/>
    <w:basedOn w:val="DefaultParagraphFont"/>
    <w:link w:val="Footer"/>
    <w:rsid w:val="008328F7"/>
    <w:rPr>
      <w:rFonts w:ascii="Times New Roman" w:eastAsia="MS Mincho" w:hAnsi="Times New Roman" w:cs="Times New Roman"/>
      <w:szCs w:val="24"/>
      <w:lang w:val="en-GB"/>
    </w:rPr>
  </w:style>
  <w:style w:type="paragraph" w:styleId="Title">
    <w:name w:val="Title"/>
    <w:basedOn w:val="Normal"/>
    <w:next w:val="Normal"/>
    <w:link w:val="TitleChar"/>
    <w:uiPriority w:val="10"/>
    <w:qFormat/>
    <w:rsid w:val="00717A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A8A"/>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502292"/>
    <w:pPr>
      <w:spacing w:after="200"/>
    </w:pPr>
    <w:rPr>
      <w:i/>
      <w:iCs/>
      <w:color w:val="44546A" w:themeColor="text2"/>
      <w:sz w:val="18"/>
      <w:szCs w:val="18"/>
    </w:rPr>
  </w:style>
  <w:style w:type="character" w:customStyle="1" w:styleId="Heading4Char">
    <w:name w:val="Heading 4 Char"/>
    <w:basedOn w:val="DefaultParagraphFont"/>
    <w:link w:val="Heading4"/>
    <w:uiPriority w:val="9"/>
    <w:rsid w:val="000C2C7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C2C74"/>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rsid w:val="008328F7"/>
    <w:rPr>
      <w:rFonts w:ascii="Calibri" w:eastAsia="MS Mincho" w:hAnsi="Calibri" w:cs="Times New Roman"/>
      <w:b/>
      <w:bCs/>
      <w:sz w:val="26"/>
      <w:szCs w:val="26"/>
      <w:lang w:val="en-GB"/>
    </w:rPr>
  </w:style>
  <w:style w:type="paragraph" w:styleId="FootnoteText">
    <w:name w:val="footnote text"/>
    <w:basedOn w:val="Normal"/>
    <w:link w:val="FootnoteTextChar"/>
    <w:rsid w:val="008328F7"/>
    <w:pPr>
      <w:spacing w:before="60"/>
    </w:pPr>
    <w:rPr>
      <w:sz w:val="20"/>
    </w:rPr>
  </w:style>
  <w:style w:type="character" w:customStyle="1" w:styleId="FootnoteTextChar">
    <w:name w:val="Footnote Text Char"/>
    <w:basedOn w:val="DefaultParagraphFont"/>
    <w:link w:val="FootnoteText"/>
    <w:rsid w:val="008328F7"/>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8328F7"/>
    <w:rPr>
      <w:vertAlign w:val="superscript"/>
    </w:rPr>
  </w:style>
  <w:style w:type="table" w:customStyle="1" w:styleId="TableGrid1">
    <w:name w:val="Table Grid1"/>
    <w:basedOn w:val="TableNormal"/>
    <w:next w:val="TableGrid"/>
    <w:uiPriority w:val="59"/>
    <w:rsid w:val="00012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28F7"/>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25C6"/>
    <w:pPr>
      <w:spacing w:before="100" w:beforeAutospacing="1" w:after="100" w:afterAutospacing="1"/>
    </w:pPr>
    <w:rPr>
      <w:rFonts w:eastAsia="Times New Roman"/>
      <w:sz w:val="24"/>
      <w:lang w:val="en-IE" w:eastAsia="en-IE"/>
    </w:rPr>
  </w:style>
  <w:style w:type="paragraph" w:styleId="EndnoteText">
    <w:name w:val="endnote text"/>
    <w:basedOn w:val="Normal"/>
    <w:link w:val="EndnoteTextChar"/>
    <w:uiPriority w:val="99"/>
    <w:unhideWhenUsed/>
    <w:rsid w:val="000125C6"/>
    <w:rPr>
      <w:sz w:val="20"/>
      <w:szCs w:val="20"/>
      <w:lang w:val="en-IE"/>
    </w:rPr>
  </w:style>
  <w:style w:type="character" w:customStyle="1" w:styleId="EndnoteTextChar">
    <w:name w:val="Endnote Text Char"/>
    <w:basedOn w:val="DefaultParagraphFont"/>
    <w:link w:val="EndnoteText"/>
    <w:uiPriority w:val="99"/>
    <w:rsid w:val="000125C6"/>
    <w:rPr>
      <w:sz w:val="20"/>
      <w:szCs w:val="20"/>
      <w:lang w:val="en-IE"/>
    </w:rPr>
  </w:style>
  <w:style w:type="character" w:styleId="EndnoteReference">
    <w:name w:val="endnote reference"/>
    <w:basedOn w:val="DefaultParagraphFont"/>
    <w:uiPriority w:val="99"/>
    <w:semiHidden/>
    <w:unhideWhenUsed/>
    <w:rsid w:val="000125C6"/>
    <w:rPr>
      <w:vertAlign w:val="superscript"/>
    </w:rPr>
  </w:style>
  <w:style w:type="character" w:styleId="Hyperlink">
    <w:name w:val="Hyperlink"/>
    <w:basedOn w:val="DefaultParagraphFont"/>
    <w:uiPriority w:val="99"/>
    <w:unhideWhenUsed/>
    <w:rsid w:val="000125C6"/>
    <w:rPr>
      <w:color w:val="0563C1" w:themeColor="hyperlink"/>
      <w:u w:val="single"/>
    </w:rPr>
  </w:style>
  <w:style w:type="paragraph" w:styleId="BalloonText">
    <w:name w:val="Balloon Text"/>
    <w:basedOn w:val="Normal"/>
    <w:link w:val="BalloonTextChar"/>
    <w:rsid w:val="008328F7"/>
    <w:rPr>
      <w:rFonts w:ascii="Tahoma" w:hAnsi="Tahoma" w:cs="Tahoma"/>
      <w:sz w:val="16"/>
      <w:szCs w:val="16"/>
    </w:rPr>
  </w:style>
  <w:style w:type="character" w:customStyle="1" w:styleId="BalloonTextChar">
    <w:name w:val="Balloon Text Char"/>
    <w:basedOn w:val="DefaultParagraphFont"/>
    <w:link w:val="BalloonText"/>
    <w:rsid w:val="008328F7"/>
    <w:rPr>
      <w:rFonts w:ascii="Tahoma" w:eastAsia="MS Mincho" w:hAnsi="Tahoma" w:cs="Tahoma"/>
      <w:sz w:val="16"/>
      <w:szCs w:val="16"/>
      <w:lang w:val="en-GB"/>
    </w:rPr>
  </w:style>
  <w:style w:type="paragraph" w:styleId="Revision">
    <w:name w:val="Revision"/>
    <w:hidden/>
    <w:uiPriority w:val="99"/>
    <w:semiHidden/>
    <w:rsid w:val="0019423E"/>
    <w:pPr>
      <w:spacing w:after="0" w:line="240" w:lineRule="auto"/>
    </w:pPr>
  </w:style>
  <w:style w:type="character" w:customStyle="1" w:styleId="UnresolvedMention">
    <w:name w:val="Unresolved Mention"/>
    <w:basedOn w:val="DefaultParagraphFont"/>
    <w:uiPriority w:val="99"/>
    <w:semiHidden/>
    <w:unhideWhenUsed/>
    <w:rsid w:val="00554977"/>
    <w:rPr>
      <w:color w:val="605E5C"/>
      <w:shd w:val="clear" w:color="auto" w:fill="E1DFDD"/>
    </w:rPr>
  </w:style>
  <w:style w:type="character" w:styleId="FollowedHyperlink">
    <w:name w:val="FollowedHyperlink"/>
    <w:basedOn w:val="DefaultParagraphFont"/>
    <w:uiPriority w:val="99"/>
    <w:semiHidden/>
    <w:unhideWhenUsed/>
    <w:rsid w:val="00554977"/>
    <w:rPr>
      <w:color w:val="954F72" w:themeColor="followedHyperlink"/>
      <w:u w:val="single"/>
    </w:rPr>
  </w:style>
  <w:style w:type="paragraph" w:customStyle="1" w:styleId="Style">
    <w:name w:val="Style"/>
    <w:basedOn w:val="Footer"/>
    <w:autoRedefine/>
    <w:qFormat/>
    <w:rsid w:val="008328F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328F7"/>
    <w:rPr>
      <w:rFonts w:ascii="Arial" w:hAnsi="Arial"/>
      <w:b/>
      <w:sz w:val="18"/>
    </w:rPr>
  </w:style>
  <w:style w:type="paragraph" w:customStyle="1" w:styleId="IPPArialFootnote">
    <w:name w:val="IPP Arial Footnote"/>
    <w:basedOn w:val="IPPArialTable"/>
    <w:qFormat/>
    <w:rsid w:val="008328F7"/>
    <w:pPr>
      <w:tabs>
        <w:tab w:val="left" w:pos="28"/>
      </w:tabs>
      <w:ind w:left="284" w:hanging="284"/>
    </w:pPr>
    <w:rPr>
      <w:sz w:val="16"/>
    </w:rPr>
  </w:style>
  <w:style w:type="paragraph" w:customStyle="1" w:styleId="IPPContentsHead">
    <w:name w:val="IPP ContentsHead"/>
    <w:basedOn w:val="IPPSubhead"/>
    <w:next w:val="IPPNormal"/>
    <w:qFormat/>
    <w:rsid w:val="008328F7"/>
    <w:pPr>
      <w:spacing w:after="240"/>
    </w:pPr>
    <w:rPr>
      <w:sz w:val="24"/>
    </w:rPr>
  </w:style>
  <w:style w:type="paragraph" w:customStyle="1" w:styleId="IPPBullet2">
    <w:name w:val="IPP Bullet2"/>
    <w:basedOn w:val="IPPNormal"/>
    <w:next w:val="IPPBullet1"/>
    <w:qFormat/>
    <w:rsid w:val="008328F7"/>
    <w:pPr>
      <w:numPr>
        <w:numId w:val="30"/>
      </w:numPr>
      <w:tabs>
        <w:tab w:val="left" w:pos="1134"/>
      </w:tabs>
      <w:spacing w:after="60"/>
      <w:ind w:left="1134" w:hanging="567"/>
    </w:pPr>
  </w:style>
  <w:style w:type="paragraph" w:customStyle="1" w:styleId="IPPQuote">
    <w:name w:val="IPP Quote"/>
    <w:basedOn w:val="IPPNormal"/>
    <w:qFormat/>
    <w:rsid w:val="008328F7"/>
    <w:pPr>
      <w:ind w:left="851" w:right="851"/>
    </w:pPr>
    <w:rPr>
      <w:sz w:val="18"/>
    </w:rPr>
  </w:style>
  <w:style w:type="paragraph" w:customStyle="1" w:styleId="IPPNormal">
    <w:name w:val="IPP Normal"/>
    <w:basedOn w:val="Normal"/>
    <w:qFormat/>
    <w:rsid w:val="008328F7"/>
    <w:pPr>
      <w:spacing w:after="180"/>
    </w:pPr>
    <w:rPr>
      <w:rFonts w:eastAsia="Times"/>
    </w:rPr>
  </w:style>
  <w:style w:type="paragraph" w:customStyle="1" w:styleId="IPPIndentClose">
    <w:name w:val="IPP Indent Close"/>
    <w:basedOn w:val="IPPNormal"/>
    <w:qFormat/>
    <w:rsid w:val="008328F7"/>
    <w:pPr>
      <w:tabs>
        <w:tab w:val="left" w:pos="2835"/>
      </w:tabs>
      <w:spacing w:after="60"/>
      <w:ind w:left="567"/>
    </w:pPr>
  </w:style>
  <w:style w:type="paragraph" w:customStyle="1" w:styleId="IPPIndent">
    <w:name w:val="IPP Indent"/>
    <w:basedOn w:val="IPPIndentClose"/>
    <w:qFormat/>
    <w:rsid w:val="008328F7"/>
    <w:pPr>
      <w:spacing w:after="180"/>
    </w:pPr>
  </w:style>
  <w:style w:type="paragraph" w:customStyle="1" w:styleId="IPPFootnote">
    <w:name w:val="IPP Footnote"/>
    <w:basedOn w:val="IPPArialFootnote"/>
    <w:qFormat/>
    <w:rsid w:val="008328F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328F7"/>
    <w:pPr>
      <w:keepNext/>
      <w:tabs>
        <w:tab w:val="left" w:pos="567"/>
      </w:tabs>
      <w:spacing w:before="120" w:after="120"/>
      <w:ind w:left="567" w:hanging="567"/>
    </w:pPr>
    <w:rPr>
      <w:b/>
      <w:i/>
    </w:rPr>
  </w:style>
  <w:style w:type="character" w:customStyle="1" w:styleId="IPPnormalitalics">
    <w:name w:val="IPP normal italics"/>
    <w:basedOn w:val="DefaultParagraphFont"/>
    <w:rsid w:val="008328F7"/>
    <w:rPr>
      <w:rFonts w:ascii="Times New Roman" w:hAnsi="Times New Roman"/>
      <w:i/>
      <w:sz w:val="22"/>
      <w:lang w:val="en-US"/>
    </w:rPr>
  </w:style>
  <w:style w:type="character" w:customStyle="1" w:styleId="IPPNormalbold">
    <w:name w:val="IPP Normal bold"/>
    <w:basedOn w:val="PlainTextChar"/>
    <w:rsid w:val="008328F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8328F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328F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328F7"/>
    <w:pPr>
      <w:keepNext/>
      <w:ind w:left="567" w:hanging="567"/>
      <w:jc w:val="left"/>
    </w:pPr>
    <w:rPr>
      <w:b/>
      <w:bCs/>
      <w:iCs/>
      <w:szCs w:val="22"/>
    </w:rPr>
  </w:style>
  <w:style w:type="character" w:customStyle="1" w:styleId="IPPNormalunderlined">
    <w:name w:val="IPP Normal underlined"/>
    <w:basedOn w:val="DefaultParagraphFont"/>
    <w:rsid w:val="008328F7"/>
    <w:rPr>
      <w:rFonts w:ascii="Times New Roman" w:hAnsi="Times New Roman"/>
      <w:sz w:val="22"/>
      <w:u w:val="single"/>
      <w:lang w:val="en-US"/>
    </w:rPr>
  </w:style>
  <w:style w:type="paragraph" w:customStyle="1" w:styleId="IPPBullet1">
    <w:name w:val="IPP Bullet1"/>
    <w:basedOn w:val="IPPBullet1Last"/>
    <w:qFormat/>
    <w:rsid w:val="008328F7"/>
    <w:pPr>
      <w:numPr>
        <w:numId w:val="43"/>
      </w:numPr>
      <w:spacing w:after="60"/>
      <w:ind w:left="567" w:hanging="567"/>
    </w:pPr>
    <w:rPr>
      <w:lang w:val="en-US"/>
    </w:rPr>
  </w:style>
  <w:style w:type="paragraph" w:customStyle="1" w:styleId="IPPBullet1Last">
    <w:name w:val="IPP Bullet1Last"/>
    <w:basedOn w:val="IPPNormal"/>
    <w:next w:val="IPPNormal"/>
    <w:autoRedefine/>
    <w:qFormat/>
    <w:rsid w:val="008328F7"/>
    <w:pPr>
      <w:numPr>
        <w:numId w:val="31"/>
      </w:numPr>
    </w:pPr>
  </w:style>
  <w:style w:type="character" w:customStyle="1" w:styleId="IPPNormalstrikethrough">
    <w:name w:val="IPP Normal strikethrough"/>
    <w:rsid w:val="008328F7"/>
    <w:rPr>
      <w:rFonts w:ascii="Times New Roman" w:hAnsi="Times New Roman"/>
      <w:strike/>
      <w:dstrike w:val="0"/>
      <w:sz w:val="22"/>
    </w:rPr>
  </w:style>
  <w:style w:type="paragraph" w:customStyle="1" w:styleId="IPPTitle16pt">
    <w:name w:val="IPP Title16pt"/>
    <w:basedOn w:val="Normal"/>
    <w:qFormat/>
    <w:rsid w:val="008328F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328F7"/>
    <w:pPr>
      <w:spacing w:after="360"/>
      <w:jc w:val="center"/>
    </w:pPr>
    <w:rPr>
      <w:rFonts w:ascii="Arial" w:hAnsi="Arial" w:cs="Arial"/>
      <w:b/>
      <w:bCs/>
      <w:sz w:val="36"/>
      <w:szCs w:val="36"/>
    </w:rPr>
  </w:style>
  <w:style w:type="paragraph" w:customStyle="1" w:styleId="IPPHeader">
    <w:name w:val="IPP Header"/>
    <w:basedOn w:val="Normal"/>
    <w:qFormat/>
    <w:rsid w:val="008328F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328F7"/>
    <w:pPr>
      <w:keepNext/>
      <w:tabs>
        <w:tab w:val="left" w:pos="567"/>
      </w:tabs>
      <w:spacing w:before="120"/>
      <w:jc w:val="left"/>
      <w:outlineLvl w:val="1"/>
    </w:pPr>
    <w:rPr>
      <w:b/>
      <w:sz w:val="24"/>
    </w:rPr>
  </w:style>
  <w:style w:type="numbering" w:customStyle="1" w:styleId="IPPParagraphnumberedlist">
    <w:name w:val="IPP Paragraph numbered list"/>
    <w:rsid w:val="008328F7"/>
    <w:pPr>
      <w:numPr>
        <w:numId w:val="29"/>
      </w:numPr>
    </w:pPr>
  </w:style>
  <w:style w:type="paragraph" w:customStyle="1" w:styleId="IPPNormalCloseSpace">
    <w:name w:val="IPP NormalCloseSpace"/>
    <w:basedOn w:val="Normal"/>
    <w:qFormat/>
    <w:rsid w:val="008328F7"/>
    <w:pPr>
      <w:keepNext/>
      <w:spacing w:after="60"/>
    </w:pPr>
  </w:style>
  <w:style w:type="paragraph" w:customStyle="1" w:styleId="IPPHeading2">
    <w:name w:val="IPP Heading2"/>
    <w:basedOn w:val="IPPNormal"/>
    <w:next w:val="IPPNormal"/>
    <w:qFormat/>
    <w:rsid w:val="008328F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328F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328F7"/>
    <w:pPr>
      <w:tabs>
        <w:tab w:val="right" w:leader="dot" w:pos="9072"/>
      </w:tabs>
      <w:spacing w:before="240"/>
      <w:ind w:left="567" w:hanging="567"/>
    </w:pPr>
  </w:style>
  <w:style w:type="paragraph" w:styleId="TOC2">
    <w:name w:val="toc 2"/>
    <w:basedOn w:val="TOC1"/>
    <w:next w:val="Normal"/>
    <w:autoRedefine/>
    <w:uiPriority w:val="39"/>
    <w:rsid w:val="008328F7"/>
    <w:pPr>
      <w:keepNext w:val="0"/>
      <w:tabs>
        <w:tab w:val="left" w:pos="425"/>
      </w:tabs>
      <w:spacing w:before="120" w:after="0"/>
      <w:ind w:left="425" w:right="284" w:hanging="425"/>
    </w:pPr>
  </w:style>
  <w:style w:type="paragraph" w:styleId="TOC3">
    <w:name w:val="toc 3"/>
    <w:basedOn w:val="TOC2"/>
    <w:next w:val="Normal"/>
    <w:autoRedefine/>
    <w:uiPriority w:val="39"/>
    <w:rsid w:val="008328F7"/>
    <w:pPr>
      <w:tabs>
        <w:tab w:val="left" w:pos="1276"/>
      </w:tabs>
      <w:spacing w:before="60"/>
      <w:ind w:left="1276" w:hanging="851"/>
    </w:pPr>
    <w:rPr>
      <w:rFonts w:eastAsia="Times"/>
    </w:rPr>
  </w:style>
  <w:style w:type="paragraph" w:styleId="TOC4">
    <w:name w:val="toc 4"/>
    <w:basedOn w:val="Normal"/>
    <w:next w:val="Normal"/>
    <w:autoRedefine/>
    <w:uiPriority w:val="39"/>
    <w:rsid w:val="008328F7"/>
    <w:pPr>
      <w:spacing w:after="120"/>
      <w:ind w:left="660"/>
    </w:pPr>
    <w:rPr>
      <w:rFonts w:eastAsia="Times"/>
      <w:lang w:val="en-AU"/>
    </w:rPr>
  </w:style>
  <w:style w:type="paragraph" w:styleId="TOC5">
    <w:name w:val="toc 5"/>
    <w:basedOn w:val="Normal"/>
    <w:next w:val="Normal"/>
    <w:autoRedefine/>
    <w:uiPriority w:val="39"/>
    <w:rsid w:val="008328F7"/>
    <w:pPr>
      <w:spacing w:after="120"/>
      <w:ind w:left="880"/>
    </w:pPr>
    <w:rPr>
      <w:rFonts w:eastAsia="Times"/>
      <w:lang w:val="en-AU"/>
    </w:rPr>
  </w:style>
  <w:style w:type="paragraph" w:styleId="TOC6">
    <w:name w:val="toc 6"/>
    <w:basedOn w:val="Normal"/>
    <w:next w:val="Normal"/>
    <w:autoRedefine/>
    <w:uiPriority w:val="39"/>
    <w:rsid w:val="008328F7"/>
    <w:pPr>
      <w:spacing w:after="120"/>
      <w:ind w:left="1100"/>
    </w:pPr>
    <w:rPr>
      <w:rFonts w:eastAsia="Times"/>
      <w:lang w:val="en-AU"/>
    </w:rPr>
  </w:style>
  <w:style w:type="paragraph" w:styleId="TOC7">
    <w:name w:val="toc 7"/>
    <w:basedOn w:val="Normal"/>
    <w:next w:val="Normal"/>
    <w:autoRedefine/>
    <w:uiPriority w:val="39"/>
    <w:rsid w:val="008328F7"/>
    <w:pPr>
      <w:spacing w:after="120"/>
      <w:ind w:left="1320"/>
    </w:pPr>
    <w:rPr>
      <w:rFonts w:eastAsia="Times"/>
      <w:lang w:val="en-AU"/>
    </w:rPr>
  </w:style>
  <w:style w:type="paragraph" w:styleId="TOC8">
    <w:name w:val="toc 8"/>
    <w:basedOn w:val="Normal"/>
    <w:next w:val="Normal"/>
    <w:autoRedefine/>
    <w:uiPriority w:val="39"/>
    <w:rsid w:val="008328F7"/>
    <w:pPr>
      <w:spacing w:after="120"/>
      <w:ind w:left="1540"/>
    </w:pPr>
    <w:rPr>
      <w:rFonts w:eastAsia="Times"/>
      <w:lang w:val="en-AU"/>
    </w:rPr>
  </w:style>
  <w:style w:type="paragraph" w:styleId="TOC9">
    <w:name w:val="toc 9"/>
    <w:basedOn w:val="Normal"/>
    <w:next w:val="Normal"/>
    <w:autoRedefine/>
    <w:uiPriority w:val="39"/>
    <w:rsid w:val="008328F7"/>
    <w:pPr>
      <w:spacing w:after="120"/>
      <w:ind w:left="1760"/>
    </w:pPr>
    <w:rPr>
      <w:rFonts w:eastAsia="Times"/>
      <w:lang w:val="en-AU"/>
    </w:rPr>
  </w:style>
  <w:style w:type="paragraph" w:customStyle="1" w:styleId="IPPReferences">
    <w:name w:val="IPP References"/>
    <w:basedOn w:val="IPPNormal"/>
    <w:qFormat/>
    <w:rsid w:val="008328F7"/>
    <w:pPr>
      <w:spacing w:after="60"/>
      <w:ind w:left="567" w:hanging="567"/>
    </w:pPr>
  </w:style>
  <w:style w:type="paragraph" w:customStyle="1" w:styleId="IPPArial">
    <w:name w:val="IPP Arial"/>
    <w:basedOn w:val="IPPNormal"/>
    <w:qFormat/>
    <w:rsid w:val="008328F7"/>
    <w:pPr>
      <w:spacing w:after="0"/>
    </w:pPr>
    <w:rPr>
      <w:rFonts w:ascii="Arial" w:hAnsi="Arial"/>
      <w:sz w:val="18"/>
    </w:rPr>
  </w:style>
  <w:style w:type="paragraph" w:customStyle="1" w:styleId="IPPArialTable">
    <w:name w:val="IPP Arial Table"/>
    <w:basedOn w:val="IPPArial"/>
    <w:qFormat/>
    <w:rsid w:val="008328F7"/>
    <w:pPr>
      <w:spacing w:before="60" w:after="60"/>
      <w:jc w:val="left"/>
    </w:pPr>
  </w:style>
  <w:style w:type="paragraph" w:customStyle="1" w:styleId="IPPHeaderlandscape">
    <w:name w:val="IPP Header landscape"/>
    <w:basedOn w:val="IPPHeader"/>
    <w:qFormat/>
    <w:rsid w:val="008328F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328F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328F7"/>
    <w:rPr>
      <w:rFonts w:ascii="Courier" w:eastAsia="Times" w:hAnsi="Courier" w:cs="Times New Roman"/>
      <w:sz w:val="21"/>
      <w:szCs w:val="21"/>
      <w:lang w:val="en-AU"/>
    </w:rPr>
  </w:style>
  <w:style w:type="paragraph" w:customStyle="1" w:styleId="IPPLetterList">
    <w:name w:val="IPP LetterList"/>
    <w:basedOn w:val="IPPBullet2"/>
    <w:qFormat/>
    <w:rsid w:val="008328F7"/>
    <w:pPr>
      <w:numPr>
        <w:numId w:val="26"/>
      </w:numPr>
      <w:jc w:val="left"/>
    </w:pPr>
  </w:style>
  <w:style w:type="paragraph" w:customStyle="1" w:styleId="IPPLetterListIndent">
    <w:name w:val="IPP LetterList Indent"/>
    <w:basedOn w:val="IPPLetterList"/>
    <w:qFormat/>
    <w:rsid w:val="008328F7"/>
    <w:pPr>
      <w:numPr>
        <w:numId w:val="27"/>
      </w:numPr>
    </w:pPr>
  </w:style>
  <w:style w:type="paragraph" w:customStyle="1" w:styleId="IPPFooterLandscape">
    <w:name w:val="IPP Footer Landscape"/>
    <w:basedOn w:val="IPPHeaderlandscape"/>
    <w:qFormat/>
    <w:rsid w:val="008328F7"/>
    <w:pPr>
      <w:pBdr>
        <w:top w:val="single" w:sz="4" w:space="1" w:color="auto"/>
        <w:bottom w:val="none" w:sz="0" w:space="0" w:color="auto"/>
      </w:pBdr>
      <w:jc w:val="right"/>
    </w:pPr>
    <w:rPr>
      <w:b/>
    </w:rPr>
  </w:style>
  <w:style w:type="paragraph" w:customStyle="1" w:styleId="IPPSubheadSpace">
    <w:name w:val="IPP Subhead Space"/>
    <w:basedOn w:val="IPPSubhead"/>
    <w:qFormat/>
    <w:rsid w:val="008328F7"/>
    <w:pPr>
      <w:tabs>
        <w:tab w:val="left" w:pos="567"/>
      </w:tabs>
      <w:spacing w:before="60" w:after="60"/>
    </w:pPr>
  </w:style>
  <w:style w:type="paragraph" w:customStyle="1" w:styleId="IPPSubheadSpaceAfter">
    <w:name w:val="IPP Subhead SpaceAfter"/>
    <w:basedOn w:val="IPPSubhead"/>
    <w:qFormat/>
    <w:rsid w:val="008328F7"/>
    <w:pPr>
      <w:spacing w:after="60"/>
    </w:pPr>
  </w:style>
  <w:style w:type="paragraph" w:customStyle="1" w:styleId="IPPHdg1Num">
    <w:name w:val="IPP Hdg1Num"/>
    <w:basedOn w:val="IPPHeading1"/>
    <w:next w:val="IPPNormal"/>
    <w:qFormat/>
    <w:rsid w:val="008328F7"/>
    <w:pPr>
      <w:numPr>
        <w:numId w:val="32"/>
      </w:numPr>
    </w:pPr>
  </w:style>
  <w:style w:type="paragraph" w:customStyle="1" w:styleId="IPPHdg2Num">
    <w:name w:val="IPP Hdg2Num"/>
    <w:basedOn w:val="IPPHeading2"/>
    <w:next w:val="IPPNormal"/>
    <w:qFormat/>
    <w:rsid w:val="008328F7"/>
    <w:pPr>
      <w:numPr>
        <w:ilvl w:val="1"/>
        <w:numId w:val="33"/>
      </w:numPr>
    </w:pPr>
  </w:style>
  <w:style w:type="paragraph" w:customStyle="1" w:styleId="IPPNumberedList">
    <w:name w:val="IPP NumberedList"/>
    <w:basedOn w:val="IPPBullet1"/>
    <w:qFormat/>
    <w:rsid w:val="008328F7"/>
    <w:pPr>
      <w:numPr>
        <w:numId w:val="41"/>
      </w:numPr>
    </w:pPr>
  </w:style>
  <w:style w:type="paragraph" w:customStyle="1" w:styleId="IPPParagraphnumbering">
    <w:name w:val="IPP Paragraph numbering"/>
    <w:basedOn w:val="IPPNormal"/>
    <w:qFormat/>
    <w:rsid w:val="008328F7"/>
    <w:pPr>
      <w:numPr>
        <w:numId w:val="35"/>
      </w:numPr>
    </w:pPr>
    <w:rPr>
      <w:lang w:val="en-US"/>
    </w:rPr>
  </w:style>
  <w:style w:type="paragraph" w:customStyle="1" w:styleId="IPPParagraphnumberingclose">
    <w:name w:val="IPP Paragraph numbering close"/>
    <w:basedOn w:val="IPPParagraphnumbering"/>
    <w:qFormat/>
    <w:rsid w:val="008328F7"/>
    <w:pPr>
      <w:keepNext/>
      <w:spacing w:after="60"/>
    </w:pPr>
  </w:style>
  <w:style w:type="paragraph" w:customStyle="1" w:styleId="IPPNumberedListLast">
    <w:name w:val="IPP NumberedListLast"/>
    <w:basedOn w:val="IPPNumberedList"/>
    <w:qFormat/>
    <w:rsid w:val="008328F7"/>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740943">
      <w:bodyDiv w:val="1"/>
      <w:marLeft w:val="0"/>
      <w:marRight w:val="0"/>
      <w:marTop w:val="0"/>
      <w:marBottom w:val="0"/>
      <w:divBdr>
        <w:top w:val="none" w:sz="0" w:space="0" w:color="auto"/>
        <w:left w:val="none" w:sz="0" w:space="0" w:color="auto"/>
        <w:bottom w:val="none" w:sz="0" w:space="0" w:color="auto"/>
        <w:right w:val="none" w:sz="0" w:space="0" w:color="auto"/>
      </w:divBdr>
    </w:div>
    <w:div w:id="18487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1" Type="http://schemas.openxmlformats.org/officeDocument/2006/relationships/hyperlink" Target="https://www.ephytoexchange.org/lan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adefacilitation.org/who-we-are/who-we-are/" TargetMode="External"/><Relationship Id="rId2" Type="http://schemas.openxmlformats.org/officeDocument/2006/relationships/hyperlink" Target="https://datahelpdesk.worldbank.org/knowledgebase/articles/906519-world-bank-country-and-lending-groups" TargetMode="External"/><Relationship Id="rId1" Type="http://schemas.openxmlformats.org/officeDocument/2006/relationships/hyperlink" Target="https://assets.ippc.int/static/media/files/publication/en/2021/01/31_CPM_2021_ePhytofunding-2021-01-29.pdf" TargetMode="External"/><Relationship Id="rId5" Type="http://schemas.openxmlformats.org/officeDocument/2006/relationships/hyperlink" Target="https://www.tradefacilitation.org/projects-modernising-agricultural-trade/" TargetMode="External"/><Relationship Id="rId4" Type="http://schemas.openxmlformats.org/officeDocument/2006/relationships/hyperlink" Target="https://www.tradefacilitation.org/article/international-organisations-formalise-trade-facilitation-partnershi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butt\OneDrive\Documents\Alliance%20ePhyto%20Upscaling\Production%20ephytos%20Exchanged%20up%20to%20May%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butt\OneDrive\Documents\Alliance%20ePhyto%20Upscaling\Production%20ephytos%20Exchanged%20up%20to%20May%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Number of Production ePhtos Exchanged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Sheet1!$A$2:$A$54</c:f>
              <c:numCache>
                <c:formatCode>mmm\-yy</c:formatCode>
                <c:ptCount val="53"/>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numCache>
            </c:numRef>
          </c:xVal>
          <c:yVal>
            <c:numRef>
              <c:f>Sheet1!$B$2:$B$54</c:f>
              <c:numCache>
                <c:formatCode>#,##0</c:formatCode>
                <c:ptCount val="53"/>
                <c:pt idx="0">
                  <c:v>1425</c:v>
                </c:pt>
                <c:pt idx="1">
                  <c:v>1819</c:v>
                </c:pt>
                <c:pt idx="2">
                  <c:v>1414</c:v>
                </c:pt>
                <c:pt idx="3">
                  <c:v>2041</c:v>
                </c:pt>
                <c:pt idx="4">
                  <c:v>1940</c:v>
                </c:pt>
                <c:pt idx="5">
                  <c:v>2333</c:v>
                </c:pt>
                <c:pt idx="6">
                  <c:v>2204</c:v>
                </c:pt>
                <c:pt idx="7">
                  <c:v>4029</c:v>
                </c:pt>
                <c:pt idx="8">
                  <c:v>8689</c:v>
                </c:pt>
                <c:pt idx="9">
                  <c:v>8576</c:v>
                </c:pt>
                <c:pt idx="10">
                  <c:v>7131</c:v>
                </c:pt>
                <c:pt idx="11">
                  <c:v>5729</c:v>
                </c:pt>
                <c:pt idx="12">
                  <c:v>12759</c:v>
                </c:pt>
                <c:pt idx="13">
                  <c:v>14464</c:v>
                </c:pt>
                <c:pt idx="14">
                  <c:v>56835</c:v>
                </c:pt>
                <c:pt idx="15">
                  <c:v>10258</c:v>
                </c:pt>
                <c:pt idx="16">
                  <c:v>11254</c:v>
                </c:pt>
                <c:pt idx="17">
                  <c:v>8017</c:v>
                </c:pt>
                <c:pt idx="18">
                  <c:v>5459</c:v>
                </c:pt>
                <c:pt idx="19">
                  <c:v>11687</c:v>
                </c:pt>
                <c:pt idx="20">
                  <c:v>9126</c:v>
                </c:pt>
                <c:pt idx="21">
                  <c:v>7736</c:v>
                </c:pt>
                <c:pt idx="22">
                  <c:v>6726</c:v>
                </c:pt>
                <c:pt idx="23">
                  <c:v>7992</c:v>
                </c:pt>
                <c:pt idx="24">
                  <c:v>12006</c:v>
                </c:pt>
                <c:pt idx="25">
                  <c:v>19965</c:v>
                </c:pt>
                <c:pt idx="26">
                  <c:v>23343</c:v>
                </c:pt>
                <c:pt idx="27">
                  <c:v>21051</c:v>
                </c:pt>
                <c:pt idx="28">
                  <c:v>31930</c:v>
                </c:pt>
                <c:pt idx="29">
                  <c:v>54696</c:v>
                </c:pt>
                <c:pt idx="30">
                  <c:v>44074</c:v>
                </c:pt>
                <c:pt idx="31">
                  <c:v>45351</c:v>
                </c:pt>
                <c:pt idx="32">
                  <c:v>45622</c:v>
                </c:pt>
                <c:pt idx="33">
                  <c:v>49415</c:v>
                </c:pt>
                <c:pt idx="34">
                  <c:v>45156</c:v>
                </c:pt>
                <c:pt idx="35">
                  <c:v>50312</c:v>
                </c:pt>
                <c:pt idx="36">
                  <c:v>73371</c:v>
                </c:pt>
                <c:pt idx="37">
                  <c:v>78623</c:v>
                </c:pt>
                <c:pt idx="38">
                  <c:v>95005</c:v>
                </c:pt>
                <c:pt idx="39">
                  <c:v>98549</c:v>
                </c:pt>
                <c:pt idx="40">
                  <c:v>93677</c:v>
                </c:pt>
                <c:pt idx="41">
                  <c:v>81706</c:v>
                </c:pt>
                <c:pt idx="42">
                  <c:v>120600</c:v>
                </c:pt>
                <c:pt idx="43">
                  <c:v>101210</c:v>
                </c:pt>
                <c:pt idx="44">
                  <c:v>117500</c:v>
                </c:pt>
                <c:pt idx="45">
                  <c:v>94515</c:v>
                </c:pt>
                <c:pt idx="46">
                  <c:v>100384</c:v>
                </c:pt>
                <c:pt idx="47">
                  <c:v>107439</c:v>
                </c:pt>
                <c:pt idx="48">
                  <c:v>107457</c:v>
                </c:pt>
                <c:pt idx="49">
                  <c:v>125011</c:v>
                </c:pt>
                <c:pt idx="50">
                  <c:v>140181</c:v>
                </c:pt>
                <c:pt idx="51">
                  <c:v>127101</c:v>
                </c:pt>
                <c:pt idx="52">
                  <c:v>131643</c:v>
                </c:pt>
              </c:numCache>
            </c:numRef>
          </c:yVal>
          <c:smooth val="0"/>
          <c:extLst>
            <c:ext xmlns:c16="http://schemas.microsoft.com/office/drawing/2014/chart" uri="{C3380CC4-5D6E-409C-BE32-E72D297353CC}">
              <c16:uniqueId val="{00000000-D201-41B5-8E15-7D446399B3D7}"/>
            </c:ext>
          </c:extLst>
        </c:ser>
        <c:dLbls>
          <c:showLegendKey val="0"/>
          <c:showVal val="0"/>
          <c:showCatName val="0"/>
          <c:showSerName val="0"/>
          <c:showPercent val="0"/>
          <c:showBubbleSize val="0"/>
        </c:dLbls>
        <c:axId val="537438688"/>
        <c:axId val="537434096"/>
      </c:scatterChart>
      <c:valAx>
        <c:axId val="537438688"/>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434096"/>
        <c:crosses val="autoZero"/>
        <c:crossBetween val="midCat"/>
      </c:valAx>
      <c:valAx>
        <c:axId val="537434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438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Number of Production ePhtos Exchanged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Sheet1!$A$2:$A$54</c:f>
              <c:numCache>
                <c:formatCode>mmm\-yy</c:formatCode>
                <c:ptCount val="53"/>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numCache>
            </c:numRef>
          </c:xVal>
          <c:yVal>
            <c:numRef>
              <c:f>Sheet1!$B$2:$B$54</c:f>
              <c:numCache>
                <c:formatCode>#,##0</c:formatCode>
                <c:ptCount val="53"/>
                <c:pt idx="0">
                  <c:v>1425</c:v>
                </c:pt>
                <c:pt idx="1">
                  <c:v>1819</c:v>
                </c:pt>
                <c:pt idx="2">
                  <c:v>1414</c:v>
                </c:pt>
                <c:pt idx="3">
                  <c:v>2041</c:v>
                </c:pt>
                <c:pt idx="4">
                  <c:v>1940</c:v>
                </c:pt>
                <c:pt idx="5">
                  <c:v>2333</c:v>
                </c:pt>
                <c:pt idx="6">
                  <c:v>2204</c:v>
                </c:pt>
                <c:pt idx="7">
                  <c:v>4029</c:v>
                </c:pt>
                <c:pt idx="8">
                  <c:v>8689</c:v>
                </c:pt>
                <c:pt idx="9">
                  <c:v>8576</c:v>
                </c:pt>
                <c:pt idx="10">
                  <c:v>7131</c:v>
                </c:pt>
                <c:pt idx="11">
                  <c:v>5729</c:v>
                </c:pt>
                <c:pt idx="12">
                  <c:v>12759</c:v>
                </c:pt>
                <c:pt idx="13">
                  <c:v>14464</c:v>
                </c:pt>
                <c:pt idx="14">
                  <c:v>56835</c:v>
                </c:pt>
                <c:pt idx="15">
                  <c:v>10258</c:v>
                </c:pt>
                <c:pt idx="16">
                  <c:v>11254</c:v>
                </c:pt>
                <c:pt idx="17">
                  <c:v>8017</c:v>
                </c:pt>
                <c:pt idx="18">
                  <c:v>5459</c:v>
                </c:pt>
                <c:pt idx="19">
                  <c:v>11687</c:v>
                </c:pt>
                <c:pt idx="20">
                  <c:v>9126</c:v>
                </c:pt>
                <c:pt idx="21">
                  <c:v>7736</c:v>
                </c:pt>
                <c:pt idx="22">
                  <c:v>6726</c:v>
                </c:pt>
                <c:pt idx="23">
                  <c:v>7992</c:v>
                </c:pt>
                <c:pt idx="24">
                  <c:v>12006</c:v>
                </c:pt>
                <c:pt idx="25">
                  <c:v>19965</c:v>
                </c:pt>
                <c:pt idx="26">
                  <c:v>23343</c:v>
                </c:pt>
                <c:pt idx="27">
                  <c:v>21051</c:v>
                </c:pt>
                <c:pt idx="28">
                  <c:v>31930</c:v>
                </c:pt>
                <c:pt idx="29">
                  <c:v>54696</c:v>
                </c:pt>
                <c:pt idx="30">
                  <c:v>44074</c:v>
                </c:pt>
                <c:pt idx="31">
                  <c:v>45351</c:v>
                </c:pt>
                <c:pt idx="32">
                  <c:v>45622</c:v>
                </c:pt>
                <c:pt idx="33">
                  <c:v>49415</c:v>
                </c:pt>
                <c:pt idx="34">
                  <c:v>45156</c:v>
                </c:pt>
                <c:pt idx="35">
                  <c:v>50312</c:v>
                </c:pt>
                <c:pt idx="36">
                  <c:v>73371</c:v>
                </c:pt>
                <c:pt idx="37">
                  <c:v>78623</c:v>
                </c:pt>
                <c:pt idx="38">
                  <c:v>95005</c:v>
                </c:pt>
                <c:pt idx="39">
                  <c:v>98549</c:v>
                </c:pt>
                <c:pt idx="40">
                  <c:v>93677</c:v>
                </c:pt>
                <c:pt idx="41">
                  <c:v>81706</c:v>
                </c:pt>
                <c:pt idx="42">
                  <c:v>120600</c:v>
                </c:pt>
                <c:pt idx="43">
                  <c:v>101210</c:v>
                </c:pt>
                <c:pt idx="44">
                  <c:v>117500</c:v>
                </c:pt>
                <c:pt idx="45">
                  <c:v>94515</c:v>
                </c:pt>
                <c:pt idx="46">
                  <c:v>100384</c:v>
                </c:pt>
                <c:pt idx="47">
                  <c:v>107439</c:v>
                </c:pt>
                <c:pt idx="48">
                  <c:v>107457</c:v>
                </c:pt>
                <c:pt idx="49">
                  <c:v>125011</c:v>
                </c:pt>
                <c:pt idx="50">
                  <c:v>140181</c:v>
                </c:pt>
                <c:pt idx="51">
                  <c:v>127101</c:v>
                </c:pt>
                <c:pt idx="52">
                  <c:v>131643</c:v>
                </c:pt>
              </c:numCache>
            </c:numRef>
          </c:yVal>
          <c:smooth val="0"/>
          <c:extLst>
            <c:ext xmlns:c16="http://schemas.microsoft.com/office/drawing/2014/chart" uri="{C3380CC4-5D6E-409C-BE32-E72D297353CC}">
              <c16:uniqueId val="{00000000-54FD-45B9-AF70-1920CF6EEB84}"/>
            </c:ext>
          </c:extLst>
        </c:ser>
        <c:dLbls>
          <c:showLegendKey val="0"/>
          <c:showVal val="0"/>
          <c:showCatName val="0"/>
          <c:showSerName val="0"/>
          <c:showPercent val="0"/>
          <c:showBubbleSize val="0"/>
        </c:dLbls>
        <c:axId val="537438688"/>
        <c:axId val="537434096"/>
      </c:scatterChart>
      <c:valAx>
        <c:axId val="537438688"/>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434096"/>
        <c:crosses val="autoZero"/>
        <c:crossBetween val="midCat"/>
      </c:valAx>
      <c:valAx>
        <c:axId val="537434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438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4AE5-2C55-4D83-97E0-1EC23D629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59E68-379E-4305-A864-47FF0CC5310C}">
  <ds:schemaRefs>
    <ds:schemaRef ds:uri="http://schemas.microsoft.com/sharepoint/v3/contenttype/forms"/>
  </ds:schemaRefs>
</ds:datastoreItem>
</file>

<file path=customXml/itemProps3.xml><?xml version="1.0" encoding="utf-8"?>
<ds:datastoreItem xmlns:ds="http://schemas.openxmlformats.org/officeDocument/2006/customXml" ds:itemID="{4D111960-6392-46BF-8937-A0F9F79011E2}">
  <ds:schemaRefs>
    <ds:schemaRef ds:uri="http://purl.org/dc/terms/"/>
    <ds:schemaRef ds:uri="8c2680b1-8717-4e17-af8a-c3c5948a3503"/>
    <ds:schemaRef ds:uri="http://schemas.microsoft.com/office/2006/documentManagement/types"/>
    <ds:schemaRef ds:uri="http://schemas.microsoft.com/office/infopath/2007/PartnerControls"/>
    <ds:schemaRef ds:uri="3c9ac98d-36e3-464e-9a3d-571690e2b8c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97F3EA3-64A6-4FA2-BC91-E3ACDE59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3</TotalTime>
  <Pages>14</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Winthrop</dc:creator>
  <cp:keywords/>
  <dc:description/>
  <cp:lastModifiedBy>Lahti, Tanja (NSP)</cp:lastModifiedBy>
  <cp:revision>6</cp:revision>
  <dcterms:created xsi:type="dcterms:W3CDTF">2022-09-28T11:33:00Z</dcterms:created>
  <dcterms:modified xsi:type="dcterms:W3CDTF">2022-09-28T13:09:00Z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k182b6bd2a994f8f95e924da00d78e9b">
    <vt:lpwstr>None|cf402fa0-b6a8-49a7-a22e-a95b6152c608</vt:lpwstr>
  </property>
  <property fmtid="{D5CDD505-2E9C-101B-9397-08002B2CF9AE}" pid="4" name="C3Topic">
    <vt:lpwstr/>
  </property>
  <property fmtid="{D5CDD505-2E9C-101B-9397-08002B2CF9AE}" pid="5" name="TaxKeyword">
    <vt:lpwstr/>
  </property>
  <property fmtid="{D5CDD505-2E9C-101B-9397-08002B2CF9AE}" pid="6" name="MPISecurityClassification">
    <vt:lpwstr>1;#None|cf402fa0-b6a8-49a7-a22e-a95b6152c608</vt:lpwstr>
  </property>
  <property fmtid="{D5CDD505-2E9C-101B-9397-08002B2CF9AE}" pid="7" name="Derived Terms">
    <vt:lpwstr/>
  </property>
  <property fmtid="{D5CDD505-2E9C-101B-9397-08002B2CF9AE}" pid="8" name="RecordPoint_WorkflowType">
    <vt:lpwstr>ActiveSubmitStub</vt:lpwstr>
  </property>
  <property fmtid="{D5CDD505-2E9C-101B-9397-08002B2CF9AE}" pid="9" name="RecordPoint_ActiveItemListId">
    <vt:lpwstr>{22471a97-f07b-4bc2-8ef0-3a9d03fecb11}</vt:lpwstr>
  </property>
  <property fmtid="{D5CDD505-2E9C-101B-9397-08002B2CF9AE}" pid="10" name="RecordPoint_ActiveItemUniqueId">
    <vt:lpwstr>{265443ed-982e-4573-8b40-7842bf060c10}</vt:lpwstr>
  </property>
  <property fmtid="{D5CDD505-2E9C-101B-9397-08002B2CF9AE}" pid="11" name="RecordPoint_ActiveItemWebId">
    <vt:lpwstr>{34552e7a-8358-4490-b337-fdc78996da53}</vt:lpwstr>
  </property>
  <property fmtid="{D5CDD505-2E9C-101B-9397-08002B2CF9AE}" pid="12" name="RecordPoint_ActiveItemSiteId">
    <vt:lpwstr>{5be09418-e8a7-4c01-88e6-46c25371056e}</vt:lpwstr>
  </property>
  <property fmtid="{D5CDD505-2E9C-101B-9397-08002B2CF9AE}" pid="13" name="RecordPoint_RecordNumberSubmitted">
    <vt:lpwstr>R0007344029</vt:lpwstr>
  </property>
  <property fmtid="{D5CDD505-2E9C-101B-9397-08002B2CF9AE}" pid="14" name="RecordPoint_SubmissionCompleted">
    <vt:lpwstr>2022-07-15T18:29:09.8449997+12:00</vt:lpwstr>
  </property>
  <property fmtid="{D5CDD505-2E9C-101B-9397-08002B2CF9AE}" pid="15" name="MPIYear">
    <vt:lpwstr/>
  </property>
  <property fmtid="{D5CDD505-2E9C-101B-9397-08002B2CF9AE}" pid="16" name="ffcdb518397e41e8a5447fa46841a57f">
    <vt:lpwstr/>
  </property>
</Properties>
</file>