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935C" w14:textId="77777777" w:rsidR="007E348F" w:rsidRDefault="007E348F" w:rsidP="00DA2820">
      <w:pPr>
        <w:rPr>
          <w:b/>
        </w:rPr>
      </w:pPr>
    </w:p>
    <w:p w14:paraId="4FE7DE1E" w14:textId="408A8692" w:rsidR="00975934" w:rsidRDefault="00975934" w:rsidP="00F27F49">
      <w:pPr>
        <w:pStyle w:val="IPPNormal"/>
      </w:pPr>
      <w:r w:rsidRPr="00975934">
        <w:rPr>
          <w:b/>
          <w:bCs/>
          <w:caps/>
          <w:sz w:val="24"/>
          <w:szCs w:val="22"/>
        </w:rPr>
        <w:t>Terms of Reference and Rules of Procedure of the Technical Consultation among Regional Plant Protection Organizations</w:t>
      </w:r>
    </w:p>
    <w:p w14:paraId="5A1AA0DA" w14:textId="77777777" w:rsidR="00975934" w:rsidRDefault="00975934" w:rsidP="00975934">
      <w:pPr>
        <w:pStyle w:val="IPPHeading1"/>
      </w:pPr>
      <w:r>
        <w:t>Background</w:t>
      </w:r>
    </w:p>
    <w:p w14:paraId="4A99BC43" w14:textId="181CB44F" w:rsidR="00975934" w:rsidRDefault="00975934" w:rsidP="0099635F">
      <w:pPr>
        <w:pStyle w:val="IPPParagraphnumbering"/>
      </w:pPr>
      <w:r>
        <w:t xml:space="preserve">The Technical Consultation among Regional Plant Protection Organizations (TC-RPPO) is the forum for </w:t>
      </w:r>
      <w:r w:rsidR="00F27F49">
        <w:t>Regional Plant Protection Organizations (RPPOs)</w:t>
      </w:r>
      <w:r>
        <w:t xml:space="preserve"> to discuss issues of common interest. Article IX.4 of the </w:t>
      </w:r>
      <w:r w:rsidR="00F27F49">
        <w:t>International Plant Protection Convention (</w:t>
      </w:r>
      <w:r>
        <w:t>IPPC</w:t>
      </w:r>
      <w:r w:rsidR="00F27F49">
        <w:t>)</w:t>
      </w:r>
      <w:r>
        <w:t xml:space="preserve"> </w:t>
      </w:r>
      <w:r w:rsidR="004B18A6" w:rsidRPr="00F903F6">
        <w:t>states</w:t>
      </w:r>
      <w:r w:rsidR="004B18A6">
        <w:t xml:space="preserve"> </w:t>
      </w:r>
      <w:r w:rsidR="00F27F49">
        <w:t>that</w:t>
      </w:r>
      <w:r>
        <w:t>:</w:t>
      </w:r>
    </w:p>
    <w:p w14:paraId="06D833DB" w14:textId="7F36157B" w:rsidR="00975934" w:rsidRDefault="00F27F49" w:rsidP="000A4D7B">
      <w:pPr>
        <w:pStyle w:val="IPPBullet1"/>
        <w:numPr>
          <w:ilvl w:val="0"/>
          <w:numId w:val="0"/>
        </w:numPr>
        <w:ind w:left="567" w:hanging="567"/>
      </w:pPr>
      <w:r>
        <w:t>“</w:t>
      </w:r>
      <w:r w:rsidR="00975934">
        <w:t>The Secretary will convene regular Technical Consultations of representatives of regional plant protection organizations to:</w:t>
      </w:r>
    </w:p>
    <w:p w14:paraId="2F4A000C" w14:textId="63A1FBE4" w:rsidR="00975934" w:rsidRDefault="00975934" w:rsidP="00F27F49">
      <w:pPr>
        <w:pStyle w:val="IPPLetterList"/>
        <w:tabs>
          <w:tab w:val="clear" w:pos="1134"/>
        </w:tabs>
        <w:ind w:left="1350" w:hanging="270"/>
      </w:pPr>
      <w:r w:rsidRPr="00975934">
        <w:rPr>
          <w:i/>
        </w:rPr>
        <w:t>promote</w:t>
      </w:r>
      <w:r>
        <w:t xml:space="preserve"> the development and use of relevant international standards for phytosanitary measures; and</w:t>
      </w:r>
    </w:p>
    <w:p w14:paraId="44F09BA2" w14:textId="7F71B7FC" w:rsidR="00975934" w:rsidRDefault="00975934" w:rsidP="00F27F49">
      <w:pPr>
        <w:pStyle w:val="IPPLetterList"/>
        <w:tabs>
          <w:tab w:val="clear" w:pos="1134"/>
        </w:tabs>
        <w:ind w:left="1350" w:hanging="270"/>
      </w:pPr>
      <w:proofErr w:type="gramStart"/>
      <w:r w:rsidRPr="00975934">
        <w:rPr>
          <w:i/>
        </w:rPr>
        <w:t>encourage</w:t>
      </w:r>
      <w:proofErr w:type="gramEnd"/>
      <w:r>
        <w:t xml:space="preserve"> inter-regional cooperation in promoting harmonized phytosanitary measures for controlling pests and in preventing their spread and/or introduction.”</w:t>
      </w:r>
    </w:p>
    <w:p w14:paraId="5D8F766F" w14:textId="77777777" w:rsidR="00975934" w:rsidRDefault="00975934" w:rsidP="00975934">
      <w:pPr>
        <w:pStyle w:val="IPPPargraphnumbering"/>
      </w:pPr>
    </w:p>
    <w:p w14:paraId="048D5EE4" w14:textId="458D49BB" w:rsidR="00F27F49" w:rsidRDefault="00975934" w:rsidP="0099635F">
      <w:pPr>
        <w:pStyle w:val="IPPParagraphnumbering"/>
      </w:pPr>
      <w:r>
        <w:t xml:space="preserve">The TC-RPPO </w:t>
      </w:r>
      <w:r w:rsidR="00F27F49">
        <w:t>was first convened in</w:t>
      </w:r>
      <w:r>
        <w:t xml:space="preserve"> 1989 and meetings have been held every year since. Prior to the existence of the Interim Commission on Phytosanitary Measures (ICPM</w:t>
      </w:r>
      <w:r w:rsidRPr="00F27F49">
        <w:t xml:space="preserve">), the TC-RPPO was the </w:t>
      </w:r>
      <w:r w:rsidR="00F27F49" w:rsidRPr="00F27F49">
        <w:t xml:space="preserve">only </w:t>
      </w:r>
      <w:r w:rsidRPr="00F27F49">
        <w:t>international forum for discussion of phytosanitary matters. As such</w:t>
      </w:r>
      <w:r w:rsidR="00F27F49">
        <w:t>,</w:t>
      </w:r>
      <w:r w:rsidRPr="00F27F49">
        <w:t xml:space="preserve"> the T</w:t>
      </w:r>
      <w:r>
        <w:t xml:space="preserve">C-RPPO was </w:t>
      </w:r>
      <w:r w:rsidR="00F27F49">
        <w:t xml:space="preserve">a key partner </w:t>
      </w:r>
      <w:r>
        <w:t xml:space="preserve">in the development of several of the early </w:t>
      </w:r>
      <w:r w:rsidR="00F27F49">
        <w:t>International Standard</w:t>
      </w:r>
      <w:r w:rsidR="00B87C90">
        <w:t>s</w:t>
      </w:r>
      <w:r w:rsidR="00F27F49">
        <w:t xml:space="preserve"> for Phytosanitary Measures (</w:t>
      </w:r>
      <w:r>
        <w:t>ISPMs</w:t>
      </w:r>
      <w:r w:rsidR="00F27F49">
        <w:t>)</w:t>
      </w:r>
      <w:r>
        <w:t>.</w:t>
      </w:r>
    </w:p>
    <w:p w14:paraId="58525C61" w14:textId="3E80BFF0" w:rsidR="00B24BCA" w:rsidRPr="00894661" w:rsidRDefault="00F903F6" w:rsidP="00B24BCA">
      <w:pPr>
        <w:pStyle w:val="IPPParagraphnumbering"/>
        <w:spacing w:line="259" w:lineRule="auto"/>
      </w:pPr>
      <w:r w:rsidRPr="00894661">
        <w:rPr>
          <w:lang w:val="en-GB"/>
        </w:rPr>
        <w:t xml:space="preserve">From 1989 until 1997 the TC-RPPO operated without </w:t>
      </w:r>
      <w:r w:rsidR="00894661">
        <w:rPr>
          <w:lang w:val="en-GB"/>
        </w:rPr>
        <w:t xml:space="preserve">a </w:t>
      </w:r>
      <w:r w:rsidR="00D148EC" w:rsidRPr="00894661">
        <w:rPr>
          <w:lang w:val="en-GB"/>
        </w:rPr>
        <w:t>formalized Terms of Reference</w:t>
      </w:r>
      <w:r w:rsidRPr="00894661">
        <w:rPr>
          <w:lang w:val="en-GB"/>
        </w:rPr>
        <w:t xml:space="preserve">. </w:t>
      </w:r>
      <w:r w:rsidR="00B24BCA" w:rsidRPr="00894661">
        <w:rPr>
          <w:lang w:val="en-GB"/>
        </w:rPr>
        <w:t xml:space="preserve">The </w:t>
      </w:r>
      <w:r w:rsidRPr="00894661">
        <w:rPr>
          <w:lang w:val="en-GB"/>
        </w:rPr>
        <w:t xml:space="preserve">first </w:t>
      </w:r>
      <w:r w:rsidR="00B24BCA" w:rsidRPr="00894661">
        <w:rPr>
          <w:lang w:val="en-GB"/>
        </w:rPr>
        <w:t>Terms of Reference (TOR) (</w:t>
      </w:r>
      <w:bookmarkStart w:id="0" w:name="_Hlk65572272"/>
      <w:r w:rsidR="00303DAB" w:rsidRPr="00894661">
        <w:rPr>
          <w:lang w:val="en-GB"/>
        </w:rPr>
        <w:t>including Rules of Procedure</w:t>
      </w:r>
      <w:bookmarkEnd w:id="0"/>
      <w:r w:rsidR="00B24BCA" w:rsidRPr="00894661">
        <w:rPr>
          <w:lang w:val="en-GB"/>
        </w:rPr>
        <w:t xml:space="preserve">) </w:t>
      </w:r>
      <w:r w:rsidR="00894661">
        <w:rPr>
          <w:lang w:val="en-GB"/>
        </w:rPr>
        <w:t>for</w:t>
      </w:r>
      <w:r w:rsidR="00894661" w:rsidRPr="00894661">
        <w:rPr>
          <w:lang w:val="en-GB"/>
        </w:rPr>
        <w:t xml:space="preserve"> </w:t>
      </w:r>
      <w:r w:rsidR="00B24BCA" w:rsidRPr="00894661">
        <w:rPr>
          <w:lang w:val="en-GB"/>
        </w:rPr>
        <w:t>the TC-RPPO</w:t>
      </w:r>
      <w:r w:rsidR="00BB4496" w:rsidRPr="00894661">
        <w:rPr>
          <w:vertAlign w:val="superscript"/>
        </w:rPr>
        <w:footnoteReference w:id="2"/>
      </w:r>
      <w:r w:rsidR="00B24BCA" w:rsidRPr="00894661">
        <w:rPr>
          <w:lang w:val="en-GB"/>
        </w:rPr>
        <w:t xml:space="preserve"> was finalized by the </w:t>
      </w:r>
      <w:hyperlink r:id="rId11" w:history="1">
        <w:r w:rsidR="00B24BCA" w:rsidRPr="00C912C8">
          <w:rPr>
            <w:rStyle w:val="Hyperlink"/>
            <w:lang w:val="en-GB"/>
          </w:rPr>
          <w:t>8</w:t>
        </w:r>
        <w:r w:rsidR="00B24BCA" w:rsidRPr="00C912C8">
          <w:rPr>
            <w:rStyle w:val="Hyperlink"/>
            <w:vertAlign w:val="superscript"/>
            <w:lang w:val="en-GB"/>
          </w:rPr>
          <w:t>th</w:t>
        </w:r>
        <w:r w:rsidR="00B24BCA" w:rsidRPr="00C912C8">
          <w:rPr>
            <w:rStyle w:val="Hyperlink"/>
            <w:lang w:val="en-GB"/>
          </w:rPr>
          <w:t xml:space="preserve"> TC-RPPO</w:t>
        </w:r>
      </w:hyperlink>
      <w:bookmarkStart w:id="1" w:name="_GoBack"/>
      <w:bookmarkEnd w:id="1"/>
      <w:r w:rsidR="00B24BCA" w:rsidRPr="00894661">
        <w:rPr>
          <w:lang w:val="en-GB"/>
        </w:rPr>
        <w:t xml:space="preserve"> (1996) and submitted to FAO. In their following meeting, </w:t>
      </w:r>
      <w:hyperlink r:id="rId12" w:history="1">
        <w:r w:rsidR="00B24BCA" w:rsidRPr="00812311">
          <w:rPr>
            <w:rStyle w:val="Hyperlink"/>
            <w:lang w:val="en-GB"/>
          </w:rPr>
          <w:t>9</w:t>
        </w:r>
        <w:r w:rsidR="00B24BCA" w:rsidRPr="00812311">
          <w:rPr>
            <w:rStyle w:val="Hyperlink"/>
            <w:vertAlign w:val="superscript"/>
            <w:lang w:val="en-GB"/>
          </w:rPr>
          <w:t>th</w:t>
        </w:r>
        <w:r w:rsidR="00B24BCA" w:rsidRPr="00812311">
          <w:rPr>
            <w:rStyle w:val="Hyperlink"/>
            <w:lang w:val="en-GB"/>
          </w:rPr>
          <w:t xml:space="preserve"> </w:t>
        </w:r>
        <w:r w:rsidR="00B24BCA" w:rsidRPr="00812311">
          <w:rPr>
            <w:rStyle w:val="Hyperlink"/>
            <w:lang w:val="en-GB"/>
          </w:rPr>
          <w:t>T</w:t>
        </w:r>
        <w:r w:rsidR="00B24BCA" w:rsidRPr="00812311">
          <w:rPr>
            <w:rStyle w:val="Hyperlink"/>
            <w:lang w:val="en-GB"/>
          </w:rPr>
          <w:t>C-RPPO</w:t>
        </w:r>
      </w:hyperlink>
      <w:r w:rsidR="00B24BCA" w:rsidRPr="00894661">
        <w:rPr>
          <w:lang w:val="en-GB"/>
        </w:rPr>
        <w:t xml:space="preserve"> (1997), they were informed that the TOR (</w:t>
      </w:r>
      <w:r w:rsidR="00303DAB" w:rsidRPr="00894661">
        <w:rPr>
          <w:lang w:val="en-GB"/>
        </w:rPr>
        <w:t>including Rules of Procedure</w:t>
      </w:r>
      <w:r w:rsidR="00B24BCA" w:rsidRPr="00894661">
        <w:rPr>
          <w:lang w:val="en-GB"/>
        </w:rPr>
        <w:t xml:space="preserve">) were </w:t>
      </w:r>
      <w:r w:rsidR="00303DAB" w:rsidRPr="00894661">
        <w:rPr>
          <w:lang w:val="en-GB"/>
        </w:rPr>
        <w:t>accepted</w:t>
      </w:r>
      <w:r w:rsidR="00972DF7" w:rsidRPr="00894661">
        <w:rPr>
          <w:lang w:val="en-GB"/>
        </w:rPr>
        <w:t xml:space="preserve"> </w:t>
      </w:r>
      <w:r w:rsidR="00B24BCA" w:rsidRPr="00894661">
        <w:rPr>
          <w:lang w:val="en-GB"/>
        </w:rPr>
        <w:t>by FA</w:t>
      </w:r>
      <w:r w:rsidR="00B24BCA" w:rsidRPr="00D148EC">
        <w:rPr>
          <w:lang w:val="en-GB"/>
        </w:rPr>
        <w:t xml:space="preserve">O </w:t>
      </w:r>
      <w:r w:rsidR="00B24BCA" w:rsidRPr="00894661">
        <w:rPr>
          <w:lang w:val="en-GB"/>
        </w:rPr>
        <w:t>and this was noted in the report of the meeting.</w:t>
      </w:r>
    </w:p>
    <w:p w14:paraId="63BF5F55" w14:textId="090B0973" w:rsidR="00975934" w:rsidRDefault="00303DAB" w:rsidP="0099635F">
      <w:pPr>
        <w:pStyle w:val="IPPParagraphnumbering"/>
      </w:pPr>
      <w:r w:rsidRPr="00D148EC">
        <w:t>T</w:t>
      </w:r>
      <w:r w:rsidR="00975934" w:rsidRPr="00D148EC">
        <w:t xml:space="preserve">he TC-RPPO played </w:t>
      </w:r>
      <w:r w:rsidR="00894661">
        <w:t>a vital</w:t>
      </w:r>
      <w:r w:rsidR="00975934" w:rsidRPr="00D148EC">
        <w:t xml:space="preserve"> role in the revision of the IPPC and </w:t>
      </w:r>
      <w:r w:rsidR="00D148EC" w:rsidRPr="00D148EC">
        <w:t>promoted the creation of</w:t>
      </w:r>
      <w:r w:rsidR="00F27F49" w:rsidRPr="00D148EC">
        <w:t xml:space="preserve"> the</w:t>
      </w:r>
      <w:r w:rsidR="00975934" w:rsidRPr="00D148EC">
        <w:t xml:space="preserve"> ICPM. In 2005, ICPM-7 adopted </w:t>
      </w:r>
      <w:r w:rsidR="00975934" w:rsidRPr="00D148EC">
        <w:rPr>
          <w:i/>
        </w:rPr>
        <w:t>recommendations</w:t>
      </w:r>
      <w:r w:rsidR="00975934" w:rsidRPr="00D148EC">
        <w:t xml:space="preserve"> on the role and functions of RPPOs. CPM-12 (2017) adopted a revised version of “Roles and Functions of RPPO in their relationship with the Commission on Phytosanitary Measures (CPM)</w:t>
      </w:r>
      <w:r w:rsidR="00BB4496" w:rsidRPr="00D148EC">
        <w:rPr>
          <w:vertAlign w:val="superscript"/>
        </w:rPr>
        <w:footnoteReference w:id="3"/>
      </w:r>
      <w:r w:rsidR="00BB4496" w:rsidRPr="00D148EC">
        <w:t>,</w:t>
      </w:r>
      <w:r w:rsidR="00975934" w:rsidRPr="00D148EC">
        <w:t xml:space="preserve">” and encouraged the IPPC Secretariat, the Strategic Planning Group (SPG) and </w:t>
      </w:r>
      <w:r w:rsidR="009F5B95" w:rsidRPr="00D148EC">
        <w:t xml:space="preserve">all </w:t>
      </w:r>
      <w:r w:rsidR="00975934" w:rsidRPr="00D148EC">
        <w:t>CPM subsidiary bodies to continue to</w:t>
      </w:r>
      <w:r w:rsidR="00975934">
        <w:t xml:space="preserve"> collaborate with RPPOs.</w:t>
      </w:r>
    </w:p>
    <w:p w14:paraId="7CC85E9D" w14:textId="4EB4A7D9" w:rsidR="00BB4496" w:rsidRPr="008211A2" w:rsidRDefault="009F5B95" w:rsidP="00F903F6">
      <w:pPr>
        <w:pStyle w:val="IPPParagraphnumbering"/>
        <w:spacing w:line="259" w:lineRule="auto"/>
      </w:pPr>
      <w:r w:rsidRPr="008211A2">
        <w:t>At the 29</w:t>
      </w:r>
      <w:r w:rsidRPr="008211A2">
        <w:rPr>
          <w:vertAlign w:val="superscript"/>
        </w:rPr>
        <w:t>th</w:t>
      </w:r>
      <w:r w:rsidRPr="008211A2">
        <w:t xml:space="preserve"> TC-RPPO</w:t>
      </w:r>
      <w:r w:rsidR="00303DAB" w:rsidRPr="008211A2">
        <w:t xml:space="preserve"> (2017)</w:t>
      </w:r>
      <w:r w:rsidRPr="008211A2">
        <w:t xml:space="preserve">, </w:t>
      </w:r>
      <w:r w:rsidR="00323D29">
        <w:t xml:space="preserve">the </w:t>
      </w:r>
      <w:r w:rsidRPr="008211A2">
        <w:t>RPPOs agreed that they should</w:t>
      </w:r>
      <w:r w:rsidR="00975934" w:rsidRPr="008211A2">
        <w:t xml:space="preserve"> </w:t>
      </w:r>
      <w:r w:rsidR="00F903F6" w:rsidRPr="008211A2">
        <w:t xml:space="preserve">further </w:t>
      </w:r>
      <w:r w:rsidR="00510710" w:rsidRPr="008211A2">
        <w:t>specify</w:t>
      </w:r>
      <w:r w:rsidR="00303DAB" w:rsidRPr="008211A2">
        <w:t xml:space="preserve"> and codify</w:t>
      </w:r>
      <w:r w:rsidR="00510710" w:rsidRPr="008211A2">
        <w:t xml:space="preserve"> </w:t>
      </w:r>
      <w:r w:rsidRPr="008211A2">
        <w:t>the way they operate</w:t>
      </w:r>
      <w:r w:rsidR="00975934" w:rsidRPr="008211A2">
        <w:t xml:space="preserve">. </w:t>
      </w:r>
      <w:r w:rsidRPr="008211A2">
        <w:t>Consequently, a</w:t>
      </w:r>
      <w:r w:rsidR="00975934" w:rsidRPr="008211A2">
        <w:t xml:space="preserve">t the 30th TC-RPPOs (2018), </w:t>
      </w:r>
      <w:r w:rsidR="00323D29">
        <w:t xml:space="preserve">a </w:t>
      </w:r>
      <w:r w:rsidR="00B24BCA" w:rsidRPr="008211A2">
        <w:t xml:space="preserve">revised </w:t>
      </w:r>
      <w:r w:rsidR="00975934" w:rsidRPr="008211A2">
        <w:t xml:space="preserve">Terms of Reference and Rules of Procedure </w:t>
      </w:r>
      <w:r w:rsidR="00303DAB" w:rsidRPr="008211A2">
        <w:t xml:space="preserve">(TOR and ROP) </w:t>
      </w:r>
      <w:r w:rsidR="00975934" w:rsidRPr="008211A2">
        <w:t>for the TC-RPPO were drafted</w:t>
      </w:r>
      <w:r w:rsidRPr="008211A2">
        <w:t>. The draft</w:t>
      </w:r>
      <w:r w:rsidR="00323D29">
        <w:t>s</w:t>
      </w:r>
      <w:r w:rsidRPr="008211A2">
        <w:t xml:space="preserve"> </w:t>
      </w:r>
      <w:r w:rsidR="00323D29">
        <w:t>were</w:t>
      </w:r>
      <w:r w:rsidR="00323D29" w:rsidRPr="008211A2">
        <w:t xml:space="preserve"> </w:t>
      </w:r>
      <w:r w:rsidRPr="008211A2">
        <w:t xml:space="preserve">reexamined and improved </w:t>
      </w:r>
      <w:r w:rsidR="00323D29">
        <w:t>during</w:t>
      </w:r>
      <w:r w:rsidR="00323D29" w:rsidRPr="008211A2">
        <w:t xml:space="preserve"> </w:t>
      </w:r>
      <w:r w:rsidRPr="008211A2">
        <w:t>2020</w:t>
      </w:r>
      <w:r w:rsidR="008211A2" w:rsidRPr="008211A2">
        <w:t>-2021</w:t>
      </w:r>
      <w:r w:rsidR="00975934" w:rsidRPr="008211A2">
        <w:t xml:space="preserve"> </w:t>
      </w:r>
      <w:r w:rsidRPr="008211A2">
        <w:t>and</w:t>
      </w:r>
      <w:r w:rsidR="00975934" w:rsidRPr="008211A2">
        <w:t xml:space="preserve"> </w:t>
      </w:r>
      <w:r w:rsidRPr="008211A2">
        <w:t>are</w:t>
      </w:r>
      <w:r w:rsidR="00975934" w:rsidRPr="008211A2">
        <w:t xml:space="preserve"> presented in </w:t>
      </w:r>
      <w:r w:rsidRPr="008211A2">
        <w:t>A</w:t>
      </w:r>
      <w:r w:rsidR="00975934" w:rsidRPr="008211A2">
        <w:t>ttachment</w:t>
      </w:r>
      <w:r w:rsidRPr="008211A2">
        <w:t>s</w:t>
      </w:r>
      <w:r w:rsidR="00975934" w:rsidRPr="008211A2">
        <w:t xml:space="preserve"> 1 </w:t>
      </w:r>
      <w:r w:rsidRPr="008211A2">
        <w:t>and 2 of</w:t>
      </w:r>
      <w:r w:rsidR="00975934" w:rsidRPr="008211A2">
        <w:t xml:space="preserve"> this paper.</w:t>
      </w:r>
      <w:r w:rsidR="00BB4496" w:rsidRPr="008211A2">
        <w:t xml:space="preserve"> </w:t>
      </w:r>
    </w:p>
    <w:p w14:paraId="59E5DC7E" w14:textId="4CFC59E2" w:rsidR="00BB4496" w:rsidRPr="00912FEA" w:rsidRDefault="00BB4496" w:rsidP="00BB4496">
      <w:pPr>
        <w:pStyle w:val="IPPParagraphnumbering"/>
        <w:spacing w:line="259" w:lineRule="auto"/>
      </w:pPr>
      <w:r w:rsidRPr="008211A2">
        <w:t>The FAO legal office was consulted on the process for revising the TOR</w:t>
      </w:r>
      <w:r w:rsidR="00303DAB" w:rsidRPr="008211A2">
        <w:t xml:space="preserve"> and ROP</w:t>
      </w:r>
      <w:r w:rsidRPr="008211A2">
        <w:t xml:space="preserve"> and they advised that once the TC-RPPO discussed and agreed to </w:t>
      </w:r>
      <w:r w:rsidR="00323D29">
        <w:t xml:space="preserve">the revised text </w:t>
      </w:r>
      <w:r w:rsidRPr="008211A2">
        <w:t xml:space="preserve">they should be forwarded to FAO (via the IPPC Secretariat). FAO would review </w:t>
      </w:r>
      <w:r w:rsidR="008211A2">
        <w:t xml:space="preserve">and propose revisions, if needed, </w:t>
      </w:r>
      <w:r w:rsidRPr="00912FEA">
        <w:t xml:space="preserve">to ensure </w:t>
      </w:r>
      <w:r w:rsidR="00E053B8" w:rsidRPr="00912FEA">
        <w:t>the TOR and ROP</w:t>
      </w:r>
      <w:r w:rsidRPr="00912FEA">
        <w:t xml:space="preserve"> were in line with </w:t>
      </w:r>
      <w:r w:rsidR="00E053B8" w:rsidRPr="00912FEA">
        <w:t>FAO</w:t>
      </w:r>
      <w:r w:rsidRPr="00912FEA">
        <w:t xml:space="preserve"> rules</w:t>
      </w:r>
      <w:r w:rsidRPr="008211A2">
        <w:t>.  The</w:t>
      </w:r>
      <w:r w:rsidR="00E053B8" w:rsidRPr="00912FEA">
        <w:t xml:space="preserve"> TOR and ROP </w:t>
      </w:r>
      <w:r w:rsidRPr="00912FEA">
        <w:t xml:space="preserve">would then be presented back to the TC-RPPO for final approval, noting that all </w:t>
      </w:r>
      <w:r w:rsidR="00E053B8" w:rsidRPr="00912FEA">
        <w:t>previous</w:t>
      </w:r>
      <w:r w:rsidRPr="00912FEA">
        <w:t xml:space="preserve"> versions of </w:t>
      </w:r>
      <w:r w:rsidR="00E053B8" w:rsidRPr="00912FEA">
        <w:t xml:space="preserve">TOR and ROP </w:t>
      </w:r>
      <w:r w:rsidR="005D1BDE" w:rsidRPr="00912FEA">
        <w:t>would be</w:t>
      </w:r>
      <w:r w:rsidRPr="00912FEA">
        <w:t xml:space="preserve"> superseded. It is recommended that the </w:t>
      </w:r>
      <w:r w:rsidR="00E053B8" w:rsidRPr="00912FEA">
        <w:t>TOR and ROP</w:t>
      </w:r>
      <w:r w:rsidR="00912FEA">
        <w:t xml:space="preserve"> after approval by TC-RPPO</w:t>
      </w:r>
      <w:r w:rsidR="00E053B8" w:rsidRPr="00912FEA">
        <w:t xml:space="preserve"> </w:t>
      </w:r>
      <w:r w:rsidRPr="00912FEA">
        <w:t>be presented to the CPM</w:t>
      </w:r>
      <w:r w:rsidR="00912FEA">
        <w:t xml:space="preserve">-16 (2022) </w:t>
      </w:r>
      <w:r w:rsidRPr="00912FEA">
        <w:t xml:space="preserve">for noting. </w:t>
      </w:r>
    </w:p>
    <w:p w14:paraId="738A6C69" w14:textId="0D15B948" w:rsidR="00975934" w:rsidRDefault="00975934" w:rsidP="000E4950">
      <w:pPr>
        <w:pStyle w:val="IPPParagraphnumbering"/>
      </w:pPr>
      <w:r>
        <w:lastRenderedPageBreak/>
        <w:t>CPM</w:t>
      </w:r>
      <w:r w:rsidR="00912FEA">
        <w:t>-16</w:t>
      </w:r>
      <w:r>
        <w:t xml:space="preserve"> is invited to:</w:t>
      </w:r>
    </w:p>
    <w:p w14:paraId="206DDD73" w14:textId="380EFE54" w:rsidR="00975934" w:rsidRDefault="009F5B95" w:rsidP="00975934">
      <w:pPr>
        <w:pStyle w:val="IPPBullet1"/>
      </w:pPr>
      <w:r>
        <w:rPr>
          <w:i/>
        </w:rPr>
        <w:t>Note</w:t>
      </w:r>
      <w:r w:rsidRPr="000A4D7B">
        <w:rPr>
          <w:i/>
        </w:rPr>
        <w:t xml:space="preserve"> </w:t>
      </w:r>
      <w:r w:rsidR="00975934">
        <w:t xml:space="preserve">the Terms of Reference for the Technical Consultation among the Regional Plant Protection Organizations as presented in </w:t>
      </w:r>
      <w:r>
        <w:t>A</w:t>
      </w:r>
      <w:r w:rsidR="00975934">
        <w:t>ttachment 1.</w:t>
      </w:r>
    </w:p>
    <w:p w14:paraId="31D54E6F" w14:textId="323FBE73" w:rsidR="00975934" w:rsidRDefault="009F5B95" w:rsidP="00975934">
      <w:pPr>
        <w:pStyle w:val="IPPBullet1"/>
      </w:pPr>
      <w:r>
        <w:rPr>
          <w:i/>
        </w:rPr>
        <w:t>Note</w:t>
      </w:r>
      <w:r w:rsidR="00975934">
        <w:t xml:space="preserve"> the Rules of Procedure for the Technical Consultation among the Regional Plant Protection Organizations as presented in </w:t>
      </w:r>
      <w:r>
        <w:t>A</w:t>
      </w:r>
      <w:r w:rsidR="00975934">
        <w:t>ttachment 2.</w:t>
      </w:r>
    </w:p>
    <w:p w14:paraId="5F2EC101" w14:textId="77777777" w:rsidR="00975934" w:rsidRDefault="00975934" w:rsidP="00975934">
      <w:pPr>
        <w:pStyle w:val="IPPPargraphnumbering"/>
      </w:pPr>
    </w:p>
    <w:p w14:paraId="1FAF248C" w14:textId="77777777" w:rsidR="00975934" w:rsidRDefault="00975934" w:rsidP="00975934">
      <w:pPr>
        <w:pStyle w:val="IPPPargraphnumbering"/>
      </w:pPr>
      <w:r>
        <w:t> </w:t>
      </w:r>
    </w:p>
    <w:p w14:paraId="5D978152" w14:textId="77777777" w:rsidR="00975934" w:rsidRDefault="00975934" w:rsidP="00975934">
      <w:pPr>
        <w:pStyle w:val="IPPPargraphnumbering"/>
      </w:pPr>
    </w:p>
    <w:p w14:paraId="1849122A" w14:textId="77777777" w:rsidR="00975934" w:rsidRDefault="00975934" w:rsidP="00975934">
      <w:pPr>
        <w:pStyle w:val="IPPPargraphnumbering"/>
      </w:pPr>
    </w:p>
    <w:p w14:paraId="464A93E6" w14:textId="77777777" w:rsidR="00975934" w:rsidRDefault="00975934" w:rsidP="00975934">
      <w:pPr>
        <w:pStyle w:val="IPPPargraphnumbering"/>
      </w:pPr>
    </w:p>
    <w:p w14:paraId="3618B2B3" w14:textId="77777777" w:rsidR="00975934" w:rsidRDefault="00975934" w:rsidP="00975934">
      <w:pPr>
        <w:pStyle w:val="IPPPargraphnumbering"/>
      </w:pPr>
    </w:p>
    <w:p w14:paraId="5ED3757C" w14:textId="6DACB8B6" w:rsidR="00BB4496" w:rsidRDefault="00BB4496">
      <w:pPr>
        <w:spacing w:after="160" w:line="259" w:lineRule="auto"/>
        <w:jc w:val="left"/>
        <w:rPr>
          <w:rFonts w:eastAsia="Times"/>
          <w:lang w:val="en-US" w:eastAsia="zh-CN"/>
        </w:rPr>
      </w:pPr>
      <w:r>
        <w:br w:type="page"/>
      </w:r>
    </w:p>
    <w:p w14:paraId="03A267FE" w14:textId="4FBA9DA4" w:rsidR="00975934" w:rsidRDefault="00975934" w:rsidP="000A4D7B">
      <w:pPr>
        <w:pStyle w:val="IPPAnnexHead"/>
      </w:pPr>
      <w:r>
        <w:lastRenderedPageBreak/>
        <w:t>Attachment 1.</w:t>
      </w:r>
      <w:r w:rsidR="001B7BD5">
        <w:t xml:space="preserve">  </w:t>
      </w:r>
      <w:r>
        <w:t xml:space="preserve">Terms of </w:t>
      </w:r>
      <w:r w:rsidR="009F5B95">
        <w:t>R</w:t>
      </w:r>
      <w:r>
        <w:t>eference for the Technical Consultation among Regional Plant Protection Organizations</w:t>
      </w:r>
    </w:p>
    <w:p w14:paraId="087C217E" w14:textId="19019761" w:rsidR="00975934" w:rsidRDefault="00B509D9" w:rsidP="00975934">
      <w:pPr>
        <w:pStyle w:val="IPPHeading2"/>
      </w:pPr>
      <w:r>
        <w:t xml:space="preserve">1. </w:t>
      </w:r>
      <w:r w:rsidR="00975934">
        <w:t>Scope</w:t>
      </w:r>
    </w:p>
    <w:p w14:paraId="51D68C28" w14:textId="0834F9D7" w:rsidR="009F5B95" w:rsidRDefault="00975934" w:rsidP="0099635F">
      <w:pPr>
        <w:pStyle w:val="IPPParagraphnumbering"/>
      </w:pPr>
      <w:r w:rsidRPr="009F5B95">
        <w:t xml:space="preserve">The Technical Consultation among Regional Plant Protection Organizations (TC-RPPO) </w:t>
      </w:r>
      <w:r w:rsidR="009F5B95" w:rsidRPr="009F5B95">
        <w:t>is a</w:t>
      </w:r>
      <w:r w:rsidRPr="009F5B95">
        <w:t xml:space="preserve"> forum for RPPOs to</w:t>
      </w:r>
      <w:r w:rsidR="00883A15">
        <w:t>:</w:t>
      </w:r>
    </w:p>
    <w:p w14:paraId="1A7605AB" w14:textId="084A2E9E" w:rsidR="00883A15" w:rsidRDefault="000D5C19" w:rsidP="00883A15">
      <w:pPr>
        <w:pStyle w:val="IPPParagraphnumbering"/>
        <w:numPr>
          <w:ilvl w:val="0"/>
          <w:numId w:val="43"/>
        </w:numPr>
        <w:spacing w:after="0"/>
        <w:ind w:left="720"/>
      </w:pPr>
      <w:r>
        <w:t>D</w:t>
      </w:r>
      <w:r w:rsidR="00975934" w:rsidRPr="009F5B95">
        <w:t xml:space="preserve">iscuss </w:t>
      </w:r>
      <w:r w:rsidR="00883A15">
        <w:t xml:space="preserve">plant health </w:t>
      </w:r>
      <w:r w:rsidR="00975934" w:rsidRPr="009F5B95">
        <w:t xml:space="preserve">issues of </w:t>
      </w:r>
      <w:r w:rsidR="00A60D55">
        <w:t>global</w:t>
      </w:r>
      <w:r w:rsidR="00A60D55" w:rsidRPr="009F5B95">
        <w:t xml:space="preserve"> </w:t>
      </w:r>
      <w:r w:rsidR="00975934" w:rsidRPr="009F5B95">
        <w:t>interest</w:t>
      </w:r>
    </w:p>
    <w:p w14:paraId="49444A56" w14:textId="20EB0D23" w:rsidR="000D5C19" w:rsidRDefault="000D5C19" w:rsidP="00883A15">
      <w:pPr>
        <w:pStyle w:val="IPPParagraphnumbering"/>
        <w:numPr>
          <w:ilvl w:val="0"/>
          <w:numId w:val="43"/>
        </w:numPr>
        <w:spacing w:after="0"/>
        <w:ind w:left="720"/>
      </w:pPr>
      <w:r>
        <w:t>F</w:t>
      </w:r>
      <w:r w:rsidR="00975934" w:rsidRPr="009F5B95">
        <w:t>acilitat</w:t>
      </w:r>
      <w:r w:rsidR="00883A15">
        <w:t>e</w:t>
      </w:r>
      <w:r w:rsidR="00975934" w:rsidRPr="009F5B95">
        <w:t xml:space="preserve"> collaboration and co-ordination </w:t>
      </w:r>
      <w:r w:rsidR="00883A15">
        <w:t>among and between RPPOs</w:t>
      </w:r>
    </w:p>
    <w:p w14:paraId="66A4BF61" w14:textId="77777777" w:rsidR="00883A15" w:rsidRDefault="00883A15" w:rsidP="00883A15">
      <w:pPr>
        <w:pStyle w:val="IPPParagraphnumbering"/>
        <w:numPr>
          <w:ilvl w:val="0"/>
          <w:numId w:val="0"/>
        </w:numPr>
        <w:spacing w:after="0"/>
        <w:ind w:left="720"/>
      </w:pPr>
    </w:p>
    <w:p w14:paraId="1D1D8451" w14:textId="74DA1279" w:rsidR="00975934" w:rsidRDefault="00975934" w:rsidP="00483DD4">
      <w:pPr>
        <w:pStyle w:val="IPPParagraphnumbering"/>
      </w:pPr>
      <w:r w:rsidRPr="009F5B95">
        <w:t xml:space="preserve">The TC-RPPO </w:t>
      </w:r>
      <w:r w:rsidR="009D5655">
        <w:t xml:space="preserve">also </w:t>
      </w:r>
      <w:r w:rsidR="00483DD4">
        <w:t>provides</w:t>
      </w:r>
      <w:r w:rsidRPr="009F5B95">
        <w:t xml:space="preserve"> a venue for dialogue </w:t>
      </w:r>
      <w:r w:rsidR="00483DD4">
        <w:t xml:space="preserve">and information sharing </w:t>
      </w:r>
      <w:r w:rsidRPr="009F5B95">
        <w:t>among RPPOs, the IPPC Secretariat and subsidiary bodies of the CPM.</w:t>
      </w:r>
    </w:p>
    <w:p w14:paraId="459CB176" w14:textId="322EF9EB" w:rsidR="00975934" w:rsidRDefault="00975934" w:rsidP="0099635F">
      <w:pPr>
        <w:pStyle w:val="IPPParagraphnumbering"/>
      </w:pPr>
      <w:r>
        <w:t xml:space="preserve">Each RPPO has its own </w:t>
      </w:r>
      <w:r w:rsidR="009D5655">
        <w:t xml:space="preserve">structure, </w:t>
      </w:r>
      <w:r>
        <w:t>remit</w:t>
      </w:r>
      <w:r w:rsidR="0038168E">
        <w:t>, strategic plan and constitution and by-laws</w:t>
      </w:r>
      <w:r>
        <w:t xml:space="preserve">. Nothing in these Terms of Reference changes the rights and responsibilities of each RPPO and its member countries.  </w:t>
      </w:r>
    </w:p>
    <w:p w14:paraId="2750D123" w14:textId="0416D8F1" w:rsidR="00975934" w:rsidRPr="00975934" w:rsidRDefault="00B509D9" w:rsidP="00975934">
      <w:pPr>
        <w:pStyle w:val="IPPHeading3"/>
        <w:rPr>
          <w:i w:val="0"/>
        </w:rPr>
      </w:pPr>
      <w:r>
        <w:rPr>
          <w:i w:val="0"/>
        </w:rPr>
        <w:t>2</w:t>
      </w:r>
      <w:r w:rsidR="00975934" w:rsidRPr="00975934">
        <w:rPr>
          <w:i w:val="0"/>
        </w:rPr>
        <w:t>.</w:t>
      </w:r>
      <w:r w:rsidR="00975934" w:rsidRPr="00975934">
        <w:rPr>
          <w:i w:val="0"/>
        </w:rPr>
        <w:tab/>
        <w:t xml:space="preserve">Composition </w:t>
      </w:r>
    </w:p>
    <w:p w14:paraId="6273FA50" w14:textId="31042357" w:rsidR="00975934" w:rsidRDefault="00975934" w:rsidP="0099635F">
      <w:pPr>
        <w:pStyle w:val="IPPParagraphnumbering"/>
      </w:pPr>
      <w:r>
        <w:t>The TC-RPPO is comprised of a representative from each RPPO recognized under the Article IX of the IPPC</w:t>
      </w:r>
      <w:r w:rsidR="0038168E">
        <w:t xml:space="preserve">. </w:t>
      </w:r>
      <w:r>
        <w:t xml:space="preserve"> </w:t>
      </w:r>
    </w:p>
    <w:p w14:paraId="1656BDA9" w14:textId="6BA4292C" w:rsidR="00975934" w:rsidRPr="00975934" w:rsidRDefault="00B509D9" w:rsidP="00975934">
      <w:pPr>
        <w:pStyle w:val="IPPHeading3"/>
        <w:rPr>
          <w:i w:val="0"/>
        </w:rPr>
      </w:pPr>
      <w:r>
        <w:rPr>
          <w:i w:val="0"/>
        </w:rPr>
        <w:t>3</w:t>
      </w:r>
      <w:r w:rsidR="00975934" w:rsidRPr="00975934">
        <w:rPr>
          <w:i w:val="0"/>
        </w:rPr>
        <w:t>.</w:t>
      </w:r>
      <w:r w:rsidR="00975934" w:rsidRPr="00975934">
        <w:rPr>
          <w:i w:val="0"/>
        </w:rPr>
        <w:tab/>
      </w:r>
      <w:r w:rsidR="005C2EDA">
        <w:rPr>
          <w:i w:val="0"/>
        </w:rPr>
        <w:t>Functions</w:t>
      </w:r>
      <w:r w:rsidR="00820B0D">
        <w:rPr>
          <w:i w:val="0"/>
        </w:rPr>
        <w:t xml:space="preserve"> </w:t>
      </w:r>
    </w:p>
    <w:p w14:paraId="18B6B3C5" w14:textId="25841C6D" w:rsidR="00975934" w:rsidRDefault="0038168E" w:rsidP="0099635F">
      <w:pPr>
        <w:pStyle w:val="IPPParagraphnumbering"/>
      </w:pPr>
      <w:r>
        <w:t xml:space="preserve">The </w:t>
      </w:r>
      <w:r w:rsidR="005C2EDA">
        <w:t>functions</w:t>
      </w:r>
      <w:r w:rsidR="00975934">
        <w:t xml:space="preserve"> of the TC-RPPO include, but are not limited to:</w:t>
      </w:r>
    </w:p>
    <w:p w14:paraId="341B48F6" w14:textId="1A746E7F" w:rsidR="00975934" w:rsidRDefault="00C978B8" w:rsidP="00975934">
      <w:pPr>
        <w:pStyle w:val="IPPNumberedList"/>
        <w:numPr>
          <w:ilvl w:val="0"/>
          <w:numId w:val="20"/>
        </w:numPr>
      </w:pPr>
      <w:r>
        <w:t xml:space="preserve">Promote </w:t>
      </w:r>
      <w:r w:rsidR="00975934">
        <w:t>the implementation of the IPPC</w:t>
      </w:r>
      <w:r w:rsidR="0038168E">
        <w:t>,</w:t>
      </w:r>
      <w:r w:rsidR="00975934">
        <w:t xml:space="preserve"> </w:t>
      </w:r>
      <w:r w:rsidR="00C81571">
        <w:t>International Standards for Phytosanitary Measures (</w:t>
      </w:r>
      <w:r w:rsidR="0038168E">
        <w:t>ISPMs</w:t>
      </w:r>
      <w:r w:rsidR="00C81571">
        <w:t>)</w:t>
      </w:r>
      <w:r w:rsidR="0038168E">
        <w:t xml:space="preserve"> </w:t>
      </w:r>
      <w:r w:rsidR="00975934">
        <w:t xml:space="preserve">and </w:t>
      </w:r>
      <w:r w:rsidR="0005775E">
        <w:t xml:space="preserve">Recommendations of </w:t>
      </w:r>
      <w:r w:rsidR="00975934">
        <w:t>Commission on Phytosanitary Measures (CPM)</w:t>
      </w:r>
      <w:r w:rsidR="0038168E">
        <w:t>;</w:t>
      </w:r>
    </w:p>
    <w:p w14:paraId="15CAC848" w14:textId="7BD09A61" w:rsidR="00975934" w:rsidRDefault="00975934" w:rsidP="00975934">
      <w:pPr>
        <w:pStyle w:val="IPPNumberedList"/>
        <w:numPr>
          <w:ilvl w:val="0"/>
          <w:numId w:val="20"/>
        </w:numPr>
      </w:pPr>
      <w:r>
        <w:t>Provid</w:t>
      </w:r>
      <w:r w:rsidR="00C00D59">
        <w:t>e</w:t>
      </w:r>
      <w:r>
        <w:t xml:space="preserve"> advice </w:t>
      </w:r>
      <w:r w:rsidR="009D5655">
        <w:t xml:space="preserve">on phytosanitary issues </w:t>
      </w:r>
      <w:r>
        <w:t xml:space="preserve">to the </w:t>
      </w:r>
      <w:r w:rsidR="0038168E">
        <w:t xml:space="preserve">CPM, </w:t>
      </w:r>
      <w:r>
        <w:t>IPPC Secretariat</w:t>
      </w:r>
      <w:r w:rsidR="00820B0D">
        <w:t xml:space="preserve">, SPG </w:t>
      </w:r>
      <w:r>
        <w:t xml:space="preserve">and </w:t>
      </w:r>
      <w:r w:rsidR="00C35F89">
        <w:t>CPM</w:t>
      </w:r>
      <w:r>
        <w:t xml:space="preserve"> subsidiary bodies;</w:t>
      </w:r>
    </w:p>
    <w:p w14:paraId="1D3398E7" w14:textId="049B117A" w:rsidR="0038168E" w:rsidRDefault="0038168E" w:rsidP="00975934">
      <w:pPr>
        <w:pStyle w:val="IPPNumberedList"/>
        <w:numPr>
          <w:ilvl w:val="0"/>
          <w:numId w:val="20"/>
        </w:numPr>
      </w:pPr>
      <w:r>
        <w:t>E</w:t>
      </w:r>
      <w:r w:rsidR="00975934">
        <w:t>ngag</w:t>
      </w:r>
      <w:r w:rsidR="00C00D59">
        <w:t>e</w:t>
      </w:r>
      <w:r w:rsidR="00975934">
        <w:t xml:space="preserve"> with the CPM as described in the </w:t>
      </w:r>
      <w:r w:rsidR="00975934" w:rsidRPr="00E053B8">
        <w:t>Roles and functions of RPPOs</w:t>
      </w:r>
      <w:r w:rsidR="00C81571">
        <w:rPr>
          <w:rStyle w:val="FootnoteReference"/>
        </w:rPr>
        <w:footnoteReference w:id="4"/>
      </w:r>
      <w:r w:rsidR="00975934">
        <w:t xml:space="preserve"> in their relationship with the CPM</w:t>
      </w:r>
      <w:r w:rsidR="001B7BD5">
        <w:t>;</w:t>
      </w:r>
    </w:p>
    <w:p w14:paraId="1F722D80" w14:textId="4BFA1790" w:rsidR="00975934" w:rsidRDefault="0038168E" w:rsidP="00975934">
      <w:pPr>
        <w:pStyle w:val="IPPNumberedList"/>
        <w:numPr>
          <w:ilvl w:val="0"/>
          <w:numId w:val="20"/>
        </w:numPr>
      </w:pPr>
      <w:r>
        <w:t>N</w:t>
      </w:r>
      <w:r w:rsidR="00975934">
        <w:t>ominat</w:t>
      </w:r>
      <w:r w:rsidR="00C00D59">
        <w:t>e</w:t>
      </w:r>
      <w:r w:rsidR="00975934">
        <w:t xml:space="preserve"> RPPO representatives to meetings or </w:t>
      </w:r>
      <w:r w:rsidR="00551940">
        <w:t>CPM subsidiary bodies</w:t>
      </w:r>
      <w:r>
        <w:t xml:space="preserve"> as necessary</w:t>
      </w:r>
      <w:r w:rsidR="00975934">
        <w:t>;</w:t>
      </w:r>
    </w:p>
    <w:p w14:paraId="7A485BF1" w14:textId="01B3870E" w:rsidR="00975934" w:rsidRDefault="00975934" w:rsidP="00975934">
      <w:pPr>
        <w:pStyle w:val="IPPNumberedList"/>
        <w:numPr>
          <w:ilvl w:val="0"/>
          <w:numId w:val="20"/>
        </w:numPr>
      </w:pPr>
      <w:r>
        <w:t>Shar</w:t>
      </w:r>
      <w:r w:rsidR="00C00D59">
        <w:t>e</w:t>
      </w:r>
      <w:r>
        <w:t xml:space="preserve"> information on </w:t>
      </w:r>
      <w:r w:rsidR="0038168E">
        <w:t xml:space="preserve">their </w:t>
      </w:r>
      <w:r>
        <w:t>work programs</w:t>
      </w:r>
      <w:r w:rsidR="00C00D59">
        <w:t>, available expertise and phytosanitary experience</w:t>
      </w:r>
      <w:r>
        <w:t xml:space="preserve"> to identify opportunities for </w:t>
      </w:r>
      <w:r w:rsidR="009D5655">
        <w:t xml:space="preserve">horizontal </w:t>
      </w:r>
      <w:r>
        <w:t>collaboration</w:t>
      </w:r>
      <w:r w:rsidR="00C00D59">
        <w:t xml:space="preserve"> and coordination</w:t>
      </w:r>
      <w:r>
        <w:t>;</w:t>
      </w:r>
    </w:p>
    <w:p w14:paraId="44FC2197" w14:textId="07DC1B85" w:rsidR="00975934" w:rsidRDefault="00975934" w:rsidP="00975934">
      <w:pPr>
        <w:pStyle w:val="IPPNumberedList"/>
        <w:numPr>
          <w:ilvl w:val="0"/>
          <w:numId w:val="20"/>
        </w:numPr>
      </w:pPr>
      <w:r>
        <w:t>Shar</w:t>
      </w:r>
      <w:r w:rsidR="00C00D59">
        <w:t>e</w:t>
      </w:r>
      <w:r>
        <w:t xml:space="preserve"> information on emerging pests in the</w:t>
      </w:r>
      <w:r w:rsidR="00C00D59">
        <w:t>ir respective</w:t>
      </w:r>
      <w:r>
        <w:t xml:space="preserve"> regions;</w:t>
      </w:r>
    </w:p>
    <w:p w14:paraId="26E74B72" w14:textId="203443B2" w:rsidR="00975934" w:rsidRDefault="00975934" w:rsidP="00975934">
      <w:pPr>
        <w:pStyle w:val="IPPNumberedList"/>
        <w:numPr>
          <w:ilvl w:val="0"/>
          <w:numId w:val="20"/>
        </w:numPr>
      </w:pPr>
      <w:r>
        <w:t xml:space="preserve">Support </w:t>
      </w:r>
      <w:r w:rsidR="00C35F89">
        <w:t xml:space="preserve">potential </w:t>
      </w:r>
      <w:r>
        <w:t>new RPPOs ;</w:t>
      </w:r>
    </w:p>
    <w:p w14:paraId="124608F1" w14:textId="549A156B" w:rsidR="00975934" w:rsidRDefault="00975934" w:rsidP="00975934">
      <w:pPr>
        <w:pStyle w:val="IPPNumberedList"/>
        <w:numPr>
          <w:ilvl w:val="0"/>
          <w:numId w:val="20"/>
        </w:numPr>
      </w:pPr>
      <w:r>
        <w:t>Mak</w:t>
      </w:r>
      <w:r w:rsidR="00C00D59">
        <w:t>e</w:t>
      </w:r>
      <w:r>
        <w:t xml:space="preserve"> recommendations to </w:t>
      </w:r>
      <w:r w:rsidR="00C00D59">
        <w:t xml:space="preserve">the </w:t>
      </w:r>
      <w:r>
        <w:t>CPM on recognition of</w:t>
      </w:r>
      <w:r w:rsidR="00C00D59">
        <w:t xml:space="preserve"> new</w:t>
      </w:r>
      <w:r>
        <w:t xml:space="preserve"> RPPOs;</w:t>
      </w:r>
    </w:p>
    <w:p w14:paraId="7500437C" w14:textId="45C273A4" w:rsidR="007052F3" w:rsidRDefault="00975934" w:rsidP="007052F3">
      <w:pPr>
        <w:pStyle w:val="IPPNumberedList"/>
        <w:numPr>
          <w:ilvl w:val="0"/>
          <w:numId w:val="20"/>
        </w:numPr>
      </w:pPr>
      <w:r>
        <w:t xml:space="preserve">Develop and </w:t>
      </w:r>
      <w:r w:rsidR="00C00D59">
        <w:t>deliver on</w:t>
      </w:r>
      <w:r>
        <w:t xml:space="preserve"> </w:t>
      </w:r>
      <w:r w:rsidR="00C00D59">
        <w:t>the yearly</w:t>
      </w:r>
      <w:r>
        <w:t xml:space="preserve"> TC-RPPO action plan</w:t>
      </w:r>
      <w:r w:rsidR="00CE4E4A">
        <w:t>;</w:t>
      </w:r>
    </w:p>
    <w:p w14:paraId="53581A64" w14:textId="139FA141" w:rsidR="003372B4" w:rsidRDefault="003372B4" w:rsidP="007052F3">
      <w:pPr>
        <w:pStyle w:val="IPPNumberedList"/>
        <w:numPr>
          <w:ilvl w:val="0"/>
          <w:numId w:val="20"/>
        </w:numPr>
      </w:pPr>
      <w:r>
        <w:t xml:space="preserve">Any other </w:t>
      </w:r>
      <w:r w:rsidR="00C81571">
        <w:t>activity</w:t>
      </w:r>
      <w:r w:rsidR="0005775E">
        <w:t xml:space="preserve"> </w:t>
      </w:r>
      <w:r w:rsidRPr="0005775E">
        <w:t>that</w:t>
      </w:r>
      <w:r w:rsidR="00E053B8" w:rsidRPr="0005775E">
        <w:t xml:space="preserve"> the</w:t>
      </w:r>
      <w:r>
        <w:t xml:space="preserve"> </w:t>
      </w:r>
      <w:r w:rsidR="00C43B27">
        <w:t>TC-RPPO may consider</w:t>
      </w:r>
      <w:r w:rsidR="00950F98">
        <w:t xml:space="preserve"> </w:t>
      </w:r>
      <w:r w:rsidR="005A39B7">
        <w:t xml:space="preserve">appropriate </w:t>
      </w:r>
      <w:r w:rsidR="00CE4E4A">
        <w:t xml:space="preserve">with a view to advance the objectives </w:t>
      </w:r>
      <w:r w:rsidR="005A39B7">
        <w:t xml:space="preserve">of the </w:t>
      </w:r>
      <w:r w:rsidR="0005775E">
        <w:t>IPPC</w:t>
      </w:r>
      <w:r w:rsidR="00CE4E4A">
        <w:t>.</w:t>
      </w:r>
    </w:p>
    <w:p w14:paraId="46CDE5E4" w14:textId="11E95D87" w:rsidR="00975934" w:rsidRPr="00975934" w:rsidRDefault="00975934" w:rsidP="00FA15BB">
      <w:pPr>
        <w:pStyle w:val="IPPHeading3"/>
        <w:ind w:left="0" w:firstLine="0"/>
        <w:rPr>
          <w:i w:val="0"/>
        </w:rPr>
      </w:pPr>
    </w:p>
    <w:p w14:paraId="63F94301" w14:textId="2724B02E" w:rsidR="00975934" w:rsidRDefault="00975934" w:rsidP="0099635F">
      <w:pPr>
        <w:pStyle w:val="IPPParagraphnumbering"/>
      </w:pPr>
      <w:r>
        <w:t>Amendments to these Terms of Reference may be proposed</w:t>
      </w:r>
      <w:r w:rsidR="00C00D59">
        <w:t>,</w:t>
      </w:r>
      <w:r>
        <w:t xml:space="preserve"> in writing</w:t>
      </w:r>
      <w:r w:rsidR="00C00D59">
        <w:t>,</w:t>
      </w:r>
      <w:r>
        <w:t xml:space="preserve"> by an</w:t>
      </w:r>
      <w:r w:rsidR="00C00D59">
        <w:t>y</w:t>
      </w:r>
      <w:r>
        <w:t xml:space="preserve"> RPPO. </w:t>
      </w:r>
      <w:r w:rsidR="00C00D59">
        <w:t>P</w:t>
      </w:r>
      <w:r>
        <w:t>roposed amendment</w:t>
      </w:r>
      <w:r w:rsidR="009D5655">
        <w:t>s</w:t>
      </w:r>
      <w:r>
        <w:t xml:space="preserve"> will be discussed at </w:t>
      </w:r>
      <w:r w:rsidR="00C00D59">
        <w:t>the annual</w:t>
      </w:r>
      <w:r>
        <w:t xml:space="preserve"> face-to-face TC-RPPO </w:t>
      </w:r>
      <w:r w:rsidR="00C00D59">
        <w:t>meeting</w:t>
      </w:r>
      <w:r w:rsidR="0045627A">
        <w:t xml:space="preserve">, decided by unanimity </w:t>
      </w:r>
      <w:r>
        <w:t xml:space="preserve">and submitted to the CPM for </w:t>
      </w:r>
      <w:r w:rsidR="00C00D59">
        <w:t>noting</w:t>
      </w:r>
      <w:r>
        <w:t>.</w:t>
      </w:r>
    </w:p>
    <w:p w14:paraId="57635ED2" w14:textId="127A307A" w:rsidR="00975934" w:rsidRDefault="00975934" w:rsidP="00975934">
      <w:pPr>
        <w:pStyle w:val="IPPPargraphnumbering"/>
      </w:pPr>
    </w:p>
    <w:p w14:paraId="1917278E" w14:textId="0EBDAA44" w:rsidR="00975934" w:rsidRPr="001B7BD5" w:rsidRDefault="00975934" w:rsidP="000A4D7B">
      <w:pPr>
        <w:pStyle w:val="IPPAnnexHead"/>
      </w:pPr>
      <w:r>
        <w:lastRenderedPageBreak/>
        <w:t>Attachment 2. Rules of Procedure for the Technical Consultation among Regional Plant Protection Organizations</w:t>
      </w:r>
    </w:p>
    <w:p w14:paraId="285521A5" w14:textId="1D39A5E2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>Rule 1. Membership</w:t>
      </w:r>
    </w:p>
    <w:p w14:paraId="64F86D1D" w14:textId="02FBA50D" w:rsidR="00975934" w:rsidRDefault="00975934" w:rsidP="0099635F">
      <w:pPr>
        <w:pStyle w:val="IPPParagraphnumbering"/>
      </w:pPr>
      <w:r w:rsidRPr="001B7BD5">
        <w:t>Each RPPO</w:t>
      </w:r>
      <w:r w:rsidR="001B7BD5" w:rsidRPr="001B7BD5">
        <w:t>,</w:t>
      </w:r>
      <w:r w:rsidRPr="001B7BD5">
        <w:t xml:space="preserve"> recognized under Article IX of the IPPC</w:t>
      </w:r>
      <w:r w:rsidR="001B7BD5" w:rsidRPr="001B7BD5">
        <w:t>,</w:t>
      </w:r>
      <w:r w:rsidRPr="001B7BD5">
        <w:t xml:space="preserve"> is considered a member</w:t>
      </w:r>
      <w:r w:rsidR="009D5655">
        <w:t xml:space="preserve"> of the TC-RPPO</w:t>
      </w:r>
      <w:r w:rsidRPr="001B7BD5">
        <w:t xml:space="preserve">.  Each RPPO should be represented </w:t>
      </w:r>
      <w:r w:rsidR="000749FA">
        <w:t xml:space="preserve">at </w:t>
      </w:r>
      <w:r w:rsidR="00503EC5">
        <w:t xml:space="preserve">TC-RPPO </w:t>
      </w:r>
      <w:r w:rsidR="000749FA">
        <w:t xml:space="preserve">meetings </w:t>
      </w:r>
      <w:r w:rsidRPr="001B7BD5">
        <w:t xml:space="preserve">by the head of the </w:t>
      </w:r>
      <w:r w:rsidR="009D5655">
        <w:t>organization</w:t>
      </w:r>
      <w:r w:rsidR="001B7BD5">
        <w:t xml:space="preserve"> (</w:t>
      </w:r>
      <w:r w:rsidR="009D5655">
        <w:t xml:space="preserve">e.g., </w:t>
      </w:r>
      <w:r w:rsidR="001B7BD5">
        <w:t xml:space="preserve">Director General, Executive Director, Executive Secretary, etc.) or </w:t>
      </w:r>
      <w:r w:rsidR="00754997">
        <w:t>their</w:t>
      </w:r>
      <w:r w:rsidR="001B7BD5">
        <w:t xml:space="preserve"> designated representative</w:t>
      </w:r>
      <w:r w:rsidRPr="001B7BD5">
        <w:t xml:space="preserve">. </w:t>
      </w:r>
    </w:p>
    <w:p w14:paraId="5D3BA313" w14:textId="591705E7" w:rsidR="008924AF" w:rsidRPr="001B7BD5" w:rsidRDefault="008924AF" w:rsidP="008924AF">
      <w:pPr>
        <w:pStyle w:val="IPPParagraphnumbering"/>
      </w:pPr>
      <w:r>
        <w:t xml:space="preserve">The RPPO </w:t>
      </w:r>
      <w:r w:rsidR="00B900AD">
        <w:t xml:space="preserve">representative </w:t>
      </w:r>
      <w:r>
        <w:t xml:space="preserve">may be accompanied by one or more advisers at their discretion. These advisers form part of their delegation </w:t>
      </w:r>
      <w:r w:rsidR="00B900AD">
        <w:t xml:space="preserve">and </w:t>
      </w:r>
      <w:r>
        <w:t>are there to provide support to the representative</w:t>
      </w:r>
      <w:r w:rsidR="00503EC5">
        <w:t>, as appropriate</w:t>
      </w:r>
      <w:r w:rsidR="00B900AD">
        <w:t>.</w:t>
      </w:r>
    </w:p>
    <w:p w14:paraId="13172EFE" w14:textId="6FE5DA90" w:rsidR="00975934" w:rsidRPr="00975934" w:rsidRDefault="00975934" w:rsidP="001B7BD5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2. Meetings </w:t>
      </w:r>
    </w:p>
    <w:p w14:paraId="6938ABE6" w14:textId="22198AFE" w:rsidR="00FA15BB" w:rsidRDefault="00FA15BB" w:rsidP="00562F0C">
      <w:pPr>
        <w:pStyle w:val="IPPParagraphnumbering"/>
      </w:pPr>
      <w:r>
        <w:t xml:space="preserve">2. TC-RPPO meetings </w:t>
      </w:r>
      <w:r w:rsidR="006E5B02">
        <w:t>could be face-to-face or virtual and</w:t>
      </w:r>
      <w:r>
        <w:t>,</w:t>
      </w:r>
      <w:r w:rsidR="006E5B02">
        <w:t xml:space="preserve"> in the case of virtual</w:t>
      </w:r>
      <w:r>
        <w:t xml:space="preserve"> meetings, the TC-RPPO </w:t>
      </w:r>
      <w:r w:rsidR="006E5B02">
        <w:t>could consist of several sessions</w:t>
      </w:r>
      <w:r>
        <w:t>.</w:t>
      </w:r>
    </w:p>
    <w:p w14:paraId="76516781" w14:textId="48F5FEA0" w:rsidR="00FA15BB" w:rsidRDefault="00562F0C" w:rsidP="00562F0C">
      <w:pPr>
        <w:pStyle w:val="IPPParagraphnumbering"/>
      </w:pPr>
      <w:r>
        <w:t xml:space="preserve">3. The date and venue </w:t>
      </w:r>
      <w:r w:rsidR="00FA15BB">
        <w:t>for</w:t>
      </w:r>
      <w:r>
        <w:t xml:space="preserve"> the next meeting should be agreed </w:t>
      </w:r>
      <w:r w:rsidR="00FA15BB">
        <w:t>to</w:t>
      </w:r>
      <w:r>
        <w:t xml:space="preserve"> by the TC-RPPO at the conclusion of their annual meeting or</w:t>
      </w:r>
      <w:r w:rsidR="00FA15BB">
        <w:t>,</w:t>
      </w:r>
      <w:r>
        <w:t xml:space="preserve"> if needed, RPPOs may agree </w:t>
      </w:r>
      <w:r w:rsidR="00503EC5">
        <w:t xml:space="preserve">to this </w:t>
      </w:r>
      <w:r w:rsidR="00FA15BB">
        <w:t>using virtual means</w:t>
      </w:r>
      <w:r>
        <w:t xml:space="preserve">.  </w:t>
      </w:r>
    </w:p>
    <w:p w14:paraId="1947FE61" w14:textId="3FB12622" w:rsidR="00562F0C" w:rsidRDefault="00FA15BB" w:rsidP="00562F0C">
      <w:pPr>
        <w:pStyle w:val="IPPParagraphnumbering"/>
      </w:pPr>
      <w:r>
        <w:t xml:space="preserve">4. </w:t>
      </w:r>
      <w:r w:rsidR="00562F0C">
        <w:t>The TC-</w:t>
      </w:r>
      <w:r w:rsidR="00562F0C" w:rsidRPr="00F1367F">
        <w:t xml:space="preserve">RPPO </w:t>
      </w:r>
      <w:r w:rsidR="00562F0C">
        <w:t xml:space="preserve">annual </w:t>
      </w:r>
      <w:r w:rsidR="00562F0C" w:rsidRPr="00F1367F">
        <w:t>meeting</w:t>
      </w:r>
      <w:r w:rsidR="00562F0C">
        <w:t>s may</w:t>
      </w:r>
      <w:r w:rsidR="00562F0C" w:rsidRPr="00F1367F">
        <w:t xml:space="preserve"> be hosted by an RPPO in their region or</w:t>
      </w:r>
      <w:r w:rsidR="00562F0C">
        <w:t xml:space="preserve"> </w:t>
      </w:r>
      <w:r w:rsidR="00562F0C" w:rsidRPr="00F1367F">
        <w:t>may be held at FAO Headquarters in Rome.</w:t>
      </w:r>
    </w:p>
    <w:p w14:paraId="0A10CF8E" w14:textId="013BF002" w:rsidR="00156775" w:rsidRDefault="00156775" w:rsidP="00562F0C">
      <w:pPr>
        <w:pStyle w:val="IPPParagraphnumbering"/>
      </w:pPr>
      <w:r>
        <w:t>5. The duration of the TC-RPPO annual meeting shall be three to five days depending on the agenda.</w:t>
      </w:r>
    </w:p>
    <w:p w14:paraId="3E80DAA1" w14:textId="20361D7D" w:rsidR="00975934" w:rsidRDefault="00503EC5" w:rsidP="0099635F">
      <w:pPr>
        <w:pStyle w:val="IPPParagraphnumbering"/>
      </w:pPr>
      <w:r>
        <w:t>6</w:t>
      </w:r>
      <w:r w:rsidR="0027757A">
        <w:t xml:space="preserve">. </w:t>
      </w:r>
      <w:r w:rsidR="00975934">
        <w:t xml:space="preserve">A short meeting of </w:t>
      </w:r>
      <w:r w:rsidR="00EC3C12">
        <w:t xml:space="preserve">the </w:t>
      </w:r>
      <w:r w:rsidR="00975934">
        <w:t xml:space="preserve">TC-RPPO may be convened </w:t>
      </w:r>
      <w:r w:rsidR="00EC3C12">
        <w:t xml:space="preserve">prior or </w:t>
      </w:r>
      <w:r w:rsidR="00975934">
        <w:t xml:space="preserve">during </w:t>
      </w:r>
      <w:r w:rsidR="00CB3598">
        <w:t xml:space="preserve">a </w:t>
      </w:r>
      <w:r w:rsidR="00754997">
        <w:t>s</w:t>
      </w:r>
      <w:r w:rsidR="00CB3598">
        <w:t xml:space="preserve">ession of the </w:t>
      </w:r>
      <w:r w:rsidR="00975934">
        <w:t>Commission on Phytosanitary Measures (CPM) to discuss urgent matters and</w:t>
      </w:r>
      <w:r w:rsidR="00EC3C12">
        <w:t>/or</w:t>
      </w:r>
      <w:r w:rsidR="00975934">
        <w:t xml:space="preserve"> review the </w:t>
      </w:r>
      <w:r w:rsidR="00EC3C12">
        <w:t xml:space="preserve">draft </w:t>
      </w:r>
      <w:r w:rsidR="00975934">
        <w:t xml:space="preserve">agenda </w:t>
      </w:r>
      <w:r w:rsidR="00EC3C12">
        <w:t>for the next TC-RPPO.</w:t>
      </w:r>
    </w:p>
    <w:p w14:paraId="47E02CAC" w14:textId="333D9575" w:rsidR="0027757A" w:rsidDel="00067552" w:rsidRDefault="00503EC5" w:rsidP="0027757A">
      <w:pPr>
        <w:pStyle w:val="IPPParagraphnumbering"/>
      </w:pPr>
      <w:r>
        <w:t>7</w:t>
      </w:r>
      <w:r w:rsidR="0027757A">
        <w:t xml:space="preserve">. A </w:t>
      </w:r>
      <w:r w:rsidR="008924AF">
        <w:t xml:space="preserve">simple </w:t>
      </w:r>
      <w:r w:rsidR="0027757A">
        <w:t>majority of the members of t</w:t>
      </w:r>
      <w:r w:rsidR="0027757A" w:rsidDel="00067552">
        <w:t xml:space="preserve">he TC-RPPO shall </w:t>
      </w:r>
      <w:r w:rsidR="0027757A">
        <w:t>constitute a</w:t>
      </w:r>
      <w:r w:rsidR="0027757A" w:rsidDel="00067552">
        <w:t xml:space="preserve"> quorum.</w:t>
      </w:r>
    </w:p>
    <w:p w14:paraId="4CDC264C" w14:textId="5C9B66B8" w:rsidR="00375E4A" w:rsidRPr="00C5099F" w:rsidRDefault="00503EC5" w:rsidP="00375E4A">
      <w:pPr>
        <w:pStyle w:val="IPPParagraphnumbering"/>
      </w:pPr>
      <w:r>
        <w:t>8</w:t>
      </w:r>
      <w:r w:rsidR="0027757A">
        <w:t xml:space="preserve">. </w:t>
      </w:r>
      <w:r w:rsidR="00375E4A" w:rsidRPr="001B7BD5">
        <w:t xml:space="preserve">Members </w:t>
      </w:r>
      <w:r w:rsidR="00375E4A">
        <w:t xml:space="preserve">are responsible for all costs associated with attending meetings of </w:t>
      </w:r>
      <w:r w:rsidR="00375E4A" w:rsidRPr="00C5099F">
        <w:t>the TC-</w:t>
      </w:r>
      <w:r w:rsidR="00375E4A">
        <w:t>RPPO</w:t>
      </w:r>
      <w:r w:rsidR="00375E4A" w:rsidRPr="001B7BD5">
        <w:t>.</w:t>
      </w:r>
    </w:p>
    <w:p w14:paraId="2EA137AF" w14:textId="5470D3A7" w:rsidR="000266E8" w:rsidRDefault="000266E8" w:rsidP="00B43BE0">
      <w:pPr>
        <w:pStyle w:val="IPPParagraphnumbering"/>
      </w:pPr>
    </w:p>
    <w:p w14:paraId="70501ACB" w14:textId="449EB7E7" w:rsidR="00975934" w:rsidRDefault="00975934" w:rsidP="0099635F">
      <w:pPr>
        <w:pStyle w:val="IPPParagraphnumbering"/>
      </w:pPr>
    </w:p>
    <w:p w14:paraId="1FD0946A" w14:textId="1FD8D67C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3. </w:t>
      </w:r>
      <w:r w:rsidR="00EC3C12" w:rsidRPr="000A4D7B">
        <w:rPr>
          <w:i w:val="0"/>
        </w:rPr>
        <w:t>O</w:t>
      </w:r>
      <w:r w:rsidRPr="000A4D7B">
        <w:rPr>
          <w:i w:val="0"/>
        </w:rPr>
        <w:t>bservers</w:t>
      </w:r>
    </w:p>
    <w:p w14:paraId="19196EEF" w14:textId="5D76F4F5" w:rsidR="00975934" w:rsidRDefault="00513648" w:rsidP="0099635F">
      <w:pPr>
        <w:pStyle w:val="IPPParagraphnumbering"/>
      </w:pPr>
      <w:proofErr w:type="gramStart"/>
      <w:r>
        <w:t>or</w:t>
      </w:r>
      <w:proofErr w:type="gramEnd"/>
      <w:r>
        <w:t xml:space="preserve"> the IPPC Secretariat </w:t>
      </w:r>
      <w:r w:rsidR="00975934" w:rsidRPr="00EC3C12">
        <w:t>may invite observers</w:t>
      </w:r>
      <w:r>
        <w:t xml:space="preserve"> </w:t>
      </w:r>
      <w:r w:rsidRPr="00205C8C">
        <w:t xml:space="preserve">provided </w:t>
      </w:r>
      <w:r w:rsidR="00205C8C">
        <w:t xml:space="preserve">the TC-RPPO members agree </w:t>
      </w:r>
      <w:r>
        <w:t>prior to the TC-RPPO</w:t>
      </w:r>
      <w:r w:rsidR="00975934">
        <w:t xml:space="preserve">. </w:t>
      </w:r>
      <w:r w:rsidR="00EC3C12">
        <w:t>Observers</w:t>
      </w:r>
      <w:r w:rsidR="00975934">
        <w:t xml:space="preserve"> may include, among others: </w:t>
      </w:r>
    </w:p>
    <w:p w14:paraId="7FC186A9" w14:textId="6BD621E0" w:rsidR="00975934" w:rsidRDefault="00975934" w:rsidP="00975934">
      <w:pPr>
        <w:pStyle w:val="IPPNumberedList"/>
        <w:numPr>
          <w:ilvl w:val="0"/>
          <w:numId w:val="22"/>
        </w:numPr>
      </w:pPr>
      <w:r>
        <w:t>FAO regional officers from the region</w:t>
      </w:r>
      <w:r w:rsidR="00EC3C12">
        <w:t xml:space="preserve"> hosting the TC-RPPO;</w:t>
      </w:r>
    </w:p>
    <w:p w14:paraId="38FDBBC0" w14:textId="1C6AAA88" w:rsidR="00513648" w:rsidRDefault="00975934" w:rsidP="00513648">
      <w:pPr>
        <w:pStyle w:val="IPPNumberedList"/>
        <w:numPr>
          <w:ilvl w:val="0"/>
          <w:numId w:val="22"/>
        </w:numPr>
      </w:pPr>
      <w:r>
        <w:t xml:space="preserve">CPM Bureau member(s), usually the Chairperson or </w:t>
      </w:r>
      <w:r w:rsidR="00EC3C12">
        <w:t>regional</w:t>
      </w:r>
      <w:r>
        <w:t xml:space="preserve"> representative </w:t>
      </w:r>
      <w:r w:rsidR="00513648">
        <w:t>from the region hosting the TC-RPPO;</w:t>
      </w:r>
    </w:p>
    <w:p w14:paraId="4FDDAC5D" w14:textId="0634AA37" w:rsidR="00975934" w:rsidRDefault="00975934" w:rsidP="00D34D94">
      <w:pPr>
        <w:pStyle w:val="IPPNumberedList"/>
        <w:numPr>
          <w:ilvl w:val="0"/>
          <w:numId w:val="22"/>
        </w:numPr>
      </w:pPr>
      <w:r>
        <w:t>CPM subsidiary bod</w:t>
      </w:r>
      <w:r w:rsidR="00EC3C12">
        <w:t>y representatives from the region hosting the TC-RPPO</w:t>
      </w:r>
      <w:r>
        <w:t>;</w:t>
      </w:r>
    </w:p>
    <w:p w14:paraId="062A586F" w14:textId="42BAABCE" w:rsidR="00975934" w:rsidRDefault="00EC3C12" w:rsidP="00301FFB">
      <w:pPr>
        <w:pStyle w:val="IPPNumberedList"/>
        <w:numPr>
          <w:ilvl w:val="0"/>
          <w:numId w:val="22"/>
        </w:numPr>
      </w:pPr>
      <w:r>
        <w:t>RPPO</w:t>
      </w:r>
      <w:r w:rsidR="00975934">
        <w:t xml:space="preserve"> Executive Committee </w:t>
      </w:r>
      <w:r>
        <w:t>representatives</w:t>
      </w:r>
      <w:r w:rsidR="00975934">
        <w:t xml:space="preserve"> </w:t>
      </w:r>
      <w:r>
        <w:t>from the region hosting the TC-RPPO</w:t>
      </w:r>
    </w:p>
    <w:p w14:paraId="218F5C57" w14:textId="37A04C25" w:rsidR="00975934" w:rsidRDefault="00EC3C12" w:rsidP="00EC3C12">
      <w:pPr>
        <w:pStyle w:val="IPPNumberedList"/>
        <w:numPr>
          <w:ilvl w:val="0"/>
          <w:numId w:val="22"/>
        </w:numPr>
      </w:pPr>
      <w:r>
        <w:t>I</w:t>
      </w:r>
      <w:r w:rsidR="00975934">
        <w:t>nternational or regional organization</w:t>
      </w:r>
      <w:r>
        <w:t xml:space="preserve"> representatives</w:t>
      </w:r>
      <w:r w:rsidR="00975934">
        <w:t xml:space="preserve"> active in phytosanitary work</w:t>
      </w:r>
      <w:r>
        <w:t xml:space="preserve"> from the region hosting the TC-RPPO</w:t>
      </w:r>
      <w:r w:rsidR="00975934">
        <w:t>;</w:t>
      </w:r>
    </w:p>
    <w:p w14:paraId="13D62A0F" w14:textId="35027D77" w:rsidR="00975934" w:rsidRDefault="00975934" w:rsidP="00EC3C12">
      <w:pPr>
        <w:pStyle w:val="IPPNumberedList"/>
        <w:numPr>
          <w:ilvl w:val="0"/>
          <w:numId w:val="22"/>
        </w:numPr>
      </w:pPr>
      <w:r>
        <w:t>Representatives from international research institutions</w:t>
      </w:r>
      <w:r w:rsidR="00EC3C12">
        <w:t xml:space="preserve"> from the region hosting the TC-RPPO</w:t>
      </w:r>
      <w:r>
        <w:t>.</w:t>
      </w:r>
    </w:p>
    <w:p w14:paraId="371DD573" w14:textId="2D0DFBCD" w:rsidR="00975934" w:rsidRDefault="00975934" w:rsidP="00975934">
      <w:pPr>
        <w:pStyle w:val="IPPPargraphnumbering"/>
      </w:pPr>
    </w:p>
    <w:p w14:paraId="2E8DAFF1" w14:textId="3BD1CAAD" w:rsidR="00975934" w:rsidRDefault="00975934" w:rsidP="0099635F">
      <w:pPr>
        <w:pStyle w:val="IPPParagraphnumbering"/>
      </w:pPr>
      <w:r>
        <w:t xml:space="preserve">Observers may contribute to </w:t>
      </w:r>
      <w:r w:rsidR="00513648">
        <w:t>the</w:t>
      </w:r>
      <w:r>
        <w:t xml:space="preserve"> discussion</w:t>
      </w:r>
      <w:r w:rsidR="00513648">
        <w:t>s</w:t>
      </w:r>
      <w:r>
        <w:t xml:space="preserve"> but will not participate in decision-making.</w:t>
      </w:r>
    </w:p>
    <w:p w14:paraId="77FE3BA3" w14:textId="1B960BEC" w:rsidR="00975934" w:rsidRDefault="00975934" w:rsidP="0099635F">
      <w:pPr>
        <w:pStyle w:val="IPPParagraphnumbering"/>
      </w:pPr>
      <w:r>
        <w:t xml:space="preserve">Observers </w:t>
      </w:r>
      <w:r w:rsidR="00513648">
        <w:t xml:space="preserve">are responsible for all </w:t>
      </w:r>
      <w:r w:rsidR="0029176E">
        <w:t xml:space="preserve">their </w:t>
      </w:r>
      <w:r w:rsidR="00513648">
        <w:t>costs associated with attending the TC-RPPO</w:t>
      </w:r>
      <w:r>
        <w:t>.</w:t>
      </w:r>
    </w:p>
    <w:p w14:paraId="6F42CF3A" w14:textId="28180840" w:rsidR="00975934" w:rsidRDefault="00975934" w:rsidP="0099635F">
      <w:pPr>
        <w:pStyle w:val="IPPParagraphnumbering"/>
      </w:pPr>
      <w:r>
        <w:lastRenderedPageBreak/>
        <w:t xml:space="preserve">The </w:t>
      </w:r>
      <w:r w:rsidR="00513648">
        <w:t>members</w:t>
      </w:r>
      <w:r>
        <w:t xml:space="preserve"> may decide that a part of the meeting </w:t>
      </w:r>
      <w:r w:rsidR="00513648">
        <w:t xml:space="preserve">will be closed and therefore </w:t>
      </w:r>
      <w:r>
        <w:t>limited to TC-RPPO members only.</w:t>
      </w:r>
    </w:p>
    <w:p w14:paraId="7114DD60" w14:textId="77777777" w:rsidR="00975934" w:rsidRPr="00975934" w:rsidRDefault="00975934" w:rsidP="000A4D7B">
      <w:pPr>
        <w:pStyle w:val="IPPHeading3"/>
        <w:jc w:val="center"/>
        <w:rPr>
          <w:i w:val="0"/>
        </w:rPr>
      </w:pPr>
      <w:r w:rsidRPr="00513648">
        <w:rPr>
          <w:i w:val="0"/>
        </w:rPr>
        <w:t>Rule 4. Chairperson and Vice-Chairperson</w:t>
      </w:r>
    </w:p>
    <w:p w14:paraId="426FA9F0" w14:textId="099C883E" w:rsidR="00B14834" w:rsidRDefault="00FA26B2" w:rsidP="000B1449">
      <w:pPr>
        <w:pStyle w:val="IPPParagraphnumbering"/>
      </w:pPr>
      <w:r>
        <w:t xml:space="preserve">At the end of each TC-RPPO </w:t>
      </w:r>
      <w:r w:rsidR="00B34CCF">
        <w:t xml:space="preserve">annual </w:t>
      </w:r>
      <w:r>
        <w:t xml:space="preserve">meeting, members </w:t>
      </w:r>
      <w:r w:rsidR="00B34CCF">
        <w:t>should</w:t>
      </w:r>
      <w:r>
        <w:t xml:space="preserve"> elect a Chairperson and </w:t>
      </w:r>
      <w:r w:rsidR="008B756B">
        <w:t xml:space="preserve">a </w:t>
      </w:r>
      <w:r>
        <w:t>Vice-Chairperson</w:t>
      </w:r>
      <w:r w:rsidR="00DD661F">
        <w:t xml:space="preserve"> following an agreed rotation as recorded in the reports of the TC-RPPO meetings and would take on their duties immediately. </w:t>
      </w:r>
      <w:r w:rsidR="008B756B">
        <w:t xml:space="preserve">They will serve in this capacity until the </w:t>
      </w:r>
      <w:r w:rsidR="00B71CA7">
        <w:t xml:space="preserve">end of the </w:t>
      </w:r>
      <w:r w:rsidR="008B756B">
        <w:t>next TC-RPPO</w:t>
      </w:r>
      <w:r w:rsidR="00C978B8">
        <w:t xml:space="preserve"> </w:t>
      </w:r>
      <w:r w:rsidR="00B34CCF">
        <w:t xml:space="preserve">annual </w:t>
      </w:r>
      <w:r w:rsidR="008B756B">
        <w:t>meeting.</w:t>
      </w:r>
      <w:r w:rsidR="000B1449">
        <w:t xml:space="preserve"> The Vice-Chairperson will become the </w:t>
      </w:r>
      <w:r w:rsidR="000B1449" w:rsidRPr="00205C8C">
        <w:t xml:space="preserve">Chairperson </w:t>
      </w:r>
      <w:r w:rsidR="000B1449">
        <w:t>in the following year.</w:t>
      </w:r>
    </w:p>
    <w:p w14:paraId="43D34CD6" w14:textId="57DB9CA0" w:rsidR="001B2727" w:rsidRDefault="000C6686" w:rsidP="004125F7">
      <w:pPr>
        <w:pStyle w:val="IPPParagraphnumbering"/>
        <w:numPr>
          <w:ilvl w:val="0"/>
          <w:numId w:val="0"/>
        </w:numPr>
      </w:pPr>
      <w:r>
        <w:t xml:space="preserve">The Chairperson </w:t>
      </w:r>
      <w:r w:rsidR="00D03A94">
        <w:t>ensures</w:t>
      </w:r>
      <w:r>
        <w:t xml:space="preserve"> observance of these Rules of Procedure</w:t>
      </w:r>
      <w:r w:rsidR="00B34CCF">
        <w:t xml:space="preserve"> </w:t>
      </w:r>
      <w:proofErr w:type="gramStart"/>
      <w:r w:rsidR="00D03A94">
        <w:t>The</w:t>
      </w:r>
      <w:proofErr w:type="gramEnd"/>
      <w:r w:rsidR="00D03A94">
        <w:t xml:space="preserve"> Vice-Chairperson will exercise the functions of the Chairperson in his/her absence.</w:t>
      </w:r>
    </w:p>
    <w:p w14:paraId="25C029FE" w14:textId="46A4A769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>Rule 5. Rapporteur</w:t>
      </w:r>
      <w:r w:rsidR="007A2024">
        <w:rPr>
          <w:i w:val="0"/>
        </w:rPr>
        <w:t xml:space="preserve">, </w:t>
      </w:r>
      <w:r w:rsidRPr="00975934">
        <w:rPr>
          <w:i w:val="0"/>
        </w:rPr>
        <w:t>Report</w:t>
      </w:r>
      <w:r w:rsidR="003F5A5A">
        <w:rPr>
          <w:i w:val="0"/>
        </w:rPr>
        <w:t xml:space="preserve"> Writing</w:t>
      </w:r>
      <w:r w:rsidR="007A2024">
        <w:rPr>
          <w:i w:val="0"/>
        </w:rPr>
        <w:t xml:space="preserve"> and Report to CPM</w:t>
      </w:r>
    </w:p>
    <w:p w14:paraId="24463F26" w14:textId="74636B86" w:rsidR="00975934" w:rsidRDefault="00975934" w:rsidP="0099635F">
      <w:pPr>
        <w:pStyle w:val="IPPParagraphnumbering"/>
      </w:pPr>
      <w:r>
        <w:t xml:space="preserve">A rapporteur should be elected </w:t>
      </w:r>
      <w:r w:rsidR="00AD3124">
        <w:t xml:space="preserve">from the members </w:t>
      </w:r>
      <w:r>
        <w:t xml:space="preserve">at the beginning of </w:t>
      </w:r>
      <w:r w:rsidR="000B1449">
        <w:t xml:space="preserve">a </w:t>
      </w:r>
      <w:r w:rsidR="00D03A94">
        <w:t>TC-RPPO meeting</w:t>
      </w:r>
      <w:r w:rsidR="00A616D3">
        <w:t>s</w:t>
      </w:r>
      <w:r w:rsidR="00D03A94">
        <w:t xml:space="preserve"> </w:t>
      </w:r>
      <w:r>
        <w:t xml:space="preserve">to </w:t>
      </w:r>
      <w:r w:rsidR="00D03A94">
        <w:t>assist in</w:t>
      </w:r>
      <w:r>
        <w:t xml:space="preserve"> the production of an accurate </w:t>
      </w:r>
      <w:r w:rsidR="00D03A94">
        <w:t xml:space="preserve">meeting </w:t>
      </w:r>
      <w:r>
        <w:t xml:space="preserve">report and ensure </w:t>
      </w:r>
      <w:r w:rsidR="00D03A94">
        <w:t xml:space="preserve">that </w:t>
      </w:r>
      <w:r>
        <w:t xml:space="preserve">decisions are </w:t>
      </w:r>
      <w:r w:rsidR="00D03A94">
        <w:t xml:space="preserve">correctly </w:t>
      </w:r>
      <w:r>
        <w:t>recorded.</w:t>
      </w:r>
    </w:p>
    <w:p w14:paraId="35F15F49" w14:textId="670345C0" w:rsidR="00975934" w:rsidRPr="00D03A94" w:rsidRDefault="00D03A94" w:rsidP="0099635F">
      <w:pPr>
        <w:pStyle w:val="IPPParagraphnumbering"/>
      </w:pPr>
      <w:r>
        <w:t xml:space="preserve">The IPPC Secretariat is responsible for </w:t>
      </w:r>
      <w:r w:rsidR="00B34CCF">
        <w:t xml:space="preserve">report writing </w:t>
      </w:r>
      <w:r w:rsidR="007E475A">
        <w:t xml:space="preserve">reporting </w:t>
      </w:r>
      <w:r>
        <w:t xml:space="preserve">for the TC-RPPO </w:t>
      </w:r>
      <w:r w:rsidR="00D10D06">
        <w:t xml:space="preserve">annual </w:t>
      </w:r>
      <w:r>
        <w:t xml:space="preserve">meeting or any other convened meeting with input from the rapporteur. </w:t>
      </w:r>
    </w:p>
    <w:p w14:paraId="07E13C21" w14:textId="2520E8DF" w:rsidR="00975934" w:rsidRDefault="00975934" w:rsidP="0099635F">
      <w:pPr>
        <w:pStyle w:val="IPPParagraphnumbering"/>
      </w:pPr>
      <w:r>
        <w:t xml:space="preserve"> </w:t>
      </w:r>
      <w:r w:rsidR="008316FA">
        <w:t>R</w:t>
      </w:r>
      <w:r>
        <w:t>eport</w:t>
      </w:r>
      <w:r w:rsidR="008316FA">
        <w:t>s</w:t>
      </w:r>
      <w:r>
        <w:t xml:space="preserve"> </w:t>
      </w:r>
      <w:r w:rsidR="00D03A94">
        <w:t>o</w:t>
      </w:r>
      <w:r w:rsidR="008316FA">
        <w:t>f</w:t>
      </w:r>
      <w:r w:rsidR="00D03A94">
        <w:t xml:space="preserve"> </w:t>
      </w:r>
      <w:r w:rsidR="008316FA">
        <w:t xml:space="preserve">the </w:t>
      </w:r>
      <w:r>
        <w:t xml:space="preserve">TC-RPPO </w:t>
      </w:r>
      <w:r w:rsidR="008316FA">
        <w:t xml:space="preserve">meetings </w:t>
      </w:r>
      <w:r>
        <w:t>should be prepared and presented to the CPM by the TC-RPPO</w:t>
      </w:r>
      <w:r w:rsidR="00FC23BA">
        <w:t xml:space="preserve"> </w:t>
      </w:r>
      <w:r>
        <w:t xml:space="preserve">Chairperson. The report should include, inter alia, any points which the TC-RPPO has asked to be drawn to the attention of CPM. </w:t>
      </w:r>
    </w:p>
    <w:p w14:paraId="66CC71D6" w14:textId="77777777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>Rule 6. Decision-making</w:t>
      </w:r>
    </w:p>
    <w:p w14:paraId="157754AF" w14:textId="27285B74" w:rsidR="00D207D7" w:rsidRDefault="00975934" w:rsidP="00A91DB5">
      <w:pPr>
        <w:pStyle w:val="IPPParagraphnumbering"/>
        <w:numPr>
          <w:ilvl w:val="0"/>
          <w:numId w:val="0"/>
        </w:numPr>
      </w:pPr>
      <w:r w:rsidRPr="00FC23BA">
        <w:t xml:space="preserve">The </w:t>
      </w:r>
      <w:r w:rsidR="00FC23BA">
        <w:t>members</w:t>
      </w:r>
      <w:r w:rsidRPr="00FC23BA">
        <w:t xml:space="preserve"> make decisions </w:t>
      </w:r>
      <w:r w:rsidR="006E6C6D">
        <w:t>by</w:t>
      </w:r>
      <w:r w:rsidRPr="00FC23BA">
        <w:t xml:space="preserve"> consensus. Situations</w:t>
      </w:r>
      <w:r>
        <w:t xml:space="preserve"> where consensus cannot be reached shall be described in the meeting report detailing all positions </w:t>
      </w:r>
      <w:r w:rsidR="006E6C6D">
        <w:t>expressed.</w:t>
      </w:r>
      <w:r>
        <w:t xml:space="preserve"> </w:t>
      </w:r>
    </w:p>
    <w:p w14:paraId="1E478FC3" w14:textId="7D6478C2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7. Actions </w:t>
      </w:r>
      <w:r w:rsidR="006E6C6D">
        <w:rPr>
          <w:i w:val="0"/>
        </w:rPr>
        <w:t>between face-to-face</w:t>
      </w:r>
      <w:r w:rsidRPr="00975934">
        <w:rPr>
          <w:i w:val="0"/>
        </w:rPr>
        <w:t xml:space="preserve"> meetings</w:t>
      </w:r>
    </w:p>
    <w:p w14:paraId="3A62FBF0" w14:textId="25A7E230" w:rsidR="00975934" w:rsidRDefault="00975934" w:rsidP="00646E46">
      <w:pPr>
        <w:pStyle w:val="IPPParagraphnumbering"/>
        <w:numPr>
          <w:ilvl w:val="0"/>
          <w:numId w:val="0"/>
        </w:numPr>
        <w:ind w:left="482"/>
      </w:pPr>
      <w:r>
        <w:t xml:space="preserve">If any </w:t>
      </w:r>
      <w:r w:rsidR="006E6C6D">
        <w:t>decision</w:t>
      </w:r>
      <w:r>
        <w:t xml:space="preserve"> is required </w:t>
      </w:r>
      <w:r w:rsidR="006E6C6D">
        <w:t>from members</w:t>
      </w:r>
      <w:r>
        <w:t xml:space="preserve"> </w:t>
      </w:r>
      <w:proofErr w:type="gramStart"/>
      <w:r w:rsidR="00390470">
        <w:t>B</w:t>
      </w:r>
      <w:r>
        <w:t>etween</w:t>
      </w:r>
      <w:proofErr w:type="gramEnd"/>
      <w:r>
        <w:t xml:space="preserve"> </w:t>
      </w:r>
      <w:r w:rsidR="006E6C6D">
        <w:t>face-to-face</w:t>
      </w:r>
      <w:r>
        <w:t xml:space="preserve"> meetings </w:t>
      </w:r>
      <w:r w:rsidR="006E6C6D">
        <w:t>a request should be submitted</w:t>
      </w:r>
      <w:r>
        <w:t xml:space="preserve"> in writing to the Chairperson who consults the Vice-Chairperson and </w:t>
      </w:r>
      <w:r w:rsidR="006E6C6D">
        <w:t xml:space="preserve">engages the </w:t>
      </w:r>
      <w:r>
        <w:t xml:space="preserve">IPPC Secretariat. A </w:t>
      </w:r>
      <w:r w:rsidR="006E6C6D">
        <w:t>paper outlining the issue</w:t>
      </w:r>
      <w:r>
        <w:t xml:space="preserve"> will be circulated to TC-RPPO members </w:t>
      </w:r>
      <w:r w:rsidR="006E6C6D">
        <w:t>allowing a minimum of</w:t>
      </w:r>
      <w:r>
        <w:t xml:space="preserve"> two weeks for comments. More time may be required if the </w:t>
      </w:r>
      <w:r w:rsidR="006E6C6D">
        <w:t>decision requires</w:t>
      </w:r>
      <w:r>
        <w:t xml:space="preserve"> </w:t>
      </w:r>
      <w:r w:rsidR="006E6C6D">
        <w:t>consultation of the RPPO with</w:t>
      </w:r>
      <w:r>
        <w:t xml:space="preserve"> its member countries.  </w:t>
      </w:r>
      <w:r w:rsidR="006E6C6D">
        <w:t>Decisions taken</w:t>
      </w:r>
      <w:r>
        <w:t xml:space="preserve"> will </w:t>
      </w:r>
      <w:r w:rsidR="00EE3187">
        <w:t xml:space="preserve">be </w:t>
      </w:r>
      <w:r>
        <w:t xml:space="preserve">included in the report of the next </w:t>
      </w:r>
      <w:r w:rsidR="006E6C6D">
        <w:t>TC</w:t>
      </w:r>
      <w:r w:rsidR="00A877C3">
        <w:t>-</w:t>
      </w:r>
      <w:r w:rsidR="006E6C6D">
        <w:t xml:space="preserve">RPPO </w:t>
      </w:r>
      <w:r>
        <w:t>face-to-face meeting.</w:t>
      </w:r>
    </w:p>
    <w:p w14:paraId="026806B3" w14:textId="349D00B6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</w:t>
      </w:r>
      <w:r w:rsidR="0045627A">
        <w:rPr>
          <w:i w:val="0"/>
        </w:rPr>
        <w:t>8</w:t>
      </w:r>
      <w:r w:rsidRPr="00975934">
        <w:rPr>
          <w:i w:val="0"/>
        </w:rPr>
        <w:t xml:space="preserve">. Agenda </w:t>
      </w:r>
      <w:r w:rsidR="00A877C3">
        <w:rPr>
          <w:i w:val="0"/>
        </w:rPr>
        <w:t>for TC-RPPO meetings</w:t>
      </w:r>
    </w:p>
    <w:p w14:paraId="6BD5B2B4" w14:textId="304AE858" w:rsidR="00975934" w:rsidRDefault="00975934" w:rsidP="0099635F">
      <w:pPr>
        <w:pStyle w:val="IPPParagraphnumbering"/>
      </w:pPr>
      <w:r>
        <w:t xml:space="preserve">A draft agenda should be developed by </w:t>
      </w:r>
      <w:r w:rsidR="000B1449">
        <w:t xml:space="preserve">the IPPC Secretariat, in consultation with </w:t>
      </w:r>
      <w:r>
        <w:t xml:space="preserve">the Chairperson </w:t>
      </w:r>
      <w:r w:rsidR="000B1449">
        <w:t xml:space="preserve">and </w:t>
      </w:r>
      <w:r>
        <w:t>Vice-Chairperson</w:t>
      </w:r>
      <w:r w:rsidR="000B1449">
        <w:t>.</w:t>
      </w:r>
      <w:r w:rsidR="00A05F0C">
        <w:t xml:space="preserve"> </w:t>
      </w:r>
      <w:proofErr w:type="gramStart"/>
      <w:r w:rsidR="00341A13">
        <w:t xml:space="preserve">in </w:t>
      </w:r>
      <w:r>
        <w:t>..</w:t>
      </w:r>
      <w:proofErr w:type="gramEnd"/>
      <w:r>
        <w:t xml:space="preserve"> </w:t>
      </w:r>
    </w:p>
    <w:p w14:paraId="00358DA5" w14:textId="44C04EF6" w:rsidR="00975934" w:rsidRDefault="00975934" w:rsidP="0099635F">
      <w:pPr>
        <w:pStyle w:val="IPPParagraphnumbering"/>
      </w:pPr>
      <w:r>
        <w:t xml:space="preserve">The draft agenda should be circulated to all TC-RPPO members at least ten weeks </w:t>
      </w:r>
      <w:r w:rsidR="00A877C3">
        <w:t>ahead</w:t>
      </w:r>
      <w:r>
        <w:t xml:space="preserve"> of the </w:t>
      </w:r>
      <w:r w:rsidR="001B2727">
        <w:t xml:space="preserve">annual </w:t>
      </w:r>
      <w:r>
        <w:t xml:space="preserve">meeting requesting suggestions, additions or deletions. </w:t>
      </w:r>
      <w:r w:rsidR="00A877C3">
        <w:t>It</w:t>
      </w:r>
      <w:r>
        <w:t xml:space="preserve"> should include a standing agenda point for </w:t>
      </w:r>
      <w:r w:rsidR="00A877C3">
        <w:t>members</w:t>
      </w:r>
      <w:r>
        <w:t xml:space="preserve"> and the IPPC Secretariat to </w:t>
      </w:r>
      <w:r w:rsidR="00A877C3">
        <w:t>provide updates on</w:t>
      </w:r>
      <w:r>
        <w:t xml:space="preserve"> their activities.</w:t>
      </w:r>
      <w:r w:rsidR="00A877C3">
        <w:t xml:space="preserve"> If the TC-RPPO face-to-face meeting is held </w:t>
      </w:r>
      <w:r w:rsidR="00A05F0C">
        <w:t xml:space="preserve">in Rome </w:t>
      </w:r>
      <w:r w:rsidR="00A877C3">
        <w:t>following CPM, no reports from the IPPC Secretariat will be necessary</w:t>
      </w:r>
    </w:p>
    <w:p w14:paraId="2187ACDD" w14:textId="025993D0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</w:t>
      </w:r>
      <w:r w:rsidR="0045627A">
        <w:rPr>
          <w:i w:val="0"/>
        </w:rPr>
        <w:t>9</w:t>
      </w:r>
      <w:r w:rsidRPr="00975934">
        <w:rPr>
          <w:i w:val="0"/>
        </w:rPr>
        <w:t>. Documents</w:t>
      </w:r>
    </w:p>
    <w:p w14:paraId="6CFF5D6C" w14:textId="515B3F0E" w:rsidR="00975934" w:rsidRPr="00A05F0C" w:rsidRDefault="00975934" w:rsidP="0099635F">
      <w:pPr>
        <w:pStyle w:val="IPPParagraphnumbering"/>
      </w:pPr>
      <w:r>
        <w:t xml:space="preserve">Documents to support agenda items for the </w:t>
      </w:r>
      <w:r w:rsidR="00A05F0C">
        <w:t>TC-RPPO meeting</w:t>
      </w:r>
      <w:r w:rsidR="0077733F">
        <w:t>s</w:t>
      </w:r>
      <w:r w:rsidR="00A05F0C">
        <w:t xml:space="preserve"> </w:t>
      </w:r>
      <w:r>
        <w:t xml:space="preserve">will be prepared by </w:t>
      </w:r>
      <w:r w:rsidRPr="00A05F0C">
        <w:t xml:space="preserve">members </w:t>
      </w:r>
      <w:r w:rsidR="00A05F0C" w:rsidRPr="00A05F0C">
        <w:t xml:space="preserve">or by the IPPC Secretariat </w:t>
      </w:r>
      <w:r w:rsidRPr="00A05F0C">
        <w:t xml:space="preserve">and coordinated by the IPPC Secretariat. The documents should be posted </w:t>
      </w:r>
      <w:r w:rsidR="00B900AD">
        <w:t xml:space="preserve">at </w:t>
      </w:r>
      <w:r w:rsidRPr="00A05F0C">
        <w:t xml:space="preserve">least two weeks prior to the </w:t>
      </w:r>
      <w:r w:rsidR="00A05F0C" w:rsidRPr="00A05F0C">
        <w:t>TC-RPPO meeting</w:t>
      </w:r>
      <w:r w:rsidR="007D7079">
        <w:t>s</w:t>
      </w:r>
      <w:r w:rsidRPr="00A05F0C">
        <w:t xml:space="preserve"> </w:t>
      </w:r>
      <w:r w:rsidR="00B900AD">
        <w:t>to allow</w:t>
      </w:r>
      <w:r w:rsidRPr="00A05F0C">
        <w:t xml:space="preserve"> members </w:t>
      </w:r>
      <w:r w:rsidR="00B900AD">
        <w:t xml:space="preserve">sufficient time </w:t>
      </w:r>
      <w:r w:rsidRPr="00A05F0C">
        <w:t>to prepare for discussions.</w:t>
      </w:r>
    </w:p>
    <w:p w14:paraId="1BAFD6DF" w14:textId="29690ACD" w:rsidR="00975934" w:rsidRPr="00A05F0C" w:rsidRDefault="00975934" w:rsidP="000A4D7B">
      <w:pPr>
        <w:pStyle w:val="IPPHeading3"/>
        <w:jc w:val="center"/>
        <w:rPr>
          <w:i w:val="0"/>
        </w:rPr>
      </w:pPr>
      <w:r w:rsidRPr="00A05F0C">
        <w:rPr>
          <w:i w:val="0"/>
        </w:rPr>
        <w:lastRenderedPageBreak/>
        <w:t xml:space="preserve">Rule </w:t>
      </w:r>
      <w:r w:rsidR="0045627A">
        <w:rPr>
          <w:i w:val="0"/>
        </w:rPr>
        <w:t>10</w:t>
      </w:r>
      <w:r w:rsidRPr="00A05F0C">
        <w:rPr>
          <w:i w:val="0"/>
        </w:rPr>
        <w:t xml:space="preserve">. TC-RPPO representatives </w:t>
      </w:r>
      <w:r w:rsidR="00A05F0C" w:rsidRPr="00A05F0C">
        <w:rPr>
          <w:i w:val="0"/>
        </w:rPr>
        <w:t>to</w:t>
      </w:r>
      <w:r w:rsidRPr="00A05F0C">
        <w:rPr>
          <w:i w:val="0"/>
        </w:rPr>
        <w:t xml:space="preserve"> other </w:t>
      </w:r>
      <w:r w:rsidR="00A05F0C" w:rsidRPr="00A05F0C">
        <w:rPr>
          <w:i w:val="0"/>
        </w:rPr>
        <w:t xml:space="preserve">Committees and </w:t>
      </w:r>
      <w:r w:rsidRPr="00A05F0C">
        <w:rPr>
          <w:i w:val="0"/>
        </w:rPr>
        <w:t>meetings</w:t>
      </w:r>
    </w:p>
    <w:p w14:paraId="15A67F75" w14:textId="437A597C" w:rsidR="00A05F0C" w:rsidRDefault="0004375D" w:rsidP="0099635F">
      <w:pPr>
        <w:pStyle w:val="IPPParagraphnumbering"/>
      </w:pPr>
      <w:r>
        <w:t>T</w:t>
      </w:r>
      <w:r w:rsidRPr="00A05F0C">
        <w:t xml:space="preserve">he TC-RPPO </w:t>
      </w:r>
      <w:r>
        <w:t xml:space="preserve">will </w:t>
      </w:r>
      <w:r w:rsidR="001B2727">
        <w:t>designate</w:t>
      </w:r>
      <w:r w:rsidRPr="00A05F0C">
        <w:t xml:space="preserve"> </w:t>
      </w:r>
      <w:r>
        <w:t>its</w:t>
      </w:r>
      <w:r w:rsidRPr="00A05F0C">
        <w:t xml:space="preserve"> representative </w:t>
      </w:r>
      <w:r w:rsidR="00975934" w:rsidRPr="00A05F0C">
        <w:t xml:space="preserve">in an outside </w:t>
      </w:r>
      <w:r w:rsidR="00A05F0C">
        <w:t xml:space="preserve">committee, </w:t>
      </w:r>
      <w:r w:rsidR="00975934" w:rsidRPr="00A05F0C">
        <w:t xml:space="preserve">meeting or consultation. The representative </w:t>
      </w:r>
      <w:r>
        <w:t>shall</w:t>
      </w:r>
      <w:r w:rsidR="00975934" w:rsidRPr="00A05F0C">
        <w:t xml:space="preserve"> circulate to other members </w:t>
      </w:r>
      <w:r>
        <w:t xml:space="preserve">of the TC-RPPO </w:t>
      </w:r>
      <w:r w:rsidR="00975934" w:rsidRPr="00A05F0C">
        <w:t xml:space="preserve">the agenda and key documents </w:t>
      </w:r>
      <w:r w:rsidR="00A05F0C">
        <w:t xml:space="preserve">related to the assignment </w:t>
      </w:r>
      <w:r w:rsidR="00975934" w:rsidRPr="00A05F0C">
        <w:t xml:space="preserve">and invite </w:t>
      </w:r>
      <w:r w:rsidR="00A05F0C">
        <w:t xml:space="preserve">their </w:t>
      </w:r>
      <w:r w:rsidR="00975934" w:rsidRPr="00A05F0C">
        <w:t xml:space="preserve">comments. </w:t>
      </w:r>
    </w:p>
    <w:p w14:paraId="43D2EC5F" w14:textId="7296B81F" w:rsidR="00975934" w:rsidRPr="00A05F0C" w:rsidRDefault="00051C2B" w:rsidP="0099635F">
      <w:pPr>
        <w:pStyle w:val="IPPParagraphnumbering"/>
      </w:pPr>
      <w:r>
        <w:t>The</w:t>
      </w:r>
      <w:r w:rsidR="00975934" w:rsidRPr="00A05F0C">
        <w:t xml:space="preserve"> TC-RPPO representative </w:t>
      </w:r>
      <w:r>
        <w:t>shall</w:t>
      </w:r>
      <w:r w:rsidR="00975934" w:rsidRPr="00A05F0C">
        <w:t xml:space="preserve"> make clear </w:t>
      </w:r>
      <w:r>
        <w:t>that they are representing</w:t>
      </w:r>
      <w:r w:rsidR="00975934" w:rsidRPr="00A05F0C">
        <w:t xml:space="preserve"> TC-RPPO position</w:t>
      </w:r>
      <w:r>
        <w:t>s</w:t>
      </w:r>
      <w:r w:rsidR="00975934" w:rsidRPr="00A05F0C">
        <w:t xml:space="preserve"> and </w:t>
      </w:r>
      <w:r>
        <w:t>clearly state when t</w:t>
      </w:r>
      <w:r w:rsidR="00975934" w:rsidRPr="00A05F0C">
        <w:t xml:space="preserve">hey are </w:t>
      </w:r>
      <w:r>
        <w:t>expressing the</w:t>
      </w:r>
      <w:r w:rsidR="00975934" w:rsidRPr="00A05F0C">
        <w:t xml:space="preserve"> views of his/her RPPO. </w:t>
      </w:r>
      <w:r>
        <w:t>The TC-RPPO representative shall</w:t>
      </w:r>
      <w:r w:rsidR="00975934" w:rsidRPr="00A05F0C">
        <w:t xml:space="preserve"> circulate a short </w:t>
      </w:r>
      <w:r>
        <w:t xml:space="preserve">meeting </w:t>
      </w:r>
      <w:r w:rsidR="00975934" w:rsidRPr="00A05F0C">
        <w:t>report to other TC-RPPO members</w:t>
      </w:r>
      <w:r w:rsidR="00323162">
        <w:t xml:space="preserve"> after the meeting</w:t>
      </w:r>
      <w:r w:rsidR="00975934" w:rsidRPr="00A05F0C">
        <w:t xml:space="preserve">.  </w:t>
      </w:r>
    </w:p>
    <w:p w14:paraId="0DC2DDAB" w14:textId="7AF779F5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>Rule 1</w:t>
      </w:r>
      <w:r w:rsidR="0045627A">
        <w:rPr>
          <w:i w:val="0"/>
        </w:rPr>
        <w:t>1</w:t>
      </w:r>
      <w:r w:rsidRPr="00975934">
        <w:rPr>
          <w:i w:val="0"/>
        </w:rPr>
        <w:t xml:space="preserve">. TC-RPPO annual </w:t>
      </w:r>
      <w:r w:rsidR="00323162">
        <w:rPr>
          <w:i w:val="0"/>
        </w:rPr>
        <w:t xml:space="preserve">action </w:t>
      </w:r>
      <w:r w:rsidRPr="00975934">
        <w:rPr>
          <w:i w:val="0"/>
        </w:rPr>
        <w:t>plan</w:t>
      </w:r>
    </w:p>
    <w:p w14:paraId="07BEA4D8" w14:textId="030EA132" w:rsidR="00975934" w:rsidRDefault="00975934" w:rsidP="0099635F">
      <w:pPr>
        <w:pStyle w:val="IPPParagraphnumbering"/>
      </w:pPr>
      <w:r>
        <w:t>The TC-RPPO develop</w:t>
      </w:r>
      <w:r w:rsidR="00513648">
        <w:t>s</w:t>
      </w:r>
      <w:r>
        <w:t xml:space="preserve"> an annual TC-RPPO </w:t>
      </w:r>
      <w:r w:rsidR="00323162">
        <w:t xml:space="preserve">action </w:t>
      </w:r>
      <w:r>
        <w:t xml:space="preserve">plan. Any member may propose inclusion of themes or activities. </w:t>
      </w:r>
    </w:p>
    <w:p w14:paraId="37C69D07" w14:textId="634AB1EF" w:rsidR="00975934" w:rsidRDefault="00975934" w:rsidP="0099635F">
      <w:pPr>
        <w:pStyle w:val="IPPParagraphnumbering"/>
      </w:pPr>
      <w:r>
        <w:t xml:space="preserve">The annual </w:t>
      </w:r>
      <w:r w:rsidR="00323162">
        <w:t xml:space="preserve">action </w:t>
      </w:r>
      <w:r>
        <w:t xml:space="preserve">plan should include: </w:t>
      </w:r>
    </w:p>
    <w:p w14:paraId="5982F5F9" w14:textId="72606F79" w:rsidR="00975934" w:rsidRDefault="00975934" w:rsidP="000A4D7B">
      <w:pPr>
        <w:pStyle w:val="IPPBullet1"/>
        <w:numPr>
          <w:ilvl w:val="0"/>
          <w:numId w:val="23"/>
        </w:numPr>
        <w:spacing w:after="0"/>
      </w:pPr>
      <w:r>
        <w:t xml:space="preserve">Core activities </w:t>
      </w:r>
    </w:p>
    <w:p w14:paraId="102348E5" w14:textId="78A179CD" w:rsidR="00975934" w:rsidRDefault="00975934" w:rsidP="000A4D7B">
      <w:pPr>
        <w:pStyle w:val="IPPBullet1"/>
        <w:numPr>
          <w:ilvl w:val="0"/>
          <w:numId w:val="23"/>
        </w:numPr>
        <w:spacing w:after="0"/>
      </w:pPr>
      <w:r>
        <w:t>Schedule of activities</w:t>
      </w:r>
    </w:p>
    <w:p w14:paraId="34B04133" w14:textId="65CAAF9F" w:rsidR="00975934" w:rsidRDefault="00975934" w:rsidP="000A4D7B">
      <w:pPr>
        <w:pStyle w:val="IPPBullet1"/>
        <w:numPr>
          <w:ilvl w:val="0"/>
          <w:numId w:val="23"/>
        </w:numPr>
        <w:spacing w:after="0"/>
      </w:pPr>
      <w:r>
        <w:t>Responsible person for each activity</w:t>
      </w:r>
    </w:p>
    <w:p w14:paraId="68C20A5B" w14:textId="2BC0543C" w:rsidR="00975934" w:rsidRDefault="00975934" w:rsidP="000A4D7B">
      <w:pPr>
        <w:pStyle w:val="IPPBullet1"/>
        <w:numPr>
          <w:ilvl w:val="0"/>
          <w:numId w:val="23"/>
        </w:numPr>
        <w:spacing w:after="0"/>
      </w:pPr>
      <w:r>
        <w:t>Follow up actions.</w:t>
      </w:r>
    </w:p>
    <w:p w14:paraId="5D228A7F" w14:textId="3D03868C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 xml:space="preserve">Rule </w:t>
      </w:r>
      <w:r w:rsidR="0045627A">
        <w:rPr>
          <w:i w:val="0"/>
        </w:rPr>
        <w:t>12</w:t>
      </w:r>
      <w:r w:rsidRPr="00975934">
        <w:rPr>
          <w:i w:val="0"/>
        </w:rPr>
        <w:t>. Language</w:t>
      </w:r>
    </w:p>
    <w:p w14:paraId="11281690" w14:textId="77777777" w:rsidR="00975934" w:rsidRDefault="00975934" w:rsidP="0099635F">
      <w:pPr>
        <w:pStyle w:val="IPPParagraphnumbering"/>
      </w:pPr>
      <w:r>
        <w:t>The business of the TC-RPPO shall be conducted in English.</w:t>
      </w:r>
    </w:p>
    <w:p w14:paraId="49F63F6B" w14:textId="4B4D74E9" w:rsidR="00975934" w:rsidRPr="00975934" w:rsidRDefault="00975934" w:rsidP="000A4D7B">
      <w:pPr>
        <w:pStyle w:val="IPPHeading3"/>
        <w:jc w:val="center"/>
        <w:rPr>
          <w:i w:val="0"/>
        </w:rPr>
      </w:pPr>
      <w:r w:rsidRPr="00975934">
        <w:rPr>
          <w:i w:val="0"/>
        </w:rPr>
        <w:t>Rule 1</w:t>
      </w:r>
      <w:r w:rsidR="0045627A">
        <w:rPr>
          <w:i w:val="0"/>
        </w:rPr>
        <w:t>3</w:t>
      </w:r>
      <w:r w:rsidRPr="00975934">
        <w:rPr>
          <w:i w:val="0"/>
        </w:rPr>
        <w:t>. Amendments</w:t>
      </w:r>
    </w:p>
    <w:p w14:paraId="5742A154" w14:textId="2D72ABD1" w:rsidR="00513648" w:rsidRDefault="00513648" w:rsidP="00513648">
      <w:pPr>
        <w:pStyle w:val="IPPParagraphnumbering"/>
      </w:pPr>
      <w:r>
        <w:t>Amendments to these Rules of Procedure may be proposed, in writing, by any RPPO</w:t>
      </w:r>
      <w:r w:rsidR="006A1B62">
        <w:t xml:space="preserve"> and the IPPC Secretariat</w:t>
      </w:r>
      <w:r>
        <w:t>. Proposed amendments will be discussed</w:t>
      </w:r>
      <w:r w:rsidR="00EE3187">
        <w:t xml:space="preserve"> and </w:t>
      </w:r>
      <w:r w:rsidR="00E32C98">
        <w:t xml:space="preserve">approved </w:t>
      </w:r>
      <w:r>
        <w:t xml:space="preserve">at </w:t>
      </w:r>
      <w:r w:rsidR="001B2727">
        <w:t>the TC-RPPO annual meeting</w:t>
      </w:r>
      <w:r w:rsidR="00E32C98">
        <w:t xml:space="preserve"> </w:t>
      </w:r>
      <w:r>
        <w:t xml:space="preserve">TC-RPPO meeting and submitted to the CPM for </w:t>
      </w:r>
      <w:r w:rsidRPr="00B900AD">
        <w:t>noting.</w:t>
      </w:r>
    </w:p>
    <w:p w14:paraId="0D411119" w14:textId="77777777" w:rsidR="00975934" w:rsidRDefault="00975934" w:rsidP="00386098">
      <w:pPr>
        <w:pStyle w:val="IPPPargraphnumbering"/>
      </w:pPr>
    </w:p>
    <w:p w14:paraId="1439AAA6" w14:textId="3B82FF2F" w:rsidR="00975934" w:rsidRDefault="00975934" w:rsidP="00386098">
      <w:pPr>
        <w:pStyle w:val="IPPPargraphnumbering"/>
      </w:pPr>
    </w:p>
    <w:p w14:paraId="3B0D6189" w14:textId="3C9A3712" w:rsidR="00E11413" w:rsidRDefault="00E11413" w:rsidP="00386098">
      <w:pPr>
        <w:pStyle w:val="IPPPargraphnumbering"/>
      </w:pPr>
    </w:p>
    <w:p w14:paraId="59459EF8" w14:textId="033F8DAD" w:rsidR="00975934" w:rsidRDefault="00975934" w:rsidP="00E11413">
      <w:pPr>
        <w:pStyle w:val="IPPPargraphnumbering"/>
      </w:pPr>
    </w:p>
    <w:sectPr w:rsidR="00975934" w:rsidSect="00041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ECD84" w14:textId="77777777" w:rsidR="00264D7F" w:rsidRDefault="00264D7F" w:rsidP="000414BC">
      <w:r>
        <w:separator/>
      </w:r>
    </w:p>
  </w:endnote>
  <w:endnote w:type="continuationSeparator" w:id="0">
    <w:p w14:paraId="774E5119" w14:textId="77777777" w:rsidR="00264D7F" w:rsidRDefault="00264D7F" w:rsidP="000414BC">
      <w:r>
        <w:continuationSeparator/>
      </w:r>
    </w:p>
  </w:endnote>
  <w:endnote w:type="continuationNotice" w:id="1">
    <w:p w14:paraId="564846EE" w14:textId="77777777" w:rsidR="00264D7F" w:rsidRDefault="00264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B701" w14:textId="198C6441" w:rsidR="008D54EF" w:rsidRPr="008D54EF" w:rsidRDefault="008D54EF" w:rsidP="008D54EF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PAGE </w:instrText>
    </w:r>
    <w:r w:rsidRPr="002043CC">
      <w:rPr>
        <w:rStyle w:val="PageNumber"/>
        <w:b/>
      </w:rPr>
      <w:fldChar w:fldCharType="separate"/>
    </w:r>
    <w:r w:rsidR="00C912C8">
      <w:rPr>
        <w:rStyle w:val="PageNumber"/>
        <w:noProof/>
      </w:rPr>
      <w:t>6</w:t>
    </w:r>
    <w:r w:rsidRPr="002043CC">
      <w:rPr>
        <w:rStyle w:val="PageNumber"/>
        <w:b/>
      </w:rPr>
      <w:fldChar w:fldCharType="end"/>
    </w:r>
    <w:r w:rsidRPr="002043CC">
      <w:rPr>
        <w:rStyle w:val="PageNumber"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C912C8">
      <w:rPr>
        <w:rStyle w:val="PageNumber"/>
        <w:noProof/>
      </w:rPr>
      <w:t>6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FAE04" w14:textId="585A5B57" w:rsidR="000414BC" w:rsidRPr="000414BC" w:rsidRDefault="000414BC" w:rsidP="000414B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PAGE </w:instrText>
    </w:r>
    <w:r w:rsidRPr="002043CC">
      <w:rPr>
        <w:rStyle w:val="PageNumber"/>
        <w:b/>
      </w:rPr>
      <w:fldChar w:fldCharType="separate"/>
    </w:r>
    <w:r w:rsidR="00C912C8">
      <w:rPr>
        <w:rStyle w:val="PageNumber"/>
        <w:noProof/>
      </w:rPr>
      <w:t>5</w:t>
    </w:r>
    <w:r w:rsidRPr="002043CC">
      <w:rPr>
        <w:rStyle w:val="PageNumber"/>
        <w:b/>
      </w:rPr>
      <w:fldChar w:fldCharType="end"/>
    </w:r>
    <w:r w:rsidRPr="002043CC">
      <w:rPr>
        <w:rStyle w:val="PageNumber"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C912C8">
      <w:rPr>
        <w:rStyle w:val="PageNumber"/>
        <w:noProof/>
      </w:rPr>
      <w:t>6</w:t>
    </w:r>
    <w:r w:rsidRPr="002043CC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4BF7" w14:textId="5B3BF25B" w:rsidR="000414BC" w:rsidRPr="000414BC" w:rsidRDefault="000414BC" w:rsidP="000414B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PAGE </w:instrText>
    </w:r>
    <w:r w:rsidRPr="002043CC">
      <w:rPr>
        <w:rStyle w:val="PageNumber"/>
        <w:b/>
      </w:rPr>
      <w:fldChar w:fldCharType="separate"/>
    </w:r>
    <w:r w:rsidR="00C912C8">
      <w:rPr>
        <w:rStyle w:val="PageNumber"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C912C8">
      <w:rPr>
        <w:rStyle w:val="PageNumber"/>
        <w:noProof/>
      </w:rPr>
      <w:t>6</w:t>
    </w:r>
    <w:r w:rsidRPr="002043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C8D6D" w14:textId="77777777" w:rsidR="00264D7F" w:rsidRDefault="00264D7F" w:rsidP="000414BC">
      <w:r>
        <w:separator/>
      </w:r>
    </w:p>
  </w:footnote>
  <w:footnote w:type="continuationSeparator" w:id="0">
    <w:p w14:paraId="26BE6365" w14:textId="77777777" w:rsidR="00264D7F" w:rsidRDefault="00264D7F" w:rsidP="000414BC">
      <w:r>
        <w:continuationSeparator/>
      </w:r>
    </w:p>
  </w:footnote>
  <w:footnote w:type="continuationNotice" w:id="1">
    <w:p w14:paraId="7266442A" w14:textId="77777777" w:rsidR="00264D7F" w:rsidRDefault="00264D7F"/>
  </w:footnote>
  <w:footnote w:id="2">
    <w:p w14:paraId="149ABF62" w14:textId="77777777" w:rsidR="00BB4496" w:rsidRPr="0076694E" w:rsidRDefault="00BB4496" w:rsidP="00BB4496">
      <w:pPr>
        <w:pStyle w:val="FootnoteText"/>
      </w:pPr>
      <w:r w:rsidRPr="0076694E">
        <w:rPr>
          <w:rStyle w:val="FootnoteReference"/>
        </w:rPr>
        <w:footnoteRef/>
      </w:r>
      <w:r w:rsidRPr="0076694E">
        <w:t xml:space="preserve"> Terms of Reference of TC-RPPO is available at: </w:t>
      </w:r>
      <w:hyperlink r:id="rId1" w:history="1">
        <w:r w:rsidRPr="0076694E">
          <w:rPr>
            <w:rStyle w:val="Hyperlink"/>
          </w:rPr>
          <w:t>http://www.ippc.int/en/publications/88719/</w:t>
        </w:r>
      </w:hyperlink>
      <w:r w:rsidRPr="0076694E">
        <w:t xml:space="preserve"> </w:t>
      </w:r>
    </w:p>
  </w:footnote>
  <w:footnote w:id="3">
    <w:p w14:paraId="5F0CF1CE" w14:textId="77777777" w:rsidR="00BB4496" w:rsidRPr="00464C3F" w:rsidRDefault="00BB4496" w:rsidP="00BB4496">
      <w:pPr>
        <w:pStyle w:val="FootnoteText"/>
      </w:pPr>
      <w:r w:rsidRPr="0076694E">
        <w:rPr>
          <w:rStyle w:val="FootnoteReference"/>
        </w:rPr>
        <w:footnoteRef/>
      </w:r>
      <w:r w:rsidRPr="0076694E">
        <w:t xml:space="preserve"> Roles and Functions of RPPOs in their relationship with the CPM is available at: </w:t>
      </w:r>
      <w:hyperlink r:id="rId2" w:history="1">
        <w:r w:rsidRPr="0076694E">
          <w:rPr>
            <w:rStyle w:val="Hyperlink"/>
          </w:rPr>
          <w:t>https://www.ippc.int/en/publications/88182/</w:t>
        </w:r>
      </w:hyperlink>
      <w:r w:rsidRPr="0076694E">
        <w:t xml:space="preserve"> </w:t>
      </w:r>
    </w:p>
  </w:footnote>
  <w:footnote w:id="4">
    <w:p w14:paraId="75420B7E" w14:textId="2FC169AD" w:rsidR="00C81571" w:rsidRDefault="00C8157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0E9B6" w14:textId="0E315CD7" w:rsidR="008D54EF" w:rsidRPr="008D54EF" w:rsidRDefault="00975934" w:rsidP="008D54EF">
    <w:pPr>
      <w:pStyle w:val="IPPHeader"/>
    </w:pPr>
    <w:r>
      <w:t>13</w:t>
    </w:r>
    <w:r w:rsidR="008D54EF">
      <w:t>_</w:t>
    </w:r>
    <w:r w:rsidR="00D63AE7" w:rsidRPr="00D63AE7">
      <w:t>TC-RPPO_2019_Oct</w:t>
    </w:r>
    <w:r w:rsidR="008D54EF">
      <w:rPr>
        <w:rFonts w:cs="Arial"/>
        <w:szCs w:val="18"/>
      </w:rPr>
      <w:tab/>
    </w:r>
    <w:r w:rsidR="00315D0E">
      <w:t>ToR and RoP for TC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29302" w14:textId="777BCC13" w:rsidR="000414BC" w:rsidRPr="000F11EC" w:rsidRDefault="00264D7F" w:rsidP="000F11EC">
    <w:pPr>
      <w:pStyle w:val="IPPHeader"/>
    </w:pPr>
    <w:sdt>
      <w:sdtPr>
        <w:id w:val="-213901390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5DA9A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15D0E" w:rsidRPr="00315D0E">
      <w:t>ToR and RoP for TC</w:t>
    </w:r>
    <w:r w:rsidR="000F11EC">
      <w:tab/>
    </w:r>
    <w:r w:rsidR="00975934">
      <w:t>13</w:t>
    </w:r>
    <w:r w:rsidR="000F11EC">
      <w:t>_</w:t>
    </w:r>
    <w:r w:rsidR="00D63AE7" w:rsidRPr="00D63AE7">
      <w:t>TC-RPPO_2019_Oct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2FB6" w14:textId="114D9292" w:rsidR="000414BC" w:rsidRPr="00FE6905" w:rsidRDefault="000414BC" w:rsidP="000414BC">
    <w:pPr>
      <w:pStyle w:val="IPP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728CB5D" wp14:editId="330E6D0D">
          <wp:simplePos x="0" y="0"/>
          <wp:positionH relativeFrom="margin">
            <wp:posOffset>-3810</wp:posOffset>
          </wp:positionH>
          <wp:positionV relativeFrom="margin">
            <wp:posOffset>-502285</wp:posOffset>
          </wp:positionV>
          <wp:extent cx="647065" cy="333375"/>
          <wp:effectExtent l="0" t="0" r="635" b="9525"/>
          <wp:wrapNone/>
          <wp:docPr id="3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B7A6363" wp14:editId="3143BABC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 w:rsidR="002917EB">
      <w:rPr>
        <w:rStyle w:val="normaltextrun"/>
        <w:rFonts w:cs="Arial"/>
        <w:color w:val="000000"/>
        <w:sz w:val="16"/>
        <w:szCs w:val="16"/>
        <w:shd w:val="clear" w:color="auto" w:fill="FFFFFF"/>
        <w:lang w:val="en-GB"/>
      </w:rPr>
      <w:t>VM01_06 (b</w:t>
    </w:r>
    <w:proofErr w:type="gramStart"/>
    <w:r w:rsidR="002917EB">
      <w:rPr>
        <w:rStyle w:val="normaltextrun"/>
        <w:rFonts w:cs="Arial"/>
        <w:color w:val="000000"/>
        <w:sz w:val="16"/>
        <w:szCs w:val="16"/>
        <w:shd w:val="clear" w:color="auto" w:fill="FFFFFF"/>
        <w:lang w:val="en-GB"/>
      </w:rPr>
      <w:t>)_</w:t>
    </w:r>
    <w:proofErr w:type="gramEnd"/>
    <w:r w:rsidR="002917EB">
      <w:rPr>
        <w:rStyle w:val="normaltextrun"/>
        <w:rFonts w:cs="Arial"/>
        <w:color w:val="000000"/>
        <w:sz w:val="16"/>
        <w:szCs w:val="16"/>
        <w:shd w:val="clear" w:color="auto" w:fill="FFFFFF"/>
        <w:lang w:val="en-GB"/>
      </w:rPr>
      <w:t>TC-RPPO_2021_Nov </w:t>
    </w:r>
    <w:r w:rsidR="002917EB">
      <w:rPr>
        <w:rStyle w:val="eop"/>
        <w:rFonts w:cs="Arial"/>
        <w:color w:val="000000"/>
        <w:sz w:val="16"/>
        <w:szCs w:val="16"/>
        <w:shd w:val="clear" w:color="auto" w:fill="FFFFFF"/>
      </w:rPr>
      <w:t> </w:t>
    </w:r>
  </w:p>
  <w:p w14:paraId="3C231DE7" w14:textId="5CB2B8E4" w:rsidR="000414BC" w:rsidRPr="000414BC" w:rsidRDefault="000414BC" w:rsidP="000414BC">
    <w:pPr>
      <w:pStyle w:val="IPPHeader"/>
    </w:pPr>
    <w:r w:rsidRPr="00606019">
      <w:tab/>
    </w:r>
    <w:r w:rsidR="00315D0E">
      <w:t>ToR and RoP for TC</w:t>
    </w:r>
    <w:r>
      <w:rPr>
        <w:i/>
      </w:rPr>
      <w:tab/>
      <w:t xml:space="preserve">Agenda item: </w:t>
    </w:r>
    <w:r w:rsidR="00386098">
      <w:rPr>
        <w:i/>
      </w:rPr>
      <w:t>04.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09A2"/>
    <w:multiLevelType w:val="hybridMultilevel"/>
    <w:tmpl w:val="93DAA246"/>
    <w:lvl w:ilvl="0" w:tplc="FB32555C">
      <w:start w:val="11"/>
      <w:numFmt w:val="bullet"/>
      <w:lvlText w:val="-"/>
      <w:lvlJc w:val="left"/>
      <w:pPr>
        <w:ind w:left="1060" w:hanging="360"/>
      </w:pPr>
      <w:rPr>
        <w:rFonts w:ascii="Calibri" w:eastAsia="Times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E35659"/>
    <w:multiLevelType w:val="hybridMultilevel"/>
    <w:tmpl w:val="A31CD476"/>
    <w:lvl w:ilvl="0" w:tplc="0409000F">
      <w:start w:val="1"/>
      <w:numFmt w:val="decimal"/>
      <w:lvlText w:val="%1."/>
      <w:lvlJc w:val="left"/>
      <w:pPr>
        <w:tabs>
          <w:tab w:val="num" w:pos="1049"/>
        </w:tabs>
        <w:ind w:left="1049" w:hanging="567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 w15:restartNumberingAfterBreak="0">
    <w:nsid w:val="43CE7A44"/>
    <w:multiLevelType w:val="hybridMultilevel"/>
    <w:tmpl w:val="BAA83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86402"/>
    <w:multiLevelType w:val="hybridMultilevel"/>
    <w:tmpl w:val="DE46B214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B4B9D"/>
    <w:multiLevelType w:val="hybridMultilevel"/>
    <w:tmpl w:val="047EB6BE"/>
    <w:lvl w:ilvl="0" w:tplc="04090017">
      <w:start w:val="1"/>
      <w:numFmt w:val="lowerLetter"/>
      <w:lvlText w:val="%1)"/>
      <w:lvlJc w:val="left"/>
      <w:pPr>
        <w:ind w:left="290" w:hanging="360"/>
      </w:pPr>
    </w:lvl>
    <w:lvl w:ilvl="1" w:tplc="04090019" w:tentative="1">
      <w:start w:val="1"/>
      <w:numFmt w:val="lowerLetter"/>
      <w:lvlText w:val="%2."/>
      <w:lvlJc w:val="left"/>
      <w:pPr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E0C8D"/>
    <w:multiLevelType w:val="hybridMultilevel"/>
    <w:tmpl w:val="A31CD476"/>
    <w:lvl w:ilvl="0" w:tplc="0409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6"/>
  </w:num>
  <w:num w:numId="5">
    <w:abstractNumId w:val="10"/>
  </w:num>
  <w:num w:numId="6">
    <w:abstractNumId w:val="5"/>
  </w:num>
  <w:num w:numId="7">
    <w:abstractNumId w:val="17"/>
  </w:num>
  <w:num w:numId="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482"/>
          </w:tabs>
          <w:ind w:left="482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9"/>
  </w:num>
  <w:num w:numId="14">
    <w:abstractNumId w:val="14"/>
  </w:num>
  <w:num w:numId="15">
    <w:abstractNumId w:val="10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7"/>
  </w:num>
  <w:num w:numId="21">
    <w:abstractNumId w:val="0"/>
  </w:num>
  <w:num w:numId="22">
    <w:abstractNumId w:val="15"/>
  </w:num>
  <w:num w:numId="23">
    <w:abstractNumId w:val="11"/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3">
    <w:abstractNumId w:val="13"/>
  </w:num>
  <w:num w:numId="44">
    <w:abstractNumId w:val="6"/>
  </w:num>
  <w:num w:numId="45">
    <w:abstractNumId w:val="1"/>
    <w:lvlOverride w:ilvl="0">
      <w:lvl w:ilvl="0">
        <w:start w:val="1"/>
        <w:numFmt w:val="decimal"/>
        <w:pStyle w:val="IPPParagraphnumbering"/>
        <w:lvlText w:val="%1."/>
        <w:lvlJc w:val="left"/>
        <w:pPr>
          <w:ind w:left="842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274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706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210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4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18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722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226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02" w:hanging="1440"/>
        </w:p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C"/>
    <w:rsid w:val="00012A6E"/>
    <w:rsid w:val="00017F03"/>
    <w:rsid w:val="000266E8"/>
    <w:rsid w:val="000414BC"/>
    <w:rsid w:val="0004375D"/>
    <w:rsid w:val="00050BA8"/>
    <w:rsid w:val="00051C2B"/>
    <w:rsid w:val="00052F02"/>
    <w:rsid w:val="00053F5C"/>
    <w:rsid w:val="00053FC6"/>
    <w:rsid w:val="0005775E"/>
    <w:rsid w:val="00067552"/>
    <w:rsid w:val="0007156E"/>
    <w:rsid w:val="00071E10"/>
    <w:rsid w:val="00073D10"/>
    <w:rsid w:val="000749FA"/>
    <w:rsid w:val="00081FA1"/>
    <w:rsid w:val="0008778F"/>
    <w:rsid w:val="000925DC"/>
    <w:rsid w:val="000A4D7B"/>
    <w:rsid w:val="000B1449"/>
    <w:rsid w:val="000B3707"/>
    <w:rsid w:val="000C1EFF"/>
    <w:rsid w:val="000C6686"/>
    <w:rsid w:val="000D1261"/>
    <w:rsid w:val="000D5C19"/>
    <w:rsid w:val="000E4950"/>
    <w:rsid w:val="000F11EC"/>
    <w:rsid w:val="000F1B70"/>
    <w:rsid w:val="000F2122"/>
    <w:rsid w:val="000F51FE"/>
    <w:rsid w:val="000F5407"/>
    <w:rsid w:val="000F694E"/>
    <w:rsid w:val="000F77A2"/>
    <w:rsid w:val="001205B6"/>
    <w:rsid w:val="00123889"/>
    <w:rsid w:val="00136094"/>
    <w:rsid w:val="00137128"/>
    <w:rsid w:val="00156775"/>
    <w:rsid w:val="00163932"/>
    <w:rsid w:val="001648EC"/>
    <w:rsid w:val="00164F70"/>
    <w:rsid w:val="00177433"/>
    <w:rsid w:val="00195931"/>
    <w:rsid w:val="001A5F2B"/>
    <w:rsid w:val="001B2727"/>
    <w:rsid w:val="001B7BD5"/>
    <w:rsid w:val="001C1F34"/>
    <w:rsid w:val="001C2502"/>
    <w:rsid w:val="001C7388"/>
    <w:rsid w:val="001D316E"/>
    <w:rsid w:val="001D6237"/>
    <w:rsid w:val="001D7A58"/>
    <w:rsid w:val="001E691C"/>
    <w:rsid w:val="001F6041"/>
    <w:rsid w:val="001F658A"/>
    <w:rsid w:val="00200E29"/>
    <w:rsid w:val="00203C08"/>
    <w:rsid w:val="00203CA3"/>
    <w:rsid w:val="00205C8C"/>
    <w:rsid w:val="00206F84"/>
    <w:rsid w:val="00212B3A"/>
    <w:rsid w:val="002154D7"/>
    <w:rsid w:val="002213D8"/>
    <w:rsid w:val="00225C4D"/>
    <w:rsid w:val="00235064"/>
    <w:rsid w:val="00235406"/>
    <w:rsid w:val="00243850"/>
    <w:rsid w:val="00263146"/>
    <w:rsid w:val="002638CA"/>
    <w:rsid w:val="00264D7F"/>
    <w:rsid w:val="00264F65"/>
    <w:rsid w:val="00273EC0"/>
    <w:rsid w:val="00274378"/>
    <w:rsid w:val="0027757A"/>
    <w:rsid w:val="0029176E"/>
    <w:rsid w:val="002917EB"/>
    <w:rsid w:val="002927E6"/>
    <w:rsid w:val="002A3ABF"/>
    <w:rsid w:val="002C28A0"/>
    <w:rsid w:val="002D174E"/>
    <w:rsid w:val="002D2DE9"/>
    <w:rsid w:val="002E2855"/>
    <w:rsid w:val="002E2BE7"/>
    <w:rsid w:val="002F0DE2"/>
    <w:rsid w:val="0030165B"/>
    <w:rsid w:val="00301FFB"/>
    <w:rsid w:val="00303DAB"/>
    <w:rsid w:val="00315D0E"/>
    <w:rsid w:val="00321AE1"/>
    <w:rsid w:val="00322043"/>
    <w:rsid w:val="00323162"/>
    <w:rsid w:val="00323D29"/>
    <w:rsid w:val="003321AA"/>
    <w:rsid w:val="003372B4"/>
    <w:rsid w:val="00341A13"/>
    <w:rsid w:val="00343FFB"/>
    <w:rsid w:val="00352B48"/>
    <w:rsid w:val="003603A8"/>
    <w:rsid w:val="00375E4A"/>
    <w:rsid w:val="0038168E"/>
    <w:rsid w:val="00386098"/>
    <w:rsid w:val="00390470"/>
    <w:rsid w:val="00390AD0"/>
    <w:rsid w:val="003A1B0B"/>
    <w:rsid w:val="003A5442"/>
    <w:rsid w:val="003B1FA2"/>
    <w:rsid w:val="003B22B3"/>
    <w:rsid w:val="003B3834"/>
    <w:rsid w:val="003B5678"/>
    <w:rsid w:val="003B750D"/>
    <w:rsid w:val="003B76D5"/>
    <w:rsid w:val="003C6A72"/>
    <w:rsid w:val="003D4E5B"/>
    <w:rsid w:val="003F5A5A"/>
    <w:rsid w:val="003F68B7"/>
    <w:rsid w:val="00400364"/>
    <w:rsid w:val="00404229"/>
    <w:rsid w:val="00405D04"/>
    <w:rsid w:val="00406DAD"/>
    <w:rsid w:val="004125F7"/>
    <w:rsid w:val="004207A0"/>
    <w:rsid w:val="00421B20"/>
    <w:rsid w:val="00423536"/>
    <w:rsid w:val="00425EBE"/>
    <w:rsid w:val="004363D6"/>
    <w:rsid w:val="004419A1"/>
    <w:rsid w:val="004507DC"/>
    <w:rsid w:val="0045627A"/>
    <w:rsid w:val="0046124A"/>
    <w:rsid w:val="004612F2"/>
    <w:rsid w:val="00461A79"/>
    <w:rsid w:val="00464C66"/>
    <w:rsid w:val="00466D84"/>
    <w:rsid w:val="00483DD4"/>
    <w:rsid w:val="004A1ED6"/>
    <w:rsid w:val="004A5013"/>
    <w:rsid w:val="004A62D6"/>
    <w:rsid w:val="004B18A6"/>
    <w:rsid w:val="004B2CB3"/>
    <w:rsid w:val="004B38B9"/>
    <w:rsid w:val="004B6723"/>
    <w:rsid w:val="004C5020"/>
    <w:rsid w:val="004C50BB"/>
    <w:rsid w:val="004D2713"/>
    <w:rsid w:val="004E39F1"/>
    <w:rsid w:val="004F4B78"/>
    <w:rsid w:val="00503EC5"/>
    <w:rsid w:val="00510710"/>
    <w:rsid w:val="00511CA9"/>
    <w:rsid w:val="00512DAC"/>
    <w:rsid w:val="00513648"/>
    <w:rsid w:val="005218BE"/>
    <w:rsid w:val="00541CD0"/>
    <w:rsid w:val="00544F8F"/>
    <w:rsid w:val="00551940"/>
    <w:rsid w:val="00562F0C"/>
    <w:rsid w:val="005675C6"/>
    <w:rsid w:val="005740D4"/>
    <w:rsid w:val="00581ACF"/>
    <w:rsid w:val="0058529F"/>
    <w:rsid w:val="005A39B7"/>
    <w:rsid w:val="005B0018"/>
    <w:rsid w:val="005B0AC9"/>
    <w:rsid w:val="005C28AA"/>
    <w:rsid w:val="005C2EDA"/>
    <w:rsid w:val="005C40C7"/>
    <w:rsid w:val="005C7FA4"/>
    <w:rsid w:val="005D1BDE"/>
    <w:rsid w:val="005D2A5E"/>
    <w:rsid w:val="005D4613"/>
    <w:rsid w:val="005D7997"/>
    <w:rsid w:val="005E084B"/>
    <w:rsid w:val="005E7219"/>
    <w:rsid w:val="006023AA"/>
    <w:rsid w:val="00607F57"/>
    <w:rsid w:val="00615178"/>
    <w:rsid w:val="00640373"/>
    <w:rsid w:val="00643D8A"/>
    <w:rsid w:val="00646E46"/>
    <w:rsid w:val="00652CF1"/>
    <w:rsid w:val="00655072"/>
    <w:rsid w:val="0066115F"/>
    <w:rsid w:val="00664C53"/>
    <w:rsid w:val="0066717E"/>
    <w:rsid w:val="006A1B62"/>
    <w:rsid w:val="006B03FB"/>
    <w:rsid w:val="006B0567"/>
    <w:rsid w:val="006D0CAD"/>
    <w:rsid w:val="006E5B02"/>
    <w:rsid w:val="006E6C6D"/>
    <w:rsid w:val="00703472"/>
    <w:rsid w:val="007052F3"/>
    <w:rsid w:val="00712893"/>
    <w:rsid w:val="00742758"/>
    <w:rsid w:val="00754997"/>
    <w:rsid w:val="0077733F"/>
    <w:rsid w:val="007777FB"/>
    <w:rsid w:val="00790BA9"/>
    <w:rsid w:val="007941CD"/>
    <w:rsid w:val="00794997"/>
    <w:rsid w:val="007A0541"/>
    <w:rsid w:val="007A2024"/>
    <w:rsid w:val="007A33FD"/>
    <w:rsid w:val="007C1045"/>
    <w:rsid w:val="007C6B08"/>
    <w:rsid w:val="007D511E"/>
    <w:rsid w:val="007D7079"/>
    <w:rsid w:val="007E348F"/>
    <w:rsid w:val="007E475A"/>
    <w:rsid w:val="008101EE"/>
    <w:rsid w:val="008115E2"/>
    <w:rsid w:val="00811FB6"/>
    <w:rsid w:val="00812311"/>
    <w:rsid w:val="00820B0D"/>
    <w:rsid w:val="008211A2"/>
    <w:rsid w:val="00823AF9"/>
    <w:rsid w:val="008270D2"/>
    <w:rsid w:val="00830BF4"/>
    <w:rsid w:val="008316FA"/>
    <w:rsid w:val="0084282B"/>
    <w:rsid w:val="008516E9"/>
    <w:rsid w:val="00851A1D"/>
    <w:rsid w:val="008638D1"/>
    <w:rsid w:val="008664BE"/>
    <w:rsid w:val="00875E5F"/>
    <w:rsid w:val="00883A15"/>
    <w:rsid w:val="00885FE3"/>
    <w:rsid w:val="0089234D"/>
    <w:rsid w:val="008924AF"/>
    <w:rsid w:val="00894661"/>
    <w:rsid w:val="008A3AB7"/>
    <w:rsid w:val="008A4D9F"/>
    <w:rsid w:val="008B24E2"/>
    <w:rsid w:val="008B63E8"/>
    <w:rsid w:val="008B756B"/>
    <w:rsid w:val="008C6EFF"/>
    <w:rsid w:val="008C740C"/>
    <w:rsid w:val="008D54EF"/>
    <w:rsid w:val="008E0A20"/>
    <w:rsid w:val="008F38CD"/>
    <w:rsid w:val="009053BA"/>
    <w:rsid w:val="00905AB3"/>
    <w:rsid w:val="00912FEA"/>
    <w:rsid w:val="00925A20"/>
    <w:rsid w:val="00926B1F"/>
    <w:rsid w:val="00934C67"/>
    <w:rsid w:val="00936494"/>
    <w:rsid w:val="00940C15"/>
    <w:rsid w:val="00950F98"/>
    <w:rsid w:val="00960923"/>
    <w:rsid w:val="00972DF7"/>
    <w:rsid w:val="009754D0"/>
    <w:rsid w:val="00975934"/>
    <w:rsid w:val="00984A67"/>
    <w:rsid w:val="00993E83"/>
    <w:rsid w:val="00996347"/>
    <w:rsid w:val="0099635F"/>
    <w:rsid w:val="009A47B5"/>
    <w:rsid w:val="009B6E3B"/>
    <w:rsid w:val="009C2474"/>
    <w:rsid w:val="009D06F4"/>
    <w:rsid w:val="009D1C01"/>
    <w:rsid w:val="009D5655"/>
    <w:rsid w:val="009F0D64"/>
    <w:rsid w:val="009F3314"/>
    <w:rsid w:val="009F5B95"/>
    <w:rsid w:val="009F5D93"/>
    <w:rsid w:val="00A05B18"/>
    <w:rsid w:val="00A05F0C"/>
    <w:rsid w:val="00A16187"/>
    <w:rsid w:val="00A162D7"/>
    <w:rsid w:val="00A17798"/>
    <w:rsid w:val="00A22F1A"/>
    <w:rsid w:val="00A242F8"/>
    <w:rsid w:val="00A32D58"/>
    <w:rsid w:val="00A34C0F"/>
    <w:rsid w:val="00A41ED0"/>
    <w:rsid w:val="00A4473E"/>
    <w:rsid w:val="00A5463B"/>
    <w:rsid w:val="00A56CCB"/>
    <w:rsid w:val="00A60D55"/>
    <w:rsid w:val="00A616D3"/>
    <w:rsid w:val="00A736BF"/>
    <w:rsid w:val="00A7632F"/>
    <w:rsid w:val="00A877C3"/>
    <w:rsid w:val="00A91DB5"/>
    <w:rsid w:val="00A97DD8"/>
    <w:rsid w:val="00AA4937"/>
    <w:rsid w:val="00AA4D3B"/>
    <w:rsid w:val="00AB521B"/>
    <w:rsid w:val="00AB7B2B"/>
    <w:rsid w:val="00AC4798"/>
    <w:rsid w:val="00AD3124"/>
    <w:rsid w:val="00AD6248"/>
    <w:rsid w:val="00AD6A04"/>
    <w:rsid w:val="00AE2A9F"/>
    <w:rsid w:val="00B14834"/>
    <w:rsid w:val="00B16317"/>
    <w:rsid w:val="00B171DB"/>
    <w:rsid w:val="00B24BCA"/>
    <w:rsid w:val="00B25A4D"/>
    <w:rsid w:val="00B340D3"/>
    <w:rsid w:val="00B34CCF"/>
    <w:rsid w:val="00B43BE0"/>
    <w:rsid w:val="00B509D9"/>
    <w:rsid w:val="00B71CA7"/>
    <w:rsid w:val="00B7230D"/>
    <w:rsid w:val="00B72DC9"/>
    <w:rsid w:val="00B772A5"/>
    <w:rsid w:val="00B77DEE"/>
    <w:rsid w:val="00B80209"/>
    <w:rsid w:val="00B87C90"/>
    <w:rsid w:val="00B900AD"/>
    <w:rsid w:val="00BB2477"/>
    <w:rsid w:val="00BB3A22"/>
    <w:rsid w:val="00BB4496"/>
    <w:rsid w:val="00BB45D2"/>
    <w:rsid w:val="00BC20C5"/>
    <w:rsid w:val="00BD1ABF"/>
    <w:rsid w:val="00BD77E4"/>
    <w:rsid w:val="00BE3FA1"/>
    <w:rsid w:val="00BF2C2E"/>
    <w:rsid w:val="00C00D59"/>
    <w:rsid w:val="00C1088D"/>
    <w:rsid w:val="00C153FE"/>
    <w:rsid w:val="00C35F89"/>
    <w:rsid w:val="00C362E6"/>
    <w:rsid w:val="00C43B27"/>
    <w:rsid w:val="00C5005B"/>
    <w:rsid w:val="00C5099F"/>
    <w:rsid w:val="00C53EBE"/>
    <w:rsid w:val="00C81571"/>
    <w:rsid w:val="00C85B8D"/>
    <w:rsid w:val="00C87E77"/>
    <w:rsid w:val="00C912C8"/>
    <w:rsid w:val="00C92239"/>
    <w:rsid w:val="00C96D6F"/>
    <w:rsid w:val="00C971BA"/>
    <w:rsid w:val="00C978B8"/>
    <w:rsid w:val="00CA04CD"/>
    <w:rsid w:val="00CA2DD4"/>
    <w:rsid w:val="00CA6A05"/>
    <w:rsid w:val="00CB3598"/>
    <w:rsid w:val="00CB4488"/>
    <w:rsid w:val="00CB4705"/>
    <w:rsid w:val="00CB4B42"/>
    <w:rsid w:val="00CB6BC3"/>
    <w:rsid w:val="00CC4152"/>
    <w:rsid w:val="00CD20A8"/>
    <w:rsid w:val="00CE4E4A"/>
    <w:rsid w:val="00D00826"/>
    <w:rsid w:val="00D03A94"/>
    <w:rsid w:val="00D10A3E"/>
    <w:rsid w:val="00D10D06"/>
    <w:rsid w:val="00D1102B"/>
    <w:rsid w:val="00D14257"/>
    <w:rsid w:val="00D148EC"/>
    <w:rsid w:val="00D15B1A"/>
    <w:rsid w:val="00D16E87"/>
    <w:rsid w:val="00D207D7"/>
    <w:rsid w:val="00D22104"/>
    <w:rsid w:val="00D25710"/>
    <w:rsid w:val="00D311CC"/>
    <w:rsid w:val="00D31E81"/>
    <w:rsid w:val="00D34D94"/>
    <w:rsid w:val="00D37E55"/>
    <w:rsid w:val="00D4085A"/>
    <w:rsid w:val="00D41236"/>
    <w:rsid w:val="00D442ED"/>
    <w:rsid w:val="00D63AE7"/>
    <w:rsid w:val="00D67A53"/>
    <w:rsid w:val="00D74B34"/>
    <w:rsid w:val="00DA0B05"/>
    <w:rsid w:val="00DA0C19"/>
    <w:rsid w:val="00DA2820"/>
    <w:rsid w:val="00DA5433"/>
    <w:rsid w:val="00DB0D97"/>
    <w:rsid w:val="00DB370A"/>
    <w:rsid w:val="00DB37D3"/>
    <w:rsid w:val="00DC0B29"/>
    <w:rsid w:val="00DC78C4"/>
    <w:rsid w:val="00DD0FC9"/>
    <w:rsid w:val="00DD661F"/>
    <w:rsid w:val="00DF2230"/>
    <w:rsid w:val="00DF2C6D"/>
    <w:rsid w:val="00E053B8"/>
    <w:rsid w:val="00E06306"/>
    <w:rsid w:val="00E104CB"/>
    <w:rsid w:val="00E11413"/>
    <w:rsid w:val="00E12F42"/>
    <w:rsid w:val="00E13A68"/>
    <w:rsid w:val="00E15895"/>
    <w:rsid w:val="00E32C98"/>
    <w:rsid w:val="00E4075D"/>
    <w:rsid w:val="00E5136C"/>
    <w:rsid w:val="00E516D5"/>
    <w:rsid w:val="00E53ACE"/>
    <w:rsid w:val="00E55BAD"/>
    <w:rsid w:val="00E62579"/>
    <w:rsid w:val="00E64479"/>
    <w:rsid w:val="00E83A61"/>
    <w:rsid w:val="00EA0BD3"/>
    <w:rsid w:val="00EA2A14"/>
    <w:rsid w:val="00EA516A"/>
    <w:rsid w:val="00EA52CA"/>
    <w:rsid w:val="00EA5AE6"/>
    <w:rsid w:val="00EA7826"/>
    <w:rsid w:val="00EB1768"/>
    <w:rsid w:val="00EB5987"/>
    <w:rsid w:val="00EC3C12"/>
    <w:rsid w:val="00EC573E"/>
    <w:rsid w:val="00ED4044"/>
    <w:rsid w:val="00EE3187"/>
    <w:rsid w:val="00EE6755"/>
    <w:rsid w:val="00EF2292"/>
    <w:rsid w:val="00F01F2A"/>
    <w:rsid w:val="00F12CDD"/>
    <w:rsid w:val="00F1367F"/>
    <w:rsid w:val="00F22BD3"/>
    <w:rsid w:val="00F27F49"/>
    <w:rsid w:val="00F45073"/>
    <w:rsid w:val="00F45AE8"/>
    <w:rsid w:val="00F6115E"/>
    <w:rsid w:val="00F62610"/>
    <w:rsid w:val="00F73030"/>
    <w:rsid w:val="00F80A50"/>
    <w:rsid w:val="00F845CB"/>
    <w:rsid w:val="00F903F6"/>
    <w:rsid w:val="00FA15BB"/>
    <w:rsid w:val="00FA26B2"/>
    <w:rsid w:val="00FC23BA"/>
    <w:rsid w:val="00FC5168"/>
    <w:rsid w:val="00FC7B2D"/>
    <w:rsid w:val="00FD0CBC"/>
    <w:rsid w:val="00FD5DC9"/>
    <w:rsid w:val="00FF1BE6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2CD0F9"/>
  <w15:docId w15:val="{7D05D05D-E3AF-441B-965B-8EDEF137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BA"/>
    <w:pPr>
      <w:spacing w:after="0" w:line="240" w:lineRule="auto"/>
      <w:jc w:val="both"/>
    </w:pPr>
    <w:rPr>
      <w:rFonts w:ascii="Times New Roman" w:eastAsia="MS Mincho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053B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53B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53B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5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3BA"/>
    <w:rPr>
      <w:rFonts w:ascii="Times New Roman" w:eastAsia="MS Mincho" w:hAnsi="Times New Roman" w:cs="Times New Roman"/>
      <w:szCs w:val="24"/>
    </w:rPr>
  </w:style>
  <w:style w:type="paragraph" w:styleId="Footer">
    <w:name w:val="footer"/>
    <w:basedOn w:val="Normal"/>
    <w:link w:val="FooterChar"/>
    <w:rsid w:val="00905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53BA"/>
    <w:rPr>
      <w:rFonts w:ascii="Times New Roman" w:eastAsia="MS Mincho" w:hAnsi="Times New Roman" w:cs="Times New Roman"/>
      <w:szCs w:val="24"/>
    </w:rPr>
  </w:style>
  <w:style w:type="paragraph" w:customStyle="1" w:styleId="IPPHeadSection">
    <w:name w:val="IPP HeadSection"/>
    <w:basedOn w:val="Normal"/>
    <w:next w:val="Normal"/>
    <w:qFormat/>
    <w:rsid w:val="009053B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er">
    <w:name w:val="IPP Header"/>
    <w:basedOn w:val="Normal"/>
    <w:qFormat/>
    <w:rsid w:val="009053B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9053BA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9053BA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53BA"/>
    <w:rPr>
      <w:rFonts w:ascii="Calibri" w:eastAsia="MS Mincho" w:hAnsi="Calibri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9053B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3BA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rsid w:val="009053BA"/>
    <w:rPr>
      <w:vertAlign w:val="superscript"/>
    </w:rPr>
  </w:style>
  <w:style w:type="paragraph" w:customStyle="1" w:styleId="Style">
    <w:name w:val="Style"/>
    <w:basedOn w:val="Footer"/>
    <w:autoRedefine/>
    <w:qFormat/>
    <w:rsid w:val="009053B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053B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053B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053BA"/>
    <w:pPr>
      <w:spacing w:after="240"/>
    </w:pPr>
    <w:rPr>
      <w:sz w:val="24"/>
    </w:rPr>
  </w:style>
  <w:style w:type="table" w:styleId="TableGrid">
    <w:name w:val="Table Grid"/>
    <w:basedOn w:val="TableNormal"/>
    <w:rsid w:val="009053B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5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3BA"/>
    <w:rPr>
      <w:rFonts w:ascii="Tahoma" w:eastAsia="MS Mincho" w:hAnsi="Tahoma" w:cs="Tahoma"/>
      <w:sz w:val="16"/>
      <w:szCs w:val="16"/>
    </w:rPr>
  </w:style>
  <w:style w:type="paragraph" w:customStyle="1" w:styleId="IPPBullet2">
    <w:name w:val="IPP Bullet2"/>
    <w:basedOn w:val="IPPNormal"/>
    <w:next w:val="IPPBullet1"/>
    <w:qFormat/>
    <w:rsid w:val="009053BA"/>
    <w:pPr>
      <w:numPr>
        <w:numId w:val="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9053B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053B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053B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053BA"/>
    <w:pPr>
      <w:spacing w:after="180"/>
    </w:pPr>
  </w:style>
  <w:style w:type="paragraph" w:customStyle="1" w:styleId="IPPFootnote">
    <w:name w:val="IPP Footnote"/>
    <w:basedOn w:val="IPPArialFootnote"/>
    <w:qFormat/>
    <w:rsid w:val="009053B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053B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053B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053BA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9053B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053B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053B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link w:val="IPPBullet1Char"/>
    <w:qFormat/>
    <w:rsid w:val="009053BA"/>
    <w:pPr>
      <w:numPr>
        <w:numId w:val="1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053BA"/>
    <w:pPr>
      <w:numPr>
        <w:numId w:val="5"/>
      </w:numPr>
    </w:pPr>
  </w:style>
  <w:style w:type="character" w:customStyle="1" w:styleId="IPPNormalstrikethrough">
    <w:name w:val="IPP Normal strikethrough"/>
    <w:rsid w:val="009053B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053B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053B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9053B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053BA"/>
    <w:pPr>
      <w:numPr>
        <w:numId w:val="3"/>
      </w:numPr>
    </w:pPr>
  </w:style>
  <w:style w:type="paragraph" w:customStyle="1" w:styleId="IPPNormalCloseSpace">
    <w:name w:val="IPP NormalCloseSpace"/>
    <w:basedOn w:val="Normal"/>
    <w:qFormat/>
    <w:rsid w:val="009053B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053B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053B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053B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053B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053B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053B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053B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053B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053B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053B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053B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053BA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053BA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053B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053B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9053B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053BA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053BA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9053BA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9053B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053B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053B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053BA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9053BA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9053BA"/>
    <w:pPr>
      <w:numPr>
        <w:numId w:val="9"/>
      </w:numPr>
    </w:pPr>
  </w:style>
  <w:style w:type="character" w:styleId="Strong">
    <w:name w:val="Strong"/>
    <w:basedOn w:val="DefaultParagraphFont"/>
    <w:uiPriority w:val="22"/>
    <w:qFormat/>
    <w:rsid w:val="009053BA"/>
    <w:rPr>
      <w:b/>
      <w:bCs/>
    </w:rPr>
  </w:style>
  <w:style w:type="paragraph" w:styleId="ListParagraph">
    <w:name w:val="List Paragraph"/>
    <w:basedOn w:val="Normal"/>
    <w:uiPriority w:val="34"/>
    <w:qFormat/>
    <w:rsid w:val="009053B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9053BA"/>
    <w:pPr>
      <w:numPr>
        <w:numId w:val="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053BA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9053BA"/>
    <w:pPr>
      <w:spacing w:after="180"/>
    </w:pPr>
  </w:style>
  <w:style w:type="character" w:styleId="Hyperlink">
    <w:name w:val="Hyperlink"/>
    <w:basedOn w:val="DefaultParagraphFont"/>
    <w:uiPriority w:val="99"/>
    <w:unhideWhenUsed/>
    <w:rsid w:val="00F6115E"/>
    <w:rPr>
      <w:color w:val="0563C1" w:themeColor="hyperlink"/>
      <w:u w:val="single"/>
    </w:rPr>
  </w:style>
  <w:style w:type="character" w:customStyle="1" w:styleId="IPPBullet1Char">
    <w:name w:val="IPP Bullet1 Char"/>
    <w:link w:val="IPPBullet1"/>
    <w:rsid w:val="008D54EF"/>
    <w:rPr>
      <w:rFonts w:ascii="Times New Roman" w:eastAsia="Times" w:hAnsi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1E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EC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IPPNormalChar">
    <w:name w:val="IPP Normal Char"/>
    <w:link w:val="IPPNormal"/>
    <w:rsid w:val="00B77DEE"/>
    <w:rPr>
      <w:rFonts w:ascii="Times New Roman" w:eastAsia="Times" w:hAnsi="Times New Roman" w:cs="Times New Roman"/>
      <w:szCs w:val="24"/>
    </w:rPr>
  </w:style>
  <w:style w:type="character" w:customStyle="1" w:styleId="PleaseReviewParagraphId">
    <w:name w:val="PleaseReviewParagraphId"/>
    <w:rsid w:val="00B77DEE"/>
    <w:rPr>
      <w:rFonts w:ascii="Arial" w:hAnsi="Arial"/>
      <w:b w:val="0"/>
      <w:i w:val="0"/>
      <w:color w:val="000080"/>
      <w:sz w:val="16"/>
      <w:u w:val="none"/>
    </w:rPr>
  </w:style>
  <w:style w:type="paragraph" w:customStyle="1" w:styleId="IPPPargraphnumbering">
    <w:name w:val="IPP Pargraph numbering"/>
    <w:basedOn w:val="Normal"/>
    <w:qFormat/>
    <w:rsid w:val="00386098"/>
    <w:pPr>
      <w:tabs>
        <w:tab w:val="num" w:pos="360"/>
      </w:tabs>
      <w:spacing w:after="180"/>
    </w:pPr>
    <w:rPr>
      <w:rFonts w:eastAsia="Times"/>
      <w:lang w:val="en-US" w:eastAsia="zh-CN"/>
    </w:rPr>
  </w:style>
  <w:style w:type="paragraph" w:styleId="Revision">
    <w:name w:val="Revision"/>
    <w:hidden/>
    <w:uiPriority w:val="99"/>
    <w:semiHidden/>
    <w:rsid w:val="00C5099F"/>
    <w:pPr>
      <w:spacing w:after="0" w:line="240" w:lineRule="auto"/>
    </w:pPr>
    <w:rPr>
      <w:rFonts w:ascii="Times New Roman" w:eastAsia="MS Mincho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C6A72"/>
    <w:rPr>
      <w:i/>
      <w:iCs/>
    </w:rPr>
  </w:style>
  <w:style w:type="character" w:customStyle="1" w:styleId="dttext">
    <w:name w:val="dttext"/>
    <w:basedOn w:val="DefaultParagraphFont"/>
    <w:rsid w:val="003C6A72"/>
  </w:style>
  <w:style w:type="character" w:customStyle="1" w:styleId="ex-sent">
    <w:name w:val="ex-sent"/>
    <w:basedOn w:val="DefaultParagraphFont"/>
    <w:rsid w:val="003C6A72"/>
  </w:style>
  <w:style w:type="character" w:customStyle="1" w:styleId="mwtwi">
    <w:name w:val="mw_t_wi"/>
    <w:basedOn w:val="DefaultParagraphFont"/>
    <w:rsid w:val="003C6A72"/>
  </w:style>
  <w:style w:type="character" w:customStyle="1" w:styleId="auth">
    <w:name w:val="auth"/>
    <w:basedOn w:val="DefaultParagraphFont"/>
    <w:rsid w:val="003C6A72"/>
  </w:style>
  <w:style w:type="character" w:styleId="FollowedHyperlink">
    <w:name w:val="FollowedHyperlink"/>
    <w:basedOn w:val="DefaultParagraphFont"/>
    <w:uiPriority w:val="99"/>
    <w:semiHidden/>
    <w:unhideWhenUsed/>
    <w:rsid w:val="000D5C1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917EB"/>
  </w:style>
  <w:style w:type="character" w:customStyle="1" w:styleId="eop">
    <w:name w:val="eop"/>
    <w:basedOn w:val="DefaultParagraphFont"/>
    <w:rsid w:val="0029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1774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ippc.int/static/media/files/publications/en/1157015904421_TC8_rep3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ippc.int/static/media/files/publications/en/1157015904421_TC8_rep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ppc.int/en/publications/88182/" TargetMode="External"/><Relationship Id="rId1" Type="http://schemas.openxmlformats.org/officeDocument/2006/relationships/hyperlink" Target="http://www.ippc.int/en/publications/88719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o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4" ma:contentTypeDescription="Creare un nuovo documento." ma:contentTypeScope="" ma:versionID="1cff735cde4394397269e7aba2150d71">
  <xsd:schema xmlns:xsd="http://www.w3.org/2001/XMLSchema" xmlns:xs="http://www.w3.org/2001/XMLSchema" xmlns:p="http://schemas.microsoft.com/office/2006/metadata/properties" xmlns:ns3="8c2680b1-8717-4e17-af8a-c3c5948a3503" xmlns:ns4="3c9ac98d-36e3-464e-9a3d-571690e2b8cf" targetNamespace="http://schemas.microsoft.com/office/2006/metadata/properties" ma:root="true" ma:fieldsID="a33fd8bb989c7776254cb13a80e5b83d" ns3:_="" ns4:_="">
    <xsd:import namespace="8c2680b1-8717-4e17-af8a-c3c5948a3503"/>
    <xsd:import namespace="3c9ac98d-36e3-464e-9a3d-571690e2b8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AD14-380B-47B6-A3E3-97F5FCC85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80b1-8717-4e17-af8a-c3c5948a3503"/>
    <ds:schemaRef ds:uri="3c9ac98d-36e3-464e-9a3d-571690e2b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A2AB0-39D8-4476-8BBE-5312133C5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D4528-C4D2-4AD7-AA1A-EFD63BCA4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D0650-64D4-40EA-B63F-9BCB1F67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5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Moreira, Adriana (AGDI)</dc:creator>
  <cp:keywords/>
  <dc:description/>
  <cp:lastModifiedBy>Nicora, Natalie (NSP)</cp:lastModifiedBy>
  <cp:revision>4</cp:revision>
  <cp:lastPrinted>2019-10-03T13:10:00Z</cp:lastPrinted>
  <dcterms:created xsi:type="dcterms:W3CDTF">2022-09-15T08:00:00Z</dcterms:created>
  <dcterms:modified xsi:type="dcterms:W3CDTF">2022-09-15T08:05:00Z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