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C0191" w14:textId="77777777" w:rsidR="00126B3B" w:rsidRDefault="00126B3B" w:rsidP="5B456C58">
      <w:pPr>
        <w:pStyle w:val="paragraph"/>
        <w:spacing w:before="0" w:beforeAutospacing="0" w:after="0" w:afterAutospacing="0"/>
        <w:jc w:val="center"/>
        <w:textAlignment w:val="baseline"/>
        <w:rPr>
          <w:sz w:val="22"/>
          <w:szCs w:val="22"/>
        </w:rPr>
      </w:pPr>
      <w:r w:rsidRPr="5B456C58">
        <w:rPr>
          <w:rStyle w:val="normaltextrun"/>
          <w:b/>
          <w:bCs/>
          <w:caps/>
        </w:rPr>
        <w:t>update on the ippc observatory</w:t>
      </w:r>
    </w:p>
    <w:p w14:paraId="4185DAB5" w14:textId="77777777" w:rsidR="007371F8" w:rsidRPr="00B26F8F" w:rsidRDefault="007371F8" w:rsidP="007371F8">
      <w:pPr>
        <w:spacing w:after="0" w:line="240" w:lineRule="auto"/>
        <w:jc w:val="center"/>
        <w:rPr>
          <w:rFonts w:ascii="Times New Roman" w:eastAsia="MS Mincho" w:hAnsi="Times New Roman" w:cs="Times New Roman"/>
          <w:szCs w:val="24"/>
          <w:lang w:val="en-GB" w:eastAsia="zh-CN"/>
        </w:rPr>
      </w:pPr>
      <w:r w:rsidRPr="00B26F8F">
        <w:rPr>
          <w:rFonts w:ascii="Times New Roman" w:eastAsia="MS Mincho" w:hAnsi="Times New Roman" w:cs="Times New Roman"/>
          <w:szCs w:val="24"/>
          <w:lang w:val="en-GB" w:eastAsia="zh-CN"/>
        </w:rPr>
        <w:t>(</w:t>
      </w:r>
      <w:r w:rsidRPr="00B26F8F">
        <w:rPr>
          <w:rFonts w:ascii="Times New Roman" w:eastAsia="MS Mincho" w:hAnsi="Times New Roman" w:cs="Times New Roman"/>
          <w:i/>
          <w:iCs/>
          <w:szCs w:val="24"/>
          <w:lang w:val="en-GB" w:eastAsia="zh-CN"/>
        </w:rPr>
        <w:t>Prepared by the IPPC Secretariat</w:t>
      </w:r>
      <w:r w:rsidRPr="00B26F8F">
        <w:rPr>
          <w:rFonts w:ascii="Times New Roman" w:eastAsia="MS Mincho" w:hAnsi="Times New Roman" w:cs="Times New Roman"/>
          <w:szCs w:val="24"/>
          <w:lang w:val="en-GB" w:eastAsia="zh-CN"/>
        </w:rPr>
        <w:t>)</w:t>
      </w:r>
    </w:p>
    <w:p w14:paraId="4724333D" w14:textId="77777777" w:rsidR="007371F8" w:rsidRPr="00B26F8F" w:rsidRDefault="007371F8" w:rsidP="007371F8">
      <w:pPr>
        <w:jc w:val="center"/>
        <w:rPr>
          <w:rFonts w:ascii="Times New Roman" w:eastAsia="Arial" w:hAnsi="Times New Roman" w:cs="Times New Roman"/>
          <w:b/>
          <w:lang w:val="en-GB"/>
        </w:rPr>
      </w:pPr>
    </w:p>
    <w:p w14:paraId="029BCF91" w14:textId="433DA7FF" w:rsidR="00524C48" w:rsidRPr="00E878AB" w:rsidRDefault="00E878AB" w:rsidP="00E878AB">
      <w:pPr>
        <w:rPr>
          <w:rFonts w:ascii="Times New Roman" w:hAnsi="Times New Roman" w:cs="Times New Roman"/>
          <w:b/>
        </w:rPr>
      </w:pPr>
      <w:r w:rsidRPr="00E878AB">
        <w:rPr>
          <w:rFonts w:ascii="Times New Roman" w:hAnsi="Times New Roman" w:cs="Times New Roman"/>
          <w:b/>
        </w:rPr>
        <w:t>1.</w:t>
      </w:r>
      <w:r>
        <w:rPr>
          <w:rFonts w:ascii="Times New Roman" w:hAnsi="Times New Roman" w:cs="Times New Roman"/>
          <w:b/>
        </w:rPr>
        <w:tab/>
      </w:r>
      <w:r w:rsidR="006D39B6" w:rsidRPr="00E878AB">
        <w:rPr>
          <w:rFonts w:ascii="Times New Roman" w:hAnsi="Times New Roman" w:cs="Times New Roman"/>
          <w:b/>
        </w:rPr>
        <w:t>Background</w:t>
      </w:r>
    </w:p>
    <w:p w14:paraId="5DE013D5" w14:textId="0E5D26EE" w:rsidR="00126B3B" w:rsidRPr="003C6F16" w:rsidRDefault="00126B3B" w:rsidP="00157BA8">
      <w:pPr>
        <w:pStyle w:val="IPPParagraphnumbering"/>
        <w:rPr>
          <w:color w:val="000000" w:themeColor="text1"/>
        </w:rPr>
      </w:pPr>
      <w:r w:rsidRPr="003C6F16">
        <w:rPr>
          <w:color w:val="000000" w:themeColor="text1"/>
        </w:rPr>
        <w:t xml:space="preserve">The </w:t>
      </w:r>
      <w:r w:rsidRPr="003C6F16">
        <w:rPr>
          <w:bCs/>
          <w:color w:val="000000" w:themeColor="text1"/>
        </w:rPr>
        <w:t xml:space="preserve">Implementation Review and Support System (IRSS) </w:t>
      </w:r>
      <w:r w:rsidRPr="003C6F16">
        <w:rPr>
          <w:color w:val="000000" w:themeColor="text1"/>
        </w:rPr>
        <w:t xml:space="preserve">was adopted at the third session of the Commission on Phytosanitary Measures (CPM, 2008) as a system to </w:t>
      </w:r>
      <w:r w:rsidR="005D2928">
        <w:rPr>
          <w:color w:val="000000" w:themeColor="text1"/>
        </w:rPr>
        <w:t xml:space="preserve">support the implementation </w:t>
      </w:r>
      <w:r w:rsidR="005D2928" w:rsidRPr="005D2928">
        <w:rPr>
          <w:bCs/>
          <w:iCs/>
          <w:color w:val="000000" w:themeColor="text1"/>
        </w:rPr>
        <w:t>of the</w:t>
      </w:r>
      <w:r w:rsidRPr="003C6F16">
        <w:rPr>
          <w:color w:val="000000" w:themeColor="text1"/>
        </w:rPr>
        <w:t xml:space="preserve"> IPPC and to gauge uptake of ISPMs. Under the IRSS, </w:t>
      </w:r>
      <w:r w:rsidRPr="003C6F16">
        <w:rPr>
          <w:bCs/>
          <w:i/>
          <w:iCs/>
          <w:color w:val="000000" w:themeColor="text1"/>
        </w:rPr>
        <w:t xml:space="preserve">identified gaps in implementation </w:t>
      </w:r>
      <w:r w:rsidRPr="003C6F16">
        <w:rPr>
          <w:color w:val="000000" w:themeColor="text1"/>
        </w:rPr>
        <w:t>were to be addressed through an assistance-based and facilitative approach.</w:t>
      </w:r>
    </w:p>
    <w:p w14:paraId="5F9FF912" w14:textId="4897C3B6" w:rsidR="00B933CE" w:rsidRPr="003C6F16" w:rsidRDefault="73D5CB86" w:rsidP="00023BCC">
      <w:pPr>
        <w:pStyle w:val="IPPParagraphnumbering"/>
        <w:rPr>
          <w:color w:val="000000" w:themeColor="text1"/>
        </w:rPr>
      </w:pPr>
      <w:r w:rsidRPr="003C6F16">
        <w:rPr>
          <w:color w:val="000000" w:themeColor="text1"/>
        </w:rPr>
        <w:t>In</w:t>
      </w:r>
      <w:r w:rsidR="13796C08">
        <w:rPr>
          <w:color w:val="000000" w:themeColor="text1"/>
        </w:rPr>
        <w:t xml:space="preserve"> October 2020, the IC requested</w:t>
      </w:r>
      <w:r w:rsidR="0050546D">
        <w:rPr>
          <w:rStyle w:val="FootnoteReference"/>
          <w:color w:val="000000" w:themeColor="text1"/>
        </w:rPr>
        <w:footnoteReference w:id="2"/>
      </w:r>
      <w:r w:rsidRPr="003C6F16">
        <w:rPr>
          <w:color w:val="000000" w:themeColor="text1"/>
        </w:rPr>
        <w:t xml:space="preserve"> that a clear message on the benefits of the IRSS should be presented and a proposal for how the IRSS might be embedded to </w:t>
      </w:r>
      <w:r w:rsidR="006F3AE3" w:rsidRPr="003C6F16">
        <w:rPr>
          <w:color w:val="000000" w:themeColor="text1"/>
        </w:rPr>
        <w:t>work</w:t>
      </w:r>
      <w:r w:rsidR="006F3AE3">
        <w:rPr>
          <w:color w:val="000000" w:themeColor="text1"/>
        </w:rPr>
        <w:t xml:space="preserve"> plan </w:t>
      </w:r>
      <w:r w:rsidR="006F3AE3" w:rsidRPr="003C6F16">
        <w:rPr>
          <w:color w:val="000000" w:themeColor="text1"/>
        </w:rPr>
        <w:t>of</w:t>
      </w:r>
      <w:r w:rsidRPr="003C6F16">
        <w:rPr>
          <w:color w:val="000000" w:themeColor="text1"/>
        </w:rPr>
        <w:t xml:space="preserve"> the IPPC Secretariat to </w:t>
      </w:r>
      <w:r w:rsidR="006F3AE3">
        <w:rPr>
          <w:color w:val="000000" w:themeColor="text1"/>
        </w:rPr>
        <w:t xml:space="preserve">better </w:t>
      </w:r>
      <w:r w:rsidRPr="003C6F16">
        <w:rPr>
          <w:color w:val="000000" w:themeColor="text1"/>
        </w:rPr>
        <w:t xml:space="preserve">support the CPM and its subsidiary bodies. In addition, options on how the IRSS could be funded should be presented in order to move it away from being funded by single donors through several projects. It was agreed that the IRSS should be used by the CPM and subsidiary bodies as a component in the development of standards and their implementation. </w:t>
      </w:r>
    </w:p>
    <w:p w14:paraId="43F55715" w14:textId="7A355AB2" w:rsidR="00126B3B" w:rsidRPr="003C6F16" w:rsidRDefault="0050546D" w:rsidP="00023BCC">
      <w:pPr>
        <w:pStyle w:val="IPPParagraphnumbering"/>
        <w:rPr>
          <w:color w:val="000000" w:themeColor="text1"/>
        </w:rPr>
      </w:pPr>
      <w:r>
        <w:rPr>
          <w:color w:val="000000" w:themeColor="text1"/>
        </w:rPr>
        <w:t>CPM-15 (2021)</w:t>
      </w:r>
      <w:r>
        <w:rPr>
          <w:rStyle w:val="FootnoteReference"/>
          <w:color w:val="000000" w:themeColor="text1"/>
        </w:rPr>
        <w:footnoteReference w:id="3"/>
      </w:r>
      <w:r w:rsidR="00B933CE" w:rsidRPr="003C6F16">
        <w:rPr>
          <w:color w:val="000000" w:themeColor="text1"/>
        </w:rPr>
        <w:t xml:space="preserve"> noted the intention of the IPPC Secretariat to move the IRSS from a project driven activity to a System for the IPPC Community with a long-term work plan and funding from multiple sources.</w:t>
      </w:r>
    </w:p>
    <w:p w14:paraId="10C450AD" w14:textId="60BD8970" w:rsidR="00126B3B" w:rsidRPr="004E02CB" w:rsidRDefault="4B120D9F" w:rsidP="004E02CB">
      <w:pPr>
        <w:pStyle w:val="IPPParagraphnumbering"/>
        <w:rPr>
          <w:rFonts w:cs="Times New Roman"/>
          <w:color w:val="000000" w:themeColor="text1"/>
        </w:rPr>
      </w:pPr>
      <w:r w:rsidRPr="003C6F16">
        <w:rPr>
          <w:color w:val="000000" w:themeColor="text1"/>
        </w:rPr>
        <w:t xml:space="preserve">The process of transition from the IRSS to </w:t>
      </w:r>
      <w:r w:rsidR="73D5CB86" w:rsidRPr="003C6F16">
        <w:rPr>
          <w:color w:val="000000" w:themeColor="text1"/>
        </w:rPr>
        <w:t>more a sustainable system,</w:t>
      </w:r>
      <w:r w:rsidR="19046BE2" w:rsidRPr="003C6F16">
        <w:rPr>
          <w:color w:val="000000" w:themeColor="text1"/>
        </w:rPr>
        <w:t xml:space="preserve"> called</w:t>
      </w:r>
      <w:r w:rsidR="73D5CB86" w:rsidRPr="003C6F16">
        <w:rPr>
          <w:color w:val="000000" w:themeColor="text1"/>
        </w:rPr>
        <w:t xml:space="preserve"> </w:t>
      </w:r>
      <w:r w:rsidR="4C5F6957" w:rsidRPr="003C6F16">
        <w:rPr>
          <w:color w:val="000000" w:themeColor="text1"/>
        </w:rPr>
        <w:t>the IPPC</w:t>
      </w:r>
      <w:r w:rsidR="7D891480" w:rsidRPr="003C6F16">
        <w:rPr>
          <w:color w:val="000000" w:themeColor="text1"/>
        </w:rPr>
        <w:t xml:space="preserve"> </w:t>
      </w:r>
      <w:r w:rsidR="4C5F6957" w:rsidRPr="003C6F16">
        <w:rPr>
          <w:color w:val="000000" w:themeColor="text1"/>
        </w:rPr>
        <w:t>Observatory</w:t>
      </w:r>
      <w:r w:rsidR="3B7A35C3" w:rsidRPr="003C6F16">
        <w:rPr>
          <w:color w:val="000000" w:themeColor="text1"/>
        </w:rPr>
        <w:t>,</w:t>
      </w:r>
      <w:r w:rsidR="4C5F6957" w:rsidRPr="003C6F16">
        <w:rPr>
          <w:color w:val="000000" w:themeColor="text1"/>
        </w:rPr>
        <w:t xml:space="preserve"> </w:t>
      </w:r>
      <w:r w:rsidR="3E004DBB" w:rsidRPr="003C6F16">
        <w:rPr>
          <w:color w:val="000000" w:themeColor="text1"/>
        </w:rPr>
        <w:t xml:space="preserve">was </w:t>
      </w:r>
      <w:r w:rsidR="73D5CB86" w:rsidRPr="003C6F16">
        <w:rPr>
          <w:color w:val="000000" w:themeColor="text1"/>
        </w:rPr>
        <w:t>completed</w:t>
      </w:r>
      <w:r w:rsidR="3E004DBB" w:rsidRPr="003C6F16">
        <w:rPr>
          <w:color w:val="000000" w:themeColor="text1"/>
        </w:rPr>
        <w:t xml:space="preserve"> by </w:t>
      </w:r>
      <w:r w:rsidRPr="003C6F16">
        <w:rPr>
          <w:color w:val="000000" w:themeColor="text1"/>
        </w:rPr>
        <w:t>the CPM-16 (2022) adoption</w:t>
      </w:r>
      <w:r w:rsidR="0050546D">
        <w:rPr>
          <w:rStyle w:val="FootnoteReference"/>
          <w:color w:val="000000" w:themeColor="text1"/>
        </w:rPr>
        <w:footnoteReference w:id="4"/>
      </w:r>
      <w:r w:rsidRPr="003C6F16">
        <w:rPr>
          <w:color w:val="000000" w:themeColor="text1"/>
        </w:rPr>
        <w:t>.</w:t>
      </w:r>
      <w:r w:rsidR="387EFEA8" w:rsidRPr="003C6F16">
        <w:rPr>
          <w:color w:val="000000" w:themeColor="text1"/>
        </w:rPr>
        <w:t xml:space="preserve"> The </w:t>
      </w:r>
      <w:r w:rsidR="3E004DBB" w:rsidRPr="07D3CB2C">
        <w:rPr>
          <w:rFonts w:cs="Times New Roman"/>
          <w:color w:val="000000" w:themeColor="text1"/>
          <w:shd w:val="clear" w:color="auto" w:fill="FFFFFF"/>
        </w:rPr>
        <w:t xml:space="preserve">IPPC Observatory adopted by CPM-16 </w:t>
      </w:r>
      <w:r w:rsidR="3E004DBB" w:rsidRPr="003C6F16">
        <w:rPr>
          <w:rFonts w:cs="Times New Roman"/>
          <w:color w:val="000000" w:themeColor="text1"/>
        </w:rPr>
        <w:t xml:space="preserve">is a system that monitors the implementation of the IPPC, ISPMs and CPM Recommendations, identifies challenges and best practices and provides recommendations to the IPPC governing and subsidiary bodies for follow-up </w:t>
      </w:r>
      <w:r w:rsidR="004E02CB" w:rsidRPr="003C6F16">
        <w:rPr>
          <w:rFonts w:cs="Times New Roman"/>
          <w:color w:val="000000" w:themeColor="text1"/>
        </w:rPr>
        <w:t>actions.</w:t>
      </w:r>
      <w:r w:rsidR="004E02CB" w:rsidRPr="004E02CB">
        <w:rPr>
          <w:rFonts w:cs="Times New Roman"/>
          <w:color w:val="000000" w:themeColor="text1"/>
          <w:shd w:val="clear" w:color="auto" w:fill="FFFFFF"/>
        </w:rPr>
        <w:t xml:space="preserve"> This</w:t>
      </w:r>
      <w:r w:rsidR="00126B3B" w:rsidRPr="004E02CB">
        <w:rPr>
          <w:rFonts w:cs="Times New Roman"/>
          <w:color w:val="000000" w:themeColor="text1"/>
          <w:shd w:val="clear" w:color="auto" w:fill="FFFFFF"/>
        </w:rPr>
        <w:t xml:space="preserve"> evaluation system gathers </w:t>
      </w:r>
      <w:r w:rsidR="7E08F8C3" w:rsidRPr="004E02CB">
        <w:rPr>
          <w:rFonts w:cs="Times New Roman"/>
          <w:color w:val="000000" w:themeColor="text1"/>
        </w:rPr>
        <w:t>the best practices and challenges faced by IPPC contracting parties</w:t>
      </w:r>
      <w:r w:rsidR="7E08F8C3" w:rsidRPr="004E02CB">
        <w:rPr>
          <w:rFonts w:cs="Times New Roman"/>
          <w:color w:val="000000" w:themeColor="text1"/>
          <w:shd w:val="clear" w:color="auto" w:fill="FFFFFF"/>
        </w:rPr>
        <w:t xml:space="preserve"> </w:t>
      </w:r>
      <w:r w:rsidR="00126B3B" w:rsidRPr="004E02CB">
        <w:rPr>
          <w:rFonts w:cs="Times New Roman"/>
          <w:color w:val="000000" w:themeColor="text1"/>
          <w:shd w:val="clear" w:color="auto" w:fill="FFFFFF"/>
        </w:rPr>
        <w:t xml:space="preserve">through surveys and </w:t>
      </w:r>
      <w:r w:rsidR="006F3AE3" w:rsidRPr="004E02CB">
        <w:rPr>
          <w:rFonts w:cs="Times New Roman"/>
          <w:color w:val="000000" w:themeColor="text1"/>
          <w:shd w:val="clear" w:color="auto" w:fill="FFFFFF"/>
        </w:rPr>
        <w:t>studies and</w:t>
      </w:r>
      <w:r w:rsidR="00126B3B" w:rsidRPr="004E02CB">
        <w:rPr>
          <w:rFonts w:cs="Times New Roman"/>
          <w:color w:val="000000" w:themeColor="text1"/>
          <w:shd w:val="clear" w:color="auto" w:fill="FFFFFF"/>
        </w:rPr>
        <w:t xml:space="preserve"> provide</w:t>
      </w:r>
      <w:r w:rsidR="37EFE1AB" w:rsidRPr="004E02CB">
        <w:rPr>
          <w:rFonts w:cs="Times New Roman"/>
          <w:color w:val="000000" w:themeColor="text1"/>
          <w:shd w:val="clear" w:color="auto" w:fill="FFFFFF"/>
        </w:rPr>
        <w:t>s</w:t>
      </w:r>
      <w:r w:rsidR="00126B3B" w:rsidRPr="004E02CB">
        <w:rPr>
          <w:rFonts w:cs="Times New Roman"/>
          <w:color w:val="000000" w:themeColor="text1"/>
          <w:shd w:val="clear" w:color="auto" w:fill="FFFFFF"/>
        </w:rPr>
        <w:t xml:space="preserve"> an overview at global level on the implementation of the IPPC and the ISPMs</w:t>
      </w:r>
      <w:r w:rsidR="00126B3B" w:rsidRPr="004E02CB">
        <w:rPr>
          <w:rFonts w:cs="Times New Roman"/>
          <w:color w:val="000000" w:themeColor="text1"/>
        </w:rPr>
        <w:t>.</w:t>
      </w:r>
    </w:p>
    <w:p w14:paraId="0B7D46D2" w14:textId="420A0AE5" w:rsidR="00126B3B" w:rsidRPr="003C6F16" w:rsidRDefault="00126B3B" w:rsidP="004E02CB">
      <w:pPr>
        <w:pStyle w:val="IPPParagraphnumbering"/>
        <w:spacing w:after="0"/>
        <w:rPr>
          <w:rFonts w:cs="Times New Roman"/>
          <w:color w:val="000000" w:themeColor="text1"/>
        </w:rPr>
      </w:pPr>
      <w:r w:rsidRPr="5B456C58">
        <w:rPr>
          <w:rFonts w:cs="Times New Roman"/>
          <w:color w:val="000000" w:themeColor="text1"/>
          <w:shd w:val="clear" w:color="auto" w:fill="FFFFFF"/>
        </w:rPr>
        <w:t>The</w:t>
      </w:r>
      <w:r w:rsidR="00047804" w:rsidRPr="5B456C58">
        <w:rPr>
          <w:rFonts w:cs="Times New Roman"/>
          <w:color w:val="000000" w:themeColor="text1"/>
          <w:shd w:val="clear" w:color="auto" w:fill="FFFFFF"/>
        </w:rPr>
        <w:t xml:space="preserve"> main missions assigned to</w:t>
      </w:r>
      <w:r w:rsidRPr="5B456C58">
        <w:rPr>
          <w:rFonts w:cs="Times New Roman"/>
          <w:color w:val="000000" w:themeColor="text1"/>
          <w:shd w:val="clear" w:color="auto" w:fill="FFFFFF"/>
        </w:rPr>
        <w:t xml:space="preserve"> the IPPC Observatory </w:t>
      </w:r>
      <w:r w:rsidR="006F3AE3">
        <w:rPr>
          <w:rFonts w:cs="Times New Roman"/>
          <w:color w:val="000000" w:themeColor="text1"/>
          <w:shd w:val="clear" w:color="auto" w:fill="FFFFFF"/>
        </w:rPr>
        <w:t>are</w:t>
      </w:r>
      <w:r w:rsidR="006F3AE3" w:rsidRPr="5B456C58">
        <w:rPr>
          <w:rFonts w:cs="Times New Roman"/>
          <w:color w:val="000000" w:themeColor="text1"/>
          <w:shd w:val="clear" w:color="auto" w:fill="FFFFFF"/>
        </w:rPr>
        <w:t xml:space="preserve"> </w:t>
      </w:r>
      <w:r w:rsidR="00B933CE" w:rsidRPr="5B456C58">
        <w:rPr>
          <w:rFonts w:cs="Times New Roman"/>
          <w:color w:val="000000" w:themeColor="text1"/>
          <w:shd w:val="clear" w:color="auto" w:fill="FFFFFF"/>
        </w:rPr>
        <w:t>to</w:t>
      </w:r>
      <w:r w:rsidRPr="5B456C58">
        <w:rPr>
          <w:rFonts w:cs="Times New Roman"/>
          <w:color w:val="000000" w:themeColor="text1"/>
          <w:shd w:val="clear" w:color="auto" w:fill="FFFFFF"/>
        </w:rPr>
        <w:t>:</w:t>
      </w:r>
    </w:p>
    <w:p w14:paraId="1BA47723" w14:textId="505C9EDF" w:rsidR="00047804" w:rsidRPr="003C6F16" w:rsidRDefault="004E02CB" w:rsidP="00047804">
      <w:pPr>
        <w:pStyle w:val="IPPParagraphnumbering"/>
        <w:numPr>
          <w:ilvl w:val="0"/>
          <w:numId w:val="28"/>
        </w:numPr>
        <w:spacing w:after="0"/>
        <w:rPr>
          <w:rFonts w:cs="Times New Roman"/>
          <w:color w:val="000000" w:themeColor="text1"/>
        </w:rPr>
      </w:pPr>
      <w:r>
        <w:rPr>
          <w:rFonts w:cs="Times New Roman"/>
          <w:color w:val="000000" w:themeColor="text1"/>
        </w:rPr>
        <w:t>s</w:t>
      </w:r>
      <w:r w:rsidR="00047804" w:rsidRPr="003C6F16">
        <w:rPr>
          <w:rFonts w:cs="Times New Roman"/>
          <w:color w:val="000000" w:themeColor="text1"/>
        </w:rPr>
        <w:t>et an efficient mechanism to monitor the implementation of the IPPC as well as the adopted ISPMs</w:t>
      </w:r>
      <w:r w:rsidR="003C6F16">
        <w:rPr>
          <w:rFonts w:cs="Times New Roman"/>
          <w:color w:val="000000" w:themeColor="text1"/>
        </w:rPr>
        <w:t>;</w:t>
      </w:r>
    </w:p>
    <w:p w14:paraId="5B496D47" w14:textId="011936B6" w:rsidR="00126B3B" w:rsidRPr="003C6F16" w:rsidRDefault="004E02CB" w:rsidP="00047804">
      <w:pPr>
        <w:pStyle w:val="IPPParagraphnumbering"/>
        <w:numPr>
          <w:ilvl w:val="0"/>
          <w:numId w:val="28"/>
        </w:numPr>
        <w:spacing w:after="0"/>
        <w:rPr>
          <w:rFonts w:cs="Times New Roman"/>
          <w:color w:val="000000" w:themeColor="text1"/>
        </w:rPr>
      </w:pPr>
      <w:r>
        <w:rPr>
          <w:rFonts w:cs="Times New Roman"/>
          <w:color w:val="000000" w:themeColor="text1"/>
        </w:rPr>
        <w:t>m</w:t>
      </w:r>
      <w:r w:rsidR="00126B3B" w:rsidRPr="003C6F16">
        <w:rPr>
          <w:rFonts w:cs="Times New Roman"/>
          <w:color w:val="000000" w:themeColor="text1"/>
        </w:rPr>
        <w:t>onitor the implementation of the IPPC Strategic Framework (2020-2030)</w:t>
      </w:r>
      <w:r w:rsidR="003C6F16">
        <w:rPr>
          <w:rFonts w:cs="Times New Roman"/>
          <w:color w:val="000000" w:themeColor="text1"/>
        </w:rPr>
        <w:t>;</w:t>
      </w:r>
    </w:p>
    <w:p w14:paraId="39299818" w14:textId="027D8371" w:rsidR="00126B3B" w:rsidRPr="003C6F16" w:rsidRDefault="004E02CB" w:rsidP="00047804">
      <w:pPr>
        <w:pStyle w:val="IPPParagraphnumbering"/>
        <w:numPr>
          <w:ilvl w:val="0"/>
          <w:numId w:val="28"/>
        </w:numPr>
        <w:spacing w:after="0"/>
        <w:rPr>
          <w:rFonts w:cs="Times New Roman"/>
          <w:color w:val="000000" w:themeColor="text1"/>
        </w:rPr>
      </w:pPr>
      <w:r>
        <w:rPr>
          <w:rFonts w:cs="Times New Roman"/>
          <w:color w:val="000000" w:themeColor="text1"/>
        </w:rPr>
        <w:t>implement</w:t>
      </w:r>
      <w:r w:rsidR="00126B3B" w:rsidRPr="003C6F16">
        <w:rPr>
          <w:rFonts w:cs="Times New Roman"/>
          <w:color w:val="000000" w:themeColor="text1"/>
        </w:rPr>
        <w:t xml:space="preserve"> innovative tools and approach to conduct studies and improve the response rates</w:t>
      </w:r>
      <w:r w:rsidR="003C6F16">
        <w:rPr>
          <w:rFonts w:cs="Times New Roman"/>
          <w:color w:val="000000" w:themeColor="text1"/>
        </w:rPr>
        <w:t>;</w:t>
      </w:r>
    </w:p>
    <w:p w14:paraId="7584F51C" w14:textId="39F554BB" w:rsidR="00047804" w:rsidRPr="003C6F16" w:rsidRDefault="004E02CB" w:rsidP="00047804">
      <w:pPr>
        <w:pStyle w:val="IPPParagraphnumbering"/>
        <w:numPr>
          <w:ilvl w:val="0"/>
          <w:numId w:val="28"/>
        </w:numPr>
        <w:spacing w:after="0"/>
        <w:jc w:val="left"/>
        <w:rPr>
          <w:rFonts w:cs="Times New Roman"/>
          <w:color w:val="000000" w:themeColor="text1"/>
        </w:rPr>
      </w:pPr>
      <w:r>
        <w:rPr>
          <w:rFonts w:cs="Times New Roman"/>
          <w:color w:val="000000" w:themeColor="text1"/>
        </w:rPr>
        <w:t>r</w:t>
      </w:r>
      <w:r w:rsidR="00047804" w:rsidRPr="003C6F16">
        <w:rPr>
          <w:rFonts w:cs="Times New Roman"/>
          <w:color w:val="000000" w:themeColor="text1"/>
        </w:rPr>
        <w:t>eport the implementation gaps and challenges identified to CPM and formulate the recommendations to be addressed by the appropriate subsidiary body</w:t>
      </w:r>
      <w:r w:rsidR="003C6F16">
        <w:rPr>
          <w:rFonts w:cs="Times New Roman"/>
          <w:color w:val="000000" w:themeColor="text1"/>
        </w:rPr>
        <w:t>;</w:t>
      </w:r>
    </w:p>
    <w:p w14:paraId="4FD01962" w14:textId="1CB98F42" w:rsidR="00047804" w:rsidRPr="003C6F16" w:rsidRDefault="004E02CB" w:rsidP="00047804">
      <w:pPr>
        <w:pStyle w:val="IPPParagraphnumbering"/>
        <w:numPr>
          <w:ilvl w:val="0"/>
          <w:numId w:val="28"/>
        </w:numPr>
        <w:spacing w:after="0"/>
        <w:rPr>
          <w:rFonts w:cs="Times New Roman"/>
          <w:color w:val="000000" w:themeColor="text1"/>
        </w:rPr>
      </w:pPr>
      <w:r>
        <w:rPr>
          <w:rFonts w:cs="Times New Roman"/>
          <w:color w:val="000000" w:themeColor="text1"/>
        </w:rPr>
        <w:t>i</w:t>
      </w:r>
      <w:r w:rsidR="00047804" w:rsidRPr="003C6F16">
        <w:rPr>
          <w:rFonts w:cs="Times New Roman"/>
          <w:color w:val="000000" w:themeColor="text1"/>
        </w:rPr>
        <w:t xml:space="preserve">mprove the management </w:t>
      </w:r>
      <w:r w:rsidR="005D2928">
        <w:rPr>
          <w:rFonts w:cs="Times New Roman"/>
          <w:color w:val="000000" w:themeColor="text1"/>
        </w:rPr>
        <w:t xml:space="preserve">of </w:t>
      </w:r>
      <w:r w:rsidR="005D2928" w:rsidRPr="003C6F16">
        <w:rPr>
          <w:rFonts w:cs="Times New Roman"/>
          <w:color w:val="000000" w:themeColor="text1"/>
        </w:rPr>
        <w:t xml:space="preserve">data </w:t>
      </w:r>
      <w:r w:rsidR="00047804" w:rsidRPr="003C6F16">
        <w:rPr>
          <w:rFonts w:cs="Times New Roman"/>
          <w:color w:val="000000" w:themeColor="text1"/>
        </w:rPr>
        <w:t>from IPPC studies</w:t>
      </w:r>
      <w:r w:rsidR="003C6F16">
        <w:rPr>
          <w:rFonts w:cs="Times New Roman"/>
          <w:color w:val="000000" w:themeColor="text1"/>
        </w:rPr>
        <w:t>;</w:t>
      </w:r>
    </w:p>
    <w:p w14:paraId="533F8190" w14:textId="3262E572" w:rsidR="00047804" w:rsidRPr="003C6F16" w:rsidRDefault="004E02CB" w:rsidP="00047804">
      <w:pPr>
        <w:pStyle w:val="IPPParagraphnumbering"/>
        <w:numPr>
          <w:ilvl w:val="0"/>
          <w:numId w:val="28"/>
        </w:numPr>
        <w:spacing w:after="0"/>
        <w:rPr>
          <w:rFonts w:cs="Times New Roman"/>
          <w:color w:val="000000" w:themeColor="text1"/>
        </w:rPr>
      </w:pPr>
      <w:r>
        <w:rPr>
          <w:rFonts w:cs="Times New Roman"/>
          <w:color w:val="000000" w:themeColor="text1"/>
        </w:rPr>
        <w:t>i</w:t>
      </w:r>
      <w:r w:rsidR="00047804" w:rsidRPr="5B456C58">
        <w:rPr>
          <w:rFonts w:cs="Times New Roman"/>
          <w:color w:val="000000" w:themeColor="text1"/>
        </w:rPr>
        <w:t>mprove the communication of survey</w:t>
      </w:r>
      <w:r w:rsidR="34B579EC" w:rsidRPr="5B456C58">
        <w:rPr>
          <w:rFonts w:cs="Times New Roman"/>
          <w:color w:val="000000" w:themeColor="text1"/>
        </w:rPr>
        <w:t>s</w:t>
      </w:r>
      <w:r w:rsidR="00047804" w:rsidRPr="5B456C58">
        <w:rPr>
          <w:rFonts w:cs="Times New Roman"/>
          <w:color w:val="000000" w:themeColor="text1"/>
        </w:rPr>
        <w:t xml:space="preserve"> and studies results to contracting parties</w:t>
      </w:r>
      <w:r w:rsidR="003C6F16" w:rsidRPr="5B456C58">
        <w:rPr>
          <w:rFonts w:cs="Times New Roman"/>
          <w:color w:val="000000" w:themeColor="text1"/>
        </w:rPr>
        <w:t>;</w:t>
      </w:r>
    </w:p>
    <w:p w14:paraId="1DA65D62" w14:textId="26929D35" w:rsidR="00047804" w:rsidRDefault="004E02CB" w:rsidP="003C6F16">
      <w:pPr>
        <w:pStyle w:val="IPPParagraphnumbering"/>
        <w:numPr>
          <w:ilvl w:val="0"/>
          <w:numId w:val="28"/>
        </w:numPr>
        <w:rPr>
          <w:rFonts w:cs="Times New Roman"/>
          <w:color w:val="000000" w:themeColor="text1"/>
        </w:rPr>
      </w:pPr>
      <w:r>
        <w:rPr>
          <w:rFonts w:cs="Times New Roman"/>
          <w:color w:val="000000" w:themeColor="text1"/>
        </w:rPr>
        <w:t>i</w:t>
      </w:r>
      <w:r w:rsidR="00047804" w:rsidRPr="003C6F16">
        <w:rPr>
          <w:rFonts w:cs="Times New Roman"/>
          <w:color w:val="000000" w:themeColor="text1"/>
        </w:rPr>
        <w:t>mprove the survey</w:t>
      </w:r>
      <w:r w:rsidR="003C6F16">
        <w:rPr>
          <w:rFonts w:cs="Times New Roman"/>
          <w:color w:val="000000" w:themeColor="text1"/>
        </w:rPr>
        <w:t>s</w:t>
      </w:r>
      <w:r w:rsidR="00047804" w:rsidRPr="003C6F16">
        <w:rPr>
          <w:rFonts w:cs="Times New Roman"/>
          <w:color w:val="000000" w:themeColor="text1"/>
        </w:rPr>
        <w:t xml:space="preserve"> coordination at IPPC Secretariat level</w:t>
      </w:r>
      <w:r w:rsidR="003C6F16">
        <w:rPr>
          <w:rFonts w:cs="Times New Roman"/>
          <w:color w:val="000000" w:themeColor="text1"/>
        </w:rPr>
        <w:t>.</w:t>
      </w:r>
    </w:p>
    <w:p w14:paraId="3F4E105B" w14:textId="77777777" w:rsidR="00E878AB" w:rsidRDefault="00E878AB" w:rsidP="00E878AB">
      <w:pPr>
        <w:rPr>
          <w:rFonts w:ascii="Times New Roman" w:hAnsi="Times New Roman" w:cs="Times New Roman"/>
          <w:b/>
        </w:rPr>
      </w:pPr>
    </w:p>
    <w:p w14:paraId="13B17F71" w14:textId="70B08793" w:rsidR="00BE746D" w:rsidRPr="00E878AB" w:rsidRDefault="00E878AB" w:rsidP="00E878AB">
      <w:pPr>
        <w:rPr>
          <w:rFonts w:ascii="Times New Roman" w:hAnsi="Times New Roman" w:cs="Times New Roman"/>
          <w:b/>
        </w:rPr>
      </w:pPr>
      <w:r>
        <w:rPr>
          <w:rFonts w:ascii="Times New Roman" w:hAnsi="Times New Roman" w:cs="Times New Roman"/>
          <w:b/>
        </w:rPr>
        <w:lastRenderedPageBreak/>
        <w:t>2.</w:t>
      </w:r>
      <w:r>
        <w:rPr>
          <w:rFonts w:ascii="Times New Roman" w:hAnsi="Times New Roman" w:cs="Times New Roman"/>
          <w:b/>
        </w:rPr>
        <w:tab/>
      </w:r>
      <w:r w:rsidR="00BE746D" w:rsidRPr="00E878AB">
        <w:rPr>
          <w:rFonts w:ascii="Times New Roman" w:hAnsi="Times New Roman" w:cs="Times New Roman"/>
          <w:b/>
        </w:rPr>
        <w:t xml:space="preserve">IPPC Secretariat activities </w:t>
      </w:r>
    </w:p>
    <w:p w14:paraId="3350A03E" w14:textId="51D404D2" w:rsidR="00BE746D" w:rsidRDefault="00BE746D" w:rsidP="00AE2AD2">
      <w:pPr>
        <w:pStyle w:val="IPPParagraphnumbering"/>
      </w:pPr>
      <w:r>
        <w:t xml:space="preserve">Since the CPM-16 </w:t>
      </w:r>
      <w:r w:rsidR="5BF1EE08">
        <w:t xml:space="preserve">(2022) </w:t>
      </w:r>
      <w:r>
        <w:t>decisions on the IPPC Observatory</w:t>
      </w:r>
      <w:r w:rsidR="005D2928">
        <w:t>,</w:t>
      </w:r>
      <w:r>
        <w:t xml:space="preserve"> the Secretariat finalize</w:t>
      </w:r>
      <w:r w:rsidR="47650AF6">
        <w:t>d</w:t>
      </w:r>
      <w:r w:rsidR="00AE2AD2">
        <w:t xml:space="preserve"> the activities implemented under</w:t>
      </w:r>
      <w:r>
        <w:t xml:space="preserve"> </w:t>
      </w:r>
      <w:r w:rsidR="005D2928">
        <w:t>the EC IRSS third c</w:t>
      </w:r>
      <w:r w:rsidR="00AE2AD2">
        <w:t>ycle Project which ended in May 2022</w:t>
      </w:r>
      <w:r w:rsidR="5C8362BB">
        <w:t xml:space="preserve">. </w:t>
      </w:r>
      <w:r w:rsidR="004E02CB">
        <w:t>These a</w:t>
      </w:r>
      <w:r w:rsidR="5C8362BB">
        <w:t>ctivities included the</w:t>
      </w:r>
      <w:r w:rsidR="006F3AE3">
        <w:t xml:space="preserve"> </w:t>
      </w:r>
      <w:r>
        <w:t xml:space="preserve">development of the IPPC Observatory </w:t>
      </w:r>
      <w:r w:rsidR="00AE2AD2">
        <w:t xml:space="preserve">plan for survey design, </w:t>
      </w:r>
      <w:r w:rsidR="121C1380">
        <w:t xml:space="preserve">the drafting of </w:t>
      </w:r>
      <w:r w:rsidR="00AE2AD2">
        <w:t>the resource mobilization strategy</w:t>
      </w:r>
      <w:r w:rsidR="006F3AE3">
        <w:rPr>
          <w:rStyle w:val="FootnoteReference"/>
        </w:rPr>
        <w:footnoteReference w:id="5"/>
      </w:r>
      <w:r w:rsidR="00AE2AD2">
        <w:t>.</w:t>
      </w:r>
    </w:p>
    <w:p w14:paraId="54C04E5D" w14:textId="25E27B2C" w:rsidR="00406860" w:rsidRDefault="006A22F6" w:rsidP="00841A99">
      <w:pPr>
        <w:pStyle w:val="IPPParagraphnumbering"/>
      </w:pPr>
      <w:r>
        <w:t xml:space="preserve">Considering </w:t>
      </w:r>
      <w:r w:rsidR="001572D1">
        <w:t>the studies</w:t>
      </w:r>
      <w:r>
        <w:t>, t</w:t>
      </w:r>
      <w:r w:rsidR="00406860">
        <w:t>he final report of two last IRSS studies on “</w:t>
      </w:r>
      <w:r w:rsidR="00406860" w:rsidRPr="004E02CB">
        <w:rPr>
          <w:i/>
        </w:rPr>
        <w:t>Developing Guidance on Risk-based Border Management (2019-13, Priority 1)</w:t>
      </w:r>
      <w:r w:rsidR="00406860">
        <w:t>” and on “</w:t>
      </w:r>
      <w:r w:rsidR="004E02CB">
        <w:rPr>
          <w:i/>
        </w:rPr>
        <w:t>T</w:t>
      </w:r>
      <w:r w:rsidR="00406860" w:rsidRPr="004E02CB">
        <w:rPr>
          <w:i/>
        </w:rPr>
        <w:t xml:space="preserve">he </w:t>
      </w:r>
      <w:r w:rsidR="004E02CB">
        <w:rPr>
          <w:i/>
        </w:rPr>
        <w:t>U</w:t>
      </w:r>
      <w:r w:rsidR="00406860" w:rsidRPr="004E02CB">
        <w:rPr>
          <w:i/>
        </w:rPr>
        <w:t>se of IPPC Diagnostic Protocols</w:t>
      </w:r>
      <w:r w:rsidR="00406860">
        <w:t xml:space="preserve"> (2019-14, Priority 1)” have been reviewed and sent to the FAO publication process. The executive summary to provide justifications to postpone the development of the third general survey was developed and the draft survey for the new study on e-Commerce has been drafted and revised by a survey specialist.</w:t>
      </w:r>
    </w:p>
    <w:p w14:paraId="7B91B31C" w14:textId="28FE89FC" w:rsidR="00406860" w:rsidRPr="006A22F6" w:rsidRDefault="001572D1" w:rsidP="006A22F6">
      <w:pPr>
        <w:pStyle w:val="IPPParagraphnumbering"/>
      </w:pPr>
      <w:r>
        <w:t>T</w:t>
      </w:r>
      <w:r w:rsidR="006A22F6">
        <w:t>o improve communication on the O</w:t>
      </w:r>
      <w:r w:rsidR="006A22F6" w:rsidRPr="006A22F6">
        <w:t>bservatory</w:t>
      </w:r>
      <w:r>
        <w:t>,</w:t>
      </w:r>
      <w:r w:rsidR="006A22F6" w:rsidRPr="006A22F6">
        <w:t xml:space="preserve"> </w:t>
      </w:r>
      <w:r w:rsidR="006A22F6">
        <w:t>the IPPC Observatory factsheet</w:t>
      </w:r>
      <w:r w:rsidR="006A22F6">
        <w:rPr>
          <w:rStyle w:val="FootnoteReference"/>
        </w:rPr>
        <w:footnoteReference w:id="6"/>
      </w:r>
      <w:r w:rsidR="006A22F6">
        <w:t>, the IPPC Observatory video</w:t>
      </w:r>
      <w:r w:rsidR="006A22F6">
        <w:rPr>
          <w:rStyle w:val="FootnoteReference"/>
        </w:rPr>
        <w:footnoteReference w:id="7"/>
      </w:r>
      <w:r>
        <w:t>and</w:t>
      </w:r>
      <w:r w:rsidR="006A22F6">
        <w:t xml:space="preserve"> the visual identity have been released </w:t>
      </w:r>
      <w:r>
        <w:t xml:space="preserve">as well as the </w:t>
      </w:r>
      <w:r w:rsidR="006A22F6">
        <w:t>IPPC Observatory webpage on the IPP</w:t>
      </w:r>
      <w:r>
        <w:t xml:space="preserve"> </w:t>
      </w:r>
      <w:r w:rsidR="004E02CB">
        <w:t xml:space="preserve">has been </w:t>
      </w:r>
      <w:r>
        <w:t>redesigned. T</w:t>
      </w:r>
      <w:r w:rsidR="00406860">
        <w:t>he IPPC Observatory list of topics studies has been converted into a searchable</w:t>
      </w:r>
      <w:r w:rsidR="00406860" w:rsidRPr="000A2CD9">
        <w:t xml:space="preserve"> online database available on the IPP</w:t>
      </w:r>
      <w:r w:rsidR="00406860" w:rsidRPr="001572D1">
        <w:rPr>
          <w:vertAlign w:val="superscript"/>
        </w:rPr>
        <w:footnoteReference w:id="8"/>
      </w:r>
      <w:r w:rsidR="00406860">
        <w:t>.</w:t>
      </w:r>
      <w:r w:rsidR="00406860" w:rsidRPr="006A22F6">
        <w:t xml:space="preserve"> </w:t>
      </w:r>
    </w:p>
    <w:p w14:paraId="7E80D632" w14:textId="206E0E85" w:rsidR="00406860" w:rsidRDefault="00406860" w:rsidP="00406860">
      <w:pPr>
        <w:pStyle w:val="IPPParagraphnumbering"/>
      </w:pPr>
      <w:r w:rsidRPr="00C032AF">
        <w:t xml:space="preserve">In addition to the review of the report on </w:t>
      </w:r>
      <w:r>
        <w:t xml:space="preserve">‘’Good Operating practices for conducting IPPC Surveys’’ </w:t>
      </w:r>
      <w:r w:rsidR="006A22F6">
        <w:t>a</w:t>
      </w:r>
      <w:r>
        <w:t xml:space="preserve">  training </w:t>
      </w:r>
      <w:r w:rsidR="00FA5E85">
        <w:t>for</w:t>
      </w:r>
      <w:r>
        <w:t xml:space="preserve"> the IPPC Secretariat </w:t>
      </w:r>
      <w:r w:rsidR="00FA5E85">
        <w:t xml:space="preserve">staff was held </w:t>
      </w:r>
      <w:r>
        <w:t xml:space="preserve">on 30 May 2022 to </w:t>
      </w:r>
      <w:r w:rsidR="006A22F6">
        <w:t>share</w:t>
      </w:r>
      <w:r w:rsidRPr="00B06DD3">
        <w:t xml:space="preserve"> good practices and tips to improve surveys</w:t>
      </w:r>
      <w:r w:rsidR="006A22F6">
        <w:t xml:space="preserve"> design</w:t>
      </w:r>
      <w:r>
        <w:t>.</w:t>
      </w:r>
    </w:p>
    <w:p w14:paraId="726F478E" w14:textId="2C0783AD" w:rsidR="00BE746D" w:rsidRDefault="001572D1" w:rsidP="00136A9F">
      <w:pPr>
        <w:pStyle w:val="IPPParagraphnumbering"/>
      </w:pPr>
      <w:r>
        <w:t>However, as</w:t>
      </w:r>
      <w:r w:rsidR="00AA05AE">
        <w:t xml:space="preserve"> the activities implemented within the framework of</w:t>
      </w:r>
      <w:r w:rsidR="0609F028">
        <w:t xml:space="preserve"> the</w:t>
      </w:r>
      <w:r w:rsidR="00AA05AE">
        <w:t xml:space="preserve"> IRSS have been mainly funded by the European Union</w:t>
      </w:r>
      <w:r w:rsidR="618924AA">
        <w:t xml:space="preserve"> through</w:t>
      </w:r>
      <w:r w:rsidR="00AA05AE">
        <w:t xml:space="preserve"> </w:t>
      </w:r>
      <w:r w:rsidR="17341B2A">
        <w:t xml:space="preserve">three </w:t>
      </w:r>
      <w:r w:rsidR="00AA05AE">
        <w:t>three</w:t>
      </w:r>
      <w:r w:rsidR="531A0D98">
        <w:t>-</w:t>
      </w:r>
      <w:r w:rsidR="00AA05AE">
        <w:t>year cycle projects</w:t>
      </w:r>
      <w:r w:rsidR="00BE746D">
        <w:t>, a</w:t>
      </w:r>
      <w:r w:rsidR="0002518C">
        <w:t xml:space="preserve">t this stage </w:t>
      </w:r>
      <w:r w:rsidR="00AA05AE">
        <w:t>no</w:t>
      </w:r>
      <w:r w:rsidR="0002518C">
        <w:t xml:space="preserve"> </w:t>
      </w:r>
      <w:r w:rsidR="005D2928">
        <w:t>secure</w:t>
      </w:r>
      <w:r w:rsidR="00AA05AE">
        <w:t xml:space="preserve"> resources have been identified to </w:t>
      </w:r>
      <w:r w:rsidR="00BE746D">
        <w:t>implement</w:t>
      </w:r>
      <w:r w:rsidR="00AA05AE">
        <w:t xml:space="preserve"> the</w:t>
      </w:r>
      <w:r w:rsidR="49B807B3">
        <w:t xml:space="preserve"> coming</w:t>
      </w:r>
      <w:r w:rsidR="00AA05AE">
        <w:t xml:space="preserve"> activities of the IPPC Observatory</w:t>
      </w:r>
      <w:r w:rsidR="00BE746D">
        <w:t xml:space="preserve"> work plan</w:t>
      </w:r>
      <w:r w:rsidR="00AA05AE">
        <w:t>.</w:t>
      </w:r>
      <w:r w:rsidR="0002518C">
        <w:t xml:space="preserve"> </w:t>
      </w:r>
    </w:p>
    <w:p w14:paraId="5781CAE7" w14:textId="5DA59632" w:rsidR="00AA05AE" w:rsidRDefault="00BE746D" w:rsidP="0002518C">
      <w:pPr>
        <w:pStyle w:val="IPPParagraphnumbering"/>
      </w:pPr>
      <w:r>
        <w:t>Thus, t</w:t>
      </w:r>
      <w:r w:rsidR="0002518C">
        <w:t>aking into account the need for</w:t>
      </w:r>
      <w:r>
        <w:t xml:space="preserve"> a</w:t>
      </w:r>
      <w:r w:rsidR="0002518C">
        <w:t xml:space="preserve"> better integration of the IPPC Observatory within the Secretariat for a cross-cutting approach, </w:t>
      </w:r>
      <w:r w:rsidR="004D48D5">
        <w:t>strategic</w:t>
      </w:r>
      <w:r w:rsidR="004D48D5" w:rsidDel="006F3AE3">
        <w:t xml:space="preserve"> </w:t>
      </w:r>
      <w:r w:rsidR="006F3AE3">
        <w:t>discussions with the CPM Bureau</w:t>
      </w:r>
      <w:r w:rsidR="0002518C">
        <w:t xml:space="preserve"> </w:t>
      </w:r>
      <w:r w:rsidR="004D48D5">
        <w:t xml:space="preserve">and the Finance committee should contribute to </w:t>
      </w:r>
      <w:r w:rsidR="0002518C">
        <w:t xml:space="preserve">define the best possible </w:t>
      </w:r>
      <w:r w:rsidR="004D48D5">
        <w:t>management structure</w:t>
      </w:r>
      <w:r w:rsidR="0002518C">
        <w:t xml:space="preserve"> allowing on the one hand an optimal use of the IPPC Secretariat resources (financial and staff) and on the other hand the efficient operationalization of the IPPC Observatory.</w:t>
      </w:r>
    </w:p>
    <w:p w14:paraId="44986934" w14:textId="7714E933" w:rsidR="003C6F16" w:rsidRDefault="001572D1" w:rsidP="00AA05AE">
      <w:pPr>
        <w:pStyle w:val="IPPParagraphnumbering"/>
      </w:pPr>
      <w:r>
        <w:t>The</w:t>
      </w:r>
      <w:r w:rsidR="00AA05AE">
        <w:t xml:space="preserve"> IPPC Secretar</w:t>
      </w:r>
      <w:r w:rsidR="0002518C">
        <w:t xml:space="preserve">iat </w:t>
      </w:r>
      <w:r w:rsidR="00AA05AE">
        <w:t xml:space="preserve">is still </w:t>
      </w:r>
      <w:r w:rsidR="00AE2AD2">
        <w:t>providing support</w:t>
      </w:r>
      <w:r w:rsidR="004D48D5">
        <w:t>,</w:t>
      </w:r>
      <w:r w:rsidR="00AE2AD2">
        <w:t xml:space="preserve"> </w:t>
      </w:r>
      <w:r w:rsidR="318E06B4">
        <w:t>since the end of EC IRSS Project</w:t>
      </w:r>
      <w:r w:rsidR="004D48D5">
        <w:t>,</w:t>
      </w:r>
      <w:r w:rsidR="318E06B4">
        <w:t xml:space="preserve"> </w:t>
      </w:r>
      <w:r w:rsidR="00AE2AD2">
        <w:t>on IPPC Observatory related activities</w:t>
      </w:r>
      <w:r w:rsidR="0002518C">
        <w:t xml:space="preserve"> </w:t>
      </w:r>
      <w:r w:rsidR="18FD17D5">
        <w:t xml:space="preserve">through the </w:t>
      </w:r>
      <w:r w:rsidR="00AA05AE">
        <w:t xml:space="preserve">publication of studies, </w:t>
      </w:r>
      <w:r w:rsidR="79D1CA41">
        <w:t xml:space="preserve">the </w:t>
      </w:r>
      <w:r w:rsidR="00AA05AE">
        <w:t>finalization of the triannual report and</w:t>
      </w:r>
      <w:r w:rsidR="28A404F5">
        <w:t xml:space="preserve"> the organization of </w:t>
      </w:r>
      <w:r w:rsidR="00AE2AD2">
        <w:t>meetings of</w:t>
      </w:r>
      <w:r w:rsidR="00AA05AE">
        <w:t xml:space="preserve"> the IC </w:t>
      </w:r>
      <w:r w:rsidR="000A3286">
        <w:t>Subgroup</w:t>
      </w:r>
      <w:r w:rsidR="0002518C">
        <w:t xml:space="preserve"> on IRSS.</w:t>
      </w:r>
      <w:r w:rsidR="003C6F16">
        <w:t xml:space="preserve"> </w:t>
      </w:r>
    </w:p>
    <w:p w14:paraId="07883647" w14:textId="4A307698" w:rsidR="00AA05AE" w:rsidRDefault="00FA5E85" w:rsidP="00AA05AE">
      <w:pPr>
        <w:pStyle w:val="IPPParagraphnumbering"/>
      </w:pPr>
      <w:r>
        <w:t>Furthermore, a</w:t>
      </w:r>
      <w:r w:rsidR="003C6F16">
        <w:t xml:space="preserve"> presentation on the IPPC Observatory</w:t>
      </w:r>
      <w:r w:rsidR="003C6F16">
        <w:rPr>
          <w:rStyle w:val="FootnoteReference"/>
        </w:rPr>
        <w:footnoteReference w:id="9"/>
      </w:r>
      <w:r w:rsidR="0050546D">
        <w:t xml:space="preserve"> </w:t>
      </w:r>
      <w:r w:rsidR="003C6F16">
        <w:t xml:space="preserve">was discussed during the 2022 IPPC Regional Workshop to provide further information to contracting parties on the objective and missions of the IPPC Observatory. </w:t>
      </w:r>
    </w:p>
    <w:p w14:paraId="4042734B" w14:textId="76BF7122" w:rsidR="00101BC0" w:rsidRDefault="00101BC0" w:rsidP="00101BC0">
      <w:pPr>
        <w:pStyle w:val="IPPParagraphnumbering"/>
        <w:numPr>
          <w:ilvl w:val="0"/>
          <w:numId w:val="0"/>
        </w:numPr>
      </w:pPr>
    </w:p>
    <w:p w14:paraId="2964178B" w14:textId="0F4AB483" w:rsidR="00101BC0" w:rsidRDefault="00101BC0" w:rsidP="00101BC0">
      <w:pPr>
        <w:pStyle w:val="IPPParagraphnumbering"/>
        <w:numPr>
          <w:ilvl w:val="0"/>
          <w:numId w:val="0"/>
        </w:numPr>
      </w:pPr>
    </w:p>
    <w:p w14:paraId="3FFBB83E" w14:textId="77777777" w:rsidR="00E878AB" w:rsidRDefault="00E878AB" w:rsidP="00101BC0">
      <w:pPr>
        <w:pStyle w:val="IPPParagraphnumbering"/>
        <w:numPr>
          <w:ilvl w:val="0"/>
          <w:numId w:val="0"/>
        </w:numPr>
      </w:pPr>
    </w:p>
    <w:p w14:paraId="14D6DAF6" w14:textId="4D32228D" w:rsidR="00AE2AD2" w:rsidRPr="00E878AB" w:rsidRDefault="00E878AB" w:rsidP="00E878AB">
      <w:pPr>
        <w:rPr>
          <w:rFonts w:ascii="Times New Roman" w:hAnsi="Times New Roman" w:cs="Times New Roman"/>
          <w:b/>
        </w:rPr>
      </w:pPr>
      <w:r>
        <w:rPr>
          <w:rFonts w:ascii="Times New Roman" w:hAnsi="Times New Roman" w:cs="Times New Roman"/>
          <w:b/>
        </w:rPr>
        <w:lastRenderedPageBreak/>
        <w:t>3.</w:t>
      </w:r>
      <w:r>
        <w:rPr>
          <w:rFonts w:ascii="Times New Roman" w:hAnsi="Times New Roman" w:cs="Times New Roman"/>
          <w:b/>
        </w:rPr>
        <w:tab/>
      </w:r>
      <w:r w:rsidR="00AE2AD2" w:rsidRPr="00E878AB">
        <w:rPr>
          <w:rFonts w:ascii="Times New Roman" w:hAnsi="Times New Roman" w:cs="Times New Roman"/>
          <w:b/>
        </w:rPr>
        <w:t>IC Subgroup on IRSS meeting</w:t>
      </w:r>
    </w:p>
    <w:p w14:paraId="2ADDDC73" w14:textId="65F31411" w:rsidR="00524C48" w:rsidRDefault="005A1127" w:rsidP="005A1127">
      <w:pPr>
        <w:pStyle w:val="IPPParagraphnumbering"/>
      </w:pPr>
      <w:r w:rsidRPr="005A1127">
        <w:t xml:space="preserve">In June 2022, the IC Subgroup on IRSS met to discuss the next steps after the </w:t>
      </w:r>
      <w:r w:rsidRPr="00023BCC">
        <w:t xml:space="preserve">CMP-16 </w:t>
      </w:r>
      <w:r w:rsidR="6DF9B80C" w:rsidRPr="00023BCC">
        <w:t xml:space="preserve">(2022) </w:t>
      </w:r>
      <w:r w:rsidRPr="00023BCC">
        <w:t>decisions</w:t>
      </w:r>
      <w:r>
        <w:t xml:space="preserve"> and</w:t>
      </w:r>
      <w:r w:rsidR="00E24D28">
        <w:t xml:space="preserve"> to provide guidance </w:t>
      </w:r>
      <w:r w:rsidR="364AA4E3">
        <w:t>on</w:t>
      </w:r>
      <w:r w:rsidR="00E24D28">
        <w:t xml:space="preserve"> the operationalization of the IPPC Observatory</w:t>
      </w:r>
      <w:r w:rsidR="5BCE5924">
        <w:t>,</w:t>
      </w:r>
      <w:r>
        <w:t xml:space="preserve"> </w:t>
      </w:r>
      <w:r w:rsidR="00E24D28">
        <w:t>considering the</w:t>
      </w:r>
      <w:r>
        <w:t xml:space="preserve"> end of the EC </w:t>
      </w:r>
      <w:r w:rsidR="361B5272">
        <w:t xml:space="preserve">IRSS </w:t>
      </w:r>
      <w:r>
        <w:t>third cycle project.</w:t>
      </w:r>
      <w:r w:rsidR="003C6F16">
        <w:t xml:space="preserve"> The report of this meeting is available on the IPP</w:t>
      </w:r>
      <w:r w:rsidR="003C6F16">
        <w:rPr>
          <w:rStyle w:val="FootnoteReference"/>
        </w:rPr>
        <w:footnoteReference w:id="10"/>
      </w:r>
      <w:r w:rsidR="003C6F16">
        <w:t>.</w:t>
      </w:r>
    </w:p>
    <w:p w14:paraId="41B8C6F3" w14:textId="1702D9A7" w:rsidR="005A1127" w:rsidRDefault="005A1127" w:rsidP="00B23EDB">
      <w:pPr>
        <w:pStyle w:val="IPPParagraphnumbering"/>
      </w:pPr>
      <w:r>
        <w:t xml:space="preserve">The </w:t>
      </w:r>
      <w:r w:rsidR="00B23EDB">
        <w:t>S</w:t>
      </w:r>
      <w:r>
        <w:t>ubgroup discussed the recommendations to improve the survey design, data management, resource mobilization and the monitoring of the IPPC Strategic Framework. These recommendations are presented in A</w:t>
      </w:r>
      <w:r w:rsidR="00B23EDB">
        <w:t>ppendix 1 with the expectation that once the resources will be identified</w:t>
      </w:r>
      <w:r w:rsidR="5C2CC1E2">
        <w:t>,</w:t>
      </w:r>
      <w:r w:rsidR="00B23EDB">
        <w:t xml:space="preserve"> the IPPC Observatory could be able to fulfill the assigned missions.</w:t>
      </w:r>
    </w:p>
    <w:p w14:paraId="7C2BFAA6" w14:textId="4A96036E" w:rsidR="005A1127" w:rsidRDefault="005A1127" w:rsidP="005A1127">
      <w:pPr>
        <w:pStyle w:val="IPPParagraphnumbering"/>
      </w:pPr>
      <w:r>
        <w:t xml:space="preserve">The IC Subgroup </w:t>
      </w:r>
      <w:r w:rsidR="00FA5E85">
        <w:t xml:space="preserve">has </w:t>
      </w:r>
      <w:r>
        <w:t>revised the Terms of reference (ToR) of the IC Subgroup on IRSS based on the new scope and missions of the IPPC Observatory. The revised T</w:t>
      </w:r>
      <w:r w:rsidR="4D195262">
        <w:t>o</w:t>
      </w:r>
      <w:r>
        <w:t>R</w:t>
      </w:r>
      <w:r w:rsidR="535352C6">
        <w:t>s</w:t>
      </w:r>
      <w:r>
        <w:t xml:space="preserve"> was recommended to the IC approval during its 2022 November meeting.</w:t>
      </w:r>
    </w:p>
    <w:p w14:paraId="03AAD1BC" w14:textId="1B65492F" w:rsidR="00FA5E85" w:rsidRDefault="00FA5E85" w:rsidP="00FA5E85">
      <w:pPr>
        <w:pStyle w:val="IPPParagraphnumbering"/>
      </w:pPr>
      <w:r>
        <w:t>T</w:t>
      </w:r>
      <w:r w:rsidRPr="00FA5E85">
        <w:t xml:space="preserve">he </w:t>
      </w:r>
      <w:r>
        <w:t>S</w:t>
      </w:r>
      <w:r w:rsidRPr="00FA5E85">
        <w:t xml:space="preserve">ubgroup </w:t>
      </w:r>
      <w:r>
        <w:t xml:space="preserve">has </w:t>
      </w:r>
      <w:r w:rsidRPr="00FA5E85">
        <w:t>also noted the need to define the minimum conditions to enable the</w:t>
      </w:r>
      <w:r>
        <w:t xml:space="preserve"> effective launch of the</w:t>
      </w:r>
      <w:r w:rsidRPr="00FA5E85">
        <w:t xml:space="preserve"> IPPC </w:t>
      </w:r>
      <w:r>
        <w:t>O</w:t>
      </w:r>
      <w:r w:rsidRPr="00FA5E85">
        <w:t>bservatory with limited objectives and to evolve step by step towards a system that integrates all the assigned missions</w:t>
      </w:r>
      <w:r>
        <w:t>.</w:t>
      </w:r>
    </w:p>
    <w:p w14:paraId="13F2AD4A" w14:textId="63B3E73E" w:rsidR="52B18D23" w:rsidRPr="00E878AB" w:rsidRDefault="00E878AB" w:rsidP="00E878AB">
      <w:pPr>
        <w:rPr>
          <w:rFonts w:ascii="Times New Roman" w:hAnsi="Times New Roman" w:cs="Times New Roman"/>
          <w:b/>
        </w:rPr>
      </w:pPr>
      <w:r>
        <w:rPr>
          <w:rFonts w:ascii="Times New Roman" w:hAnsi="Times New Roman" w:cs="Times New Roman"/>
          <w:b/>
        </w:rPr>
        <w:t>4.</w:t>
      </w:r>
      <w:r>
        <w:rPr>
          <w:rFonts w:ascii="Times New Roman" w:hAnsi="Times New Roman" w:cs="Times New Roman"/>
          <w:b/>
        </w:rPr>
        <w:tab/>
      </w:r>
      <w:r w:rsidR="52B18D23" w:rsidRPr="00E878AB">
        <w:rPr>
          <w:rFonts w:ascii="Times New Roman" w:hAnsi="Times New Roman" w:cs="Times New Roman"/>
          <w:b/>
        </w:rPr>
        <w:t>Coordination between the three sisters observatories</w:t>
      </w:r>
    </w:p>
    <w:p w14:paraId="1B6F5261" w14:textId="2757A1EA" w:rsidR="00761E5C" w:rsidRPr="00761E5C" w:rsidRDefault="001572D1" w:rsidP="00761E5C">
      <w:pPr>
        <w:pStyle w:val="IPPParagraphnumbering"/>
      </w:pPr>
      <w:r w:rsidRPr="001572D1">
        <w:t xml:space="preserve">In order to improve collaboration and experience sharing, the IPPC Secretariat is fully engaged in the work of </w:t>
      </w:r>
      <w:r w:rsidR="0097338C">
        <w:t>a</w:t>
      </w:r>
      <w:r w:rsidRPr="001572D1">
        <w:t xml:space="preserve"> </w:t>
      </w:r>
      <w:r w:rsidR="0097338C">
        <w:t>working g</w:t>
      </w:r>
      <w:r w:rsidRPr="001572D1">
        <w:t>roup with CODEX and WOAH</w:t>
      </w:r>
      <w:r>
        <w:t xml:space="preserve"> (</w:t>
      </w:r>
      <w:r w:rsidRPr="001572D1">
        <w:t>World Organization for Animal Health</w:t>
      </w:r>
      <w:r>
        <w:t>)</w:t>
      </w:r>
      <w:r w:rsidRPr="001572D1">
        <w:t>.</w:t>
      </w:r>
      <w:r>
        <w:t xml:space="preserve"> </w:t>
      </w:r>
      <w:r w:rsidR="00761E5C" w:rsidRPr="00761E5C">
        <w:t xml:space="preserve">This working group meets every quarter to discuss the activities of their respective Observatories for monitoring the implementation of standards, share best practices and solutions to improve the efficiency of surveys and the response rate </w:t>
      </w:r>
      <w:r w:rsidR="00761E5C">
        <w:t>of</w:t>
      </w:r>
      <w:r w:rsidR="00761E5C" w:rsidRPr="00761E5C">
        <w:t xml:space="preserve"> contracting parties.</w:t>
      </w:r>
    </w:p>
    <w:p w14:paraId="18B81CE5" w14:textId="64CD5EF1" w:rsidR="00761E5C" w:rsidRPr="00761E5C" w:rsidRDefault="00761E5C" w:rsidP="00761E5C">
      <w:pPr>
        <w:pStyle w:val="IPPParagraphnumbering"/>
      </w:pPr>
      <w:r w:rsidRPr="00761E5C">
        <w:t>The last meeting of the working group was held on September 15 and highlight</w:t>
      </w:r>
      <w:r>
        <w:t>ed</w:t>
      </w:r>
      <w:r w:rsidRPr="00761E5C">
        <w:t xml:space="preserve"> on how CODEX intends to create a link through its </w:t>
      </w:r>
      <w:r>
        <w:t>O</w:t>
      </w:r>
      <w:r w:rsidRPr="00761E5C">
        <w:t xml:space="preserve">bservatory between the monitoring of the implementation of standards and the dispute </w:t>
      </w:r>
      <w:r>
        <w:t>settlement</w:t>
      </w:r>
      <w:r w:rsidRPr="00761E5C">
        <w:t xml:space="preserve"> mechanism</w:t>
      </w:r>
      <w:r>
        <w:t xml:space="preserve">. During this meeting, the </w:t>
      </w:r>
      <w:r w:rsidRPr="001572D1">
        <w:t>WOAH</w:t>
      </w:r>
      <w:r>
        <w:t xml:space="preserve"> Observatory presented</w:t>
      </w:r>
      <w:r w:rsidRPr="00761E5C">
        <w:t xml:space="preserve"> the activities planned within the framework of the celebration of the international day of standards on October 14</w:t>
      </w:r>
      <w:r w:rsidRPr="00761E5C">
        <w:rPr>
          <w:vertAlign w:val="superscript"/>
        </w:rPr>
        <w:t>th</w:t>
      </w:r>
      <w:r w:rsidRPr="00761E5C">
        <w:t>.</w:t>
      </w:r>
    </w:p>
    <w:p w14:paraId="206875A3" w14:textId="1D352142" w:rsidR="00761E5C" w:rsidRPr="00761E5C" w:rsidRDefault="00761E5C" w:rsidP="00761E5C">
      <w:pPr>
        <w:pStyle w:val="IPPParagraphnumbering"/>
      </w:pPr>
      <w:r w:rsidRPr="00761E5C">
        <w:t xml:space="preserve">The next meeting of this working group is scheduled </w:t>
      </w:r>
      <w:r>
        <w:t>on</w:t>
      </w:r>
      <w:r w:rsidRPr="00761E5C">
        <w:t xml:space="preserve"> December 13, 2022.</w:t>
      </w:r>
    </w:p>
    <w:p w14:paraId="62B4DBDA" w14:textId="77777777" w:rsidR="00B23EDB" w:rsidRDefault="00B23EDB" w:rsidP="00761E5C">
      <w:pPr>
        <w:pStyle w:val="IPPParagraphnumbering"/>
      </w:pPr>
      <w:r>
        <w:t>The Strategic Planning Group is invite to :</w:t>
      </w:r>
    </w:p>
    <w:p w14:paraId="5FB09F58" w14:textId="19BBA93E" w:rsidR="00B23EDB" w:rsidRDefault="00B23EDB" w:rsidP="00B23EDB">
      <w:pPr>
        <w:pStyle w:val="IPPParagraphnumbering"/>
        <w:numPr>
          <w:ilvl w:val="0"/>
          <w:numId w:val="31"/>
        </w:numPr>
      </w:pPr>
      <w:r w:rsidRPr="00B23EDB">
        <w:rPr>
          <w:i/>
        </w:rPr>
        <w:t>note</w:t>
      </w:r>
      <w:r>
        <w:t xml:space="preserve"> the update on the IPPC Observatory</w:t>
      </w:r>
      <w:r w:rsidR="004E02CB">
        <w:t>;</w:t>
      </w:r>
    </w:p>
    <w:p w14:paraId="780D0362" w14:textId="3A4499EA" w:rsidR="00B23EDB" w:rsidRDefault="003C6F16" w:rsidP="00B23EDB">
      <w:pPr>
        <w:pStyle w:val="IPPParagraphnumbering"/>
        <w:numPr>
          <w:ilvl w:val="0"/>
          <w:numId w:val="31"/>
        </w:numPr>
      </w:pPr>
      <w:r w:rsidRPr="5B456C58">
        <w:rPr>
          <w:i/>
          <w:iCs/>
        </w:rPr>
        <w:t xml:space="preserve">provide </w:t>
      </w:r>
      <w:r>
        <w:t>ideas for the operationalization of the IPPC Observatory</w:t>
      </w:r>
      <w:r w:rsidR="004E02CB">
        <w:t xml:space="preserve"> through a</w:t>
      </w:r>
      <w:r w:rsidR="00761E5C">
        <w:t xml:space="preserve"> sustainable funding </w:t>
      </w:r>
      <w:r w:rsidR="004E02CB">
        <w:t>mechanism</w:t>
      </w:r>
      <w:r w:rsidR="00761E5C">
        <w:t xml:space="preserve"> </w:t>
      </w:r>
      <w:r w:rsidR="004E02CB">
        <w:t>including</w:t>
      </w:r>
      <w:r w:rsidR="00761E5C">
        <w:t xml:space="preserve"> the monitoring of the IPPC Strategic Framework 2020-2030</w:t>
      </w:r>
      <w:r w:rsidR="004E02CB">
        <w:t>.</w:t>
      </w:r>
    </w:p>
    <w:p w14:paraId="71C7428E" w14:textId="5303D859" w:rsidR="0050546D" w:rsidRDefault="0050546D" w:rsidP="0050546D">
      <w:pPr>
        <w:pStyle w:val="IPPParagraphnumbering"/>
        <w:numPr>
          <w:ilvl w:val="0"/>
          <w:numId w:val="0"/>
        </w:numPr>
      </w:pPr>
    </w:p>
    <w:p w14:paraId="558FB85B" w14:textId="230B6988" w:rsidR="0050546D" w:rsidRDefault="0050546D" w:rsidP="0050546D">
      <w:pPr>
        <w:pStyle w:val="IPPParagraphnumbering"/>
        <w:numPr>
          <w:ilvl w:val="0"/>
          <w:numId w:val="0"/>
        </w:numPr>
      </w:pPr>
    </w:p>
    <w:p w14:paraId="07DC55E9" w14:textId="5DC1423D" w:rsidR="0050546D" w:rsidRDefault="0050546D" w:rsidP="0050546D">
      <w:pPr>
        <w:pStyle w:val="IPPParagraphnumbering"/>
        <w:numPr>
          <w:ilvl w:val="0"/>
          <w:numId w:val="0"/>
        </w:numPr>
      </w:pPr>
    </w:p>
    <w:p w14:paraId="5A170915" w14:textId="2DD323AD" w:rsidR="0050546D" w:rsidRDefault="0050546D" w:rsidP="0050546D">
      <w:pPr>
        <w:pStyle w:val="IPPParagraphnumbering"/>
        <w:numPr>
          <w:ilvl w:val="0"/>
          <w:numId w:val="0"/>
        </w:numPr>
      </w:pPr>
    </w:p>
    <w:p w14:paraId="180C6377" w14:textId="6C953A0C" w:rsidR="0050546D" w:rsidRDefault="004E02CB" w:rsidP="0050546D">
      <w:pPr>
        <w:pStyle w:val="IPPParagraphnumbering"/>
        <w:numPr>
          <w:ilvl w:val="0"/>
          <w:numId w:val="0"/>
        </w:numPr>
      </w:pPr>
      <w:r>
        <w:br/>
      </w:r>
    </w:p>
    <w:p w14:paraId="33E0C516" w14:textId="3CAE9B5E" w:rsidR="004E02CB" w:rsidRDefault="004E02CB" w:rsidP="0050546D">
      <w:pPr>
        <w:pStyle w:val="IPPParagraphnumbering"/>
        <w:numPr>
          <w:ilvl w:val="0"/>
          <w:numId w:val="0"/>
        </w:numPr>
      </w:pPr>
    </w:p>
    <w:p w14:paraId="713B985F" w14:textId="23A7558B" w:rsidR="0050546D" w:rsidRDefault="0050546D" w:rsidP="0050546D">
      <w:pPr>
        <w:pStyle w:val="IPPParagraphnumbering"/>
        <w:numPr>
          <w:ilvl w:val="0"/>
          <w:numId w:val="0"/>
        </w:numPr>
      </w:pPr>
    </w:p>
    <w:p w14:paraId="1E8AA327" w14:textId="15E02E61" w:rsidR="0050546D" w:rsidRPr="009C7F81" w:rsidRDefault="0050546D" w:rsidP="0050546D">
      <w:pPr>
        <w:rPr>
          <w:b/>
          <w:bCs/>
          <w:sz w:val="24"/>
        </w:rPr>
      </w:pPr>
      <w:r w:rsidRPr="541DF2EE">
        <w:rPr>
          <w:b/>
          <w:bCs/>
          <w:sz w:val="24"/>
        </w:rPr>
        <w:t xml:space="preserve">Appendix </w:t>
      </w:r>
      <w:r>
        <w:rPr>
          <w:b/>
          <w:bCs/>
          <w:sz w:val="24"/>
        </w:rPr>
        <w:t>1</w:t>
      </w:r>
      <w:r w:rsidRPr="541DF2EE">
        <w:rPr>
          <w:b/>
          <w:bCs/>
          <w:sz w:val="24"/>
        </w:rPr>
        <w:t>: Recommendations for the operationalization of the IPPC Observatory</w:t>
      </w:r>
    </w:p>
    <w:p w14:paraId="0239A943" w14:textId="77777777" w:rsidR="0050546D" w:rsidRPr="0050546D" w:rsidRDefault="0050546D" w:rsidP="0050546D">
      <w:pPr>
        <w:pStyle w:val="ListParagraph"/>
        <w:numPr>
          <w:ilvl w:val="0"/>
          <w:numId w:val="10"/>
        </w:numPr>
        <w:spacing w:line="240" w:lineRule="atLeast"/>
        <w:ind w:leftChars="400" w:left="1240"/>
        <w:jc w:val="both"/>
        <w:rPr>
          <w:rFonts w:ascii="Times New Roman" w:hAnsi="Times New Roman" w:cs="Times New Roman"/>
          <w:b/>
          <w:bCs/>
          <w:sz w:val="20"/>
          <w:szCs w:val="20"/>
        </w:rPr>
      </w:pPr>
      <w:r w:rsidRPr="0050546D">
        <w:rPr>
          <w:rFonts w:ascii="Times New Roman" w:hAnsi="Times New Roman" w:cs="Times New Roman"/>
          <w:b/>
          <w:bCs/>
          <w:sz w:val="20"/>
          <w:szCs w:val="20"/>
        </w:rPr>
        <w:t>Surveys and Studies</w:t>
      </w:r>
    </w:p>
    <w:p w14:paraId="791F13AD" w14:textId="77777777" w:rsidR="0050546D" w:rsidRPr="0050546D" w:rsidRDefault="0050546D" w:rsidP="0050546D">
      <w:pPr>
        <w:pStyle w:val="IPPParagraphnumbering"/>
        <w:numPr>
          <w:ilvl w:val="0"/>
          <w:numId w:val="0"/>
        </w:numPr>
        <w:rPr>
          <w:sz w:val="20"/>
          <w:szCs w:val="20"/>
        </w:rPr>
      </w:pPr>
      <w:r w:rsidRPr="0050546D">
        <w:rPr>
          <w:sz w:val="20"/>
          <w:szCs w:val="20"/>
        </w:rPr>
        <w:t xml:space="preserve">In order to enhance the effectiveness of studies and surveys within the IPPC Community and improve the response rate, the Observatory will ensure: </w:t>
      </w:r>
    </w:p>
    <w:p w14:paraId="3842D7B9" w14:textId="77777777" w:rsidR="0050546D" w:rsidRPr="0050546D" w:rsidRDefault="0050546D" w:rsidP="0050546D">
      <w:pPr>
        <w:pStyle w:val="ListParagraph"/>
        <w:numPr>
          <w:ilvl w:val="0"/>
          <w:numId w:val="6"/>
        </w:numPr>
        <w:spacing w:line="240" w:lineRule="atLeast"/>
        <w:ind w:leftChars="400" w:left="1240"/>
        <w:jc w:val="both"/>
        <w:rPr>
          <w:rFonts w:ascii="Times New Roman" w:hAnsi="Times New Roman" w:cs="Times New Roman"/>
          <w:sz w:val="20"/>
          <w:szCs w:val="20"/>
        </w:rPr>
      </w:pPr>
      <w:r w:rsidRPr="0050546D">
        <w:rPr>
          <w:rFonts w:ascii="Times New Roman" w:hAnsi="Times New Roman" w:cs="Times New Roman"/>
          <w:b/>
          <w:bCs/>
          <w:sz w:val="20"/>
          <w:szCs w:val="20"/>
        </w:rPr>
        <w:t>Survey coordination</w:t>
      </w:r>
      <w:r w:rsidRPr="0050546D">
        <w:rPr>
          <w:rFonts w:ascii="Times New Roman" w:hAnsi="Times New Roman" w:cs="Times New Roman"/>
          <w:sz w:val="20"/>
          <w:szCs w:val="20"/>
        </w:rPr>
        <w:t>- Centralize project survey demands at IPPC Secretariat level to avoid “Survey fatigue” and schedule one or two survey sessions in the year and ensure better overall coordination of surveys.</w:t>
      </w:r>
    </w:p>
    <w:p w14:paraId="775AB922" w14:textId="77777777" w:rsidR="0050546D" w:rsidRPr="0050546D" w:rsidRDefault="0050546D" w:rsidP="0050546D">
      <w:pPr>
        <w:pStyle w:val="ListParagraph"/>
        <w:numPr>
          <w:ilvl w:val="0"/>
          <w:numId w:val="6"/>
        </w:numPr>
        <w:spacing w:line="240" w:lineRule="atLeast"/>
        <w:ind w:leftChars="400" w:left="1240"/>
        <w:jc w:val="both"/>
        <w:rPr>
          <w:rFonts w:ascii="Times New Roman" w:hAnsi="Times New Roman" w:cs="Times New Roman"/>
          <w:sz w:val="20"/>
          <w:szCs w:val="20"/>
        </w:rPr>
      </w:pPr>
      <w:r w:rsidRPr="0050546D">
        <w:rPr>
          <w:rFonts w:ascii="Times New Roman" w:hAnsi="Times New Roman" w:cs="Times New Roman"/>
          <w:b/>
          <w:bCs/>
          <w:sz w:val="20"/>
          <w:szCs w:val="20"/>
        </w:rPr>
        <w:t>Survey criteria</w:t>
      </w:r>
      <w:r w:rsidRPr="0050546D">
        <w:rPr>
          <w:rFonts w:ascii="Times New Roman" w:hAnsi="Times New Roman" w:cs="Times New Roman"/>
          <w:sz w:val="20"/>
          <w:szCs w:val="20"/>
        </w:rPr>
        <w:t>- Define the criteria for conducting, sending and validating a survey (ie. topic related, timeframe, number of responses to be validated …).</w:t>
      </w:r>
    </w:p>
    <w:p w14:paraId="336BFB0B" w14:textId="77777777" w:rsidR="0050546D" w:rsidRPr="0050546D" w:rsidRDefault="0050546D" w:rsidP="0050546D">
      <w:pPr>
        <w:pStyle w:val="ListParagraph"/>
        <w:numPr>
          <w:ilvl w:val="0"/>
          <w:numId w:val="6"/>
        </w:numPr>
        <w:spacing w:line="240" w:lineRule="atLeast"/>
        <w:ind w:leftChars="400" w:left="1240"/>
        <w:jc w:val="both"/>
        <w:rPr>
          <w:rFonts w:ascii="Times New Roman" w:hAnsi="Times New Roman" w:cs="Times New Roman"/>
          <w:b/>
          <w:bCs/>
          <w:sz w:val="20"/>
          <w:szCs w:val="20"/>
        </w:rPr>
      </w:pPr>
      <w:r w:rsidRPr="0050546D">
        <w:rPr>
          <w:rFonts w:ascii="Times New Roman" w:hAnsi="Times New Roman" w:cs="Times New Roman"/>
          <w:b/>
          <w:bCs/>
          <w:sz w:val="20"/>
          <w:szCs w:val="20"/>
        </w:rPr>
        <w:t xml:space="preserve">Languages - </w:t>
      </w:r>
      <w:r w:rsidRPr="0050546D">
        <w:rPr>
          <w:rFonts w:ascii="Times New Roman" w:hAnsi="Times New Roman" w:cs="Times New Roman"/>
          <w:sz w:val="20"/>
          <w:szCs w:val="20"/>
        </w:rPr>
        <w:t>Translate all the questionnaires in UN official languages.</w:t>
      </w:r>
    </w:p>
    <w:p w14:paraId="6EF41FA8" w14:textId="768A51AB" w:rsidR="0050546D" w:rsidRPr="0050546D" w:rsidRDefault="0050546D" w:rsidP="0050546D">
      <w:pPr>
        <w:pStyle w:val="ListParagraph"/>
        <w:numPr>
          <w:ilvl w:val="0"/>
          <w:numId w:val="6"/>
        </w:numPr>
        <w:spacing w:line="240" w:lineRule="atLeast"/>
        <w:ind w:leftChars="400" w:left="1240"/>
        <w:jc w:val="both"/>
        <w:rPr>
          <w:rFonts w:ascii="Times New Roman" w:hAnsi="Times New Roman" w:cs="Times New Roman"/>
          <w:b/>
          <w:bCs/>
          <w:sz w:val="20"/>
          <w:szCs w:val="20"/>
        </w:rPr>
      </w:pPr>
      <w:r w:rsidRPr="0050546D">
        <w:rPr>
          <w:rFonts w:ascii="Times New Roman" w:hAnsi="Times New Roman" w:cs="Times New Roman"/>
          <w:b/>
          <w:bCs/>
          <w:sz w:val="20"/>
          <w:szCs w:val="20"/>
        </w:rPr>
        <w:t xml:space="preserve">Survey Library </w:t>
      </w:r>
      <w:r w:rsidRPr="0050546D">
        <w:rPr>
          <w:rFonts w:ascii="Times New Roman" w:hAnsi="Times New Roman" w:cs="Times New Roman"/>
          <w:sz w:val="20"/>
          <w:szCs w:val="20"/>
        </w:rPr>
        <w:t>- Structure a 'Survey Library' that gathers all data from previous surveys.</w:t>
      </w:r>
    </w:p>
    <w:p w14:paraId="266F70C3" w14:textId="77777777" w:rsidR="0050546D" w:rsidRPr="0050546D" w:rsidRDefault="0050546D" w:rsidP="0050546D">
      <w:pPr>
        <w:pStyle w:val="ListParagraph"/>
        <w:numPr>
          <w:ilvl w:val="0"/>
          <w:numId w:val="6"/>
        </w:numPr>
        <w:spacing w:line="240" w:lineRule="atLeast"/>
        <w:ind w:leftChars="400" w:left="1240"/>
        <w:jc w:val="both"/>
        <w:rPr>
          <w:rFonts w:ascii="Times New Roman" w:hAnsi="Times New Roman" w:cs="Times New Roman"/>
          <w:sz w:val="20"/>
          <w:szCs w:val="20"/>
        </w:rPr>
      </w:pPr>
      <w:r w:rsidRPr="0050546D">
        <w:rPr>
          <w:rFonts w:ascii="Times New Roman" w:hAnsi="Times New Roman" w:cs="Times New Roman"/>
          <w:b/>
          <w:bCs/>
          <w:sz w:val="20"/>
          <w:szCs w:val="20"/>
        </w:rPr>
        <w:t xml:space="preserve">Word version </w:t>
      </w:r>
      <w:r w:rsidRPr="0050546D">
        <w:rPr>
          <w:rFonts w:ascii="Times New Roman" w:hAnsi="Times New Roman" w:cs="Times New Roman"/>
          <w:sz w:val="20"/>
          <w:szCs w:val="20"/>
        </w:rPr>
        <w:t>- Provide a version of the questionnaire that allows separate entries (ie. Word Document) so that Official Contact Points can send each part to the relevant experts.</w:t>
      </w:r>
    </w:p>
    <w:p w14:paraId="1C459EB7" w14:textId="77777777" w:rsidR="0050546D" w:rsidRPr="0050546D" w:rsidRDefault="0050546D" w:rsidP="0050546D">
      <w:pPr>
        <w:pStyle w:val="ListParagraph"/>
        <w:numPr>
          <w:ilvl w:val="0"/>
          <w:numId w:val="6"/>
        </w:numPr>
        <w:spacing w:line="240" w:lineRule="atLeast"/>
        <w:ind w:leftChars="400" w:left="1240"/>
        <w:jc w:val="both"/>
        <w:rPr>
          <w:rFonts w:ascii="Times New Roman" w:hAnsi="Times New Roman" w:cs="Times New Roman"/>
          <w:sz w:val="20"/>
          <w:szCs w:val="20"/>
        </w:rPr>
      </w:pPr>
      <w:r w:rsidRPr="0050546D">
        <w:rPr>
          <w:rFonts w:ascii="Times New Roman" w:hAnsi="Times New Roman" w:cs="Times New Roman"/>
          <w:b/>
          <w:bCs/>
          <w:sz w:val="20"/>
          <w:szCs w:val="20"/>
        </w:rPr>
        <w:t xml:space="preserve">Survey communication </w:t>
      </w:r>
      <w:r w:rsidRPr="0050546D">
        <w:rPr>
          <w:rFonts w:ascii="Times New Roman" w:hAnsi="Times New Roman" w:cs="Times New Roman"/>
          <w:sz w:val="20"/>
          <w:szCs w:val="20"/>
        </w:rPr>
        <w:t>- Plan global a communication campaign about upcoming surveys (ie. CPM, Regional workshops, website, meetings, social media).</w:t>
      </w:r>
    </w:p>
    <w:p w14:paraId="35E69CF6" w14:textId="77777777" w:rsidR="0050546D" w:rsidRPr="0050546D" w:rsidRDefault="0050546D" w:rsidP="0050546D">
      <w:pPr>
        <w:pStyle w:val="ListParagraph"/>
        <w:numPr>
          <w:ilvl w:val="0"/>
          <w:numId w:val="6"/>
        </w:numPr>
        <w:spacing w:line="240" w:lineRule="atLeast"/>
        <w:ind w:leftChars="400" w:left="1240"/>
        <w:jc w:val="both"/>
        <w:rPr>
          <w:rFonts w:ascii="Times New Roman" w:hAnsi="Times New Roman" w:cs="Times New Roman"/>
          <w:sz w:val="20"/>
          <w:szCs w:val="20"/>
        </w:rPr>
      </w:pPr>
      <w:r w:rsidRPr="0050546D">
        <w:rPr>
          <w:rFonts w:ascii="Times New Roman" w:hAnsi="Times New Roman" w:cs="Times New Roman"/>
          <w:b/>
          <w:bCs/>
          <w:sz w:val="20"/>
          <w:szCs w:val="20"/>
        </w:rPr>
        <w:t>Easy-to-fill</w:t>
      </w:r>
      <w:r w:rsidRPr="0050546D">
        <w:rPr>
          <w:rFonts w:ascii="Times New Roman" w:hAnsi="Times New Roman" w:cs="Times New Roman"/>
          <w:sz w:val="20"/>
          <w:szCs w:val="20"/>
        </w:rPr>
        <w:t xml:space="preserve"> - Design an ‘easy-to-fill’ survey (ie. limited questions, close questions, data-oriented, limited length). Propose also a survey accessible by a password and a structure with a clickable table of contents. This way, the experts can easily fill in their sections.​</w:t>
      </w:r>
    </w:p>
    <w:p w14:paraId="6B2051F8" w14:textId="77777777" w:rsidR="0050546D" w:rsidRPr="0050546D" w:rsidRDefault="0050546D" w:rsidP="0050546D">
      <w:pPr>
        <w:pStyle w:val="ListParagraph"/>
        <w:numPr>
          <w:ilvl w:val="0"/>
          <w:numId w:val="6"/>
        </w:numPr>
        <w:spacing w:line="240" w:lineRule="atLeast"/>
        <w:ind w:leftChars="400" w:left="1240"/>
        <w:jc w:val="both"/>
        <w:rPr>
          <w:rFonts w:ascii="Times New Roman" w:hAnsi="Times New Roman" w:cs="Times New Roman"/>
          <w:sz w:val="20"/>
          <w:szCs w:val="20"/>
        </w:rPr>
      </w:pPr>
      <w:r w:rsidRPr="0050546D">
        <w:rPr>
          <w:rFonts w:ascii="Times New Roman" w:hAnsi="Times New Roman" w:cs="Times New Roman"/>
          <w:b/>
          <w:bCs/>
          <w:sz w:val="20"/>
          <w:szCs w:val="20"/>
        </w:rPr>
        <w:t xml:space="preserve">Duration </w:t>
      </w:r>
      <w:r w:rsidRPr="0050546D">
        <w:rPr>
          <w:rFonts w:ascii="Times New Roman" w:hAnsi="Times New Roman" w:cs="Times New Roman"/>
          <w:sz w:val="20"/>
          <w:szCs w:val="20"/>
        </w:rPr>
        <w:t>- Allow a minimum filling time of 1 month.</w:t>
      </w:r>
    </w:p>
    <w:p w14:paraId="51F597AC" w14:textId="77777777" w:rsidR="0050546D" w:rsidRPr="0050546D" w:rsidRDefault="0050546D" w:rsidP="0050546D">
      <w:pPr>
        <w:pStyle w:val="ListParagraph"/>
        <w:numPr>
          <w:ilvl w:val="0"/>
          <w:numId w:val="6"/>
        </w:numPr>
        <w:spacing w:line="240" w:lineRule="atLeast"/>
        <w:ind w:leftChars="400" w:left="1240"/>
        <w:jc w:val="both"/>
        <w:rPr>
          <w:rFonts w:ascii="Times New Roman" w:hAnsi="Times New Roman" w:cs="Times New Roman"/>
          <w:sz w:val="20"/>
          <w:szCs w:val="20"/>
        </w:rPr>
      </w:pPr>
      <w:r w:rsidRPr="0050546D">
        <w:rPr>
          <w:rFonts w:ascii="Times New Roman" w:hAnsi="Times New Roman" w:cs="Times New Roman"/>
          <w:b/>
          <w:bCs/>
          <w:sz w:val="20"/>
          <w:szCs w:val="20"/>
        </w:rPr>
        <w:t xml:space="preserve">Pre-testing </w:t>
      </w:r>
      <w:r w:rsidRPr="0050546D">
        <w:rPr>
          <w:rFonts w:ascii="Times New Roman" w:hAnsi="Times New Roman" w:cs="Times New Roman"/>
          <w:sz w:val="20"/>
          <w:szCs w:val="20"/>
        </w:rPr>
        <w:t>- Organize ‘survey pre-testing sessions’ with volunteer contracting parties. ​</w:t>
      </w:r>
    </w:p>
    <w:p w14:paraId="55C86FA2" w14:textId="77777777" w:rsidR="0050546D" w:rsidRPr="0050546D" w:rsidRDefault="0050546D" w:rsidP="0050546D">
      <w:pPr>
        <w:pStyle w:val="ListParagraph"/>
        <w:numPr>
          <w:ilvl w:val="0"/>
          <w:numId w:val="6"/>
        </w:numPr>
        <w:spacing w:line="240" w:lineRule="atLeast"/>
        <w:ind w:leftChars="400" w:left="1240"/>
        <w:jc w:val="both"/>
        <w:rPr>
          <w:rFonts w:ascii="Times New Roman" w:hAnsi="Times New Roman" w:cs="Times New Roman"/>
          <w:sz w:val="20"/>
          <w:szCs w:val="20"/>
        </w:rPr>
      </w:pPr>
      <w:r w:rsidRPr="0050546D">
        <w:rPr>
          <w:rFonts w:ascii="Times New Roman" w:hAnsi="Times New Roman" w:cs="Times New Roman"/>
          <w:b/>
          <w:bCs/>
          <w:sz w:val="20"/>
          <w:szCs w:val="20"/>
        </w:rPr>
        <w:t xml:space="preserve">Fixed section </w:t>
      </w:r>
      <w:r w:rsidRPr="0050546D">
        <w:rPr>
          <w:rFonts w:ascii="Times New Roman" w:hAnsi="Times New Roman" w:cs="Times New Roman"/>
          <w:sz w:val="20"/>
          <w:szCs w:val="20"/>
        </w:rPr>
        <w:t>- Design a fixed section in the IPPC General Survey to ensure that the same questions and results will be comparable (identify the IPPC obligations, ISPMs and CPM recommendations for which the CPs have issues with the implementation).</w:t>
      </w:r>
    </w:p>
    <w:p w14:paraId="056F8501" w14:textId="77777777" w:rsidR="0050546D" w:rsidRPr="0050546D" w:rsidRDefault="0050546D" w:rsidP="0050546D">
      <w:pPr>
        <w:pStyle w:val="ListParagraph"/>
        <w:numPr>
          <w:ilvl w:val="0"/>
          <w:numId w:val="6"/>
        </w:numPr>
        <w:spacing w:line="240" w:lineRule="atLeast"/>
        <w:ind w:leftChars="400" w:left="1240"/>
        <w:jc w:val="both"/>
        <w:rPr>
          <w:rFonts w:ascii="Times New Roman" w:hAnsi="Times New Roman" w:cs="Times New Roman"/>
          <w:sz w:val="20"/>
          <w:szCs w:val="20"/>
        </w:rPr>
      </w:pPr>
      <w:r w:rsidRPr="0050546D">
        <w:rPr>
          <w:rFonts w:ascii="Times New Roman" w:hAnsi="Times New Roman" w:cs="Times New Roman"/>
          <w:b/>
          <w:bCs/>
          <w:sz w:val="20"/>
          <w:szCs w:val="20"/>
        </w:rPr>
        <w:t>Challenges and good practices</w:t>
      </w:r>
      <w:r w:rsidRPr="0050546D">
        <w:rPr>
          <w:rFonts w:ascii="Times New Roman" w:hAnsi="Times New Roman" w:cs="Times New Roman"/>
          <w:sz w:val="20"/>
          <w:szCs w:val="20"/>
        </w:rPr>
        <w:t xml:space="preserve"> - Surveys would identify challenges as well as good practices.</w:t>
      </w:r>
    </w:p>
    <w:p w14:paraId="224E211A" w14:textId="77777777" w:rsidR="0050546D" w:rsidRPr="0050546D" w:rsidRDefault="0050546D" w:rsidP="0050546D">
      <w:pPr>
        <w:pStyle w:val="ListParagraph"/>
        <w:numPr>
          <w:ilvl w:val="0"/>
          <w:numId w:val="6"/>
        </w:numPr>
        <w:spacing w:line="240" w:lineRule="atLeast"/>
        <w:ind w:leftChars="400" w:left="1240"/>
        <w:jc w:val="both"/>
        <w:rPr>
          <w:rFonts w:ascii="Times New Roman" w:hAnsi="Times New Roman" w:cs="Times New Roman"/>
          <w:sz w:val="20"/>
          <w:szCs w:val="20"/>
        </w:rPr>
      </w:pPr>
      <w:r w:rsidRPr="0050546D">
        <w:rPr>
          <w:rFonts w:ascii="Times New Roman" w:hAnsi="Times New Roman" w:cs="Times New Roman"/>
          <w:b/>
          <w:bCs/>
          <w:sz w:val="20"/>
          <w:szCs w:val="20"/>
        </w:rPr>
        <w:t xml:space="preserve">Periodical monitoring - </w:t>
      </w:r>
      <w:r w:rsidRPr="0050546D">
        <w:rPr>
          <w:rFonts w:ascii="Times New Roman" w:hAnsi="Times New Roman" w:cs="Times New Roman"/>
          <w:sz w:val="20"/>
          <w:szCs w:val="20"/>
        </w:rPr>
        <w:t>The periodical monitoring of the IPPC, adopted ISPMs and CPM recommendations will be launched every second three-year work plan.</w:t>
      </w:r>
    </w:p>
    <w:p w14:paraId="2A589C97" w14:textId="77777777" w:rsidR="0050546D" w:rsidRPr="0050546D" w:rsidRDefault="0050546D" w:rsidP="0050546D">
      <w:pPr>
        <w:pStyle w:val="ListParagraph"/>
        <w:numPr>
          <w:ilvl w:val="0"/>
          <w:numId w:val="6"/>
        </w:numPr>
        <w:spacing w:line="240" w:lineRule="atLeast"/>
        <w:ind w:leftChars="400" w:left="1240"/>
        <w:jc w:val="both"/>
        <w:rPr>
          <w:rFonts w:ascii="Times New Roman" w:hAnsi="Times New Roman" w:cs="Times New Roman"/>
          <w:sz w:val="20"/>
          <w:szCs w:val="20"/>
        </w:rPr>
      </w:pPr>
      <w:r w:rsidRPr="0050546D">
        <w:rPr>
          <w:rFonts w:ascii="Times New Roman" w:hAnsi="Times New Roman" w:cs="Times New Roman"/>
          <w:b/>
          <w:bCs/>
          <w:sz w:val="20"/>
          <w:szCs w:val="20"/>
        </w:rPr>
        <w:t>Take away messages</w:t>
      </w:r>
      <w:r w:rsidRPr="0050546D">
        <w:rPr>
          <w:rFonts w:ascii="Times New Roman" w:hAnsi="Times New Roman" w:cs="Times New Roman"/>
          <w:sz w:val="20"/>
          <w:szCs w:val="20"/>
        </w:rPr>
        <w:t xml:space="preserve"> - Share an executive summary after each study to provide recommendations and take away messages to contracting parties on concrete options to address or mitigate the identified challenges.</w:t>
      </w:r>
    </w:p>
    <w:p w14:paraId="247C24E6" w14:textId="0D38408A" w:rsidR="0050546D" w:rsidRPr="0050546D" w:rsidRDefault="0050546D" w:rsidP="0050546D">
      <w:pPr>
        <w:pStyle w:val="ListParagraph"/>
        <w:numPr>
          <w:ilvl w:val="0"/>
          <w:numId w:val="6"/>
        </w:numPr>
        <w:spacing w:line="240" w:lineRule="atLeast"/>
        <w:ind w:leftChars="400" w:left="1240"/>
        <w:jc w:val="both"/>
        <w:rPr>
          <w:rFonts w:ascii="Times New Roman" w:hAnsi="Times New Roman" w:cs="Times New Roman"/>
          <w:sz w:val="20"/>
          <w:szCs w:val="20"/>
        </w:rPr>
      </w:pPr>
      <w:r w:rsidRPr="0050546D">
        <w:rPr>
          <w:rFonts w:ascii="Times New Roman" w:hAnsi="Times New Roman" w:cs="Times New Roman"/>
          <w:b/>
          <w:bCs/>
          <w:sz w:val="20"/>
          <w:szCs w:val="20"/>
        </w:rPr>
        <w:t xml:space="preserve">Topic for studies - </w:t>
      </w:r>
      <w:r w:rsidRPr="0050546D">
        <w:rPr>
          <w:rFonts w:ascii="Times New Roman" w:hAnsi="Times New Roman" w:cs="Times New Roman"/>
          <w:sz w:val="20"/>
          <w:szCs w:val="20"/>
        </w:rPr>
        <w:t>Organize a broader “call for Observatory topics for studies” that would better involve the Contracting Parties (CP)</w:t>
      </w:r>
      <w:r w:rsidR="0097338C">
        <w:rPr>
          <w:rFonts w:ascii="Times New Roman" w:hAnsi="Times New Roman" w:cs="Times New Roman"/>
          <w:sz w:val="20"/>
          <w:szCs w:val="20"/>
        </w:rPr>
        <w:t xml:space="preserve"> </w:t>
      </w:r>
      <w:r w:rsidR="0097338C" w:rsidRPr="0050546D">
        <w:rPr>
          <w:rFonts w:ascii="Times New Roman" w:hAnsi="Times New Roman" w:cs="Times New Roman"/>
          <w:sz w:val="20"/>
          <w:szCs w:val="20"/>
        </w:rPr>
        <w:t>​and</w:t>
      </w:r>
      <w:r w:rsidRPr="0050546D">
        <w:rPr>
          <w:rFonts w:ascii="Times New Roman" w:hAnsi="Times New Roman" w:cs="Times New Roman"/>
          <w:sz w:val="20"/>
          <w:szCs w:val="20"/>
        </w:rPr>
        <w:t xml:space="preserve"> ensure that the topics selected for the studies are supported by several CPs. The current process for submitting topics for studies targeted to committees, Bureau and RPPOs needs to be more inclusive to better address the challenges of contracting parties.</w:t>
      </w:r>
    </w:p>
    <w:p w14:paraId="49A04F71" w14:textId="77777777" w:rsidR="0050546D" w:rsidRPr="0050546D" w:rsidRDefault="0050546D" w:rsidP="0050546D">
      <w:pPr>
        <w:pStyle w:val="IPPParagraphnumbering"/>
        <w:numPr>
          <w:ilvl w:val="0"/>
          <w:numId w:val="0"/>
        </w:numPr>
        <w:rPr>
          <w:sz w:val="20"/>
          <w:szCs w:val="20"/>
        </w:rPr>
      </w:pPr>
      <w:r w:rsidRPr="0050546D">
        <w:rPr>
          <w:sz w:val="20"/>
          <w:szCs w:val="20"/>
        </w:rPr>
        <w:t>In order to fulfil its mission, the IPPC Observatory will need a survey specialist to work in tandem with a plant health expert to design r the general survey together.</w:t>
      </w:r>
    </w:p>
    <w:p w14:paraId="26146B42" w14:textId="77777777" w:rsidR="0050546D" w:rsidRPr="0050546D" w:rsidRDefault="0050546D" w:rsidP="0050546D">
      <w:pPr>
        <w:pStyle w:val="ListParagraph"/>
        <w:numPr>
          <w:ilvl w:val="0"/>
          <w:numId w:val="10"/>
        </w:numPr>
        <w:spacing w:line="240" w:lineRule="atLeast"/>
        <w:ind w:leftChars="400" w:left="1240"/>
        <w:jc w:val="both"/>
        <w:rPr>
          <w:rFonts w:ascii="Times New Roman" w:hAnsi="Times New Roman" w:cs="Times New Roman"/>
          <w:b/>
          <w:bCs/>
          <w:sz w:val="20"/>
          <w:szCs w:val="20"/>
        </w:rPr>
      </w:pPr>
      <w:r w:rsidRPr="0050546D">
        <w:rPr>
          <w:rFonts w:ascii="Times New Roman" w:hAnsi="Times New Roman" w:cs="Times New Roman"/>
          <w:b/>
          <w:bCs/>
          <w:sz w:val="20"/>
          <w:szCs w:val="20"/>
        </w:rPr>
        <w:t>Resource mobilization</w:t>
      </w:r>
    </w:p>
    <w:p w14:paraId="78638835" w14:textId="77777777" w:rsidR="0050546D" w:rsidRPr="0050546D" w:rsidRDefault="0050546D" w:rsidP="0050546D">
      <w:pPr>
        <w:pStyle w:val="IPPParagraphnumbering"/>
        <w:numPr>
          <w:ilvl w:val="0"/>
          <w:numId w:val="0"/>
        </w:numPr>
        <w:rPr>
          <w:sz w:val="20"/>
          <w:szCs w:val="20"/>
        </w:rPr>
      </w:pPr>
      <w:r w:rsidRPr="0050546D">
        <w:rPr>
          <w:sz w:val="20"/>
          <w:szCs w:val="20"/>
        </w:rPr>
        <w:t>The recommendations on survey design are based on the results provided by PwC.</w:t>
      </w:r>
    </w:p>
    <w:p w14:paraId="1D6D532A" w14:textId="77777777" w:rsidR="0050546D" w:rsidRPr="0050546D" w:rsidRDefault="0050546D" w:rsidP="0050546D">
      <w:pPr>
        <w:pStyle w:val="IPPParagraphnumbering"/>
        <w:numPr>
          <w:ilvl w:val="0"/>
          <w:numId w:val="0"/>
        </w:numPr>
        <w:rPr>
          <w:sz w:val="20"/>
          <w:szCs w:val="20"/>
        </w:rPr>
      </w:pPr>
      <w:r w:rsidRPr="0050546D">
        <w:rPr>
          <w:sz w:val="20"/>
          <w:szCs w:val="20"/>
        </w:rPr>
        <w:t>The recommended approach for resource mobilization is to implement it at the level of the Secretariat and not at the level of the Observatory. The objective is to agree on priorities that include the needs of all units of the IPPC Secretariat and avoid competition with donors.</w:t>
      </w:r>
    </w:p>
    <w:p w14:paraId="061C3A1E" w14:textId="77777777" w:rsidR="0050546D" w:rsidRPr="0050546D" w:rsidRDefault="0050546D" w:rsidP="0050546D">
      <w:pPr>
        <w:pStyle w:val="ListParagraph"/>
        <w:numPr>
          <w:ilvl w:val="0"/>
          <w:numId w:val="7"/>
        </w:numPr>
        <w:spacing w:line="240" w:lineRule="atLeast"/>
        <w:ind w:leftChars="400" w:left="1240"/>
        <w:jc w:val="both"/>
        <w:rPr>
          <w:rFonts w:ascii="Times New Roman" w:hAnsi="Times New Roman" w:cs="Times New Roman"/>
          <w:sz w:val="20"/>
          <w:szCs w:val="20"/>
        </w:rPr>
      </w:pPr>
      <w:r w:rsidRPr="0050546D">
        <w:rPr>
          <w:rFonts w:ascii="Times New Roman" w:hAnsi="Times New Roman" w:cs="Times New Roman"/>
          <w:sz w:val="20"/>
          <w:szCs w:val="20"/>
        </w:rPr>
        <w:t>Design an overall table with needs for funding based on CPM priorities which will include the needs for the IPPC Observatory. This table could be managed by the CPM Bureau and the Finance Committee.</w:t>
      </w:r>
    </w:p>
    <w:p w14:paraId="03EE4BCC" w14:textId="77777777" w:rsidR="0050546D" w:rsidRPr="0050546D" w:rsidRDefault="0050546D" w:rsidP="0050546D">
      <w:pPr>
        <w:pStyle w:val="ListParagraph"/>
        <w:numPr>
          <w:ilvl w:val="0"/>
          <w:numId w:val="7"/>
        </w:numPr>
        <w:spacing w:line="240" w:lineRule="atLeast"/>
        <w:ind w:leftChars="400" w:left="1240"/>
        <w:jc w:val="both"/>
        <w:rPr>
          <w:rFonts w:ascii="Times New Roman" w:hAnsi="Times New Roman" w:cs="Times New Roman"/>
          <w:sz w:val="20"/>
          <w:szCs w:val="20"/>
        </w:rPr>
      </w:pPr>
      <w:r w:rsidRPr="0050546D">
        <w:rPr>
          <w:rFonts w:ascii="Times New Roman" w:hAnsi="Times New Roman" w:cs="Times New Roman"/>
          <w:sz w:val="20"/>
          <w:szCs w:val="20"/>
        </w:rPr>
        <w:t>Prepare a common strategy and tools to approach the donors as “one IPPC Secretariat.</w:t>
      </w:r>
    </w:p>
    <w:p w14:paraId="67DE7BBE" w14:textId="77777777" w:rsidR="0050546D" w:rsidRPr="0050546D" w:rsidRDefault="0050546D" w:rsidP="0050546D">
      <w:pPr>
        <w:pStyle w:val="ListParagraph"/>
        <w:numPr>
          <w:ilvl w:val="0"/>
          <w:numId w:val="7"/>
        </w:numPr>
        <w:spacing w:line="240" w:lineRule="atLeast"/>
        <w:ind w:leftChars="400" w:left="1240"/>
        <w:jc w:val="both"/>
        <w:rPr>
          <w:rFonts w:ascii="Times New Roman" w:hAnsi="Times New Roman" w:cs="Times New Roman"/>
          <w:sz w:val="20"/>
          <w:szCs w:val="20"/>
        </w:rPr>
      </w:pPr>
      <w:r w:rsidRPr="0050546D">
        <w:rPr>
          <w:rFonts w:ascii="Times New Roman" w:hAnsi="Times New Roman" w:cs="Times New Roman"/>
          <w:sz w:val="20"/>
          <w:szCs w:val="20"/>
        </w:rPr>
        <w:t>Set up a Resource Mobilization advisory board with FAO and IPPC Observatory.</w:t>
      </w:r>
    </w:p>
    <w:p w14:paraId="5D3E0F6C" w14:textId="0AFADF26" w:rsidR="0050546D" w:rsidRPr="0050546D" w:rsidRDefault="005D2928" w:rsidP="0050546D">
      <w:pPr>
        <w:pStyle w:val="ListParagraph"/>
        <w:numPr>
          <w:ilvl w:val="0"/>
          <w:numId w:val="7"/>
        </w:numPr>
        <w:spacing w:line="240" w:lineRule="atLeast"/>
        <w:ind w:leftChars="400" w:left="1240"/>
        <w:jc w:val="both"/>
        <w:rPr>
          <w:rFonts w:ascii="Times New Roman" w:hAnsi="Times New Roman" w:cs="Times New Roman"/>
          <w:sz w:val="20"/>
          <w:szCs w:val="20"/>
        </w:rPr>
      </w:pPr>
      <w:r>
        <w:rPr>
          <w:rFonts w:ascii="Times New Roman" w:hAnsi="Times New Roman" w:cs="Times New Roman"/>
          <w:sz w:val="20"/>
          <w:szCs w:val="20"/>
        </w:rPr>
        <w:t>Hire</w:t>
      </w:r>
      <w:r w:rsidR="0050546D" w:rsidRPr="0050546D">
        <w:rPr>
          <w:rFonts w:ascii="Times New Roman" w:hAnsi="Times New Roman" w:cs="Times New Roman"/>
          <w:sz w:val="20"/>
          <w:szCs w:val="20"/>
        </w:rPr>
        <w:t xml:space="preserve"> a Resource Mobilization expert.</w:t>
      </w:r>
    </w:p>
    <w:p w14:paraId="30E2958D" w14:textId="77777777" w:rsidR="0050546D" w:rsidRPr="0050546D" w:rsidRDefault="0050546D" w:rsidP="0050546D">
      <w:pPr>
        <w:pStyle w:val="ListParagraph"/>
        <w:numPr>
          <w:ilvl w:val="0"/>
          <w:numId w:val="7"/>
        </w:numPr>
        <w:spacing w:line="240" w:lineRule="atLeast"/>
        <w:ind w:leftChars="400" w:left="1240"/>
        <w:jc w:val="both"/>
        <w:rPr>
          <w:rFonts w:ascii="Times New Roman" w:hAnsi="Times New Roman" w:cs="Times New Roman"/>
          <w:sz w:val="20"/>
          <w:szCs w:val="20"/>
        </w:rPr>
      </w:pPr>
      <w:r w:rsidRPr="0050546D">
        <w:rPr>
          <w:rFonts w:ascii="Times New Roman" w:hAnsi="Times New Roman" w:cs="Times New Roman"/>
          <w:sz w:val="20"/>
          <w:szCs w:val="20"/>
        </w:rPr>
        <w:lastRenderedPageBreak/>
        <w:t>Develop a charter on the main points of "why I should donate?"​.</w:t>
      </w:r>
    </w:p>
    <w:p w14:paraId="7F900A9A" w14:textId="77777777" w:rsidR="0050546D" w:rsidRPr="0050546D" w:rsidRDefault="0050546D" w:rsidP="0050546D">
      <w:pPr>
        <w:pStyle w:val="ListParagraph"/>
        <w:numPr>
          <w:ilvl w:val="0"/>
          <w:numId w:val="7"/>
        </w:numPr>
        <w:spacing w:line="240" w:lineRule="atLeast"/>
        <w:ind w:leftChars="400" w:left="1240"/>
        <w:jc w:val="both"/>
        <w:rPr>
          <w:rFonts w:ascii="Times New Roman" w:hAnsi="Times New Roman" w:cs="Times New Roman"/>
          <w:sz w:val="20"/>
          <w:szCs w:val="20"/>
        </w:rPr>
      </w:pPr>
      <w:r w:rsidRPr="0050546D">
        <w:rPr>
          <w:rFonts w:ascii="Times New Roman" w:hAnsi="Times New Roman" w:cs="Times New Roman"/>
          <w:sz w:val="20"/>
          <w:szCs w:val="20"/>
        </w:rPr>
        <w:t>Set a standardized way to present all key projects in an easy-to-access way (ie. value proposition, budget, expected outcome, benefit, and strategic intent).</w:t>
      </w:r>
    </w:p>
    <w:p w14:paraId="53F3A19E" w14:textId="77777777" w:rsidR="0050546D" w:rsidRPr="0050546D" w:rsidRDefault="0050546D" w:rsidP="0050546D">
      <w:pPr>
        <w:pStyle w:val="ListParagraph"/>
        <w:numPr>
          <w:ilvl w:val="0"/>
          <w:numId w:val="7"/>
        </w:numPr>
        <w:spacing w:line="240" w:lineRule="atLeast"/>
        <w:ind w:leftChars="400" w:left="1240"/>
        <w:jc w:val="both"/>
        <w:rPr>
          <w:rFonts w:ascii="Times New Roman" w:hAnsi="Times New Roman" w:cs="Times New Roman"/>
          <w:sz w:val="20"/>
          <w:szCs w:val="20"/>
        </w:rPr>
      </w:pPr>
      <w:r w:rsidRPr="0050546D">
        <w:rPr>
          <w:rFonts w:ascii="Times New Roman" w:hAnsi="Times New Roman" w:cs="Times New Roman"/>
          <w:sz w:val="20"/>
          <w:szCs w:val="20"/>
        </w:rPr>
        <w:t>Add testimonials from donors on the website (IPP).</w:t>
      </w:r>
    </w:p>
    <w:p w14:paraId="448C04FD" w14:textId="77777777" w:rsidR="0050546D" w:rsidRPr="0050546D" w:rsidRDefault="0050546D" w:rsidP="0050546D">
      <w:pPr>
        <w:pStyle w:val="ListParagraph"/>
        <w:numPr>
          <w:ilvl w:val="0"/>
          <w:numId w:val="7"/>
        </w:numPr>
        <w:spacing w:line="240" w:lineRule="atLeast"/>
        <w:ind w:leftChars="400" w:left="1240"/>
        <w:jc w:val="both"/>
        <w:rPr>
          <w:rFonts w:ascii="Times New Roman" w:hAnsi="Times New Roman" w:cs="Times New Roman"/>
          <w:sz w:val="20"/>
          <w:szCs w:val="20"/>
        </w:rPr>
      </w:pPr>
      <w:r w:rsidRPr="0050546D">
        <w:rPr>
          <w:rFonts w:ascii="Times New Roman" w:hAnsi="Times New Roman" w:cs="Times New Roman"/>
          <w:sz w:val="20"/>
          <w:szCs w:val="20"/>
        </w:rPr>
        <w:t>List all the events where it would be relevant to present the projects and raise funds.</w:t>
      </w:r>
    </w:p>
    <w:p w14:paraId="4AA8288A" w14:textId="77777777" w:rsidR="0050546D" w:rsidRPr="0050546D" w:rsidRDefault="0050546D" w:rsidP="0050546D">
      <w:pPr>
        <w:pStyle w:val="ListParagraph"/>
        <w:numPr>
          <w:ilvl w:val="0"/>
          <w:numId w:val="7"/>
        </w:numPr>
        <w:spacing w:line="240" w:lineRule="atLeast"/>
        <w:ind w:leftChars="400" w:left="1240"/>
        <w:jc w:val="both"/>
        <w:rPr>
          <w:rFonts w:ascii="Times New Roman" w:hAnsi="Times New Roman" w:cs="Times New Roman"/>
          <w:sz w:val="20"/>
          <w:szCs w:val="20"/>
        </w:rPr>
      </w:pPr>
      <w:r w:rsidRPr="0050546D">
        <w:rPr>
          <w:rFonts w:ascii="Times New Roman" w:hAnsi="Times New Roman" w:cs="Times New Roman"/>
          <w:sz w:val="20"/>
          <w:szCs w:val="20"/>
        </w:rPr>
        <w:t>List the themes most appreciated and by which donors.</w:t>
      </w:r>
    </w:p>
    <w:p w14:paraId="30280CAD" w14:textId="77777777" w:rsidR="0050546D" w:rsidRPr="0050546D" w:rsidRDefault="0050546D" w:rsidP="0050546D">
      <w:pPr>
        <w:pStyle w:val="ListParagraph"/>
        <w:numPr>
          <w:ilvl w:val="0"/>
          <w:numId w:val="7"/>
        </w:numPr>
        <w:spacing w:line="240" w:lineRule="atLeast"/>
        <w:ind w:leftChars="400" w:left="1240"/>
        <w:jc w:val="both"/>
        <w:rPr>
          <w:rFonts w:ascii="Times New Roman" w:hAnsi="Times New Roman" w:cs="Times New Roman"/>
          <w:sz w:val="20"/>
          <w:szCs w:val="20"/>
        </w:rPr>
      </w:pPr>
      <w:r w:rsidRPr="0050546D">
        <w:rPr>
          <w:rFonts w:ascii="Times New Roman" w:hAnsi="Times New Roman" w:cs="Times New Roman"/>
          <w:sz w:val="20"/>
          <w:szCs w:val="20"/>
        </w:rPr>
        <w:t>Organize REX (ie. Return on experience) with donors associated with one project.</w:t>
      </w:r>
    </w:p>
    <w:p w14:paraId="0B7B1AD3" w14:textId="77777777" w:rsidR="0050546D" w:rsidRPr="0050546D" w:rsidRDefault="0050546D" w:rsidP="002911E2">
      <w:pPr>
        <w:spacing w:after="0"/>
        <w:rPr>
          <w:rFonts w:cs="Times New Roman"/>
          <w:sz w:val="20"/>
          <w:szCs w:val="20"/>
        </w:rPr>
      </w:pPr>
    </w:p>
    <w:p w14:paraId="0CC0B931" w14:textId="77777777" w:rsidR="0050546D" w:rsidRPr="0050546D" w:rsidRDefault="0050546D" w:rsidP="0050546D">
      <w:pPr>
        <w:pStyle w:val="ListParagraph"/>
        <w:numPr>
          <w:ilvl w:val="0"/>
          <w:numId w:val="10"/>
        </w:numPr>
        <w:spacing w:line="240" w:lineRule="atLeast"/>
        <w:ind w:leftChars="400" w:left="1240"/>
        <w:jc w:val="both"/>
        <w:rPr>
          <w:rFonts w:ascii="Times New Roman" w:hAnsi="Times New Roman" w:cs="Times New Roman"/>
          <w:b/>
          <w:bCs/>
          <w:sz w:val="20"/>
          <w:szCs w:val="20"/>
        </w:rPr>
      </w:pPr>
      <w:r w:rsidRPr="0050546D">
        <w:rPr>
          <w:rFonts w:ascii="Times New Roman" w:hAnsi="Times New Roman" w:cs="Times New Roman"/>
          <w:b/>
          <w:bCs/>
          <w:sz w:val="20"/>
          <w:szCs w:val="20"/>
        </w:rPr>
        <w:t xml:space="preserve">Monitoring of the Strategic Framework </w:t>
      </w:r>
    </w:p>
    <w:p w14:paraId="588D4A8A" w14:textId="77777777" w:rsidR="0050546D" w:rsidRPr="0050546D" w:rsidRDefault="0050546D" w:rsidP="0050546D">
      <w:pPr>
        <w:pStyle w:val="IPPParagraphnumbering"/>
        <w:numPr>
          <w:ilvl w:val="0"/>
          <w:numId w:val="0"/>
        </w:numPr>
        <w:rPr>
          <w:sz w:val="20"/>
          <w:szCs w:val="20"/>
        </w:rPr>
      </w:pPr>
      <w:r w:rsidRPr="0050546D">
        <w:rPr>
          <w:sz w:val="20"/>
          <w:szCs w:val="20"/>
        </w:rPr>
        <w:t xml:space="preserve">An analysis was conducted to define the indicators that would contribute to monitoring the implementation of the objectives of the IPPC Strategic Framework (2020-2030). However, defining the indicators was difficult because the "activities" defined in the strategy are quite general and do not allow for defining SMART indicators at this level. However, relying on the Implementation plan for the Development Agenda of the Strategic Framework was recommended. </w:t>
      </w:r>
    </w:p>
    <w:p w14:paraId="3F7183BF" w14:textId="77777777" w:rsidR="0050546D" w:rsidRPr="0050546D" w:rsidRDefault="0050546D" w:rsidP="0050546D">
      <w:pPr>
        <w:pStyle w:val="IPPParagraphnumbering"/>
        <w:numPr>
          <w:ilvl w:val="0"/>
          <w:numId w:val="0"/>
        </w:numPr>
        <w:rPr>
          <w:sz w:val="20"/>
          <w:szCs w:val="20"/>
        </w:rPr>
      </w:pPr>
      <w:r w:rsidRPr="0050546D">
        <w:rPr>
          <w:sz w:val="20"/>
          <w:szCs w:val="20"/>
        </w:rPr>
        <w:t>Another constraint is the disparate level of implementation of the activities of the eight Development Agendas.</w:t>
      </w:r>
    </w:p>
    <w:p w14:paraId="00D81AA5" w14:textId="77777777" w:rsidR="0050546D" w:rsidRPr="0050546D" w:rsidRDefault="0050546D" w:rsidP="0050546D">
      <w:pPr>
        <w:pStyle w:val="IPPParagraphnumbering"/>
        <w:numPr>
          <w:ilvl w:val="0"/>
          <w:numId w:val="0"/>
        </w:numPr>
        <w:rPr>
          <w:sz w:val="20"/>
          <w:szCs w:val="20"/>
        </w:rPr>
      </w:pPr>
      <w:r w:rsidRPr="0050546D">
        <w:rPr>
          <w:sz w:val="20"/>
          <w:szCs w:val="20"/>
        </w:rPr>
        <w:t>It is preferable to have a common indicator canvas to facilitate the monitoring of indicators and to have a similar structure. These elements apply to the three levels: strategic, program and activity. ​</w:t>
      </w:r>
    </w:p>
    <w:p w14:paraId="7D82E0C3" w14:textId="77777777" w:rsidR="0050546D" w:rsidRPr="0050546D" w:rsidRDefault="0050546D" w:rsidP="0050546D">
      <w:pPr>
        <w:pStyle w:val="IPPParagraphnumbering"/>
        <w:numPr>
          <w:ilvl w:val="0"/>
          <w:numId w:val="0"/>
        </w:numPr>
        <w:rPr>
          <w:sz w:val="20"/>
          <w:szCs w:val="20"/>
        </w:rPr>
      </w:pPr>
      <w:r w:rsidRPr="0050546D">
        <w:rPr>
          <w:sz w:val="20"/>
          <w:szCs w:val="20"/>
        </w:rPr>
        <w:t>The canvas will be filled in by the Lead of each development agenda in collaboration with the stakeholders involved (NPPOs, RPPOs, Research institutes, international organizations…).</w:t>
      </w:r>
    </w:p>
    <w:p w14:paraId="20F59B38" w14:textId="77777777" w:rsidR="0050546D" w:rsidRPr="0050546D" w:rsidRDefault="0050546D" w:rsidP="0050546D">
      <w:pPr>
        <w:pStyle w:val="IPPParagraphnumbering"/>
        <w:numPr>
          <w:ilvl w:val="0"/>
          <w:numId w:val="0"/>
        </w:numPr>
        <w:rPr>
          <w:sz w:val="20"/>
          <w:szCs w:val="20"/>
        </w:rPr>
      </w:pPr>
      <w:r w:rsidRPr="0050546D">
        <w:rPr>
          <w:sz w:val="20"/>
          <w:szCs w:val="20"/>
        </w:rPr>
        <w:t>In order to facilitate the follow-up by the Leads, a repository could be developed and each referent could report the evolution of his/her indicators according to the moments of retrieval. Each Development Agenda and the associated activities could be visible regarding the “viewing rights” of the software.​</w:t>
      </w:r>
    </w:p>
    <w:p w14:paraId="09507476" w14:textId="77777777" w:rsidR="0050546D" w:rsidRPr="0050546D" w:rsidRDefault="0050546D" w:rsidP="0050546D">
      <w:pPr>
        <w:pStyle w:val="IPPParagraphnumbering"/>
        <w:numPr>
          <w:ilvl w:val="0"/>
          <w:numId w:val="0"/>
        </w:numPr>
        <w:rPr>
          <w:sz w:val="20"/>
          <w:szCs w:val="20"/>
        </w:rPr>
      </w:pPr>
      <w:r w:rsidRPr="0050546D">
        <w:rPr>
          <w:sz w:val="20"/>
          <w:szCs w:val="20"/>
        </w:rPr>
        <w:t xml:space="preserve">This monitoring mechanism will require close collaboration between the CPM Focus Group on Strategic Framework and the IPPC Observatory. </w:t>
      </w:r>
    </w:p>
    <w:p w14:paraId="6E90806C" w14:textId="77777777" w:rsidR="0050546D" w:rsidRPr="0050546D" w:rsidRDefault="0050546D" w:rsidP="0050546D">
      <w:pPr>
        <w:pStyle w:val="ListParagraph"/>
        <w:numPr>
          <w:ilvl w:val="0"/>
          <w:numId w:val="10"/>
        </w:numPr>
        <w:spacing w:line="240" w:lineRule="atLeast"/>
        <w:ind w:leftChars="400" w:left="1240"/>
        <w:jc w:val="both"/>
        <w:rPr>
          <w:rFonts w:ascii="Times New Roman" w:hAnsi="Times New Roman" w:cs="Times New Roman"/>
          <w:b/>
          <w:bCs/>
          <w:sz w:val="20"/>
          <w:szCs w:val="20"/>
        </w:rPr>
      </w:pPr>
      <w:r w:rsidRPr="0050546D">
        <w:rPr>
          <w:rFonts w:ascii="Times New Roman" w:hAnsi="Times New Roman" w:cs="Times New Roman"/>
          <w:b/>
          <w:bCs/>
          <w:sz w:val="20"/>
          <w:szCs w:val="20"/>
        </w:rPr>
        <w:t>Work plan</w:t>
      </w:r>
    </w:p>
    <w:p w14:paraId="389B99DC" w14:textId="77777777" w:rsidR="0050546D" w:rsidRPr="0050546D" w:rsidRDefault="0050546D" w:rsidP="0050546D">
      <w:pPr>
        <w:pStyle w:val="IPPParagraphnumbering"/>
        <w:numPr>
          <w:ilvl w:val="0"/>
          <w:numId w:val="0"/>
        </w:numPr>
        <w:rPr>
          <w:sz w:val="20"/>
          <w:szCs w:val="20"/>
        </w:rPr>
      </w:pPr>
      <w:r w:rsidRPr="0050546D">
        <w:rPr>
          <w:sz w:val="20"/>
          <w:szCs w:val="20"/>
        </w:rPr>
        <w:t>The IPPC Observatory would have a three-year work plan and a three-year communication plan approved by the IC and updated annually as necessary. The work plan will include the update and promotion of the phytosanitary component pages.</w:t>
      </w:r>
    </w:p>
    <w:p w14:paraId="446A52AE" w14:textId="77777777" w:rsidR="0050546D" w:rsidRPr="0050546D" w:rsidRDefault="0050546D" w:rsidP="0050546D">
      <w:pPr>
        <w:pStyle w:val="ListParagraph"/>
        <w:numPr>
          <w:ilvl w:val="0"/>
          <w:numId w:val="10"/>
        </w:numPr>
        <w:spacing w:line="240" w:lineRule="atLeast"/>
        <w:ind w:leftChars="400" w:left="1240"/>
        <w:jc w:val="both"/>
        <w:rPr>
          <w:rFonts w:ascii="Times New Roman" w:hAnsi="Times New Roman" w:cs="Times New Roman"/>
          <w:b/>
          <w:bCs/>
          <w:sz w:val="20"/>
          <w:szCs w:val="20"/>
        </w:rPr>
      </w:pPr>
      <w:r w:rsidRPr="0050546D">
        <w:rPr>
          <w:rFonts w:ascii="Times New Roman" w:hAnsi="Times New Roman" w:cs="Times New Roman"/>
          <w:b/>
          <w:bCs/>
          <w:sz w:val="20"/>
          <w:szCs w:val="20"/>
        </w:rPr>
        <w:t>Reporting</w:t>
      </w:r>
    </w:p>
    <w:p w14:paraId="3DF2BB2C" w14:textId="77777777" w:rsidR="0050546D" w:rsidRPr="0050546D" w:rsidRDefault="0050546D" w:rsidP="0050546D">
      <w:pPr>
        <w:pStyle w:val="IPPParagraphnumbering"/>
        <w:numPr>
          <w:ilvl w:val="0"/>
          <w:numId w:val="0"/>
        </w:numPr>
        <w:rPr>
          <w:sz w:val="20"/>
          <w:szCs w:val="20"/>
        </w:rPr>
      </w:pPr>
      <w:r w:rsidRPr="0050546D">
        <w:rPr>
          <w:sz w:val="20"/>
          <w:szCs w:val="20"/>
        </w:rPr>
        <w:t>The IPPC Observatory will present each year to the CPM a report of activities that highlights:</w:t>
      </w:r>
    </w:p>
    <w:p w14:paraId="24035849" w14:textId="77777777" w:rsidR="0050546D" w:rsidRPr="0050546D" w:rsidRDefault="0050546D" w:rsidP="0050546D">
      <w:pPr>
        <w:pStyle w:val="ListParagraph"/>
        <w:numPr>
          <w:ilvl w:val="0"/>
          <w:numId w:val="12"/>
        </w:numPr>
        <w:spacing w:line="240" w:lineRule="atLeast"/>
        <w:ind w:leftChars="400" w:left="1240"/>
        <w:jc w:val="both"/>
        <w:rPr>
          <w:rFonts w:ascii="Times New Roman" w:hAnsi="Times New Roman" w:cs="Times New Roman"/>
          <w:sz w:val="20"/>
          <w:szCs w:val="20"/>
          <w:lang w:val="en-GB"/>
        </w:rPr>
      </w:pPr>
      <w:r w:rsidRPr="0050546D">
        <w:rPr>
          <w:rFonts w:ascii="Times New Roman" w:hAnsi="Times New Roman" w:cs="Times New Roman"/>
          <w:sz w:val="20"/>
          <w:szCs w:val="20"/>
          <w:lang w:val="en-GB"/>
        </w:rPr>
        <w:t xml:space="preserve">challenges and gaps identified, </w:t>
      </w:r>
    </w:p>
    <w:p w14:paraId="2F5E9F12" w14:textId="77777777" w:rsidR="0050546D" w:rsidRPr="0050546D" w:rsidRDefault="0050546D" w:rsidP="0050546D">
      <w:pPr>
        <w:pStyle w:val="ListParagraph"/>
        <w:numPr>
          <w:ilvl w:val="0"/>
          <w:numId w:val="12"/>
        </w:numPr>
        <w:spacing w:line="240" w:lineRule="atLeast"/>
        <w:ind w:leftChars="400" w:left="1240"/>
        <w:jc w:val="both"/>
        <w:rPr>
          <w:rFonts w:ascii="Times New Roman" w:hAnsi="Times New Roman" w:cs="Times New Roman"/>
          <w:sz w:val="20"/>
          <w:szCs w:val="20"/>
          <w:lang w:val="en-GB"/>
        </w:rPr>
      </w:pPr>
      <w:r w:rsidRPr="0050546D">
        <w:rPr>
          <w:rFonts w:ascii="Times New Roman" w:hAnsi="Times New Roman" w:cs="Times New Roman"/>
          <w:sz w:val="20"/>
          <w:szCs w:val="20"/>
          <w:lang w:val="en-GB"/>
        </w:rPr>
        <w:t xml:space="preserve">recommendation to address or mitigate them, </w:t>
      </w:r>
    </w:p>
    <w:p w14:paraId="5C093201" w14:textId="77777777" w:rsidR="0050546D" w:rsidRPr="002911E2" w:rsidRDefault="0050546D" w:rsidP="0050546D">
      <w:pPr>
        <w:pStyle w:val="ListParagraph"/>
        <w:numPr>
          <w:ilvl w:val="0"/>
          <w:numId w:val="12"/>
        </w:numPr>
        <w:spacing w:line="240" w:lineRule="atLeast"/>
        <w:ind w:leftChars="400" w:left="1240"/>
        <w:jc w:val="both"/>
        <w:rPr>
          <w:rFonts w:ascii="Times New Roman" w:hAnsi="Times New Roman" w:cs="Times New Roman"/>
          <w:sz w:val="20"/>
          <w:szCs w:val="20"/>
          <w:lang w:val="en-GB"/>
        </w:rPr>
      </w:pPr>
      <w:r w:rsidRPr="002911E2">
        <w:rPr>
          <w:rFonts w:ascii="Times New Roman" w:hAnsi="Times New Roman" w:cs="Times New Roman"/>
          <w:sz w:val="20"/>
          <w:szCs w:val="20"/>
          <w:lang w:val="en-GB"/>
        </w:rPr>
        <w:t xml:space="preserve">lessons learned from the surveys, </w:t>
      </w:r>
    </w:p>
    <w:p w14:paraId="67D0409B" w14:textId="77777777" w:rsidR="0050546D" w:rsidRPr="002911E2" w:rsidRDefault="0050546D" w:rsidP="0050546D">
      <w:pPr>
        <w:pStyle w:val="ListParagraph"/>
        <w:numPr>
          <w:ilvl w:val="0"/>
          <w:numId w:val="12"/>
        </w:numPr>
        <w:spacing w:line="240" w:lineRule="atLeast"/>
        <w:ind w:leftChars="400" w:left="1240"/>
        <w:jc w:val="both"/>
        <w:rPr>
          <w:rFonts w:ascii="Times New Roman" w:hAnsi="Times New Roman" w:cs="Times New Roman"/>
          <w:sz w:val="20"/>
          <w:szCs w:val="20"/>
          <w:lang w:val="en-GB"/>
        </w:rPr>
      </w:pPr>
      <w:r w:rsidRPr="002911E2">
        <w:rPr>
          <w:rFonts w:ascii="Times New Roman" w:hAnsi="Times New Roman" w:cs="Times New Roman"/>
          <w:sz w:val="20"/>
          <w:szCs w:val="20"/>
          <w:lang w:val="en-GB"/>
        </w:rPr>
        <w:t xml:space="preserve">priority topics for future studies, </w:t>
      </w:r>
    </w:p>
    <w:p w14:paraId="3B4B57E5" w14:textId="77777777" w:rsidR="0050546D" w:rsidRPr="002911E2" w:rsidRDefault="0050546D" w:rsidP="0050546D">
      <w:pPr>
        <w:pStyle w:val="ListParagraph"/>
        <w:numPr>
          <w:ilvl w:val="0"/>
          <w:numId w:val="12"/>
        </w:numPr>
        <w:spacing w:line="240" w:lineRule="atLeast"/>
        <w:ind w:leftChars="400" w:left="1240"/>
        <w:jc w:val="both"/>
        <w:rPr>
          <w:rFonts w:ascii="Times New Roman" w:hAnsi="Times New Roman" w:cs="Times New Roman"/>
          <w:sz w:val="20"/>
          <w:szCs w:val="20"/>
          <w:lang w:val="en-GB"/>
        </w:rPr>
      </w:pPr>
      <w:r w:rsidRPr="002911E2">
        <w:rPr>
          <w:rFonts w:ascii="Times New Roman" w:hAnsi="Times New Roman" w:cs="Times New Roman"/>
          <w:sz w:val="20"/>
          <w:szCs w:val="20"/>
          <w:lang w:val="en-GB"/>
        </w:rPr>
        <w:t xml:space="preserve">planning of the upcoming surveys, </w:t>
      </w:r>
    </w:p>
    <w:p w14:paraId="5477C102" w14:textId="77777777" w:rsidR="0050546D" w:rsidRPr="002911E2" w:rsidRDefault="0050546D" w:rsidP="0050546D">
      <w:pPr>
        <w:pStyle w:val="ListParagraph"/>
        <w:numPr>
          <w:ilvl w:val="0"/>
          <w:numId w:val="12"/>
        </w:numPr>
        <w:spacing w:line="240" w:lineRule="atLeast"/>
        <w:ind w:leftChars="400" w:left="1240"/>
        <w:jc w:val="both"/>
        <w:rPr>
          <w:rFonts w:ascii="Times New Roman" w:hAnsi="Times New Roman" w:cs="Times New Roman"/>
          <w:sz w:val="20"/>
          <w:szCs w:val="20"/>
          <w:lang w:val="en-GB"/>
        </w:rPr>
      </w:pPr>
      <w:r w:rsidRPr="002911E2">
        <w:rPr>
          <w:rFonts w:ascii="Times New Roman" w:hAnsi="Times New Roman" w:cs="Times New Roman"/>
          <w:sz w:val="20"/>
          <w:szCs w:val="20"/>
          <w:lang w:val="en-GB"/>
        </w:rPr>
        <w:t>publications as well as aspects of communication of the results with the contracting parties.</w:t>
      </w:r>
    </w:p>
    <w:p w14:paraId="11345B3F" w14:textId="77777777" w:rsidR="0050546D" w:rsidRPr="002911E2" w:rsidRDefault="0050546D" w:rsidP="0050546D">
      <w:pPr>
        <w:pStyle w:val="ListParagraph"/>
        <w:ind w:left="880"/>
        <w:rPr>
          <w:rFonts w:ascii="Times New Roman" w:hAnsi="Times New Roman" w:cs="Times New Roman"/>
          <w:sz w:val="20"/>
          <w:szCs w:val="20"/>
        </w:rPr>
      </w:pPr>
    </w:p>
    <w:p w14:paraId="209D3A7C" w14:textId="77777777" w:rsidR="0050546D" w:rsidRPr="002911E2" w:rsidRDefault="0050546D" w:rsidP="0050546D">
      <w:pPr>
        <w:pStyle w:val="ListParagraph"/>
        <w:numPr>
          <w:ilvl w:val="0"/>
          <w:numId w:val="10"/>
        </w:numPr>
        <w:spacing w:line="240" w:lineRule="atLeast"/>
        <w:ind w:leftChars="400" w:left="1240"/>
        <w:jc w:val="both"/>
        <w:rPr>
          <w:rFonts w:ascii="Times New Roman" w:hAnsi="Times New Roman" w:cs="Times New Roman"/>
          <w:b/>
          <w:bCs/>
          <w:sz w:val="20"/>
          <w:szCs w:val="20"/>
        </w:rPr>
      </w:pPr>
      <w:r w:rsidRPr="002911E2">
        <w:rPr>
          <w:rFonts w:ascii="Times New Roman" w:hAnsi="Times New Roman" w:cs="Times New Roman"/>
          <w:b/>
          <w:bCs/>
          <w:sz w:val="20"/>
          <w:szCs w:val="20"/>
        </w:rPr>
        <w:t>Communication</w:t>
      </w:r>
    </w:p>
    <w:p w14:paraId="4AD95C2C" w14:textId="5E1D6214" w:rsidR="0050546D" w:rsidRPr="002911E2" w:rsidRDefault="0050546D" w:rsidP="0050546D">
      <w:pPr>
        <w:rPr>
          <w:rFonts w:ascii="Times New Roman" w:hAnsi="Times New Roman" w:cs="Times New Roman"/>
          <w:sz w:val="20"/>
          <w:szCs w:val="20"/>
        </w:rPr>
      </w:pPr>
      <w:r w:rsidRPr="002911E2">
        <w:rPr>
          <w:rFonts w:ascii="Times New Roman" w:hAnsi="Times New Roman" w:cs="Times New Roman"/>
          <w:sz w:val="20"/>
          <w:szCs w:val="20"/>
        </w:rPr>
        <w:t>Communication is one of the key areas in which the IPPC Observatory will experience a significant improvement. A communication strategy has been developed based on interview results to reinforce the impact of the Observatory’s activities. Targeted communication will be organized around studies, calls for Observatory topics, surveys and publications to make the activities of the Observatory better known</w:t>
      </w:r>
    </w:p>
    <w:p w14:paraId="35977C5E" w14:textId="5F5F298C" w:rsidR="0050546D" w:rsidRPr="005A1127" w:rsidRDefault="0050546D" w:rsidP="0050546D">
      <w:pPr>
        <w:pStyle w:val="IPPParagraphnumbering"/>
        <w:numPr>
          <w:ilvl w:val="0"/>
          <w:numId w:val="0"/>
        </w:numPr>
      </w:pPr>
    </w:p>
    <w:sectPr w:rsidR="0050546D" w:rsidRPr="005A1127" w:rsidSect="00101BC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4E92E0C" w16cex:dateUtc="2022-09-15T12:01:31.597Z"/>
  <w16cex:commentExtensible w16cex:durableId="05C0DF19" w16cex:dateUtc="2022-09-16T06:48:18.102Z"/>
  <w16cex:commentExtensible w16cex:durableId="336CEAB8" w16cex:dateUtc="2022-09-16T06:50:37.428Z"/>
  <w16cex:commentExtensible w16cex:durableId="7222F199" w16cex:dateUtc="2022-09-16T06:52:15.884Z"/>
  <w16cex:commentExtensible w16cex:durableId="64D6AAFE" w16cex:dateUtc="2022-09-16T06:54:09.629Z"/>
  <w16cex:commentExtensible w16cex:durableId="4B203CC4" w16cex:dateUtc="2022-09-16T06:57:23Z"/>
  <w16cex:commentExtensible w16cex:durableId="0496D30B" w16cex:dateUtc="2022-09-16T06:58:06.589Z"/>
  <w16cex:commentExtensible w16cex:durableId="1AD3E49C" w16cex:dateUtc="2022-09-16T08:00:27.241Z"/>
  <w16cex:commentExtensible w16cex:durableId="25AC6CF1" w16cex:dateUtc="2022-09-16T08:00:47.48Z"/>
  <w16cex:commentExtensible w16cex:durableId="1C0F335B" w16cex:dateUtc="2022-09-16T08:01:02.756Z"/>
</w16cex:commentsExtensible>
</file>

<file path=word/commentsIds.xml><?xml version="1.0" encoding="utf-8"?>
<w16cid:commentsIds xmlns:mc="http://schemas.openxmlformats.org/markup-compatibility/2006" xmlns:w16cid="http://schemas.microsoft.com/office/word/2016/wordml/cid" mc:Ignorable="w16cid">
  <w16cid:commentId w16cid:paraId="59798CEA" w16cid:durableId="04E92E0C"/>
  <w16cid:commentId w16cid:paraId="728C748A" w16cid:durableId="05C0DF19"/>
  <w16cid:commentId w16cid:paraId="2EB9B41F" w16cid:durableId="336CEAB8"/>
  <w16cid:commentId w16cid:paraId="1DDCDDF9" w16cid:durableId="7222F199"/>
  <w16cid:commentId w16cid:paraId="1F82C45A" w16cid:durableId="64D6AAFE"/>
  <w16cid:commentId w16cid:paraId="41017A1A" w16cid:durableId="4B203CC4"/>
  <w16cid:commentId w16cid:paraId="709F1F23" w16cid:durableId="0496D30B"/>
  <w16cid:commentId w16cid:paraId="3464537C" w16cid:durableId="1AD3E49C"/>
  <w16cid:commentId w16cid:paraId="18580D69" w16cid:durableId="25AC6CF1"/>
  <w16cid:commentId w16cid:paraId="5BC7E6B7" w16cid:durableId="1C0F33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6521E" w14:textId="77777777" w:rsidR="00925E7C" w:rsidRDefault="00925E7C" w:rsidP="001D5341">
      <w:pPr>
        <w:spacing w:after="0" w:line="240" w:lineRule="auto"/>
      </w:pPr>
      <w:r>
        <w:separator/>
      </w:r>
    </w:p>
  </w:endnote>
  <w:endnote w:type="continuationSeparator" w:id="0">
    <w:p w14:paraId="4DEE8CC2" w14:textId="77777777" w:rsidR="00925E7C" w:rsidRDefault="00925E7C" w:rsidP="001D5341">
      <w:pPr>
        <w:spacing w:after="0" w:line="240" w:lineRule="auto"/>
      </w:pPr>
      <w:r>
        <w:continuationSeparator/>
      </w:r>
    </w:p>
  </w:endnote>
  <w:endnote w:type="continuationNotice" w:id="1">
    <w:p w14:paraId="7731187F" w14:textId="77777777" w:rsidR="00925E7C" w:rsidRDefault="00925E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EBB14" w14:textId="43921CA9" w:rsidR="00E878AB" w:rsidRDefault="00E878AB" w:rsidP="00E878AB">
    <w:pPr>
      <w:pStyle w:val="IPPFooter"/>
      <w:tabs>
        <w:tab w:val="clear" w:pos="9072"/>
        <w:tab w:val="right" w:pos="9270"/>
      </w:tabs>
      <w:jc w:val="both"/>
    </w:pPr>
    <w:r w:rsidRPr="00BA1CDB">
      <w:t xml:space="preserve">Page </w:t>
    </w:r>
    <w:r w:rsidRPr="00BA1CDB">
      <w:rPr>
        <w:noProof/>
        <w:color w:val="2B579A"/>
        <w:shd w:val="clear" w:color="auto" w:fill="E6E6E6"/>
      </w:rPr>
      <w:fldChar w:fldCharType="begin"/>
    </w:r>
    <w:r w:rsidRPr="00BA1CDB">
      <w:rPr>
        <w:noProof/>
      </w:rPr>
      <w:instrText xml:space="preserve"> PAGE </w:instrText>
    </w:r>
    <w:r w:rsidRPr="00BA1CDB">
      <w:rPr>
        <w:noProof/>
        <w:color w:val="2B579A"/>
        <w:shd w:val="clear" w:color="auto" w:fill="E6E6E6"/>
      </w:rPr>
      <w:fldChar w:fldCharType="separate"/>
    </w:r>
    <w:r w:rsidR="00370B38">
      <w:rPr>
        <w:noProof/>
      </w:rPr>
      <w:t>4</w:t>
    </w:r>
    <w:r w:rsidRPr="00BA1CDB">
      <w:rPr>
        <w:noProof/>
        <w:color w:val="2B579A"/>
        <w:shd w:val="clear" w:color="auto" w:fill="E6E6E6"/>
      </w:rPr>
      <w:fldChar w:fldCharType="end"/>
    </w:r>
    <w:r w:rsidRPr="00BA1CDB">
      <w:t xml:space="preserve"> of </w:t>
    </w:r>
    <w:r w:rsidRPr="00BA1CDB">
      <w:rPr>
        <w:noProof/>
        <w:color w:val="2B579A"/>
        <w:shd w:val="clear" w:color="auto" w:fill="E6E6E6"/>
      </w:rPr>
      <w:fldChar w:fldCharType="begin"/>
    </w:r>
    <w:r w:rsidRPr="00BA1CDB">
      <w:rPr>
        <w:noProof/>
      </w:rPr>
      <w:instrText xml:space="preserve"> NUMPAGES  </w:instrText>
    </w:r>
    <w:r w:rsidRPr="00BA1CDB">
      <w:rPr>
        <w:noProof/>
        <w:color w:val="2B579A"/>
        <w:shd w:val="clear" w:color="auto" w:fill="E6E6E6"/>
      </w:rPr>
      <w:fldChar w:fldCharType="separate"/>
    </w:r>
    <w:r w:rsidR="00370B38">
      <w:rPr>
        <w:noProof/>
      </w:rPr>
      <w:t>5</w:t>
    </w:r>
    <w:r w:rsidRPr="00BA1CDB">
      <w:rPr>
        <w:noProof/>
        <w:color w:val="2B579A"/>
        <w:shd w:val="clear" w:color="auto" w:fill="E6E6E6"/>
      </w:rPr>
      <w:fldChar w:fldCharType="end"/>
    </w:r>
    <w:r>
      <w:tab/>
    </w:r>
    <w:r w:rsidRPr="00BA1CDB">
      <w:t>International Plant Protection Convention</w:t>
    </w:r>
    <w:r>
      <w:t xml:space="preserve"> </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4C836" w14:textId="31B02CFA" w:rsidR="001D5341" w:rsidRDefault="001D5341" w:rsidP="001D5341">
    <w:pPr>
      <w:pStyle w:val="IPPFooter"/>
      <w:jc w:val="both"/>
    </w:pPr>
    <w:r w:rsidRPr="00BA1CDB">
      <w:t>International Plant Protection Convention</w:t>
    </w:r>
    <w:r>
      <w:t xml:space="preserve"> </w:t>
    </w:r>
    <w:r>
      <w:tab/>
    </w:r>
    <w:r w:rsidRPr="00BA1CDB">
      <w:t xml:space="preserve">Page </w:t>
    </w:r>
    <w:r w:rsidRPr="00BA1CDB">
      <w:rPr>
        <w:noProof/>
        <w:color w:val="2B579A"/>
        <w:shd w:val="clear" w:color="auto" w:fill="E6E6E6"/>
      </w:rPr>
      <w:fldChar w:fldCharType="begin"/>
    </w:r>
    <w:r w:rsidRPr="00BA1CDB">
      <w:rPr>
        <w:noProof/>
      </w:rPr>
      <w:instrText xml:space="preserve"> PAGE </w:instrText>
    </w:r>
    <w:r w:rsidRPr="00BA1CDB">
      <w:rPr>
        <w:noProof/>
        <w:color w:val="2B579A"/>
        <w:shd w:val="clear" w:color="auto" w:fill="E6E6E6"/>
      </w:rPr>
      <w:fldChar w:fldCharType="separate"/>
    </w:r>
    <w:r w:rsidR="00370B38">
      <w:rPr>
        <w:noProof/>
      </w:rPr>
      <w:t>3</w:t>
    </w:r>
    <w:r w:rsidRPr="00BA1CDB">
      <w:rPr>
        <w:noProof/>
        <w:color w:val="2B579A"/>
        <w:shd w:val="clear" w:color="auto" w:fill="E6E6E6"/>
      </w:rPr>
      <w:fldChar w:fldCharType="end"/>
    </w:r>
    <w:r w:rsidRPr="00BA1CDB">
      <w:t xml:space="preserve"> of </w:t>
    </w:r>
    <w:r w:rsidRPr="00BA1CDB">
      <w:rPr>
        <w:noProof/>
        <w:color w:val="2B579A"/>
        <w:shd w:val="clear" w:color="auto" w:fill="E6E6E6"/>
      </w:rPr>
      <w:fldChar w:fldCharType="begin"/>
    </w:r>
    <w:r w:rsidRPr="00BA1CDB">
      <w:rPr>
        <w:noProof/>
      </w:rPr>
      <w:instrText xml:space="preserve"> NUMPAGES  </w:instrText>
    </w:r>
    <w:r w:rsidRPr="00BA1CDB">
      <w:rPr>
        <w:noProof/>
        <w:color w:val="2B579A"/>
        <w:shd w:val="clear" w:color="auto" w:fill="E6E6E6"/>
      </w:rPr>
      <w:fldChar w:fldCharType="separate"/>
    </w:r>
    <w:r w:rsidR="00370B38">
      <w:rPr>
        <w:noProof/>
      </w:rPr>
      <w:t>5</w:t>
    </w:r>
    <w:r w:rsidRPr="00BA1CDB">
      <w:rPr>
        <w:noProof/>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03C56" w14:textId="17B4775E" w:rsidR="001D5341" w:rsidRDefault="001D5341" w:rsidP="001D5341">
    <w:pPr>
      <w:pStyle w:val="IPPFooter"/>
      <w:jc w:val="both"/>
    </w:pPr>
    <w:r w:rsidRPr="00BA1CDB">
      <w:t>International Plant Protection Convention</w:t>
    </w:r>
    <w:r>
      <w:t xml:space="preserve"> </w:t>
    </w:r>
    <w:r>
      <w:tab/>
    </w:r>
    <w:r w:rsidRPr="00BA1CDB">
      <w:t xml:space="preserve">Page </w:t>
    </w:r>
    <w:r w:rsidRPr="00BA1CDB">
      <w:rPr>
        <w:noProof/>
        <w:color w:val="2B579A"/>
        <w:shd w:val="clear" w:color="auto" w:fill="E6E6E6"/>
      </w:rPr>
      <w:fldChar w:fldCharType="begin"/>
    </w:r>
    <w:r w:rsidRPr="00BA1CDB">
      <w:rPr>
        <w:noProof/>
      </w:rPr>
      <w:instrText xml:space="preserve"> PAGE </w:instrText>
    </w:r>
    <w:r w:rsidRPr="00BA1CDB">
      <w:rPr>
        <w:noProof/>
        <w:color w:val="2B579A"/>
        <w:shd w:val="clear" w:color="auto" w:fill="E6E6E6"/>
      </w:rPr>
      <w:fldChar w:fldCharType="separate"/>
    </w:r>
    <w:r w:rsidR="00370B38">
      <w:rPr>
        <w:noProof/>
      </w:rPr>
      <w:t>1</w:t>
    </w:r>
    <w:r w:rsidRPr="00BA1CDB">
      <w:rPr>
        <w:noProof/>
        <w:color w:val="2B579A"/>
        <w:shd w:val="clear" w:color="auto" w:fill="E6E6E6"/>
      </w:rPr>
      <w:fldChar w:fldCharType="end"/>
    </w:r>
    <w:r w:rsidRPr="00BA1CDB">
      <w:t xml:space="preserve"> of </w:t>
    </w:r>
    <w:r w:rsidRPr="00BA1CDB">
      <w:rPr>
        <w:noProof/>
        <w:color w:val="2B579A"/>
        <w:shd w:val="clear" w:color="auto" w:fill="E6E6E6"/>
      </w:rPr>
      <w:fldChar w:fldCharType="begin"/>
    </w:r>
    <w:r w:rsidRPr="00BA1CDB">
      <w:rPr>
        <w:noProof/>
      </w:rPr>
      <w:instrText xml:space="preserve"> NUMPAGES  </w:instrText>
    </w:r>
    <w:r w:rsidRPr="00BA1CDB">
      <w:rPr>
        <w:noProof/>
        <w:color w:val="2B579A"/>
        <w:shd w:val="clear" w:color="auto" w:fill="E6E6E6"/>
      </w:rPr>
      <w:fldChar w:fldCharType="separate"/>
    </w:r>
    <w:r w:rsidR="00370B38">
      <w:rPr>
        <w:noProof/>
      </w:rPr>
      <w:t>5</w:t>
    </w:r>
    <w:r w:rsidRPr="00BA1CDB">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039E1" w14:textId="77777777" w:rsidR="00925E7C" w:rsidRDefault="00925E7C" w:rsidP="001D5341">
      <w:pPr>
        <w:spacing w:after="0" w:line="240" w:lineRule="auto"/>
      </w:pPr>
      <w:r>
        <w:separator/>
      </w:r>
    </w:p>
  </w:footnote>
  <w:footnote w:type="continuationSeparator" w:id="0">
    <w:p w14:paraId="308061E3" w14:textId="77777777" w:rsidR="00925E7C" w:rsidRDefault="00925E7C" w:rsidP="001D5341">
      <w:pPr>
        <w:spacing w:after="0" w:line="240" w:lineRule="auto"/>
      </w:pPr>
      <w:r>
        <w:continuationSeparator/>
      </w:r>
    </w:p>
  </w:footnote>
  <w:footnote w:type="continuationNotice" w:id="1">
    <w:p w14:paraId="2C42A816" w14:textId="77777777" w:rsidR="00925E7C" w:rsidRDefault="00925E7C">
      <w:pPr>
        <w:spacing w:after="0" w:line="240" w:lineRule="auto"/>
      </w:pPr>
    </w:p>
  </w:footnote>
  <w:footnote w:id="2">
    <w:p w14:paraId="7488530F" w14:textId="74ADC22E" w:rsidR="0050546D" w:rsidRDefault="0050546D">
      <w:pPr>
        <w:pStyle w:val="FootnoteText"/>
      </w:pPr>
      <w:r>
        <w:rPr>
          <w:rStyle w:val="FootnoteReference"/>
        </w:rPr>
        <w:footnoteRef/>
      </w:r>
      <w:r>
        <w:t xml:space="preserve"> IC VM07 report: </w:t>
      </w:r>
      <w:hyperlink r:id="rId1" w:history="1">
        <w:r w:rsidRPr="002B200F">
          <w:rPr>
            <w:rStyle w:val="Hyperlink"/>
          </w:rPr>
          <w:t>https://assets.ippc.int/static/media/files/publication/en/2021/02/Report_IC_VM07_2020_Oct_2020-12-11_TcQsYG6.pdf</w:t>
        </w:r>
      </w:hyperlink>
      <w:r>
        <w:t xml:space="preserve"> </w:t>
      </w:r>
    </w:p>
  </w:footnote>
  <w:footnote w:id="3">
    <w:p w14:paraId="7AF5D1E9" w14:textId="5E647788" w:rsidR="0050546D" w:rsidRDefault="0050546D">
      <w:pPr>
        <w:pStyle w:val="FootnoteText"/>
      </w:pPr>
      <w:r>
        <w:rPr>
          <w:rStyle w:val="FootnoteReference"/>
        </w:rPr>
        <w:footnoteRef/>
      </w:r>
      <w:r>
        <w:t xml:space="preserve"> CPM-15 report: </w:t>
      </w:r>
      <w:hyperlink r:id="rId2" w:history="1">
        <w:r w:rsidRPr="002B200F">
          <w:rPr>
            <w:rStyle w:val="Hyperlink"/>
          </w:rPr>
          <w:t>http://assets.ippc.int/static/media/files/publication/en/2021/04/CPM-15_Final_Report_with_ISPMs_Appendices-2021-04-30.pdf</w:t>
        </w:r>
      </w:hyperlink>
      <w:r>
        <w:t xml:space="preserve"> </w:t>
      </w:r>
    </w:p>
  </w:footnote>
  <w:footnote w:id="4">
    <w:p w14:paraId="261D59DC" w14:textId="78358858" w:rsidR="0050546D" w:rsidRDefault="0050546D">
      <w:pPr>
        <w:pStyle w:val="FootnoteText"/>
      </w:pPr>
      <w:r>
        <w:rPr>
          <w:rStyle w:val="FootnoteReference"/>
        </w:rPr>
        <w:footnoteRef/>
      </w:r>
      <w:r>
        <w:t xml:space="preserve"> CPM-16 report: </w:t>
      </w:r>
      <w:hyperlink r:id="rId3" w:history="1">
        <w:r w:rsidRPr="002B200F">
          <w:rPr>
            <w:rStyle w:val="Hyperlink"/>
          </w:rPr>
          <w:t>https://assets.ippc.int/static/media/files/publication/en/2022/07/CPM-16_FINAL_REPORT-2022-07-20__Syh4mHt.pdf</w:t>
        </w:r>
      </w:hyperlink>
      <w:r>
        <w:t xml:space="preserve"> </w:t>
      </w:r>
    </w:p>
  </w:footnote>
  <w:footnote w:id="5">
    <w:p w14:paraId="0B1E1E99" w14:textId="282A7184" w:rsidR="006F3AE3" w:rsidRDefault="006F3AE3">
      <w:pPr>
        <w:pStyle w:val="FootnoteText"/>
      </w:pPr>
      <w:r>
        <w:rPr>
          <w:rStyle w:val="FootnoteReference"/>
        </w:rPr>
        <w:footnoteRef/>
      </w:r>
      <w:r>
        <w:t xml:space="preserve"> IPPC Observatory webpage : </w:t>
      </w:r>
      <w:hyperlink r:id="rId4" w:history="1">
        <w:r w:rsidRPr="002B200F">
          <w:rPr>
            <w:rStyle w:val="Hyperlink"/>
          </w:rPr>
          <w:t>https://www.ippc.int/en/ippc-observatory/</w:t>
        </w:r>
      </w:hyperlink>
      <w:r>
        <w:t xml:space="preserve"> </w:t>
      </w:r>
    </w:p>
  </w:footnote>
  <w:footnote w:id="6">
    <w:p w14:paraId="43819625" w14:textId="4F4EA0EB" w:rsidR="006A22F6" w:rsidRDefault="006A22F6" w:rsidP="006A22F6">
      <w:pPr>
        <w:pStyle w:val="FootnoteText"/>
      </w:pPr>
      <w:r>
        <w:rPr>
          <w:rStyle w:val="FootnoteReference"/>
        </w:rPr>
        <w:footnoteRef/>
      </w:r>
      <w:r>
        <w:t xml:space="preserve"> </w:t>
      </w:r>
      <w:r w:rsidR="001572D1">
        <w:t xml:space="preserve">IPPC Observatory Factsheet : </w:t>
      </w:r>
      <w:hyperlink r:id="rId5" w:history="1">
        <w:r w:rsidR="001572D1" w:rsidRPr="002B200F">
          <w:rPr>
            <w:rStyle w:val="Hyperlink"/>
          </w:rPr>
          <w:t>https://www.fao.org/documents/card/en/c/cc1022en</w:t>
        </w:r>
      </w:hyperlink>
      <w:r w:rsidR="001572D1">
        <w:t xml:space="preserve"> </w:t>
      </w:r>
    </w:p>
  </w:footnote>
  <w:footnote w:id="7">
    <w:p w14:paraId="5D69F509" w14:textId="7684690B" w:rsidR="006A22F6" w:rsidRDefault="006A22F6" w:rsidP="006A22F6">
      <w:pPr>
        <w:pStyle w:val="FootnoteText"/>
      </w:pPr>
      <w:r>
        <w:rPr>
          <w:rStyle w:val="FootnoteReference"/>
        </w:rPr>
        <w:footnoteRef/>
      </w:r>
      <w:r>
        <w:t xml:space="preserve"> </w:t>
      </w:r>
      <w:r w:rsidR="001572D1">
        <w:t xml:space="preserve">IPPC Observatory Video :  </w:t>
      </w:r>
      <w:hyperlink r:id="rId6" w:history="1">
        <w:r w:rsidR="001572D1" w:rsidRPr="002B200F">
          <w:rPr>
            <w:rStyle w:val="Hyperlink"/>
          </w:rPr>
          <w:t>https://www.youtube.com/watch?v=3tsuqqTpdAQ</w:t>
        </w:r>
      </w:hyperlink>
      <w:r w:rsidR="001572D1">
        <w:t xml:space="preserve">   </w:t>
      </w:r>
    </w:p>
  </w:footnote>
  <w:footnote w:id="8">
    <w:p w14:paraId="2393F6F2" w14:textId="36B75645" w:rsidR="00406860" w:rsidRPr="000A2CD9" w:rsidRDefault="00406860" w:rsidP="00406860">
      <w:pPr>
        <w:pStyle w:val="FootnoteText"/>
      </w:pPr>
      <w:r>
        <w:rPr>
          <w:rStyle w:val="FootnoteReference"/>
        </w:rPr>
        <w:footnoteRef/>
      </w:r>
      <w:r>
        <w:t xml:space="preserve"> </w:t>
      </w:r>
      <w:r w:rsidR="001572D1">
        <w:t xml:space="preserve">IPPC Observatory webpage: </w:t>
      </w:r>
      <w:hyperlink r:id="rId7" w:history="1">
        <w:r w:rsidRPr="00EF7961">
          <w:rPr>
            <w:rStyle w:val="Hyperlink"/>
          </w:rPr>
          <w:t>https://www.ippc.int/en/core-activities/capacity-development/list-topics-ippc-irss/list</w:t>
        </w:r>
      </w:hyperlink>
      <w:r>
        <w:t xml:space="preserve"> </w:t>
      </w:r>
    </w:p>
  </w:footnote>
  <w:footnote w:id="9">
    <w:p w14:paraId="7035C63E" w14:textId="5CD46FF4" w:rsidR="003C6F16" w:rsidRDefault="003C6F16">
      <w:pPr>
        <w:pStyle w:val="FootnoteText"/>
      </w:pPr>
      <w:r>
        <w:rPr>
          <w:rStyle w:val="FootnoteReference"/>
        </w:rPr>
        <w:footnoteRef/>
      </w:r>
      <w:r>
        <w:t xml:space="preserve"> RW presentation on IPPC Observatory :</w:t>
      </w:r>
      <w:r w:rsidRPr="003C6F16">
        <w:t xml:space="preserve"> </w:t>
      </w:r>
      <w:hyperlink r:id="rId8" w:history="1">
        <w:r w:rsidRPr="002B200F">
          <w:rPr>
            <w:rStyle w:val="Hyperlink"/>
          </w:rPr>
          <w:t>https://www.ippc.int/en/publications/91250/</w:t>
        </w:r>
      </w:hyperlink>
      <w:r>
        <w:t xml:space="preserve"> </w:t>
      </w:r>
    </w:p>
  </w:footnote>
  <w:footnote w:id="10">
    <w:p w14:paraId="21678653" w14:textId="6F226A3F" w:rsidR="003C6F16" w:rsidRDefault="003C6F16">
      <w:pPr>
        <w:pStyle w:val="FootnoteText"/>
      </w:pPr>
      <w:r>
        <w:rPr>
          <w:rStyle w:val="FootnoteReference"/>
        </w:rPr>
        <w:footnoteRef/>
      </w:r>
      <w:r>
        <w:t xml:space="preserve"> Report Subgroup meeting : </w:t>
      </w:r>
      <w:hyperlink r:id="rId9" w:history="1">
        <w:r w:rsidRPr="002B200F">
          <w:rPr>
            <w:rStyle w:val="Hyperlink"/>
          </w:rPr>
          <w:t>https://www.ippc.int/en/publications/91424/</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8C6AE" w14:textId="6BD14B7F" w:rsidR="00E878AB" w:rsidRDefault="00E878AB" w:rsidP="00E878AB">
    <w:pPr>
      <w:pStyle w:val="IPPHeader"/>
      <w:tabs>
        <w:tab w:val="clear" w:pos="9072"/>
        <w:tab w:val="right" w:pos="9360"/>
      </w:tabs>
    </w:pPr>
    <w:r>
      <w:rPr>
        <w:rFonts w:eastAsia="Times" w:cs="Arial"/>
        <w:szCs w:val="18"/>
      </w:rPr>
      <w:t>16_SPG_2022_Oct</w:t>
    </w:r>
    <w:r w:rsidRPr="00E878AB">
      <w:t xml:space="preserve"> </w:t>
    </w:r>
    <w:r>
      <w:tab/>
    </w:r>
    <w:r>
      <w:t>Update on the IPPC Observatory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B4403" w14:textId="62A78C2C" w:rsidR="001D5341" w:rsidRDefault="001D5341" w:rsidP="00370B38">
    <w:pPr>
      <w:pStyle w:val="IPPHeader"/>
      <w:tabs>
        <w:tab w:val="clear" w:pos="9072"/>
        <w:tab w:val="right" w:pos="9360"/>
      </w:tabs>
    </w:pPr>
    <w:r w:rsidRPr="001D5341">
      <w:t xml:space="preserve">Operationalization of the IPPC </w:t>
    </w:r>
    <w:r>
      <w:t>O</w:t>
    </w:r>
    <w:r w:rsidRPr="001D5341">
      <w:t>bservatory</w:t>
    </w:r>
    <w:r w:rsidRPr="00584C9F">
      <w:t xml:space="preserve"> </w:t>
    </w:r>
    <w:r w:rsidR="00370B38">
      <w:tab/>
    </w:r>
    <w:r w:rsidR="00370B38">
      <w:rPr>
        <w:rFonts w:eastAsia="Times" w:cs="Arial"/>
        <w:szCs w:val="18"/>
      </w:rPr>
      <w:t>16_SPG_2022_Oct</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F9309" w14:textId="3E1A60AA" w:rsidR="00101BC0" w:rsidRDefault="00101BC0" w:rsidP="00101BC0">
    <w:pPr>
      <w:pStyle w:val="IPPHeader"/>
      <w:tabs>
        <w:tab w:val="clear" w:pos="1134"/>
        <w:tab w:val="right" w:pos="9026"/>
      </w:tabs>
    </w:pPr>
    <w:r>
      <w:rPr>
        <w:noProof/>
      </w:rPr>
      <w:drawing>
        <wp:anchor distT="0" distB="0" distL="114300" distR="114300" simplePos="0" relativeHeight="251659264" behindDoc="0" locked="0" layoutInCell="1" allowOverlap="1" wp14:anchorId="06C6D7B4" wp14:editId="65AF3A01">
          <wp:simplePos x="0" y="0"/>
          <wp:positionH relativeFrom="column">
            <wp:posOffset>-314325</wp:posOffset>
          </wp:positionH>
          <wp:positionV relativeFrom="paragraph">
            <wp:posOffset>120650</wp:posOffset>
          </wp:positionV>
          <wp:extent cx="632460" cy="324485"/>
          <wp:effectExtent l="0" t="0" r="0" b="0"/>
          <wp:wrapSquare wrapText="bothSides"/>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324485"/>
                  </a:xfrm>
                  <a:prstGeom prst="rect">
                    <a:avLst/>
                  </a:prstGeom>
                  <a:noFill/>
                </pic:spPr>
              </pic:pic>
            </a:graphicData>
          </a:graphic>
          <wp14:sizeRelH relativeFrom="page">
            <wp14:pctWidth>0</wp14:pctWidth>
          </wp14:sizeRelH>
          <wp14:sizeRelV relativeFrom="page">
            <wp14:pctHeight>0</wp14:pctHeight>
          </wp14:sizeRelV>
        </wp:anchor>
      </w:drawing>
    </w:r>
    <w:bookmarkStart w:id="1" w:name="_Hlk75992285"/>
    <w:bookmarkStart w:id="2" w:name="_Hlk75992284"/>
    <w:r>
      <w:rPr>
        <w:noProof/>
      </w:rPr>
      <w:drawing>
        <wp:anchor distT="0" distB="0" distL="114300" distR="114300" simplePos="0" relativeHeight="251660288" behindDoc="0" locked="0" layoutInCell="1" allowOverlap="0" wp14:anchorId="154DBD9B" wp14:editId="415181CE">
          <wp:simplePos x="0" y="0"/>
          <wp:positionH relativeFrom="page">
            <wp:align>left</wp:align>
          </wp:positionH>
          <wp:positionV relativeFrom="paragraph">
            <wp:posOffset>-449580</wp:posOffset>
          </wp:positionV>
          <wp:extent cx="7787640" cy="46355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7640" cy="463550"/>
                  </a:xfrm>
                  <a:prstGeom prst="rect">
                    <a:avLst/>
                  </a:prstGeom>
                  <a:noFill/>
                </pic:spPr>
              </pic:pic>
            </a:graphicData>
          </a:graphic>
          <wp14:sizeRelH relativeFrom="margin">
            <wp14:pctWidth>0</wp14:pctWidth>
          </wp14:sizeRelH>
          <wp14:sizeRelV relativeFrom="margin">
            <wp14:pctHeight>0</wp14:pctHeight>
          </wp14:sizeRelV>
        </wp:anchor>
      </w:drawing>
    </w:r>
  </w:p>
  <w:p w14:paraId="2EF62503" w14:textId="189BDEFE" w:rsidR="00101BC0" w:rsidRDefault="00101BC0" w:rsidP="00101BC0">
    <w:pPr>
      <w:pStyle w:val="IPPHeader"/>
      <w:tabs>
        <w:tab w:val="clear" w:pos="1134"/>
        <w:tab w:val="clear" w:pos="9072"/>
        <w:tab w:val="right" w:pos="9360"/>
      </w:tabs>
    </w:pPr>
    <w:r>
      <w:t>International Plant Protection Convention</w:t>
    </w:r>
    <w:r>
      <w:tab/>
    </w:r>
    <w:r>
      <w:rPr>
        <w:rFonts w:eastAsia="Times" w:cs="Arial"/>
        <w:szCs w:val="18"/>
      </w:rPr>
      <w:t>16_SPG_2022_Oct</w:t>
    </w:r>
    <w:r>
      <w:br/>
    </w:r>
    <w:r>
      <w:rPr>
        <w:i/>
        <w:iCs/>
      </w:rPr>
      <w:t>Update on the IPPC Observatory</w:t>
    </w:r>
    <w:r>
      <w:rPr>
        <w:i/>
        <w:iCs/>
      </w:rPr>
      <w:tab/>
    </w:r>
    <w:bookmarkEnd w:id="1"/>
    <w:bookmarkEnd w:id="2"/>
    <w:r>
      <w:rPr>
        <w:i/>
        <w:iCs/>
      </w:rPr>
      <w:t>Agenda item 08.1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5F5A"/>
    <w:multiLevelType w:val="hybridMultilevel"/>
    <w:tmpl w:val="D854A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C5F5D"/>
    <w:multiLevelType w:val="hybridMultilevel"/>
    <w:tmpl w:val="CF8021F8"/>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0A6C"/>
    <w:multiLevelType w:val="multilevel"/>
    <w:tmpl w:val="06E871E4"/>
    <w:numStyleLink w:val="IPPParagraphnumberedlist"/>
  </w:abstractNum>
  <w:abstractNum w:abstractNumId="3" w15:restartNumberingAfterBreak="0">
    <w:nsid w:val="0C071D3A"/>
    <w:multiLevelType w:val="hybridMultilevel"/>
    <w:tmpl w:val="27CA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C09A3"/>
    <w:multiLevelType w:val="hybridMultilevel"/>
    <w:tmpl w:val="4BAC8F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241A2"/>
    <w:multiLevelType w:val="hybridMultilevel"/>
    <w:tmpl w:val="342E31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62815"/>
    <w:multiLevelType w:val="hybridMultilevel"/>
    <w:tmpl w:val="F5125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D45DEA"/>
    <w:multiLevelType w:val="hybridMultilevel"/>
    <w:tmpl w:val="1A2C6ECE"/>
    <w:lvl w:ilvl="0" w:tplc="0409000F">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5E646F"/>
    <w:multiLevelType w:val="hybridMultilevel"/>
    <w:tmpl w:val="26E0D4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5320BD"/>
    <w:multiLevelType w:val="hybridMultilevel"/>
    <w:tmpl w:val="40F8C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13C33"/>
    <w:multiLevelType w:val="hybridMultilevel"/>
    <w:tmpl w:val="912E030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2" w15:restartNumberingAfterBreak="0">
    <w:nsid w:val="3AEE0AE7"/>
    <w:multiLevelType w:val="hybridMultilevel"/>
    <w:tmpl w:val="E0E67374"/>
    <w:lvl w:ilvl="0" w:tplc="BE0EB420">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A40905"/>
    <w:multiLevelType w:val="hybridMultilevel"/>
    <w:tmpl w:val="8B84CD78"/>
    <w:lvl w:ilvl="0" w:tplc="04090011">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4" w15:restartNumberingAfterBreak="0">
    <w:nsid w:val="47C92900"/>
    <w:multiLevelType w:val="hybridMultilevel"/>
    <w:tmpl w:val="52AAA4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363E1E"/>
    <w:multiLevelType w:val="hybridMultilevel"/>
    <w:tmpl w:val="6038C47E"/>
    <w:lvl w:ilvl="0" w:tplc="BE0EB420">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574685"/>
    <w:multiLevelType w:val="hybridMultilevel"/>
    <w:tmpl w:val="C9507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9164E8"/>
    <w:multiLevelType w:val="hybridMultilevel"/>
    <w:tmpl w:val="E462205E"/>
    <w:lvl w:ilvl="0" w:tplc="BE0EB420">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A0283"/>
    <w:multiLevelType w:val="hybridMultilevel"/>
    <w:tmpl w:val="028020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E62E41"/>
    <w:multiLevelType w:val="multilevel"/>
    <w:tmpl w:val="543C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A972E1"/>
    <w:multiLevelType w:val="hybridMultilevel"/>
    <w:tmpl w:val="CDC226B2"/>
    <w:lvl w:ilvl="0" w:tplc="BE0EB420">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8557E7"/>
    <w:multiLevelType w:val="hybridMultilevel"/>
    <w:tmpl w:val="1C4E1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512C5A"/>
    <w:multiLevelType w:val="multilevel"/>
    <w:tmpl w:val="67A2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FB253BA"/>
    <w:multiLevelType w:val="hybridMultilevel"/>
    <w:tmpl w:val="A782A0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293301"/>
    <w:multiLevelType w:val="hybridMultilevel"/>
    <w:tmpl w:val="4AC832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C23E3A"/>
    <w:multiLevelType w:val="multilevel"/>
    <w:tmpl w:val="D3026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155C35"/>
    <w:multiLevelType w:val="hybridMultilevel"/>
    <w:tmpl w:val="ABC67CD4"/>
    <w:lvl w:ilvl="0" w:tplc="04090001">
      <w:start w:val="1"/>
      <w:numFmt w:val="bullet"/>
      <w:lvlText w:val=""/>
      <w:lvlJc w:val="left"/>
      <w:pPr>
        <w:ind w:left="240" w:hanging="360"/>
      </w:pPr>
      <w:rPr>
        <w:rFonts w:ascii="Symbol" w:hAnsi="Symbol" w:hint="default"/>
      </w:rPr>
    </w:lvl>
    <w:lvl w:ilvl="1" w:tplc="04090003">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27" w15:restartNumberingAfterBreak="0">
    <w:nsid w:val="7E8920CA"/>
    <w:multiLevelType w:val="hybridMultilevel"/>
    <w:tmpl w:val="AE7EBC56"/>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D67742"/>
    <w:multiLevelType w:val="hybridMultilevel"/>
    <w:tmpl w:val="F3EC6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15"/>
  </w:num>
  <w:num w:numId="5">
    <w:abstractNumId w:val="19"/>
  </w:num>
  <w:num w:numId="6">
    <w:abstractNumId w:val="8"/>
  </w:num>
  <w:num w:numId="7">
    <w:abstractNumId w:val="18"/>
  </w:num>
  <w:num w:numId="8">
    <w:abstractNumId w:val="14"/>
  </w:num>
  <w:num w:numId="9">
    <w:abstractNumId w:val="28"/>
  </w:num>
  <w:num w:numId="10">
    <w:abstractNumId w:val="24"/>
  </w:num>
  <w:num w:numId="11">
    <w:abstractNumId w:val="6"/>
  </w:num>
  <w:num w:numId="12">
    <w:abstractNumId w:val="17"/>
  </w:num>
  <w:num w:numId="13">
    <w:abstractNumId w:val="5"/>
  </w:num>
  <w:num w:numId="14">
    <w:abstractNumId w:val="25"/>
  </w:num>
  <w:num w:numId="15">
    <w:abstractNumId w:val="22"/>
  </w:num>
  <w:num w:numId="16">
    <w:abstractNumId w:val="11"/>
  </w:num>
  <w:num w:numId="1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12"/>
  </w:num>
  <w:num w:numId="29">
    <w:abstractNumId w:val="20"/>
  </w:num>
  <w:num w:numId="3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1">
    <w:abstractNumId w:val="13"/>
  </w:num>
  <w:num w:numId="32">
    <w:abstractNumId w:val="23"/>
  </w:num>
  <w:num w:numId="33">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4">
    <w:abstractNumId w:val="2"/>
  </w:num>
  <w:num w:numId="35">
    <w:abstractNumId w:val="26"/>
  </w:num>
  <w:num w:numId="3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8">
    <w:abstractNumId w:val="21"/>
  </w:num>
  <w:num w:numId="39">
    <w:abstractNumId w:val="16"/>
  </w:num>
  <w:num w:numId="40">
    <w:abstractNumId w:val="27"/>
  </w:num>
  <w:num w:numId="41">
    <w:abstractNumId w:val="10"/>
  </w:num>
  <w:num w:numId="42">
    <w:abstractNumId w:val="4"/>
  </w:num>
  <w:num w:numId="43">
    <w:abstractNumId w:val="1"/>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ttachedTemplate r:id="rId1"/>
  <w:linkStyles/>
  <w:defaultTabStop w:val="720"/>
  <w:hyphenationZone w:val="283"/>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2AA"/>
    <w:rsid w:val="00002C8A"/>
    <w:rsid w:val="000232AA"/>
    <w:rsid w:val="00023BCC"/>
    <w:rsid w:val="0002518C"/>
    <w:rsid w:val="00040E6B"/>
    <w:rsid w:val="000455C5"/>
    <w:rsid w:val="00047804"/>
    <w:rsid w:val="000A3286"/>
    <w:rsid w:val="00101BC0"/>
    <w:rsid w:val="001149DF"/>
    <w:rsid w:val="00126B3B"/>
    <w:rsid w:val="001572D1"/>
    <w:rsid w:val="001D5341"/>
    <w:rsid w:val="001F0078"/>
    <w:rsid w:val="002857ED"/>
    <w:rsid w:val="002911E2"/>
    <w:rsid w:val="00370B38"/>
    <w:rsid w:val="00391F43"/>
    <w:rsid w:val="003A6D8E"/>
    <w:rsid w:val="003C6F16"/>
    <w:rsid w:val="003F65D7"/>
    <w:rsid w:val="00406860"/>
    <w:rsid w:val="004576A8"/>
    <w:rsid w:val="004642BD"/>
    <w:rsid w:val="004D48D5"/>
    <w:rsid w:val="004E02CB"/>
    <w:rsid w:val="00503E6B"/>
    <w:rsid w:val="0050546D"/>
    <w:rsid w:val="00524C48"/>
    <w:rsid w:val="005A00BF"/>
    <w:rsid w:val="005A1127"/>
    <w:rsid w:val="005A6C01"/>
    <w:rsid w:val="005D2928"/>
    <w:rsid w:val="00633A34"/>
    <w:rsid w:val="006A22F6"/>
    <w:rsid w:val="006D39B6"/>
    <w:rsid w:val="006F3AE3"/>
    <w:rsid w:val="007371F8"/>
    <w:rsid w:val="00761E5C"/>
    <w:rsid w:val="00807CE0"/>
    <w:rsid w:val="00852B84"/>
    <w:rsid w:val="008E3F0F"/>
    <w:rsid w:val="00913C92"/>
    <w:rsid w:val="00925E7C"/>
    <w:rsid w:val="0097338C"/>
    <w:rsid w:val="009A4227"/>
    <w:rsid w:val="00A724C5"/>
    <w:rsid w:val="00AA05AE"/>
    <w:rsid w:val="00AA50A3"/>
    <w:rsid w:val="00AD0E4A"/>
    <w:rsid w:val="00AE2AD2"/>
    <w:rsid w:val="00AF1414"/>
    <w:rsid w:val="00B142B7"/>
    <w:rsid w:val="00B23EDB"/>
    <w:rsid w:val="00B53DC2"/>
    <w:rsid w:val="00B933CE"/>
    <w:rsid w:val="00BD16A5"/>
    <w:rsid w:val="00BE746D"/>
    <w:rsid w:val="00C16365"/>
    <w:rsid w:val="00C21CCC"/>
    <w:rsid w:val="00C43EF1"/>
    <w:rsid w:val="00C4766A"/>
    <w:rsid w:val="00D88AD9"/>
    <w:rsid w:val="00DF378A"/>
    <w:rsid w:val="00DF60ED"/>
    <w:rsid w:val="00E11F5E"/>
    <w:rsid w:val="00E24D28"/>
    <w:rsid w:val="00E878AB"/>
    <w:rsid w:val="00EE79F4"/>
    <w:rsid w:val="00F21D3B"/>
    <w:rsid w:val="00F37835"/>
    <w:rsid w:val="00F657CD"/>
    <w:rsid w:val="00FA5E85"/>
    <w:rsid w:val="02745B3A"/>
    <w:rsid w:val="0395FE4F"/>
    <w:rsid w:val="0609F028"/>
    <w:rsid w:val="0657D2A8"/>
    <w:rsid w:val="06C777F3"/>
    <w:rsid w:val="07D3CB2C"/>
    <w:rsid w:val="07D4C9EC"/>
    <w:rsid w:val="08634854"/>
    <w:rsid w:val="09633AC2"/>
    <w:rsid w:val="0BA11034"/>
    <w:rsid w:val="0D8F725D"/>
    <w:rsid w:val="1214E53F"/>
    <w:rsid w:val="121C1380"/>
    <w:rsid w:val="124A8043"/>
    <w:rsid w:val="130C0338"/>
    <w:rsid w:val="13796C08"/>
    <w:rsid w:val="17341B2A"/>
    <w:rsid w:val="17508F4A"/>
    <w:rsid w:val="17BE5D71"/>
    <w:rsid w:val="18FD17D5"/>
    <w:rsid w:val="19046BE2"/>
    <w:rsid w:val="19A9A1FD"/>
    <w:rsid w:val="1A99F6C8"/>
    <w:rsid w:val="1AF5FE33"/>
    <w:rsid w:val="1CB3ADC5"/>
    <w:rsid w:val="1D0BFBE0"/>
    <w:rsid w:val="1D47D1E5"/>
    <w:rsid w:val="20998165"/>
    <w:rsid w:val="20E5246F"/>
    <w:rsid w:val="22FAE8FA"/>
    <w:rsid w:val="2573B1D1"/>
    <w:rsid w:val="258A6920"/>
    <w:rsid w:val="28A404F5"/>
    <w:rsid w:val="29783F22"/>
    <w:rsid w:val="2DFCBA40"/>
    <w:rsid w:val="2EF0F296"/>
    <w:rsid w:val="318E06B4"/>
    <w:rsid w:val="31E455F6"/>
    <w:rsid w:val="331F2168"/>
    <w:rsid w:val="3413ADA9"/>
    <w:rsid w:val="34B579EC"/>
    <w:rsid w:val="34BAF1C9"/>
    <w:rsid w:val="361B5272"/>
    <w:rsid w:val="364AA4E3"/>
    <w:rsid w:val="368D47AE"/>
    <w:rsid w:val="37DF728B"/>
    <w:rsid w:val="37EFE1AB"/>
    <w:rsid w:val="387EFEA8"/>
    <w:rsid w:val="38AD278A"/>
    <w:rsid w:val="39C11954"/>
    <w:rsid w:val="3A2B3DE0"/>
    <w:rsid w:val="3A6F05DF"/>
    <w:rsid w:val="3A975BCA"/>
    <w:rsid w:val="3B7A35C3"/>
    <w:rsid w:val="3E004DBB"/>
    <w:rsid w:val="3FCC3CA7"/>
    <w:rsid w:val="40D83F06"/>
    <w:rsid w:val="421D2768"/>
    <w:rsid w:val="436F73BD"/>
    <w:rsid w:val="43D22026"/>
    <w:rsid w:val="440FDFC8"/>
    <w:rsid w:val="456DF087"/>
    <w:rsid w:val="4747808A"/>
    <w:rsid w:val="47650AF6"/>
    <w:rsid w:val="49B807B3"/>
    <w:rsid w:val="4B120D9F"/>
    <w:rsid w:val="4B7AFB05"/>
    <w:rsid w:val="4C5F6957"/>
    <w:rsid w:val="4D16CB66"/>
    <w:rsid w:val="4D195262"/>
    <w:rsid w:val="4D337E9D"/>
    <w:rsid w:val="4E830D94"/>
    <w:rsid w:val="4F52926F"/>
    <w:rsid w:val="4FB3975E"/>
    <w:rsid w:val="518286F0"/>
    <w:rsid w:val="52488C72"/>
    <w:rsid w:val="52B18D23"/>
    <w:rsid w:val="531A0D98"/>
    <w:rsid w:val="535352C6"/>
    <w:rsid w:val="55C4CB4D"/>
    <w:rsid w:val="5645868A"/>
    <w:rsid w:val="5B456C58"/>
    <w:rsid w:val="5BCE5924"/>
    <w:rsid w:val="5BF1EE08"/>
    <w:rsid w:val="5C2CC1E2"/>
    <w:rsid w:val="5C8362BB"/>
    <w:rsid w:val="60B58C21"/>
    <w:rsid w:val="618924AA"/>
    <w:rsid w:val="62C15D29"/>
    <w:rsid w:val="63DDCDA4"/>
    <w:rsid w:val="65F8FDEB"/>
    <w:rsid w:val="6640EA32"/>
    <w:rsid w:val="69309EAD"/>
    <w:rsid w:val="69EA3315"/>
    <w:rsid w:val="6A207EE3"/>
    <w:rsid w:val="6BEF6B4E"/>
    <w:rsid w:val="6DF9B80C"/>
    <w:rsid w:val="6E048533"/>
    <w:rsid w:val="6E6EA9BF"/>
    <w:rsid w:val="729F18D0"/>
    <w:rsid w:val="73D5CB86"/>
    <w:rsid w:val="73E7AC24"/>
    <w:rsid w:val="76155027"/>
    <w:rsid w:val="76170F3B"/>
    <w:rsid w:val="79D1CA41"/>
    <w:rsid w:val="7A694954"/>
    <w:rsid w:val="7B4D2CC7"/>
    <w:rsid w:val="7D5713AC"/>
    <w:rsid w:val="7D891480"/>
    <w:rsid w:val="7DD40947"/>
    <w:rsid w:val="7E08F8C3"/>
    <w:rsid w:val="7F67CF7C"/>
    <w:rsid w:val="7F78907C"/>
    <w:rsid w:val="7FA35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DFDF5"/>
  <w15:chartTrackingRefBased/>
  <w15:docId w15:val="{F346ED1F-EC80-4BD8-9F33-B12619770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7CD"/>
    <w:pPr>
      <w:ind w:left="720"/>
      <w:contextualSpacing/>
    </w:pPr>
  </w:style>
  <w:style w:type="character" w:customStyle="1" w:styleId="normaltextrun">
    <w:name w:val="normaltextrun"/>
    <w:basedOn w:val="DefaultParagraphFont"/>
    <w:rsid w:val="00AA50A3"/>
  </w:style>
  <w:style w:type="character" w:customStyle="1" w:styleId="eop">
    <w:name w:val="eop"/>
    <w:basedOn w:val="DefaultParagraphFont"/>
    <w:rsid w:val="00AA50A3"/>
  </w:style>
  <w:style w:type="paragraph" w:customStyle="1" w:styleId="paragraph">
    <w:name w:val="paragraph"/>
    <w:basedOn w:val="Normal"/>
    <w:rsid w:val="004642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zione1">
    <w:name w:val="Menzione1"/>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D5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341"/>
    <w:rPr>
      <w:rFonts w:ascii="Segoe UI" w:hAnsi="Segoe UI" w:cs="Segoe UI"/>
      <w:sz w:val="18"/>
      <w:szCs w:val="18"/>
    </w:rPr>
  </w:style>
  <w:style w:type="paragraph" w:styleId="Header">
    <w:name w:val="header"/>
    <w:basedOn w:val="Normal"/>
    <w:link w:val="HeaderChar"/>
    <w:uiPriority w:val="99"/>
    <w:unhideWhenUsed/>
    <w:rsid w:val="001D5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341"/>
  </w:style>
  <w:style w:type="paragraph" w:styleId="Footer">
    <w:name w:val="footer"/>
    <w:basedOn w:val="Normal"/>
    <w:link w:val="FooterChar"/>
    <w:uiPriority w:val="99"/>
    <w:unhideWhenUsed/>
    <w:rsid w:val="001D53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341"/>
  </w:style>
  <w:style w:type="paragraph" w:customStyle="1" w:styleId="IPPHeader">
    <w:name w:val="IPP Header"/>
    <w:basedOn w:val="Normal"/>
    <w:qFormat/>
    <w:rsid w:val="001D5341"/>
    <w:pPr>
      <w:pBdr>
        <w:bottom w:val="single" w:sz="4" w:space="4" w:color="auto"/>
      </w:pBdr>
      <w:tabs>
        <w:tab w:val="left" w:pos="1134"/>
        <w:tab w:val="right" w:pos="9072"/>
      </w:tabs>
      <w:spacing w:after="120" w:line="240" w:lineRule="auto"/>
    </w:pPr>
    <w:rPr>
      <w:rFonts w:ascii="Arial" w:eastAsia="MS Mincho" w:hAnsi="Arial" w:cs="Times New Roman"/>
      <w:sz w:val="18"/>
      <w:szCs w:val="24"/>
    </w:rPr>
  </w:style>
  <w:style w:type="paragraph" w:customStyle="1" w:styleId="IPPFooter">
    <w:name w:val="IPP Footer"/>
    <w:basedOn w:val="IPPHeader"/>
    <w:next w:val="PlainText"/>
    <w:qFormat/>
    <w:rsid w:val="001D5341"/>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semiHidden/>
    <w:unhideWhenUsed/>
    <w:rsid w:val="001D534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D5341"/>
    <w:rPr>
      <w:rFonts w:ascii="Consolas" w:hAnsi="Consolas"/>
      <w:sz w:val="21"/>
      <w:szCs w:val="21"/>
    </w:rPr>
  </w:style>
  <w:style w:type="numbering" w:customStyle="1" w:styleId="IPPParagraphnumberedlist">
    <w:name w:val="IPP Paragraph numbered list"/>
    <w:rsid w:val="00023BCC"/>
    <w:pPr>
      <w:numPr>
        <w:numId w:val="16"/>
      </w:numPr>
    </w:pPr>
  </w:style>
  <w:style w:type="paragraph" w:customStyle="1" w:styleId="IPPParagraphnumbering">
    <w:name w:val="IPP Paragraph numbering"/>
    <w:basedOn w:val="Normal"/>
    <w:qFormat/>
    <w:rsid w:val="00023BCC"/>
    <w:pPr>
      <w:numPr>
        <w:numId w:val="17"/>
      </w:numPr>
      <w:spacing w:after="180" w:line="240" w:lineRule="auto"/>
      <w:jc w:val="both"/>
    </w:pPr>
    <w:rPr>
      <w:rFonts w:ascii="Times New Roman" w:eastAsia="Times" w:hAnsi="Times New Roman"/>
      <w:szCs w:val="24"/>
      <w:lang w:eastAsia="zh-CN"/>
    </w:rPr>
  </w:style>
  <w:style w:type="paragraph" w:styleId="FootnoteText">
    <w:name w:val="footnote text"/>
    <w:basedOn w:val="Normal"/>
    <w:link w:val="FootnoteTextChar"/>
    <w:semiHidden/>
    <w:unhideWhenUsed/>
    <w:rsid w:val="003C6F16"/>
    <w:pPr>
      <w:spacing w:after="0" w:line="240" w:lineRule="auto"/>
    </w:pPr>
    <w:rPr>
      <w:sz w:val="20"/>
      <w:szCs w:val="20"/>
    </w:rPr>
  </w:style>
  <w:style w:type="character" w:customStyle="1" w:styleId="FootnoteTextChar">
    <w:name w:val="Footnote Text Char"/>
    <w:basedOn w:val="DefaultParagraphFont"/>
    <w:link w:val="FootnoteText"/>
    <w:semiHidden/>
    <w:rsid w:val="003C6F16"/>
    <w:rPr>
      <w:sz w:val="20"/>
      <w:szCs w:val="20"/>
    </w:rPr>
  </w:style>
  <w:style w:type="character" w:styleId="FootnoteReference">
    <w:name w:val="footnote reference"/>
    <w:aliases w:val="16 Point,Superscript 6 Point,Ref,de nota al pie,Footnote Reference1,Ref1,de nota al pie1,註腳內容,de nota al pie + (Asian) MS Mincho,11 pt,Footnote text"/>
    <w:basedOn w:val="DefaultParagraphFont"/>
    <w:unhideWhenUsed/>
    <w:rsid w:val="003C6F16"/>
    <w:rPr>
      <w:vertAlign w:val="superscript"/>
    </w:rPr>
  </w:style>
  <w:style w:type="character" w:styleId="Hyperlink">
    <w:name w:val="Hyperlink"/>
    <w:basedOn w:val="DefaultParagraphFont"/>
    <w:uiPriority w:val="99"/>
    <w:unhideWhenUsed/>
    <w:rsid w:val="003C6F16"/>
    <w:rPr>
      <w:color w:val="0563C1" w:themeColor="hyperlink"/>
      <w:u w:val="single"/>
    </w:rPr>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2424">
      <w:bodyDiv w:val="1"/>
      <w:marLeft w:val="0"/>
      <w:marRight w:val="0"/>
      <w:marTop w:val="0"/>
      <w:marBottom w:val="0"/>
      <w:divBdr>
        <w:top w:val="none" w:sz="0" w:space="0" w:color="auto"/>
        <w:left w:val="none" w:sz="0" w:space="0" w:color="auto"/>
        <w:bottom w:val="none" w:sz="0" w:space="0" w:color="auto"/>
        <w:right w:val="none" w:sz="0" w:space="0" w:color="auto"/>
      </w:divBdr>
    </w:div>
    <w:div w:id="209726951">
      <w:bodyDiv w:val="1"/>
      <w:marLeft w:val="0"/>
      <w:marRight w:val="0"/>
      <w:marTop w:val="0"/>
      <w:marBottom w:val="0"/>
      <w:divBdr>
        <w:top w:val="none" w:sz="0" w:space="0" w:color="auto"/>
        <w:left w:val="none" w:sz="0" w:space="0" w:color="auto"/>
        <w:bottom w:val="none" w:sz="0" w:space="0" w:color="auto"/>
        <w:right w:val="none" w:sz="0" w:space="0" w:color="auto"/>
      </w:divBdr>
      <w:divsChild>
        <w:div w:id="2516171">
          <w:marLeft w:val="0"/>
          <w:marRight w:val="0"/>
          <w:marTop w:val="0"/>
          <w:marBottom w:val="0"/>
          <w:divBdr>
            <w:top w:val="none" w:sz="0" w:space="0" w:color="auto"/>
            <w:left w:val="none" w:sz="0" w:space="0" w:color="auto"/>
            <w:bottom w:val="none" w:sz="0" w:space="0" w:color="auto"/>
            <w:right w:val="none" w:sz="0" w:space="0" w:color="auto"/>
          </w:divBdr>
        </w:div>
        <w:div w:id="55974484">
          <w:marLeft w:val="0"/>
          <w:marRight w:val="0"/>
          <w:marTop w:val="0"/>
          <w:marBottom w:val="0"/>
          <w:divBdr>
            <w:top w:val="none" w:sz="0" w:space="0" w:color="auto"/>
            <w:left w:val="none" w:sz="0" w:space="0" w:color="auto"/>
            <w:bottom w:val="none" w:sz="0" w:space="0" w:color="auto"/>
            <w:right w:val="none" w:sz="0" w:space="0" w:color="auto"/>
          </w:divBdr>
        </w:div>
        <w:div w:id="585573070">
          <w:marLeft w:val="0"/>
          <w:marRight w:val="0"/>
          <w:marTop w:val="0"/>
          <w:marBottom w:val="0"/>
          <w:divBdr>
            <w:top w:val="none" w:sz="0" w:space="0" w:color="auto"/>
            <w:left w:val="none" w:sz="0" w:space="0" w:color="auto"/>
            <w:bottom w:val="none" w:sz="0" w:space="0" w:color="auto"/>
            <w:right w:val="none" w:sz="0" w:space="0" w:color="auto"/>
          </w:divBdr>
        </w:div>
        <w:div w:id="1350377037">
          <w:marLeft w:val="0"/>
          <w:marRight w:val="0"/>
          <w:marTop w:val="0"/>
          <w:marBottom w:val="0"/>
          <w:divBdr>
            <w:top w:val="none" w:sz="0" w:space="0" w:color="auto"/>
            <w:left w:val="none" w:sz="0" w:space="0" w:color="auto"/>
            <w:bottom w:val="none" w:sz="0" w:space="0" w:color="auto"/>
            <w:right w:val="none" w:sz="0" w:space="0" w:color="auto"/>
          </w:divBdr>
        </w:div>
      </w:divsChild>
    </w:div>
    <w:div w:id="479999960">
      <w:bodyDiv w:val="1"/>
      <w:marLeft w:val="0"/>
      <w:marRight w:val="0"/>
      <w:marTop w:val="0"/>
      <w:marBottom w:val="0"/>
      <w:divBdr>
        <w:top w:val="none" w:sz="0" w:space="0" w:color="auto"/>
        <w:left w:val="none" w:sz="0" w:space="0" w:color="auto"/>
        <w:bottom w:val="none" w:sz="0" w:space="0" w:color="auto"/>
        <w:right w:val="none" w:sz="0" w:space="0" w:color="auto"/>
      </w:divBdr>
    </w:div>
    <w:div w:id="553008018">
      <w:bodyDiv w:val="1"/>
      <w:marLeft w:val="0"/>
      <w:marRight w:val="0"/>
      <w:marTop w:val="0"/>
      <w:marBottom w:val="0"/>
      <w:divBdr>
        <w:top w:val="none" w:sz="0" w:space="0" w:color="auto"/>
        <w:left w:val="none" w:sz="0" w:space="0" w:color="auto"/>
        <w:bottom w:val="none" w:sz="0" w:space="0" w:color="auto"/>
        <w:right w:val="none" w:sz="0" w:space="0" w:color="auto"/>
      </w:divBdr>
    </w:div>
    <w:div w:id="557595206">
      <w:bodyDiv w:val="1"/>
      <w:marLeft w:val="0"/>
      <w:marRight w:val="0"/>
      <w:marTop w:val="0"/>
      <w:marBottom w:val="0"/>
      <w:divBdr>
        <w:top w:val="none" w:sz="0" w:space="0" w:color="auto"/>
        <w:left w:val="none" w:sz="0" w:space="0" w:color="auto"/>
        <w:bottom w:val="none" w:sz="0" w:space="0" w:color="auto"/>
        <w:right w:val="none" w:sz="0" w:space="0" w:color="auto"/>
      </w:divBdr>
      <w:divsChild>
        <w:div w:id="176383531">
          <w:marLeft w:val="0"/>
          <w:marRight w:val="0"/>
          <w:marTop w:val="0"/>
          <w:marBottom w:val="0"/>
          <w:divBdr>
            <w:top w:val="none" w:sz="0" w:space="0" w:color="auto"/>
            <w:left w:val="none" w:sz="0" w:space="0" w:color="auto"/>
            <w:bottom w:val="none" w:sz="0" w:space="0" w:color="auto"/>
            <w:right w:val="none" w:sz="0" w:space="0" w:color="auto"/>
          </w:divBdr>
        </w:div>
        <w:div w:id="504782160">
          <w:marLeft w:val="0"/>
          <w:marRight w:val="0"/>
          <w:marTop w:val="0"/>
          <w:marBottom w:val="0"/>
          <w:divBdr>
            <w:top w:val="none" w:sz="0" w:space="0" w:color="auto"/>
            <w:left w:val="none" w:sz="0" w:space="0" w:color="auto"/>
            <w:bottom w:val="none" w:sz="0" w:space="0" w:color="auto"/>
            <w:right w:val="none" w:sz="0" w:space="0" w:color="auto"/>
          </w:divBdr>
        </w:div>
        <w:div w:id="667908806">
          <w:marLeft w:val="0"/>
          <w:marRight w:val="0"/>
          <w:marTop w:val="0"/>
          <w:marBottom w:val="0"/>
          <w:divBdr>
            <w:top w:val="none" w:sz="0" w:space="0" w:color="auto"/>
            <w:left w:val="none" w:sz="0" w:space="0" w:color="auto"/>
            <w:bottom w:val="none" w:sz="0" w:space="0" w:color="auto"/>
            <w:right w:val="none" w:sz="0" w:space="0" w:color="auto"/>
          </w:divBdr>
        </w:div>
        <w:div w:id="1792045669">
          <w:marLeft w:val="0"/>
          <w:marRight w:val="0"/>
          <w:marTop w:val="0"/>
          <w:marBottom w:val="0"/>
          <w:divBdr>
            <w:top w:val="none" w:sz="0" w:space="0" w:color="auto"/>
            <w:left w:val="none" w:sz="0" w:space="0" w:color="auto"/>
            <w:bottom w:val="none" w:sz="0" w:space="0" w:color="auto"/>
            <w:right w:val="none" w:sz="0" w:space="0" w:color="auto"/>
          </w:divBdr>
        </w:div>
      </w:divsChild>
    </w:div>
    <w:div w:id="988090905">
      <w:bodyDiv w:val="1"/>
      <w:marLeft w:val="0"/>
      <w:marRight w:val="0"/>
      <w:marTop w:val="0"/>
      <w:marBottom w:val="0"/>
      <w:divBdr>
        <w:top w:val="none" w:sz="0" w:space="0" w:color="auto"/>
        <w:left w:val="none" w:sz="0" w:space="0" w:color="auto"/>
        <w:bottom w:val="none" w:sz="0" w:space="0" w:color="auto"/>
        <w:right w:val="none" w:sz="0" w:space="0" w:color="auto"/>
      </w:divBdr>
    </w:div>
    <w:div w:id="1047800585">
      <w:bodyDiv w:val="1"/>
      <w:marLeft w:val="0"/>
      <w:marRight w:val="0"/>
      <w:marTop w:val="0"/>
      <w:marBottom w:val="0"/>
      <w:divBdr>
        <w:top w:val="none" w:sz="0" w:space="0" w:color="auto"/>
        <w:left w:val="none" w:sz="0" w:space="0" w:color="auto"/>
        <w:bottom w:val="none" w:sz="0" w:space="0" w:color="auto"/>
        <w:right w:val="none" w:sz="0" w:space="0" w:color="auto"/>
      </w:divBdr>
      <w:divsChild>
        <w:div w:id="1065032767">
          <w:marLeft w:val="0"/>
          <w:marRight w:val="0"/>
          <w:marTop w:val="0"/>
          <w:marBottom w:val="0"/>
          <w:divBdr>
            <w:top w:val="none" w:sz="0" w:space="0" w:color="auto"/>
            <w:left w:val="none" w:sz="0" w:space="0" w:color="auto"/>
            <w:bottom w:val="none" w:sz="0" w:space="0" w:color="auto"/>
            <w:right w:val="none" w:sz="0" w:space="0" w:color="auto"/>
          </w:divBdr>
        </w:div>
      </w:divsChild>
    </w:div>
    <w:div w:id="1305701847">
      <w:bodyDiv w:val="1"/>
      <w:marLeft w:val="0"/>
      <w:marRight w:val="0"/>
      <w:marTop w:val="0"/>
      <w:marBottom w:val="0"/>
      <w:divBdr>
        <w:top w:val="none" w:sz="0" w:space="0" w:color="auto"/>
        <w:left w:val="none" w:sz="0" w:space="0" w:color="auto"/>
        <w:bottom w:val="none" w:sz="0" w:space="0" w:color="auto"/>
        <w:right w:val="none" w:sz="0" w:space="0" w:color="auto"/>
      </w:divBdr>
    </w:div>
    <w:div w:id="1568374715">
      <w:bodyDiv w:val="1"/>
      <w:marLeft w:val="0"/>
      <w:marRight w:val="0"/>
      <w:marTop w:val="0"/>
      <w:marBottom w:val="0"/>
      <w:divBdr>
        <w:top w:val="none" w:sz="0" w:space="0" w:color="auto"/>
        <w:left w:val="none" w:sz="0" w:space="0" w:color="auto"/>
        <w:bottom w:val="none" w:sz="0" w:space="0" w:color="auto"/>
        <w:right w:val="none" w:sz="0" w:space="0" w:color="auto"/>
      </w:divBdr>
    </w:div>
    <w:div w:id="1605111247">
      <w:bodyDiv w:val="1"/>
      <w:marLeft w:val="0"/>
      <w:marRight w:val="0"/>
      <w:marTop w:val="0"/>
      <w:marBottom w:val="0"/>
      <w:divBdr>
        <w:top w:val="none" w:sz="0" w:space="0" w:color="auto"/>
        <w:left w:val="none" w:sz="0" w:space="0" w:color="auto"/>
        <w:bottom w:val="none" w:sz="0" w:space="0" w:color="auto"/>
        <w:right w:val="none" w:sz="0" w:space="0" w:color="auto"/>
      </w:divBdr>
    </w:div>
    <w:div w:id="1939478706">
      <w:bodyDiv w:val="1"/>
      <w:marLeft w:val="0"/>
      <w:marRight w:val="0"/>
      <w:marTop w:val="0"/>
      <w:marBottom w:val="0"/>
      <w:divBdr>
        <w:top w:val="none" w:sz="0" w:space="0" w:color="auto"/>
        <w:left w:val="none" w:sz="0" w:space="0" w:color="auto"/>
        <w:bottom w:val="none" w:sz="0" w:space="0" w:color="auto"/>
        <w:right w:val="none" w:sz="0" w:space="0" w:color="auto"/>
      </w:divBdr>
    </w:div>
    <w:div w:id="210299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9a046b7f09984859"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4aedb1c5fb5245e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ippc.int/en/publications/91250/" TargetMode="External"/><Relationship Id="rId3" Type="http://schemas.openxmlformats.org/officeDocument/2006/relationships/hyperlink" Target="https://assets.ippc.int/static/media/files/publication/en/2022/07/CPM-16_FINAL_REPORT-2022-07-20__Syh4mHt.pdf" TargetMode="External"/><Relationship Id="rId7" Type="http://schemas.openxmlformats.org/officeDocument/2006/relationships/hyperlink" Target="https://www.ippc.int/en/core-activities/capacity-development/list-topics-ippc-irss/list" TargetMode="External"/><Relationship Id="rId2" Type="http://schemas.openxmlformats.org/officeDocument/2006/relationships/hyperlink" Target="http://assets.ippc.int/static/media/files/publication/en/2021/04/CPM-15_Final_Report_with_ISPMs_Appendices-2021-04-30.pdf" TargetMode="External"/><Relationship Id="rId1" Type="http://schemas.openxmlformats.org/officeDocument/2006/relationships/hyperlink" Target="https://assets.ippc.int/static/media/files/publication/en/2021/02/Report_IC_VM07_2020_Oct_2020-12-11_TcQsYG6.pdf" TargetMode="External"/><Relationship Id="rId6" Type="http://schemas.openxmlformats.org/officeDocument/2006/relationships/hyperlink" Target="https://www.youtube.com/watch?v=3tsuqqTpdAQ" TargetMode="External"/><Relationship Id="rId5" Type="http://schemas.openxmlformats.org/officeDocument/2006/relationships/hyperlink" Target="https://www.fao.org/documents/card/en/c/cc1022en" TargetMode="External"/><Relationship Id="rId4" Type="http://schemas.openxmlformats.org/officeDocument/2006/relationships/hyperlink" Target="https://www.ippc.int/en/ippc-observatory/" TargetMode="External"/><Relationship Id="rId9" Type="http://schemas.openxmlformats.org/officeDocument/2006/relationships/hyperlink" Target="https://www.ippc.int/en/publications/91424/"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d="http://www.w3.org/2001/XMLSchema" xmlns:xs="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903D9-3237-4EFC-A922-E9D7AF59A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017A47-9599-4C3F-82C8-519221445994}">
  <ds:schemaRefs>
    <ds:schemaRef ds:uri="http://schemas.microsoft.com/office/2006/metadata/properties"/>
    <ds:schemaRef ds:uri="http://schemas.microsoft.com/office/infopath/2007/PartnerControls"/>
    <ds:schemaRef ds:uri="a05d7f75-f42e-4288-8809-604fd4d9691f"/>
    <ds:schemaRef ds:uri="ea6feb38-a85a-45e8-92e9-814486bbe375"/>
  </ds:schemaRefs>
</ds:datastoreItem>
</file>

<file path=customXml/itemProps3.xml><?xml version="1.0" encoding="utf-8"?>
<ds:datastoreItem xmlns:ds="http://schemas.openxmlformats.org/officeDocument/2006/customXml" ds:itemID="{6174A16E-5775-4687-BC83-2BE9D285DA44}">
  <ds:schemaRefs>
    <ds:schemaRef ds:uri="http://schemas.microsoft.com/sharepoint/v3/contenttype/forms"/>
  </ds:schemaRefs>
</ds:datastoreItem>
</file>

<file path=customXml/itemProps4.xml><?xml version="1.0" encoding="utf-8"?>
<ds:datastoreItem xmlns:ds="http://schemas.openxmlformats.org/officeDocument/2006/customXml" ds:itemID="{B13B718F-9E95-42CA-8E3B-4D88E303D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IPPC1.dotx</Template>
  <TotalTime>0</TotalTime>
  <Pages>5</Pages>
  <Words>2098</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Koumba, Descartes (NSP)</dc:creator>
  <cp:keywords/>
  <dc:description/>
  <cp:lastModifiedBy>Lahti, Tanja (NSP)</cp:lastModifiedBy>
  <cp:revision>2</cp:revision>
  <dcterms:created xsi:type="dcterms:W3CDTF">2022-10-06T14:22:00Z</dcterms:created>
  <dcterms:modified xsi:type="dcterms:W3CDTF">2022-10-06T14:22:00Z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MediaServiceImageTags">
    <vt:lpwstr/>
  </property>
</Properties>
</file>