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6424D5" w14:textId="2A16564D" w:rsidR="00913AA9" w:rsidRDefault="00E06874" w:rsidP="00913AA9">
      <w:pPr>
        <w:pStyle w:val="IPPParagraphnumbering"/>
        <w:numPr>
          <w:ilvl w:val="0"/>
          <w:numId w:val="0"/>
        </w:numPr>
        <w:jc w:val="center"/>
        <w:rPr>
          <w:b/>
          <w:sz w:val="24"/>
          <w:lang w:val="en-GB"/>
        </w:rPr>
      </w:pPr>
      <w:bookmarkStart w:id="0" w:name="_kkwgcwwon3zj" w:colFirst="0" w:colLast="0"/>
      <w:bookmarkEnd w:id="0"/>
      <w:r>
        <w:rPr>
          <w:b/>
          <w:sz w:val="24"/>
          <w:lang w:val="en-GB"/>
        </w:rPr>
        <w:t xml:space="preserve">DRAFT </w:t>
      </w:r>
      <w:r w:rsidR="00913AA9">
        <w:rPr>
          <w:b/>
          <w:sz w:val="24"/>
          <w:lang w:val="en-GB"/>
        </w:rPr>
        <w:t xml:space="preserve">REVISION OF DP 09: </w:t>
      </w:r>
      <w:r w:rsidR="00913AA9" w:rsidRPr="00913AA9">
        <w:rPr>
          <w:b/>
          <w:sz w:val="24"/>
          <w:lang w:val="en-GB"/>
        </w:rPr>
        <w:t xml:space="preserve">GENUS </w:t>
      </w:r>
      <w:r w:rsidR="00913AA9" w:rsidRPr="00913AA9">
        <w:rPr>
          <w:b/>
          <w:i/>
          <w:sz w:val="24"/>
          <w:lang w:val="en-GB"/>
        </w:rPr>
        <w:t>ANASTREPHA</w:t>
      </w:r>
      <w:r w:rsidR="00913AA9" w:rsidRPr="00913AA9">
        <w:rPr>
          <w:b/>
          <w:sz w:val="24"/>
          <w:lang w:val="en-GB"/>
        </w:rPr>
        <w:t xml:space="preserve"> SCHINER (2021-002)</w:t>
      </w:r>
    </w:p>
    <w:p w14:paraId="514DAB8F" w14:textId="77777777" w:rsidR="008C4667" w:rsidRDefault="008C4667" w:rsidP="008C4667"/>
    <w:p w14:paraId="2BBB7AA5" w14:textId="77777777" w:rsidR="008C4667" w:rsidRPr="00810564" w:rsidRDefault="008C4667" w:rsidP="00913AA9">
      <w:pPr>
        <w:pStyle w:val="Default"/>
        <w:rPr>
          <w:sz w:val="22"/>
          <w:szCs w:val="22"/>
        </w:rPr>
      </w:pPr>
      <w:r w:rsidRPr="00810564">
        <w:rPr>
          <w:sz w:val="22"/>
          <w:szCs w:val="22"/>
        </w:rPr>
        <w:t>Status box (this is not an official part of the standard, and it will be modified after adoption)</w:t>
      </w:r>
    </w:p>
    <w:tbl>
      <w:tblPr>
        <w:tblW w:w="9010" w:type="dxa"/>
        <w:tblBorders>
          <w:top w:val="single" w:sz="6" w:space="0" w:color="00000A"/>
          <w:left w:val="single" w:sz="6" w:space="0" w:color="00000A"/>
          <w:bottom w:val="single" w:sz="6" w:space="0" w:color="00000A"/>
          <w:right w:val="single" w:sz="6" w:space="0" w:color="00000A"/>
          <w:insideH w:val="single" w:sz="4" w:space="0" w:color="000000"/>
          <w:insideV w:val="single" w:sz="4" w:space="0" w:color="000000"/>
        </w:tblBorders>
        <w:tblLayout w:type="fixed"/>
        <w:tblLook w:val="0000" w:firstRow="0" w:lastRow="0" w:firstColumn="0" w:lastColumn="0" w:noHBand="0" w:noVBand="0"/>
      </w:tblPr>
      <w:tblGrid>
        <w:gridCol w:w="2698"/>
        <w:gridCol w:w="6312"/>
      </w:tblGrid>
      <w:tr w:rsidR="008C4667" w:rsidRPr="00810564" w14:paraId="33A11348" w14:textId="77777777" w:rsidTr="00913AA9">
        <w:tc>
          <w:tcPr>
            <w:tcW w:w="2698" w:type="dxa"/>
            <w:tcBorders>
              <w:top w:val="single" w:sz="6" w:space="0" w:color="00000A"/>
              <w:bottom w:val="single" w:sz="6" w:space="0" w:color="00000A"/>
              <w:right w:val="single" w:sz="6" w:space="0" w:color="00000A"/>
            </w:tcBorders>
          </w:tcPr>
          <w:p w14:paraId="525CE2C8" w14:textId="77777777" w:rsidR="008C4667" w:rsidRPr="00810564" w:rsidRDefault="008C4667" w:rsidP="00913AA9">
            <w:pPr>
              <w:pBdr>
                <w:top w:val="nil"/>
                <w:left w:val="nil"/>
                <w:bottom w:val="nil"/>
                <w:right w:val="nil"/>
                <w:between w:val="nil"/>
              </w:pBdr>
              <w:spacing w:before="29"/>
              <w:rPr>
                <w:rFonts w:ascii="Arial" w:hAnsi="Arial" w:cs="Arial"/>
                <w:color w:val="000000"/>
                <w:sz w:val="18"/>
                <w:szCs w:val="18"/>
              </w:rPr>
            </w:pPr>
            <w:r w:rsidRPr="00810564">
              <w:rPr>
                <w:rFonts w:ascii="Arial" w:hAnsi="Arial" w:cs="Arial"/>
                <w:b/>
                <w:color w:val="000000"/>
                <w:sz w:val="18"/>
                <w:szCs w:val="18"/>
              </w:rPr>
              <w:t>Date of this document</w:t>
            </w:r>
            <w:r w:rsidRPr="00810564">
              <w:rPr>
                <w:rFonts w:ascii="Arial" w:hAnsi="Arial" w:cs="Arial"/>
                <w:color w:val="000000"/>
                <w:sz w:val="18"/>
                <w:szCs w:val="18"/>
              </w:rPr>
              <w:t xml:space="preserve"> </w:t>
            </w:r>
          </w:p>
        </w:tc>
        <w:tc>
          <w:tcPr>
            <w:tcW w:w="6312" w:type="dxa"/>
            <w:tcBorders>
              <w:top w:val="single" w:sz="6" w:space="0" w:color="00000A"/>
              <w:left w:val="single" w:sz="6" w:space="0" w:color="00000A"/>
              <w:bottom w:val="single" w:sz="6" w:space="0" w:color="00000A"/>
            </w:tcBorders>
          </w:tcPr>
          <w:p w14:paraId="50750080" w14:textId="2D14D7D3" w:rsidR="008C4667" w:rsidRPr="00810564" w:rsidRDefault="008C4667" w:rsidP="00913AA9">
            <w:pPr>
              <w:pBdr>
                <w:top w:val="nil"/>
                <w:left w:val="nil"/>
                <w:bottom w:val="nil"/>
                <w:right w:val="nil"/>
                <w:between w:val="nil"/>
              </w:pBdr>
              <w:spacing w:before="29"/>
              <w:rPr>
                <w:rFonts w:ascii="Arial" w:hAnsi="Arial" w:cs="Arial"/>
                <w:color w:val="000000"/>
                <w:sz w:val="18"/>
                <w:szCs w:val="18"/>
              </w:rPr>
            </w:pPr>
            <w:r w:rsidRPr="00810564">
              <w:rPr>
                <w:rFonts w:ascii="Arial" w:hAnsi="Arial" w:cs="Arial"/>
                <w:color w:val="000000"/>
                <w:sz w:val="18"/>
                <w:szCs w:val="18"/>
              </w:rPr>
              <w:t>2021-09-21</w:t>
            </w:r>
          </w:p>
        </w:tc>
      </w:tr>
      <w:tr w:rsidR="008C4667" w:rsidRPr="00810564" w14:paraId="7C111AE6" w14:textId="77777777" w:rsidTr="00913AA9">
        <w:tc>
          <w:tcPr>
            <w:tcW w:w="2698" w:type="dxa"/>
            <w:tcBorders>
              <w:top w:val="single" w:sz="6" w:space="0" w:color="00000A"/>
              <w:bottom w:val="single" w:sz="6" w:space="0" w:color="00000A"/>
              <w:right w:val="single" w:sz="6" w:space="0" w:color="00000A"/>
            </w:tcBorders>
          </w:tcPr>
          <w:p w14:paraId="456D7065" w14:textId="77777777" w:rsidR="008C4667" w:rsidRPr="00810564" w:rsidRDefault="008C4667" w:rsidP="00913AA9">
            <w:pPr>
              <w:pBdr>
                <w:top w:val="nil"/>
                <w:left w:val="nil"/>
                <w:bottom w:val="nil"/>
                <w:right w:val="nil"/>
                <w:between w:val="nil"/>
              </w:pBdr>
              <w:spacing w:before="29"/>
              <w:rPr>
                <w:rFonts w:ascii="Arial" w:hAnsi="Arial" w:cs="Arial"/>
                <w:color w:val="000000"/>
                <w:sz w:val="18"/>
                <w:szCs w:val="18"/>
              </w:rPr>
            </w:pPr>
            <w:r w:rsidRPr="00810564">
              <w:rPr>
                <w:rFonts w:ascii="Arial" w:hAnsi="Arial" w:cs="Arial"/>
                <w:b/>
                <w:color w:val="000000"/>
                <w:sz w:val="18"/>
                <w:szCs w:val="18"/>
              </w:rPr>
              <w:t>Document category</w:t>
            </w:r>
            <w:r w:rsidRPr="00810564">
              <w:rPr>
                <w:rFonts w:ascii="Arial" w:hAnsi="Arial" w:cs="Arial"/>
                <w:color w:val="000000"/>
                <w:sz w:val="18"/>
                <w:szCs w:val="18"/>
              </w:rPr>
              <w:t xml:space="preserve"> </w:t>
            </w:r>
          </w:p>
        </w:tc>
        <w:tc>
          <w:tcPr>
            <w:tcW w:w="6312" w:type="dxa"/>
            <w:tcBorders>
              <w:top w:val="single" w:sz="6" w:space="0" w:color="00000A"/>
              <w:left w:val="single" w:sz="6" w:space="0" w:color="00000A"/>
              <w:bottom w:val="single" w:sz="6" w:space="0" w:color="00000A"/>
            </w:tcBorders>
          </w:tcPr>
          <w:p w14:paraId="127DB839" w14:textId="35C950A3" w:rsidR="008C4667" w:rsidRPr="00810564" w:rsidRDefault="008C4667" w:rsidP="00913AA9">
            <w:pPr>
              <w:pBdr>
                <w:top w:val="nil"/>
                <w:left w:val="nil"/>
                <w:bottom w:val="nil"/>
                <w:right w:val="nil"/>
                <w:between w:val="nil"/>
              </w:pBdr>
              <w:spacing w:before="29"/>
              <w:rPr>
                <w:rFonts w:ascii="Arial" w:hAnsi="Arial" w:cs="Arial"/>
                <w:color w:val="000000"/>
                <w:sz w:val="18"/>
                <w:szCs w:val="18"/>
              </w:rPr>
            </w:pPr>
            <w:r w:rsidRPr="00810564">
              <w:rPr>
                <w:rFonts w:ascii="Arial" w:hAnsi="Arial" w:cs="Arial"/>
                <w:color w:val="000000"/>
                <w:sz w:val="18"/>
                <w:szCs w:val="18"/>
              </w:rPr>
              <w:t>REVISION of adopted DP for annex to ISPM 27:2006 (</w:t>
            </w:r>
            <w:r w:rsidRPr="00810564">
              <w:rPr>
                <w:rFonts w:ascii="Arial" w:hAnsi="Arial" w:cs="Arial"/>
                <w:i/>
                <w:color w:val="000000"/>
                <w:sz w:val="18"/>
                <w:szCs w:val="18"/>
              </w:rPr>
              <w:t>Diagnostic protocols for regulated pests)</w:t>
            </w:r>
            <w:r w:rsidRPr="00810564">
              <w:rPr>
                <w:rFonts w:ascii="Arial" w:hAnsi="Arial" w:cs="Arial"/>
                <w:color w:val="000000"/>
                <w:sz w:val="18"/>
                <w:szCs w:val="18"/>
              </w:rPr>
              <w:t xml:space="preserve"> </w:t>
            </w:r>
          </w:p>
        </w:tc>
      </w:tr>
      <w:tr w:rsidR="008C4667" w:rsidRPr="00810564" w14:paraId="685EFF29" w14:textId="77777777" w:rsidTr="00913AA9">
        <w:tc>
          <w:tcPr>
            <w:tcW w:w="2698" w:type="dxa"/>
            <w:tcBorders>
              <w:top w:val="single" w:sz="6" w:space="0" w:color="00000A"/>
              <w:bottom w:val="single" w:sz="6" w:space="0" w:color="00000A"/>
              <w:right w:val="single" w:sz="6" w:space="0" w:color="00000A"/>
            </w:tcBorders>
          </w:tcPr>
          <w:p w14:paraId="3741F299" w14:textId="77777777" w:rsidR="008C4667" w:rsidRPr="00810564" w:rsidRDefault="008C4667" w:rsidP="00913AA9">
            <w:pPr>
              <w:pBdr>
                <w:top w:val="nil"/>
                <w:left w:val="nil"/>
                <w:bottom w:val="nil"/>
                <w:right w:val="nil"/>
                <w:between w:val="nil"/>
              </w:pBdr>
              <w:spacing w:before="29"/>
              <w:rPr>
                <w:rFonts w:ascii="Arial" w:hAnsi="Arial" w:cs="Arial"/>
                <w:color w:val="000000"/>
                <w:sz w:val="18"/>
                <w:szCs w:val="18"/>
              </w:rPr>
            </w:pPr>
            <w:r w:rsidRPr="00810564">
              <w:rPr>
                <w:rFonts w:ascii="Arial" w:hAnsi="Arial" w:cs="Arial"/>
                <w:b/>
                <w:color w:val="000000"/>
                <w:sz w:val="18"/>
                <w:szCs w:val="18"/>
              </w:rPr>
              <w:t>Current document stage</w:t>
            </w:r>
            <w:r w:rsidRPr="00810564">
              <w:rPr>
                <w:rFonts w:ascii="Arial" w:hAnsi="Arial" w:cs="Arial"/>
                <w:color w:val="000000"/>
                <w:sz w:val="18"/>
                <w:szCs w:val="18"/>
              </w:rPr>
              <w:t xml:space="preserve"> </w:t>
            </w:r>
          </w:p>
        </w:tc>
        <w:tc>
          <w:tcPr>
            <w:tcW w:w="6312" w:type="dxa"/>
            <w:tcBorders>
              <w:top w:val="single" w:sz="6" w:space="0" w:color="00000A"/>
              <w:left w:val="single" w:sz="6" w:space="0" w:color="00000A"/>
              <w:bottom w:val="single" w:sz="6" w:space="0" w:color="00000A"/>
            </w:tcBorders>
          </w:tcPr>
          <w:p w14:paraId="7804B9F6" w14:textId="3204E1DB" w:rsidR="008C4667" w:rsidRPr="00810564" w:rsidRDefault="008C4667" w:rsidP="00784C13">
            <w:pPr>
              <w:pBdr>
                <w:top w:val="nil"/>
                <w:left w:val="nil"/>
                <w:bottom w:val="nil"/>
                <w:right w:val="nil"/>
                <w:between w:val="nil"/>
              </w:pBdr>
              <w:spacing w:before="29"/>
              <w:rPr>
                <w:rFonts w:ascii="Arial" w:hAnsi="Arial" w:cs="Arial"/>
                <w:color w:val="000000"/>
                <w:sz w:val="18"/>
                <w:szCs w:val="18"/>
              </w:rPr>
            </w:pPr>
            <w:r w:rsidRPr="00810564">
              <w:rPr>
                <w:rFonts w:ascii="Arial" w:hAnsi="Arial" w:cs="Arial"/>
                <w:i/>
                <w:color w:val="000000"/>
                <w:sz w:val="18"/>
                <w:szCs w:val="18"/>
              </w:rPr>
              <w:t>To</w:t>
            </w:r>
            <w:r w:rsidRPr="00810564">
              <w:rPr>
                <w:rFonts w:ascii="Arial" w:hAnsi="Arial" w:cs="Arial"/>
                <w:color w:val="000000"/>
                <w:sz w:val="18"/>
                <w:szCs w:val="18"/>
              </w:rPr>
              <w:t xml:space="preserve"> </w:t>
            </w:r>
            <w:r w:rsidR="00784C13">
              <w:rPr>
                <w:rFonts w:ascii="Arial" w:hAnsi="Arial" w:cs="Arial"/>
                <w:color w:val="000000"/>
                <w:sz w:val="18"/>
                <w:szCs w:val="18"/>
              </w:rPr>
              <w:t>TPDP</w:t>
            </w:r>
            <w:r w:rsidRPr="00810564">
              <w:rPr>
                <w:rFonts w:ascii="Arial" w:hAnsi="Arial" w:cs="Arial"/>
                <w:color w:val="000000"/>
                <w:sz w:val="18"/>
                <w:szCs w:val="18"/>
              </w:rPr>
              <w:t xml:space="preserve"> for review</w:t>
            </w:r>
          </w:p>
        </w:tc>
      </w:tr>
      <w:tr w:rsidR="008C4667" w:rsidRPr="00810564" w14:paraId="140E1081" w14:textId="77777777" w:rsidTr="00913AA9">
        <w:tc>
          <w:tcPr>
            <w:tcW w:w="2698" w:type="dxa"/>
            <w:tcBorders>
              <w:top w:val="single" w:sz="6" w:space="0" w:color="00000A"/>
              <w:bottom w:val="single" w:sz="6" w:space="0" w:color="00000A"/>
              <w:right w:val="single" w:sz="6" w:space="0" w:color="00000A"/>
            </w:tcBorders>
          </w:tcPr>
          <w:p w14:paraId="1F6FBE35" w14:textId="77777777" w:rsidR="008C4667" w:rsidRPr="00810564" w:rsidRDefault="008C4667" w:rsidP="00913AA9">
            <w:pPr>
              <w:pBdr>
                <w:top w:val="nil"/>
                <w:left w:val="nil"/>
                <w:bottom w:val="nil"/>
                <w:right w:val="nil"/>
                <w:between w:val="nil"/>
              </w:pBdr>
              <w:spacing w:before="29"/>
              <w:rPr>
                <w:rFonts w:ascii="Arial" w:hAnsi="Arial" w:cs="Arial"/>
                <w:color w:val="000000"/>
                <w:sz w:val="18"/>
                <w:szCs w:val="18"/>
              </w:rPr>
            </w:pPr>
            <w:r w:rsidRPr="00810564">
              <w:rPr>
                <w:rFonts w:ascii="Arial" w:hAnsi="Arial" w:cs="Arial"/>
                <w:b/>
                <w:color w:val="000000"/>
                <w:sz w:val="18"/>
                <w:szCs w:val="18"/>
              </w:rPr>
              <w:t xml:space="preserve">Major stages </w:t>
            </w:r>
          </w:p>
        </w:tc>
        <w:tc>
          <w:tcPr>
            <w:tcW w:w="6312" w:type="dxa"/>
            <w:tcBorders>
              <w:top w:val="single" w:sz="6" w:space="0" w:color="00000A"/>
              <w:left w:val="single" w:sz="6" w:space="0" w:color="00000A"/>
              <w:bottom w:val="single" w:sz="6" w:space="0" w:color="00000A"/>
            </w:tcBorders>
          </w:tcPr>
          <w:p w14:paraId="4C2F1960" w14:textId="60A4E3D4" w:rsidR="004230BE" w:rsidRPr="00810564" w:rsidRDefault="004230BE" w:rsidP="004230BE">
            <w:pPr>
              <w:pBdr>
                <w:top w:val="nil"/>
                <w:left w:val="nil"/>
                <w:bottom w:val="nil"/>
                <w:right w:val="nil"/>
                <w:between w:val="nil"/>
              </w:pBdr>
              <w:spacing w:before="29" w:after="29"/>
              <w:rPr>
                <w:rFonts w:ascii="Arial" w:hAnsi="Arial" w:cs="Arial"/>
                <w:color w:val="000000"/>
                <w:sz w:val="18"/>
                <w:szCs w:val="18"/>
              </w:rPr>
            </w:pPr>
            <w:r w:rsidRPr="00810564">
              <w:rPr>
                <w:rFonts w:ascii="Arial" w:hAnsi="Arial" w:cs="Arial"/>
                <w:color w:val="000000"/>
                <w:sz w:val="18"/>
                <w:szCs w:val="18"/>
              </w:rPr>
              <w:t>2014-03</w:t>
            </w:r>
            <w:r w:rsidR="007B2B2A" w:rsidRPr="00810564">
              <w:rPr>
                <w:rFonts w:ascii="Arial" w:hAnsi="Arial" w:cs="Arial"/>
                <w:color w:val="000000"/>
                <w:sz w:val="18"/>
                <w:szCs w:val="18"/>
              </w:rPr>
              <w:t>:</w:t>
            </w:r>
            <w:r w:rsidRPr="00810564">
              <w:rPr>
                <w:rFonts w:ascii="Arial" w:hAnsi="Arial" w:cs="Arial"/>
                <w:color w:val="000000"/>
                <w:sz w:val="18"/>
                <w:szCs w:val="18"/>
              </w:rPr>
              <w:t xml:space="preserve"> CPM-1 (2006) added topic to work programme</w:t>
            </w:r>
          </w:p>
          <w:p w14:paraId="605CB6D2" w14:textId="77777777" w:rsidR="0076738A" w:rsidRPr="00810564" w:rsidRDefault="004230BE" w:rsidP="004230BE">
            <w:pPr>
              <w:pBdr>
                <w:top w:val="nil"/>
                <w:left w:val="nil"/>
                <w:bottom w:val="nil"/>
                <w:right w:val="nil"/>
                <w:between w:val="nil"/>
              </w:pBdr>
              <w:spacing w:before="29" w:after="29"/>
              <w:rPr>
                <w:rFonts w:ascii="Arial" w:hAnsi="Arial" w:cs="Arial"/>
                <w:color w:val="000000"/>
                <w:sz w:val="18"/>
                <w:szCs w:val="18"/>
              </w:rPr>
            </w:pPr>
            <w:r w:rsidRPr="00810564">
              <w:rPr>
                <w:rFonts w:ascii="Arial" w:hAnsi="Arial" w:cs="Arial"/>
                <w:color w:val="000000"/>
                <w:sz w:val="18"/>
                <w:szCs w:val="18"/>
              </w:rPr>
              <w:t xml:space="preserve">(Genus Anastrepha, 2004-015). </w:t>
            </w:r>
          </w:p>
          <w:p w14:paraId="600E44E8" w14:textId="3CD55EDC" w:rsidR="0076738A" w:rsidRPr="00810564" w:rsidRDefault="0076738A" w:rsidP="0076738A">
            <w:pPr>
              <w:pBdr>
                <w:top w:val="nil"/>
                <w:left w:val="nil"/>
                <w:bottom w:val="nil"/>
                <w:right w:val="nil"/>
                <w:between w:val="nil"/>
              </w:pBdr>
              <w:spacing w:before="29" w:after="29"/>
              <w:rPr>
                <w:rFonts w:ascii="Arial" w:hAnsi="Arial" w:cs="Arial"/>
                <w:color w:val="000000"/>
                <w:sz w:val="18"/>
                <w:szCs w:val="18"/>
              </w:rPr>
            </w:pPr>
            <w:r w:rsidRPr="00810564">
              <w:rPr>
                <w:rFonts w:ascii="Arial" w:hAnsi="Arial" w:cs="Arial"/>
                <w:color w:val="000000"/>
                <w:sz w:val="18"/>
                <w:szCs w:val="18"/>
              </w:rPr>
              <w:t>2015-08</w:t>
            </w:r>
            <w:r w:rsidR="007B2B2A" w:rsidRPr="00810564">
              <w:rPr>
                <w:rFonts w:ascii="Arial" w:hAnsi="Arial" w:cs="Arial"/>
                <w:color w:val="000000"/>
                <w:sz w:val="18"/>
                <w:szCs w:val="18"/>
              </w:rPr>
              <w:t>:</w:t>
            </w:r>
            <w:r w:rsidRPr="00810564">
              <w:rPr>
                <w:rFonts w:ascii="Arial" w:hAnsi="Arial" w:cs="Arial"/>
                <w:color w:val="000000"/>
                <w:sz w:val="18"/>
                <w:szCs w:val="18"/>
              </w:rPr>
              <w:t xml:space="preserve"> SC adopted DP</w:t>
            </w:r>
            <w:r w:rsidR="007B2B2A" w:rsidRPr="00810564">
              <w:rPr>
                <w:rFonts w:ascii="Arial" w:hAnsi="Arial" w:cs="Arial"/>
                <w:color w:val="000000"/>
                <w:sz w:val="18"/>
                <w:szCs w:val="18"/>
              </w:rPr>
              <w:t>09</w:t>
            </w:r>
            <w:r w:rsidRPr="00810564">
              <w:rPr>
                <w:rFonts w:ascii="Arial" w:hAnsi="Arial" w:cs="Arial"/>
                <w:color w:val="000000"/>
                <w:sz w:val="18"/>
                <w:szCs w:val="18"/>
              </w:rPr>
              <w:t xml:space="preserve"> on behalf of CPM (with no formal</w:t>
            </w:r>
          </w:p>
          <w:p w14:paraId="037E90C3" w14:textId="10247BEB" w:rsidR="004032C7" w:rsidRPr="00810564" w:rsidRDefault="0076738A" w:rsidP="0076738A">
            <w:pPr>
              <w:pBdr>
                <w:top w:val="nil"/>
                <w:left w:val="nil"/>
                <w:bottom w:val="nil"/>
                <w:right w:val="nil"/>
                <w:between w:val="nil"/>
              </w:pBdr>
              <w:spacing w:before="29" w:after="29"/>
              <w:rPr>
                <w:rFonts w:ascii="Arial" w:hAnsi="Arial" w:cs="Arial"/>
                <w:color w:val="000000"/>
                <w:sz w:val="18"/>
                <w:szCs w:val="18"/>
              </w:rPr>
            </w:pPr>
            <w:r w:rsidRPr="00810564">
              <w:rPr>
                <w:rFonts w:ascii="Arial" w:hAnsi="Arial" w:cs="Arial"/>
                <w:color w:val="000000"/>
                <w:sz w:val="18"/>
                <w:szCs w:val="18"/>
              </w:rPr>
              <w:t xml:space="preserve">objections received). </w:t>
            </w:r>
          </w:p>
          <w:p w14:paraId="2083FC37" w14:textId="77777777" w:rsidR="00B600F2" w:rsidRPr="00810564" w:rsidRDefault="004032C7" w:rsidP="0076738A">
            <w:pPr>
              <w:pBdr>
                <w:top w:val="nil"/>
                <w:left w:val="nil"/>
                <w:bottom w:val="nil"/>
                <w:right w:val="nil"/>
                <w:between w:val="nil"/>
              </w:pBdr>
              <w:spacing w:before="29" w:after="29"/>
              <w:rPr>
                <w:rFonts w:ascii="Arial" w:hAnsi="Arial" w:cs="Arial"/>
                <w:color w:val="000000"/>
                <w:sz w:val="18"/>
                <w:szCs w:val="18"/>
              </w:rPr>
            </w:pPr>
            <w:r w:rsidRPr="00810564">
              <w:rPr>
                <w:rFonts w:ascii="Arial" w:hAnsi="Arial" w:cs="Arial"/>
                <w:color w:val="000000"/>
                <w:sz w:val="18"/>
                <w:szCs w:val="18"/>
              </w:rPr>
              <w:t>2020-12</w:t>
            </w:r>
            <w:r w:rsidR="007B2B2A" w:rsidRPr="00810564">
              <w:rPr>
                <w:rFonts w:ascii="Arial" w:hAnsi="Arial" w:cs="Arial"/>
                <w:color w:val="000000"/>
                <w:sz w:val="18"/>
                <w:szCs w:val="18"/>
              </w:rPr>
              <w:t>:</w:t>
            </w:r>
            <w:r w:rsidRPr="00810564">
              <w:rPr>
                <w:rFonts w:ascii="Arial" w:hAnsi="Arial" w:cs="Arial"/>
                <w:color w:val="000000"/>
                <w:sz w:val="18"/>
                <w:szCs w:val="18"/>
              </w:rPr>
              <w:t xml:space="preserve"> Req</w:t>
            </w:r>
            <w:bookmarkStart w:id="1" w:name="_GoBack"/>
            <w:bookmarkEnd w:id="1"/>
            <w:r w:rsidRPr="00810564">
              <w:rPr>
                <w:rFonts w:ascii="Arial" w:hAnsi="Arial" w:cs="Arial"/>
                <w:color w:val="000000"/>
                <w:sz w:val="18"/>
                <w:szCs w:val="18"/>
              </w:rPr>
              <w:t>uest for revision to DP09 submitted</w:t>
            </w:r>
            <w:r w:rsidR="001C5B31" w:rsidRPr="00810564">
              <w:rPr>
                <w:rFonts w:ascii="Arial" w:hAnsi="Arial" w:cs="Arial"/>
                <w:color w:val="000000"/>
                <w:sz w:val="18"/>
                <w:szCs w:val="18"/>
              </w:rPr>
              <w:t xml:space="preserve"> to </w:t>
            </w:r>
            <w:r w:rsidR="00B600F2" w:rsidRPr="00810564">
              <w:rPr>
                <w:rFonts w:ascii="Arial" w:hAnsi="Arial" w:cs="Arial"/>
                <w:color w:val="000000"/>
                <w:sz w:val="18"/>
                <w:szCs w:val="18"/>
              </w:rPr>
              <w:t>TPDP</w:t>
            </w:r>
          </w:p>
          <w:p w14:paraId="7568A42B" w14:textId="2FB98EE2" w:rsidR="004032C7" w:rsidRPr="00810564" w:rsidRDefault="00F97773" w:rsidP="0076738A">
            <w:pPr>
              <w:pBdr>
                <w:top w:val="nil"/>
                <w:left w:val="nil"/>
                <w:bottom w:val="nil"/>
                <w:right w:val="nil"/>
                <w:between w:val="nil"/>
              </w:pBdr>
              <w:spacing w:before="29" w:after="29"/>
              <w:rPr>
                <w:rFonts w:ascii="Arial" w:hAnsi="Arial" w:cs="Arial"/>
                <w:color w:val="000000"/>
                <w:sz w:val="18"/>
                <w:szCs w:val="18"/>
              </w:rPr>
            </w:pPr>
            <w:r w:rsidRPr="00810564">
              <w:rPr>
                <w:rFonts w:ascii="Arial" w:hAnsi="Arial" w:cs="Arial"/>
                <w:color w:val="000000"/>
                <w:sz w:val="18"/>
                <w:szCs w:val="18"/>
              </w:rPr>
              <w:t>2021-04:</w:t>
            </w:r>
            <w:r w:rsidR="00B600F2" w:rsidRPr="00810564">
              <w:rPr>
                <w:rFonts w:ascii="Arial" w:hAnsi="Arial" w:cs="Arial"/>
                <w:color w:val="000000"/>
                <w:sz w:val="18"/>
                <w:szCs w:val="18"/>
              </w:rPr>
              <w:t xml:space="preserve"> </w:t>
            </w:r>
            <w:r w:rsidRPr="00810564">
              <w:rPr>
                <w:rFonts w:ascii="Arial" w:hAnsi="Arial" w:cs="Arial"/>
                <w:color w:val="000000"/>
                <w:sz w:val="18"/>
                <w:szCs w:val="18"/>
              </w:rPr>
              <w:t>Request for revision to DP09 submitted to SC</w:t>
            </w:r>
          </w:p>
          <w:p w14:paraId="06C08D13" w14:textId="38DBF190" w:rsidR="00E04644" w:rsidRPr="00810564" w:rsidRDefault="008C4667" w:rsidP="0076738A">
            <w:pPr>
              <w:pBdr>
                <w:top w:val="nil"/>
                <w:left w:val="nil"/>
                <w:bottom w:val="nil"/>
                <w:right w:val="nil"/>
                <w:between w:val="nil"/>
              </w:pBdr>
              <w:spacing w:before="29" w:after="29"/>
              <w:rPr>
                <w:rFonts w:ascii="Arial" w:hAnsi="Arial" w:cs="Arial"/>
                <w:color w:val="000000"/>
                <w:sz w:val="18"/>
                <w:szCs w:val="18"/>
              </w:rPr>
            </w:pPr>
            <w:r w:rsidRPr="00810564">
              <w:rPr>
                <w:rFonts w:ascii="Arial" w:hAnsi="Arial" w:cs="Arial"/>
                <w:color w:val="000000"/>
                <w:sz w:val="18"/>
                <w:szCs w:val="18"/>
              </w:rPr>
              <w:t>20</w:t>
            </w:r>
            <w:r w:rsidR="0076738A" w:rsidRPr="00810564">
              <w:rPr>
                <w:rFonts w:ascii="Arial" w:hAnsi="Arial" w:cs="Arial"/>
                <w:color w:val="000000"/>
                <w:sz w:val="18"/>
                <w:szCs w:val="18"/>
              </w:rPr>
              <w:t>21</w:t>
            </w:r>
            <w:r w:rsidRPr="00810564">
              <w:rPr>
                <w:rFonts w:ascii="Arial" w:hAnsi="Arial" w:cs="Arial"/>
                <w:color w:val="000000"/>
                <w:sz w:val="18"/>
                <w:szCs w:val="18"/>
              </w:rPr>
              <w:t>-</w:t>
            </w:r>
            <w:r w:rsidR="001C5B31" w:rsidRPr="00810564">
              <w:rPr>
                <w:rFonts w:ascii="Arial" w:hAnsi="Arial" w:cs="Arial"/>
                <w:color w:val="000000"/>
                <w:sz w:val="18"/>
                <w:szCs w:val="18"/>
              </w:rPr>
              <w:t>06</w:t>
            </w:r>
            <w:r w:rsidRPr="00810564">
              <w:rPr>
                <w:rFonts w:ascii="Arial" w:hAnsi="Arial" w:cs="Arial"/>
                <w:color w:val="000000"/>
                <w:sz w:val="18"/>
                <w:szCs w:val="18"/>
              </w:rPr>
              <w:t>: SC added</w:t>
            </w:r>
            <w:r w:rsidR="00E04644" w:rsidRPr="00810564">
              <w:rPr>
                <w:rFonts w:ascii="Arial" w:hAnsi="Arial" w:cs="Arial"/>
                <w:color w:val="000000"/>
                <w:sz w:val="18"/>
                <w:szCs w:val="18"/>
              </w:rPr>
              <w:t xml:space="preserve"> topic</w:t>
            </w:r>
            <w:r w:rsidRPr="00810564">
              <w:rPr>
                <w:rFonts w:ascii="Arial" w:hAnsi="Arial" w:cs="Arial"/>
                <w:color w:val="000000"/>
                <w:sz w:val="18"/>
                <w:szCs w:val="18"/>
              </w:rPr>
              <w:t xml:space="preserve"> </w:t>
            </w:r>
            <w:r w:rsidR="00320CF6" w:rsidRPr="00810564">
              <w:rPr>
                <w:rFonts w:ascii="Arial" w:hAnsi="Arial" w:cs="Arial"/>
                <w:color w:val="000000"/>
                <w:sz w:val="18"/>
                <w:szCs w:val="18"/>
              </w:rPr>
              <w:t>to work programme (</w:t>
            </w:r>
            <w:r w:rsidR="00E04644" w:rsidRPr="00810564">
              <w:rPr>
                <w:rFonts w:ascii="Arial" w:hAnsi="Arial" w:cs="Arial"/>
                <w:color w:val="000000"/>
                <w:sz w:val="18"/>
                <w:szCs w:val="18"/>
              </w:rPr>
              <w:t>revision G</w:t>
            </w:r>
            <w:r w:rsidR="00A83CE2" w:rsidRPr="00810564">
              <w:rPr>
                <w:rFonts w:ascii="Arial" w:hAnsi="Arial" w:cs="Arial"/>
                <w:color w:val="000000"/>
                <w:sz w:val="18"/>
                <w:szCs w:val="18"/>
              </w:rPr>
              <w:t>enus</w:t>
            </w:r>
            <w:r w:rsidR="00E04644" w:rsidRPr="00810564">
              <w:rPr>
                <w:rFonts w:ascii="Arial" w:hAnsi="Arial" w:cs="Arial"/>
                <w:color w:val="000000"/>
                <w:sz w:val="18"/>
                <w:szCs w:val="18"/>
              </w:rPr>
              <w:t xml:space="preserve"> </w:t>
            </w:r>
            <w:r w:rsidR="00E04644" w:rsidRPr="00810564">
              <w:rPr>
                <w:rFonts w:ascii="Arial" w:hAnsi="Arial" w:cs="Arial"/>
                <w:i/>
                <w:iCs/>
                <w:color w:val="000000"/>
                <w:sz w:val="18"/>
                <w:szCs w:val="18"/>
              </w:rPr>
              <w:t>A</w:t>
            </w:r>
            <w:r w:rsidR="00A83CE2" w:rsidRPr="00810564">
              <w:rPr>
                <w:rFonts w:ascii="Arial" w:hAnsi="Arial" w:cs="Arial"/>
                <w:i/>
                <w:iCs/>
                <w:color w:val="000000"/>
                <w:sz w:val="18"/>
                <w:szCs w:val="18"/>
              </w:rPr>
              <w:t>nastrepha</w:t>
            </w:r>
            <w:r w:rsidR="00E04644" w:rsidRPr="00810564">
              <w:rPr>
                <w:rFonts w:ascii="Arial" w:hAnsi="Arial" w:cs="Arial"/>
                <w:color w:val="000000"/>
                <w:sz w:val="18"/>
                <w:szCs w:val="18"/>
              </w:rPr>
              <w:t xml:space="preserve"> S</w:t>
            </w:r>
            <w:r w:rsidR="00A83CE2" w:rsidRPr="00810564">
              <w:rPr>
                <w:rFonts w:ascii="Arial" w:hAnsi="Arial" w:cs="Arial"/>
                <w:color w:val="000000"/>
                <w:sz w:val="18"/>
                <w:szCs w:val="18"/>
              </w:rPr>
              <w:t xml:space="preserve">chiner, </w:t>
            </w:r>
            <w:r w:rsidR="00865DDB" w:rsidRPr="00810564">
              <w:rPr>
                <w:rFonts w:ascii="Arial" w:hAnsi="Arial" w:cs="Arial"/>
                <w:color w:val="000000"/>
                <w:sz w:val="18"/>
                <w:szCs w:val="18"/>
              </w:rPr>
              <w:t>2021-002</w:t>
            </w:r>
            <w:r w:rsidR="00A83CE2" w:rsidRPr="00810564">
              <w:rPr>
                <w:rFonts w:ascii="Arial" w:hAnsi="Arial" w:cs="Arial"/>
                <w:color w:val="000000"/>
                <w:sz w:val="18"/>
                <w:szCs w:val="18"/>
              </w:rPr>
              <w:t>)</w:t>
            </w:r>
          </w:p>
          <w:p w14:paraId="76AB83EF" w14:textId="156539D8" w:rsidR="008C4667" w:rsidRPr="00810564" w:rsidRDefault="00865DDB" w:rsidP="00D711EE">
            <w:pPr>
              <w:pBdr>
                <w:top w:val="nil"/>
                <w:left w:val="nil"/>
                <w:bottom w:val="nil"/>
                <w:right w:val="nil"/>
                <w:between w:val="nil"/>
              </w:pBdr>
              <w:spacing w:before="29" w:after="29"/>
              <w:rPr>
                <w:rFonts w:ascii="Arial" w:hAnsi="Arial" w:cs="Arial"/>
                <w:color w:val="000000"/>
                <w:sz w:val="18"/>
                <w:szCs w:val="18"/>
              </w:rPr>
            </w:pPr>
            <w:r w:rsidRPr="00810564">
              <w:rPr>
                <w:rFonts w:ascii="Arial" w:hAnsi="Arial" w:cs="Arial"/>
                <w:color w:val="000000"/>
                <w:sz w:val="18"/>
                <w:szCs w:val="18"/>
              </w:rPr>
              <w:t>2021-</w:t>
            </w:r>
            <w:r w:rsidR="00D711EE" w:rsidRPr="00810564">
              <w:rPr>
                <w:rFonts w:ascii="Arial" w:hAnsi="Arial" w:cs="Arial"/>
                <w:color w:val="000000"/>
                <w:sz w:val="18"/>
                <w:szCs w:val="18"/>
              </w:rPr>
              <w:t>09</w:t>
            </w:r>
            <w:r w:rsidR="007B2B2A" w:rsidRPr="00810564">
              <w:rPr>
                <w:rFonts w:ascii="Arial" w:hAnsi="Arial" w:cs="Arial"/>
                <w:color w:val="000000"/>
                <w:sz w:val="18"/>
                <w:szCs w:val="18"/>
              </w:rPr>
              <w:t>:</w:t>
            </w:r>
            <w:r w:rsidR="00D711EE" w:rsidRPr="00810564">
              <w:rPr>
                <w:rFonts w:ascii="Arial" w:hAnsi="Arial" w:cs="Arial"/>
                <w:color w:val="000000"/>
                <w:sz w:val="18"/>
                <w:szCs w:val="18"/>
              </w:rPr>
              <w:t xml:space="preserve"> </w:t>
            </w:r>
            <w:r w:rsidR="006C259E" w:rsidRPr="00810564">
              <w:rPr>
                <w:rFonts w:ascii="Arial" w:hAnsi="Arial" w:cs="Arial"/>
                <w:color w:val="000000"/>
                <w:sz w:val="18"/>
                <w:szCs w:val="18"/>
              </w:rPr>
              <w:t>Selected d</w:t>
            </w:r>
            <w:r w:rsidR="00D711EE" w:rsidRPr="00810564">
              <w:rPr>
                <w:rFonts w:ascii="Arial" w:hAnsi="Arial" w:cs="Arial"/>
                <w:color w:val="000000"/>
                <w:sz w:val="18"/>
                <w:szCs w:val="18"/>
              </w:rPr>
              <w:t xml:space="preserve">rafting </w:t>
            </w:r>
            <w:r w:rsidR="006C259E" w:rsidRPr="00810564">
              <w:rPr>
                <w:rFonts w:ascii="Arial" w:hAnsi="Arial" w:cs="Arial"/>
                <w:color w:val="000000"/>
                <w:sz w:val="18"/>
                <w:szCs w:val="18"/>
              </w:rPr>
              <w:t>t</w:t>
            </w:r>
            <w:r w:rsidR="00D711EE" w:rsidRPr="00810564">
              <w:rPr>
                <w:rFonts w:ascii="Arial" w:hAnsi="Arial" w:cs="Arial"/>
                <w:color w:val="000000"/>
                <w:sz w:val="18"/>
                <w:szCs w:val="18"/>
              </w:rPr>
              <w:t xml:space="preserve">eam </w:t>
            </w:r>
            <w:r w:rsidR="00A66B4D" w:rsidRPr="00810564">
              <w:rPr>
                <w:rFonts w:ascii="Arial" w:hAnsi="Arial" w:cs="Arial"/>
                <w:color w:val="000000"/>
                <w:sz w:val="18"/>
                <w:szCs w:val="18"/>
              </w:rPr>
              <w:t xml:space="preserve">notified of work and commenced </w:t>
            </w:r>
            <w:r w:rsidR="006C259E" w:rsidRPr="00810564">
              <w:rPr>
                <w:rFonts w:ascii="Arial" w:hAnsi="Arial" w:cs="Arial"/>
                <w:color w:val="000000"/>
                <w:sz w:val="18"/>
                <w:szCs w:val="18"/>
              </w:rPr>
              <w:t>revision</w:t>
            </w:r>
          </w:p>
          <w:p w14:paraId="2054451E" w14:textId="1941ADDD" w:rsidR="008A02AF" w:rsidRPr="00810564" w:rsidRDefault="008C4667" w:rsidP="00913AA9">
            <w:pPr>
              <w:pBdr>
                <w:top w:val="nil"/>
                <w:left w:val="nil"/>
                <w:bottom w:val="nil"/>
                <w:right w:val="nil"/>
                <w:between w:val="nil"/>
              </w:pBdr>
              <w:spacing w:before="60" w:after="60"/>
              <w:jc w:val="left"/>
              <w:rPr>
                <w:rFonts w:ascii="Arial" w:hAnsi="Arial" w:cs="Arial"/>
                <w:color w:val="000000"/>
                <w:sz w:val="18"/>
                <w:szCs w:val="18"/>
              </w:rPr>
            </w:pPr>
            <w:r w:rsidRPr="00810564">
              <w:rPr>
                <w:rFonts w:ascii="Arial" w:hAnsi="Arial" w:cs="Arial"/>
                <w:color w:val="000000"/>
                <w:sz w:val="18"/>
                <w:szCs w:val="18"/>
              </w:rPr>
              <w:t>202</w:t>
            </w:r>
            <w:r w:rsidR="006C259E" w:rsidRPr="00810564">
              <w:rPr>
                <w:rFonts w:ascii="Arial" w:hAnsi="Arial" w:cs="Arial"/>
                <w:color w:val="000000"/>
                <w:sz w:val="18"/>
                <w:szCs w:val="18"/>
              </w:rPr>
              <w:t>2-</w:t>
            </w:r>
            <w:r w:rsidR="008A02AF" w:rsidRPr="00810564">
              <w:rPr>
                <w:rFonts w:ascii="Arial" w:hAnsi="Arial" w:cs="Arial"/>
                <w:color w:val="000000"/>
                <w:sz w:val="18"/>
                <w:szCs w:val="18"/>
              </w:rPr>
              <w:t>09</w:t>
            </w:r>
            <w:r w:rsidRPr="00810564">
              <w:rPr>
                <w:rFonts w:ascii="Arial" w:hAnsi="Arial" w:cs="Arial"/>
                <w:color w:val="000000"/>
                <w:sz w:val="18"/>
                <w:szCs w:val="18"/>
              </w:rPr>
              <w:t xml:space="preserve">: </w:t>
            </w:r>
            <w:r w:rsidR="008A02AF" w:rsidRPr="00810564">
              <w:rPr>
                <w:rFonts w:ascii="Arial" w:hAnsi="Arial" w:cs="Arial"/>
                <w:color w:val="000000"/>
                <w:sz w:val="18"/>
                <w:szCs w:val="18"/>
              </w:rPr>
              <w:t xml:space="preserve">First draft </w:t>
            </w:r>
            <w:r w:rsidR="00A83CE2" w:rsidRPr="00810564">
              <w:rPr>
                <w:rFonts w:ascii="Arial" w:hAnsi="Arial" w:cs="Arial"/>
                <w:color w:val="000000"/>
                <w:sz w:val="18"/>
                <w:szCs w:val="18"/>
              </w:rPr>
              <w:t xml:space="preserve">submitted </w:t>
            </w:r>
            <w:r w:rsidR="000D1861" w:rsidRPr="00810564">
              <w:rPr>
                <w:rFonts w:ascii="Arial" w:hAnsi="Arial" w:cs="Arial"/>
                <w:color w:val="000000"/>
                <w:sz w:val="18"/>
                <w:szCs w:val="18"/>
              </w:rPr>
              <w:t xml:space="preserve">for </w:t>
            </w:r>
            <w:r w:rsidR="008A02AF" w:rsidRPr="00810564">
              <w:rPr>
                <w:rFonts w:ascii="Arial" w:hAnsi="Arial" w:cs="Arial"/>
                <w:color w:val="000000"/>
                <w:sz w:val="18"/>
                <w:szCs w:val="18"/>
              </w:rPr>
              <w:t xml:space="preserve">TPDP </w:t>
            </w:r>
            <w:r w:rsidR="00F97773" w:rsidRPr="00810564">
              <w:rPr>
                <w:rFonts w:ascii="Arial" w:hAnsi="Arial" w:cs="Arial"/>
                <w:color w:val="000000"/>
                <w:sz w:val="18"/>
                <w:szCs w:val="18"/>
              </w:rPr>
              <w:t xml:space="preserve">review </w:t>
            </w:r>
            <w:r w:rsidR="000D1861" w:rsidRPr="00810564">
              <w:rPr>
                <w:rFonts w:ascii="Arial" w:hAnsi="Arial" w:cs="Arial"/>
                <w:color w:val="000000"/>
                <w:sz w:val="18"/>
                <w:szCs w:val="18"/>
              </w:rPr>
              <w:t>prior to</w:t>
            </w:r>
            <w:r w:rsidR="008A02AF" w:rsidRPr="00810564">
              <w:rPr>
                <w:rFonts w:ascii="Arial" w:hAnsi="Arial" w:cs="Arial"/>
                <w:color w:val="000000"/>
                <w:sz w:val="18"/>
                <w:szCs w:val="18"/>
              </w:rPr>
              <w:t xml:space="preserve"> EC</w:t>
            </w:r>
          </w:p>
          <w:p w14:paraId="40C9AD67" w14:textId="5587A82C" w:rsidR="008C4667" w:rsidRPr="00810564" w:rsidRDefault="008C4667" w:rsidP="00913AA9">
            <w:pPr>
              <w:pBdr>
                <w:top w:val="nil"/>
                <w:left w:val="nil"/>
                <w:bottom w:val="nil"/>
                <w:right w:val="nil"/>
                <w:between w:val="nil"/>
              </w:pBdr>
              <w:spacing w:before="29" w:after="29"/>
              <w:rPr>
                <w:rFonts w:ascii="Arial" w:hAnsi="Arial" w:cs="Arial"/>
                <w:color w:val="000000"/>
                <w:sz w:val="18"/>
                <w:szCs w:val="18"/>
              </w:rPr>
            </w:pPr>
          </w:p>
        </w:tc>
      </w:tr>
      <w:tr w:rsidR="008C4667" w:rsidRPr="00810564" w14:paraId="25FF7221" w14:textId="77777777" w:rsidTr="00913AA9">
        <w:tc>
          <w:tcPr>
            <w:tcW w:w="2698" w:type="dxa"/>
            <w:tcBorders>
              <w:top w:val="single" w:sz="6" w:space="0" w:color="00000A"/>
              <w:bottom w:val="single" w:sz="6" w:space="0" w:color="00000A"/>
              <w:right w:val="single" w:sz="6" w:space="0" w:color="00000A"/>
            </w:tcBorders>
          </w:tcPr>
          <w:p w14:paraId="7A9BCE4C" w14:textId="77777777" w:rsidR="008C4667" w:rsidRPr="00810564" w:rsidRDefault="008C4667" w:rsidP="00913AA9">
            <w:pPr>
              <w:pBdr>
                <w:top w:val="nil"/>
                <w:left w:val="nil"/>
                <w:bottom w:val="nil"/>
                <w:right w:val="nil"/>
                <w:between w:val="nil"/>
              </w:pBdr>
              <w:spacing w:before="29"/>
              <w:rPr>
                <w:rFonts w:ascii="Arial" w:hAnsi="Arial" w:cs="Arial"/>
                <w:color w:val="000000"/>
                <w:sz w:val="18"/>
                <w:szCs w:val="18"/>
              </w:rPr>
            </w:pPr>
            <w:r w:rsidRPr="00810564">
              <w:rPr>
                <w:rFonts w:ascii="Arial" w:hAnsi="Arial" w:cs="Arial"/>
                <w:b/>
                <w:color w:val="000000"/>
                <w:sz w:val="18"/>
                <w:szCs w:val="18"/>
              </w:rPr>
              <w:t>Discipline leads history</w:t>
            </w:r>
            <w:r w:rsidRPr="00810564">
              <w:rPr>
                <w:rFonts w:ascii="Arial" w:hAnsi="Arial" w:cs="Arial"/>
                <w:color w:val="000000"/>
                <w:sz w:val="18"/>
                <w:szCs w:val="18"/>
              </w:rPr>
              <w:t xml:space="preserve"> </w:t>
            </w:r>
          </w:p>
        </w:tc>
        <w:tc>
          <w:tcPr>
            <w:tcW w:w="6312" w:type="dxa"/>
            <w:tcBorders>
              <w:top w:val="single" w:sz="6" w:space="0" w:color="00000A"/>
              <w:left w:val="single" w:sz="6" w:space="0" w:color="00000A"/>
              <w:bottom w:val="single" w:sz="6" w:space="0" w:color="00000A"/>
            </w:tcBorders>
          </w:tcPr>
          <w:p w14:paraId="5C3BE95E" w14:textId="506DA4D1" w:rsidR="004E6D05" w:rsidRPr="00810564" w:rsidRDefault="004E6D05" w:rsidP="00913AA9">
            <w:pPr>
              <w:pBdr>
                <w:top w:val="nil"/>
                <w:left w:val="nil"/>
                <w:bottom w:val="nil"/>
                <w:right w:val="nil"/>
                <w:between w:val="nil"/>
              </w:pBdr>
              <w:spacing w:before="60" w:after="60"/>
              <w:jc w:val="left"/>
              <w:rPr>
                <w:rFonts w:ascii="Arial" w:hAnsi="Arial" w:cs="Arial"/>
                <w:color w:val="000000"/>
                <w:sz w:val="18"/>
                <w:szCs w:val="18"/>
                <w:lang w:val="it-IT"/>
              </w:rPr>
            </w:pPr>
            <w:r w:rsidRPr="00810564">
              <w:rPr>
                <w:rFonts w:ascii="Arial" w:hAnsi="Arial" w:cs="Arial"/>
                <w:color w:val="000000" w:themeColor="text1"/>
                <w:sz w:val="18"/>
                <w:szCs w:val="18"/>
                <w:lang w:val="it-IT"/>
              </w:rPr>
              <w:t>Norman BARR</w:t>
            </w:r>
            <w:r w:rsidRPr="00810564">
              <w:rPr>
                <w:rFonts w:ascii="Arial" w:eastAsia="Arial" w:hAnsi="Arial" w:cs="Arial"/>
                <w:color w:val="000000" w:themeColor="text1"/>
                <w:sz w:val="18"/>
                <w:szCs w:val="18"/>
                <w:lang w:val="it-IT"/>
              </w:rPr>
              <w:t xml:space="preserve"> (</w:t>
            </w:r>
            <w:r w:rsidRPr="00810564">
              <w:rPr>
                <w:rFonts w:ascii="Arial" w:hAnsi="Arial" w:cs="Arial"/>
                <w:color w:val="000000" w:themeColor="text1"/>
                <w:sz w:val="18"/>
                <w:szCs w:val="18"/>
                <w:lang w:val="it-IT"/>
              </w:rPr>
              <w:t>USA</w:t>
            </w:r>
            <w:r w:rsidRPr="00810564">
              <w:rPr>
                <w:rFonts w:ascii="Arial" w:eastAsia="Arial" w:hAnsi="Arial" w:cs="Arial"/>
                <w:color w:val="000000" w:themeColor="text1"/>
                <w:sz w:val="18"/>
                <w:szCs w:val="18"/>
                <w:lang w:val="it-IT"/>
              </w:rPr>
              <w:t xml:space="preserve">, </w:t>
            </w:r>
            <w:r w:rsidRPr="00810564">
              <w:rPr>
                <w:rFonts w:ascii="Arial" w:hAnsi="Arial" w:cs="Arial"/>
                <w:color w:val="000000" w:themeColor="text1"/>
                <w:sz w:val="18"/>
                <w:szCs w:val="18"/>
                <w:lang w:val="it-IT"/>
              </w:rPr>
              <w:t>Discipline lead)</w:t>
            </w:r>
          </w:p>
          <w:p w14:paraId="0BF736D6" w14:textId="7B804335" w:rsidR="008C4667" w:rsidRPr="00810564" w:rsidRDefault="008C4667" w:rsidP="004E6D05">
            <w:pPr>
              <w:pBdr>
                <w:top w:val="nil"/>
                <w:left w:val="nil"/>
                <w:bottom w:val="nil"/>
                <w:right w:val="nil"/>
                <w:between w:val="nil"/>
              </w:pBdr>
              <w:spacing w:before="60" w:after="60"/>
              <w:jc w:val="left"/>
              <w:rPr>
                <w:rFonts w:ascii="Arial" w:hAnsi="Arial" w:cs="Arial"/>
                <w:color w:val="000000"/>
                <w:sz w:val="18"/>
                <w:szCs w:val="18"/>
              </w:rPr>
            </w:pPr>
            <w:r w:rsidRPr="00810564">
              <w:rPr>
                <w:rFonts w:ascii="Arial" w:hAnsi="Arial" w:cs="Arial"/>
                <w:color w:val="000000" w:themeColor="text1"/>
                <w:sz w:val="18"/>
                <w:szCs w:val="18"/>
              </w:rPr>
              <w:t>Juliet GOLDSMITH</w:t>
            </w:r>
            <w:r w:rsidRPr="00810564">
              <w:rPr>
                <w:rFonts w:ascii="Arial" w:eastAsia="Arial" w:hAnsi="Arial" w:cs="Arial"/>
                <w:color w:val="000000" w:themeColor="text1"/>
                <w:sz w:val="18"/>
                <w:szCs w:val="18"/>
              </w:rPr>
              <w:t xml:space="preserve"> (</w:t>
            </w:r>
            <w:r w:rsidRPr="00810564">
              <w:rPr>
                <w:rFonts w:ascii="Arial" w:hAnsi="Arial" w:cs="Arial"/>
                <w:color w:val="000000" w:themeColor="text1"/>
                <w:sz w:val="18"/>
                <w:szCs w:val="18"/>
              </w:rPr>
              <w:t>JM</w:t>
            </w:r>
            <w:r w:rsidRPr="00810564">
              <w:rPr>
                <w:rFonts w:ascii="Arial" w:eastAsia="Arial" w:hAnsi="Arial" w:cs="Arial"/>
                <w:color w:val="000000" w:themeColor="text1"/>
                <w:sz w:val="18"/>
                <w:szCs w:val="18"/>
              </w:rPr>
              <w:t xml:space="preserve">, </w:t>
            </w:r>
            <w:r w:rsidR="004E6D05" w:rsidRPr="00810564">
              <w:rPr>
                <w:rFonts w:ascii="Arial" w:hAnsi="Arial" w:cs="Arial"/>
                <w:color w:val="000000" w:themeColor="text1"/>
                <w:sz w:val="18"/>
                <w:szCs w:val="18"/>
              </w:rPr>
              <w:t>REFEREE</w:t>
            </w:r>
            <w:r w:rsidRPr="00810564">
              <w:rPr>
                <w:rFonts w:ascii="Arial" w:hAnsi="Arial" w:cs="Arial"/>
                <w:color w:val="000000" w:themeColor="text1"/>
                <w:sz w:val="18"/>
                <w:szCs w:val="18"/>
              </w:rPr>
              <w:t>)</w:t>
            </w:r>
          </w:p>
        </w:tc>
      </w:tr>
      <w:tr w:rsidR="008C4667" w:rsidRPr="00810564" w14:paraId="63FEF9A0" w14:textId="77777777" w:rsidTr="00913AA9">
        <w:tc>
          <w:tcPr>
            <w:tcW w:w="2698" w:type="dxa"/>
            <w:tcBorders>
              <w:top w:val="single" w:sz="6" w:space="0" w:color="00000A"/>
              <w:bottom w:val="single" w:sz="6" w:space="0" w:color="00000A"/>
              <w:right w:val="single" w:sz="6" w:space="0" w:color="00000A"/>
            </w:tcBorders>
          </w:tcPr>
          <w:p w14:paraId="53CA3347" w14:textId="77777777" w:rsidR="008C4667" w:rsidRPr="00810564" w:rsidRDefault="008C4667" w:rsidP="00913AA9">
            <w:pPr>
              <w:pBdr>
                <w:top w:val="nil"/>
                <w:left w:val="nil"/>
                <w:bottom w:val="nil"/>
                <w:right w:val="nil"/>
                <w:between w:val="nil"/>
              </w:pBdr>
              <w:spacing w:before="29"/>
              <w:rPr>
                <w:rFonts w:ascii="Arial" w:hAnsi="Arial" w:cs="Arial"/>
                <w:color w:val="000000"/>
                <w:sz w:val="18"/>
                <w:szCs w:val="18"/>
              </w:rPr>
            </w:pPr>
            <w:r w:rsidRPr="00810564">
              <w:rPr>
                <w:rFonts w:ascii="Arial" w:hAnsi="Arial" w:cs="Arial"/>
                <w:b/>
                <w:color w:val="000000"/>
                <w:sz w:val="18"/>
                <w:szCs w:val="18"/>
              </w:rPr>
              <w:t xml:space="preserve">Consultation at the technical level </w:t>
            </w:r>
          </w:p>
        </w:tc>
        <w:tc>
          <w:tcPr>
            <w:tcW w:w="6312" w:type="dxa"/>
            <w:tcBorders>
              <w:top w:val="single" w:sz="6" w:space="0" w:color="00000A"/>
              <w:left w:val="single" w:sz="6" w:space="0" w:color="00000A"/>
              <w:bottom w:val="single" w:sz="6" w:space="0" w:color="00000A"/>
            </w:tcBorders>
          </w:tcPr>
          <w:p w14:paraId="0F1E1C16" w14:textId="77777777" w:rsidR="008C4667" w:rsidRPr="00810564" w:rsidRDefault="008C4667" w:rsidP="00913AA9">
            <w:pPr>
              <w:pBdr>
                <w:top w:val="nil"/>
                <w:left w:val="nil"/>
                <w:bottom w:val="nil"/>
                <w:right w:val="nil"/>
                <w:between w:val="nil"/>
              </w:pBdr>
              <w:spacing w:before="29" w:after="29"/>
              <w:rPr>
                <w:rFonts w:ascii="Arial" w:hAnsi="Arial" w:cs="Arial"/>
                <w:color w:val="000000"/>
                <w:sz w:val="18"/>
                <w:szCs w:val="18"/>
              </w:rPr>
            </w:pPr>
            <w:r w:rsidRPr="00810564">
              <w:rPr>
                <w:rFonts w:ascii="Arial" w:hAnsi="Arial" w:cs="Arial"/>
                <w:color w:val="000000"/>
                <w:sz w:val="18"/>
                <w:szCs w:val="18"/>
              </w:rPr>
              <w:t xml:space="preserve">The first draft of this protocol was written by: </w:t>
            </w:r>
          </w:p>
          <w:p w14:paraId="1128440C" w14:textId="31EB843B" w:rsidR="008C4667" w:rsidRPr="00810564" w:rsidRDefault="004E6D05" w:rsidP="00913AA9">
            <w:pPr>
              <w:pBdr>
                <w:top w:val="nil"/>
                <w:left w:val="nil"/>
                <w:bottom w:val="nil"/>
                <w:right w:val="nil"/>
                <w:between w:val="nil"/>
              </w:pBdr>
              <w:ind w:left="400"/>
              <w:rPr>
                <w:rFonts w:ascii="Arial" w:hAnsi="Arial" w:cs="Arial"/>
                <w:color w:val="000000"/>
                <w:sz w:val="18"/>
                <w:szCs w:val="18"/>
              </w:rPr>
            </w:pPr>
            <w:r w:rsidRPr="00810564">
              <w:rPr>
                <w:rFonts w:ascii="Arial" w:hAnsi="Arial" w:cs="Arial"/>
                <w:sz w:val="18"/>
                <w:szCs w:val="18"/>
                <w:lang w:val="en-US"/>
              </w:rPr>
              <w:t>Mr Raul RUIZ-ARCE</w:t>
            </w:r>
            <w:r w:rsidRPr="00810564">
              <w:rPr>
                <w:rFonts w:ascii="Arial" w:hAnsi="Arial" w:cs="Arial"/>
                <w:color w:val="000000"/>
                <w:sz w:val="18"/>
                <w:szCs w:val="18"/>
              </w:rPr>
              <w:t xml:space="preserve"> </w:t>
            </w:r>
            <w:r w:rsidR="008C4667" w:rsidRPr="00810564">
              <w:rPr>
                <w:rFonts w:ascii="Arial" w:hAnsi="Arial" w:cs="Arial"/>
                <w:color w:val="000000"/>
                <w:sz w:val="18"/>
                <w:szCs w:val="18"/>
              </w:rPr>
              <w:t>(USA) (lead author)</w:t>
            </w:r>
          </w:p>
          <w:p w14:paraId="50C741D9" w14:textId="0F4D4643" w:rsidR="008C4667" w:rsidRPr="00810564" w:rsidRDefault="004E6D05" w:rsidP="00913AA9">
            <w:pPr>
              <w:pBdr>
                <w:top w:val="nil"/>
                <w:left w:val="nil"/>
                <w:bottom w:val="nil"/>
                <w:right w:val="nil"/>
                <w:between w:val="nil"/>
              </w:pBdr>
              <w:ind w:left="400"/>
              <w:rPr>
                <w:rFonts w:ascii="Arial" w:hAnsi="Arial" w:cs="Arial"/>
                <w:color w:val="000000"/>
                <w:sz w:val="18"/>
                <w:szCs w:val="18"/>
              </w:rPr>
            </w:pPr>
            <w:r w:rsidRPr="00810564">
              <w:rPr>
                <w:rFonts w:ascii="Arial" w:hAnsi="Arial" w:cs="Arial"/>
                <w:sz w:val="18"/>
                <w:szCs w:val="18"/>
                <w:lang w:val="en-US"/>
              </w:rPr>
              <w:t>Mr Allen NORRBOM</w:t>
            </w:r>
            <w:r w:rsidRPr="00810564">
              <w:rPr>
                <w:rFonts w:ascii="Arial" w:hAnsi="Arial" w:cs="Arial"/>
                <w:color w:val="000000"/>
                <w:sz w:val="18"/>
                <w:szCs w:val="18"/>
              </w:rPr>
              <w:t xml:space="preserve"> </w:t>
            </w:r>
            <w:r w:rsidR="008C4667" w:rsidRPr="00810564">
              <w:rPr>
                <w:rFonts w:ascii="Arial" w:hAnsi="Arial" w:cs="Arial"/>
                <w:color w:val="000000"/>
                <w:sz w:val="18"/>
                <w:szCs w:val="18"/>
              </w:rPr>
              <w:t>(</w:t>
            </w:r>
            <w:r w:rsidRPr="00810564">
              <w:rPr>
                <w:rFonts w:ascii="Arial" w:hAnsi="Arial" w:cs="Arial"/>
                <w:color w:val="000000"/>
                <w:sz w:val="18"/>
                <w:szCs w:val="18"/>
              </w:rPr>
              <w:t>USA</w:t>
            </w:r>
            <w:r w:rsidR="008C4667" w:rsidRPr="00810564">
              <w:rPr>
                <w:rFonts w:ascii="Arial" w:hAnsi="Arial" w:cs="Arial"/>
                <w:color w:val="000000"/>
                <w:sz w:val="18"/>
                <w:szCs w:val="18"/>
              </w:rPr>
              <w:t>)</w:t>
            </w:r>
          </w:p>
          <w:p w14:paraId="0735F23C" w14:textId="7A57A818" w:rsidR="008C4667" w:rsidRPr="00810564" w:rsidRDefault="004E6D05" w:rsidP="00913AA9">
            <w:pPr>
              <w:pBdr>
                <w:top w:val="nil"/>
                <w:left w:val="nil"/>
                <w:bottom w:val="nil"/>
                <w:right w:val="nil"/>
                <w:between w:val="nil"/>
              </w:pBdr>
              <w:ind w:left="400"/>
              <w:rPr>
                <w:rFonts w:ascii="Arial" w:hAnsi="Arial" w:cs="Arial"/>
                <w:color w:val="000000"/>
                <w:sz w:val="18"/>
                <w:szCs w:val="18"/>
              </w:rPr>
            </w:pPr>
            <w:r w:rsidRPr="00810564">
              <w:rPr>
                <w:rFonts w:ascii="Arial" w:hAnsi="Arial" w:cs="Arial"/>
                <w:sz w:val="18"/>
                <w:szCs w:val="18"/>
                <w:lang w:val="en-US"/>
              </w:rPr>
              <w:t>Mr Ignacio DUMOIS</w:t>
            </w:r>
            <w:r w:rsidRPr="00810564">
              <w:rPr>
                <w:rFonts w:ascii="Arial" w:hAnsi="Arial" w:cs="Arial"/>
                <w:color w:val="000000"/>
                <w:sz w:val="18"/>
                <w:szCs w:val="18"/>
              </w:rPr>
              <w:t xml:space="preserve"> </w:t>
            </w:r>
            <w:r w:rsidR="008C4667" w:rsidRPr="00810564">
              <w:rPr>
                <w:rFonts w:ascii="Arial" w:hAnsi="Arial" w:cs="Arial"/>
                <w:color w:val="000000"/>
                <w:sz w:val="18"/>
                <w:szCs w:val="18"/>
              </w:rPr>
              <w:t>(</w:t>
            </w:r>
            <w:r w:rsidRPr="00810564">
              <w:rPr>
                <w:rFonts w:ascii="Arial" w:hAnsi="Arial" w:cs="Arial"/>
                <w:color w:val="000000"/>
                <w:sz w:val="18"/>
                <w:szCs w:val="18"/>
              </w:rPr>
              <w:t>Argentina</w:t>
            </w:r>
            <w:r w:rsidR="008C4667" w:rsidRPr="00810564">
              <w:rPr>
                <w:rFonts w:ascii="Arial" w:hAnsi="Arial" w:cs="Arial"/>
                <w:color w:val="000000"/>
                <w:sz w:val="18"/>
                <w:szCs w:val="18"/>
              </w:rPr>
              <w:t>)</w:t>
            </w:r>
          </w:p>
          <w:p w14:paraId="69888E83" w14:textId="61814C44" w:rsidR="004E6D05" w:rsidRPr="00810564" w:rsidRDefault="004E6D05" w:rsidP="00913AA9">
            <w:pPr>
              <w:pBdr>
                <w:top w:val="nil"/>
                <w:left w:val="nil"/>
                <w:bottom w:val="nil"/>
                <w:right w:val="nil"/>
                <w:between w:val="nil"/>
              </w:pBdr>
              <w:ind w:left="400"/>
              <w:rPr>
                <w:rFonts w:ascii="Arial" w:hAnsi="Arial" w:cs="Arial"/>
                <w:sz w:val="18"/>
                <w:szCs w:val="18"/>
                <w:lang w:val="en-US"/>
              </w:rPr>
            </w:pPr>
            <w:r w:rsidRPr="00810564">
              <w:rPr>
                <w:rFonts w:ascii="Arial" w:hAnsi="Arial" w:cs="Arial"/>
                <w:sz w:val="18"/>
                <w:szCs w:val="18"/>
                <w:lang w:val="en-US"/>
              </w:rPr>
              <w:t>Ms Thoa KIM-HOANG (Viet Nam)</w:t>
            </w:r>
          </w:p>
          <w:p w14:paraId="3B9A9774" w14:textId="042B260D" w:rsidR="008C4667" w:rsidRPr="00810564" w:rsidRDefault="008C4667" w:rsidP="00913AA9">
            <w:pPr>
              <w:pBdr>
                <w:top w:val="nil"/>
                <w:left w:val="nil"/>
                <w:bottom w:val="nil"/>
                <w:right w:val="nil"/>
                <w:between w:val="nil"/>
              </w:pBdr>
              <w:ind w:left="400"/>
              <w:rPr>
                <w:rFonts w:ascii="Arial" w:hAnsi="Arial" w:cs="Arial"/>
                <w:color w:val="000000"/>
                <w:sz w:val="18"/>
                <w:szCs w:val="18"/>
              </w:rPr>
            </w:pPr>
            <w:r w:rsidRPr="00810564">
              <w:rPr>
                <w:rFonts w:ascii="Arial" w:hAnsi="Arial" w:cs="Arial"/>
                <w:color w:val="000000"/>
                <w:sz w:val="18"/>
                <w:szCs w:val="18"/>
              </w:rPr>
              <w:t xml:space="preserve">Mr. Gary </w:t>
            </w:r>
            <w:r w:rsidR="00890CF0" w:rsidRPr="00810564">
              <w:rPr>
                <w:rFonts w:ascii="Arial" w:hAnsi="Arial" w:cs="Arial"/>
                <w:color w:val="000000"/>
                <w:sz w:val="18"/>
                <w:szCs w:val="18"/>
              </w:rPr>
              <w:t>STECK</w:t>
            </w:r>
            <w:r w:rsidRPr="00810564">
              <w:rPr>
                <w:rFonts w:ascii="Arial" w:hAnsi="Arial" w:cs="Arial"/>
                <w:color w:val="000000"/>
                <w:sz w:val="18"/>
                <w:szCs w:val="18"/>
              </w:rPr>
              <w:t xml:space="preserve"> (USA)</w:t>
            </w:r>
          </w:p>
          <w:p w14:paraId="34B104B3" w14:textId="77777777" w:rsidR="008C4667" w:rsidRPr="00810564" w:rsidRDefault="008C4667" w:rsidP="00913AA9">
            <w:pPr>
              <w:pBdr>
                <w:top w:val="nil"/>
                <w:left w:val="nil"/>
                <w:bottom w:val="nil"/>
                <w:right w:val="nil"/>
                <w:between w:val="nil"/>
              </w:pBdr>
              <w:ind w:left="400"/>
              <w:rPr>
                <w:rFonts w:ascii="Arial" w:hAnsi="Arial" w:cs="Arial"/>
                <w:color w:val="000000"/>
                <w:sz w:val="18"/>
                <w:szCs w:val="18"/>
              </w:rPr>
            </w:pPr>
          </w:p>
          <w:p w14:paraId="060E0C6A" w14:textId="099D48CB" w:rsidR="008C4667" w:rsidRPr="00810564" w:rsidRDefault="008C4667" w:rsidP="00913AA9">
            <w:pPr>
              <w:pBdr>
                <w:top w:val="nil"/>
                <w:left w:val="nil"/>
                <w:bottom w:val="nil"/>
                <w:right w:val="nil"/>
                <w:between w:val="nil"/>
              </w:pBdr>
              <w:rPr>
                <w:rFonts w:ascii="Arial" w:hAnsi="Arial" w:cs="Arial"/>
                <w:color w:val="000000"/>
                <w:sz w:val="18"/>
                <w:szCs w:val="18"/>
              </w:rPr>
            </w:pPr>
          </w:p>
        </w:tc>
      </w:tr>
      <w:tr w:rsidR="008C4667" w:rsidRPr="00810564" w14:paraId="7823737F" w14:textId="77777777" w:rsidTr="00913AA9">
        <w:tc>
          <w:tcPr>
            <w:tcW w:w="2698" w:type="dxa"/>
            <w:tcBorders>
              <w:top w:val="single" w:sz="6" w:space="0" w:color="00000A"/>
              <w:bottom w:val="single" w:sz="6" w:space="0" w:color="00000A"/>
              <w:right w:val="single" w:sz="6" w:space="0" w:color="00000A"/>
            </w:tcBorders>
          </w:tcPr>
          <w:p w14:paraId="47BB5507" w14:textId="77777777" w:rsidR="008C4667" w:rsidRPr="00810564" w:rsidRDefault="008C4667" w:rsidP="00913AA9">
            <w:pPr>
              <w:pBdr>
                <w:top w:val="nil"/>
                <w:left w:val="nil"/>
                <w:bottom w:val="nil"/>
                <w:right w:val="nil"/>
                <w:between w:val="nil"/>
              </w:pBdr>
              <w:spacing w:before="29"/>
              <w:rPr>
                <w:rFonts w:ascii="Arial" w:hAnsi="Arial" w:cs="Arial"/>
                <w:color w:val="000000"/>
                <w:sz w:val="18"/>
                <w:szCs w:val="18"/>
              </w:rPr>
            </w:pPr>
            <w:r w:rsidRPr="00810564">
              <w:rPr>
                <w:rFonts w:ascii="Arial" w:hAnsi="Arial" w:cs="Arial"/>
                <w:b/>
                <w:color w:val="000000"/>
                <w:sz w:val="18"/>
                <w:szCs w:val="18"/>
              </w:rPr>
              <w:t>Main discussion points during the development of the diagnostic protocol</w:t>
            </w:r>
            <w:r w:rsidRPr="00810564">
              <w:rPr>
                <w:rFonts w:ascii="Arial" w:hAnsi="Arial" w:cs="Arial"/>
                <w:color w:val="000000"/>
                <w:sz w:val="18"/>
                <w:szCs w:val="18"/>
              </w:rPr>
              <w:t xml:space="preserve"> </w:t>
            </w:r>
          </w:p>
        </w:tc>
        <w:tc>
          <w:tcPr>
            <w:tcW w:w="6312" w:type="dxa"/>
            <w:tcBorders>
              <w:top w:val="single" w:sz="6" w:space="0" w:color="00000A"/>
              <w:left w:val="single" w:sz="6" w:space="0" w:color="00000A"/>
              <w:bottom w:val="single" w:sz="6" w:space="0" w:color="00000A"/>
            </w:tcBorders>
          </w:tcPr>
          <w:p w14:paraId="78B9C894" w14:textId="77777777" w:rsidR="008C4667" w:rsidRPr="00810564" w:rsidRDefault="008C4667" w:rsidP="00913AA9">
            <w:pPr>
              <w:pBdr>
                <w:top w:val="nil"/>
                <w:left w:val="nil"/>
                <w:bottom w:val="nil"/>
                <w:right w:val="nil"/>
                <w:between w:val="nil"/>
              </w:pBdr>
              <w:spacing w:before="60" w:after="60"/>
              <w:jc w:val="left"/>
              <w:rPr>
                <w:rFonts w:ascii="Arial" w:hAnsi="Arial" w:cs="Arial"/>
                <w:color w:val="000000"/>
                <w:sz w:val="18"/>
                <w:szCs w:val="18"/>
              </w:rPr>
            </w:pPr>
            <w:r w:rsidRPr="00810564">
              <w:rPr>
                <w:rFonts w:ascii="Arial" w:hAnsi="Arial" w:cs="Arial"/>
                <w:b/>
                <w:color w:val="000000"/>
                <w:sz w:val="18"/>
                <w:szCs w:val="18"/>
              </w:rPr>
              <w:t>Comment:</w:t>
            </w:r>
            <w:r w:rsidRPr="00810564">
              <w:rPr>
                <w:rFonts w:ascii="Arial" w:hAnsi="Arial" w:cs="Arial"/>
                <w:color w:val="000000"/>
                <w:sz w:val="18"/>
                <w:szCs w:val="18"/>
              </w:rPr>
              <w:t xml:space="preserve"> </w:t>
            </w:r>
          </w:p>
          <w:p w14:paraId="223DBA72" w14:textId="7F4787A2" w:rsidR="00890CF0" w:rsidRPr="00810564" w:rsidRDefault="00890CF0" w:rsidP="00890CF0">
            <w:pPr>
              <w:pBdr>
                <w:top w:val="nil"/>
                <w:left w:val="nil"/>
                <w:bottom w:val="nil"/>
                <w:right w:val="nil"/>
                <w:between w:val="nil"/>
              </w:pBdr>
              <w:spacing w:before="60" w:after="60"/>
              <w:jc w:val="left"/>
              <w:rPr>
                <w:rFonts w:ascii="Arial" w:hAnsi="Arial" w:cs="Arial"/>
                <w:color w:val="000000"/>
                <w:sz w:val="18"/>
                <w:szCs w:val="18"/>
              </w:rPr>
            </w:pPr>
            <w:r w:rsidRPr="00810564">
              <w:rPr>
                <w:rFonts w:ascii="Arial" w:hAnsi="Arial" w:cs="Arial"/>
                <w:color w:val="000000"/>
                <w:sz w:val="18"/>
                <w:szCs w:val="18"/>
              </w:rPr>
              <w:t xml:space="preserve">The number of species treated for species diagnosis is increased to eight in the DP because the genus </w:t>
            </w:r>
            <w:r w:rsidRPr="00810564">
              <w:rPr>
                <w:rFonts w:ascii="Arial" w:hAnsi="Arial" w:cs="Arial"/>
                <w:i/>
                <w:iCs/>
                <w:color w:val="000000"/>
                <w:sz w:val="18"/>
                <w:szCs w:val="18"/>
              </w:rPr>
              <w:t>Toxotrypana</w:t>
            </w:r>
            <w:r w:rsidRPr="00810564">
              <w:rPr>
                <w:rFonts w:ascii="Arial" w:hAnsi="Arial" w:cs="Arial"/>
                <w:color w:val="000000"/>
                <w:sz w:val="18"/>
                <w:szCs w:val="18"/>
              </w:rPr>
              <w:t xml:space="preserve"> was revised and is considered part of </w:t>
            </w:r>
            <w:r w:rsidRPr="00810564">
              <w:rPr>
                <w:rFonts w:ascii="Arial" w:hAnsi="Arial" w:cs="Arial"/>
                <w:i/>
                <w:iCs/>
                <w:color w:val="000000"/>
                <w:sz w:val="18"/>
                <w:szCs w:val="18"/>
              </w:rPr>
              <w:t>Anastrepha</w:t>
            </w:r>
            <w:r w:rsidRPr="00810564">
              <w:rPr>
                <w:rFonts w:ascii="Arial" w:hAnsi="Arial" w:cs="Arial"/>
                <w:color w:val="000000"/>
                <w:sz w:val="18"/>
                <w:szCs w:val="18"/>
              </w:rPr>
              <w:t xml:space="preserve">. The pest </w:t>
            </w:r>
            <w:r w:rsidRPr="00810564">
              <w:rPr>
                <w:rFonts w:ascii="Arial" w:hAnsi="Arial" w:cs="Arial"/>
                <w:i/>
                <w:iCs/>
                <w:color w:val="000000"/>
                <w:sz w:val="18"/>
                <w:szCs w:val="18"/>
              </w:rPr>
              <w:t>Anastrepha curvicauda</w:t>
            </w:r>
            <w:r w:rsidRPr="00810564">
              <w:rPr>
                <w:rFonts w:ascii="Arial" w:hAnsi="Arial" w:cs="Arial"/>
                <w:color w:val="000000"/>
                <w:sz w:val="18"/>
                <w:szCs w:val="18"/>
              </w:rPr>
              <w:t xml:space="preserve"> (= </w:t>
            </w:r>
            <w:r w:rsidRPr="00810564">
              <w:rPr>
                <w:rFonts w:ascii="Arial" w:hAnsi="Arial" w:cs="Arial"/>
                <w:i/>
                <w:iCs/>
                <w:color w:val="000000"/>
                <w:sz w:val="18"/>
                <w:szCs w:val="18"/>
              </w:rPr>
              <w:t>T. curvicauda</w:t>
            </w:r>
            <w:r w:rsidRPr="00810564">
              <w:rPr>
                <w:rFonts w:ascii="Arial" w:hAnsi="Arial" w:cs="Arial"/>
                <w:color w:val="000000"/>
                <w:sz w:val="18"/>
                <w:szCs w:val="18"/>
              </w:rPr>
              <w:t>) is included in protocol.</w:t>
            </w:r>
          </w:p>
          <w:p w14:paraId="762B58F2" w14:textId="77777777" w:rsidR="00890CF0" w:rsidRPr="00810564" w:rsidRDefault="00890CF0" w:rsidP="00890CF0">
            <w:pPr>
              <w:pBdr>
                <w:top w:val="nil"/>
                <w:left w:val="nil"/>
                <w:bottom w:val="nil"/>
                <w:right w:val="nil"/>
                <w:between w:val="nil"/>
              </w:pBdr>
              <w:spacing w:before="60" w:after="60"/>
              <w:jc w:val="left"/>
              <w:rPr>
                <w:rFonts w:ascii="Arial" w:hAnsi="Arial" w:cs="Arial"/>
                <w:color w:val="000000"/>
                <w:sz w:val="18"/>
                <w:szCs w:val="18"/>
              </w:rPr>
            </w:pPr>
          </w:p>
          <w:p w14:paraId="0A50CA35" w14:textId="6AF709BE" w:rsidR="008C4667" w:rsidRPr="00810564" w:rsidRDefault="00890CF0" w:rsidP="00890CF0">
            <w:pPr>
              <w:pBdr>
                <w:top w:val="nil"/>
                <w:left w:val="nil"/>
                <w:bottom w:val="nil"/>
                <w:right w:val="nil"/>
                <w:between w:val="nil"/>
              </w:pBdr>
              <w:spacing w:before="60" w:after="60"/>
              <w:jc w:val="left"/>
              <w:rPr>
                <w:rFonts w:ascii="Arial" w:hAnsi="Arial" w:cs="Arial"/>
                <w:color w:val="000000"/>
                <w:sz w:val="18"/>
                <w:szCs w:val="18"/>
              </w:rPr>
            </w:pPr>
            <w:r w:rsidRPr="00810564">
              <w:rPr>
                <w:rFonts w:ascii="Arial" w:hAnsi="Arial" w:cs="Arial"/>
                <w:color w:val="000000"/>
                <w:sz w:val="18"/>
                <w:szCs w:val="18"/>
              </w:rPr>
              <w:t xml:space="preserve">The original drafting team requested inclusion of Mr. Gary Steck as a team member to provide significant additions to diagnosis of larvae and the IPPC formally reviewed and approved the addition. </w:t>
            </w:r>
          </w:p>
          <w:p w14:paraId="586A1138" w14:textId="77777777" w:rsidR="008C4667" w:rsidRPr="00810564" w:rsidRDefault="008C4667" w:rsidP="00913AA9">
            <w:pPr>
              <w:pBdr>
                <w:top w:val="nil"/>
                <w:left w:val="nil"/>
                <w:bottom w:val="nil"/>
                <w:right w:val="nil"/>
                <w:between w:val="nil"/>
              </w:pBdr>
              <w:spacing w:before="60" w:after="60"/>
              <w:ind w:left="720"/>
              <w:jc w:val="left"/>
              <w:rPr>
                <w:rFonts w:ascii="Arial" w:hAnsi="Arial" w:cs="Arial"/>
                <w:color w:val="000000"/>
                <w:sz w:val="18"/>
                <w:szCs w:val="18"/>
              </w:rPr>
            </w:pPr>
          </w:p>
        </w:tc>
      </w:tr>
      <w:tr w:rsidR="008C4667" w:rsidRPr="00810564" w14:paraId="5471B1E6" w14:textId="77777777" w:rsidTr="00913AA9">
        <w:tc>
          <w:tcPr>
            <w:tcW w:w="2698" w:type="dxa"/>
            <w:tcBorders>
              <w:top w:val="single" w:sz="6" w:space="0" w:color="00000A"/>
              <w:bottom w:val="single" w:sz="6" w:space="0" w:color="00000A"/>
              <w:right w:val="single" w:sz="6" w:space="0" w:color="00000A"/>
            </w:tcBorders>
          </w:tcPr>
          <w:p w14:paraId="0312CD65" w14:textId="77777777" w:rsidR="008C4667" w:rsidRPr="00810564" w:rsidRDefault="008C4667" w:rsidP="00913AA9">
            <w:pPr>
              <w:pBdr>
                <w:top w:val="nil"/>
                <w:left w:val="nil"/>
                <w:bottom w:val="nil"/>
                <w:right w:val="nil"/>
                <w:between w:val="nil"/>
              </w:pBdr>
              <w:spacing w:before="29"/>
              <w:rPr>
                <w:rFonts w:ascii="Arial" w:hAnsi="Arial" w:cs="Arial"/>
                <w:color w:val="000000"/>
                <w:sz w:val="18"/>
                <w:szCs w:val="18"/>
              </w:rPr>
            </w:pPr>
            <w:r w:rsidRPr="00810564">
              <w:rPr>
                <w:rFonts w:ascii="Arial" w:hAnsi="Arial" w:cs="Arial"/>
                <w:b/>
                <w:color w:val="000000"/>
                <w:sz w:val="18"/>
                <w:szCs w:val="18"/>
              </w:rPr>
              <w:t>Notes</w:t>
            </w:r>
            <w:r w:rsidRPr="00810564">
              <w:rPr>
                <w:rFonts w:ascii="Arial" w:hAnsi="Arial" w:cs="Arial"/>
                <w:color w:val="000000"/>
                <w:sz w:val="18"/>
                <w:szCs w:val="18"/>
              </w:rPr>
              <w:t xml:space="preserve"> </w:t>
            </w:r>
          </w:p>
        </w:tc>
        <w:tc>
          <w:tcPr>
            <w:tcW w:w="6312" w:type="dxa"/>
            <w:tcBorders>
              <w:top w:val="single" w:sz="6" w:space="0" w:color="00000A"/>
              <w:left w:val="single" w:sz="6" w:space="0" w:color="00000A"/>
              <w:bottom w:val="single" w:sz="6" w:space="0" w:color="00000A"/>
            </w:tcBorders>
          </w:tcPr>
          <w:p w14:paraId="518B2065" w14:textId="501E3F40" w:rsidR="008B02E3" w:rsidRPr="00810564" w:rsidRDefault="00AC4443" w:rsidP="00913AA9">
            <w:pPr>
              <w:pBdr>
                <w:top w:val="nil"/>
                <w:left w:val="nil"/>
                <w:bottom w:val="nil"/>
                <w:right w:val="nil"/>
                <w:between w:val="nil"/>
              </w:pBdr>
              <w:spacing w:before="60" w:after="60"/>
              <w:jc w:val="left"/>
              <w:rPr>
                <w:rFonts w:ascii="Arial" w:hAnsi="Arial" w:cs="Arial"/>
                <w:color w:val="000000"/>
                <w:sz w:val="18"/>
                <w:szCs w:val="18"/>
              </w:rPr>
            </w:pPr>
            <w:r w:rsidRPr="00810564">
              <w:rPr>
                <w:rFonts w:ascii="Arial" w:hAnsi="Arial" w:cs="Arial"/>
                <w:color w:val="000000"/>
                <w:sz w:val="18"/>
                <w:szCs w:val="18"/>
              </w:rPr>
              <w:t xml:space="preserve">1. </w:t>
            </w:r>
            <w:r w:rsidR="008C4667" w:rsidRPr="00810564">
              <w:rPr>
                <w:rFonts w:ascii="Arial" w:hAnsi="Arial" w:cs="Arial"/>
                <w:color w:val="000000"/>
                <w:sz w:val="18"/>
                <w:szCs w:val="18"/>
              </w:rPr>
              <w:t xml:space="preserve">This is a draft document. </w:t>
            </w:r>
            <w:r w:rsidR="004E6D05" w:rsidRPr="00810564">
              <w:rPr>
                <w:rFonts w:ascii="Arial" w:hAnsi="Arial" w:cs="Arial"/>
                <w:color w:val="000000"/>
                <w:sz w:val="18"/>
                <w:szCs w:val="18"/>
              </w:rPr>
              <w:t>The original protocol was topic 2006-015 and it was adopted in 2015. Adopted protocol did not include molecular methods for diagnosis but advances in methods were reported after adoption. The revision addresses new abilities for diagnosis.</w:t>
            </w:r>
          </w:p>
          <w:p w14:paraId="38C4CE2F" w14:textId="671421C1" w:rsidR="00AC4443" w:rsidRPr="00810564" w:rsidRDefault="00AC4443" w:rsidP="00913AA9">
            <w:pPr>
              <w:pBdr>
                <w:top w:val="nil"/>
                <w:left w:val="nil"/>
                <w:bottom w:val="nil"/>
                <w:right w:val="nil"/>
                <w:between w:val="nil"/>
              </w:pBdr>
              <w:spacing w:before="60" w:after="60"/>
              <w:jc w:val="left"/>
              <w:rPr>
                <w:rFonts w:ascii="Arial" w:hAnsi="Arial" w:cs="Arial"/>
                <w:color w:val="000000"/>
                <w:sz w:val="18"/>
                <w:szCs w:val="18"/>
              </w:rPr>
            </w:pPr>
            <w:r w:rsidRPr="00810564">
              <w:rPr>
                <w:rFonts w:ascii="Arial" w:hAnsi="Arial" w:cs="Arial"/>
                <w:color w:val="000000"/>
                <w:sz w:val="18"/>
                <w:szCs w:val="18"/>
              </w:rPr>
              <w:t xml:space="preserve">2. </w:t>
            </w:r>
            <w:r w:rsidR="008B02E3" w:rsidRPr="00810564">
              <w:rPr>
                <w:rFonts w:ascii="Arial" w:hAnsi="Arial" w:cs="Arial"/>
                <w:color w:val="000000"/>
                <w:sz w:val="18"/>
                <w:szCs w:val="18"/>
              </w:rPr>
              <w:t xml:space="preserve">The DP might require </w:t>
            </w:r>
            <w:r w:rsidR="00E80B8D" w:rsidRPr="00810564">
              <w:rPr>
                <w:rFonts w:ascii="Arial" w:hAnsi="Arial" w:cs="Arial"/>
                <w:color w:val="000000"/>
                <w:sz w:val="18"/>
                <w:szCs w:val="18"/>
              </w:rPr>
              <w:t>advice on i</w:t>
            </w:r>
            <w:r w:rsidR="008B02E3" w:rsidRPr="00810564">
              <w:rPr>
                <w:rFonts w:ascii="Arial" w:hAnsi="Arial" w:cs="Arial"/>
                <w:color w:val="000000"/>
                <w:sz w:val="18"/>
                <w:szCs w:val="18"/>
              </w:rPr>
              <w:t>nclusion of unpublished information.</w:t>
            </w:r>
          </w:p>
          <w:p w14:paraId="035E51B8" w14:textId="2C90CC56" w:rsidR="00AC4443" w:rsidRPr="00810564" w:rsidRDefault="00AC4443" w:rsidP="00913AA9">
            <w:pPr>
              <w:pBdr>
                <w:top w:val="nil"/>
                <w:left w:val="nil"/>
                <w:bottom w:val="nil"/>
                <w:right w:val="nil"/>
                <w:between w:val="nil"/>
              </w:pBdr>
              <w:spacing w:before="60" w:after="60"/>
              <w:jc w:val="left"/>
              <w:rPr>
                <w:rFonts w:ascii="Arial" w:hAnsi="Arial" w:cs="Arial"/>
                <w:color w:val="333333"/>
                <w:sz w:val="18"/>
                <w:szCs w:val="18"/>
              </w:rPr>
            </w:pPr>
            <w:r w:rsidRPr="00810564">
              <w:rPr>
                <w:rFonts w:ascii="Arial" w:hAnsi="Arial" w:cs="Arial"/>
                <w:color w:val="000000"/>
                <w:sz w:val="18"/>
                <w:szCs w:val="18"/>
              </w:rPr>
              <w:t>3. The taxonomy section (Table 1) includes combinations in addition to formal synonyms. The authors recommended this addition.</w:t>
            </w:r>
          </w:p>
        </w:tc>
      </w:tr>
    </w:tbl>
    <w:p w14:paraId="28C29BEA" w14:textId="77777777" w:rsidR="008C4667" w:rsidRDefault="008C4667" w:rsidP="008C4667"/>
    <w:p w14:paraId="16674ECE" w14:textId="06D2044E" w:rsidR="00810564" w:rsidRPr="00810564" w:rsidRDefault="00810564" w:rsidP="00810564">
      <w:pPr>
        <w:pStyle w:val="IPPParagraphnumbering"/>
        <w:rPr>
          <w:b/>
        </w:rPr>
      </w:pPr>
      <w:r w:rsidRPr="00810564">
        <w:rPr>
          <w:b/>
        </w:rPr>
        <w:t>CONTENTS</w:t>
      </w:r>
    </w:p>
    <w:p w14:paraId="1447016A" w14:textId="1D8DE354" w:rsidR="00810564" w:rsidRDefault="00810564" w:rsidP="00810564">
      <w:pPr>
        <w:pStyle w:val="IPPParagraphnumbering"/>
      </w:pPr>
      <w:r>
        <w:t>[to be added later]</w:t>
      </w:r>
    </w:p>
    <w:p w14:paraId="030E0B6A" w14:textId="72B45F70" w:rsidR="00810564" w:rsidRPr="00810564" w:rsidRDefault="00810564" w:rsidP="00810564">
      <w:pPr>
        <w:pStyle w:val="IPPParagraphnumbering"/>
        <w:rPr>
          <w:b/>
        </w:rPr>
      </w:pPr>
      <w:r w:rsidRPr="00810564">
        <w:rPr>
          <w:b/>
        </w:rPr>
        <w:t xml:space="preserve">Adoption </w:t>
      </w:r>
    </w:p>
    <w:p w14:paraId="4CD8950F" w14:textId="487D10B0" w:rsidR="00810564" w:rsidRDefault="00810564" w:rsidP="00810564">
      <w:pPr>
        <w:pStyle w:val="IPPParagraphnumbering"/>
      </w:pPr>
      <w:r>
        <w:t xml:space="preserve">The revision of this diagnostic protocol was adopted by the Standards Committee on behalf of the Commission on Phytosanitary Measures in [Month 20--]. [to be completed after adoption] </w:t>
      </w:r>
    </w:p>
    <w:p w14:paraId="2BDB3918" w14:textId="3775CD56" w:rsidR="00810564" w:rsidRDefault="00810564" w:rsidP="00810564">
      <w:pPr>
        <w:pStyle w:val="IPPParagraphnumbering"/>
      </w:pPr>
      <w:r>
        <w:t>The annex is a prescriptive part of ISPM 27 (</w:t>
      </w:r>
      <w:r>
        <w:rPr>
          <w:i/>
        </w:rPr>
        <w:t>Diagnostic protocols for regulated pests</w:t>
      </w:r>
      <w:r>
        <w:t xml:space="preserve">). </w:t>
      </w:r>
    </w:p>
    <w:p w14:paraId="716BF9C1" w14:textId="555FC8B3" w:rsidR="00471E14" w:rsidRDefault="008C4667" w:rsidP="00810564">
      <w:pPr>
        <w:rPr>
          <w:b/>
          <w:color w:val="000000"/>
          <w:sz w:val="24"/>
          <w:szCs w:val="24"/>
        </w:rPr>
      </w:pPr>
      <w:r>
        <w:rPr>
          <w:color w:val="000000"/>
        </w:rPr>
        <w:br w:type="page"/>
      </w:r>
      <w:r w:rsidR="0099106F">
        <w:rPr>
          <w:b/>
          <w:color w:val="000000"/>
          <w:sz w:val="24"/>
          <w:szCs w:val="24"/>
        </w:rPr>
        <w:lastRenderedPageBreak/>
        <w:t>1.</w:t>
      </w:r>
      <w:r w:rsidR="0099106F">
        <w:rPr>
          <w:b/>
          <w:color w:val="000000"/>
          <w:sz w:val="24"/>
          <w:szCs w:val="24"/>
        </w:rPr>
        <w:tab/>
        <w:t xml:space="preserve">Pest Information </w:t>
      </w:r>
    </w:p>
    <w:p w14:paraId="5659472A" w14:textId="3E693733" w:rsidR="00471E14" w:rsidRPr="00913AA9" w:rsidRDefault="0099106F" w:rsidP="00913AA9">
      <w:pPr>
        <w:pStyle w:val="IPPParagraphnumbering"/>
        <w:rPr>
          <w:sz w:val="26"/>
          <w:szCs w:val="26"/>
        </w:rPr>
      </w:pPr>
      <w:r>
        <w:t>The family Tephritidae comprises over 5000 species in 500 or so genera (Norrbom</w:t>
      </w:r>
      <w:r w:rsidRPr="00913AA9">
        <w:rPr>
          <w:i/>
        </w:rPr>
        <w:t xml:space="preserve"> et al.,</w:t>
      </w:r>
      <w:r>
        <w:t xml:space="preserve"> 1999a, 1999b; Norrbom, 2004b, and unpublished data). The Tephritidae are distributed worldwide in temperate, tropical and subtropical regions. </w:t>
      </w:r>
      <w:r w:rsidRPr="00913AA9">
        <w:rPr>
          <w:i/>
        </w:rPr>
        <w:t xml:space="preserve">Anastrepha </w:t>
      </w:r>
      <w:r>
        <w:t xml:space="preserve">Schiner (Tephritidae: Toxotrypanini) is the largest genus of Tephritidae in the Americas and is represented by more than 300 species that occur from the southern United States (Texas and Florida) to northern Argentina (Hernández-Ortiz, 1992; Foote </w:t>
      </w:r>
      <w:r w:rsidRPr="00913AA9">
        <w:rPr>
          <w:i/>
        </w:rPr>
        <w:t>et al.</w:t>
      </w:r>
      <w:r>
        <w:t xml:space="preserve">, 1993; Hernández-Ortiz and Aluja, 1993; Norrbom, 2004b; Norrbom </w:t>
      </w:r>
      <w:r w:rsidRPr="00913AA9">
        <w:rPr>
          <w:i/>
        </w:rPr>
        <w:t>et al</w:t>
      </w:r>
      <w:r>
        <w:t xml:space="preserve">., 2012, 2015, 2018, 2021). These include the species formerly placed in </w:t>
      </w:r>
      <w:r w:rsidRPr="00913AA9">
        <w:rPr>
          <w:i/>
        </w:rPr>
        <w:t xml:space="preserve">Toxotrypana </w:t>
      </w:r>
      <w:r>
        <w:t xml:space="preserve">Gerstaecker, now considered a synonym of </w:t>
      </w:r>
      <w:r w:rsidRPr="00913AA9">
        <w:rPr>
          <w:i/>
        </w:rPr>
        <w:t xml:space="preserve">Anastrepha </w:t>
      </w:r>
      <w:r>
        <w:t xml:space="preserve">(Norrbom </w:t>
      </w:r>
      <w:r w:rsidRPr="00913AA9">
        <w:rPr>
          <w:i/>
        </w:rPr>
        <w:t>et al</w:t>
      </w:r>
      <w:r>
        <w:t xml:space="preserve">., 2018). At least eight species of </w:t>
      </w:r>
      <w:r w:rsidRPr="00913AA9">
        <w:rPr>
          <w:i/>
        </w:rPr>
        <w:t>Anastrepha</w:t>
      </w:r>
      <w:r>
        <w:t xml:space="preserve"> are considered major economic pests because of the great importance of the cultivated fruits they attack (e.g., mango and citrus) and/or their wide host range. These eight species are: </w:t>
      </w:r>
      <w:r w:rsidRPr="00913AA9">
        <w:rPr>
          <w:i/>
        </w:rPr>
        <w:t>A. curvicauda</w:t>
      </w:r>
      <w:r>
        <w:t xml:space="preserve"> (Gerstaecker); </w:t>
      </w:r>
      <w:r w:rsidRPr="00913AA9">
        <w:rPr>
          <w:i/>
        </w:rPr>
        <w:t xml:space="preserve">A. fraterculus </w:t>
      </w:r>
      <w:r>
        <w:t xml:space="preserve">(Wiedemann); </w:t>
      </w:r>
      <w:r w:rsidRPr="00913AA9">
        <w:rPr>
          <w:i/>
        </w:rPr>
        <w:t xml:space="preserve">A. grandis </w:t>
      </w:r>
      <w:r>
        <w:t xml:space="preserve">(Macquart); </w:t>
      </w:r>
      <w:r w:rsidRPr="00913AA9">
        <w:rPr>
          <w:i/>
        </w:rPr>
        <w:t>A. ludens</w:t>
      </w:r>
      <w:r>
        <w:t xml:space="preserve"> (Loew); </w:t>
      </w:r>
      <w:r w:rsidRPr="00913AA9">
        <w:rPr>
          <w:i/>
        </w:rPr>
        <w:t xml:space="preserve">A. obliqua </w:t>
      </w:r>
      <w:r>
        <w:t xml:space="preserve">(Macquart); </w:t>
      </w:r>
      <w:r w:rsidRPr="00913AA9">
        <w:rPr>
          <w:i/>
        </w:rPr>
        <w:t xml:space="preserve">A. serpentina </w:t>
      </w:r>
      <w:r>
        <w:t xml:space="preserve">(Wiedemann); </w:t>
      </w:r>
      <w:r w:rsidRPr="00913AA9">
        <w:rPr>
          <w:i/>
        </w:rPr>
        <w:t xml:space="preserve">A. striata </w:t>
      </w:r>
      <w:r>
        <w:t xml:space="preserve">Schiner; and </w:t>
      </w:r>
      <w:r w:rsidRPr="00913AA9">
        <w:rPr>
          <w:i/>
        </w:rPr>
        <w:t xml:space="preserve">A. suspensa </w:t>
      </w:r>
      <w:r>
        <w:t xml:space="preserve">(Loew). </w:t>
      </w:r>
      <w:r w:rsidRPr="00913AA9">
        <w:rPr>
          <w:i/>
        </w:rPr>
        <w:t xml:space="preserve">Anastrepha fraterculus </w:t>
      </w:r>
      <w:r>
        <w:t xml:space="preserve">has been recognized as a cryptic species complex (Hernández-Ortiz </w:t>
      </w:r>
      <w:r w:rsidRPr="00913AA9">
        <w:rPr>
          <w:i/>
        </w:rPr>
        <w:t>et al</w:t>
      </w:r>
      <w:r>
        <w:t xml:space="preserve">., 2004, 2012, 2015; Selivon </w:t>
      </w:r>
      <w:r w:rsidRPr="00913AA9">
        <w:rPr>
          <w:i/>
        </w:rPr>
        <w:t>et al.,</w:t>
      </w:r>
      <w:r>
        <w:t xml:space="preserve"> 2004, 2005; Vera </w:t>
      </w:r>
      <w:r w:rsidRPr="00913AA9">
        <w:rPr>
          <w:i/>
        </w:rPr>
        <w:t>et al</w:t>
      </w:r>
      <w:r>
        <w:t xml:space="preserve">., 2006, Cáceres </w:t>
      </w:r>
      <w:r w:rsidRPr="00913AA9">
        <w:rPr>
          <w:i/>
        </w:rPr>
        <w:t>et al.,</w:t>
      </w:r>
      <w:r>
        <w:t xml:space="preserve"> 2009, Sutton </w:t>
      </w:r>
      <w:r w:rsidRPr="00913AA9">
        <w:rPr>
          <w:i/>
        </w:rPr>
        <w:t>et al</w:t>
      </w:r>
      <w:r>
        <w:t xml:space="preserve">., 2015). This diagnostic protocol for </w:t>
      </w:r>
      <w:r w:rsidRPr="00913AA9">
        <w:rPr>
          <w:i/>
        </w:rPr>
        <w:t>Anastrepha</w:t>
      </w:r>
      <w:r>
        <w:t xml:space="preserve"> covers identification of the genus and the species of major economic importance. For further general information about species of Tephritidae, see White and Elson-Harris (1992) and Norrbom (2010). </w:t>
      </w:r>
    </w:p>
    <w:p w14:paraId="3A0BFF62" w14:textId="2D7A9EDB" w:rsidR="00471E14" w:rsidRDefault="0099106F" w:rsidP="00913AA9">
      <w:pPr>
        <w:pStyle w:val="IPPParagraphnumbering"/>
      </w:pPr>
      <w:r>
        <w:t>The length of the tephritid life cycle varies according to each species as well as environmental and climatic conditions</w:t>
      </w:r>
      <w:r>
        <w:rPr>
          <w:color w:val="FF0000"/>
        </w:rPr>
        <w:t xml:space="preserve"> </w:t>
      </w:r>
      <w:r>
        <w:t xml:space="preserve">(Basso, 2003). Female </w:t>
      </w:r>
      <w:r>
        <w:rPr>
          <w:i/>
        </w:rPr>
        <w:t>Anastrepha</w:t>
      </w:r>
      <w:r>
        <w:t xml:space="preserve"> deposit their eggs inside fruits. The number of eggs deposited per fruit is </w:t>
      </w:r>
      <w:r w:rsidR="00355018">
        <w:t>variable and</w:t>
      </w:r>
      <w:r>
        <w:t xml:space="preserve"> depends mainly on features of the host fruit such as size and conditions. Restricting the host list to natural infestations, hosts are known for 129 (39.3%) of the currently </w:t>
      </w:r>
      <w:r w:rsidRPr="006B4D21">
        <w:t xml:space="preserve">recognized 328 </w:t>
      </w:r>
      <w:r w:rsidRPr="006B4D21">
        <w:rPr>
          <w:i/>
        </w:rPr>
        <w:t xml:space="preserve">Anastrepha </w:t>
      </w:r>
      <w:r w:rsidRPr="006B4D21">
        <w:t>species (Liquido et al., 2022). Published host records for major pests are available at USDA Compendium of Fruit Fly Host Information</w:t>
      </w:r>
      <w:r w:rsidR="00154C48" w:rsidRPr="006B4D21">
        <w:t>.</w:t>
      </w:r>
      <w:r w:rsidRPr="006B4D21">
        <w:t xml:space="preserve"> (</w:t>
      </w:r>
      <w:hyperlink r:id="rId10">
        <w:r w:rsidR="00154C48" w:rsidRPr="006B4D21">
          <w:rPr>
            <w:color w:val="0000FF"/>
            <w:u w:val="single"/>
          </w:rPr>
          <w:t>https://coffhi.cphst.org/</w:t>
        </w:r>
      </w:hyperlink>
      <w:r w:rsidR="00154C48">
        <w:t>.</w:t>
      </w:r>
      <w:r>
        <w:t>)</w:t>
      </w:r>
    </w:p>
    <w:p w14:paraId="7951265E" w14:textId="77777777" w:rsidR="00471E14" w:rsidRDefault="0099106F" w:rsidP="00913AA9">
      <w:pPr>
        <w:pStyle w:val="IPPParagraphnumbering"/>
      </w:pPr>
      <w:r>
        <w:t xml:space="preserve">The introduction of cultivated exotic species such as </w:t>
      </w:r>
      <w:r>
        <w:rPr>
          <w:i/>
        </w:rPr>
        <w:t>Mangifera indica</w:t>
      </w:r>
      <w:r>
        <w:t xml:space="preserve"> and </w:t>
      </w:r>
      <w:r>
        <w:rPr>
          <w:i/>
        </w:rPr>
        <w:t>Citrus</w:t>
      </w:r>
      <w:r>
        <w:t xml:space="preserve"> spp. have allowed some pest species of </w:t>
      </w:r>
      <w:r>
        <w:rPr>
          <w:i/>
        </w:rPr>
        <w:t>Anastrepha</w:t>
      </w:r>
      <w:r>
        <w:t xml:space="preserve"> to expand their original areas of distribution and enhance their reproductive potential. However, they still have marked preferences for certain native hosts, which is probably indicative of their original host relationships. In this regard, the species </w:t>
      </w:r>
      <w:r>
        <w:rPr>
          <w:i/>
        </w:rPr>
        <w:t xml:space="preserve">A. suspensa, A. fraterculus </w:t>
      </w:r>
      <w:r>
        <w:t xml:space="preserve">and </w:t>
      </w:r>
      <w:r>
        <w:rPr>
          <w:i/>
        </w:rPr>
        <w:t xml:space="preserve">A. striata </w:t>
      </w:r>
      <w:r>
        <w:t xml:space="preserve">breed mainly in hosts belonging to the family Myrtaceae, </w:t>
      </w:r>
      <w:r>
        <w:rPr>
          <w:i/>
        </w:rPr>
        <w:t xml:space="preserve">A. ludens </w:t>
      </w:r>
      <w:r>
        <w:t xml:space="preserve">in the Rutaceae, </w:t>
      </w:r>
      <w:r>
        <w:rPr>
          <w:i/>
        </w:rPr>
        <w:t xml:space="preserve">A. obliqua </w:t>
      </w:r>
      <w:r>
        <w:t xml:space="preserve">in the Anacardiaceae, </w:t>
      </w:r>
      <w:r>
        <w:rPr>
          <w:i/>
        </w:rPr>
        <w:t xml:space="preserve">A. serpentina </w:t>
      </w:r>
      <w:r>
        <w:t xml:space="preserve">in the Sapotaceae, and </w:t>
      </w:r>
      <w:r>
        <w:rPr>
          <w:i/>
        </w:rPr>
        <w:t xml:space="preserve">A. grandis </w:t>
      </w:r>
      <w:r>
        <w:t xml:space="preserve">in the Cucurbitaceae (Norrbom, 2004a). </w:t>
      </w:r>
    </w:p>
    <w:p w14:paraId="3939E733" w14:textId="53DD832D" w:rsidR="00471E14" w:rsidRDefault="0099106F" w:rsidP="00810564">
      <w:pPr>
        <w:pStyle w:val="IPPParagraphnumbering"/>
      </w:pPr>
      <w:r>
        <w:t xml:space="preserve">Among native hosts in the American tropics, there seems to be an ancestral association with plants that produce latex and particularly the family Sapotaceae. Sapotaceous fruits are frequent hosts for the </w:t>
      </w:r>
      <w:r>
        <w:rPr>
          <w:i/>
        </w:rPr>
        <w:t xml:space="preserve">dentata, leptozona, serpentina, daciformis, robusta </w:t>
      </w:r>
      <w:r>
        <w:t xml:space="preserve">and </w:t>
      </w:r>
      <w:r>
        <w:rPr>
          <w:i/>
        </w:rPr>
        <w:t>cryptostrepha</w:t>
      </w:r>
      <w:r>
        <w:t xml:space="preserve"> species groups. Myrtaceous fruits are also very important hosts. At least 26 </w:t>
      </w:r>
      <w:r>
        <w:rPr>
          <w:i/>
        </w:rPr>
        <w:t xml:space="preserve">Anastrepha </w:t>
      </w:r>
      <w:r>
        <w:t xml:space="preserve">species, most belonging to the </w:t>
      </w:r>
      <w:r>
        <w:rPr>
          <w:i/>
        </w:rPr>
        <w:t xml:space="preserve">A. fraterculus </w:t>
      </w:r>
      <w:r>
        <w:t>species</w:t>
      </w:r>
      <w:r>
        <w:rPr>
          <w:i/>
        </w:rPr>
        <w:t xml:space="preserve"> </w:t>
      </w:r>
      <w:r>
        <w:t xml:space="preserve">group, have been reported feeding on plants of this family (Norrbom and Kim, 1988; Norrbom </w:t>
      </w:r>
      <w:r>
        <w:rPr>
          <w:i/>
        </w:rPr>
        <w:t>et al</w:t>
      </w:r>
      <w:r>
        <w:t xml:space="preserve">., 1999c). </w:t>
      </w:r>
    </w:p>
    <w:p w14:paraId="7D675D86" w14:textId="059EE9C0" w:rsidR="00471E14" w:rsidRDefault="0099106F">
      <w:pPr>
        <w:keepNext/>
        <w:pBdr>
          <w:top w:val="nil"/>
          <w:left w:val="nil"/>
          <w:bottom w:val="nil"/>
          <w:right w:val="nil"/>
          <w:between w:val="nil"/>
        </w:pBdr>
        <w:tabs>
          <w:tab w:val="left" w:pos="567"/>
        </w:tabs>
        <w:spacing w:before="240" w:after="120"/>
        <w:ind w:left="567" w:hanging="567"/>
        <w:jc w:val="left"/>
        <w:rPr>
          <w:b/>
          <w:color w:val="000000"/>
          <w:sz w:val="24"/>
          <w:szCs w:val="24"/>
        </w:rPr>
      </w:pPr>
      <w:r>
        <w:rPr>
          <w:b/>
          <w:color w:val="000000"/>
          <w:sz w:val="24"/>
          <w:szCs w:val="24"/>
        </w:rPr>
        <w:t>2.</w:t>
      </w:r>
      <w:r>
        <w:rPr>
          <w:b/>
          <w:color w:val="000000"/>
          <w:sz w:val="24"/>
          <w:szCs w:val="24"/>
        </w:rPr>
        <w:tab/>
        <w:t xml:space="preserve">Taxonomic Information </w:t>
      </w:r>
    </w:p>
    <w:p w14:paraId="017BE142" w14:textId="77777777" w:rsidR="00471E14" w:rsidRDefault="0099106F" w:rsidP="00810564">
      <w:pPr>
        <w:pStyle w:val="IPPParagraphnumbering"/>
      </w:pPr>
      <w:r>
        <w:rPr>
          <w:b/>
        </w:rPr>
        <w:t xml:space="preserve">Name: </w:t>
      </w:r>
      <w:r>
        <w:rPr>
          <w:i/>
        </w:rPr>
        <w:t xml:space="preserve">Anastrepha </w:t>
      </w:r>
      <w:r>
        <w:t xml:space="preserve">Schiner, 1868 </w:t>
      </w:r>
    </w:p>
    <w:p w14:paraId="087D52F5" w14:textId="77777777" w:rsidR="00471E14" w:rsidRDefault="0099106F" w:rsidP="00810564">
      <w:pPr>
        <w:pStyle w:val="IPPParagraphnumbering"/>
      </w:pPr>
      <w:r>
        <w:rPr>
          <w:b/>
        </w:rPr>
        <w:t xml:space="preserve">Synonyms: </w:t>
      </w:r>
      <w:r>
        <w:rPr>
          <w:i/>
        </w:rPr>
        <w:t xml:space="preserve">Toxotrypana </w:t>
      </w:r>
      <w:r>
        <w:t xml:space="preserve">Gerstaecker, 1860; </w:t>
      </w:r>
      <w:r>
        <w:rPr>
          <w:i/>
        </w:rPr>
        <w:t>Acrotoxa</w:t>
      </w:r>
      <w:r>
        <w:t xml:space="preserve"> Loew, 1873; </w:t>
      </w:r>
      <w:r>
        <w:rPr>
          <w:i/>
        </w:rPr>
        <w:t>Pseudodacus</w:t>
      </w:r>
      <w:r>
        <w:t xml:space="preserve"> Hendel, 1914; </w:t>
      </w:r>
      <w:r>
        <w:rPr>
          <w:i/>
        </w:rPr>
        <w:t>Phobema</w:t>
      </w:r>
      <w:r>
        <w:t xml:space="preserve"> Aldrich, 1925; </w:t>
      </w:r>
      <w:r>
        <w:rPr>
          <w:i/>
        </w:rPr>
        <w:t>Lucumaphila</w:t>
      </w:r>
      <w:r>
        <w:t xml:space="preserve"> Stone, 1939 </w:t>
      </w:r>
    </w:p>
    <w:p w14:paraId="4AE43A66" w14:textId="77777777" w:rsidR="00471E14" w:rsidRDefault="0099106F" w:rsidP="00810564">
      <w:pPr>
        <w:pStyle w:val="IPPParagraphnumbering"/>
      </w:pPr>
      <w:r>
        <w:rPr>
          <w:b/>
        </w:rPr>
        <w:t xml:space="preserve">Taxonomic position: </w:t>
      </w:r>
      <w:r>
        <w:t>Insecta: Diptera: Tephritidae, Trypetinae, Toxotrypanini</w:t>
      </w:r>
    </w:p>
    <w:p w14:paraId="30A145A4" w14:textId="379987F6" w:rsidR="00471E14" w:rsidRDefault="0099106F" w:rsidP="00810564">
      <w:pPr>
        <w:pStyle w:val="IPPParagraphnumbering"/>
      </w:pPr>
      <w:r>
        <w:rPr>
          <w:b/>
        </w:rPr>
        <w:t>Common names:</w:t>
      </w:r>
      <w:r>
        <w:t xml:space="preserve"> See Table 1. </w:t>
      </w:r>
    </w:p>
    <w:p w14:paraId="1801B0FA" w14:textId="395A2078" w:rsidR="00810564" w:rsidRDefault="00810564" w:rsidP="00810564">
      <w:pPr>
        <w:pStyle w:val="IPPParagraphnumbering"/>
        <w:numPr>
          <w:ilvl w:val="0"/>
          <w:numId w:val="0"/>
        </w:numPr>
      </w:pPr>
    </w:p>
    <w:p w14:paraId="519C70B6" w14:textId="7F583C2E" w:rsidR="00810564" w:rsidRDefault="00810564" w:rsidP="00810564">
      <w:pPr>
        <w:pStyle w:val="IPPParagraphnumbering"/>
        <w:numPr>
          <w:ilvl w:val="0"/>
          <w:numId w:val="0"/>
        </w:numPr>
      </w:pPr>
    </w:p>
    <w:p w14:paraId="77099E54" w14:textId="77777777" w:rsidR="00810564" w:rsidRDefault="00810564" w:rsidP="00810564">
      <w:pPr>
        <w:pStyle w:val="IPPParagraphnumbering"/>
        <w:numPr>
          <w:ilvl w:val="0"/>
          <w:numId w:val="0"/>
        </w:numPr>
      </w:pPr>
    </w:p>
    <w:p w14:paraId="35F979FF" w14:textId="07107CAC" w:rsidR="00471E14" w:rsidRPr="007708DB" w:rsidRDefault="0099106F" w:rsidP="00810564">
      <w:pPr>
        <w:pStyle w:val="IPPParagraphnumbering"/>
        <w:numPr>
          <w:ilvl w:val="0"/>
          <w:numId w:val="0"/>
        </w:numPr>
        <w:rPr>
          <w:rFonts w:ascii="Arial" w:eastAsia="Arial" w:hAnsi="Arial" w:cs="Arial"/>
          <w:i/>
          <w:sz w:val="18"/>
          <w:szCs w:val="18"/>
        </w:rPr>
      </w:pPr>
      <w:r w:rsidRPr="007708DB">
        <w:rPr>
          <w:rFonts w:ascii="Arial" w:eastAsia="Arial" w:hAnsi="Arial" w:cs="Arial"/>
          <w:b/>
          <w:sz w:val="18"/>
          <w:szCs w:val="18"/>
        </w:rPr>
        <w:t>Table 1.</w:t>
      </w:r>
      <w:r w:rsidRPr="007708DB">
        <w:rPr>
          <w:rFonts w:ascii="Arial" w:eastAsia="Arial" w:hAnsi="Arial" w:cs="Arial"/>
          <w:sz w:val="18"/>
          <w:szCs w:val="18"/>
        </w:rPr>
        <w:t xml:space="preserve"> Common names and synonyms of fruit fly species of major economic importance belonging to the genus </w:t>
      </w:r>
      <w:r w:rsidRPr="007708DB">
        <w:rPr>
          <w:rFonts w:ascii="Arial" w:eastAsia="Arial" w:hAnsi="Arial" w:cs="Arial"/>
          <w:i/>
          <w:sz w:val="18"/>
          <w:szCs w:val="18"/>
        </w:rPr>
        <w:t>Anastrepha</w:t>
      </w:r>
      <w:r w:rsidR="00810564" w:rsidRPr="007708DB">
        <w:rPr>
          <w:rFonts w:ascii="Arial" w:eastAsia="Arial" w:hAnsi="Arial" w:cs="Arial"/>
          <w:i/>
          <w:sz w:val="18"/>
          <w:szCs w:val="18"/>
        </w:rPr>
        <w:t>.</w:t>
      </w:r>
    </w:p>
    <w:tbl>
      <w:tblPr>
        <w:tblStyle w:val="a"/>
        <w:tblW w:w="9015" w:type="dxa"/>
        <w:tblInd w:w="68" w:type="dxa"/>
        <w:tblBorders>
          <w:top w:val="single" w:sz="6" w:space="0" w:color="00000A"/>
          <w:left w:val="single" w:sz="6" w:space="0" w:color="00000A"/>
          <w:bottom w:val="single" w:sz="6" w:space="0" w:color="00000A"/>
          <w:right w:val="single" w:sz="6" w:space="0" w:color="00000A"/>
        </w:tblBorders>
        <w:tblLayout w:type="fixed"/>
        <w:tblLook w:val="0400" w:firstRow="0" w:lastRow="0" w:firstColumn="0" w:lastColumn="0" w:noHBand="0" w:noVBand="1"/>
      </w:tblPr>
      <w:tblGrid>
        <w:gridCol w:w="1680"/>
        <w:gridCol w:w="1965"/>
        <w:gridCol w:w="5370"/>
      </w:tblGrid>
      <w:tr w:rsidR="00471E14" w14:paraId="16AFEE49" w14:textId="77777777">
        <w:trPr>
          <w:trHeight w:val="255"/>
        </w:trPr>
        <w:tc>
          <w:tcPr>
            <w:tcW w:w="1680" w:type="dxa"/>
            <w:tcBorders>
              <w:top w:val="single" w:sz="6" w:space="0" w:color="00000A"/>
              <w:left w:val="single" w:sz="6" w:space="0" w:color="00000A"/>
              <w:bottom w:val="single" w:sz="6" w:space="0" w:color="00000A"/>
              <w:right w:val="single" w:sz="6" w:space="0" w:color="00000A"/>
            </w:tcBorders>
            <w:shd w:val="clear" w:color="auto" w:fill="D9D9D9"/>
            <w:vAlign w:val="center"/>
          </w:tcPr>
          <w:p w14:paraId="3ECA082C" w14:textId="77777777" w:rsidR="00471E14" w:rsidRDefault="0099106F">
            <w:pPr>
              <w:pBdr>
                <w:top w:val="nil"/>
                <w:left w:val="nil"/>
                <w:bottom w:val="nil"/>
                <w:right w:val="nil"/>
                <w:between w:val="nil"/>
              </w:pBdr>
              <w:spacing w:before="60" w:after="60"/>
              <w:jc w:val="left"/>
              <w:rPr>
                <w:rFonts w:ascii="Arial" w:eastAsia="Arial" w:hAnsi="Arial" w:cs="Arial"/>
                <w:b/>
                <w:color w:val="000000"/>
                <w:sz w:val="18"/>
                <w:szCs w:val="18"/>
              </w:rPr>
            </w:pPr>
            <w:r>
              <w:rPr>
                <w:rFonts w:ascii="Arial" w:eastAsia="Arial" w:hAnsi="Arial" w:cs="Arial"/>
                <w:b/>
                <w:color w:val="000000"/>
                <w:sz w:val="18"/>
                <w:szCs w:val="18"/>
              </w:rPr>
              <w:t xml:space="preserve">Common name </w:t>
            </w:r>
          </w:p>
        </w:tc>
        <w:tc>
          <w:tcPr>
            <w:tcW w:w="1965" w:type="dxa"/>
            <w:tcBorders>
              <w:top w:val="single" w:sz="6" w:space="0" w:color="00000A"/>
              <w:left w:val="single" w:sz="6" w:space="0" w:color="00000A"/>
              <w:bottom w:val="single" w:sz="6" w:space="0" w:color="00000A"/>
              <w:right w:val="single" w:sz="6" w:space="0" w:color="00000A"/>
            </w:tcBorders>
            <w:shd w:val="clear" w:color="auto" w:fill="D9D9D9"/>
            <w:vAlign w:val="center"/>
          </w:tcPr>
          <w:p w14:paraId="67A86656" w14:textId="77777777" w:rsidR="00471E14" w:rsidRDefault="0099106F">
            <w:pPr>
              <w:pBdr>
                <w:top w:val="nil"/>
                <w:left w:val="nil"/>
                <w:bottom w:val="nil"/>
                <w:right w:val="nil"/>
                <w:between w:val="nil"/>
              </w:pBdr>
              <w:spacing w:before="60" w:after="60"/>
              <w:jc w:val="left"/>
              <w:rPr>
                <w:rFonts w:ascii="Arial" w:eastAsia="Arial" w:hAnsi="Arial" w:cs="Arial"/>
                <w:b/>
                <w:color w:val="000000"/>
                <w:sz w:val="18"/>
                <w:szCs w:val="18"/>
              </w:rPr>
            </w:pPr>
            <w:r>
              <w:rPr>
                <w:rFonts w:ascii="Arial" w:eastAsia="Arial" w:hAnsi="Arial" w:cs="Arial"/>
                <w:b/>
                <w:i/>
                <w:color w:val="000000"/>
                <w:sz w:val="18"/>
                <w:szCs w:val="18"/>
              </w:rPr>
              <w:t xml:space="preserve">Anastrepha </w:t>
            </w:r>
            <w:r>
              <w:rPr>
                <w:rFonts w:ascii="Arial" w:eastAsia="Arial" w:hAnsi="Arial" w:cs="Arial"/>
                <w:b/>
                <w:color w:val="000000"/>
                <w:sz w:val="18"/>
                <w:szCs w:val="18"/>
              </w:rPr>
              <w:t xml:space="preserve">species </w:t>
            </w:r>
          </w:p>
        </w:tc>
        <w:tc>
          <w:tcPr>
            <w:tcW w:w="5370" w:type="dxa"/>
            <w:tcBorders>
              <w:top w:val="single" w:sz="6" w:space="0" w:color="00000A"/>
              <w:left w:val="single" w:sz="6" w:space="0" w:color="00000A"/>
              <w:bottom w:val="single" w:sz="6" w:space="0" w:color="00000A"/>
              <w:right w:val="single" w:sz="6" w:space="0" w:color="00000A"/>
            </w:tcBorders>
            <w:shd w:val="clear" w:color="auto" w:fill="D9D9D9"/>
            <w:vAlign w:val="center"/>
          </w:tcPr>
          <w:p w14:paraId="426ACFBA" w14:textId="77777777" w:rsidR="00471E14" w:rsidRDefault="0099106F">
            <w:pPr>
              <w:pBdr>
                <w:top w:val="nil"/>
                <w:left w:val="nil"/>
                <w:bottom w:val="nil"/>
                <w:right w:val="nil"/>
                <w:between w:val="nil"/>
              </w:pBdr>
              <w:spacing w:before="60" w:after="60"/>
              <w:jc w:val="left"/>
              <w:rPr>
                <w:rFonts w:ascii="Arial" w:eastAsia="Arial" w:hAnsi="Arial" w:cs="Arial"/>
                <w:b/>
                <w:color w:val="000000"/>
                <w:sz w:val="18"/>
                <w:szCs w:val="18"/>
              </w:rPr>
            </w:pPr>
            <w:r>
              <w:rPr>
                <w:rFonts w:ascii="Arial" w:eastAsia="Arial" w:hAnsi="Arial" w:cs="Arial"/>
                <w:b/>
                <w:color w:val="000000"/>
                <w:sz w:val="18"/>
                <w:szCs w:val="18"/>
              </w:rPr>
              <w:t>Synonyms and other combinations</w:t>
            </w:r>
          </w:p>
        </w:tc>
      </w:tr>
      <w:tr w:rsidR="00471E14" w14:paraId="2D6D5763" w14:textId="77777777">
        <w:trPr>
          <w:trHeight w:val="236"/>
        </w:trPr>
        <w:tc>
          <w:tcPr>
            <w:tcW w:w="1680"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76552695"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sz w:val="18"/>
                <w:szCs w:val="18"/>
              </w:rPr>
              <w:t>Papaya fruit fly</w:t>
            </w:r>
          </w:p>
        </w:tc>
        <w:tc>
          <w:tcPr>
            <w:tcW w:w="1965"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3BB60795"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 xml:space="preserve">Anastrepha curvicauda </w:t>
            </w:r>
            <w:r>
              <w:rPr>
                <w:rFonts w:ascii="Arial" w:eastAsia="Arial" w:hAnsi="Arial" w:cs="Arial"/>
                <w:sz w:val="18"/>
                <w:szCs w:val="18"/>
              </w:rPr>
              <w:t>(Gerstaecker, 1860)</w:t>
            </w: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14DB6DF"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Toxotrypana curvicauda</w:t>
            </w:r>
            <w:r>
              <w:rPr>
                <w:rFonts w:ascii="Arial" w:eastAsia="Arial" w:hAnsi="Arial" w:cs="Arial"/>
                <w:sz w:val="18"/>
                <w:szCs w:val="18"/>
              </w:rPr>
              <w:t xml:space="preserve"> Gerstaecker, 1860</w:t>
            </w:r>
          </w:p>
        </w:tc>
      </w:tr>
      <w:tr w:rsidR="00471E14" w14:paraId="7B870137"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6BE4AA7"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D42D2C4"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79C8AD5"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Mikimyia furcifera</w:t>
            </w:r>
            <w:r>
              <w:rPr>
                <w:rFonts w:ascii="Arial" w:eastAsia="Arial" w:hAnsi="Arial" w:cs="Arial"/>
                <w:sz w:val="18"/>
                <w:szCs w:val="18"/>
              </w:rPr>
              <w:t xml:space="preserve"> Bigot, 1884</w:t>
            </w:r>
          </w:p>
        </w:tc>
      </w:tr>
      <w:tr w:rsidR="00471E14" w14:paraId="6DC8F259"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05469425"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FADF7F9"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00F15ED"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Toxotrypana fairbatesi</w:t>
            </w:r>
            <w:r>
              <w:rPr>
                <w:rFonts w:ascii="Arial" w:eastAsia="Arial" w:hAnsi="Arial" w:cs="Arial"/>
                <w:sz w:val="18"/>
                <w:szCs w:val="18"/>
              </w:rPr>
              <w:t xml:space="preserve"> Munro, 1984</w:t>
            </w:r>
          </w:p>
        </w:tc>
      </w:tr>
      <w:tr w:rsidR="00471E14" w14:paraId="0A775668" w14:textId="77777777">
        <w:trPr>
          <w:trHeight w:val="236"/>
        </w:trPr>
        <w:tc>
          <w:tcPr>
            <w:tcW w:w="1680"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51062496" w14:textId="77777777" w:rsidR="00471E14" w:rsidRDefault="00471E14">
            <w:pPr>
              <w:spacing w:before="60" w:after="60"/>
              <w:jc w:val="left"/>
              <w:rPr>
                <w:rFonts w:ascii="Arial" w:eastAsia="Arial" w:hAnsi="Arial" w:cs="Arial"/>
                <w:color w:val="000000"/>
                <w:sz w:val="18"/>
                <w:szCs w:val="18"/>
              </w:rPr>
            </w:pPr>
          </w:p>
          <w:p w14:paraId="73B669D4" w14:textId="77777777" w:rsidR="00471E14" w:rsidRDefault="0099106F">
            <w:pPr>
              <w:spacing w:before="60" w:after="60"/>
              <w:jc w:val="left"/>
              <w:rPr>
                <w:rFonts w:ascii="Arial" w:eastAsia="Arial" w:hAnsi="Arial" w:cs="Arial"/>
                <w:color w:val="000000"/>
                <w:sz w:val="18"/>
                <w:szCs w:val="18"/>
              </w:rPr>
            </w:pPr>
            <w:r>
              <w:rPr>
                <w:rFonts w:ascii="Arial" w:eastAsia="Arial" w:hAnsi="Arial" w:cs="Arial"/>
                <w:color w:val="000000"/>
                <w:sz w:val="18"/>
                <w:szCs w:val="18"/>
              </w:rPr>
              <w:t xml:space="preserve">South American fruit fly </w:t>
            </w:r>
          </w:p>
        </w:tc>
        <w:tc>
          <w:tcPr>
            <w:tcW w:w="1965"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3806D3F7" w14:textId="77777777" w:rsidR="00471E14" w:rsidRDefault="00471E14">
            <w:pPr>
              <w:spacing w:before="60" w:after="60"/>
              <w:jc w:val="left"/>
              <w:rPr>
                <w:rFonts w:ascii="Arial" w:eastAsia="Arial" w:hAnsi="Arial" w:cs="Arial"/>
                <w:i/>
                <w:color w:val="000000"/>
                <w:sz w:val="18"/>
                <w:szCs w:val="18"/>
              </w:rPr>
            </w:pPr>
          </w:p>
          <w:p w14:paraId="78FE7E92" w14:textId="77777777" w:rsidR="00471E14" w:rsidRDefault="0099106F">
            <w:pPr>
              <w:spacing w:before="60" w:after="60"/>
              <w:jc w:val="left"/>
              <w:rPr>
                <w:rFonts w:ascii="Arial" w:eastAsia="Arial" w:hAnsi="Arial" w:cs="Arial"/>
                <w:i/>
                <w:color w:val="000000"/>
                <w:sz w:val="18"/>
                <w:szCs w:val="18"/>
              </w:rPr>
            </w:pPr>
            <w:r>
              <w:rPr>
                <w:rFonts w:ascii="Arial" w:eastAsia="Arial" w:hAnsi="Arial" w:cs="Arial"/>
                <w:i/>
                <w:color w:val="000000"/>
                <w:sz w:val="18"/>
                <w:szCs w:val="18"/>
              </w:rPr>
              <w:t xml:space="preserve">Anastrepha fraterculus (Wiedemann, 1830) species complex </w:t>
            </w: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64AB10E"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Dacus fraterculus</w:t>
            </w:r>
            <w:r>
              <w:rPr>
                <w:rFonts w:ascii="Arial" w:eastAsia="Arial" w:hAnsi="Arial" w:cs="Arial"/>
                <w:sz w:val="18"/>
                <w:szCs w:val="18"/>
              </w:rPr>
              <w:t xml:space="preserve"> Wiedemann, 1830</w:t>
            </w:r>
          </w:p>
        </w:tc>
      </w:tr>
      <w:tr w:rsidR="00471E14" w14:paraId="17043CE3"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F3A91F9"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4FECE28"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E37A00F" w14:textId="77777777" w:rsidR="00471E14" w:rsidRDefault="0099106F">
            <w:pPr>
              <w:pBdr>
                <w:top w:val="nil"/>
                <w:left w:val="nil"/>
                <w:bottom w:val="nil"/>
                <w:right w:val="nil"/>
                <w:between w:val="nil"/>
              </w:pBdr>
              <w:spacing w:before="60" w:after="60"/>
              <w:jc w:val="left"/>
              <w:rPr>
                <w:rFonts w:ascii="Arial" w:eastAsia="Arial" w:hAnsi="Arial" w:cs="Arial"/>
                <w:i/>
                <w:color w:val="000000"/>
                <w:sz w:val="18"/>
                <w:szCs w:val="18"/>
              </w:rPr>
            </w:pPr>
            <w:r>
              <w:rPr>
                <w:rFonts w:ascii="Arial" w:eastAsia="Arial" w:hAnsi="Arial" w:cs="Arial"/>
                <w:i/>
                <w:sz w:val="18"/>
                <w:szCs w:val="18"/>
              </w:rPr>
              <w:t xml:space="preserve">Tephritis mellea </w:t>
            </w:r>
            <w:r>
              <w:rPr>
                <w:rFonts w:ascii="Arial" w:eastAsia="Arial" w:hAnsi="Arial" w:cs="Arial"/>
                <w:sz w:val="18"/>
                <w:szCs w:val="18"/>
              </w:rPr>
              <w:t xml:space="preserve">Walker, 1836 </w:t>
            </w:r>
          </w:p>
        </w:tc>
      </w:tr>
      <w:tr w:rsidR="00471E14" w14:paraId="1A3C3BD4"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8A0975A" w14:textId="77777777" w:rsidR="00471E14" w:rsidRDefault="00471E14">
            <w:pPr>
              <w:widowControl w:val="0"/>
              <w:pBdr>
                <w:top w:val="nil"/>
                <w:left w:val="nil"/>
                <w:bottom w:val="nil"/>
                <w:right w:val="nil"/>
                <w:between w:val="nil"/>
              </w:pBdr>
              <w:spacing w:line="276" w:lineRule="auto"/>
              <w:jc w:val="left"/>
              <w:rPr>
                <w:rFonts w:ascii="Arial" w:eastAsia="Arial" w:hAnsi="Arial" w:cs="Arial"/>
                <w:i/>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3DB04BA" w14:textId="77777777" w:rsidR="00471E14" w:rsidRDefault="00471E14">
            <w:pPr>
              <w:widowControl w:val="0"/>
              <w:pBdr>
                <w:top w:val="nil"/>
                <w:left w:val="nil"/>
                <w:bottom w:val="nil"/>
                <w:right w:val="nil"/>
                <w:between w:val="nil"/>
              </w:pBdr>
              <w:spacing w:line="276" w:lineRule="auto"/>
              <w:jc w:val="left"/>
              <w:rPr>
                <w:rFonts w:ascii="Arial" w:eastAsia="Arial" w:hAnsi="Arial" w:cs="Arial"/>
                <w:i/>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45133C7" w14:textId="77777777" w:rsidR="00471E14" w:rsidRDefault="0099106F">
            <w:pPr>
              <w:pBdr>
                <w:top w:val="nil"/>
                <w:left w:val="nil"/>
                <w:bottom w:val="nil"/>
                <w:right w:val="nil"/>
                <w:between w:val="nil"/>
              </w:pBdr>
              <w:spacing w:before="60" w:after="60"/>
              <w:jc w:val="left"/>
              <w:rPr>
                <w:rFonts w:ascii="Arial" w:eastAsia="Arial" w:hAnsi="Arial" w:cs="Arial"/>
                <w:i/>
                <w:color w:val="000000"/>
                <w:sz w:val="18"/>
                <w:szCs w:val="18"/>
              </w:rPr>
            </w:pPr>
            <w:r>
              <w:rPr>
                <w:rFonts w:ascii="Arial" w:eastAsia="Arial" w:hAnsi="Arial" w:cs="Arial"/>
                <w:i/>
                <w:sz w:val="18"/>
                <w:szCs w:val="18"/>
              </w:rPr>
              <w:t xml:space="preserve">Trypeta unicolor </w:t>
            </w:r>
            <w:r>
              <w:rPr>
                <w:rFonts w:ascii="Arial" w:eastAsia="Arial" w:hAnsi="Arial" w:cs="Arial"/>
                <w:sz w:val="18"/>
                <w:szCs w:val="18"/>
              </w:rPr>
              <w:t xml:space="preserve">Loew, 1862 </w:t>
            </w:r>
          </w:p>
        </w:tc>
      </w:tr>
      <w:tr w:rsidR="00471E14" w14:paraId="6A2E5242"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3CFE206" w14:textId="77777777" w:rsidR="00471E14" w:rsidRDefault="00471E14">
            <w:pPr>
              <w:widowControl w:val="0"/>
              <w:pBdr>
                <w:top w:val="nil"/>
                <w:left w:val="nil"/>
                <w:bottom w:val="nil"/>
                <w:right w:val="nil"/>
                <w:between w:val="nil"/>
              </w:pBdr>
              <w:spacing w:line="276" w:lineRule="auto"/>
              <w:jc w:val="left"/>
              <w:rPr>
                <w:rFonts w:ascii="Arial" w:eastAsia="Arial" w:hAnsi="Arial" w:cs="Arial"/>
                <w:i/>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91EC7E3" w14:textId="77777777" w:rsidR="00471E14" w:rsidRDefault="00471E14">
            <w:pPr>
              <w:widowControl w:val="0"/>
              <w:pBdr>
                <w:top w:val="nil"/>
                <w:left w:val="nil"/>
                <w:bottom w:val="nil"/>
                <w:right w:val="nil"/>
                <w:between w:val="nil"/>
              </w:pBdr>
              <w:spacing w:line="276" w:lineRule="auto"/>
              <w:jc w:val="left"/>
              <w:rPr>
                <w:rFonts w:ascii="Arial" w:eastAsia="Arial" w:hAnsi="Arial" w:cs="Arial"/>
                <w:i/>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1CE722CA"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Anastrepha unicolor</w:t>
            </w:r>
            <w:r>
              <w:rPr>
                <w:rFonts w:ascii="Arial" w:eastAsia="Arial" w:hAnsi="Arial" w:cs="Arial"/>
                <w:sz w:val="18"/>
                <w:szCs w:val="18"/>
              </w:rPr>
              <w:t>: Schiner 1868</w:t>
            </w:r>
          </w:p>
        </w:tc>
      </w:tr>
      <w:tr w:rsidR="00471E14" w14:paraId="27F5BD5B"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0E1694A2"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350B87C"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1AC23847"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Trypeta fraterculus</w:t>
            </w:r>
            <w:r>
              <w:rPr>
                <w:rFonts w:ascii="Arial" w:eastAsia="Arial" w:hAnsi="Arial" w:cs="Arial"/>
                <w:sz w:val="18"/>
                <w:szCs w:val="18"/>
              </w:rPr>
              <w:t>: Loew, 1873</w:t>
            </w:r>
          </w:p>
        </w:tc>
      </w:tr>
      <w:tr w:rsidR="00471E14" w14:paraId="7AAB5266"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96E236D"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3151DE7F"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CD17612"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Acrotoxa fraterculus</w:t>
            </w:r>
            <w:r>
              <w:rPr>
                <w:rFonts w:ascii="Arial" w:eastAsia="Arial" w:hAnsi="Arial" w:cs="Arial"/>
                <w:color w:val="000000"/>
                <w:sz w:val="18"/>
                <w:szCs w:val="18"/>
              </w:rPr>
              <w:t>: Loew, 1873</w:t>
            </w:r>
          </w:p>
        </w:tc>
      </w:tr>
      <w:tr w:rsidR="00471E14" w14:paraId="6632CC97"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985064C"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F4F532D"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136965A"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Anthomyia frutalis </w:t>
            </w:r>
            <w:r>
              <w:rPr>
                <w:rFonts w:ascii="Arial" w:eastAsia="Arial" w:hAnsi="Arial" w:cs="Arial"/>
                <w:color w:val="000000"/>
                <w:sz w:val="18"/>
                <w:szCs w:val="18"/>
              </w:rPr>
              <w:t xml:space="preserve">Weyenbergh, 1874 </w:t>
            </w:r>
          </w:p>
        </w:tc>
      </w:tr>
      <w:tr w:rsidR="00471E14" w14:paraId="725DC46E"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5DFAB26"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30B5B908"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68834C8"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fraterculus </w:t>
            </w:r>
            <w:r>
              <w:rPr>
                <w:rFonts w:ascii="Arial" w:eastAsia="Arial" w:hAnsi="Arial" w:cs="Arial"/>
                <w:color w:val="000000"/>
                <w:sz w:val="18"/>
                <w:szCs w:val="18"/>
              </w:rPr>
              <w:t xml:space="preserve">var. </w:t>
            </w:r>
            <w:r>
              <w:rPr>
                <w:rFonts w:ascii="Arial" w:eastAsia="Arial" w:hAnsi="Arial" w:cs="Arial"/>
                <w:i/>
                <w:color w:val="000000"/>
                <w:sz w:val="18"/>
                <w:szCs w:val="18"/>
              </w:rPr>
              <w:t xml:space="preserve">soluta </w:t>
            </w:r>
            <w:r>
              <w:rPr>
                <w:rFonts w:ascii="Arial" w:eastAsia="Arial" w:hAnsi="Arial" w:cs="Arial"/>
                <w:color w:val="000000"/>
                <w:sz w:val="18"/>
                <w:szCs w:val="18"/>
              </w:rPr>
              <w:t xml:space="preserve">Bezzi, 1909 </w:t>
            </w:r>
          </w:p>
        </w:tc>
      </w:tr>
      <w:tr w:rsidR="00471E14" w14:paraId="7B7FE003"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2459FC2"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40E8941"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0CB449CC"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peruviana </w:t>
            </w:r>
            <w:r>
              <w:rPr>
                <w:rFonts w:ascii="Arial" w:eastAsia="Arial" w:hAnsi="Arial" w:cs="Arial"/>
                <w:color w:val="000000"/>
                <w:sz w:val="18"/>
                <w:szCs w:val="18"/>
              </w:rPr>
              <w:t xml:space="preserve">Townsend, 1913 </w:t>
            </w:r>
          </w:p>
        </w:tc>
      </w:tr>
      <w:tr w:rsidR="00471E14" w14:paraId="739E88A2"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3C1C92D"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C4FA760"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6D4FA99"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braziliensis </w:t>
            </w:r>
            <w:r>
              <w:rPr>
                <w:rFonts w:ascii="Arial" w:eastAsia="Arial" w:hAnsi="Arial" w:cs="Arial"/>
                <w:color w:val="000000"/>
                <w:sz w:val="18"/>
                <w:szCs w:val="18"/>
              </w:rPr>
              <w:t xml:space="preserve">Greene, 1934 </w:t>
            </w:r>
          </w:p>
        </w:tc>
      </w:tr>
      <w:tr w:rsidR="00471E14" w14:paraId="67DA64FE"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3ECB2E1"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A971750"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1662D09"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costarukmanii </w:t>
            </w:r>
            <w:r>
              <w:rPr>
                <w:rFonts w:ascii="Arial" w:eastAsia="Arial" w:hAnsi="Arial" w:cs="Arial"/>
                <w:color w:val="000000"/>
                <w:sz w:val="18"/>
                <w:szCs w:val="18"/>
              </w:rPr>
              <w:t xml:space="preserve">Capoor, 1954 </w:t>
            </w:r>
          </w:p>
        </w:tc>
      </w:tr>
      <w:tr w:rsidR="00471E14" w14:paraId="05A8CF18"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061635A"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32D4FEE"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C604E4E"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scholae </w:t>
            </w:r>
            <w:r>
              <w:rPr>
                <w:rFonts w:ascii="Arial" w:eastAsia="Arial" w:hAnsi="Arial" w:cs="Arial"/>
                <w:color w:val="000000"/>
                <w:sz w:val="18"/>
                <w:szCs w:val="18"/>
              </w:rPr>
              <w:t xml:space="preserve">Capoor, 1955 </w:t>
            </w:r>
          </w:p>
        </w:tc>
      </w:tr>
      <w:tr w:rsidR="00471E14" w14:paraId="1E459E4F"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381D8D82"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0CA7A22"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2BC563F"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pseudofraterculus </w:t>
            </w:r>
            <w:r>
              <w:rPr>
                <w:rFonts w:ascii="Arial" w:eastAsia="Arial" w:hAnsi="Arial" w:cs="Arial"/>
                <w:color w:val="000000"/>
                <w:sz w:val="18"/>
                <w:szCs w:val="18"/>
              </w:rPr>
              <w:t xml:space="preserve">Capoor, 1955 </w:t>
            </w:r>
          </w:p>
        </w:tc>
      </w:tr>
      <w:tr w:rsidR="00471E14" w14:paraId="2A50EEB1"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FD6F3FE"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45B596D"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F8271B4"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lambayecae </w:t>
            </w:r>
            <w:r>
              <w:rPr>
                <w:rFonts w:ascii="Arial" w:eastAsia="Arial" w:hAnsi="Arial" w:cs="Arial"/>
                <w:color w:val="000000"/>
                <w:sz w:val="18"/>
                <w:szCs w:val="18"/>
              </w:rPr>
              <w:t xml:space="preserve">Korytkowski and Ojeda, 1968 </w:t>
            </w:r>
          </w:p>
        </w:tc>
      </w:tr>
      <w:tr w:rsidR="00471E14" w14:paraId="62BB39D2" w14:textId="77777777">
        <w:trPr>
          <w:trHeight w:val="236"/>
        </w:trPr>
        <w:tc>
          <w:tcPr>
            <w:tcW w:w="1680"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7DE1D024"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3C4043"/>
                <w:sz w:val="18"/>
                <w:szCs w:val="18"/>
                <w:highlight w:val="white"/>
              </w:rPr>
              <w:t>South American cucurbit fruit fly</w:t>
            </w:r>
            <w:r>
              <w:rPr>
                <w:rFonts w:ascii="Arial" w:eastAsia="Arial" w:hAnsi="Arial" w:cs="Arial"/>
                <w:color w:val="000000"/>
                <w:sz w:val="18"/>
                <w:szCs w:val="18"/>
              </w:rPr>
              <w:t xml:space="preserve"> </w:t>
            </w:r>
          </w:p>
        </w:tc>
        <w:tc>
          <w:tcPr>
            <w:tcW w:w="1965"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5AFAFF18"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Anastrepha grandis</w:t>
            </w:r>
            <w:r>
              <w:rPr>
                <w:rFonts w:ascii="Arial" w:eastAsia="Arial" w:hAnsi="Arial" w:cs="Arial"/>
                <w:color w:val="000000"/>
                <w:sz w:val="18"/>
                <w:szCs w:val="18"/>
              </w:rPr>
              <w:t xml:space="preserve"> (Macquart, 1846) </w:t>
            </w: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A192C09"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schineri </w:t>
            </w:r>
            <w:r>
              <w:rPr>
                <w:rFonts w:ascii="Arial" w:eastAsia="Arial" w:hAnsi="Arial" w:cs="Arial"/>
                <w:color w:val="000000"/>
                <w:sz w:val="18"/>
                <w:szCs w:val="18"/>
              </w:rPr>
              <w:t xml:space="preserve">Hendel, 1914 </w:t>
            </w:r>
          </w:p>
        </w:tc>
      </w:tr>
      <w:tr w:rsidR="00471E14" w14:paraId="50725653"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3A6245A"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7CD5C39"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C57D424"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latifasciata </w:t>
            </w:r>
            <w:r>
              <w:rPr>
                <w:rFonts w:ascii="Arial" w:eastAsia="Arial" w:hAnsi="Arial" w:cs="Arial"/>
                <w:color w:val="000000"/>
                <w:sz w:val="18"/>
                <w:szCs w:val="18"/>
              </w:rPr>
              <w:t xml:space="preserve">Hering, 1935 </w:t>
            </w:r>
          </w:p>
        </w:tc>
      </w:tr>
      <w:tr w:rsidR="00471E14" w14:paraId="5CBC029A"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D6681B2"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08A77CE"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0B231A7E"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 xml:space="preserve">Tephritis grandis </w:t>
            </w:r>
            <w:r>
              <w:rPr>
                <w:rFonts w:ascii="Arial" w:eastAsia="Arial" w:hAnsi="Arial" w:cs="Arial"/>
                <w:sz w:val="18"/>
                <w:szCs w:val="18"/>
              </w:rPr>
              <w:t>Macquart, 1846</w:t>
            </w:r>
          </w:p>
        </w:tc>
      </w:tr>
      <w:tr w:rsidR="00471E14" w14:paraId="69CCD111"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33BCBBF1"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A82D8E7"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8C7F348"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Trypeta grandis</w:t>
            </w:r>
            <w:r>
              <w:rPr>
                <w:rFonts w:ascii="Arial" w:eastAsia="Arial" w:hAnsi="Arial" w:cs="Arial"/>
                <w:sz w:val="18"/>
                <w:szCs w:val="18"/>
              </w:rPr>
              <w:t>: Loew, 1873</w:t>
            </w:r>
          </w:p>
        </w:tc>
      </w:tr>
      <w:tr w:rsidR="00471E14" w14:paraId="452C8C28" w14:textId="77777777">
        <w:trPr>
          <w:trHeight w:val="267"/>
        </w:trPr>
        <w:tc>
          <w:tcPr>
            <w:tcW w:w="1680"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717D770D"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 xml:space="preserve">Mexican fruit fly </w:t>
            </w:r>
          </w:p>
        </w:tc>
        <w:tc>
          <w:tcPr>
            <w:tcW w:w="1965"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754D33EB"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Anastrepha ludens</w:t>
            </w:r>
            <w:r>
              <w:rPr>
                <w:rFonts w:ascii="Arial" w:eastAsia="Arial" w:hAnsi="Arial" w:cs="Arial"/>
                <w:color w:val="000000"/>
                <w:sz w:val="18"/>
                <w:szCs w:val="18"/>
              </w:rPr>
              <w:t xml:space="preserve"> (Loew, 1873) </w:t>
            </w:r>
          </w:p>
        </w:tc>
        <w:tc>
          <w:tcPr>
            <w:tcW w:w="5370"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2DCDA480"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lathana </w:t>
            </w:r>
            <w:r>
              <w:rPr>
                <w:rFonts w:ascii="Arial" w:eastAsia="Arial" w:hAnsi="Arial" w:cs="Arial"/>
                <w:color w:val="000000"/>
                <w:sz w:val="18"/>
                <w:szCs w:val="18"/>
              </w:rPr>
              <w:t xml:space="preserve">Stone, 1942 </w:t>
            </w:r>
          </w:p>
        </w:tc>
      </w:tr>
      <w:tr w:rsidR="00471E14" w14:paraId="53513B05" w14:textId="77777777">
        <w:trPr>
          <w:trHeight w:val="444"/>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909A336"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1C72FCC"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31819581"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r>
      <w:tr w:rsidR="00471E14" w14:paraId="67E27AAD" w14:textId="77777777">
        <w:trPr>
          <w:trHeight w:val="327"/>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E5221C1"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FE5DB61"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01DF23B"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r>
      <w:tr w:rsidR="00471E14" w14:paraId="75460712" w14:textId="77777777">
        <w:trPr>
          <w:trHeight w:val="267"/>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689365B"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08F73666"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0EEEABEB"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 xml:space="preserve">Trypeta ludens </w:t>
            </w:r>
            <w:r>
              <w:rPr>
                <w:rFonts w:ascii="Arial" w:eastAsia="Arial" w:hAnsi="Arial" w:cs="Arial"/>
                <w:sz w:val="18"/>
                <w:szCs w:val="18"/>
              </w:rPr>
              <w:t>Loew, 1873</w:t>
            </w:r>
          </w:p>
        </w:tc>
      </w:tr>
      <w:tr w:rsidR="00471E14" w14:paraId="051FF11A" w14:textId="77777777">
        <w:trPr>
          <w:trHeight w:val="267"/>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A8A404B"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4D12F60"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8133D35" w14:textId="77777777" w:rsidR="00471E14" w:rsidRDefault="0099106F">
            <w:pPr>
              <w:pBdr>
                <w:top w:val="nil"/>
                <w:left w:val="nil"/>
                <w:bottom w:val="nil"/>
                <w:right w:val="nil"/>
                <w:between w:val="nil"/>
              </w:pBdr>
              <w:spacing w:before="60" w:after="60"/>
              <w:jc w:val="left"/>
              <w:rPr>
                <w:rFonts w:ascii="Arial" w:eastAsia="Arial" w:hAnsi="Arial" w:cs="Arial"/>
                <w:i/>
                <w:sz w:val="18"/>
                <w:szCs w:val="18"/>
              </w:rPr>
            </w:pPr>
            <w:r>
              <w:rPr>
                <w:rFonts w:ascii="Arial" w:eastAsia="Arial" w:hAnsi="Arial" w:cs="Arial"/>
                <w:i/>
                <w:sz w:val="18"/>
                <w:szCs w:val="18"/>
              </w:rPr>
              <w:t>Acrotoxa ludens</w:t>
            </w:r>
            <w:r>
              <w:rPr>
                <w:rFonts w:ascii="Arial" w:eastAsia="Arial" w:hAnsi="Arial" w:cs="Arial"/>
                <w:sz w:val="18"/>
                <w:szCs w:val="18"/>
              </w:rPr>
              <w:t>: Loew, 1873</w:t>
            </w:r>
          </w:p>
        </w:tc>
      </w:tr>
      <w:tr w:rsidR="00471E14" w14:paraId="577F588F" w14:textId="77777777">
        <w:trPr>
          <w:trHeight w:val="236"/>
        </w:trPr>
        <w:tc>
          <w:tcPr>
            <w:tcW w:w="1680"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35711391" w14:textId="77777777" w:rsidR="00471E14" w:rsidRDefault="00471E14">
            <w:pPr>
              <w:spacing w:before="60" w:after="60"/>
              <w:jc w:val="left"/>
              <w:rPr>
                <w:rFonts w:ascii="Arial" w:eastAsia="Arial" w:hAnsi="Arial" w:cs="Arial"/>
                <w:sz w:val="18"/>
                <w:szCs w:val="18"/>
              </w:rPr>
            </w:pPr>
          </w:p>
          <w:p w14:paraId="4E086017"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West Indian fruit fly </w:t>
            </w:r>
          </w:p>
        </w:tc>
        <w:tc>
          <w:tcPr>
            <w:tcW w:w="1965"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325B37F6" w14:textId="77777777" w:rsidR="00471E14" w:rsidRDefault="00471E14">
            <w:pPr>
              <w:spacing w:before="60" w:after="60"/>
              <w:jc w:val="left"/>
              <w:rPr>
                <w:rFonts w:ascii="Arial" w:eastAsia="Arial" w:hAnsi="Arial" w:cs="Arial"/>
                <w:i/>
                <w:sz w:val="18"/>
                <w:szCs w:val="18"/>
              </w:rPr>
            </w:pPr>
          </w:p>
          <w:p w14:paraId="707E9787" w14:textId="77777777" w:rsidR="00471E14" w:rsidRDefault="0099106F">
            <w:pPr>
              <w:spacing w:before="60" w:after="60"/>
              <w:jc w:val="left"/>
              <w:rPr>
                <w:rFonts w:ascii="Arial" w:eastAsia="Arial" w:hAnsi="Arial" w:cs="Arial"/>
                <w:sz w:val="18"/>
                <w:szCs w:val="18"/>
              </w:rPr>
            </w:pPr>
            <w:r>
              <w:rPr>
                <w:rFonts w:ascii="Arial" w:eastAsia="Arial" w:hAnsi="Arial" w:cs="Arial"/>
                <w:i/>
                <w:sz w:val="18"/>
                <w:szCs w:val="18"/>
              </w:rPr>
              <w:t>Anastrepha obliqua</w:t>
            </w:r>
            <w:r>
              <w:rPr>
                <w:rFonts w:ascii="Arial" w:eastAsia="Arial" w:hAnsi="Arial" w:cs="Arial"/>
                <w:sz w:val="18"/>
                <w:szCs w:val="18"/>
              </w:rPr>
              <w:t xml:space="preserve"> (Macquart, 1835) </w:t>
            </w: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3881AF7"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Tephritis obliqua</w:t>
            </w:r>
            <w:r>
              <w:rPr>
                <w:rFonts w:ascii="Arial" w:eastAsia="Arial" w:hAnsi="Arial" w:cs="Arial"/>
                <w:sz w:val="18"/>
                <w:szCs w:val="18"/>
              </w:rPr>
              <w:t xml:space="preserve"> Macquart, 1835</w:t>
            </w:r>
          </w:p>
        </w:tc>
      </w:tr>
      <w:tr w:rsidR="00471E14" w14:paraId="4EECF72C"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B755631"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F787362"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AEF71C8"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Trypeta obliqua</w:t>
            </w:r>
            <w:r>
              <w:rPr>
                <w:rFonts w:ascii="Arial" w:eastAsia="Arial" w:hAnsi="Arial" w:cs="Arial"/>
                <w:sz w:val="18"/>
                <w:szCs w:val="18"/>
              </w:rPr>
              <w:t>: Osten Sacken, 1868</w:t>
            </w:r>
          </w:p>
        </w:tc>
      </w:tr>
      <w:tr w:rsidR="00471E14" w14:paraId="26DEC6EE"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3D33404"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087F5FEA"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198F3B33" w14:textId="77777777" w:rsidR="00471E14" w:rsidRDefault="0099106F">
            <w:pPr>
              <w:pBdr>
                <w:top w:val="nil"/>
                <w:left w:val="nil"/>
                <w:bottom w:val="nil"/>
                <w:right w:val="nil"/>
                <w:between w:val="nil"/>
              </w:pBdr>
              <w:spacing w:before="60" w:after="60"/>
              <w:jc w:val="left"/>
              <w:rPr>
                <w:rFonts w:ascii="Arial" w:eastAsia="Arial" w:hAnsi="Arial" w:cs="Arial"/>
                <w:i/>
                <w:color w:val="000000"/>
                <w:sz w:val="18"/>
                <w:szCs w:val="18"/>
              </w:rPr>
            </w:pPr>
            <w:r>
              <w:rPr>
                <w:rFonts w:ascii="Arial" w:eastAsia="Arial" w:hAnsi="Arial" w:cs="Arial"/>
                <w:i/>
                <w:sz w:val="18"/>
                <w:szCs w:val="18"/>
              </w:rPr>
              <w:t>Acrotoxa obliqua</w:t>
            </w:r>
            <w:r>
              <w:rPr>
                <w:rFonts w:ascii="Arial" w:eastAsia="Arial" w:hAnsi="Arial" w:cs="Arial"/>
                <w:sz w:val="18"/>
                <w:szCs w:val="18"/>
              </w:rPr>
              <w:t>: Loew, 1873</w:t>
            </w:r>
          </w:p>
        </w:tc>
      </w:tr>
      <w:tr w:rsidR="00471E14" w14:paraId="70455625"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B82632A" w14:textId="77777777" w:rsidR="00471E14" w:rsidRDefault="00471E14">
            <w:pPr>
              <w:widowControl w:val="0"/>
              <w:pBdr>
                <w:top w:val="nil"/>
                <w:left w:val="nil"/>
                <w:bottom w:val="nil"/>
                <w:right w:val="nil"/>
                <w:between w:val="nil"/>
              </w:pBdr>
              <w:spacing w:line="276" w:lineRule="auto"/>
              <w:jc w:val="left"/>
              <w:rPr>
                <w:rFonts w:ascii="Arial" w:eastAsia="Arial" w:hAnsi="Arial" w:cs="Arial"/>
                <w:i/>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4231FC4" w14:textId="77777777" w:rsidR="00471E14" w:rsidRDefault="00471E14">
            <w:pPr>
              <w:widowControl w:val="0"/>
              <w:pBdr>
                <w:top w:val="nil"/>
                <w:left w:val="nil"/>
                <w:bottom w:val="nil"/>
                <w:right w:val="nil"/>
                <w:between w:val="nil"/>
              </w:pBdr>
              <w:spacing w:line="276" w:lineRule="auto"/>
              <w:jc w:val="left"/>
              <w:rPr>
                <w:rFonts w:ascii="Arial" w:eastAsia="Arial" w:hAnsi="Arial" w:cs="Arial"/>
                <w:i/>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286966B"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fraterculus </w:t>
            </w:r>
            <w:r>
              <w:rPr>
                <w:rFonts w:ascii="Arial" w:eastAsia="Arial" w:hAnsi="Arial" w:cs="Arial"/>
                <w:color w:val="000000"/>
                <w:sz w:val="18"/>
                <w:szCs w:val="18"/>
              </w:rPr>
              <w:t>var.</w:t>
            </w:r>
            <w:r>
              <w:rPr>
                <w:rFonts w:ascii="Arial" w:eastAsia="Arial" w:hAnsi="Arial" w:cs="Arial"/>
                <w:i/>
                <w:color w:val="000000"/>
                <w:sz w:val="18"/>
                <w:szCs w:val="18"/>
              </w:rPr>
              <w:t xml:space="preserve"> mombinpraeoptans </w:t>
            </w:r>
            <w:r>
              <w:rPr>
                <w:rFonts w:ascii="Arial" w:eastAsia="Arial" w:hAnsi="Arial" w:cs="Arial"/>
                <w:color w:val="000000"/>
                <w:sz w:val="18"/>
                <w:szCs w:val="18"/>
              </w:rPr>
              <w:t>Se</w:t>
            </w:r>
            <w:r>
              <w:rPr>
                <w:rFonts w:ascii="Arial" w:eastAsia="Arial" w:hAnsi="Arial" w:cs="Arial"/>
                <w:sz w:val="18"/>
                <w:szCs w:val="18"/>
              </w:rPr>
              <w:t>í</w:t>
            </w:r>
            <w:r>
              <w:rPr>
                <w:rFonts w:ascii="Arial" w:eastAsia="Arial" w:hAnsi="Arial" w:cs="Arial"/>
                <w:color w:val="000000"/>
                <w:sz w:val="18"/>
                <w:szCs w:val="18"/>
              </w:rPr>
              <w:t xml:space="preserve">n, 1933 </w:t>
            </w:r>
          </w:p>
        </w:tc>
      </w:tr>
      <w:tr w:rsidR="00471E14" w14:paraId="7C514825"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F06AA06"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DB58744"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8130270"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fraterculus </w:t>
            </w:r>
            <w:r>
              <w:rPr>
                <w:rFonts w:ascii="Arial" w:eastAsia="Arial" w:hAnsi="Arial" w:cs="Arial"/>
                <w:color w:val="000000"/>
                <w:sz w:val="18"/>
                <w:szCs w:val="18"/>
              </w:rPr>
              <w:t xml:space="preserve">var. </w:t>
            </w:r>
            <w:r>
              <w:rPr>
                <w:rFonts w:ascii="Arial" w:eastAsia="Arial" w:hAnsi="Arial" w:cs="Arial"/>
                <w:i/>
                <w:color w:val="000000"/>
                <w:sz w:val="18"/>
                <w:szCs w:val="18"/>
              </w:rPr>
              <w:t xml:space="preserve">ligata </w:t>
            </w:r>
            <w:r>
              <w:rPr>
                <w:rFonts w:ascii="Arial" w:eastAsia="Arial" w:hAnsi="Arial" w:cs="Arial"/>
                <w:color w:val="000000"/>
                <w:sz w:val="18"/>
                <w:szCs w:val="18"/>
              </w:rPr>
              <w:t xml:space="preserve">Lima, 1934 </w:t>
            </w:r>
          </w:p>
        </w:tc>
      </w:tr>
      <w:tr w:rsidR="00471E14" w14:paraId="29032954"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5499BE4"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03EE5BC3"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A430AD3"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trinidadensis </w:t>
            </w:r>
            <w:r>
              <w:rPr>
                <w:rFonts w:ascii="Arial" w:eastAsia="Arial" w:hAnsi="Arial" w:cs="Arial"/>
                <w:color w:val="000000"/>
                <w:sz w:val="18"/>
                <w:szCs w:val="18"/>
              </w:rPr>
              <w:t xml:space="preserve">Greene, 1934 </w:t>
            </w:r>
          </w:p>
        </w:tc>
      </w:tr>
      <w:tr w:rsidR="00471E14" w14:paraId="5AAF147F"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9554BD6"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84B4627"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ACF3848"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Anastrepha mombinpraeoptans</w:t>
            </w:r>
            <w:r>
              <w:rPr>
                <w:rFonts w:ascii="Arial" w:eastAsia="Arial" w:hAnsi="Arial" w:cs="Arial"/>
                <w:sz w:val="18"/>
                <w:szCs w:val="18"/>
              </w:rPr>
              <w:t>: Stone, 1942</w:t>
            </w:r>
          </w:p>
        </w:tc>
      </w:tr>
      <w:tr w:rsidR="00471E14" w14:paraId="293B474F" w14:textId="77777777">
        <w:trPr>
          <w:trHeight w:val="267"/>
        </w:trPr>
        <w:tc>
          <w:tcPr>
            <w:tcW w:w="1680"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09B22D06" w14:textId="77777777" w:rsidR="00471E14" w:rsidRDefault="00471E14">
            <w:pPr>
              <w:spacing w:before="60" w:after="60"/>
              <w:jc w:val="left"/>
              <w:rPr>
                <w:rFonts w:ascii="Arial" w:eastAsia="Arial" w:hAnsi="Arial" w:cs="Arial"/>
                <w:sz w:val="18"/>
                <w:szCs w:val="18"/>
              </w:rPr>
            </w:pPr>
          </w:p>
          <w:p w14:paraId="1375ED57" w14:textId="77777777" w:rsidR="00471E14" w:rsidRDefault="00471E14">
            <w:pPr>
              <w:spacing w:before="60" w:after="60"/>
              <w:jc w:val="left"/>
              <w:rPr>
                <w:rFonts w:ascii="Arial" w:eastAsia="Arial" w:hAnsi="Arial" w:cs="Arial"/>
                <w:sz w:val="18"/>
                <w:szCs w:val="18"/>
              </w:rPr>
            </w:pPr>
          </w:p>
          <w:p w14:paraId="2E1ED1E3"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Sapote fruit fly </w:t>
            </w:r>
          </w:p>
          <w:p w14:paraId="6F66BC8A" w14:textId="77777777" w:rsidR="00471E14" w:rsidRDefault="00471E14">
            <w:pPr>
              <w:jc w:val="left"/>
              <w:rPr>
                <w:rFonts w:ascii="Arial" w:eastAsia="Arial" w:hAnsi="Arial" w:cs="Arial"/>
                <w:sz w:val="18"/>
                <w:szCs w:val="18"/>
              </w:rPr>
            </w:pPr>
          </w:p>
        </w:tc>
        <w:tc>
          <w:tcPr>
            <w:tcW w:w="1965"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535BFA7C" w14:textId="77777777" w:rsidR="00471E14" w:rsidRDefault="00471E14">
            <w:pPr>
              <w:spacing w:before="60" w:after="60"/>
              <w:jc w:val="left"/>
              <w:rPr>
                <w:rFonts w:ascii="Arial" w:eastAsia="Arial" w:hAnsi="Arial" w:cs="Arial"/>
                <w:i/>
                <w:sz w:val="18"/>
                <w:szCs w:val="18"/>
              </w:rPr>
            </w:pPr>
          </w:p>
          <w:p w14:paraId="0AA546BC" w14:textId="77777777" w:rsidR="00471E14" w:rsidRDefault="00471E14">
            <w:pPr>
              <w:spacing w:before="60" w:after="60"/>
              <w:jc w:val="left"/>
              <w:rPr>
                <w:rFonts w:ascii="Arial" w:eastAsia="Arial" w:hAnsi="Arial" w:cs="Arial"/>
                <w:i/>
                <w:sz w:val="18"/>
                <w:szCs w:val="18"/>
              </w:rPr>
            </w:pPr>
          </w:p>
          <w:p w14:paraId="01974C0E" w14:textId="77777777" w:rsidR="00471E14" w:rsidRDefault="0099106F">
            <w:pPr>
              <w:spacing w:before="60" w:after="60"/>
              <w:jc w:val="left"/>
              <w:rPr>
                <w:rFonts w:ascii="Arial" w:eastAsia="Arial" w:hAnsi="Arial" w:cs="Arial"/>
                <w:sz w:val="18"/>
                <w:szCs w:val="18"/>
              </w:rPr>
            </w:pPr>
            <w:r>
              <w:rPr>
                <w:rFonts w:ascii="Arial" w:eastAsia="Arial" w:hAnsi="Arial" w:cs="Arial"/>
                <w:i/>
                <w:sz w:val="18"/>
                <w:szCs w:val="18"/>
              </w:rPr>
              <w:t xml:space="preserve">Anastrepha serpentina </w:t>
            </w:r>
            <w:r>
              <w:rPr>
                <w:rFonts w:ascii="Arial" w:eastAsia="Arial" w:hAnsi="Arial" w:cs="Arial"/>
                <w:sz w:val="18"/>
                <w:szCs w:val="18"/>
              </w:rPr>
              <w:t xml:space="preserve">(Wiedemann, 1830) </w:t>
            </w:r>
          </w:p>
          <w:p w14:paraId="244D5994" w14:textId="77777777" w:rsidR="00471E14" w:rsidRDefault="00471E14">
            <w:pPr>
              <w:jc w:val="left"/>
              <w:rPr>
                <w:rFonts w:ascii="Arial" w:eastAsia="Arial" w:hAnsi="Arial" w:cs="Arial"/>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67247DA" w14:textId="77777777" w:rsidR="00471E14" w:rsidRDefault="0099106F">
            <w:pPr>
              <w:pBdr>
                <w:top w:val="nil"/>
                <w:left w:val="nil"/>
                <w:bottom w:val="nil"/>
                <w:right w:val="nil"/>
                <w:between w:val="nil"/>
              </w:pBdr>
              <w:spacing w:before="60" w:after="60"/>
              <w:jc w:val="left"/>
              <w:rPr>
                <w:rFonts w:ascii="Arial" w:eastAsia="Arial" w:hAnsi="Arial" w:cs="Arial"/>
                <w:i/>
                <w:sz w:val="18"/>
                <w:szCs w:val="18"/>
              </w:rPr>
            </w:pPr>
            <w:r>
              <w:rPr>
                <w:rFonts w:ascii="Arial" w:eastAsia="Arial" w:hAnsi="Arial" w:cs="Arial"/>
                <w:i/>
                <w:sz w:val="18"/>
                <w:szCs w:val="18"/>
              </w:rPr>
              <w:t xml:space="preserve">Dacus serpentinus </w:t>
            </w:r>
            <w:r>
              <w:rPr>
                <w:rFonts w:ascii="Arial" w:eastAsia="Arial" w:hAnsi="Arial" w:cs="Arial"/>
                <w:sz w:val="18"/>
                <w:szCs w:val="18"/>
              </w:rPr>
              <w:t>Wiedemann, 1830</w:t>
            </w:r>
          </w:p>
        </w:tc>
      </w:tr>
      <w:tr w:rsidR="00471E14" w14:paraId="42086AA9" w14:textId="77777777">
        <w:trPr>
          <w:trHeight w:val="267"/>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22B5A0B" w14:textId="77777777" w:rsidR="00471E14" w:rsidRDefault="00471E14">
            <w:pPr>
              <w:widowControl w:val="0"/>
              <w:pBdr>
                <w:top w:val="nil"/>
                <w:left w:val="nil"/>
                <w:bottom w:val="nil"/>
                <w:right w:val="nil"/>
                <w:between w:val="nil"/>
              </w:pBdr>
              <w:spacing w:line="276" w:lineRule="auto"/>
              <w:jc w:val="left"/>
              <w:rPr>
                <w:rFonts w:ascii="Arial" w:eastAsia="Arial" w:hAnsi="Arial" w:cs="Arial"/>
                <w:i/>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342A489D" w14:textId="77777777" w:rsidR="00471E14" w:rsidRDefault="00471E14">
            <w:pPr>
              <w:widowControl w:val="0"/>
              <w:pBdr>
                <w:top w:val="nil"/>
                <w:left w:val="nil"/>
                <w:bottom w:val="nil"/>
                <w:right w:val="nil"/>
                <w:between w:val="nil"/>
              </w:pBdr>
              <w:spacing w:line="276" w:lineRule="auto"/>
              <w:jc w:val="left"/>
              <w:rPr>
                <w:rFonts w:ascii="Arial" w:eastAsia="Arial" w:hAnsi="Arial" w:cs="Arial"/>
                <w:i/>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5308919" w14:textId="77777777" w:rsidR="00471E14" w:rsidRDefault="0099106F">
            <w:pPr>
              <w:pBdr>
                <w:top w:val="nil"/>
                <w:left w:val="nil"/>
                <w:bottom w:val="nil"/>
                <w:right w:val="nil"/>
                <w:between w:val="nil"/>
              </w:pBdr>
              <w:spacing w:before="60" w:after="60"/>
              <w:jc w:val="left"/>
              <w:rPr>
                <w:rFonts w:ascii="Arial" w:eastAsia="Arial" w:hAnsi="Arial" w:cs="Arial"/>
                <w:sz w:val="18"/>
                <w:szCs w:val="18"/>
              </w:rPr>
            </w:pPr>
            <w:r>
              <w:rPr>
                <w:rFonts w:ascii="Arial" w:eastAsia="Arial" w:hAnsi="Arial" w:cs="Arial"/>
                <w:i/>
                <w:sz w:val="18"/>
                <w:szCs w:val="18"/>
              </w:rPr>
              <w:t>Leptoxys serpentina</w:t>
            </w:r>
            <w:r>
              <w:rPr>
                <w:rFonts w:ascii="Arial" w:eastAsia="Arial" w:hAnsi="Arial" w:cs="Arial"/>
                <w:sz w:val="18"/>
                <w:szCs w:val="18"/>
              </w:rPr>
              <w:t>: Macquart, 1843</w:t>
            </w:r>
          </w:p>
        </w:tc>
      </w:tr>
      <w:tr w:rsidR="00471E14" w14:paraId="2141F51A" w14:textId="77777777">
        <w:trPr>
          <w:trHeight w:val="267"/>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7F0A26B"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593D895"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3E8B3AE" w14:textId="77777777" w:rsidR="00471E14" w:rsidRDefault="0099106F">
            <w:pPr>
              <w:pBdr>
                <w:top w:val="nil"/>
                <w:left w:val="nil"/>
                <w:bottom w:val="nil"/>
                <w:right w:val="nil"/>
                <w:between w:val="nil"/>
              </w:pBdr>
              <w:spacing w:before="60" w:after="60"/>
              <w:jc w:val="left"/>
              <w:rPr>
                <w:rFonts w:ascii="Arial" w:eastAsia="Arial" w:hAnsi="Arial" w:cs="Arial"/>
                <w:sz w:val="18"/>
                <w:szCs w:val="18"/>
              </w:rPr>
            </w:pPr>
            <w:r>
              <w:rPr>
                <w:rFonts w:ascii="Arial" w:eastAsia="Arial" w:hAnsi="Arial" w:cs="Arial"/>
                <w:i/>
                <w:sz w:val="18"/>
                <w:szCs w:val="18"/>
              </w:rPr>
              <w:t>Trypeta serpentina</w:t>
            </w:r>
            <w:r>
              <w:rPr>
                <w:rFonts w:ascii="Arial" w:eastAsia="Arial" w:hAnsi="Arial" w:cs="Arial"/>
                <w:sz w:val="18"/>
                <w:szCs w:val="18"/>
              </w:rPr>
              <w:t>: Loew, 1873</w:t>
            </w:r>
          </w:p>
        </w:tc>
      </w:tr>
      <w:tr w:rsidR="00471E14" w14:paraId="6D4C6F59" w14:textId="77777777">
        <w:trPr>
          <w:trHeight w:val="267"/>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A64A695"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02578E8E"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4048AC4"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Acrotoxa serpentina</w:t>
            </w:r>
            <w:r>
              <w:rPr>
                <w:rFonts w:ascii="Arial" w:eastAsia="Arial" w:hAnsi="Arial" w:cs="Arial"/>
                <w:sz w:val="18"/>
                <w:szCs w:val="18"/>
              </w:rPr>
              <w:t>: Loew, 1873</w:t>
            </w:r>
          </w:p>
        </w:tc>
      </w:tr>
      <w:tr w:rsidR="00471E14" w14:paraId="6D86F504" w14:textId="77777777">
        <w:trPr>
          <w:trHeight w:val="267"/>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8589AB3"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A33981F"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585FC7F5"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Urophora vittithorax </w:t>
            </w:r>
            <w:r>
              <w:rPr>
                <w:rFonts w:ascii="Arial" w:eastAsia="Arial" w:hAnsi="Arial" w:cs="Arial"/>
                <w:color w:val="000000"/>
                <w:sz w:val="18"/>
                <w:szCs w:val="18"/>
              </w:rPr>
              <w:t xml:space="preserve">Macquart, 1851 </w:t>
            </w:r>
          </w:p>
        </w:tc>
      </w:tr>
      <w:tr w:rsidR="00471E14" w14:paraId="048C11AE" w14:textId="77777777">
        <w:trPr>
          <w:trHeight w:val="444"/>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D7293AF"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F989CE1"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CC74AC3"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r>
      <w:tr w:rsidR="00471E14" w14:paraId="6E8746F5" w14:textId="77777777">
        <w:trPr>
          <w:trHeight w:val="444"/>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0C8EF6FD"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3A5F2EB"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065053F"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r>
      <w:tr w:rsidR="00471E14" w14:paraId="5BD59D59" w14:textId="77777777">
        <w:trPr>
          <w:trHeight w:val="609"/>
        </w:trPr>
        <w:tc>
          <w:tcPr>
            <w:tcW w:w="1680"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56BA159F"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sz w:val="18"/>
                <w:szCs w:val="18"/>
              </w:rPr>
              <w:t>American g</w:t>
            </w:r>
            <w:r>
              <w:rPr>
                <w:rFonts w:ascii="Arial" w:eastAsia="Arial" w:hAnsi="Arial" w:cs="Arial"/>
                <w:color w:val="000000"/>
                <w:sz w:val="18"/>
                <w:szCs w:val="18"/>
              </w:rPr>
              <w:t xml:space="preserve">uava fruit fly </w:t>
            </w:r>
          </w:p>
        </w:tc>
        <w:tc>
          <w:tcPr>
            <w:tcW w:w="1965"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3BDC4EE7"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Anastrepha striata</w:t>
            </w:r>
            <w:r>
              <w:rPr>
                <w:rFonts w:ascii="Arial" w:eastAsia="Arial" w:hAnsi="Arial" w:cs="Arial"/>
                <w:color w:val="000000"/>
                <w:sz w:val="18"/>
                <w:szCs w:val="18"/>
              </w:rPr>
              <w:t xml:space="preserve"> Schiner, 1868 </w:t>
            </w:r>
          </w:p>
        </w:tc>
        <w:tc>
          <w:tcPr>
            <w:tcW w:w="5370" w:type="dxa"/>
            <w:tcBorders>
              <w:top w:val="single" w:sz="6" w:space="0" w:color="00000A"/>
              <w:left w:val="single" w:sz="6" w:space="0" w:color="00000A"/>
              <w:right w:val="single" w:sz="6" w:space="0" w:color="00000A"/>
            </w:tcBorders>
            <w:shd w:val="clear" w:color="auto" w:fill="FFFFFF"/>
            <w:vAlign w:val="center"/>
          </w:tcPr>
          <w:p w14:paraId="0DCBBB1A"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Dictya cancellaria </w:t>
            </w:r>
            <w:r>
              <w:rPr>
                <w:rFonts w:ascii="Arial" w:eastAsia="Arial" w:hAnsi="Arial" w:cs="Arial"/>
                <w:color w:val="000000"/>
                <w:sz w:val="18"/>
                <w:szCs w:val="18"/>
              </w:rPr>
              <w:t>Fabricius, 1805</w:t>
            </w:r>
          </w:p>
        </w:tc>
      </w:tr>
      <w:tr w:rsidR="00471E14" w14:paraId="7E88D5E6" w14:textId="77777777">
        <w:trPr>
          <w:trHeight w:val="609"/>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D02556C"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D93CDE6"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right w:val="single" w:sz="6" w:space="0" w:color="00000A"/>
            </w:tcBorders>
            <w:shd w:val="clear" w:color="auto" w:fill="FFFFFF"/>
            <w:vAlign w:val="center"/>
          </w:tcPr>
          <w:p w14:paraId="3A4EDD34"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Trypeta cancellaria</w:t>
            </w:r>
            <w:r>
              <w:rPr>
                <w:rFonts w:ascii="Arial" w:eastAsia="Arial" w:hAnsi="Arial" w:cs="Arial"/>
                <w:sz w:val="18"/>
                <w:szCs w:val="18"/>
              </w:rPr>
              <w:t>: Wiedemann, 1830</w:t>
            </w:r>
          </w:p>
        </w:tc>
      </w:tr>
      <w:tr w:rsidR="00471E14" w14:paraId="66D91A06" w14:textId="77777777">
        <w:trPr>
          <w:trHeight w:val="236"/>
        </w:trPr>
        <w:tc>
          <w:tcPr>
            <w:tcW w:w="1680"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6282D9BB" w14:textId="77777777" w:rsidR="00471E14" w:rsidRDefault="0099106F">
            <w:pPr>
              <w:spacing w:before="60" w:after="60"/>
              <w:jc w:val="left"/>
              <w:rPr>
                <w:rFonts w:ascii="Arial" w:eastAsia="Arial" w:hAnsi="Arial" w:cs="Arial"/>
                <w:color w:val="000000"/>
                <w:sz w:val="18"/>
                <w:szCs w:val="18"/>
              </w:rPr>
            </w:pPr>
            <w:r>
              <w:rPr>
                <w:rFonts w:ascii="Arial" w:eastAsia="Arial" w:hAnsi="Arial" w:cs="Arial"/>
                <w:color w:val="000000"/>
                <w:sz w:val="18"/>
                <w:szCs w:val="18"/>
              </w:rPr>
              <w:t xml:space="preserve">Caribbean fruit fly </w:t>
            </w:r>
          </w:p>
        </w:tc>
        <w:tc>
          <w:tcPr>
            <w:tcW w:w="1965"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50E7BA77" w14:textId="77777777" w:rsidR="00471E14" w:rsidRDefault="0099106F">
            <w:pPr>
              <w:spacing w:before="60" w:after="60"/>
              <w:jc w:val="left"/>
              <w:rPr>
                <w:rFonts w:ascii="Arial" w:eastAsia="Arial" w:hAnsi="Arial" w:cs="Arial"/>
                <w:i/>
                <w:color w:val="000000"/>
                <w:sz w:val="18"/>
                <w:szCs w:val="18"/>
              </w:rPr>
            </w:pPr>
            <w:r>
              <w:rPr>
                <w:rFonts w:ascii="Arial" w:eastAsia="Arial" w:hAnsi="Arial" w:cs="Arial"/>
                <w:i/>
                <w:color w:val="000000"/>
                <w:sz w:val="18"/>
                <w:szCs w:val="18"/>
              </w:rPr>
              <w:t xml:space="preserve">Anastrepha suspensa (Loew, 1862) </w:t>
            </w: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4E957C5"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 xml:space="preserve">Trypeta suspensa </w:t>
            </w:r>
            <w:r>
              <w:rPr>
                <w:rFonts w:ascii="Arial" w:eastAsia="Arial" w:hAnsi="Arial" w:cs="Arial"/>
                <w:sz w:val="18"/>
                <w:szCs w:val="18"/>
              </w:rPr>
              <w:t>Loew, 1862</w:t>
            </w:r>
          </w:p>
        </w:tc>
      </w:tr>
      <w:tr w:rsidR="00471E14" w14:paraId="125B9B53"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31C842E1"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ABA7E63"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0F8F9534"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sz w:val="18"/>
                <w:szCs w:val="18"/>
              </w:rPr>
              <w:t>Acrotoxa suspensa</w:t>
            </w:r>
            <w:r>
              <w:rPr>
                <w:rFonts w:ascii="Arial" w:eastAsia="Arial" w:hAnsi="Arial" w:cs="Arial"/>
                <w:sz w:val="18"/>
                <w:szCs w:val="18"/>
              </w:rPr>
              <w:t>: Loew, 1873</w:t>
            </w:r>
          </w:p>
        </w:tc>
      </w:tr>
      <w:tr w:rsidR="00471E14" w14:paraId="7F12CE83"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F6271CD"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EB4BD95"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6D9DD7C"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unipuncta </w:t>
            </w:r>
            <w:r>
              <w:rPr>
                <w:rFonts w:ascii="Arial" w:eastAsia="Arial" w:hAnsi="Arial" w:cs="Arial"/>
                <w:color w:val="000000"/>
                <w:sz w:val="18"/>
                <w:szCs w:val="18"/>
              </w:rPr>
              <w:t xml:space="preserve">Sein, 1933 </w:t>
            </w:r>
          </w:p>
        </w:tc>
      </w:tr>
      <w:tr w:rsidR="00471E14" w14:paraId="6E36D575" w14:textId="77777777">
        <w:trPr>
          <w:trHeight w:val="236"/>
        </w:trPr>
        <w:tc>
          <w:tcPr>
            <w:tcW w:w="1680"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0F896A15"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965"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5B77016" w14:textId="77777777" w:rsidR="00471E1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5370"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0953C846"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i/>
                <w:color w:val="000000"/>
                <w:sz w:val="18"/>
                <w:szCs w:val="18"/>
              </w:rPr>
              <w:t xml:space="preserve">Anastrepha longimacula </w:t>
            </w:r>
            <w:r>
              <w:rPr>
                <w:rFonts w:ascii="Arial" w:eastAsia="Arial" w:hAnsi="Arial" w:cs="Arial"/>
                <w:color w:val="000000"/>
                <w:sz w:val="18"/>
                <w:szCs w:val="18"/>
              </w:rPr>
              <w:t xml:space="preserve">Greene, 1934 </w:t>
            </w:r>
          </w:p>
        </w:tc>
      </w:tr>
    </w:tbl>
    <w:p w14:paraId="48A7D3E7" w14:textId="77777777" w:rsidR="00471E14" w:rsidRDefault="00471E14">
      <w:pPr>
        <w:pBdr>
          <w:top w:val="nil"/>
          <w:left w:val="nil"/>
          <w:bottom w:val="nil"/>
          <w:right w:val="nil"/>
          <w:between w:val="nil"/>
        </w:pBdr>
        <w:rPr>
          <w:rFonts w:ascii="Arial" w:eastAsia="Arial" w:hAnsi="Arial" w:cs="Arial"/>
          <w:i/>
          <w:color w:val="000000"/>
          <w:sz w:val="18"/>
          <w:szCs w:val="18"/>
        </w:rPr>
      </w:pPr>
    </w:p>
    <w:p w14:paraId="69791C0F" w14:textId="77777777" w:rsidR="00471E14" w:rsidRDefault="0099106F">
      <w:pPr>
        <w:keepNext/>
        <w:pBdr>
          <w:top w:val="nil"/>
          <w:left w:val="nil"/>
          <w:bottom w:val="nil"/>
          <w:right w:val="nil"/>
          <w:between w:val="nil"/>
        </w:pBdr>
        <w:tabs>
          <w:tab w:val="left" w:pos="567"/>
        </w:tabs>
        <w:spacing w:before="240" w:after="120"/>
        <w:ind w:left="567" w:hanging="567"/>
        <w:jc w:val="left"/>
        <w:rPr>
          <w:b/>
          <w:color w:val="000000"/>
          <w:sz w:val="24"/>
          <w:szCs w:val="24"/>
        </w:rPr>
      </w:pPr>
      <w:r>
        <w:rPr>
          <w:b/>
          <w:color w:val="000000"/>
          <w:sz w:val="24"/>
          <w:szCs w:val="24"/>
        </w:rPr>
        <w:t>3.</w:t>
      </w:r>
      <w:r>
        <w:rPr>
          <w:b/>
          <w:color w:val="000000"/>
          <w:sz w:val="24"/>
          <w:szCs w:val="24"/>
        </w:rPr>
        <w:tab/>
        <w:t xml:space="preserve">Detection </w:t>
      </w:r>
    </w:p>
    <w:p w14:paraId="66364ECD" w14:textId="77777777" w:rsidR="00471E14" w:rsidRDefault="0099106F" w:rsidP="00810564">
      <w:pPr>
        <w:pStyle w:val="IPPParagraphnumbering"/>
      </w:pPr>
      <w:r>
        <w:t xml:space="preserve">Fruit flies can be detected as larvae by inspection inside fruits and as pupae in leaf litter, soil, or the containers in which the fruits are being transported, or they can be captured outdoors as adults by means of traps. </w:t>
      </w:r>
    </w:p>
    <w:p w14:paraId="4C7A0921" w14:textId="77777777" w:rsidR="00471E14" w:rsidRDefault="0099106F">
      <w:pPr>
        <w:keepNext/>
        <w:pBdr>
          <w:top w:val="nil"/>
          <w:left w:val="nil"/>
          <w:bottom w:val="nil"/>
          <w:right w:val="nil"/>
          <w:between w:val="nil"/>
        </w:pBdr>
        <w:tabs>
          <w:tab w:val="left" w:pos="567"/>
        </w:tabs>
        <w:spacing w:before="120" w:after="120"/>
        <w:ind w:left="567" w:hanging="567"/>
        <w:jc w:val="left"/>
        <w:rPr>
          <w:b/>
          <w:color w:val="000000"/>
          <w:sz w:val="24"/>
          <w:szCs w:val="24"/>
        </w:rPr>
      </w:pPr>
      <w:r>
        <w:rPr>
          <w:b/>
          <w:color w:val="000000"/>
          <w:sz w:val="24"/>
          <w:szCs w:val="24"/>
        </w:rPr>
        <w:t>3.1</w:t>
      </w:r>
      <w:r>
        <w:rPr>
          <w:b/>
          <w:color w:val="000000"/>
          <w:sz w:val="24"/>
          <w:szCs w:val="24"/>
        </w:rPr>
        <w:tab/>
        <w:t xml:space="preserve">Inspection of fruits. </w:t>
      </w:r>
    </w:p>
    <w:p w14:paraId="00BD1E18" w14:textId="77777777" w:rsidR="00471E14" w:rsidRDefault="0099106F" w:rsidP="00810564">
      <w:pPr>
        <w:pStyle w:val="IPPParagraphnumbering"/>
      </w:pPr>
      <w:r>
        <w:t xml:space="preserve">Infested fruits can be found in imported or exported shipments, in baggage, and even on aeroplanes or terrestrial transportation vehicles. Fruits with soft areas, dark stains, rot, orifices or injuries that might have originated from female oviposition or larval feeding activities are targeted for inspection. In order to detect punctures made by female flies during oviposition, the visual examination should be done under a microscope by an expert. If larval exit holes are observed, the fruit containers should be inspected for pupae. Second and third instar larvae and pupae are not likely to occur when unripe fruits are collected and packed; however, these fruits might host eggs and first instar larvae, which are more difficult to detect. Potentially infested fruits that show typical punctures made by ovipositing female flies should be cut open to search for eggs or larvae inside. The success of detection depends on careful sampling and examination of fruits. </w:t>
      </w:r>
    </w:p>
    <w:p w14:paraId="72382FCB" w14:textId="77777777" w:rsidR="00471E14" w:rsidRDefault="0099106F">
      <w:pPr>
        <w:keepNext/>
        <w:pBdr>
          <w:top w:val="nil"/>
          <w:left w:val="nil"/>
          <w:bottom w:val="nil"/>
          <w:right w:val="nil"/>
          <w:between w:val="nil"/>
        </w:pBdr>
        <w:tabs>
          <w:tab w:val="left" w:pos="567"/>
        </w:tabs>
        <w:spacing w:before="120" w:after="120"/>
        <w:ind w:left="567" w:hanging="567"/>
        <w:jc w:val="left"/>
        <w:rPr>
          <w:b/>
          <w:color w:val="000000"/>
          <w:sz w:val="24"/>
          <w:szCs w:val="24"/>
        </w:rPr>
      </w:pPr>
      <w:r>
        <w:rPr>
          <w:b/>
          <w:color w:val="000000"/>
          <w:sz w:val="24"/>
          <w:szCs w:val="24"/>
        </w:rPr>
        <w:t>3.2</w:t>
      </w:r>
      <w:r>
        <w:rPr>
          <w:b/>
          <w:color w:val="000000"/>
          <w:sz w:val="24"/>
          <w:szCs w:val="24"/>
        </w:rPr>
        <w:tab/>
        <w:t xml:space="preserve">Inspection of traps. </w:t>
      </w:r>
    </w:p>
    <w:p w14:paraId="708E7DF9" w14:textId="77777777" w:rsidR="00471E14" w:rsidRDefault="0099106F" w:rsidP="00810564">
      <w:pPr>
        <w:pStyle w:val="IPPParagraphnumbering"/>
      </w:pPr>
      <w:r>
        <w:t xml:space="preserve">Guidance on trapping </w:t>
      </w:r>
      <w:r>
        <w:rPr>
          <w:i/>
        </w:rPr>
        <w:t>Anastrepha</w:t>
      </w:r>
      <w:r>
        <w:t xml:space="preserve"> fruit flies is given in Appendix 1 of ISPM 26 </w:t>
      </w:r>
      <w:r>
        <w:rPr>
          <w:i/>
        </w:rPr>
        <w:t>(Establishment of pest free areas for fruit flies (Tephritidae)</w:t>
      </w:r>
      <w:r>
        <w:t xml:space="preserve">. In general, monitoring systems established for the detection of fruit fly adults in trees, either in fruit-growing regions or in areas at high risk of introduction, require the utilization of McPhail or multilure traps baited with food attractants or synthetic lures. The baits, often with rich sources of ammonium, should be recognized and approved internationally (e.g., ISPM 26). The specific methods of trap deployment and time of service of the traps must be in agreement with the national phytosanitary regulations. </w:t>
      </w:r>
    </w:p>
    <w:p w14:paraId="2583AF2C" w14:textId="77777777" w:rsidR="00471E14" w:rsidRDefault="0099106F">
      <w:pPr>
        <w:keepNext/>
        <w:pBdr>
          <w:top w:val="nil"/>
          <w:left w:val="nil"/>
          <w:bottom w:val="nil"/>
          <w:right w:val="nil"/>
          <w:between w:val="nil"/>
        </w:pBdr>
        <w:tabs>
          <w:tab w:val="left" w:pos="567"/>
        </w:tabs>
        <w:spacing w:before="240" w:after="120"/>
        <w:ind w:left="567" w:hanging="567"/>
        <w:jc w:val="left"/>
        <w:rPr>
          <w:b/>
          <w:color w:val="000000"/>
          <w:sz w:val="24"/>
          <w:szCs w:val="24"/>
        </w:rPr>
      </w:pPr>
      <w:r>
        <w:rPr>
          <w:b/>
          <w:color w:val="000000"/>
          <w:sz w:val="24"/>
          <w:szCs w:val="24"/>
        </w:rPr>
        <w:t>4.</w:t>
      </w:r>
      <w:r>
        <w:rPr>
          <w:b/>
          <w:color w:val="000000"/>
          <w:sz w:val="24"/>
          <w:szCs w:val="24"/>
        </w:rPr>
        <w:tab/>
        <w:t xml:space="preserve">Identification </w:t>
      </w:r>
    </w:p>
    <w:p w14:paraId="47E3EC3F" w14:textId="77777777" w:rsidR="00471E14" w:rsidRDefault="0099106F" w:rsidP="00810564">
      <w:pPr>
        <w:pStyle w:val="IPPParagraphnumbering"/>
      </w:pPr>
      <w:r>
        <w:t xml:space="preserve">The taxonomy of the genus </w:t>
      </w:r>
      <w:r>
        <w:rPr>
          <w:i/>
        </w:rPr>
        <w:t>Anastrepha</w:t>
      </w:r>
      <w:r>
        <w:t xml:space="preserve"> is based mainly on adult external morphology and characters of the female terminalia (Stone, 1942; Hernández-Ortiz, 1992; Zucchi, 2000; Norrbom </w:t>
      </w:r>
      <w:r>
        <w:rPr>
          <w:i/>
        </w:rPr>
        <w:t>et al</w:t>
      </w:r>
      <w:r>
        <w:t xml:space="preserve">., 2012). Because morphological characters of immature stages are not well documented for most </w:t>
      </w:r>
      <w:r>
        <w:rPr>
          <w:i/>
        </w:rPr>
        <w:t>Anastrepha</w:t>
      </w:r>
      <w:r>
        <w:t xml:space="preserve"> species, these characters have a more limited utility in species recognition (White and Elson-Harris, 1992; Steck </w:t>
      </w:r>
      <w:r>
        <w:rPr>
          <w:i/>
        </w:rPr>
        <w:t>et al</w:t>
      </w:r>
      <w:r>
        <w:t xml:space="preserve">., 2019) in comparison with adult morphology. However, some information on egg structures and third instar larvae is available in the scientific literature and has diagnostic utility for certain species (Steck and Wharton, 1988; Steck </w:t>
      </w:r>
      <w:r>
        <w:rPr>
          <w:i/>
        </w:rPr>
        <w:t>et al.</w:t>
      </w:r>
      <w:r>
        <w:t xml:space="preserve">, 1990; Frías </w:t>
      </w:r>
      <w:r>
        <w:rPr>
          <w:i/>
        </w:rPr>
        <w:t>et al</w:t>
      </w:r>
      <w:r>
        <w:t xml:space="preserve">., 2006, 2008, 2009; Dutra </w:t>
      </w:r>
      <w:r>
        <w:rPr>
          <w:i/>
        </w:rPr>
        <w:t>et al.</w:t>
      </w:r>
      <w:r>
        <w:t xml:space="preserve">, 2011a, 2011b, 2012, 2013, 2018a,b; Figueiredo </w:t>
      </w:r>
      <w:r>
        <w:rPr>
          <w:i/>
        </w:rPr>
        <w:t>et al.</w:t>
      </w:r>
      <w:r>
        <w:t xml:space="preserve">, 2011; Rodriguez </w:t>
      </w:r>
      <w:r>
        <w:rPr>
          <w:i/>
        </w:rPr>
        <w:t>et al</w:t>
      </w:r>
      <w:r>
        <w:t xml:space="preserve">., 2021). Identification keys for the larvae of the eight species of </w:t>
      </w:r>
      <w:r>
        <w:rPr>
          <w:i/>
        </w:rPr>
        <w:t>Anastrepha</w:t>
      </w:r>
      <w:r>
        <w:t xml:space="preserve"> known to be of major economic importance (Table 1) are available (Steck </w:t>
      </w:r>
      <w:r>
        <w:rPr>
          <w:i/>
        </w:rPr>
        <w:t>et al.</w:t>
      </w:r>
      <w:r>
        <w:t xml:space="preserve">, 1990; Carroll </w:t>
      </w:r>
      <w:r>
        <w:rPr>
          <w:i/>
        </w:rPr>
        <w:t>et al.</w:t>
      </w:r>
      <w:r>
        <w:t xml:space="preserve">, 2004) but should be used with consideration of their limits. </w:t>
      </w:r>
    </w:p>
    <w:p w14:paraId="0DEB0EBF" w14:textId="0CE2359C" w:rsidR="00471E14" w:rsidRDefault="0099106F" w:rsidP="00810564">
      <w:pPr>
        <w:pStyle w:val="IPPParagraphnumbering"/>
      </w:pPr>
      <w:r>
        <w:t xml:space="preserve">Although the third instar larvae of some </w:t>
      </w:r>
      <w:r>
        <w:rPr>
          <w:i/>
        </w:rPr>
        <w:t>Anastrepha</w:t>
      </w:r>
      <w:r>
        <w:t xml:space="preserve"> species can be discriminated in keys (Steck and Wharton, 1988; Carroll and Wharton, 1989; Steck </w:t>
      </w:r>
      <w:r>
        <w:rPr>
          <w:i/>
        </w:rPr>
        <w:t>et al.</w:t>
      </w:r>
      <w:r>
        <w:t xml:space="preserve">, 1990; White and Elson-Harris, 1992; Carroll </w:t>
      </w:r>
      <w:r>
        <w:rPr>
          <w:i/>
        </w:rPr>
        <w:t>et al</w:t>
      </w:r>
      <w:r>
        <w:t xml:space="preserve">., 2004; Frías </w:t>
      </w:r>
      <w:r>
        <w:rPr>
          <w:i/>
        </w:rPr>
        <w:t>et al</w:t>
      </w:r>
      <w:r>
        <w:t xml:space="preserve">., 2006; Hernández-Ortiz </w:t>
      </w:r>
      <w:r>
        <w:rPr>
          <w:i/>
        </w:rPr>
        <w:t>et al.</w:t>
      </w:r>
      <w:r>
        <w:t xml:space="preserve">, 2010), the available data are based on very limited sampling for most species. Studies of additional closely related species that have not yet been characterized may also reduce the reliability of the method. The most reliable method for identification is rearing larvae to the adult stage. Molecular methods of identification have also been reported for some of the major pest species and are included in the protocol (section 4.5). </w:t>
      </w:r>
    </w:p>
    <w:p w14:paraId="0DA17168" w14:textId="77777777" w:rsidR="00471E14" w:rsidRDefault="0099106F" w:rsidP="00810564">
      <w:pPr>
        <w:pStyle w:val="IPPParagraphnumbering"/>
      </w:pPr>
      <w:r>
        <w:t xml:space="preserve">Several pest species of </w:t>
      </w:r>
      <w:r>
        <w:rPr>
          <w:i/>
        </w:rPr>
        <w:t xml:space="preserve">Anastrepha </w:t>
      </w:r>
      <w:r>
        <w:t xml:space="preserve">are believed to comprise multiple (yet to be described) cryptic species that are morphologically indistinguishable or require morphometric analysis for their recognition (Hernández-Ortiz </w:t>
      </w:r>
      <w:r>
        <w:rPr>
          <w:i/>
        </w:rPr>
        <w:t>et al.</w:t>
      </w:r>
      <w:r>
        <w:t xml:space="preserve">, 2004, 2012, 2015). The </w:t>
      </w:r>
      <w:r>
        <w:rPr>
          <w:i/>
        </w:rPr>
        <w:t>Anastrepha fraterculus</w:t>
      </w:r>
      <w:r>
        <w:t xml:space="preserve"> species complex (Table 1) is included in the protocol, but it is identified to the level of complex because revision of its taxonomy and associated molecular diagnosis are not yet fully resolved (Sutton </w:t>
      </w:r>
      <w:r>
        <w:rPr>
          <w:i/>
        </w:rPr>
        <w:t>et al</w:t>
      </w:r>
      <w:r>
        <w:t xml:space="preserve">., 2015, Prezotto </w:t>
      </w:r>
      <w:r>
        <w:rPr>
          <w:i/>
        </w:rPr>
        <w:t>et al</w:t>
      </w:r>
      <w:r>
        <w:t>., 2019).</w:t>
      </w:r>
    </w:p>
    <w:p w14:paraId="05886938" w14:textId="77777777" w:rsidR="00471E14" w:rsidRDefault="0099106F">
      <w:pPr>
        <w:keepNext/>
        <w:pBdr>
          <w:top w:val="nil"/>
          <w:left w:val="nil"/>
          <w:bottom w:val="nil"/>
          <w:right w:val="nil"/>
          <w:between w:val="nil"/>
        </w:pBdr>
        <w:tabs>
          <w:tab w:val="left" w:pos="567"/>
        </w:tabs>
        <w:spacing w:before="120" w:after="120"/>
        <w:ind w:left="567" w:hanging="567"/>
        <w:jc w:val="left"/>
        <w:rPr>
          <w:b/>
          <w:color w:val="000000"/>
          <w:sz w:val="24"/>
          <w:szCs w:val="24"/>
        </w:rPr>
      </w:pPr>
      <w:r>
        <w:rPr>
          <w:b/>
          <w:color w:val="000000"/>
          <w:sz w:val="24"/>
          <w:szCs w:val="24"/>
        </w:rPr>
        <w:t>4.1</w:t>
      </w:r>
      <w:r>
        <w:rPr>
          <w:b/>
          <w:color w:val="000000"/>
          <w:sz w:val="24"/>
          <w:szCs w:val="24"/>
        </w:rPr>
        <w:tab/>
        <w:t xml:space="preserve">Preparation of adults for identification </w:t>
      </w:r>
    </w:p>
    <w:p w14:paraId="5D3932ED" w14:textId="77777777" w:rsidR="00471E14" w:rsidRDefault="0099106F">
      <w:pPr>
        <w:keepNext/>
        <w:pBdr>
          <w:top w:val="nil"/>
          <w:left w:val="nil"/>
          <w:bottom w:val="nil"/>
          <w:right w:val="nil"/>
          <w:between w:val="nil"/>
        </w:pBdr>
        <w:tabs>
          <w:tab w:val="left" w:pos="567"/>
        </w:tabs>
        <w:spacing w:before="120" w:after="120"/>
        <w:ind w:left="567" w:hanging="567"/>
        <w:jc w:val="left"/>
        <w:rPr>
          <w:b/>
          <w:color w:val="000000"/>
          <w:sz w:val="24"/>
          <w:szCs w:val="24"/>
        </w:rPr>
      </w:pPr>
      <w:r>
        <w:rPr>
          <w:b/>
          <w:color w:val="000000"/>
          <w:sz w:val="24"/>
          <w:szCs w:val="24"/>
        </w:rPr>
        <w:t>4.1.1</w:t>
      </w:r>
      <w:r>
        <w:rPr>
          <w:b/>
          <w:color w:val="000000"/>
          <w:sz w:val="24"/>
          <w:szCs w:val="24"/>
        </w:rPr>
        <w:tab/>
        <w:t xml:space="preserve">Rearing larvae to obtain adults </w:t>
      </w:r>
    </w:p>
    <w:p w14:paraId="7663A707" w14:textId="77777777" w:rsidR="00471E14" w:rsidRDefault="0099106F" w:rsidP="00810564">
      <w:pPr>
        <w:pStyle w:val="IPPParagraphnumbering"/>
      </w:pPr>
      <w:r>
        <w:t xml:space="preserve">Infested fruits are placed in cages covered with cloth or fine mesh and that have a sterile pupation medium (e.g. damp vermiculite, sand or sawdust) at the bottom. Once the larvae emerge from the fruit, they will move to the substratum for pupation. It is recommended to incubate each fruit separately. Each sample must be observed and pupae gathered daily. The pupae are placed in containers with the pupation medium, and the containers are covered with a tight lid that enables proper ventilation. Once the adults emerge, they must be kept alive for 48–72 h to ensure that the tegument and wings acquire the rigidity and characteristic coloration of the species. The adults are then killed and preserved by placing them in 95% ethanol or they are killed with ethyl acetate or another agent and then mounted on pins. For female flies, immediately after killing them (before they harden) it is useful to gently squeeze the apical part of the preabdomen with forceps, then squeeze the base and apex of the oviscape to expose the aculeus tip (so that it does not need to be dissected later). </w:t>
      </w:r>
    </w:p>
    <w:p w14:paraId="680BBE30" w14:textId="77777777" w:rsidR="00471E14" w:rsidRDefault="0099106F">
      <w:pPr>
        <w:keepNext/>
        <w:pBdr>
          <w:top w:val="nil"/>
          <w:left w:val="nil"/>
          <w:bottom w:val="nil"/>
          <w:right w:val="nil"/>
          <w:between w:val="nil"/>
        </w:pBdr>
        <w:tabs>
          <w:tab w:val="left" w:pos="567"/>
        </w:tabs>
        <w:spacing w:before="120" w:after="120"/>
        <w:ind w:left="567" w:hanging="567"/>
        <w:jc w:val="left"/>
        <w:rPr>
          <w:b/>
          <w:color w:val="000000"/>
          <w:sz w:val="24"/>
          <w:szCs w:val="24"/>
        </w:rPr>
      </w:pPr>
      <w:r>
        <w:rPr>
          <w:b/>
          <w:color w:val="000000"/>
          <w:sz w:val="24"/>
          <w:szCs w:val="24"/>
        </w:rPr>
        <w:t>4.1.2</w:t>
      </w:r>
      <w:r>
        <w:rPr>
          <w:b/>
          <w:color w:val="000000"/>
          <w:sz w:val="24"/>
          <w:szCs w:val="24"/>
        </w:rPr>
        <w:tab/>
        <w:t xml:space="preserve">Preparation of adults for microscopic examination </w:t>
      </w:r>
    </w:p>
    <w:p w14:paraId="258C2103" w14:textId="77777777" w:rsidR="00471E14" w:rsidRDefault="0099106F" w:rsidP="00810564">
      <w:pPr>
        <w:pStyle w:val="IPPParagraphnumbering"/>
      </w:pPr>
      <w:r>
        <w:t xml:space="preserve">For species recognition of adult stages, the entire specimen should be preserved – either dry (pinned) or in 70% ethanol. Examination of the wings and the aculeus is particularly important. Examination of the aculeus must be done at about 400× magnification. The wing and aculeus of each specimen can be mounted under two separate coverslips on the same slide. Dissection and mounting should be done only by someone with experience. Dissecting the female terminalia in </w:t>
      </w:r>
      <w:r>
        <w:rPr>
          <w:i/>
        </w:rPr>
        <w:t>Anastrepha</w:t>
      </w:r>
      <w:r>
        <w:t xml:space="preserve"> is difficult and it is easy to damage useful parts. </w:t>
      </w:r>
    </w:p>
    <w:p w14:paraId="0BDB474F" w14:textId="77777777" w:rsidR="00471E14" w:rsidRDefault="0099106F">
      <w:pPr>
        <w:keepNext/>
        <w:pBdr>
          <w:top w:val="nil"/>
          <w:left w:val="nil"/>
          <w:bottom w:val="nil"/>
          <w:right w:val="nil"/>
          <w:between w:val="nil"/>
        </w:pBdr>
        <w:tabs>
          <w:tab w:val="left" w:pos="567"/>
        </w:tabs>
        <w:spacing w:before="120" w:after="120"/>
        <w:ind w:left="567" w:hanging="567"/>
        <w:rPr>
          <w:b/>
          <w:i/>
          <w:color w:val="000000"/>
        </w:rPr>
      </w:pPr>
      <w:r>
        <w:rPr>
          <w:b/>
          <w:i/>
          <w:color w:val="000000"/>
        </w:rPr>
        <w:t>4.1.2.1</w:t>
      </w:r>
      <w:r>
        <w:rPr>
          <w:b/>
          <w:i/>
          <w:color w:val="000000"/>
        </w:rPr>
        <w:tab/>
        <w:t xml:space="preserve">Aculeus </w:t>
      </w:r>
    </w:p>
    <w:p w14:paraId="764B65A8" w14:textId="6E47D71C" w:rsidR="00471E14" w:rsidRDefault="0099106F" w:rsidP="00810564">
      <w:pPr>
        <w:pStyle w:val="IPPParagraphnumbering"/>
      </w:pPr>
      <w:r>
        <w:t xml:space="preserve">It is preferable to cut off the whole abdomen from a female to dissect the oviscape (syntergosternite 7) (Figure </w:t>
      </w:r>
      <w:r w:rsidR="00C329CB">
        <w:t>1</w:t>
      </w:r>
      <w:r>
        <w:t xml:space="preserve">), the eversible membrane and the aculeus. For preserved dry (pinned) specimens, fine dissection scissors are recommended to remove the abdomen. The abdomen needs to be cleared. This can be accomplished by placing it in a 10% sodium hydroxide (NaOH) or 10% potassium hydroxide (KOH) solution and heating it in a boiling water bath for 10–15 min, washing the structure with distilled water, and then removing internal contents under a stereomicroscope with the help of dissection forceps. The aculeus and the eversible membrane should be exposed. At this step it is possible to examine the aculeus directly in one or two drops of glycerine under a microscope. Afterwards, the structure can be transferred to a microvial with glycerine and pinned under the mounted dry specimen. For permanent slides, proceed as described in section 4.1.2. Mounting the aculeus permanently in the ventral position prevents the observation of some characters better seen in lateral view. For this reason, preservation in glycerine in a microvial is often preferable. </w:t>
      </w:r>
    </w:p>
    <w:p w14:paraId="4587D491" w14:textId="77777777" w:rsidR="00471E14" w:rsidRDefault="0099106F">
      <w:pPr>
        <w:keepNext/>
        <w:pBdr>
          <w:top w:val="nil"/>
          <w:left w:val="nil"/>
          <w:bottom w:val="nil"/>
          <w:right w:val="nil"/>
          <w:between w:val="nil"/>
        </w:pBdr>
        <w:tabs>
          <w:tab w:val="left" w:pos="567"/>
        </w:tabs>
        <w:spacing w:before="120" w:after="120"/>
        <w:ind w:left="567" w:hanging="567"/>
        <w:rPr>
          <w:b/>
          <w:i/>
          <w:color w:val="000000"/>
        </w:rPr>
      </w:pPr>
      <w:r>
        <w:rPr>
          <w:b/>
          <w:i/>
          <w:color w:val="000000"/>
        </w:rPr>
        <w:t>4.1.2.2</w:t>
      </w:r>
      <w:r>
        <w:rPr>
          <w:b/>
          <w:i/>
          <w:color w:val="000000"/>
        </w:rPr>
        <w:tab/>
        <w:t xml:space="preserve">Wings </w:t>
      </w:r>
    </w:p>
    <w:p w14:paraId="06F2A64E" w14:textId="77777777" w:rsidR="00471E14" w:rsidRDefault="0099106F" w:rsidP="00810564">
      <w:pPr>
        <w:pStyle w:val="IPPParagraphnumbering"/>
      </w:pPr>
      <w:r>
        <w:t xml:space="preserve">Wing characters can usually be observed without mounting, so mounting is not recommended as a general practice. It may be necessary for morphometric studies, but it is not necessary for observation of the characters used in the key in section 4.3.2. If permanent mounts are made, it is recommended to cut off one of the wings from its base (the right wing is preferred because it facilitates comparison with images reported in the literature and this diagnostic protocol). </w:t>
      </w:r>
    </w:p>
    <w:p w14:paraId="25E2B9D5" w14:textId="77777777" w:rsidR="00471E14" w:rsidRDefault="0099106F">
      <w:pPr>
        <w:keepNext/>
        <w:pBdr>
          <w:top w:val="nil"/>
          <w:left w:val="nil"/>
          <w:bottom w:val="nil"/>
          <w:right w:val="nil"/>
          <w:between w:val="nil"/>
        </w:pBdr>
        <w:tabs>
          <w:tab w:val="left" w:pos="567"/>
        </w:tabs>
        <w:spacing w:before="120" w:after="120"/>
        <w:ind w:left="567" w:hanging="567"/>
        <w:jc w:val="left"/>
        <w:rPr>
          <w:b/>
          <w:color w:val="000000"/>
          <w:sz w:val="24"/>
          <w:szCs w:val="24"/>
        </w:rPr>
      </w:pPr>
      <w:r>
        <w:rPr>
          <w:b/>
          <w:color w:val="000000"/>
          <w:sz w:val="24"/>
          <w:szCs w:val="24"/>
        </w:rPr>
        <w:t>4.2</w:t>
      </w:r>
      <w:r>
        <w:rPr>
          <w:b/>
          <w:color w:val="000000"/>
          <w:sz w:val="24"/>
          <w:szCs w:val="24"/>
        </w:rPr>
        <w:tab/>
        <w:t xml:space="preserve">Preparation of larvae for morphological identification </w:t>
      </w:r>
    </w:p>
    <w:p w14:paraId="05FFDC66" w14:textId="77777777" w:rsidR="00471E14" w:rsidRPr="00B71B0E" w:rsidRDefault="0099106F" w:rsidP="00810564">
      <w:pPr>
        <w:pStyle w:val="IPPParagraphnumbering"/>
      </w:pPr>
      <w:r w:rsidRPr="00B71B0E">
        <w:t xml:space="preserve">As noted in section 4, observation of adult characters may be necessary to corroborate a morphological identification based on larvae. If immature stages are found, it is recommended to preserve some larvae for morphological examination by treating them in hot water and then storing them in 70% ethanol, and rearing the remaining larvae and pupae to obtain adult specimens for identification (section 4.1.1). </w:t>
      </w:r>
    </w:p>
    <w:p w14:paraId="43B6FB7D" w14:textId="149E7E1B" w:rsidR="00471E14" w:rsidRPr="00B71B0E" w:rsidRDefault="00F735A5" w:rsidP="00810564">
      <w:pPr>
        <w:pStyle w:val="IPPParagraphnumbering"/>
      </w:pPr>
      <w:r w:rsidRPr="00B71B0E">
        <w:t>Larval preparation can be accomplished by w</w:t>
      </w:r>
      <w:r w:rsidR="0099106F" w:rsidRPr="00B71B0E">
        <w:t>ash</w:t>
      </w:r>
      <w:r w:rsidRPr="00B71B0E">
        <w:t>ing</w:t>
      </w:r>
      <w:r w:rsidR="0099106F" w:rsidRPr="00B71B0E">
        <w:t xml:space="preserve"> live larvae in a mild detergent solution (one drop of liquid dishwashing detergent in a beaker of water). </w:t>
      </w:r>
      <w:r w:rsidR="00DA1817" w:rsidRPr="00B71B0E">
        <w:t>D</w:t>
      </w:r>
      <w:r w:rsidR="0099106F" w:rsidRPr="00B71B0E">
        <w:t>eionized (or distilled) water</w:t>
      </w:r>
      <w:r w:rsidR="00DA1817" w:rsidRPr="00B71B0E">
        <w:t xml:space="preserve"> is recommended</w:t>
      </w:r>
      <w:r w:rsidR="0099106F" w:rsidRPr="00B71B0E">
        <w:t>, if possible. Kill by dropping live larvae into a 70°C water bath for 2-4 minutes. Allow water and larvae to cool to room temperature. Place larvae in 70% ethanol solution. Label and store until ready for study.</w:t>
      </w:r>
    </w:p>
    <w:p w14:paraId="5DDABA5B" w14:textId="77777777" w:rsidR="00471E14" w:rsidRPr="00B71B0E" w:rsidRDefault="0099106F" w:rsidP="00810564">
      <w:pPr>
        <w:pStyle w:val="IPPParagraphnumbering"/>
      </w:pPr>
      <w:r w:rsidRPr="00B71B0E">
        <w:t xml:space="preserve">To prepare specimens for slide mounting, it is necessary to remove (clear) all the internal contents to allow observation of the cuticle, cephaloskeleton, anterior and posterior spiracles, and anal lobes. This can be accomplished by cutting the larva longitudinally on one side from the cephalic segment to the caudal segment. Most of the internal tissues can be removed manually and preserved in 95% ethanol for separate DNA extraction and amplification. The remaining tissues can be cleared from the larva by immersing it in hot 10% NaOH or 10% KOH solution in a test tube in a boiling water bath for 10–15 min or in a Petri dish on a coffee cup warmer for 30-60 min. Stray undigested internal contents can then be carefully removed from the specimen using forceps and distilled water under a stereomicroscope (10× magnification or greater). </w:t>
      </w:r>
    </w:p>
    <w:p w14:paraId="2B2C2DFF" w14:textId="3EA54A29" w:rsidR="00471E14" w:rsidRPr="00B71B0E" w:rsidRDefault="0099106F" w:rsidP="00810564">
      <w:pPr>
        <w:pStyle w:val="IPPParagraphnumbering"/>
      </w:pPr>
      <w:r w:rsidRPr="00B71B0E">
        <w:t>Plac</w:t>
      </w:r>
      <w:r w:rsidR="00673CA1" w:rsidRPr="00B71B0E">
        <w:t>ing</w:t>
      </w:r>
      <w:r w:rsidRPr="00B71B0E">
        <w:t xml:space="preserve"> the cleared cuticle, cephaloskeleton and spiracles in a drop of glycerin on a glass slide </w:t>
      </w:r>
      <w:r w:rsidR="00673CA1" w:rsidRPr="00B71B0E">
        <w:t xml:space="preserve">allows </w:t>
      </w:r>
      <w:r w:rsidRPr="00B71B0E">
        <w:t>for observation under a compound microscope. The specimen can be easily positioned for imaging or taking measurements as needed. After observation, the specimen can be returned to a vial with 70% ethanol for permanent storage and/or later re-examination if desired. Alternatively, permanent slide mounts can be made using Canada balsam or Euparal. First, the cleared specimen must be dehydrated for 25 min in each of 50%, 75% and 100% ethanol. For mounting with Canada balsam, the specimen should be transferred to lavender oil for 15 min to clear it and then immediately mounted on a slide with one or two drops of Canada balsam. When Euparal is used as the mounting medium, the specimen should be transferred from 100% ethanol to clove oil for about 30 min to clear it before mounting. In both cases, slides must be allowed to dry for several days (the time can be reduced by using an oven), but they can be examined under the microscope at low magnification immediately after mounting. Slides should be fully labeled. The disadvantage of permanent slides is that important structures can no longer be repositioned for optimal imaging or measuring.</w:t>
      </w:r>
    </w:p>
    <w:p w14:paraId="58ED498E" w14:textId="339CDC16" w:rsidR="00471E14" w:rsidRDefault="0099106F" w:rsidP="00810564">
      <w:pPr>
        <w:pStyle w:val="IPPParagraphnumbering"/>
      </w:pPr>
      <w:r w:rsidRPr="00B71B0E">
        <w:t xml:space="preserve">Morphological examination of larvae can be performed on unmounted larvae (Figure </w:t>
      </w:r>
      <w:r w:rsidR="00C329CB" w:rsidRPr="00B71B0E">
        <w:t>2</w:t>
      </w:r>
      <w:r w:rsidRPr="00B71B0E">
        <w:t>) using a stereomicroscope, on slide-mounted larvae using a compound microscope, or on critical-point dried larvae using a scanning electron microscope (SEM). With a stereomicroscope it is possible to count oral ridges, accessory plates, and tubules on the anterior spiracles; observe the shape of anterior spiracles and anal lobes, and presence of dorsal spinules on various body segments; measure apical width of anterior spiracles and length of posterior spiracles. On slide-mounted, cleared larvae it is possible to reexamine many of the same external features and obtain more accurate measurements under a compound microscope. The oral ridge margins and accessory plates also may be seen, although it may be difficult to prepare a spe</w:t>
      </w:r>
      <w:r>
        <w:t xml:space="preserve">cimen properly to view them. The external posterior spiracles and their hair-like processes and the internal cephaloskeleton are readily visible on cleared specimens under a compound microscope using an objective of 20×, 40× or higher (Figure </w:t>
      </w:r>
      <w:r w:rsidR="001620B4">
        <w:t>2-C</w:t>
      </w:r>
      <w:r>
        <w:t xml:space="preserve">). Detailed, high resolution observation of the external morphology of larvae, especially of the facial mask including oral ridges, accessory plates, preoral lobes, and sensory organs is best achieved using an SEM (Figure </w:t>
      </w:r>
      <w:r w:rsidR="001620B4">
        <w:t>2-D</w:t>
      </w:r>
      <w:r>
        <w:t>). The ventral surface of the mouth hook is only visible under SEM.  It is therefore not recommended to slide mount all specimens representing a sample or the only larva available for diagnosis; unmounted larvae should be kept for future analysis.</w:t>
      </w:r>
    </w:p>
    <w:p w14:paraId="222BB616" w14:textId="77777777" w:rsidR="00471E14" w:rsidRDefault="0099106F" w:rsidP="00810564">
      <w:pPr>
        <w:pStyle w:val="IPPParagraphnumbering"/>
        <w:rPr>
          <w:color w:val="000000"/>
        </w:rPr>
      </w:pPr>
      <w:r>
        <w:rPr>
          <w:color w:val="000000"/>
        </w:rPr>
        <w:t>For observation using an SEM, the specimen is dehydrated by running through a series of ethanol baths: 70%, 80%, 95%, and three changes of absolute ethanol (15 min each bath). Specimens should then be critical-point dried before mounting on stubs. Alternat</w:t>
      </w:r>
      <w:r>
        <w:t xml:space="preserve">ively, specimens can be placed in two additional baths of ethyl acetate, air dried and mounted on a stub for sputter coating. </w:t>
      </w:r>
      <w:r>
        <w:rPr>
          <w:color w:val="000000"/>
        </w:rPr>
        <w:t xml:space="preserve"> See Carroll and Wharton</w:t>
      </w:r>
      <w:r>
        <w:t xml:space="preserve"> </w:t>
      </w:r>
      <w:r>
        <w:rPr>
          <w:color w:val="000000"/>
        </w:rPr>
        <w:t>(1989)</w:t>
      </w:r>
      <w:r>
        <w:t xml:space="preserve">, </w:t>
      </w:r>
      <w:r>
        <w:rPr>
          <w:color w:val="000000"/>
        </w:rPr>
        <w:t xml:space="preserve">Frías </w:t>
      </w:r>
      <w:r>
        <w:rPr>
          <w:i/>
          <w:color w:val="000000"/>
        </w:rPr>
        <w:t>et al.</w:t>
      </w:r>
      <w:r>
        <w:rPr>
          <w:color w:val="000000"/>
        </w:rPr>
        <w:t xml:space="preserve"> (2006, 2008, 2009), and Rodriguez </w:t>
      </w:r>
      <w:r>
        <w:rPr>
          <w:i/>
          <w:color w:val="000000"/>
        </w:rPr>
        <w:t>et al</w:t>
      </w:r>
      <w:r>
        <w:rPr>
          <w:color w:val="000000"/>
        </w:rPr>
        <w:t xml:space="preserve">. (2021) for further details and variations. </w:t>
      </w:r>
    </w:p>
    <w:p w14:paraId="01F53A3F" w14:textId="5D9A8C54" w:rsidR="00471E14" w:rsidRDefault="0099106F">
      <w:pPr>
        <w:keepNext/>
        <w:pBdr>
          <w:top w:val="nil"/>
          <w:left w:val="nil"/>
          <w:bottom w:val="nil"/>
          <w:right w:val="nil"/>
          <w:between w:val="nil"/>
        </w:pBdr>
        <w:tabs>
          <w:tab w:val="left" w:pos="567"/>
        </w:tabs>
        <w:spacing w:before="120" w:after="120"/>
        <w:ind w:left="567" w:hanging="567"/>
        <w:jc w:val="left"/>
        <w:rPr>
          <w:b/>
          <w:color w:val="000000"/>
          <w:sz w:val="24"/>
          <w:szCs w:val="24"/>
        </w:rPr>
      </w:pPr>
      <w:r>
        <w:rPr>
          <w:b/>
          <w:color w:val="000000"/>
          <w:sz w:val="24"/>
          <w:szCs w:val="24"/>
        </w:rPr>
        <w:t>4.3</w:t>
      </w:r>
      <w:r>
        <w:rPr>
          <w:b/>
          <w:color w:val="000000"/>
          <w:sz w:val="24"/>
          <w:szCs w:val="24"/>
        </w:rPr>
        <w:tab/>
        <w:t xml:space="preserve">Morphological identification of adults </w:t>
      </w:r>
    </w:p>
    <w:p w14:paraId="37C8249B" w14:textId="77777777" w:rsidR="00471E14" w:rsidRPr="00B71B0E" w:rsidRDefault="0099106F">
      <w:pPr>
        <w:keepNext/>
        <w:pBdr>
          <w:top w:val="nil"/>
          <w:left w:val="nil"/>
          <w:bottom w:val="nil"/>
          <w:right w:val="nil"/>
          <w:between w:val="nil"/>
        </w:pBdr>
        <w:tabs>
          <w:tab w:val="left" w:pos="567"/>
        </w:tabs>
        <w:spacing w:before="120" w:after="120"/>
        <w:ind w:left="567" w:hanging="567"/>
        <w:jc w:val="left"/>
        <w:rPr>
          <w:b/>
          <w:sz w:val="24"/>
          <w:szCs w:val="24"/>
        </w:rPr>
      </w:pPr>
      <w:r>
        <w:rPr>
          <w:b/>
          <w:color w:val="000000"/>
          <w:sz w:val="24"/>
          <w:szCs w:val="24"/>
        </w:rPr>
        <w:t>4.</w:t>
      </w:r>
      <w:r w:rsidRPr="00B71B0E">
        <w:rPr>
          <w:b/>
          <w:sz w:val="24"/>
          <w:szCs w:val="24"/>
        </w:rPr>
        <w:t>3.1</w:t>
      </w:r>
      <w:r w:rsidRPr="00B71B0E">
        <w:rPr>
          <w:b/>
          <w:sz w:val="24"/>
          <w:szCs w:val="24"/>
        </w:rPr>
        <w:tab/>
        <w:t xml:space="preserve">Identification of the genus </w:t>
      </w:r>
      <w:r w:rsidRPr="00B71B0E">
        <w:rPr>
          <w:b/>
          <w:i/>
          <w:sz w:val="24"/>
          <w:szCs w:val="24"/>
        </w:rPr>
        <w:t xml:space="preserve">Anastrepha </w:t>
      </w:r>
    </w:p>
    <w:p w14:paraId="14311E1D" w14:textId="314E29BB" w:rsidR="00471E14" w:rsidRPr="00B71B0E" w:rsidRDefault="0006688D" w:rsidP="00810564">
      <w:pPr>
        <w:pStyle w:val="IPPParagraphnumbering"/>
      </w:pPr>
      <w:r w:rsidRPr="00B71B0E">
        <w:t xml:space="preserve">Adult flies can be diagnosed to genus using a combination of characters. </w:t>
      </w:r>
      <w:r w:rsidR="0099106F" w:rsidRPr="00B71B0E">
        <w:t>Body usually predominantly yellow to orange, occasionally mostly brown (Figure</w:t>
      </w:r>
      <w:r w:rsidR="00CB21F1" w:rsidRPr="00B71B0E">
        <w:t>s</w:t>
      </w:r>
      <w:r w:rsidR="001620B4" w:rsidRPr="00B71B0E">
        <w:t xml:space="preserve"> </w:t>
      </w:r>
      <w:r w:rsidR="00CB21F1" w:rsidRPr="00B71B0E">
        <w:t>2 and 4</w:t>
      </w:r>
      <w:r w:rsidR="0099106F" w:rsidRPr="00B71B0E">
        <w:t>)</w:t>
      </w:r>
      <w:r w:rsidR="0099106F" w:rsidRPr="00B71B0E">
        <w:rPr>
          <w:i/>
        </w:rPr>
        <w:t>.</w:t>
      </w:r>
      <w:r w:rsidR="0099106F" w:rsidRPr="00B71B0E">
        <w:t xml:space="preserve"> Head (Figure</w:t>
      </w:r>
      <w:r w:rsidR="007C7C56" w:rsidRPr="00B71B0E">
        <w:t xml:space="preserve"> 5-A</w:t>
      </w:r>
      <w:r w:rsidR="0099106F" w:rsidRPr="00B71B0E">
        <w:t>): Usually yellow with two to eight frontal and one or two orbital setae, sometimes posterior orbital seta absent; ocellar seta usually very weak or indistinct; postocellar, medial and lateral vertical setae present. Thorax (Figure</w:t>
      </w:r>
      <w:r w:rsidR="00D86E75" w:rsidRPr="00B71B0E">
        <w:t xml:space="preserve"> 5</w:t>
      </w:r>
      <w:r w:rsidR="0099106F" w:rsidRPr="00B71B0E">
        <w:t xml:space="preserve">): Macrosetae of thorax usually black, red–brown or orange, rarely golden yellow; scutum usually yellow to orange, occasionally mostly dark brown or sometimes with dark brown or black stripes or spots, always with two to five white to pale yellow stripes; mesonotum with the following setae, except  in the </w:t>
      </w:r>
      <w:r w:rsidR="0099106F" w:rsidRPr="00B71B0E">
        <w:rPr>
          <w:i/>
        </w:rPr>
        <w:t xml:space="preserve">curvicauda </w:t>
      </w:r>
      <w:r w:rsidR="0099106F" w:rsidRPr="00B71B0E">
        <w:t xml:space="preserve">group, where they are reduced or absent: one postpronotal, two notopleurals, one presutural supra-alar, one postsutural supra-alar, one postalar, one intra-alar, one dorsocentral, one acrostichal (rarely absent) and two scutellars. </w:t>
      </w:r>
    </w:p>
    <w:p w14:paraId="3B5CF3CF" w14:textId="4801C8C7" w:rsidR="00471E14" w:rsidRDefault="0099106F" w:rsidP="00810564">
      <w:pPr>
        <w:pStyle w:val="IPPParagraphnumbering"/>
        <w:rPr>
          <w:color w:val="000000"/>
        </w:rPr>
      </w:pPr>
      <w:r w:rsidRPr="00B71B0E">
        <w:t>Wings (Figures</w:t>
      </w:r>
      <w:r w:rsidR="00D86E75" w:rsidRPr="00B71B0E">
        <w:t xml:space="preserve"> 6</w:t>
      </w:r>
      <w:r w:rsidR="001A2024" w:rsidRPr="00B71B0E">
        <w:t xml:space="preserve"> and 7</w:t>
      </w:r>
      <w:r w:rsidRPr="00B71B0E">
        <w:t>): Subcostal break present; crossvein r-m placed distal to mid-length of discal cell (</w:t>
      </w:r>
      <w:r w:rsidRPr="00B71B0E">
        <w:rPr>
          <w:i/>
        </w:rPr>
        <w:t>dm</w:t>
      </w:r>
      <w:r w:rsidRPr="00B71B0E">
        <w:t>); basal cubital cell (</w:t>
      </w:r>
      <w:r w:rsidRPr="00B71B0E">
        <w:rPr>
          <w:i/>
        </w:rPr>
        <w:t>cua</w:t>
      </w:r>
      <w:r w:rsidRPr="00B71B0E">
        <w:t xml:space="preserve">) with a well-developed posteroapical extension; vein </w:t>
      </w:r>
      <w:r w:rsidRPr="00B71B0E">
        <w:rPr>
          <w:i/>
        </w:rPr>
        <w:t>M</w:t>
      </w:r>
      <w:r w:rsidRPr="00B71B0E">
        <w:rPr>
          <w:i/>
          <w:vertAlign w:val="subscript"/>
        </w:rPr>
        <w:t>1</w:t>
      </w:r>
      <w:r w:rsidRPr="00B71B0E">
        <w:rPr>
          <w:i/>
        </w:rPr>
        <w:t xml:space="preserve"> </w:t>
      </w:r>
      <w:r w:rsidRPr="00B71B0E">
        <w:t>usually</w:t>
      </w:r>
      <w:r w:rsidRPr="00B71B0E">
        <w:rPr>
          <w:i/>
        </w:rPr>
        <w:t xml:space="preserve"> </w:t>
      </w:r>
      <w:r w:rsidRPr="00B71B0E">
        <w:t xml:space="preserve">conspicuously curved forwards apically (strongly so in all major pest species, except </w:t>
      </w:r>
      <w:r w:rsidRPr="00B71B0E">
        <w:rPr>
          <w:i/>
        </w:rPr>
        <w:t>A. curvicauda</w:t>
      </w:r>
      <w:r w:rsidRPr="00B71B0E">
        <w:t xml:space="preserve">) and not meeting costa at a 90° angle. Wing pattern with orange to brown coloured bands usually forming a typical pattern as follows: costal or C-band on basal costal margin extending </w:t>
      </w:r>
      <w:r>
        <w:t>to apex</w:t>
      </w:r>
      <w:r>
        <w:rPr>
          <w:color w:val="000000"/>
        </w:rPr>
        <w:t xml:space="preserve"> of vein </w:t>
      </w:r>
      <w:r>
        <w:rPr>
          <w:i/>
          <w:color w:val="000000"/>
        </w:rPr>
        <w:t>R</w:t>
      </w:r>
      <w:r>
        <w:rPr>
          <w:i/>
          <w:color w:val="000000"/>
          <w:vertAlign w:val="subscript"/>
        </w:rPr>
        <w:t>1</w:t>
      </w:r>
      <w:r>
        <w:rPr>
          <w:color w:val="000000"/>
        </w:rPr>
        <w:t>and including all of basal costal and costal cells, the pterostigma and at least the part o</w:t>
      </w:r>
      <w:r>
        <w:t xml:space="preserve">f cell </w:t>
      </w:r>
      <w:r>
        <w:rPr>
          <w:i/>
        </w:rPr>
        <w:t>r</w:t>
      </w:r>
      <w:r>
        <w:rPr>
          <w:i/>
          <w:vertAlign w:val="subscript"/>
        </w:rPr>
        <w:t>1</w:t>
      </w:r>
      <w:r>
        <w:t xml:space="preserve"> posterior to it</w:t>
      </w:r>
      <w:r>
        <w:rPr>
          <w:color w:val="000000"/>
        </w:rPr>
        <w:t xml:space="preserve">; S-band, extending from the apex of cell </w:t>
      </w:r>
      <w:r>
        <w:rPr>
          <w:i/>
          <w:color w:val="000000"/>
        </w:rPr>
        <w:t xml:space="preserve">cua </w:t>
      </w:r>
      <w:r>
        <w:rPr>
          <w:color w:val="000000"/>
        </w:rPr>
        <w:t xml:space="preserve">across cell </w:t>
      </w:r>
      <w:r>
        <w:rPr>
          <w:i/>
          <w:color w:val="000000"/>
        </w:rPr>
        <w:t>dm</w:t>
      </w:r>
      <w:r>
        <w:rPr>
          <w:color w:val="000000"/>
        </w:rPr>
        <w:t xml:space="preserve"> and crossvein </w:t>
      </w:r>
      <w:r>
        <w:rPr>
          <w:i/>
          <w:color w:val="000000"/>
        </w:rPr>
        <w:t xml:space="preserve">r-m, </w:t>
      </w:r>
      <w:r>
        <w:rPr>
          <w:color w:val="000000"/>
        </w:rPr>
        <w:t xml:space="preserve">reaching costal margin, and continuing to apex of wing; and V-band forming an inverted V shape, comprising the proximal arm (subapical band) along vein </w:t>
      </w:r>
      <w:r>
        <w:rPr>
          <w:i/>
        </w:rPr>
        <w:t>dm-m</w:t>
      </w:r>
      <w:r>
        <w:rPr>
          <w:i/>
          <w:color w:val="000000"/>
        </w:rPr>
        <w:t xml:space="preserve"> </w:t>
      </w:r>
      <w:r>
        <w:rPr>
          <w:color w:val="000000"/>
        </w:rPr>
        <w:t>and the distal arm (posterior apical band) arising from the apic</w:t>
      </w:r>
      <w:r>
        <w:t xml:space="preserve">al part of </w:t>
      </w:r>
      <w:r>
        <w:rPr>
          <w:color w:val="000000"/>
        </w:rPr>
        <w:t xml:space="preserve">cell </w:t>
      </w:r>
      <w:r>
        <w:rPr>
          <w:i/>
          <w:color w:val="000000"/>
        </w:rPr>
        <w:t>m</w:t>
      </w:r>
      <w:r>
        <w:rPr>
          <w:i/>
          <w:color w:val="000000"/>
          <w:vertAlign w:val="subscript"/>
        </w:rPr>
        <w:t>1</w:t>
      </w:r>
      <w:r>
        <w:rPr>
          <w:color w:val="000000"/>
        </w:rPr>
        <w:t xml:space="preserve">, converging and often connected in cell </w:t>
      </w:r>
      <w:r>
        <w:rPr>
          <w:i/>
          <w:color w:val="000000"/>
        </w:rPr>
        <w:t>r</w:t>
      </w:r>
      <w:r>
        <w:rPr>
          <w:i/>
          <w:color w:val="000000"/>
          <w:vertAlign w:val="subscript"/>
        </w:rPr>
        <w:t>4+5</w:t>
      </w:r>
      <w:r>
        <w:rPr>
          <w:color w:val="000000"/>
        </w:rPr>
        <w:t>; the distal arm of the V-b</w:t>
      </w:r>
      <w:r>
        <w:t xml:space="preserve">and is </w:t>
      </w:r>
      <w:r>
        <w:rPr>
          <w:color w:val="000000"/>
        </w:rPr>
        <w:t>frequently incomplete or absent. The typical wing pattern is modified in some economically important species (see key to species in Section 4.3.2). Some specie</w:t>
      </w:r>
      <w:r>
        <w:t xml:space="preserve">s, including </w:t>
      </w:r>
      <w:r>
        <w:rPr>
          <w:i/>
        </w:rPr>
        <w:t>A. curvicauda</w:t>
      </w:r>
      <w:r>
        <w:t>, have a wasp-mimic pattern consisting of a broad, uninterrupted costal band and a diffuse cubital streak, and a few non-pest species have entirely different wing patterns.</w:t>
      </w:r>
    </w:p>
    <w:p w14:paraId="78022BA8" w14:textId="11304482" w:rsidR="00471E14" w:rsidRDefault="0099106F" w:rsidP="00810564">
      <w:pPr>
        <w:pStyle w:val="IPPParagraphnumbering"/>
      </w:pPr>
      <w:r>
        <w:t>Male terminalia (Figure</w:t>
      </w:r>
      <w:r w:rsidR="001A2024">
        <w:t xml:space="preserve"> 6-B</w:t>
      </w:r>
      <w:r>
        <w:t xml:space="preserve">): Epandrium broad in lateral view with lateral surstylus short or elongated; medial surstylus shorter than lateral surstylus with two stout blackish prensisetae apically; proctiger membranous, weakly sclerotized at least laterally and ventrally; phallus elongated, usually longer than length of oviscape of female; glans weakly sclerotized with an apical T-shaped sclerite, glans sometimes absent in non-pest species. </w:t>
      </w:r>
    </w:p>
    <w:p w14:paraId="0651B59C" w14:textId="2912208B" w:rsidR="00471E14" w:rsidRDefault="0099106F" w:rsidP="00810564">
      <w:pPr>
        <w:pStyle w:val="IPPParagraphnumbering"/>
      </w:pPr>
      <w:r>
        <w:t>Female terminalia (Figures</w:t>
      </w:r>
      <w:r w:rsidR="007838EF">
        <w:t xml:space="preserve"> 1 and 6</w:t>
      </w:r>
      <w:r>
        <w:t xml:space="preserve">): Oviscape tube-like, variable in length, basally with flange-like lateral lobes; eversible membrane (usually inverted inside oviscape) basally with dorsal group of hook-like sclerotized denticles (sometimes referred to as the rasper); aculeus (usually inverted inside eversible membrane and oviscape) well sclerotized, tip sometimes serrated on lateral margins. </w:t>
      </w:r>
    </w:p>
    <w:p w14:paraId="07B0D29B" w14:textId="77777777" w:rsidR="00471E14" w:rsidRDefault="0099106F">
      <w:pPr>
        <w:keepNext/>
        <w:pBdr>
          <w:top w:val="nil"/>
          <w:left w:val="nil"/>
          <w:bottom w:val="nil"/>
          <w:right w:val="nil"/>
          <w:between w:val="nil"/>
        </w:pBdr>
        <w:tabs>
          <w:tab w:val="left" w:pos="567"/>
        </w:tabs>
        <w:spacing w:before="120" w:after="120"/>
        <w:ind w:left="567" w:hanging="567"/>
        <w:jc w:val="left"/>
        <w:rPr>
          <w:b/>
          <w:color w:val="000000"/>
          <w:sz w:val="24"/>
          <w:szCs w:val="24"/>
        </w:rPr>
      </w:pPr>
      <w:r>
        <w:rPr>
          <w:b/>
          <w:color w:val="000000"/>
          <w:sz w:val="24"/>
          <w:szCs w:val="24"/>
        </w:rPr>
        <w:t>4.3.2</w:t>
      </w:r>
      <w:r>
        <w:rPr>
          <w:b/>
          <w:color w:val="000000"/>
          <w:sz w:val="24"/>
          <w:szCs w:val="24"/>
        </w:rPr>
        <w:tab/>
        <w:t xml:space="preserve">Key to adults of major economically important species of </w:t>
      </w:r>
      <w:r>
        <w:rPr>
          <w:b/>
          <w:i/>
          <w:color w:val="000000"/>
          <w:sz w:val="24"/>
          <w:szCs w:val="24"/>
        </w:rPr>
        <w:t>Anastrepha</w:t>
      </w:r>
      <w:r>
        <w:rPr>
          <w:b/>
          <w:color w:val="000000"/>
          <w:sz w:val="24"/>
          <w:szCs w:val="24"/>
        </w:rPr>
        <w:t xml:space="preserve"> </w:t>
      </w:r>
    </w:p>
    <w:p w14:paraId="258C28E0" w14:textId="77777777" w:rsidR="00471E14" w:rsidRDefault="0099106F" w:rsidP="00810564">
      <w:pPr>
        <w:pStyle w:val="IPPParagraphnumbering"/>
      </w:pPr>
      <w:r>
        <w:t xml:space="preserve">Key adapted from Hernández-Ortiz </w:t>
      </w:r>
      <w:r>
        <w:rPr>
          <w:i/>
        </w:rPr>
        <w:t>et al</w:t>
      </w:r>
      <w:r>
        <w:t xml:space="preserve">. (2010); should be used with care as minor pests or non-economic species that are not included could be misidentified. To complete a conclusive identification of the major pest species using the protocol, each specimen diagnosed using the key must also be examined for all diagnostic morphological characters in Tables 2 and 3. For species not included in the protocol and additional information on morphological structures and other </w:t>
      </w:r>
      <w:r>
        <w:rPr>
          <w:i/>
        </w:rPr>
        <w:t>Anastrepha</w:t>
      </w:r>
      <w:r>
        <w:t xml:space="preserve"> species, see Norrbom </w:t>
      </w:r>
      <w:r>
        <w:rPr>
          <w:i/>
        </w:rPr>
        <w:t>et al.</w:t>
      </w:r>
      <w:r>
        <w:t xml:space="preserve"> (2012). </w:t>
      </w:r>
    </w:p>
    <w:p w14:paraId="0D08E56E" w14:textId="58DF6767" w:rsidR="00471E14" w:rsidRDefault="0099106F" w:rsidP="009148A8">
      <w:pPr>
        <w:pStyle w:val="IPPParagraphnumbering"/>
        <w:rPr>
          <w:b/>
        </w:rPr>
      </w:pPr>
      <w:r>
        <w:t xml:space="preserve">1. Wing (Figure </w:t>
      </w:r>
      <w:r w:rsidR="00A14367">
        <w:t>7</w:t>
      </w:r>
      <w:r w:rsidR="00C73566">
        <w:t>-A</w:t>
      </w:r>
      <w:r>
        <w:t xml:space="preserve">) with only broad, uninterrupted costal band filling all of wing anterior to vein </w:t>
      </w:r>
      <w:r>
        <w:rPr>
          <w:i/>
        </w:rPr>
        <w:t>R</w:t>
      </w:r>
      <w:r>
        <w:rPr>
          <w:i/>
          <w:vertAlign w:val="subscript"/>
        </w:rPr>
        <w:t>4+5</w:t>
      </w:r>
      <w:r>
        <w:t>, and more diffuse band covering cell cua and base of cell m</w:t>
      </w:r>
      <w:r>
        <w:rPr>
          <w:vertAlign w:val="subscript"/>
        </w:rPr>
        <w:t>4</w:t>
      </w:r>
      <w:r>
        <w:t xml:space="preserve">; most setae, including postpronotal, presutural supra-alar, dorsocentral, intra-alar and scutellar setae, absent or small and weak, much shorter than scutellum length; abdomen petiolate; body predominantly yellow with conspicuous brown markings (Figure </w:t>
      </w:r>
      <w:r w:rsidR="00A14367">
        <w:t>3</w:t>
      </w:r>
      <w:r>
        <w:t xml:space="preserve">); anatergite at most with dark dorsal and ventrolateral spots; scutellum with at most base and lateral third of apical margin brown; scutum with dark posterior mark broader than long and separate from dark submedial stripes and dark sublateral stripes, the latter strongly laterally curved posteriorly (Figure </w:t>
      </w:r>
      <w:r w:rsidR="00B254BB">
        <w:t>3-B</w:t>
      </w:r>
      <w:r>
        <w:t xml:space="preserve">); oviscape elongate, usually longer than thorax and abdomen combined, and strongly curved (Figure </w:t>
      </w:r>
      <w:r w:rsidR="00B254BB">
        <w:t>3-A</w:t>
      </w:r>
      <w:r>
        <w:t>). (Larvae infest papaya, other Caricaceae, and Apocynaceae)</w:t>
      </w:r>
      <w:r>
        <w:tab/>
        <w:t xml:space="preserve">                   </w:t>
      </w:r>
      <w:r>
        <w:tab/>
      </w:r>
      <w:r>
        <w:tab/>
      </w:r>
      <w:r>
        <w:rPr>
          <w:b/>
          <w:i/>
        </w:rPr>
        <w:t>Anastrepha curvicauda</w:t>
      </w:r>
      <w:r>
        <w:rPr>
          <w:b/>
        </w:rPr>
        <w:t xml:space="preserve"> (Gerstaecker)</w:t>
      </w:r>
    </w:p>
    <w:p w14:paraId="29566E73" w14:textId="7FA1EA1B" w:rsidR="00471E14" w:rsidRDefault="0099106F" w:rsidP="009148A8">
      <w:pPr>
        <w:pStyle w:val="IPPParagraphnumbering"/>
      </w:pPr>
      <w:r>
        <w:t xml:space="preserve">– Wing (Figure </w:t>
      </w:r>
      <w:r w:rsidR="008F7528">
        <w:t>7</w:t>
      </w:r>
      <w:r w:rsidR="00684D46">
        <w:t>(</w:t>
      </w:r>
      <w:r w:rsidR="008F7528">
        <w:t>B-</w:t>
      </w:r>
      <w:r w:rsidR="00684D46">
        <w:t>H)</w:t>
      </w:r>
      <w:r>
        <w:t xml:space="preserve">) usually with typical C-, S- and V-bands. Setae, including postpronotal, presutural supra-alar, dorsocentral, intra-alar and scutellar setae, well developed, longer than scutellum length; abdomen not petiolate; body color variable, but usually predominantly yellow to orange or brown (Figures </w:t>
      </w:r>
      <w:r w:rsidR="00A903C6">
        <w:t>3 and 4</w:t>
      </w:r>
      <w:r>
        <w:t>);</w:t>
      </w:r>
      <w:r>
        <w:rPr>
          <w:sz w:val="20"/>
          <w:szCs w:val="20"/>
        </w:rPr>
        <w:t xml:space="preserve"> </w:t>
      </w:r>
      <w:r>
        <w:t>oviscape length variable, but usually straight or nearly so. ...............................................................................................</w:t>
      </w:r>
      <w:r>
        <w:rPr>
          <w:b/>
        </w:rPr>
        <w:t>2</w:t>
      </w:r>
    </w:p>
    <w:p w14:paraId="73D8022C" w14:textId="3312E290" w:rsidR="00471E14" w:rsidRDefault="0099106F" w:rsidP="009148A8">
      <w:pPr>
        <w:pStyle w:val="IPPParagraphnumbering"/>
        <w:rPr>
          <w:color w:val="000000"/>
        </w:rPr>
      </w:pPr>
      <w:r>
        <w:t>2</w:t>
      </w:r>
      <w:r>
        <w:rPr>
          <w:color w:val="000000"/>
        </w:rPr>
        <w:t>.</w:t>
      </w:r>
      <w:r>
        <w:rPr>
          <w:b/>
          <w:color w:val="000000"/>
        </w:rPr>
        <w:t xml:space="preserve"> </w:t>
      </w:r>
      <w:r>
        <w:rPr>
          <w:color w:val="000000"/>
        </w:rPr>
        <w:t xml:space="preserve">Wing (Figure </w:t>
      </w:r>
      <w:r w:rsidR="00A903C6">
        <w:t>7(C-H)</w:t>
      </w:r>
      <w:r>
        <w:rPr>
          <w:color w:val="000000"/>
        </w:rPr>
        <w:t xml:space="preserve">) with C-band interrupted at end of vein </w:t>
      </w:r>
      <w:r>
        <w:rPr>
          <w:i/>
          <w:color w:val="000000"/>
        </w:rPr>
        <w:t>R</w:t>
      </w:r>
      <w:r>
        <w:rPr>
          <w:i/>
          <w:color w:val="000000"/>
          <w:vertAlign w:val="subscript"/>
        </w:rPr>
        <w:t>1</w:t>
      </w:r>
      <w:r>
        <w:rPr>
          <w:color w:val="000000"/>
        </w:rPr>
        <w:t xml:space="preserve"> by a well-delimited hyaline mark in cell </w:t>
      </w:r>
      <w:r>
        <w:rPr>
          <w:i/>
          <w:color w:val="000000"/>
        </w:rPr>
        <w:t>r</w:t>
      </w:r>
      <w:r>
        <w:rPr>
          <w:i/>
          <w:color w:val="000000"/>
          <w:vertAlign w:val="subscript"/>
        </w:rPr>
        <w:t>1</w:t>
      </w:r>
      <w:r>
        <w:rPr>
          <w:color w:val="000000"/>
        </w:rPr>
        <w:t>; anterior and posterior orbital setae present; distal arm of V-band usually present at least partially, but if absent, wing pattern dark brown to black.</w:t>
      </w:r>
      <w:r>
        <w:rPr>
          <w:color w:val="000000"/>
        </w:rPr>
        <w:tab/>
      </w:r>
      <w:r>
        <w:rPr>
          <w:b/>
        </w:rPr>
        <w:t>3</w:t>
      </w:r>
    </w:p>
    <w:p w14:paraId="40D84E5E" w14:textId="18A6866C" w:rsidR="00471E14" w:rsidRDefault="0099106F" w:rsidP="009148A8">
      <w:pPr>
        <w:pStyle w:val="IPPParagraphnumbering"/>
        <w:rPr>
          <w:color w:val="000000"/>
        </w:rPr>
      </w:pPr>
      <w:r>
        <w:rPr>
          <w:color w:val="000000"/>
        </w:rPr>
        <w:t>– Wing (Figure 7</w:t>
      </w:r>
      <w:r w:rsidR="00B205DE">
        <w:rPr>
          <w:color w:val="000000"/>
        </w:rPr>
        <w:t>-B</w:t>
      </w:r>
      <w:r>
        <w:rPr>
          <w:color w:val="000000"/>
        </w:rPr>
        <w:t xml:space="preserve">) with C-band uninterrupted from wing base to apex, sometimes diffuse in cell </w:t>
      </w:r>
      <w:r>
        <w:rPr>
          <w:i/>
          <w:color w:val="000000"/>
        </w:rPr>
        <w:t>r</w:t>
      </w:r>
      <w:r>
        <w:rPr>
          <w:i/>
          <w:color w:val="000000"/>
          <w:vertAlign w:val="subscript"/>
        </w:rPr>
        <w:t>1</w:t>
      </w:r>
      <w:r>
        <w:rPr>
          <w:color w:val="000000"/>
        </w:rPr>
        <w:t xml:space="preserve">; posterior orbital seta often absent; distal arm of V-band absent. All following characters must be present: basal half of S-band continuous from apex of cell </w:t>
      </w:r>
      <w:r>
        <w:rPr>
          <w:i/>
          <w:color w:val="000000"/>
        </w:rPr>
        <w:t xml:space="preserve">cua </w:t>
      </w:r>
      <w:r>
        <w:rPr>
          <w:color w:val="000000"/>
        </w:rPr>
        <w:t xml:space="preserve">through crossvein </w:t>
      </w:r>
      <w:r>
        <w:rPr>
          <w:i/>
        </w:rPr>
        <w:t>r-m</w:t>
      </w:r>
      <w:r>
        <w:rPr>
          <w:color w:val="000000"/>
        </w:rPr>
        <w:t xml:space="preserve"> and connecting with C-band anteriorly; cell </w:t>
      </w:r>
      <w:r>
        <w:rPr>
          <w:i/>
          <w:color w:val="000000"/>
        </w:rPr>
        <w:t>r</w:t>
      </w:r>
      <w:r>
        <w:rPr>
          <w:i/>
          <w:color w:val="000000"/>
          <w:vertAlign w:val="subscript"/>
        </w:rPr>
        <w:t>2+3</w:t>
      </w:r>
      <w:r>
        <w:rPr>
          <w:color w:val="000000"/>
        </w:rPr>
        <w:t xml:space="preserve"> entirely infuscated; vein </w:t>
      </w:r>
      <w:r>
        <w:rPr>
          <w:i/>
          <w:color w:val="000000"/>
        </w:rPr>
        <w:t>R</w:t>
      </w:r>
      <w:r>
        <w:rPr>
          <w:i/>
          <w:color w:val="000000"/>
          <w:vertAlign w:val="subscript"/>
        </w:rPr>
        <w:t>2+3</w:t>
      </w:r>
      <w:r>
        <w:rPr>
          <w:i/>
          <w:color w:val="000000"/>
        </w:rPr>
        <w:t xml:space="preserve"> </w:t>
      </w:r>
      <w:r>
        <w:rPr>
          <w:color w:val="000000"/>
        </w:rPr>
        <w:t xml:space="preserve">almost straight in entire length; cell </w:t>
      </w:r>
      <w:r>
        <w:rPr>
          <w:i/>
          <w:color w:val="000000"/>
        </w:rPr>
        <w:t>br</w:t>
      </w:r>
      <w:r>
        <w:rPr>
          <w:color w:val="000000"/>
        </w:rPr>
        <w:t xml:space="preserve"> broadly hyaline between crossveins </w:t>
      </w:r>
      <w:r>
        <w:rPr>
          <w:i/>
        </w:rPr>
        <w:t>bm-m</w:t>
      </w:r>
      <w:r>
        <w:rPr>
          <w:color w:val="000000"/>
        </w:rPr>
        <w:t xml:space="preserve"> and </w:t>
      </w:r>
      <w:r>
        <w:rPr>
          <w:i/>
          <w:color w:val="000000"/>
        </w:rPr>
        <w:t>r-m</w:t>
      </w:r>
      <w:r>
        <w:rPr>
          <w:color w:val="000000"/>
        </w:rPr>
        <w:t xml:space="preserve">; abdominal tergites yellow to orange; scutum (Figure </w:t>
      </w:r>
      <w:r w:rsidR="00B205DE">
        <w:rPr>
          <w:color w:val="000000"/>
        </w:rPr>
        <w:t>4-A</w:t>
      </w:r>
      <w:r>
        <w:rPr>
          <w:color w:val="000000"/>
        </w:rPr>
        <w:t xml:space="preserve">) with narrow, dark brown dorsocentral stripes; aculeus of female </w:t>
      </w:r>
      <w:r>
        <w:t xml:space="preserve">relatively </w:t>
      </w:r>
      <w:r>
        <w:rPr>
          <w:color w:val="000000"/>
        </w:rPr>
        <w:t xml:space="preserve">long (5.3–6.2 mm) and usually greater than 0.10 mm wide, aculeus tip </w:t>
      </w:r>
      <w:r>
        <w:t>(Figure</w:t>
      </w:r>
      <w:r w:rsidR="00B205DE">
        <w:t xml:space="preserve"> </w:t>
      </w:r>
      <w:r w:rsidR="00550441">
        <w:t>8-B</w:t>
      </w:r>
      <w:r>
        <w:t xml:space="preserve">) </w:t>
      </w:r>
      <w:r>
        <w:rPr>
          <w:color w:val="000000"/>
        </w:rPr>
        <w:t xml:space="preserve">with V-shaped ridges, lateral margins non-serrate; </w:t>
      </w:r>
      <w:r>
        <w:t>phallus</w:t>
      </w:r>
      <w:r>
        <w:rPr>
          <w:color w:val="000000"/>
        </w:rPr>
        <w:t xml:space="preserve"> of male greater than 6 mm long, glans present. (Larvae infest melons and other Cucurbitaceae)</w:t>
      </w:r>
      <w:r>
        <w:t>.</w:t>
      </w:r>
      <w:r>
        <w:rPr>
          <w:color w:val="000000"/>
        </w:rPr>
        <w:tab/>
        <w:t>.</w:t>
      </w:r>
      <w:r>
        <w:rPr>
          <w:b/>
          <w:i/>
          <w:color w:val="000000"/>
        </w:rPr>
        <w:t>Anastrepha grandis</w:t>
      </w:r>
      <w:r>
        <w:rPr>
          <w:b/>
          <w:color w:val="000000"/>
        </w:rPr>
        <w:t xml:space="preserve"> (Macquart)</w:t>
      </w:r>
    </w:p>
    <w:p w14:paraId="454333B4" w14:textId="133EEE46" w:rsidR="00471E14" w:rsidRDefault="0099106F" w:rsidP="009148A8">
      <w:pPr>
        <w:pStyle w:val="IPPParagraphnumbering"/>
        <w:rPr>
          <w:b/>
          <w:color w:val="000000"/>
        </w:rPr>
      </w:pPr>
      <w:r>
        <w:t>3</w:t>
      </w:r>
      <w:r>
        <w:rPr>
          <w:color w:val="000000"/>
        </w:rPr>
        <w:t xml:space="preserve">. Scutum predominantly brown (Figure </w:t>
      </w:r>
      <w:r w:rsidR="00D51181">
        <w:rPr>
          <w:color w:val="000000"/>
        </w:rPr>
        <w:t>3-C</w:t>
      </w:r>
      <w:r>
        <w:rPr>
          <w:color w:val="000000"/>
        </w:rPr>
        <w:t xml:space="preserve">) or with broad, brown to black </w:t>
      </w:r>
      <w:r>
        <w:t xml:space="preserve">U-shaped mark (Figure </w:t>
      </w:r>
      <w:r w:rsidR="00D51181">
        <w:t>3-D</w:t>
      </w:r>
      <w:r>
        <w:t>)</w:t>
      </w:r>
      <w:r>
        <w:rPr>
          <w:color w:val="000000"/>
        </w:rPr>
        <w:tab/>
      </w:r>
      <w:r>
        <w:rPr>
          <w:b/>
        </w:rPr>
        <w:t>4</w:t>
      </w:r>
    </w:p>
    <w:p w14:paraId="3E236C23" w14:textId="7D0C8031" w:rsidR="00471E14" w:rsidRDefault="0099106F" w:rsidP="009148A8">
      <w:pPr>
        <w:pStyle w:val="IPPParagraphnumbering"/>
        <w:rPr>
          <w:color w:val="000000"/>
        </w:rPr>
      </w:pPr>
      <w:r>
        <w:rPr>
          <w:color w:val="000000"/>
        </w:rPr>
        <w:t xml:space="preserve">– Scutum (Figures </w:t>
      </w:r>
      <w:r w:rsidR="00D51181">
        <w:rPr>
          <w:color w:val="000000"/>
        </w:rPr>
        <w:t>4(B-D)</w:t>
      </w:r>
      <w:r>
        <w:rPr>
          <w:color w:val="000000"/>
        </w:rPr>
        <w:t>) mostly yellow or orange, without dark brown markings except sometimes along scuto-scutellar suture</w:t>
      </w:r>
      <w:r>
        <w:rPr>
          <w:color w:val="000000"/>
        </w:rPr>
        <w:tab/>
        <w:t>….................................................................................................................................................</w:t>
      </w:r>
      <w:r>
        <w:rPr>
          <w:b/>
        </w:rPr>
        <w:t>5</w:t>
      </w:r>
    </w:p>
    <w:p w14:paraId="6FF85C32" w14:textId="6477992F" w:rsidR="00471E14" w:rsidRDefault="0099106F" w:rsidP="009148A8">
      <w:pPr>
        <w:pStyle w:val="IPPParagraphnumbering"/>
        <w:rPr>
          <w:color w:val="000000"/>
        </w:rPr>
      </w:pPr>
      <w:r>
        <w:t>4</w:t>
      </w:r>
      <w:r>
        <w:rPr>
          <w:color w:val="000000"/>
        </w:rPr>
        <w:t xml:space="preserve">. Wing pattern (Figure </w:t>
      </w:r>
      <w:r w:rsidR="00BE6141">
        <w:t>7-C</w:t>
      </w:r>
      <w:r>
        <w:rPr>
          <w:color w:val="000000"/>
        </w:rPr>
        <w:t xml:space="preserve">) mostly dark brown; distal arm of V-band completely absent; abdominal tergites (Figure </w:t>
      </w:r>
      <w:r w:rsidR="001D4A7F">
        <w:rPr>
          <w:color w:val="000000"/>
        </w:rPr>
        <w:t>3-C</w:t>
      </w:r>
      <w:r>
        <w:rPr>
          <w:color w:val="000000"/>
        </w:rPr>
        <w:t xml:space="preserve">) mostly dark brown with T-shaped medial white mark; thoracic pleuron mostly brown, strongly contrasting with yellow markings; female aculeus 2.6–3.8 mm long, tip </w:t>
      </w:r>
      <w:r>
        <w:t>(Figure</w:t>
      </w:r>
      <w:r w:rsidR="001D4A7F">
        <w:t xml:space="preserve"> 8-C</w:t>
      </w:r>
      <w:r>
        <w:t xml:space="preserve">) </w:t>
      </w:r>
      <w:r>
        <w:rPr>
          <w:color w:val="000000"/>
        </w:rPr>
        <w:t xml:space="preserve">0.37–0.46 mm long, 0.14–0.17 mm wide, lateral margins finely serrate on distal 0.5–0.7. (Larvae </w:t>
      </w:r>
      <w:r>
        <w:t xml:space="preserve">predominantly </w:t>
      </w:r>
      <w:r>
        <w:rPr>
          <w:color w:val="000000"/>
        </w:rPr>
        <w:t xml:space="preserve">infest Sapotaceae) </w:t>
      </w:r>
      <w:r>
        <w:rPr>
          <w:color w:val="000000"/>
        </w:rPr>
        <w:tab/>
      </w:r>
      <w:r>
        <w:rPr>
          <w:b/>
          <w:i/>
          <w:color w:val="000000"/>
        </w:rPr>
        <w:t>Anastrepha serpentina</w:t>
      </w:r>
      <w:r>
        <w:rPr>
          <w:color w:val="000000"/>
        </w:rPr>
        <w:t xml:space="preserve"> (Wiedemann) </w:t>
      </w:r>
    </w:p>
    <w:p w14:paraId="25F5D012" w14:textId="7C50D659" w:rsidR="00471E14" w:rsidRDefault="0099106F" w:rsidP="009148A8">
      <w:pPr>
        <w:pStyle w:val="IPPParagraphnumbering"/>
        <w:rPr>
          <w:color w:val="000000"/>
        </w:rPr>
      </w:pPr>
      <w:r>
        <w:rPr>
          <w:color w:val="000000"/>
        </w:rPr>
        <w:t xml:space="preserve">– Wing pattern (Figure </w:t>
      </w:r>
      <w:r w:rsidR="001D4A7F">
        <w:t>7-D</w:t>
      </w:r>
      <w:r>
        <w:rPr>
          <w:color w:val="000000"/>
        </w:rPr>
        <w:t xml:space="preserve">) mostly orange and moderate brown; distal arm of V-band </w:t>
      </w:r>
      <w:r>
        <w:t xml:space="preserve">often </w:t>
      </w:r>
      <w:r>
        <w:rPr>
          <w:color w:val="000000"/>
        </w:rPr>
        <w:t xml:space="preserve">present; abdominal tergites and pleuron yellow </w:t>
      </w:r>
      <w:r>
        <w:t>to</w:t>
      </w:r>
      <w:r>
        <w:rPr>
          <w:color w:val="000000"/>
        </w:rPr>
        <w:t xml:space="preserve"> orange; scutum (Figure </w:t>
      </w:r>
      <w:r w:rsidR="00F54846">
        <w:rPr>
          <w:color w:val="000000"/>
        </w:rPr>
        <w:t>3-D</w:t>
      </w:r>
      <w:r>
        <w:rPr>
          <w:color w:val="000000"/>
        </w:rPr>
        <w:t xml:space="preserve">) with two broad dorsocentral stripes connected on posterior margin to form U-shaped mark, without setulae </w:t>
      </w:r>
      <w:r>
        <w:t>o</w:t>
      </w:r>
      <w:r>
        <w:rPr>
          <w:color w:val="000000"/>
        </w:rPr>
        <w:t xml:space="preserve">n small area along transverse suture, with nonmicrotrichose stripe along dorsocentral line contrasting with dense white microtrichia elsewhere on scutum; female aculeus 1.95–2.30 mm long, tip </w:t>
      </w:r>
      <w:r>
        <w:t>(Figure</w:t>
      </w:r>
      <w:r w:rsidR="00F54846">
        <w:t xml:space="preserve"> 8-D</w:t>
      </w:r>
      <w:r>
        <w:t xml:space="preserve">) </w:t>
      </w:r>
      <w:r>
        <w:rPr>
          <w:color w:val="000000"/>
        </w:rPr>
        <w:t xml:space="preserve">broad, 0.24–0.31 mm long, 0.17–0.20 mm wide. (Larvae </w:t>
      </w:r>
      <w:r>
        <w:t xml:space="preserve">predominantly </w:t>
      </w:r>
      <w:r>
        <w:rPr>
          <w:color w:val="000000"/>
        </w:rPr>
        <w:t xml:space="preserve">infest guavas and other Myrtaceae) </w:t>
      </w:r>
      <w:r>
        <w:rPr>
          <w:color w:val="000000"/>
        </w:rPr>
        <w:tab/>
      </w:r>
      <w:r>
        <w:rPr>
          <w:color w:val="000000"/>
        </w:rPr>
        <w:br/>
      </w:r>
      <w:r>
        <w:rPr>
          <w:color w:val="000000"/>
        </w:rPr>
        <w:tab/>
        <w:t>…………….</w:t>
      </w:r>
      <w:r>
        <w:rPr>
          <w:color w:val="000000"/>
        </w:rPr>
        <w:tab/>
      </w:r>
      <w:r>
        <w:rPr>
          <w:b/>
          <w:i/>
          <w:color w:val="000000"/>
        </w:rPr>
        <w:t xml:space="preserve">Anastrepha striata </w:t>
      </w:r>
      <w:r>
        <w:rPr>
          <w:b/>
          <w:color w:val="000000"/>
        </w:rPr>
        <w:t>Schiner</w:t>
      </w:r>
      <w:r>
        <w:rPr>
          <w:color w:val="000000"/>
        </w:rPr>
        <w:t xml:space="preserve"> </w:t>
      </w:r>
    </w:p>
    <w:p w14:paraId="623BF736" w14:textId="23A43100" w:rsidR="00471E14" w:rsidRDefault="0099106F" w:rsidP="009148A8">
      <w:pPr>
        <w:pStyle w:val="IPPParagraphnumbering"/>
        <w:rPr>
          <w:b/>
          <w:color w:val="000000"/>
        </w:rPr>
      </w:pPr>
      <w:r>
        <w:t>5</w:t>
      </w:r>
      <w:r>
        <w:rPr>
          <w:color w:val="000000"/>
        </w:rPr>
        <w:t xml:space="preserve">. Wing (Figures </w:t>
      </w:r>
      <w:r w:rsidR="000C093B">
        <w:rPr>
          <w:color w:val="000000"/>
        </w:rPr>
        <w:t>7(F-H)</w:t>
      </w:r>
      <w:r>
        <w:rPr>
          <w:color w:val="000000"/>
        </w:rPr>
        <w:t xml:space="preserve">) with distal section of S-band narrow to moderately broad, never reaching apex of vein </w:t>
      </w:r>
      <w:r>
        <w:rPr>
          <w:i/>
          <w:color w:val="000000"/>
        </w:rPr>
        <w:t>M</w:t>
      </w:r>
      <w:r>
        <w:rPr>
          <w:i/>
          <w:color w:val="000000"/>
          <w:vertAlign w:val="subscript"/>
        </w:rPr>
        <w:t>1</w:t>
      </w:r>
      <w:r>
        <w:rPr>
          <w:color w:val="000000"/>
        </w:rPr>
        <w:t xml:space="preserve">; V-band with arms separated anteriorly or if joined, with large hyaline mark between them and vein </w:t>
      </w:r>
      <w:r>
        <w:rPr>
          <w:i/>
        </w:rPr>
        <w:t>M</w:t>
      </w:r>
      <w:r>
        <w:rPr>
          <w:i/>
          <w:vertAlign w:val="subscript"/>
        </w:rPr>
        <w:t>1</w:t>
      </w:r>
      <w:r>
        <w:rPr>
          <w:i/>
          <w:color w:val="000000"/>
        </w:rPr>
        <w:t>;</w:t>
      </w:r>
      <w:r>
        <w:rPr>
          <w:color w:val="000000"/>
        </w:rPr>
        <w:t xml:space="preserve"> scuto-scutellar suture with or without brown spot medially; aculeus variable</w:t>
      </w:r>
      <w:r>
        <w:rPr>
          <w:color w:val="000000"/>
        </w:rPr>
        <w:tab/>
        <w:t>……</w:t>
      </w:r>
      <w:r>
        <w:rPr>
          <w:color w:val="000000"/>
        </w:rPr>
        <w:tab/>
      </w:r>
      <w:r>
        <w:rPr>
          <w:b/>
        </w:rPr>
        <w:t>6</w:t>
      </w:r>
      <w:r>
        <w:rPr>
          <w:b/>
          <w:color w:val="000000"/>
        </w:rPr>
        <w:t xml:space="preserve"> </w:t>
      </w:r>
    </w:p>
    <w:p w14:paraId="3187C70F" w14:textId="4FCB2615" w:rsidR="00471E14" w:rsidRDefault="0099106F" w:rsidP="009148A8">
      <w:pPr>
        <w:pStyle w:val="IPPParagraphnumbering"/>
        <w:rPr>
          <w:b/>
          <w:color w:val="000000"/>
        </w:rPr>
      </w:pPr>
      <w:r>
        <w:rPr>
          <w:color w:val="000000"/>
        </w:rPr>
        <w:t xml:space="preserve">– </w:t>
      </w:r>
      <w:r>
        <w:t xml:space="preserve">Wing (Figure </w:t>
      </w:r>
      <w:r w:rsidR="000C093B">
        <w:t>7-E</w:t>
      </w:r>
      <w:r>
        <w:t>) with distal section of S-band extremely</w:t>
      </w:r>
      <w:r>
        <w:rPr>
          <w:color w:val="000000"/>
        </w:rPr>
        <w:t xml:space="preserve"> </w:t>
      </w:r>
      <w:r>
        <w:t>broad</w:t>
      </w:r>
      <w:r>
        <w:rPr>
          <w:color w:val="000000"/>
        </w:rPr>
        <w:t xml:space="preserve">, reaching apex of vein </w:t>
      </w:r>
      <w:r>
        <w:rPr>
          <w:i/>
          <w:color w:val="000000"/>
        </w:rPr>
        <w:t>M</w:t>
      </w:r>
      <w:r>
        <w:rPr>
          <w:i/>
          <w:color w:val="000000"/>
          <w:vertAlign w:val="subscript"/>
        </w:rPr>
        <w:t>1</w:t>
      </w:r>
      <w:r>
        <w:rPr>
          <w:color w:val="000000"/>
        </w:rPr>
        <w:t xml:space="preserve">; V-band broad and complete, with arms widely connected anteriorly, hyaline mark between them and vein </w:t>
      </w:r>
      <w:r>
        <w:rPr>
          <w:i/>
          <w:color w:val="000000"/>
        </w:rPr>
        <w:t>M</w:t>
      </w:r>
      <w:r>
        <w:rPr>
          <w:i/>
          <w:vertAlign w:val="subscript"/>
        </w:rPr>
        <w:t>1</w:t>
      </w:r>
      <w:r>
        <w:rPr>
          <w:color w:val="000000"/>
        </w:rPr>
        <w:t xml:space="preserve"> small or absent; scuto-scutellar suture usually with large rounded brown spot medially; female aculeus 1.4–1.6 mm long, tip </w:t>
      </w:r>
      <w:r>
        <w:t>(Figure</w:t>
      </w:r>
      <w:r w:rsidR="00A97784">
        <w:t xml:space="preserve"> </w:t>
      </w:r>
      <w:r>
        <w:t>8</w:t>
      </w:r>
      <w:r w:rsidR="00A97784">
        <w:t>-E</w:t>
      </w:r>
      <w:r>
        <w:t xml:space="preserve">) </w:t>
      </w:r>
      <w:r>
        <w:rPr>
          <w:color w:val="000000"/>
        </w:rPr>
        <w:t xml:space="preserve">0.19–0.23 mm long, 0.10–0.13 mm wide, lateral margins serrate on distal 0.50–0.65. </w:t>
      </w:r>
      <w:r>
        <w:t xml:space="preserve">(Generalist pest, but larvae predominantly infest guavas and other Myrtaceae) </w:t>
      </w:r>
      <w:r>
        <w:rPr>
          <w:color w:val="000000"/>
        </w:rPr>
        <w:tab/>
      </w:r>
      <w:r>
        <w:rPr>
          <w:b/>
          <w:i/>
          <w:color w:val="000000"/>
        </w:rPr>
        <w:t>Anastrepha suspensa</w:t>
      </w:r>
      <w:r>
        <w:rPr>
          <w:b/>
          <w:color w:val="000000"/>
        </w:rPr>
        <w:t xml:space="preserve"> (Loew) </w:t>
      </w:r>
    </w:p>
    <w:p w14:paraId="40EC4844" w14:textId="7CF0E50E" w:rsidR="00471E14" w:rsidRDefault="0099106F" w:rsidP="009148A8">
      <w:pPr>
        <w:pStyle w:val="IPPParagraphnumbering"/>
        <w:rPr>
          <w:b/>
          <w:color w:val="000000"/>
        </w:rPr>
      </w:pPr>
      <w:r>
        <w:t>6</w:t>
      </w:r>
      <w:r>
        <w:rPr>
          <w:color w:val="000000"/>
        </w:rPr>
        <w:t>.</w:t>
      </w:r>
      <w:r>
        <w:rPr>
          <w:b/>
          <w:color w:val="000000"/>
        </w:rPr>
        <w:t xml:space="preserve"> </w:t>
      </w:r>
      <w:r>
        <w:rPr>
          <w:color w:val="000000"/>
        </w:rPr>
        <w:t xml:space="preserve">Female </w:t>
      </w:r>
      <w:r>
        <w:t xml:space="preserve">oviscape less than 2.2 mm long, 0.50-0.75 times as long as thorax (Figures </w:t>
      </w:r>
      <w:r w:rsidR="00774223">
        <w:t>4(C-D)</w:t>
      </w:r>
      <w:r>
        <w:t xml:space="preserve">); </w:t>
      </w:r>
      <w:r>
        <w:rPr>
          <w:color w:val="000000"/>
        </w:rPr>
        <w:t xml:space="preserve">aculeus less than 2.0 mm long, tip (Figures </w:t>
      </w:r>
      <w:r w:rsidR="00774223">
        <w:rPr>
          <w:color w:val="000000"/>
        </w:rPr>
        <w:t>8(G-H)</w:t>
      </w:r>
      <w:r>
        <w:rPr>
          <w:color w:val="000000"/>
        </w:rPr>
        <w:t xml:space="preserve">) relatively short and </w:t>
      </w:r>
      <w:r>
        <w:t xml:space="preserve">broad </w:t>
      </w:r>
      <w:r>
        <w:rPr>
          <w:color w:val="000000"/>
        </w:rPr>
        <w:t>with large teeth on sides; male phallus 2.</w:t>
      </w:r>
      <w:r>
        <w:t>3</w:t>
      </w:r>
      <w:r>
        <w:rPr>
          <w:color w:val="000000"/>
        </w:rPr>
        <w:t xml:space="preserve">–3.45 mm </w:t>
      </w:r>
      <w:r>
        <w:t>long,</w:t>
      </w:r>
      <w:r>
        <w:rPr>
          <w:color w:val="000000"/>
        </w:rPr>
        <w:t xml:space="preserve"> 0.</w:t>
      </w:r>
      <w:r>
        <w:t>7</w:t>
      </w:r>
      <w:r>
        <w:rPr>
          <w:color w:val="000000"/>
        </w:rPr>
        <w:t xml:space="preserve">–1.1 times as long as </w:t>
      </w:r>
      <w:r>
        <w:t>thorax</w:t>
      </w:r>
      <w:r>
        <w:rPr>
          <w:color w:val="000000"/>
        </w:rPr>
        <w:t>; other characters variable</w:t>
      </w:r>
      <w:r>
        <w:rPr>
          <w:color w:val="000000"/>
        </w:rPr>
        <w:tab/>
      </w:r>
      <w:r>
        <w:rPr>
          <w:b/>
        </w:rPr>
        <w:t>7</w:t>
      </w:r>
      <w:r>
        <w:rPr>
          <w:b/>
          <w:color w:val="000000"/>
        </w:rPr>
        <w:t xml:space="preserve"> </w:t>
      </w:r>
    </w:p>
    <w:p w14:paraId="439D2CEC" w14:textId="3638A0D2" w:rsidR="00471E14" w:rsidRDefault="0099106F" w:rsidP="009148A8">
      <w:pPr>
        <w:pStyle w:val="IPPParagraphnumbering"/>
        <w:rPr>
          <w:b/>
          <w:color w:val="000000"/>
        </w:rPr>
      </w:pPr>
      <w:r>
        <w:rPr>
          <w:color w:val="000000"/>
        </w:rPr>
        <w:t>– Female oviscape more than 3.0 mm</w:t>
      </w:r>
      <w:r>
        <w:t xml:space="preserve"> (usually more than 3.5 mm) </w:t>
      </w:r>
      <w:r>
        <w:rPr>
          <w:color w:val="000000"/>
        </w:rPr>
        <w:t xml:space="preserve">long, 1.1–1.55 times as long as thorax (Figure </w:t>
      </w:r>
      <w:r w:rsidR="00A052FA">
        <w:rPr>
          <w:color w:val="000000"/>
        </w:rPr>
        <w:t>4-B</w:t>
      </w:r>
      <w:r>
        <w:rPr>
          <w:color w:val="000000"/>
        </w:rPr>
        <w:t xml:space="preserve">); aculeus more than 2.9 mm long (usually 3.3–5.8 mm); aculeus tip </w:t>
      </w:r>
      <w:r>
        <w:t>(Figure</w:t>
      </w:r>
      <w:r w:rsidR="00A052FA">
        <w:t xml:space="preserve"> 8-F</w:t>
      </w:r>
      <w:r>
        <w:t xml:space="preserve">) </w:t>
      </w:r>
      <w:r>
        <w:rPr>
          <w:color w:val="000000"/>
        </w:rPr>
        <w:t xml:space="preserve">0.28–0.42 mm long, with moderate constriction near mid-length; lateral margins non-serrate or finely serrate on distal 0.55 or less; </w:t>
      </w:r>
      <w:r>
        <w:t>male phallus 5.0–6.3 mm long, 1.45–1.85 times as long as thorax; subscutellum (Figure</w:t>
      </w:r>
      <w:r w:rsidR="003329D6">
        <w:t xml:space="preserve"> </w:t>
      </w:r>
      <w:r w:rsidR="0029042B">
        <w:t>5(C-2)</w:t>
      </w:r>
      <w:r>
        <w:t xml:space="preserve">) always with </w:t>
      </w:r>
      <w:r>
        <w:rPr>
          <w:color w:val="000000"/>
        </w:rPr>
        <w:t>brown lateral markings, sometimes extended onto mediotergite; wing pattern as in Figure</w:t>
      </w:r>
      <w:r w:rsidR="003329D6">
        <w:rPr>
          <w:color w:val="000000"/>
        </w:rPr>
        <w:t xml:space="preserve"> </w:t>
      </w:r>
      <w:r w:rsidR="003329D6">
        <w:t>7-F</w:t>
      </w:r>
      <w:r>
        <w:rPr>
          <w:color w:val="000000"/>
        </w:rPr>
        <w:t>. (Larvae commonly infest citrus and mango)</w:t>
      </w:r>
      <w:r>
        <w:rPr>
          <w:color w:val="000000"/>
        </w:rPr>
        <w:tab/>
        <w:t xml:space="preserve"> </w:t>
      </w:r>
      <w:r>
        <w:rPr>
          <w:color w:val="000000"/>
        </w:rPr>
        <w:tab/>
      </w:r>
      <w:r>
        <w:rPr>
          <w:b/>
          <w:i/>
          <w:color w:val="000000"/>
        </w:rPr>
        <w:t>Anastrepha ludens</w:t>
      </w:r>
      <w:r>
        <w:rPr>
          <w:b/>
          <w:color w:val="000000"/>
        </w:rPr>
        <w:t xml:space="preserve"> (Loew) </w:t>
      </w:r>
    </w:p>
    <w:p w14:paraId="7FD139DD" w14:textId="6214BEBE" w:rsidR="00471E14" w:rsidRDefault="0099106F" w:rsidP="009148A8">
      <w:pPr>
        <w:pStyle w:val="IPPParagraphnumbering"/>
        <w:rPr>
          <w:color w:val="000000"/>
        </w:rPr>
      </w:pPr>
      <w:r>
        <w:t>7</w:t>
      </w:r>
      <w:r>
        <w:rPr>
          <w:color w:val="000000"/>
        </w:rPr>
        <w:t xml:space="preserve">. Subscutellum </w:t>
      </w:r>
      <w:r>
        <w:t>(Figure</w:t>
      </w:r>
      <w:r w:rsidR="00BB7662">
        <w:t xml:space="preserve"> 5(</w:t>
      </w:r>
      <w:r>
        <w:t>C</w:t>
      </w:r>
      <w:r w:rsidR="00BB7662">
        <w:t>-3)</w:t>
      </w:r>
      <w:r>
        <w:t xml:space="preserve">) </w:t>
      </w:r>
      <w:r>
        <w:rPr>
          <w:color w:val="000000"/>
        </w:rPr>
        <w:t xml:space="preserve">entirely yellow, mediotergite usually with brown lateral markings; </w:t>
      </w:r>
      <w:r>
        <w:t xml:space="preserve">scuto-scutellar suture without medial </w:t>
      </w:r>
      <w:r>
        <w:rPr>
          <w:color w:val="000000"/>
        </w:rPr>
        <w:t>brown spot</w:t>
      </w:r>
      <w:r>
        <w:t xml:space="preserve"> (Figure </w:t>
      </w:r>
      <w:r w:rsidR="000803B5">
        <w:t>4-C</w:t>
      </w:r>
      <w:r>
        <w:t>)</w:t>
      </w:r>
      <w:r>
        <w:rPr>
          <w:color w:val="000000"/>
        </w:rPr>
        <w:t xml:space="preserve">; aculeus tip </w:t>
      </w:r>
      <w:r>
        <w:t>(Figure</w:t>
      </w:r>
      <w:r w:rsidR="000803B5">
        <w:t xml:space="preserve"> 8-G</w:t>
      </w:r>
      <w:r>
        <w:t xml:space="preserve">) </w:t>
      </w:r>
      <w:r>
        <w:rPr>
          <w:color w:val="000000"/>
        </w:rPr>
        <w:t xml:space="preserve">0.16–0.20 mm long, with lateral serrations on distal two-thirds or four-fifths; wing pattern </w:t>
      </w:r>
      <w:r>
        <w:t>variable (</w:t>
      </w:r>
      <w:r>
        <w:rPr>
          <w:color w:val="000000"/>
        </w:rPr>
        <w:t>Figure</w:t>
      </w:r>
      <w:r w:rsidR="003C2183">
        <w:rPr>
          <w:color w:val="000000"/>
        </w:rPr>
        <w:t xml:space="preserve"> 7-G</w:t>
      </w:r>
      <w:r>
        <w:rPr>
          <w:color w:val="000000"/>
        </w:rPr>
        <w:t xml:space="preserve">). (Larvae commonly infest mango </w:t>
      </w:r>
      <w:r>
        <w:t xml:space="preserve">and </w:t>
      </w:r>
      <w:r>
        <w:rPr>
          <w:i/>
          <w:color w:val="000000"/>
        </w:rPr>
        <w:t>Spondias</w:t>
      </w:r>
      <w:r>
        <w:rPr>
          <w:color w:val="000000"/>
        </w:rPr>
        <w:t xml:space="preserve">) </w:t>
      </w:r>
      <w:r>
        <w:rPr>
          <w:color w:val="000000"/>
        </w:rPr>
        <w:tab/>
      </w:r>
      <w:r>
        <w:rPr>
          <w:b/>
          <w:i/>
          <w:color w:val="000000"/>
        </w:rPr>
        <w:t xml:space="preserve">Anastrepha obliqua </w:t>
      </w:r>
      <w:r>
        <w:rPr>
          <w:b/>
          <w:color w:val="000000"/>
        </w:rPr>
        <w:t>(Macquart)</w:t>
      </w:r>
      <w:r>
        <w:rPr>
          <w:color w:val="000000"/>
        </w:rPr>
        <w:t xml:space="preserve"> </w:t>
      </w:r>
    </w:p>
    <w:p w14:paraId="18A5D537" w14:textId="6437E98B" w:rsidR="00471E14" w:rsidRDefault="0099106F" w:rsidP="009148A8">
      <w:pPr>
        <w:pStyle w:val="IPPParagraphnumbering"/>
        <w:rPr>
          <w:color w:val="000000"/>
        </w:rPr>
      </w:pPr>
      <w:r>
        <w:rPr>
          <w:color w:val="000000"/>
        </w:rPr>
        <w:t xml:space="preserve">– Both mediotergite and subscutellum </w:t>
      </w:r>
      <w:r>
        <w:t>(Figure</w:t>
      </w:r>
      <w:r w:rsidR="003C2183">
        <w:t xml:space="preserve"> 5(C-1)</w:t>
      </w:r>
      <w:r>
        <w:t xml:space="preserve">) </w:t>
      </w:r>
      <w:r>
        <w:rPr>
          <w:color w:val="000000"/>
        </w:rPr>
        <w:t xml:space="preserve">with broad dark brown to black lateral markings; </w:t>
      </w:r>
      <w:r>
        <w:t xml:space="preserve">scuto-scutellar suture usually with </w:t>
      </w:r>
      <w:r>
        <w:rPr>
          <w:color w:val="000000"/>
        </w:rPr>
        <w:t xml:space="preserve">medial brown spot (as in Figure </w:t>
      </w:r>
      <w:r w:rsidR="00A81565">
        <w:rPr>
          <w:color w:val="000000"/>
        </w:rPr>
        <w:t>4</w:t>
      </w:r>
      <w:r w:rsidR="00780FE8">
        <w:rPr>
          <w:color w:val="000000"/>
        </w:rPr>
        <w:t xml:space="preserve"> (</w:t>
      </w:r>
      <w:r w:rsidR="00A81565">
        <w:rPr>
          <w:color w:val="000000"/>
        </w:rPr>
        <w:t>B</w:t>
      </w:r>
      <w:r>
        <w:rPr>
          <w:color w:val="000000"/>
        </w:rPr>
        <w:t xml:space="preserve"> and </w:t>
      </w:r>
      <w:r w:rsidR="00A81565">
        <w:rPr>
          <w:color w:val="000000"/>
        </w:rPr>
        <w:t>D</w:t>
      </w:r>
      <w:r>
        <w:rPr>
          <w:color w:val="000000"/>
        </w:rPr>
        <w:t>); aculeus 1.4–1.9 mm long, aculeus tip 0.20–0.28 mm long, lateral margins with 8 to 14 teeth on distal two-fifths to three-fifths (Figure</w:t>
      </w:r>
      <w:r w:rsidR="00780FE8">
        <w:rPr>
          <w:color w:val="000000"/>
        </w:rPr>
        <w:t xml:space="preserve"> </w:t>
      </w:r>
      <w:r w:rsidR="00780FE8">
        <w:t>8-H</w:t>
      </w:r>
      <w:r>
        <w:rPr>
          <w:color w:val="000000"/>
        </w:rPr>
        <w:t>); wing pattern variable (Figure</w:t>
      </w:r>
      <w:r w:rsidR="00800145">
        <w:rPr>
          <w:color w:val="000000"/>
        </w:rPr>
        <w:t xml:space="preserve"> 7-H</w:t>
      </w:r>
      <w:r>
        <w:rPr>
          <w:color w:val="000000"/>
        </w:rPr>
        <w:t xml:space="preserve">) </w:t>
      </w:r>
      <w:r>
        <w:t>(Generalist pest)</w:t>
      </w:r>
      <w:r w:rsidR="00800145">
        <w:t xml:space="preserve"> </w:t>
      </w:r>
      <w:r>
        <w:tab/>
      </w:r>
      <w:r>
        <w:rPr>
          <w:b/>
          <w:i/>
          <w:color w:val="000000"/>
        </w:rPr>
        <w:t xml:space="preserve">Anastrepha fraterculus </w:t>
      </w:r>
      <w:r>
        <w:rPr>
          <w:b/>
          <w:color w:val="000000"/>
        </w:rPr>
        <w:t>(Wiedemann) species complex</w:t>
      </w:r>
    </w:p>
    <w:p w14:paraId="2CF15142" w14:textId="77777777" w:rsidR="00471E14" w:rsidRDefault="0099106F">
      <w:pPr>
        <w:keepNext/>
        <w:pBdr>
          <w:top w:val="nil"/>
          <w:left w:val="nil"/>
          <w:bottom w:val="nil"/>
          <w:right w:val="nil"/>
          <w:between w:val="nil"/>
        </w:pBdr>
        <w:tabs>
          <w:tab w:val="left" w:pos="567"/>
        </w:tabs>
        <w:spacing w:before="120" w:after="120"/>
        <w:ind w:left="567" w:hanging="567"/>
        <w:jc w:val="left"/>
        <w:rPr>
          <w:b/>
          <w:color w:val="000000"/>
          <w:sz w:val="24"/>
          <w:szCs w:val="24"/>
        </w:rPr>
      </w:pPr>
      <w:r>
        <w:rPr>
          <w:b/>
          <w:color w:val="000000"/>
          <w:sz w:val="24"/>
          <w:szCs w:val="24"/>
        </w:rPr>
        <w:t>4.4</w:t>
      </w:r>
      <w:r>
        <w:rPr>
          <w:b/>
          <w:color w:val="000000"/>
          <w:sz w:val="24"/>
          <w:szCs w:val="24"/>
        </w:rPr>
        <w:tab/>
        <w:t xml:space="preserve">Morphological identification of third instar larvae </w:t>
      </w:r>
    </w:p>
    <w:p w14:paraId="40C7263F" w14:textId="782E75EC" w:rsidR="00471E14" w:rsidRDefault="0099106F" w:rsidP="00810564">
      <w:pPr>
        <w:pStyle w:val="IPPParagraphnumbering"/>
        <w:rPr>
          <w:color w:val="000000"/>
          <w:sz w:val="24"/>
        </w:rPr>
      </w:pPr>
      <w:r>
        <w:t xml:space="preserve">When a larva is detected in fruit, identification of the instar stage is not always certain. A newly molted third instar may be </w:t>
      </w:r>
      <w:r w:rsidRPr="00B71B0E">
        <w:t xml:space="preserve">smaller than some fully developed second instars and less than half its potential fully developed size (Steck et al. 2022). Typical relative sizes of the second and third instars are shown in Figure </w:t>
      </w:r>
      <w:r w:rsidR="00800145" w:rsidRPr="00B71B0E">
        <w:t>9-A</w:t>
      </w:r>
      <w:r w:rsidRPr="00B71B0E">
        <w:t xml:space="preserve">. The best characters to separate </w:t>
      </w:r>
      <w:r w:rsidR="00C73566" w:rsidRPr="00B71B0E">
        <w:t xml:space="preserve">second and third </w:t>
      </w:r>
      <w:r w:rsidRPr="00B71B0E">
        <w:t xml:space="preserve">instars in all species are absolute sizes of the cephaloskeleton and spiracles: they never overlap between instars. However, these data are not published for second or first instars of most species. Another differentiating feature between second and third instars of </w:t>
      </w:r>
      <w:r w:rsidRPr="00B71B0E">
        <w:rPr>
          <w:i/>
        </w:rPr>
        <w:t xml:space="preserve">Anastrepha </w:t>
      </w:r>
      <w:r w:rsidRPr="00B71B0E">
        <w:t xml:space="preserve">is the presence or absence of a subapical tooth on the mouthhook: it is present in the second instar and subequal in size to the apical tooth (Figure </w:t>
      </w:r>
      <w:r w:rsidR="00560E31" w:rsidRPr="00B71B0E">
        <w:t>9-B</w:t>
      </w:r>
      <w:r w:rsidRPr="00B71B0E">
        <w:t xml:space="preserve">) vs. absent in the third instar (Figure </w:t>
      </w:r>
      <w:r w:rsidR="00560E31" w:rsidRPr="00B71B0E">
        <w:t>9-C</w:t>
      </w:r>
      <w:r w:rsidRPr="00B71B0E">
        <w:t xml:space="preserve">). Third instars of many Dacinae also have a </w:t>
      </w:r>
      <w:r>
        <w:t xml:space="preserve">subapical tooth, but usually it is much smaller than the apical tooth, not subequal in size (Figure </w:t>
      </w:r>
      <w:r w:rsidR="00560E31">
        <w:t>9-D</w:t>
      </w:r>
      <w:r>
        <w:t>).</w:t>
      </w:r>
    </w:p>
    <w:p w14:paraId="33130D7D" w14:textId="77777777" w:rsidR="00471E14" w:rsidRDefault="0099106F">
      <w:pPr>
        <w:keepNext/>
        <w:pBdr>
          <w:top w:val="nil"/>
          <w:left w:val="nil"/>
          <w:bottom w:val="nil"/>
          <w:right w:val="nil"/>
          <w:between w:val="nil"/>
        </w:pBdr>
        <w:tabs>
          <w:tab w:val="left" w:pos="567"/>
        </w:tabs>
        <w:spacing w:before="120" w:after="120"/>
        <w:ind w:left="567" w:hanging="567"/>
        <w:jc w:val="left"/>
        <w:rPr>
          <w:b/>
          <w:color w:val="000000"/>
          <w:sz w:val="24"/>
          <w:szCs w:val="24"/>
        </w:rPr>
      </w:pPr>
      <w:r>
        <w:rPr>
          <w:b/>
          <w:color w:val="000000"/>
          <w:sz w:val="24"/>
          <w:szCs w:val="24"/>
        </w:rPr>
        <w:t>4.4.1</w:t>
      </w:r>
      <w:r>
        <w:rPr>
          <w:b/>
          <w:color w:val="000000"/>
          <w:sz w:val="24"/>
          <w:szCs w:val="24"/>
        </w:rPr>
        <w:tab/>
        <w:t>Key to third instar larvae of major economically important fruit-infesting genera of Tephritidae</w:t>
      </w:r>
    </w:p>
    <w:p w14:paraId="7CF93CA3" w14:textId="77777777" w:rsidR="00471E14" w:rsidRDefault="0099106F" w:rsidP="00810564">
      <w:pPr>
        <w:pStyle w:val="IPPParagraphnumbering"/>
      </w:pPr>
      <w:r>
        <w:t xml:space="preserve">Key adapted from White and Elson-Harris (1992), Carroll </w:t>
      </w:r>
      <w:r>
        <w:rPr>
          <w:i/>
        </w:rPr>
        <w:t>et al</w:t>
      </w:r>
      <w:r>
        <w:t xml:space="preserve">. (2004) and Frías </w:t>
      </w:r>
      <w:r>
        <w:rPr>
          <w:i/>
        </w:rPr>
        <w:t>et al</w:t>
      </w:r>
      <w:r>
        <w:t>. (2006, 2008).</w:t>
      </w:r>
    </w:p>
    <w:p w14:paraId="00983D51" w14:textId="77777777" w:rsidR="00471E14" w:rsidRDefault="0099106F" w:rsidP="009148A8">
      <w:pPr>
        <w:pStyle w:val="IPPParagraphnumbering"/>
      </w:pPr>
      <w:r>
        <w:t>1. Posterior spiracles prominently raised from body surface; or most body segments with conspicuous setae or processes; or posterior spiracular openings sinuous.</w:t>
      </w:r>
      <w:r>
        <w:tab/>
      </w:r>
      <w:r>
        <w:rPr>
          <w:b/>
        </w:rPr>
        <w:t>Not Tephritidae</w:t>
      </w:r>
      <w:r>
        <w:t xml:space="preserve"> </w:t>
      </w:r>
    </w:p>
    <w:p w14:paraId="6B7508E4" w14:textId="7D583A71" w:rsidR="00471E14" w:rsidRDefault="0099106F" w:rsidP="009148A8">
      <w:pPr>
        <w:pStyle w:val="IPPParagraphnumbering"/>
        <w:rPr>
          <w:b/>
        </w:rPr>
      </w:pPr>
      <w:r>
        <w:t xml:space="preserve">– Posterior spiracles nearly flush with body surface; tubercles, if present, on caudal segment only; with 3 posterior spiracular slits, elongate or oval, usually subparallel (Figures </w:t>
      </w:r>
      <w:r w:rsidR="00D207AC">
        <w:t>2-A and 10-A</w:t>
      </w:r>
      <w:r>
        <w:t xml:space="preserve">) </w:t>
      </w:r>
      <w:r>
        <w:rPr>
          <w:b/>
        </w:rPr>
        <w:t>Tephritidae        … 2</w:t>
      </w:r>
    </w:p>
    <w:p w14:paraId="03E30313" w14:textId="44CF3FEC" w:rsidR="00471E14" w:rsidRDefault="0099106F" w:rsidP="009148A8">
      <w:pPr>
        <w:pStyle w:val="IPPParagraphnumbering"/>
        <w:rPr>
          <w:b/>
          <w:i/>
        </w:rPr>
      </w:pPr>
      <w:r>
        <w:t xml:space="preserve">2. Caudal ridge present (Figure </w:t>
      </w:r>
      <w:r w:rsidR="00CD0EF7">
        <w:t>10-A</w:t>
      </w:r>
      <w:r>
        <w:t xml:space="preserve">). Mouthhook with elongate posterior neck, with or without subapical tooth (Figure </w:t>
      </w:r>
      <w:r w:rsidR="005C74C4">
        <w:t>11-A</w:t>
      </w:r>
      <w:r>
        <w:t xml:space="preserve">). Dental sclerite present. Dorsolateral sensilla parallel to maxillary palpus (Figure </w:t>
      </w:r>
      <w:r w:rsidR="005C74C4">
        <w:t>12 (A and B)</w:t>
      </w:r>
      <w:r>
        <w:t xml:space="preserve">) (Dacinae) .... </w:t>
      </w:r>
      <w:r>
        <w:rPr>
          <w:b/>
          <w:i/>
        </w:rPr>
        <w:t>Ceratitis</w:t>
      </w:r>
      <w:r>
        <w:rPr>
          <w:b/>
        </w:rPr>
        <w:t xml:space="preserve">, </w:t>
      </w:r>
      <w:r>
        <w:rPr>
          <w:b/>
          <w:i/>
        </w:rPr>
        <w:t>Bactrocera</w:t>
      </w:r>
      <w:r>
        <w:rPr>
          <w:b/>
        </w:rPr>
        <w:t xml:space="preserve">, </w:t>
      </w:r>
      <w:r>
        <w:rPr>
          <w:b/>
          <w:i/>
        </w:rPr>
        <w:t>Dacus</w:t>
      </w:r>
      <w:r>
        <w:rPr>
          <w:b/>
        </w:rPr>
        <w:t xml:space="preserve">, </w:t>
      </w:r>
      <w:r>
        <w:rPr>
          <w:b/>
          <w:i/>
        </w:rPr>
        <w:t>Zeugodacus</w:t>
      </w:r>
    </w:p>
    <w:p w14:paraId="36F9B2AA" w14:textId="5B3F94F9" w:rsidR="00471E14" w:rsidRPr="00356FD9" w:rsidRDefault="0099106F" w:rsidP="009148A8">
      <w:pPr>
        <w:pStyle w:val="IPPParagraphnumbering"/>
        <w:rPr>
          <w:b/>
        </w:rPr>
      </w:pPr>
      <w:r w:rsidRPr="00356FD9">
        <w:t xml:space="preserve">– Caudal ridge absent (Figure </w:t>
      </w:r>
      <w:r w:rsidR="004C42FD">
        <w:t>10-B</w:t>
      </w:r>
      <w:r w:rsidRPr="00356FD9">
        <w:t xml:space="preserve">). Mouthhook posteriorly truncate, without subapical tooth. Dental sclerite absent (Figure </w:t>
      </w:r>
      <w:r w:rsidR="004C42FD">
        <w:t>11-B</w:t>
      </w:r>
      <w:r w:rsidRPr="00356FD9">
        <w:t xml:space="preserve">). Dorsolateral sensilla perpendicular to or at oblique angle to maxillary palpus (Figure </w:t>
      </w:r>
      <w:r w:rsidR="004C42FD">
        <w:t>12-C</w:t>
      </w:r>
      <w:r w:rsidRPr="00356FD9">
        <w:t xml:space="preserve">) (Trypetinae) ….. </w:t>
      </w:r>
      <w:r w:rsidRPr="00356FD9">
        <w:rPr>
          <w:b/>
        </w:rPr>
        <w:t>3</w:t>
      </w:r>
    </w:p>
    <w:p w14:paraId="2447F788" w14:textId="0E252F31" w:rsidR="00471E14" w:rsidRPr="00356FD9" w:rsidRDefault="0099106F" w:rsidP="009148A8">
      <w:pPr>
        <w:pStyle w:val="IPPParagraphnumbering"/>
        <w:rPr>
          <w:b/>
          <w:i/>
        </w:rPr>
      </w:pPr>
      <w:r w:rsidRPr="00356FD9">
        <w:rPr>
          <w:rFonts w:eastAsia="Gungsuh"/>
        </w:rPr>
        <w:t xml:space="preserve">3. Preoral teeth present posterior to preoral organ (Figures </w:t>
      </w:r>
      <w:r w:rsidR="00F979B6">
        <w:rPr>
          <w:rFonts w:eastAsia="Gungsuh"/>
        </w:rPr>
        <w:t>13 (A and B)</w:t>
      </w:r>
      <w:r w:rsidRPr="00356FD9">
        <w:rPr>
          <w:rFonts w:eastAsia="Gungsuh"/>
        </w:rPr>
        <w:t xml:space="preserve">). Oral ridges few (≤7) and short, accessory plates usually absent (Figure </w:t>
      </w:r>
      <w:r w:rsidR="00F979B6">
        <w:rPr>
          <w:rFonts w:eastAsia="Gungsuh"/>
        </w:rPr>
        <w:t>13-B</w:t>
      </w:r>
      <w:r w:rsidRPr="00356FD9">
        <w:rPr>
          <w:rFonts w:eastAsia="Gungsuh"/>
        </w:rPr>
        <w:t xml:space="preserve">). Anterior spiracle variously shaped, not bilobed, usually with tubules in at least two rows (Figures </w:t>
      </w:r>
      <w:r w:rsidR="00EA7139">
        <w:rPr>
          <w:rFonts w:eastAsia="Gungsuh"/>
        </w:rPr>
        <w:t>14 (A and B</w:t>
      </w:r>
      <w:r w:rsidRPr="00356FD9">
        <w:rPr>
          <w:rFonts w:eastAsia="Gungsuh"/>
        </w:rPr>
        <w:t>)</w:t>
      </w:r>
      <w:r w:rsidR="00EA7139">
        <w:rPr>
          <w:rFonts w:eastAsia="Gungsuh"/>
        </w:rPr>
        <w:t>)</w:t>
      </w:r>
      <w:r w:rsidRPr="00356FD9">
        <w:rPr>
          <w:rFonts w:eastAsia="Gungsuh"/>
        </w:rPr>
        <w:t xml:space="preserve">. Caudal tubercles prominently developed (Figure </w:t>
      </w:r>
      <w:r w:rsidR="00EA7139">
        <w:rPr>
          <w:rFonts w:eastAsia="Gungsuh"/>
        </w:rPr>
        <w:t>15</w:t>
      </w:r>
      <w:r w:rsidR="00A67BFB">
        <w:rPr>
          <w:rFonts w:eastAsia="Gungsuh"/>
        </w:rPr>
        <w:t xml:space="preserve"> (A and B)</w:t>
      </w:r>
      <w:r w:rsidRPr="00356FD9">
        <w:rPr>
          <w:rFonts w:eastAsia="Gungsuh"/>
        </w:rPr>
        <w:t xml:space="preserve">) … </w:t>
      </w:r>
      <w:r w:rsidRPr="00356FD9">
        <w:rPr>
          <w:b/>
          <w:i/>
        </w:rPr>
        <w:t>Carpomya</w:t>
      </w:r>
      <w:r w:rsidRPr="00356FD9">
        <w:rPr>
          <w:b/>
        </w:rPr>
        <w:t xml:space="preserve">, </w:t>
      </w:r>
      <w:r w:rsidRPr="00356FD9">
        <w:rPr>
          <w:b/>
          <w:i/>
        </w:rPr>
        <w:t>Rhagoletis</w:t>
      </w:r>
      <w:r w:rsidRPr="00356FD9">
        <w:rPr>
          <w:b/>
        </w:rPr>
        <w:t>,</w:t>
      </w:r>
      <w:r w:rsidRPr="00356FD9">
        <w:rPr>
          <w:b/>
          <w:i/>
        </w:rPr>
        <w:t xml:space="preserve"> Zonosemata</w:t>
      </w:r>
    </w:p>
    <w:p w14:paraId="77EFD2BA" w14:textId="2089CEC6" w:rsidR="00471E14" w:rsidRPr="00356FD9" w:rsidRDefault="0099106F" w:rsidP="009148A8">
      <w:pPr>
        <w:pStyle w:val="IPPParagraphnumbering"/>
        <w:rPr>
          <w:b/>
          <w:color w:val="000000"/>
        </w:rPr>
      </w:pPr>
      <w:r w:rsidRPr="00356FD9">
        <w:rPr>
          <w:rFonts w:eastAsia="Gungsuh"/>
        </w:rPr>
        <w:t xml:space="preserve">– Preoral teeth absent (Figure </w:t>
      </w:r>
      <w:r w:rsidR="00951292">
        <w:rPr>
          <w:rFonts w:eastAsia="Gungsuh"/>
        </w:rPr>
        <w:t>13-C</w:t>
      </w:r>
      <w:r w:rsidRPr="00356FD9">
        <w:rPr>
          <w:rFonts w:eastAsia="Gungsuh"/>
        </w:rPr>
        <w:t xml:space="preserve">). Oral ridges numerous (≥7) and long, accessory plates present (Figure </w:t>
      </w:r>
      <w:r w:rsidR="00951292">
        <w:rPr>
          <w:rFonts w:eastAsia="Gungsuh"/>
        </w:rPr>
        <w:t>13-C</w:t>
      </w:r>
      <w:r w:rsidRPr="00356FD9">
        <w:rPr>
          <w:rFonts w:eastAsia="Gungsuh"/>
        </w:rPr>
        <w:t xml:space="preserve">). Anterior spiracle usually bilobed, tubules usually in single row (Figure </w:t>
      </w:r>
      <w:r w:rsidR="00951292">
        <w:rPr>
          <w:rFonts w:eastAsia="Gungsuh"/>
        </w:rPr>
        <w:t>14(C and D</w:t>
      </w:r>
      <w:r w:rsidR="00C602F0">
        <w:rPr>
          <w:rFonts w:eastAsia="Gungsuh"/>
        </w:rPr>
        <w:t>)</w:t>
      </w:r>
      <w:r w:rsidRPr="00356FD9">
        <w:rPr>
          <w:rFonts w:eastAsia="Gungsuh"/>
        </w:rPr>
        <w:t>). Caudal tubercles weakly developed (Figure</w:t>
      </w:r>
      <w:r w:rsidR="00C602F0">
        <w:rPr>
          <w:rFonts w:eastAsia="Gungsuh"/>
        </w:rPr>
        <w:t>s</w:t>
      </w:r>
      <w:r w:rsidRPr="00356FD9">
        <w:rPr>
          <w:rFonts w:eastAsia="Gungsuh"/>
        </w:rPr>
        <w:t xml:space="preserve"> </w:t>
      </w:r>
      <w:r w:rsidR="00C602F0">
        <w:rPr>
          <w:rFonts w:eastAsia="Gungsuh"/>
        </w:rPr>
        <w:t>2-A</w:t>
      </w:r>
      <w:r w:rsidR="00786761">
        <w:rPr>
          <w:rFonts w:eastAsia="Gungsuh"/>
        </w:rPr>
        <w:t xml:space="preserve"> and 9-A</w:t>
      </w:r>
      <w:r w:rsidRPr="00356FD9">
        <w:rPr>
          <w:rFonts w:eastAsia="Gungsuh"/>
        </w:rPr>
        <w:t xml:space="preserve">)… </w:t>
      </w:r>
      <w:r w:rsidRPr="00356FD9">
        <w:rPr>
          <w:b/>
          <w:i/>
        </w:rPr>
        <w:t>Anastrepha</w:t>
      </w:r>
    </w:p>
    <w:p w14:paraId="46741DDC" w14:textId="77777777" w:rsidR="00471E14" w:rsidRDefault="0099106F">
      <w:pPr>
        <w:keepNext/>
        <w:pBdr>
          <w:top w:val="nil"/>
          <w:left w:val="nil"/>
          <w:bottom w:val="nil"/>
          <w:right w:val="nil"/>
          <w:between w:val="nil"/>
        </w:pBdr>
        <w:tabs>
          <w:tab w:val="left" w:pos="567"/>
        </w:tabs>
        <w:spacing w:before="120" w:after="120"/>
        <w:ind w:left="567" w:hanging="567"/>
        <w:jc w:val="left"/>
        <w:rPr>
          <w:b/>
          <w:color w:val="000000"/>
          <w:sz w:val="24"/>
          <w:szCs w:val="24"/>
        </w:rPr>
      </w:pPr>
      <w:r>
        <w:rPr>
          <w:b/>
          <w:color w:val="000000"/>
          <w:sz w:val="24"/>
          <w:szCs w:val="24"/>
        </w:rPr>
        <w:t>4.4.2</w:t>
      </w:r>
      <w:r>
        <w:rPr>
          <w:b/>
          <w:color w:val="000000"/>
          <w:sz w:val="24"/>
          <w:szCs w:val="24"/>
        </w:rPr>
        <w:tab/>
        <w:t xml:space="preserve">Key to third instar larvae of major economically important species of </w:t>
      </w:r>
      <w:r>
        <w:rPr>
          <w:b/>
          <w:i/>
          <w:color w:val="000000"/>
          <w:sz w:val="24"/>
          <w:szCs w:val="24"/>
        </w:rPr>
        <w:t>Anastrepha</w:t>
      </w:r>
    </w:p>
    <w:p w14:paraId="6FAA5729" w14:textId="09A39794" w:rsidR="00471E14" w:rsidRPr="00B71B0E" w:rsidRDefault="0099106F" w:rsidP="00810564">
      <w:pPr>
        <w:pStyle w:val="IPPParagraphnumbering"/>
      </w:pPr>
      <w:r>
        <w:t xml:space="preserve">This </w:t>
      </w:r>
      <w:r w:rsidRPr="00B71B0E">
        <w:t xml:space="preserve">key is adapted from Steck </w:t>
      </w:r>
      <w:r w:rsidRPr="00B71B0E">
        <w:rPr>
          <w:i/>
        </w:rPr>
        <w:t>et al</w:t>
      </w:r>
      <w:r w:rsidRPr="00B71B0E">
        <w:t xml:space="preserve">. </w:t>
      </w:r>
      <w:r w:rsidRPr="00913AA9">
        <w:rPr>
          <w:lang w:val="es-CU"/>
        </w:rPr>
        <w:t xml:space="preserve">(1990), Carroll </w:t>
      </w:r>
      <w:r w:rsidRPr="00913AA9">
        <w:rPr>
          <w:i/>
          <w:lang w:val="es-CU"/>
        </w:rPr>
        <w:t>et al</w:t>
      </w:r>
      <w:r w:rsidRPr="00913AA9">
        <w:rPr>
          <w:lang w:val="es-CU"/>
        </w:rPr>
        <w:t xml:space="preserve">. (2004), Rodriguez </w:t>
      </w:r>
      <w:r w:rsidRPr="00913AA9">
        <w:rPr>
          <w:i/>
          <w:lang w:val="es-CU"/>
        </w:rPr>
        <w:t>et al</w:t>
      </w:r>
      <w:r w:rsidRPr="00913AA9">
        <w:rPr>
          <w:lang w:val="es-CU"/>
        </w:rPr>
        <w:t xml:space="preserve">. (2021), Rodriguez (2022), and Martinez Alava (2022). </w:t>
      </w:r>
      <w:r w:rsidRPr="00B71B0E">
        <w:t xml:space="preserve">See Table 4 for diagnostic morphological characters of third instar larvae of major </w:t>
      </w:r>
      <w:r w:rsidRPr="00B71B0E">
        <w:rPr>
          <w:i/>
        </w:rPr>
        <w:t>Anastrepha</w:t>
      </w:r>
      <w:r w:rsidRPr="00B71B0E">
        <w:t xml:space="preserve"> pest species. Geographic distribution and hosts are quoted only as additional information of the common source of origin for the species. Note that larvae of members of the </w:t>
      </w:r>
      <w:r w:rsidRPr="00B71B0E">
        <w:rPr>
          <w:i/>
        </w:rPr>
        <w:t>Anastrepha fraterculus</w:t>
      </w:r>
      <w:r w:rsidRPr="00B71B0E">
        <w:t xml:space="preserve"> species group (i.e., </w:t>
      </w:r>
      <w:r w:rsidRPr="00B71B0E">
        <w:rPr>
          <w:i/>
        </w:rPr>
        <w:t>A. fraterculus</w:t>
      </w:r>
      <w:r w:rsidRPr="00B71B0E">
        <w:t xml:space="preserve">, </w:t>
      </w:r>
      <w:r w:rsidRPr="00B71B0E">
        <w:rPr>
          <w:i/>
        </w:rPr>
        <w:t>A. ludens</w:t>
      </w:r>
      <w:r w:rsidRPr="00B71B0E">
        <w:t xml:space="preserve">, </w:t>
      </w:r>
      <w:r w:rsidRPr="00B71B0E">
        <w:rPr>
          <w:i/>
        </w:rPr>
        <w:t>A. obliqua</w:t>
      </w:r>
      <w:r w:rsidRPr="00B71B0E">
        <w:t xml:space="preserve">, and </w:t>
      </w:r>
      <w:r w:rsidRPr="00B71B0E">
        <w:rPr>
          <w:i/>
        </w:rPr>
        <w:t>A. suspensa</w:t>
      </w:r>
      <w:r w:rsidRPr="00B71B0E">
        <w:t xml:space="preserve"> in the protocol) generally overlap in all key character states and many individual specimens cannot reliably be distinguished based on morphology alone. </w:t>
      </w:r>
      <w:r w:rsidR="00C765D0" w:rsidRPr="00B71B0E">
        <w:rPr>
          <w:highlight w:val="white"/>
        </w:rPr>
        <w:t>The</w:t>
      </w:r>
      <w:r w:rsidRPr="00B71B0E">
        <w:rPr>
          <w:highlight w:val="white"/>
        </w:rPr>
        <w:t xml:space="preserve"> key </w:t>
      </w:r>
      <w:r w:rsidR="00343B38" w:rsidRPr="00B71B0E">
        <w:rPr>
          <w:highlight w:val="white"/>
        </w:rPr>
        <w:t>only includes</w:t>
      </w:r>
      <w:r w:rsidR="00636B1B" w:rsidRPr="00B71B0E">
        <w:rPr>
          <w:highlight w:val="white"/>
        </w:rPr>
        <w:t xml:space="preserve"> character states that </w:t>
      </w:r>
      <w:r w:rsidR="00FC6DA7" w:rsidRPr="00B71B0E">
        <w:rPr>
          <w:highlight w:val="white"/>
        </w:rPr>
        <w:t xml:space="preserve">represent the common </w:t>
      </w:r>
      <w:r w:rsidR="001704D2" w:rsidRPr="00B71B0E">
        <w:rPr>
          <w:highlight w:val="white"/>
        </w:rPr>
        <w:t xml:space="preserve">features for each species (i.e., </w:t>
      </w:r>
      <w:r w:rsidR="00C66805" w:rsidRPr="00B71B0E">
        <w:rPr>
          <w:highlight w:val="white"/>
        </w:rPr>
        <w:t xml:space="preserve">states </w:t>
      </w:r>
      <w:r w:rsidR="001704D2" w:rsidRPr="00B71B0E">
        <w:rPr>
          <w:highlight w:val="white"/>
        </w:rPr>
        <w:t>present in 95% of specimens exam</w:t>
      </w:r>
      <w:r w:rsidR="009A229C" w:rsidRPr="00B71B0E">
        <w:rPr>
          <w:highlight w:val="white"/>
        </w:rPr>
        <w:t xml:space="preserve">ined for </w:t>
      </w:r>
      <w:r w:rsidR="00C66805" w:rsidRPr="00B71B0E">
        <w:rPr>
          <w:highlight w:val="white"/>
        </w:rPr>
        <w:t xml:space="preserve">a </w:t>
      </w:r>
      <w:r w:rsidR="009A229C" w:rsidRPr="00B71B0E">
        <w:rPr>
          <w:highlight w:val="white"/>
        </w:rPr>
        <w:t>species</w:t>
      </w:r>
      <w:r w:rsidR="00666511" w:rsidRPr="00B71B0E">
        <w:rPr>
          <w:highlight w:val="white"/>
        </w:rPr>
        <w:t xml:space="preserve"> but not fixed to a species</w:t>
      </w:r>
      <w:r w:rsidR="009A229C" w:rsidRPr="00B71B0E">
        <w:rPr>
          <w:highlight w:val="white"/>
        </w:rPr>
        <w:t>)</w:t>
      </w:r>
      <w:r w:rsidRPr="00B71B0E">
        <w:rPr>
          <w:highlight w:val="white"/>
        </w:rPr>
        <w:t xml:space="preserve">. </w:t>
      </w:r>
      <w:r w:rsidR="009A229C" w:rsidRPr="00B71B0E">
        <w:rPr>
          <w:highlight w:val="white"/>
        </w:rPr>
        <w:t xml:space="preserve">The key does </w:t>
      </w:r>
      <w:r w:rsidRPr="00B71B0E">
        <w:rPr>
          <w:highlight w:val="white"/>
        </w:rPr>
        <w:t xml:space="preserve">not include numerous additional couplets to accommodate those specimens which displayed extreme character state values. In view of the difficulties, </w:t>
      </w:r>
      <w:r w:rsidR="00A31264" w:rsidRPr="00B71B0E">
        <w:rPr>
          <w:highlight w:val="white"/>
        </w:rPr>
        <w:t xml:space="preserve">a </w:t>
      </w:r>
      <w:r w:rsidRPr="00B71B0E">
        <w:rPr>
          <w:highlight w:val="white"/>
        </w:rPr>
        <w:t xml:space="preserve">determination based on a single specimen </w:t>
      </w:r>
      <w:r w:rsidR="00A31264" w:rsidRPr="00B71B0E">
        <w:rPr>
          <w:highlight w:val="white"/>
        </w:rPr>
        <w:t>should b</w:t>
      </w:r>
      <w:r w:rsidR="00D32425" w:rsidRPr="00B71B0E">
        <w:rPr>
          <w:highlight w:val="white"/>
        </w:rPr>
        <w:t>e</w:t>
      </w:r>
      <w:r w:rsidR="00A31264" w:rsidRPr="00B71B0E">
        <w:rPr>
          <w:highlight w:val="white"/>
        </w:rPr>
        <w:t xml:space="preserve"> treated as </w:t>
      </w:r>
      <w:r w:rsidR="00F02559" w:rsidRPr="00B71B0E">
        <w:rPr>
          <w:highlight w:val="white"/>
        </w:rPr>
        <w:t>supportive information</w:t>
      </w:r>
      <w:r w:rsidR="004D7188" w:rsidRPr="00B71B0E">
        <w:rPr>
          <w:highlight w:val="white"/>
        </w:rPr>
        <w:t xml:space="preserve"> in a diagnosis but not a final identification</w:t>
      </w:r>
      <w:r w:rsidRPr="00B71B0E">
        <w:rPr>
          <w:highlight w:val="white"/>
        </w:rPr>
        <w:t xml:space="preserve">. When several specimens of a collection are examined, the likelihood of a correct determination is greatly increased. </w:t>
      </w:r>
    </w:p>
    <w:p w14:paraId="74DEC2B7" w14:textId="2C8F15FB" w:rsidR="00471E14" w:rsidRPr="00B71B0E" w:rsidRDefault="0099106F" w:rsidP="009148A8">
      <w:pPr>
        <w:pStyle w:val="IPPParagraphnumbering"/>
        <w:rPr>
          <w:b/>
        </w:rPr>
      </w:pPr>
      <w:r w:rsidRPr="00B71B0E">
        <w:t xml:space="preserve">1. Anterior spiracle </w:t>
      </w:r>
      <w:r w:rsidR="00B8619D" w:rsidRPr="00B71B0E">
        <w:t xml:space="preserve">(Figures 2-B, 14) </w:t>
      </w:r>
      <w:r w:rsidRPr="00B71B0E">
        <w:t xml:space="preserve">with ≥22 tubules </w:t>
      </w:r>
      <w:r w:rsidR="00B8619D" w:rsidRPr="00B71B0E">
        <w:t>(Figure 19(A,C))</w:t>
      </w:r>
      <w:r w:rsidRPr="00B71B0E">
        <w:t xml:space="preserve">... </w:t>
      </w:r>
      <w:r w:rsidRPr="00B71B0E">
        <w:rPr>
          <w:b/>
        </w:rPr>
        <w:t>2</w:t>
      </w:r>
    </w:p>
    <w:p w14:paraId="20E0EC61" w14:textId="04C1B452" w:rsidR="00471E14" w:rsidRPr="00B71B0E" w:rsidRDefault="0099106F" w:rsidP="009148A8">
      <w:pPr>
        <w:pStyle w:val="IPPParagraphnumbering"/>
      </w:pPr>
      <w:r w:rsidRPr="00B71B0E">
        <w:t xml:space="preserve">–  Anterior spiracle </w:t>
      </w:r>
      <w:r w:rsidR="00B8619D" w:rsidRPr="00B71B0E">
        <w:t xml:space="preserve">(Figures 2-B, 14) </w:t>
      </w:r>
      <w:r w:rsidRPr="00B71B0E">
        <w:t xml:space="preserve">with ≤22 tubules </w:t>
      </w:r>
      <w:r w:rsidR="00721B80" w:rsidRPr="00B71B0E">
        <w:t>(Figure 19(B, D-H))</w:t>
      </w:r>
      <w:r w:rsidRPr="00B71B0E">
        <w:t xml:space="preserve">... </w:t>
      </w:r>
      <w:r w:rsidRPr="00B71B0E">
        <w:rPr>
          <w:b/>
        </w:rPr>
        <w:t>3</w:t>
      </w:r>
      <w:r w:rsidRPr="00B71B0E">
        <w:t xml:space="preserve"> </w:t>
      </w:r>
    </w:p>
    <w:p w14:paraId="6FD90F7D" w14:textId="702FA5EB" w:rsidR="00471E14" w:rsidRDefault="0099106F" w:rsidP="009148A8">
      <w:pPr>
        <w:pStyle w:val="IPPParagraphnumbering"/>
        <w:rPr>
          <w:b/>
          <w:i/>
        </w:rPr>
      </w:pPr>
      <w:r w:rsidRPr="00B71B0E">
        <w:t xml:space="preserve">2. Anterior spiracle with 22–30 tubules; caudal tubercles strongly reduced; posterior spiracular </w:t>
      </w:r>
      <w:r w:rsidRPr="00356FD9">
        <w:t xml:space="preserve">processes reduced (SP-1 and SP-IV with 2–7 trunks, basal width ca. 1/10 length spiracular slits, and processes </w:t>
      </w:r>
      <w:r>
        <w:t>short) (Main hosts: papaya (</w:t>
      </w:r>
      <w:r>
        <w:rPr>
          <w:i/>
        </w:rPr>
        <w:t>Carica рaрaya</w:t>
      </w:r>
      <w:r>
        <w:t xml:space="preserve">); distribution: tropical Americas and USA: Florida.) (Figures </w:t>
      </w:r>
      <w:r w:rsidR="00756810">
        <w:t>16-A</w:t>
      </w:r>
      <w:r>
        <w:t xml:space="preserve">, </w:t>
      </w:r>
      <w:r w:rsidR="00756810">
        <w:t>17-A</w:t>
      </w:r>
      <w:r>
        <w:t xml:space="preserve">, </w:t>
      </w:r>
      <w:r w:rsidR="00756810">
        <w:t>18-A</w:t>
      </w:r>
      <w:r>
        <w:t xml:space="preserve">, </w:t>
      </w:r>
      <w:r w:rsidR="00756810">
        <w:t>19-A</w:t>
      </w:r>
      <w:r>
        <w:t xml:space="preserve">, </w:t>
      </w:r>
      <w:r w:rsidR="002C0193">
        <w:t>20-A</w:t>
      </w:r>
      <w:r>
        <w:t xml:space="preserve">, </w:t>
      </w:r>
      <w:r w:rsidR="002C0193">
        <w:t>21-A</w:t>
      </w:r>
      <w:r>
        <w:t xml:space="preserve">) ... </w:t>
      </w:r>
      <w:r>
        <w:rPr>
          <w:b/>
          <w:i/>
        </w:rPr>
        <w:t>Anastrepha curvicauda</w:t>
      </w:r>
    </w:p>
    <w:p w14:paraId="75342ED6" w14:textId="33B0C539" w:rsidR="00471E14" w:rsidRDefault="0099106F" w:rsidP="009148A8">
      <w:pPr>
        <w:pStyle w:val="IPPParagraphnumbering"/>
        <w:rPr>
          <w:b/>
          <w:i/>
        </w:rPr>
      </w:pPr>
      <w:r>
        <w:t xml:space="preserve">– Anterior spiracles with 28-37 tubules; caudal sensilla normally developed; posterior spiracular processes normally developed (SP-1 and SP-IV with 11-22 trunks, basal width ca. 1/4–1/3 length of spiracular slits, and processes long) (Main hosts: Cucurbitaceae; distribution: Panama to Argentina.) (Figures </w:t>
      </w:r>
      <w:r w:rsidR="0046616F">
        <w:t>16-</w:t>
      </w:r>
      <w:r w:rsidR="00374CEC">
        <w:t>C</w:t>
      </w:r>
      <w:r w:rsidR="0046616F">
        <w:t>, 17-</w:t>
      </w:r>
      <w:r w:rsidR="00374CEC">
        <w:t>C</w:t>
      </w:r>
      <w:r w:rsidR="0046616F">
        <w:t>, 18-</w:t>
      </w:r>
      <w:r w:rsidR="00374CEC">
        <w:t>C</w:t>
      </w:r>
      <w:r w:rsidR="0046616F">
        <w:t>, 19-</w:t>
      </w:r>
      <w:r w:rsidR="00374CEC">
        <w:t>C</w:t>
      </w:r>
      <w:r w:rsidR="0046616F">
        <w:t>, 20-</w:t>
      </w:r>
      <w:r w:rsidR="00374CEC">
        <w:t>C</w:t>
      </w:r>
      <w:r w:rsidR="0046616F">
        <w:t>, 21-</w:t>
      </w:r>
      <w:r w:rsidR="00374CEC">
        <w:t>C, 22(A and B)</w:t>
      </w:r>
      <w:r w:rsidR="007E27A6">
        <w:t>)</w:t>
      </w:r>
      <w:r>
        <w:t xml:space="preserve"> ... </w:t>
      </w:r>
      <w:r>
        <w:rPr>
          <w:b/>
          <w:i/>
        </w:rPr>
        <w:t>Anastrepha grandis</w:t>
      </w:r>
    </w:p>
    <w:p w14:paraId="6DF5AE77" w14:textId="744674A9" w:rsidR="00471E14" w:rsidRDefault="0099106F" w:rsidP="009148A8">
      <w:pPr>
        <w:pStyle w:val="IPPParagraphnumbering"/>
      </w:pPr>
      <w:r>
        <w:t xml:space="preserve">3. Dorsal spinules (Figure </w:t>
      </w:r>
      <w:r w:rsidR="007E27A6">
        <w:t>23</w:t>
      </w:r>
      <w:r>
        <w:t xml:space="preserve">) present on one or more abdominal segments … </w:t>
      </w:r>
      <w:r>
        <w:rPr>
          <w:b/>
        </w:rPr>
        <w:t>4</w:t>
      </w:r>
      <w:r>
        <w:t xml:space="preserve"> </w:t>
      </w:r>
    </w:p>
    <w:p w14:paraId="05330CA3" w14:textId="77777777" w:rsidR="00471E14" w:rsidRDefault="0099106F" w:rsidP="009148A8">
      <w:pPr>
        <w:pStyle w:val="IPPParagraphnumbering"/>
      </w:pPr>
      <w:r>
        <w:t xml:space="preserve">– Dorsal spinules not present on abdominal segments … </w:t>
      </w:r>
      <w:r>
        <w:rPr>
          <w:b/>
        </w:rPr>
        <w:t>5</w:t>
      </w:r>
      <w:r>
        <w:t xml:space="preserve"> </w:t>
      </w:r>
    </w:p>
    <w:p w14:paraId="12787101" w14:textId="6C0D0E3C" w:rsidR="00471E14" w:rsidRDefault="0099106F" w:rsidP="009148A8">
      <w:pPr>
        <w:pStyle w:val="IPPParagraphnumbering"/>
        <w:rPr>
          <w:b/>
          <w:i/>
        </w:rPr>
      </w:pPr>
      <w:r>
        <w:t xml:space="preserve">4. Oral ridges 6–10; preoral organ with 4 or more sensilla; dorsal posterior spiracular processes (SP-I) 13–22 with medium to wide bases. (Main hosts: fruits of Myrtaceae; distribution: tropical Americas.) (Figures </w:t>
      </w:r>
      <w:r w:rsidR="002E74DB">
        <w:t xml:space="preserve">16-G, 17-G, 18-G, 19-G, 20-G, 21-G </w:t>
      </w:r>
      <w:r>
        <w:t xml:space="preserve">64) … </w:t>
      </w:r>
      <w:r>
        <w:rPr>
          <w:b/>
          <w:i/>
        </w:rPr>
        <w:t>Anastrepha striata</w:t>
      </w:r>
    </w:p>
    <w:p w14:paraId="3193F826" w14:textId="10578C0B" w:rsidR="00471E14" w:rsidRDefault="0099106F" w:rsidP="009148A8">
      <w:pPr>
        <w:pStyle w:val="IPPParagraphnumbering"/>
        <w:rPr>
          <w:b/>
        </w:rPr>
      </w:pPr>
      <w:r>
        <w:t xml:space="preserve">– Oral ridges 11–17; preoral organ with 3 sensilla; dorsal posterior spiracular processes (SP-I) 5–15 with narrow bases.  (Main hosts: </w:t>
      </w:r>
      <w:r>
        <w:rPr>
          <w:i/>
        </w:rPr>
        <w:t xml:space="preserve">Citrus </w:t>
      </w:r>
      <w:r>
        <w:t xml:space="preserve">spp. (Rutaceae) or </w:t>
      </w:r>
      <w:r>
        <w:rPr>
          <w:i/>
        </w:rPr>
        <w:t>Mangifera indica</w:t>
      </w:r>
      <w:r>
        <w:t xml:space="preserve">; distribution: USA: southern Texas to Panama.) (Figures </w:t>
      </w:r>
      <w:r w:rsidR="00A46649">
        <w:t>11-B</w:t>
      </w:r>
      <w:r>
        <w:t xml:space="preserve">, </w:t>
      </w:r>
      <w:r w:rsidR="00B7518D">
        <w:t>12-C</w:t>
      </w:r>
      <w:r>
        <w:t xml:space="preserve">, </w:t>
      </w:r>
      <w:r w:rsidR="00B7518D">
        <w:t>14(C and D)</w:t>
      </w:r>
      <w:r>
        <w:t xml:space="preserve">, </w:t>
      </w:r>
      <w:r w:rsidR="009F069F">
        <w:t>23-B</w:t>
      </w:r>
      <w:r>
        <w:t xml:space="preserve">, </w:t>
      </w:r>
      <w:r w:rsidR="009F069F">
        <w:t>16-D</w:t>
      </w:r>
      <w:r>
        <w:t xml:space="preserve">, </w:t>
      </w:r>
      <w:r w:rsidR="003A27D7">
        <w:t>17-D</w:t>
      </w:r>
      <w:r>
        <w:t xml:space="preserve">, </w:t>
      </w:r>
      <w:r w:rsidR="003A27D7">
        <w:t>18-D</w:t>
      </w:r>
      <w:r>
        <w:t xml:space="preserve">, </w:t>
      </w:r>
      <w:r w:rsidR="00792F44">
        <w:t>19-D</w:t>
      </w:r>
      <w:r>
        <w:t xml:space="preserve">, </w:t>
      </w:r>
      <w:r w:rsidR="00792F44">
        <w:t>20-D</w:t>
      </w:r>
      <w:r>
        <w:t xml:space="preserve">, </w:t>
      </w:r>
      <w:r w:rsidR="00792F44">
        <w:t>21-D</w:t>
      </w:r>
      <w:r>
        <w:t xml:space="preserve">) … </w:t>
      </w:r>
      <w:r>
        <w:rPr>
          <w:b/>
          <w:i/>
        </w:rPr>
        <w:t xml:space="preserve">Anastrepha ludens </w:t>
      </w:r>
      <w:r>
        <w:rPr>
          <w:b/>
        </w:rPr>
        <w:t>(in part)</w:t>
      </w:r>
    </w:p>
    <w:p w14:paraId="14A399E8" w14:textId="5D04EB58" w:rsidR="00471E14" w:rsidRDefault="0099106F" w:rsidP="009148A8">
      <w:pPr>
        <w:pStyle w:val="IPPParagraphnumbering"/>
        <w:rPr>
          <w:b/>
          <w:i/>
        </w:rPr>
      </w:pPr>
      <w:r>
        <w:t xml:space="preserve">5. Ventral surface of mouthhook rough (SEM required to observe) (Main hosts: Sapotaceae; distribution: tropical Americas.) (Figures </w:t>
      </w:r>
      <w:r w:rsidR="00293929">
        <w:t>16-F</w:t>
      </w:r>
      <w:r>
        <w:t xml:space="preserve">, </w:t>
      </w:r>
      <w:r w:rsidR="00293929">
        <w:t>17-F</w:t>
      </w:r>
      <w:r>
        <w:t xml:space="preserve">, </w:t>
      </w:r>
      <w:r w:rsidR="008E29A8">
        <w:t>18-F</w:t>
      </w:r>
      <w:r>
        <w:t xml:space="preserve">, </w:t>
      </w:r>
      <w:r w:rsidR="008E29A8">
        <w:t>19-F</w:t>
      </w:r>
      <w:r>
        <w:t xml:space="preserve">, </w:t>
      </w:r>
      <w:r w:rsidR="008E29A8">
        <w:t>20-F</w:t>
      </w:r>
      <w:r>
        <w:t xml:space="preserve">, </w:t>
      </w:r>
      <w:r w:rsidR="0045736B">
        <w:t>21-F</w:t>
      </w:r>
      <w:r>
        <w:t>) …</w:t>
      </w:r>
      <w:r>
        <w:rPr>
          <w:i/>
        </w:rPr>
        <w:t xml:space="preserve"> </w:t>
      </w:r>
      <w:r>
        <w:rPr>
          <w:b/>
          <w:i/>
        </w:rPr>
        <w:t>Anastrepha serpentina</w:t>
      </w:r>
    </w:p>
    <w:p w14:paraId="6354136C" w14:textId="77777777" w:rsidR="00471E14" w:rsidRDefault="0099106F" w:rsidP="009148A8">
      <w:pPr>
        <w:pStyle w:val="IPPParagraphnumbering"/>
      </w:pPr>
      <w:r>
        <w:t xml:space="preserve">– Ventral surface of mouthhook smooth … 6 </w:t>
      </w:r>
    </w:p>
    <w:p w14:paraId="2B7A14A4" w14:textId="3744DF86" w:rsidR="00471E14" w:rsidRDefault="0099106F" w:rsidP="009148A8">
      <w:pPr>
        <w:pStyle w:val="IPPParagraphnumbering"/>
        <w:rPr>
          <w:b/>
        </w:rPr>
      </w:pPr>
      <w:r>
        <w:t>6.</w:t>
      </w:r>
      <w:r>
        <w:rPr>
          <w:rFonts w:ascii="Gungsuh" w:hAnsi="Gungsuh" w:cs="Gungsuh"/>
        </w:rPr>
        <w:t xml:space="preserve"> </w:t>
      </w:r>
      <w:r w:rsidRPr="00B351C7">
        <w:t>Accessory plates ≥7 (Polyphagous</w:t>
      </w:r>
      <w:r>
        <w:t xml:space="preserve"> pests, widely distributed (</w:t>
      </w:r>
      <w:r>
        <w:rPr>
          <w:i/>
        </w:rPr>
        <w:t>A.</w:t>
      </w:r>
      <w:r>
        <w:t xml:space="preserve"> </w:t>
      </w:r>
      <w:r>
        <w:rPr>
          <w:i/>
        </w:rPr>
        <w:t>fraterculus</w:t>
      </w:r>
      <w:r>
        <w:t xml:space="preserve"> complex, </w:t>
      </w:r>
      <w:r>
        <w:rPr>
          <w:i/>
        </w:rPr>
        <w:t>A. obliqua</w:t>
      </w:r>
      <w:r>
        <w:t>) or Mexico/Central America (</w:t>
      </w:r>
      <w:r>
        <w:rPr>
          <w:i/>
        </w:rPr>
        <w:t>A. ludens</w:t>
      </w:r>
      <w:r>
        <w:t xml:space="preserve">)) ... </w:t>
      </w:r>
      <w:r>
        <w:rPr>
          <w:b/>
          <w:i/>
        </w:rPr>
        <w:t>Anastrepha fraterculus</w:t>
      </w:r>
      <w:r>
        <w:t xml:space="preserve"> </w:t>
      </w:r>
      <w:r>
        <w:rPr>
          <w:b/>
        </w:rPr>
        <w:t>complex (in part)</w:t>
      </w:r>
      <w:r>
        <w:t xml:space="preserve"> (Figures </w:t>
      </w:r>
      <w:r w:rsidR="004610BF">
        <w:t>16-B, 17-B, 18-B, 19-B, 20-B, 21-B</w:t>
      </w:r>
      <w:r>
        <w:t xml:space="preserve">, </w:t>
      </w:r>
      <w:r w:rsidR="00A66272">
        <w:t>22-C</w:t>
      </w:r>
      <w:r>
        <w:t xml:space="preserve">), </w:t>
      </w:r>
      <w:r>
        <w:rPr>
          <w:b/>
          <w:i/>
        </w:rPr>
        <w:t xml:space="preserve">Anastrepha obliqua </w:t>
      </w:r>
      <w:r>
        <w:t xml:space="preserve">(Figures </w:t>
      </w:r>
      <w:r w:rsidR="00BD2343">
        <w:t>13-C</w:t>
      </w:r>
      <w:r>
        <w:t xml:space="preserve">, </w:t>
      </w:r>
      <w:r w:rsidR="00025FAD">
        <w:t>16-E, 17-E, 18-E, 19-E, 20-E, 21-E</w:t>
      </w:r>
      <w:r>
        <w:t xml:space="preserve">, </w:t>
      </w:r>
      <w:r w:rsidR="00025FAD">
        <w:t>22-D</w:t>
      </w:r>
      <w:r>
        <w:t xml:space="preserve">), </w:t>
      </w:r>
      <w:r>
        <w:rPr>
          <w:b/>
          <w:i/>
        </w:rPr>
        <w:t>Anastrepha ludens</w:t>
      </w:r>
      <w:r>
        <w:rPr>
          <w:b/>
        </w:rPr>
        <w:t xml:space="preserve"> (in part)</w:t>
      </w:r>
    </w:p>
    <w:p w14:paraId="05769B78" w14:textId="10E93876" w:rsidR="00471E14" w:rsidRDefault="0099106F" w:rsidP="009148A8">
      <w:pPr>
        <w:pStyle w:val="IPPParagraphnumbering"/>
      </w:pPr>
      <w:r>
        <w:rPr>
          <w:rFonts w:ascii="Gungsuh" w:hAnsi="Gungsuh" w:cs="Gungsuh"/>
        </w:rPr>
        <w:t xml:space="preserve">– </w:t>
      </w:r>
      <w:r w:rsidRPr="00B351C7">
        <w:t>Accessory plates ≤6</w:t>
      </w:r>
      <w:r>
        <w:rPr>
          <w:rFonts w:ascii="Gungsuh" w:hAnsi="Gungsuh" w:cs="Gungsuh"/>
        </w:rPr>
        <w:t xml:space="preserve"> </w:t>
      </w:r>
      <w:r>
        <w:t>(Polyphagous pests; widely distributed but not Greater Antilles (</w:t>
      </w:r>
      <w:r>
        <w:rPr>
          <w:i/>
        </w:rPr>
        <w:t>A.</w:t>
      </w:r>
      <w:r>
        <w:t xml:space="preserve"> </w:t>
      </w:r>
      <w:r>
        <w:rPr>
          <w:i/>
        </w:rPr>
        <w:t>fraterculus</w:t>
      </w:r>
      <w:r>
        <w:t xml:space="preserve"> complex) or Greater Antilles, USA (Florida) (</w:t>
      </w:r>
      <w:r>
        <w:rPr>
          <w:i/>
        </w:rPr>
        <w:t>A. suspensa</w:t>
      </w:r>
      <w:r>
        <w:t xml:space="preserve">); Figures </w:t>
      </w:r>
      <w:r w:rsidR="004F5EA2">
        <w:t>9</w:t>
      </w:r>
      <w:r w:rsidR="00433764">
        <w:t>(</w:t>
      </w:r>
      <w:r w:rsidR="004F5EA2">
        <w:t>A</w:t>
      </w:r>
      <w:r w:rsidR="00433764">
        <w:t xml:space="preserve"> and </w:t>
      </w:r>
      <w:r w:rsidR="00CB1464">
        <w:t>C</w:t>
      </w:r>
      <w:r w:rsidR="00433764">
        <w:t>)</w:t>
      </w:r>
      <w:r>
        <w:t xml:space="preserve">, </w:t>
      </w:r>
      <w:r w:rsidR="00563D82">
        <w:t>16-</w:t>
      </w:r>
      <w:r w:rsidR="0065379A">
        <w:t>H</w:t>
      </w:r>
      <w:r w:rsidR="00563D82">
        <w:t>, 17-</w:t>
      </w:r>
      <w:r w:rsidR="0065379A">
        <w:t>H</w:t>
      </w:r>
      <w:r w:rsidR="00563D82">
        <w:t>, 18-</w:t>
      </w:r>
      <w:r w:rsidR="0065379A">
        <w:t>H</w:t>
      </w:r>
      <w:r w:rsidR="00563D82">
        <w:t>, 19-</w:t>
      </w:r>
      <w:r w:rsidR="0065379A">
        <w:t>H</w:t>
      </w:r>
      <w:r w:rsidR="00563D82">
        <w:t>, 20-</w:t>
      </w:r>
      <w:r w:rsidR="0065379A">
        <w:t>H</w:t>
      </w:r>
      <w:r w:rsidR="00563D82">
        <w:t>, 21-</w:t>
      </w:r>
      <w:r w:rsidR="0065379A">
        <w:t>H</w:t>
      </w:r>
      <w:r w:rsidR="00563D82">
        <w:t xml:space="preserve">, </w:t>
      </w:r>
      <w:r w:rsidR="00CB1464">
        <w:t>23-A</w:t>
      </w:r>
      <w:r>
        <w:t xml:space="preserve">) ... </w:t>
      </w:r>
      <w:r>
        <w:rPr>
          <w:b/>
          <w:i/>
        </w:rPr>
        <w:t>Anastrepha fraterculus</w:t>
      </w:r>
      <w:r>
        <w:t xml:space="preserve"> </w:t>
      </w:r>
      <w:r>
        <w:rPr>
          <w:b/>
        </w:rPr>
        <w:t xml:space="preserve">complex (in part), </w:t>
      </w:r>
      <w:r>
        <w:rPr>
          <w:b/>
          <w:i/>
        </w:rPr>
        <w:t>Anastrepha suspensa</w:t>
      </w:r>
      <w:r>
        <w:t>.</w:t>
      </w:r>
    </w:p>
    <w:p w14:paraId="3236ED70" w14:textId="77777777" w:rsidR="00471E14" w:rsidRDefault="00471E14">
      <w:pPr>
        <w:tabs>
          <w:tab w:val="right" w:pos="1134"/>
          <w:tab w:val="right" w:pos="9072"/>
          <w:tab w:val="right" w:pos="15309"/>
        </w:tabs>
        <w:spacing w:before="240" w:after="180"/>
        <w:rPr>
          <w:b/>
          <w:i/>
        </w:rPr>
      </w:pPr>
    </w:p>
    <w:p w14:paraId="3890459C" w14:textId="1F887F3E" w:rsidR="00471E14" w:rsidRPr="007708DB" w:rsidRDefault="0099106F" w:rsidP="009148A8">
      <w:pPr>
        <w:tabs>
          <w:tab w:val="right" w:pos="1134"/>
          <w:tab w:val="right" w:pos="9072"/>
          <w:tab w:val="right" w:pos="15309"/>
        </w:tabs>
        <w:spacing w:after="180"/>
        <w:rPr>
          <w:rFonts w:ascii="Arial" w:eastAsia="Arial" w:hAnsi="Arial" w:cs="Arial"/>
          <w:color w:val="000000"/>
          <w:sz w:val="18"/>
          <w:szCs w:val="18"/>
        </w:rPr>
      </w:pPr>
      <w:r>
        <w:t xml:space="preserve">  </w:t>
      </w:r>
      <w:r w:rsidRPr="007708DB">
        <w:rPr>
          <w:rFonts w:ascii="Arial" w:eastAsia="Arial" w:hAnsi="Arial" w:cs="Arial"/>
          <w:b/>
          <w:color w:val="000000"/>
          <w:sz w:val="18"/>
          <w:szCs w:val="18"/>
        </w:rPr>
        <w:t>Table 2.</w:t>
      </w:r>
      <w:r w:rsidRPr="007708DB">
        <w:rPr>
          <w:rFonts w:ascii="Arial" w:eastAsia="Arial" w:hAnsi="Arial" w:cs="Arial"/>
          <w:color w:val="000000"/>
          <w:sz w:val="18"/>
          <w:szCs w:val="18"/>
        </w:rPr>
        <w:t xml:space="preserve"> Diagnostic morphological characters of the genus </w:t>
      </w:r>
      <w:r w:rsidRPr="007708DB">
        <w:rPr>
          <w:rFonts w:ascii="Arial" w:eastAsia="Arial" w:hAnsi="Arial" w:cs="Arial"/>
          <w:i/>
          <w:color w:val="000000"/>
          <w:sz w:val="18"/>
          <w:szCs w:val="18"/>
        </w:rPr>
        <w:t>Anastrepha</w:t>
      </w:r>
      <w:r w:rsidRPr="007708DB">
        <w:rPr>
          <w:rFonts w:ascii="Arial" w:eastAsia="Arial" w:hAnsi="Arial" w:cs="Arial"/>
          <w:color w:val="000000"/>
          <w:sz w:val="18"/>
          <w:szCs w:val="18"/>
        </w:rPr>
        <w:t xml:space="preserve"> used in the keys of this protocol</w:t>
      </w:r>
    </w:p>
    <w:tbl>
      <w:tblPr>
        <w:tblStyle w:val="a0"/>
        <w:tblW w:w="9067" w:type="dxa"/>
        <w:tblInd w:w="90" w:type="dxa"/>
        <w:tblBorders>
          <w:top w:val="single" w:sz="6" w:space="0" w:color="00000A"/>
          <w:left w:val="single" w:sz="6" w:space="0" w:color="00000A"/>
          <w:bottom w:val="single" w:sz="6" w:space="0" w:color="00000A"/>
          <w:right w:val="single" w:sz="6" w:space="0" w:color="00000A"/>
        </w:tblBorders>
        <w:tblLayout w:type="fixed"/>
        <w:tblLook w:val="0400" w:firstRow="0" w:lastRow="0" w:firstColumn="0" w:lastColumn="0" w:noHBand="0" w:noVBand="1"/>
      </w:tblPr>
      <w:tblGrid>
        <w:gridCol w:w="994"/>
        <w:gridCol w:w="1551"/>
        <w:gridCol w:w="6522"/>
      </w:tblGrid>
      <w:tr w:rsidR="00471E14" w:rsidRPr="00810564" w14:paraId="082FEFF7" w14:textId="77777777">
        <w:trPr>
          <w:trHeight w:val="659"/>
        </w:trPr>
        <w:tc>
          <w:tcPr>
            <w:tcW w:w="994" w:type="dxa"/>
            <w:tcBorders>
              <w:top w:val="single" w:sz="6" w:space="0" w:color="00000A"/>
              <w:left w:val="single" w:sz="6" w:space="0" w:color="00000A"/>
              <w:bottom w:val="single" w:sz="6" w:space="0" w:color="00000A"/>
              <w:right w:val="single" w:sz="6" w:space="0" w:color="00000A"/>
            </w:tcBorders>
            <w:shd w:val="clear" w:color="auto" w:fill="D9D9D9"/>
            <w:tcMar>
              <w:top w:w="28" w:type="dxa"/>
              <w:left w:w="28" w:type="dxa"/>
              <w:bottom w:w="28" w:type="dxa"/>
              <w:right w:w="28" w:type="dxa"/>
            </w:tcMar>
            <w:vAlign w:val="center"/>
          </w:tcPr>
          <w:p w14:paraId="11CB40B9" w14:textId="77777777" w:rsidR="00471E14" w:rsidRPr="00810564" w:rsidRDefault="0099106F">
            <w:pPr>
              <w:pBdr>
                <w:top w:val="nil"/>
                <w:left w:val="nil"/>
                <w:bottom w:val="nil"/>
                <w:right w:val="nil"/>
                <w:between w:val="nil"/>
              </w:pBdr>
              <w:spacing w:before="60" w:after="60"/>
              <w:jc w:val="left"/>
              <w:rPr>
                <w:rFonts w:ascii="Arial" w:eastAsia="Arial" w:hAnsi="Arial" w:cs="Arial"/>
                <w:b/>
                <w:color w:val="000000"/>
                <w:sz w:val="18"/>
                <w:szCs w:val="18"/>
              </w:rPr>
            </w:pPr>
            <w:r w:rsidRPr="00810564">
              <w:rPr>
                <w:rFonts w:ascii="Arial" w:eastAsia="Arial" w:hAnsi="Arial" w:cs="Arial"/>
                <w:b/>
                <w:color w:val="000000"/>
                <w:sz w:val="18"/>
                <w:szCs w:val="18"/>
              </w:rPr>
              <w:t xml:space="preserve">Biological stage </w:t>
            </w:r>
          </w:p>
        </w:tc>
        <w:tc>
          <w:tcPr>
            <w:tcW w:w="1551" w:type="dxa"/>
            <w:tcBorders>
              <w:top w:val="single" w:sz="6" w:space="0" w:color="00000A"/>
              <w:left w:val="single" w:sz="6" w:space="0" w:color="00000A"/>
              <w:bottom w:val="single" w:sz="6" w:space="0" w:color="00000A"/>
              <w:right w:val="single" w:sz="6" w:space="0" w:color="00000A"/>
            </w:tcBorders>
            <w:shd w:val="clear" w:color="auto" w:fill="D9D9D9"/>
            <w:tcMar>
              <w:top w:w="28" w:type="dxa"/>
              <w:left w:w="28" w:type="dxa"/>
              <w:bottom w:w="28" w:type="dxa"/>
              <w:right w:w="28" w:type="dxa"/>
            </w:tcMar>
            <w:vAlign w:val="center"/>
          </w:tcPr>
          <w:p w14:paraId="3D7EC4E3" w14:textId="77777777" w:rsidR="00471E14" w:rsidRPr="00810564" w:rsidRDefault="0099106F">
            <w:pPr>
              <w:pBdr>
                <w:top w:val="nil"/>
                <w:left w:val="nil"/>
                <w:bottom w:val="nil"/>
                <w:right w:val="nil"/>
                <w:between w:val="nil"/>
              </w:pBdr>
              <w:spacing w:before="60" w:after="60"/>
              <w:jc w:val="left"/>
              <w:rPr>
                <w:rFonts w:ascii="Arial" w:eastAsia="Arial" w:hAnsi="Arial" w:cs="Arial"/>
                <w:b/>
                <w:color w:val="000000"/>
                <w:sz w:val="18"/>
                <w:szCs w:val="18"/>
              </w:rPr>
            </w:pPr>
            <w:r w:rsidRPr="00810564">
              <w:rPr>
                <w:rFonts w:ascii="Arial" w:eastAsia="Arial" w:hAnsi="Arial" w:cs="Arial"/>
                <w:b/>
                <w:color w:val="000000"/>
                <w:sz w:val="18"/>
                <w:szCs w:val="18"/>
              </w:rPr>
              <w:t xml:space="preserve">Structure </w:t>
            </w:r>
          </w:p>
        </w:tc>
        <w:tc>
          <w:tcPr>
            <w:tcW w:w="6522" w:type="dxa"/>
            <w:tcBorders>
              <w:top w:val="single" w:sz="6" w:space="0" w:color="00000A"/>
              <w:left w:val="single" w:sz="6" w:space="0" w:color="00000A"/>
              <w:bottom w:val="single" w:sz="6" w:space="0" w:color="00000A"/>
              <w:right w:val="single" w:sz="6" w:space="0" w:color="00000A"/>
            </w:tcBorders>
            <w:shd w:val="clear" w:color="auto" w:fill="D9D9D9"/>
            <w:tcMar>
              <w:top w:w="28" w:type="dxa"/>
              <w:left w:w="28" w:type="dxa"/>
              <w:bottom w:w="28" w:type="dxa"/>
              <w:right w:w="28" w:type="dxa"/>
            </w:tcMar>
            <w:vAlign w:val="center"/>
          </w:tcPr>
          <w:p w14:paraId="4353FD79" w14:textId="77777777" w:rsidR="00471E14" w:rsidRPr="00810564" w:rsidRDefault="0099106F">
            <w:pPr>
              <w:pBdr>
                <w:top w:val="nil"/>
                <w:left w:val="nil"/>
                <w:bottom w:val="nil"/>
                <w:right w:val="nil"/>
                <w:between w:val="nil"/>
              </w:pBdr>
              <w:spacing w:before="60" w:after="60"/>
              <w:jc w:val="left"/>
              <w:rPr>
                <w:rFonts w:ascii="Arial" w:eastAsia="Arial" w:hAnsi="Arial" w:cs="Arial"/>
                <w:b/>
                <w:color w:val="000000"/>
                <w:sz w:val="18"/>
                <w:szCs w:val="18"/>
              </w:rPr>
            </w:pPr>
            <w:r w:rsidRPr="00810564">
              <w:rPr>
                <w:rFonts w:ascii="Arial" w:eastAsia="Arial" w:hAnsi="Arial" w:cs="Arial"/>
                <w:b/>
                <w:color w:val="000000"/>
                <w:sz w:val="18"/>
                <w:szCs w:val="18"/>
              </w:rPr>
              <w:t xml:space="preserve">Description </w:t>
            </w:r>
          </w:p>
        </w:tc>
      </w:tr>
      <w:tr w:rsidR="00471E14" w:rsidRPr="00810564" w14:paraId="0FE866DF" w14:textId="77777777">
        <w:trPr>
          <w:trHeight w:val="236"/>
        </w:trPr>
        <w:tc>
          <w:tcPr>
            <w:tcW w:w="994" w:type="dxa"/>
            <w:vMerge w:val="restart"/>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32158483" w14:textId="77777777" w:rsidR="00471E14" w:rsidRPr="00810564" w:rsidRDefault="00471E14">
            <w:pPr>
              <w:spacing w:before="60" w:after="60"/>
              <w:jc w:val="left"/>
              <w:rPr>
                <w:rFonts w:ascii="Arial" w:eastAsia="Arial" w:hAnsi="Arial" w:cs="Arial"/>
                <w:b/>
                <w:color w:val="000000"/>
                <w:sz w:val="18"/>
                <w:szCs w:val="18"/>
              </w:rPr>
            </w:pPr>
          </w:p>
          <w:p w14:paraId="7E896EC0" w14:textId="77777777" w:rsidR="00471E14" w:rsidRPr="00810564" w:rsidRDefault="0099106F">
            <w:pPr>
              <w:spacing w:before="60" w:after="60"/>
              <w:jc w:val="left"/>
              <w:rPr>
                <w:rFonts w:ascii="Arial" w:eastAsia="Arial" w:hAnsi="Arial" w:cs="Arial"/>
                <w:b/>
                <w:color w:val="000000"/>
                <w:sz w:val="18"/>
                <w:szCs w:val="18"/>
              </w:rPr>
            </w:pPr>
            <w:r w:rsidRPr="00810564">
              <w:rPr>
                <w:rFonts w:ascii="Arial" w:eastAsia="Arial" w:hAnsi="Arial" w:cs="Arial"/>
                <w:b/>
                <w:color w:val="000000"/>
                <w:sz w:val="18"/>
                <w:szCs w:val="18"/>
              </w:rPr>
              <w:t xml:space="preserve">Larva </w:t>
            </w:r>
          </w:p>
        </w:tc>
        <w:tc>
          <w:tcPr>
            <w:tcW w:w="1551"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796AC1CB" w14:textId="77777777" w:rsidR="00471E14" w:rsidRPr="00810564" w:rsidRDefault="0099106F">
            <w:pPr>
              <w:spacing w:before="60" w:after="60"/>
              <w:jc w:val="left"/>
              <w:rPr>
                <w:rFonts w:ascii="Arial" w:eastAsia="Arial" w:hAnsi="Arial" w:cs="Arial"/>
                <w:sz w:val="18"/>
                <w:szCs w:val="18"/>
              </w:rPr>
            </w:pPr>
            <w:r w:rsidRPr="00810564">
              <w:rPr>
                <w:rFonts w:ascii="Arial" w:eastAsia="Arial" w:hAnsi="Arial" w:cs="Arial"/>
                <w:sz w:val="18"/>
                <w:szCs w:val="18"/>
              </w:rPr>
              <w:t xml:space="preserve">Dorsolateral sensilla </w:t>
            </w: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0F99874E" w14:textId="77777777" w:rsidR="00471E14" w:rsidRPr="00810564" w:rsidRDefault="0099106F">
            <w:pPr>
              <w:spacing w:before="60" w:after="60"/>
              <w:jc w:val="left"/>
              <w:rPr>
                <w:rFonts w:ascii="Arial" w:eastAsia="Arial" w:hAnsi="Arial" w:cs="Arial"/>
                <w:sz w:val="18"/>
                <w:szCs w:val="18"/>
              </w:rPr>
            </w:pPr>
            <w:r w:rsidRPr="00810564">
              <w:rPr>
                <w:rFonts w:ascii="Arial" w:eastAsia="Arial" w:hAnsi="Arial" w:cs="Arial"/>
                <w:sz w:val="18"/>
                <w:szCs w:val="18"/>
              </w:rPr>
              <w:t>Perpendicular to or at oblique angle to maxillary palpus</w:t>
            </w:r>
          </w:p>
        </w:tc>
      </w:tr>
      <w:tr w:rsidR="00471E14" w:rsidRPr="00810564" w14:paraId="25134966" w14:textId="77777777">
        <w:trPr>
          <w:trHeight w:val="236"/>
        </w:trPr>
        <w:tc>
          <w:tcPr>
            <w:tcW w:w="994" w:type="dxa"/>
            <w:vMerge/>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61BF40F1" w14:textId="77777777" w:rsidR="00471E14" w:rsidRPr="0081056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551"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012B45C8" w14:textId="77777777" w:rsidR="00471E14" w:rsidRPr="00810564" w:rsidRDefault="0099106F">
            <w:pPr>
              <w:spacing w:before="60" w:after="60"/>
              <w:jc w:val="left"/>
              <w:rPr>
                <w:rFonts w:ascii="Arial" w:eastAsia="Arial" w:hAnsi="Arial" w:cs="Arial"/>
                <w:sz w:val="18"/>
                <w:szCs w:val="18"/>
              </w:rPr>
            </w:pPr>
            <w:r w:rsidRPr="00810564">
              <w:rPr>
                <w:rFonts w:ascii="Arial" w:eastAsia="Arial" w:hAnsi="Arial" w:cs="Arial"/>
                <w:sz w:val="18"/>
                <w:szCs w:val="18"/>
              </w:rPr>
              <w:t xml:space="preserve">Preoral teeth </w:t>
            </w: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7420B02B" w14:textId="77777777" w:rsidR="00471E14" w:rsidRPr="00810564" w:rsidRDefault="0099106F">
            <w:pPr>
              <w:spacing w:before="60" w:after="60"/>
              <w:jc w:val="left"/>
              <w:rPr>
                <w:rFonts w:ascii="Arial" w:eastAsia="Arial" w:hAnsi="Arial" w:cs="Arial"/>
                <w:sz w:val="18"/>
                <w:szCs w:val="18"/>
              </w:rPr>
            </w:pPr>
            <w:r w:rsidRPr="00810564">
              <w:rPr>
                <w:rFonts w:ascii="Arial" w:eastAsia="Arial" w:hAnsi="Arial" w:cs="Arial"/>
                <w:sz w:val="18"/>
                <w:szCs w:val="18"/>
              </w:rPr>
              <w:t xml:space="preserve">Absent </w:t>
            </w:r>
          </w:p>
        </w:tc>
      </w:tr>
      <w:tr w:rsidR="00471E14" w:rsidRPr="00810564" w14:paraId="2BCB1DEA" w14:textId="77777777">
        <w:trPr>
          <w:trHeight w:val="236"/>
        </w:trPr>
        <w:tc>
          <w:tcPr>
            <w:tcW w:w="994" w:type="dxa"/>
            <w:vMerge/>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6FF3A318" w14:textId="77777777" w:rsidR="00471E14" w:rsidRPr="0081056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551"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70C4D623" w14:textId="77777777" w:rsidR="00471E14" w:rsidRPr="00810564" w:rsidRDefault="0099106F">
            <w:pPr>
              <w:spacing w:before="60" w:after="60"/>
              <w:jc w:val="left"/>
              <w:rPr>
                <w:rFonts w:ascii="Arial" w:eastAsia="Arial" w:hAnsi="Arial" w:cs="Arial"/>
                <w:sz w:val="18"/>
                <w:szCs w:val="18"/>
              </w:rPr>
            </w:pPr>
            <w:r w:rsidRPr="00810564">
              <w:rPr>
                <w:rFonts w:ascii="Arial" w:eastAsia="Arial" w:hAnsi="Arial" w:cs="Arial"/>
                <w:sz w:val="18"/>
                <w:szCs w:val="18"/>
              </w:rPr>
              <w:t>Oral ridges and accessory plates</w:t>
            </w: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4A57F7D2" w14:textId="77777777" w:rsidR="00471E14" w:rsidRPr="00810564" w:rsidRDefault="0099106F">
            <w:pPr>
              <w:spacing w:before="60" w:after="60"/>
              <w:jc w:val="left"/>
              <w:rPr>
                <w:rFonts w:ascii="Arial" w:eastAsia="Arial" w:hAnsi="Arial" w:cs="Arial"/>
                <w:sz w:val="18"/>
                <w:szCs w:val="18"/>
              </w:rPr>
            </w:pPr>
            <w:r w:rsidRPr="00810564">
              <w:rPr>
                <w:rFonts w:ascii="Arial" w:eastAsia="Arial" w:hAnsi="Arial" w:cs="Arial"/>
                <w:sz w:val="18"/>
                <w:szCs w:val="18"/>
              </w:rPr>
              <w:t>Numerous, elongate; accessory plates present</w:t>
            </w:r>
          </w:p>
        </w:tc>
      </w:tr>
      <w:tr w:rsidR="00471E14" w:rsidRPr="00810564" w14:paraId="2CBEC04C" w14:textId="77777777">
        <w:trPr>
          <w:trHeight w:val="236"/>
        </w:trPr>
        <w:tc>
          <w:tcPr>
            <w:tcW w:w="994" w:type="dxa"/>
            <w:vMerge/>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2A475FB1" w14:textId="77777777" w:rsidR="00471E14" w:rsidRPr="0081056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551"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0F2EE04C" w14:textId="77777777" w:rsidR="00471E14" w:rsidRPr="00810564" w:rsidRDefault="0099106F">
            <w:pPr>
              <w:spacing w:before="60" w:after="60"/>
              <w:jc w:val="left"/>
              <w:rPr>
                <w:rFonts w:ascii="Arial" w:eastAsia="Arial" w:hAnsi="Arial" w:cs="Arial"/>
                <w:sz w:val="18"/>
                <w:szCs w:val="18"/>
              </w:rPr>
            </w:pPr>
            <w:r w:rsidRPr="00810564">
              <w:rPr>
                <w:rFonts w:ascii="Arial" w:eastAsia="Arial" w:hAnsi="Arial" w:cs="Arial"/>
                <w:sz w:val="18"/>
                <w:szCs w:val="18"/>
              </w:rPr>
              <w:t xml:space="preserve">Mouthhook </w:t>
            </w: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145F72AB" w14:textId="77777777" w:rsidR="00471E14" w:rsidRPr="00810564" w:rsidRDefault="0099106F">
            <w:pPr>
              <w:spacing w:before="60" w:after="60"/>
              <w:jc w:val="left"/>
              <w:rPr>
                <w:rFonts w:ascii="Arial" w:eastAsia="Arial" w:hAnsi="Arial" w:cs="Arial"/>
                <w:sz w:val="18"/>
                <w:szCs w:val="18"/>
              </w:rPr>
            </w:pPr>
            <w:r w:rsidRPr="00810564">
              <w:rPr>
                <w:rFonts w:ascii="Arial" w:eastAsia="Arial" w:hAnsi="Arial" w:cs="Arial"/>
                <w:sz w:val="18"/>
                <w:szCs w:val="18"/>
              </w:rPr>
              <w:t xml:space="preserve">Posterior region truncate, without distinct neck; preapical tooth absent; dental sclerite absent </w:t>
            </w:r>
          </w:p>
        </w:tc>
      </w:tr>
      <w:tr w:rsidR="00471E14" w:rsidRPr="00810564" w14:paraId="2C93F0E5" w14:textId="77777777">
        <w:trPr>
          <w:trHeight w:val="236"/>
        </w:trPr>
        <w:tc>
          <w:tcPr>
            <w:tcW w:w="994" w:type="dxa"/>
            <w:vMerge/>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2CE3E39A" w14:textId="77777777" w:rsidR="00471E14" w:rsidRPr="0081056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551"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3D9F4311" w14:textId="77777777" w:rsidR="00471E14" w:rsidRPr="00810564" w:rsidRDefault="0099106F">
            <w:pPr>
              <w:spacing w:before="60" w:after="60"/>
              <w:jc w:val="left"/>
              <w:rPr>
                <w:rFonts w:ascii="Arial" w:eastAsia="Arial" w:hAnsi="Arial" w:cs="Arial"/>
                <w:sz w:val="18"/>
                <w:szCs w:val="18"/>
              </w:rPr>
            </w:pPr>
            <w:r w:rsidRPr="00810564">
              <w:rPr>
                <w:rFonts w:ascii="Arial" w:eastAsia="Arial" w:hAnsi="Arial" w:cs="Arial"/>
                <w:sz w:val="18"/>
                <w:szCs w:val="18"/>
              </w:rPr>
              <w:t>Anterior spiracle</w:t>
            </w: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21DCBEE4" w14:textId="77777777" w:rsidR="00471E14" w:rsidRPr="00810564" w:rsidRDefault="0099106F">
            <w:pPr>
              <w:spacing w:before="60" w:after="60"/>
              <w:jc w:val="left"/>
              <w:rPr>
                <w:rFonts w:ascii="Arial" w:eastAsia="Arial" w:hAnsi="Arial" w:cs="Arial"/>
                <w:sz w:val="18"/>
                <w:szCs w:val="18"/>
              </w:rPr>
            </w:pPr>
            <w:r w:rsidRPr="00810564">
              <w:rPr>
                <w:rFonts w:ascii="Arial" w:eastAsia="Arial" w:hAnsi="Arial" w:cs="Arial"/>
                <w:sz w:val="18"/>
                <w:szCs w:val="18"/>
              </w:rPr>
              <w:t>Usually bilobed, tubules in a single or double row</w:t>
            </w:r>
          </w:p>
        </w:tc>
      </w:tr>
      <w:tr w:rsidR="00471E14" w:rsidRPr="00810564" w14:paraId="603A6A5E" w14:textId="77777777">
        <w:trPr>
          <w:trHeight w:val="236"/>
        </w:trPr>
        <w:tc>
          <w:tcPr>
            <w:tcW w:w="994" w:type="dxa"/>
            <w:vMerge/>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428D4048" w14:textId="77777777" w:rsidR="00471E14" w:rsidRPr="0081056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551"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3FE7E1BF"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Caudal ridge</w:t>
            </w: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3DCC4330"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Absent</w:t>
            </w:r>
          </w:p>
        </w:tc>
      </w:tr>
      <w:tr w:rsidR="00471E14" w:rsidRPr="00810564" w14:paraId="0DC3F785" w14:textId="77777777">
        <w:trPr>
          <w:trHeight w:val="525"/>
        </w:trPr>
        <w:tc>
          <w:tcPr>
            <w:tcW w:w="994" w:type="dxa"/>
            <w:vMerge/>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3C0F8180" w14:textId="77777777" w:rsidR="00471E14" w:rsidRPr="0081056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551"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39E7CDD0" w14:textId="77777777" w:rsidR="00471E14" w:rsidRPr="00810564" w:rsidRDefault="0099106F">
            <w:pPr>
              <w:spacing w:before="60" w:after="60"/>
              <w:jc w:val="left"/>
              <w:rPr>
                <w:rFonts w:ascii="Arial" w:eastAsia="Arial" w:hAnsi="Arial" w:cs="Arial"/>
                <w:sz w:val="18"/>
                <w:szCs w:val="18"/>
              </w:rPr>
            </w:pPr>
            <w:r w:rsidRPr="00810564">
              <w:rPr>
                <w:rFonts w:ascii="Arial" w:eastAsia="Arial" w:hAnsi="Arial" w:cs="Arial"/>
                <w:sz w:val="18"/>
                <w:szCs w:val="18"/>
              </w:rPr>
              <w:t xml:space="preserve">Posterior spiracles </w:t>
            </w: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0CCF74E4" w14:textId="77777777" w:rsidR="00471E14" w:rsidRPr="00810564" w:rsidRDefault="0099106F">
            <w:pPr>
              <w:spacing w:before="60" w:after="60"/>
              <w:jc w:val="left"/>
              <w:rPr>
                <w:rFonts w:ascii="Arial" w:eastAsia="Arial" w:hAnsi="Arial" w:cs="Arial"/>
                <w:sz w:val="18"/>
                <w:szCs w:val="18"/>
              </w:rPr>
            </w:pPr>
            <w:r w:rsidRPr="00810564">
              <w:rPr>
                <w:rFonts w:ascii="Arial" w:eastAsia="Arial" w:hAnsi="Arial" w:cs="Arial"/>
                <w:sz w:val="18"/>
                <w:szCs w:val="18"/>
              </w:rPr>
              <w:t>Spiracular slits elongate, dorsal and medial slits parallel, posterior slit at oblique angle</w:t>
            </w:r>
          </w:p>
        </w:tc>
      </w:tr>
      <w:tr w:rsidR="00471E14" w:rsidRPr="00810564" w14:paraId="408E6D3E" w14:textId="77777777">
        <w:tc>
          <w:tcPr>
            <w:tcW w:w="994" w:type="dxa"/>
            <w:vMerge w:val="restart"/>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31FB4EA2" w14:textId="77777777" w:rsidR="00471E14" w:rsidRPr="00810564" w:rsidRDefault="0099106F">
            <w:pPr>
              <w:pBdr>
                <w:top w:val="nil"/>
                <w:left w:val="nil"/>
                <w:bottom w:val="nil"/>
                <w:right w:val="nil"/>
                <w:between w:val="nil"/>
              </w:pBdr>
              <w:spacing w:before="60" w:after="60"/>
              <w:jc w:val="left"/>
              <w:rPr>
                <w:rFonts w:ascii="Arial" w:eastAsia="Arial" w:hAnsi="Arial" w:cs="Arial"/>
                <w:b/>
                <w:color w:val="000000"/>
                <w:sz w:val="18"/>
                <w:szCs w:val="18"/>
              </w:rPr>
            </w:pPr>
            <w:r w:rsidRPr="00810564">
              <w:rPr>
                <w:rFonts w:ascii="Arial" w:eastAsia="Arial" w:hAnsi="Arial" w:cs="Arial"/>
                <w:b/>
                <w:color w:val="000000"/>
                <w:sz w:val="18"/>
                <w:szCs w:val="18"/>
              </w:rPr>
              <w:t>Adult</w:t>
            </w:r>
          </w:p>
        </w:tc>
        <w:tc>
          <w:tcPr>
            <w:tcW w:w="1551"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110461DD"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 xml:space="preserve">Head chaetotaxy </w:t>
            </w: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702B19EC"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 xml:space="preserve">Two to eight frontal and one or two orbital setae; ocellar setae very weak or indistinct; postocular setae unicolorous </w:t>
            </w:r>
          </w:p>
        </w:tc>
      </w:tr>
      <w:tr w:rsidR="00471E14" w:rsidRPr="00810564" w14:paraId="066B14CC" w14:textId="77777777">
        <w:tc>
          <w:tcPr>
            <w:tcW w:w="994" w:type="dxa"/>
            <w:vMerge/>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3301BCC4" w14:textId="77777777" w:rsidR="00471E14" w:rsidRPr="0081056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551"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64B36B7D"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 xml:space="preserve">Mesonotum chaetotaxy </w:t>
            </w: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522F94C4"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 xml:space="preserve">One postpronotal, two notopleural, one presutural supra-alar, one postsutural supra-alar, one postalar, one intra-alar, one dorsocentral, one acrostichal (rarely absent) and two scutellar setae (except in curvicauda group, where these setae are small and some may be absent)  </w:t>
            </w:r>
          </w:p>
        </w:tc>
      </w:tr>
      <w:tr w:rsidR="00471E14" w:rsidRPr="00810564" w14:paraId="4D8701B9" w14:textId="77777777">
        <w:tc>
          <w:tcPr>
            <w:tcW w:w="994" w:type="dxa"/>
            <w:vMerge/>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550997AC" w14:textId="77777777" w:rsidR="00471E14" w:rsidRPr="0081056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551" w:type="dxa"/>
            <w:vMerge w:val="restart"/>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6C0C78D9"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Wings</w:t>
            </w: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35851518"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 xml:space="preserve">Veins: Vein </w:t>
            </w:r>
            <w:r w:rsidRPr="00810564">
              <w:rPr>
                <w:rFonts w:ascii="Arial" w:eastAsia="Arial" w:hAnsi="Arial" w:cs="Arial"/>
                <w:i/>
                <w:color w:val="000000"/>
                <w:sz w:val="18"/>
                <w:szCs w:val="18"/>
              </w:rPr>
              <w:t xml:space="preserve">M </w:t>
            </w:r>
            <w:r w:rsidRPr="00810564">
              <w:rPr>
                <w:rFonts w:ascii="Arial" w:eastAsia="Arial" w:hAnsi="Arial" w:cs="Arial"/>
                <w:color w:val="000000"/>
                <w:sz w:val="18"/>
                <w:szCs w:val="18"/>
              </w:rPr>
              <w:t>usually</w:t>
            </w:r>
            <w:r w:rsidRPr="00810564">
              <w:rPr>
                <w:rFonts w:ascii="Arial" w:eastAsia="Arial" w:hAnsi="Arial" w:cs="Arial"/>
                <w:i/>
                <w:color w:val="000000"/>
                <w:sz w:val="18"/>
                <w:szCs w:val="18"/>
              </w:rPr>
              <w:t xml:space="preserve"> </w:t>
            </w:r>
            <w:r w:rsidRPr="00810564">
              <w:rPr>
                <w:rFonts w:ascii="Arial" w:eastAsia="Arial" w:hAnsi="Arial" w:cs="Arial"/>
                <w:color w:val="000000"/>
                <w:sz w:val="18"/>
                <w:szCs w:val="18"/>
              </w:rPr>
              <w:t>conspicuously curved forwards apically (strongly so in all pest species) and meeting costa without 90</w:t>
            </w:r>
            <w:r w:rsidRPr="00810564">
              <w:rPr>
                <w:rFonts w:ascii="Arial" w:eastAsia="Arial" w:hAnsi="Arial" w:cs="Arial"/>
                <w:color w:val="000000"/>
                <w:sz w:val="18"/>
                <w:szCs w:val="18"/>
                <w:vertAlign w:val="superscript"/>
              </w:rPr>
              <w:t>o</w:t>
            </w:r>
            <w:r w:rsidRPr="00810564">
              <w:rPr>
                <w:rFonts w:ascii="Arial" w:eastAsia="Arial" w:hAnsi="Arial" w:cs="Arial"/>
                <w:color w:val="000000"/>
                <w:sz w:val="18"/>
                <w:szCs w:val="18"/>
              </w:rPr>
              <w:t xml:space="preserve"> angle; crossvein </w:t>
            </w:r>
            <w:r w:rsidRPr="00810564">
              <w:rPr>
                <w:rFonts w:ascii="Arial" w:eastAsia="Arial" w:hAnsi="Arial" w:cs="Arial"/>
                <w:i/>
                <w:color w:val="000000"/>
                <w:sz w:val="18"/>
                <w:szCs w:val="18"/>
              </w:rPr>
              <w:t xml:space="preserve">r-m </w:t>
            </w:r>
            <w:r w:rsidRPr="00810564">
              <w:rPr>
                <w:rFonts w:ascii="Arial" w:eastAsia="Arial" w:hAnsi="Arial" w:cs="Arial"/>
                <w:color w:val="000000"/>
                <w:sz w:val="18"/>
                <w:szCs w:val="18"/>
              </w:rPr>
              <w:t>placed distal to mid-length of discal cell (</w:t>
            </w:r>
            <w:r w:rsidRPr="00810564">
              <w:rPr>
                <w:rFonts w:ascii="Arial" w:eastAsia="Arial" w:hAnsi="Arial" w:cs="Arial"/>
                <w:i/>
                <w:color w:val="000000"/>
                <w:sz w:val="18"/>
                <w:szCs w:val="18"/>
              </w:rPr>
              <w:t>dm</w:t>
            </w:r>
            <w:r w:rsidRPr="00810564">
              <w:rPr>
                <w:rFonts w:ascii="Arial" w:eastAsia="Arial" w:hAnsi="Arial" w:cs="Arial"/>
                <w:color w:val="000000"/>
                <w:sz w:val="18"/>
                <w:szCs w:val="18"/>
              </w:rPr>
              <w:t>); basal cubital cell (</w:t>
            </w:r>
            <w:r w:rsidRPr="00810564">
              <w:rPr>
                <w:rFonts w:ascii="Arial" w:eastAsia="Arial" w:hAnsi="Arial" w:cs="Arial"/>
                <w:i/>
                <w:color w:val="000000"/>
                <w:sz w:val="18"/>
                <w:szCs w:val="18"/>
              </w:rPr>
              <w:t>bcu</w:t>
            </w:r>
            <w:r w:rsidRPr="00810564">
              <w:rPr>
                <w:rFonts w:ascii="Arial" w:eastAsia="Arial" w:hAnsi="Arial" w:cs="Arial"/>
                <w:color w:val="000000"/>
                <w:sz w:val="18"/>
                <w:szCs w:val="18"/>
              </w:rPr>
              <w:t xml:space="preserve">) with well-developed posteroapical extension </w:t>
            </w:r>
          </w:p>
        </w:tc>
      </w:tr>
      <w:tr w:rsidR="00471E14" w:rsidRPr="00810564" w14:paraId="3C5195A0" w14:textId="77777777">
        <w:tc>
          <w:tcPr>
            <w:tcW w:w="994" w:type="dxa"/>
            <w:vMerge/>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4F5A0566" w14:textId="77777777" w:rsidR="00471E14" w:rsidRPr="0081056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551" w:type="dxa"/>
            <w:vMerge/>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4B8E092C" w14:textId="77777777" w:rsidR="00471E14" w:rsidRPr="0081056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2302C523"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 xml:space="preserve">Wing pattern: C-band on basal costal margin; S-band (from apex of cell </w:t>
            </w:r>
            <w:r w:rsidRPr="00810564">
              <w:rPr>
                <w:rFonts w:ascii="Arial" w:eastAsia="Arial" w:hAnsi="Arial" w:cs="Arial"/>
                <w:i/>
                <w:color w:val="000000"/>
                <w:sz w:val="18"/>
                <w:szCs w:val="18"/>
              </w:rPr>
              <w:t xml:space="preserve">bcu </w:t>
            </w:r>
            <w:r w:rsidRPr="00810564">
              <w:rPr>
                <w:rFonts w:ascii="Arial" w:eastAsia="Arial" w:hAnsi="Arial" w:cs="Arial"/>
                <w:color w:val="000000"/>
                <w:sz w:val="18"/>
                <w:szCs w:val="18"/>
              </w:rPr>
              <w:t xml:space="preserve">across cell </w:t>
            </w:r>
            <w:r w:rsidRPr="00810564">
              <w:rPr>
                <w:rFonts w:ascii="Arial" w:eastAsia="Arial" w:hAnsi="Arial" w:cs="Arial"/>
                <w:i/>
                <w:color w:val="000000"/>
                <w:sz w:val="18"/>
                <w:szCs w:val="18"/>
              </w:rPr>
              <w:t>dm</w:t>
            </w:r>
            <w:r w:rsidRPr="00810564">
              <w:rPr>
                <w:rFonts w:ascii="Arial" w:eastAsia="Arial" w:hAnsi="Arial" w:cs="Arial"/>
                <w:color w:val="000000"/>
                <w:sz w:val="18"/>
                <w:szCs w:val="18"/>
              </w:rPr>
              <w:t xml:space="preserve"> and crossvein </w:t>
            </w:r>
            <w:r w:rsidRPr="00810564">
              <w:rPr>
                <w:rFonts w:ascii="Arial" w:eastAsia="Arial" w:hAnsi="Arial" w:cs="Arial"/>
                <w:i/>
                <w:color w:val="000000"/>
                <w:sz w:val="18"/>
                <w:szCs w:val="18"/>
              </w:rPr>
              <w:t>r-m</w:t>
            </w:r>
            <w:r w:rsidRPr="00810564">
              <w:rPr>
                <w:rFonts w:ascii="Arial" w:eastAsia="Arial" w:hAnsi="Arial" w:cs="Arial"/>
                <w:color w:val="000000"/>
                <w:sz w:val="18"/>
                <w:szCs w:val="18"/>
              </w:rPr>
              <w:t xml:space="preserve">); V-band forming an inverted V shape comprising the proximal arm (subapical band) on </w:t>
            </w:r>
            <w:r w:rsidRPr="00810564">
              <w:rPr>
                <w:rFonts w:ascii="Arial" w:eastAsia="Arial" w:hAnsi="Arial" w:cs="Arial"/>
                <w:i/>
                <w:color w:val="000000"/>
                <w:sz w:val="18"/>
                <w:szCs w:val="18"/>
              </w:rPr>
              <w:t>dm-cu</w:t>
            </w:r>
            <w:r w:rsidRPr="00810564">
              <w:rPr>
                <w:rFonts w:ascii="Arial" w:eastAsia="Arial" w:hAnsi="Arial" w:cs="Arial"/>
                <w:color w:val="000000"/>
                <w:sz w:val="18"/>
                <w:szCs w:val="18"/>
              </w:rPr>
              <w:t xml:space="preserve"> and distal arm (posterior apical band) arising from cell </w:t>
            </w:r>
            <w:r w:rsidRPr="00810564">
              <w:rPr>
                <w:rFonts w:ascii="Arial" w:eastAsia="Arial" w:hAnsi="Arial" w:cs="Arial"/>
                <w:i/>
                <w:color w:val="000000"/>
                <w:sz w:val="18"/>
                <w:szCs w:val="18"/>
              </w:rPr>
              <w:t>m</w:t>
            </w:r>
            <w:r w:rsidRPr="00810564">
              <w:rPr>
                <w:rFonts w:ascii="Arial" w:eastAsia="Arial" w:hAnsi="Arial" w:cs="Arial"/>
                <w:color w:val="000000"/>
                <w:sz w:val="18"/>
                <w:szCs w:val="18"/>
              </w:rPr>
              <w:t xml:space="preserve">, both convergent in cell </w:t>
            </w:r>
            <w:r w:rsidRPr="00810564">
              <w:rPr>
                <w:rFonts w:ascii="Arial" w:eastAsia="Arial" w:hAnsi="Arial" w:cs="Arial"/>
                <w:i/>
                <w:color w:val="000000"/>
                <w:sz w:val="18"/>
                <w:szCs w:val="18"/>
              </w:rPr>
              <w:t>R</w:t>
            </w:r>
            <w:r w:rsidRPr="00810564">
              <w:rPr>
                <w:rFonts w:ascii="Arial" w:eastAsia="Arial" w:hAnsi="Arial" w:cs="Arial"/>
                <w:i/>
                <w:color w:val="000000"/>
                <w:sz w:val="18"/>
                <w:szCs w:val="18"/>
                <w:vertAlign w:val="subscript"/>
              </w:rPr>
              <w:t xml:space="preserve">4+5 </w:t>
            </w:r>
          </w:p>
        </w:tc>
      </w:tr>
      <w:tr w:rsidR="00471E14" w:rsidRPr="00810564" w14:paraId="1FD8157A" w14:textId="77777777">
        <w:tc>
          <w:tcPr>
            <w:tcW w:w="994" w:type="dxa"/>
            <w:vMerge/>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20E5E0A9" w14:textId="77777777" w:rsidR="00471E14" w:rsidRPr="0081056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551"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2DE87C73"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 xml:space="preserve">Male genitalia </w:t>
            </w: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4AFB2570"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 xml:space="preserve">Lateral surstylus short or moderately  elongate; medial surstylus shorter than lateral surstylus, with two prensisetae apically; proctiger weakly sclerotized laterally and ventrally; glans weakly sclerotized with an apical T-shaped sclerite, glans sometimes absent in non-pest species </w:t>
            </w:r>
          </w:p>
        </w:tc>
      </w:tr>
      <w:tr w:rsidR="00471E14" w:rsidRPr="00810564" w14:paraId="184D7082" w14:textId="77777777">
        <w:trPr>
          <w:trHeight w:val="297"/>
        </w:trPr>
        <w:tc>
          <w:tcPr>
            <w:tcW w:w="994" w:type="dxa"/>
            <w:vMerge/>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3FBCB05A" w14:textId="77777777" w:rsidR="00471E14" w:rsidRPr="00810564" w:rsidRDefault="00471E14">
            <w:pPr>
              <w:widowControl w:val="0"/>
              <w:pBdr>
                <w:top w:val="nil"/>
                <w:left w:val="nil"/>
                <w:bottom w:val="nil"/>
                <w:right w:val="nil"/>
                <w:between w:val="nil"/>
              </w:pBdr>
              <w:spacing w:line="276" w:lineRule="auto"/>
              <w:jc w:val="left"/>
              <w:rPr>
                <w:rFonts w:ascii="Arial" w:eastAsia="Arial" w:hAnsi="Arial" w:cs="Arial"/>
                <w:color w:val="000000"/>
                <w:sz w:val="18"/>
                <w:szCs w:val="18"/>
              </w:rPr>
            </w:pPr>
          </w:p>
        </w:tc>
        <w:tc>
          <w:tcPr>
            <w:tcW w:w="1551"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44C64E07"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 xml:space="preserve">Female genitalia </w:t>
            </w:r>
          </w:p>
        </w:tc>
        <w:tc>
          <w:tcPr>
            <w:tcW w:w="6522" w:type="dxa"/>
            <w:tcBorders>
              <w:top w:val="single" w:sz="6" w:space="0" w:color="00000A"/>
              <w:left w:val="single" w:sz="6" w:space="0" w:color="00000A"/>
              <w:bottom w:val="single" w:sz="6" w:space="0" w:color="00000A"/>
              <w:right w:val="single" w:sz="6" w:space="0" w:color="00000A"/>
            </w:tcBorders>
            <w:shd w:val="clear" w:color="auto" w:fill="FFFFFF"/>
            <w:tcMar>
              <w:top w:w="28" w:type="dxa"/>
              <w:left w:w="28" w:type="dxa"/>
              <w:bottom w:w="28" w:type="dxa"/>
              <w:right w:w="28" w:type="dxa"/>
            </w:tcMar>
            <w:vAlign w:val="center"/>
          </w:tcPr>
          <w:p w14:paraId="06AC3A83" w14:textId="77777777" w:rsidR="00471E14" w:rsidRPr="00810564" w:rsidRDefault="0099106F">
            <w:pPr>
              <w:pBdr>
                <w:top w:val="nil"/>
                <w:left w:val="nil"/>
                <w:bottom w:val="nil"/>
                <w:right w:val="nil"/>
                <w:between w:val="nil"/>
              </w:pBdr>
              <w:spacing w:before="60" w:after="60"/>
              <w:jc w:val="left"/>
              <w:rPr>
                <w:rFonts w:ascii="Arial" w:eastAsia="Arial" w:hAnsi="Arial" w:cs="Arial"/>
                <w:color w:val="000000"/>
                <w:sz w:val="18"/>
                <w:szCs w:val="18"/>
              </w:rPr>
            </w:pPr>
            <w:r w:rsidRPr="00810564">
              <w:rPr>
                <w:rFonts w:ascii="Arial" w:eastAsia="Arial" w:hAnsi="Arial" w:cs="Arial"/>
                <w:color w:val="000000"/>
                <w:sz w:val="18"/>
                <w:szCs w:val="18"/>
              </w:rPr>
              <w:t xml:space="preserve">Oviscape tube-like, variable in length; eversible membrane </w:t>
            </w:r>
            <w:r w:rsidRPr="00810564">
              <w:rPr>
                <w:rFonts w:ascii="Arial" w:eastAsia="Arial" w:hAnsi="Arial" w:cs="Arial"/>
                <w:sz w:val="18"/>
                <w:szCs w:val="18"/>
              </w:rPr>
              <w:t xml:space="preserve">basally </w:t>
            </w:r>
            <w:r w:rsidRPr="00810564">
              <w:rPr>
                <w:rFonts w:ascii="Arial" w:eastAsia="Arial" w:hAnsi="Arial" w:cs="Arial"/>
                <w:color w:val="000000"/>
                <w:sz w:val="18"/>
                <w:szCs w:val="18"/>
              </w:rPr>
              <w:t xml:space="preserve">with dorsal hook-like sclerotized </w:t>
            </w:r>
            <w:r w:rsidRPr="00810564">
              <w:rPr>
                <w:rFonts w:ascii="Arial" w:eastAsia="Arial" w:hAnsi="Arial" w:cs="Arial"/>
                <w:sz w:val="18"/>
                <w:szCs w:val="18"/>
              </w:rPr>
              <w:t>teeth usually in triangular or suboval pattern</w:t>
            </w:r>
            <w:r w:rsidRPr="00810564">
              <w:rPr>
                <w:rFonts w:ascii="Arial" w:eastAsia="Arial" w:hAnsi="Arial" w:cs="Arial"/>
                <w:color w:val="000000"/>
                <w:sz w:val="18"/>
                <w:szCs w:val="18"/>
              </w:rPr>
              <w:t>; aculeus well sclerotized, length variable, tip sometimes serrated on lateral margins</w:t>
            </w:r>
          </w:p>
        </w:tc>
      </w:tr>
    </w:tbl>
    <w:p w14:paraId="6DE1F88D" w14:textId="77777777" w:rsidR="00471E14" w:rsidRDefault="00471E14">
      <w:pPr>
        <w:rPr>
          <w:sz w:val="18"/>
          <w:szCs w:val="18"/>
        </w:rPr>
      </w:pPr>
    </w:p>
    <w:p w14:paraId="11092473" w14:textId="77777777" w:rsidR="00471E14" w:rsidRDefault="00471E14">
      <w:pPr>
        <w:pBdr>
          <w:top w:val="nil"/>
          <w:left w:val="nil"/>
          <w:bottom w:val="nil"/>
          <w:right w:val="nil"/>
          <w:between w:val="nil"/>
        </w:pBdr>
        <w:spacing w:before="60" w:after="60"/>
        <w:jc w:val="left"/>
        <w:rPr>
          <w:sz w:val="18"/>
          <w:szCs w:val="18"/>
        </w:rPr>
      </w:pPr>
    </w:p>
    <w:p w14:paraId="26C8008F" w14:textId="77777777" w:rsidR="00471E14" w:rsidRPr="007708DB" w:rsidRDefault="0099106F">
      <w:pPr>
        <w:keepNext/>
        <w:spacing w:before="60" w:after="60"/>
        <w:jc w:val="left"/>
        <w:rPr>
          <w:rFonts w:ascii="Arial" w:eastAsia="Arial" w:hAnsi="Arial" w:cs="Arial"/>
          <w:sz w:val="18"/>
          <w:szCs w:val="18"/>
        </w:rPr>
      </w:pPr>
      <w:r w:rsidRPr="007708DB">
        <w:rPr>
          <w:rFonts w:ascii="Arial" w:eastAsia="Arial" w:hAnsi="Arial" w:cs="Arial"/>
          <w:b/>
          <w:sz w:val="18"/>
          <w:szCs w:val="18"/>
        </w:rPr>
        <w:t>Table 3.</w:t>
      </w:r>
      <w:r w:rsidRPr="007708DB">
        <w:rPr>
          <w:rFonts w:ascii="Arial" w:eastAsia="Arial" w:hAnsi="Arial" w:cs="Arial"/>
          <w:sz w:val="18"/>
          <w:szCs w:val="18"/>
        </w:rPr>
        <w:t xml:space="preserve"> Diagnostic morphological characters of adults of </w:t>
      </w:r>
      <w:r w:rsidRPr="007708DB">
        <w:rPr>
          <w:rFonts w:ascii="Arial" w:eastAsia="Arial" w:hAnsi="Arial" w:cs="Arial"/>
          <w:i/>
          <w:sz w:val="18"/>
          <w:szCs w:val="18"/>
        </w:rPr>
        <w:t>Anastrepha</w:t>
      </w:r>
      <w:r w:rsidRPr="007708DB">
        <w:rPr>
          <w:rFonts w:ascii="Arial" w:eastAsia="Arial" w:hAnsi="Arial" w:cs="Arial"/>
          <w:sz w:val="18"/>
          <w:szCs w:val="18"/>
        </w:rPr>
        <w:t xml:space="preserve"> species </w:t>
      </w:r>
    </w:p>
    <w:tbl>
      <w:tblPr>
        <w:tblStyle w:val="a1"/>
        <w:tblW w:w="9072" w:type="dxa"/>
        <w:tblInd w:w="90" w:type="dxa"/>
        <w:tblBorders>
          <w:top w:val="single" w:sz="6" w:space="0" w:color="00000A"/>
          <w:left w:val="single" w:sz="6" w:space="0" w:color="00000A"/>
          <w:bottom w:val="single" w:sz="6" w:space="0" w:color="00000A"/>
          <w:right w:val="single" w:sz="6" w:space="0" w:color="00000A"/>
        </w:tblBorders>
        <w:tblLayout w:type="fixed"/>
        <w:tblLook w:val="0400" w:firstRow="0" w:lastRow="0" w:firstColumn="0" w:lastColumn="0" w:noHBand="0" w:noVBand="1"/>
      </w:tblPr>
      <w:tblGrid>
        <w:gridCol w:w="1162"/>
        <w:gridCol w:w="1189"/>
        <w:gridCol w:w="6721"/>
      </w:tblGrid>
      <w:tr w:rsidR="00471E14" w14:paraId="74EFD47A" w14:textId="77777777" w:rsidTr="00810564">
        <w:trPr>
          <w:trHeight w:val="345"/>
        </w:trPr>
        <w:tc>
          <w:tcPr>
            <w:tcW w:w="1162" w:type="dxa"/>
            <w:tcBorders>
              <w:top w:val="single" w:sz="6" w:space="0" w:color="00000A"/>
              <w:left w:val="single" w:sz="6" w:space="0" w:color="00000A"/>
              <w:bottom w:val="single" w:sz="6" w:space="0" w:color="00000A"/>
              <w:right w:val="single" w:sz="6" w:space="0" w:color="00000A"/>
            </w:tcBorders>
            <w:shd w:val="clear" w:color="auto" w:fill="D9D9D9"/>
            <w:vAlign w:val="center"/>
          </w:tcPr>
          <w:p w14:paraId="61CA2AF0" w14:textId="77777777" w:rsidR="00471E14" w:rsidRDefault="0099106F">
            <w:pPr>
              <w:spacing w:before="60" w:after="60"/>
              <w:jc w:val="left"/>
              <w:rPr>
                <w:rFonts w:ascii="Arial" w:eastAsia="Arial" w:hAnsi="Arial" w:cs="Arial"/>
                <w:b/>
                <w:sz w:val="18"/>
                <w:szCs w:val="18"/>
              </w:rPr>
            </w:pPr>
            <w:r>
              <w:rPr>
                <w:rFonts w:ascii="Arial" w:eastAsia="Arial" w:hAnsi="Arial" w:cs="Arial"/>
                <w:b/>
                <w:sz w:val="18"/>
                <w:szCs w:val="18"/>
              </w:rPr>
              <w:t xml:space="preserve">Species </w:t>
            </w:r>
          </w:p>
        </w:tc>
        <w:tc>
          <w:tcPr>
            <w:tcW w:w="1189" w:type="dxa"/>
            <w:tcBorders>
              <w:top w:val="single" w:sz="6" w:space="0" w:color="00000A"/>
              <w:left w:val="single" w:sz="6" w:space="0" w:color="00000A"/>
              <w:bottom w:val="single" w:sz="6" w:space="0" w:color="00000A"/>
              <w:right w:val="single" w:sz="6" w:space="0" w:color="00000A"/>
            </w:tcBorders>
            <w:shd w:val="clear" w:color="auto" w:fill="D9D9D9"/>
            <w:vAlign w:val="center"/>
          </w:tcPr>
          <w:p w14:paraId="23DE33D9" w14:textId="77777777" w:rsidR="00471E14" w:rsidRDefault="0099106F">
            <w:pPr>
              <w:spacing w:before="60" w:after="60"/>
              <w:jc w:val="left"/>
              <w:rPr>
                <w:rFonts w:ascii="Arial" w:eastAsia="Arial" w:hAnsi="Arial" w:cs="Arial"/>
                <w:b/>
                <w:sz w:val="18"/>
                <w:szCs w:val="18"/>
              </w:rPr>
            </w:pPr>
            <w:r>
              <w:rPr>
                <w:rFonts w:ascii="Arial" w:eastAsia="Arial" w:hAnsi="Arial" w:cs="Arial"/>
                <w:b/>
                <w:sz w:val="18"/>
                <w:szCs w:val="18"/>
              </w:rPr>
              <w:t xml:space="preserve">Structure </w:t>
            </w:r>
          </w:p>
        </w:tc>
        <w:tc>
          <w:tcPr>
            <w:tcW w:w="6721" w:type="dxa"/>
            <w:tcBorders>
              <w:top w:val="single" w:sz="6" w:space="0" w:color="00000A"/>
              <w:left w:val="single" w:sz="6" w:space="0" w:color="00000A"/>
              <w:bottom w:val="single" w:sz="6" w:space="0" w:color="00000A"/>
              <w:right w:val="single" w:sz="6" w:space="0" w:color="00000A"/>
            </w:tcBorders>
            <w:shd w:val="clear" w:color="auto" w:fill="D9D9D9"/>
            <w:vAlign w:val="center"/>
          </w:tcPr>
          <w:p w14:paraId="1E77CC93" w14:textId="77777777" w:rsidR="00471E14" w:rsidRDefault="0099106F">
            <w:pPr>
              <w:spacing w:before="60" w:after="60"/>
              <w:jc w:val="left"/>
              <w:rPr>
                <w:rFonts w:ascii="Arial" w:eastAsia="Arial" w:hAnsi="Arial" w:cs="Arial"/>
                <w:b/>
                <w:sz w:val="18"/>
                <w:szCs w:val="18"/>
              </w:rPr>
            </w:pPr>
            <w:r>
              <w:rPr>
                <w:rFonts w:ascii="Arial" w:eastAsia="Arial" w:hAnsi="Arial" w:cs="Arial"/>
                <w:b/>
                <w:sz w:val="18"/>
                <w:szCs w:val="18"/>
              </w:rPr>
              <w:t xml:space="preserve">Description </w:t>
            </w:r>
          </w:p>
        </w:tc>
      </w:tr>
      <w:tr w:rsidR="00471E14" w14:paraId="04A92B5E" w14:textId="77777777" w:rsidTr="00810564">
        <w:trPr>
          <w:trHeight w:val="330"/>
        </w:trPr>
        <w:tc>
          <w:tcPr>
            <w:tcW w:w="1162"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2FB74B8D" w14:textId="77777777" w:rsidR="00471E14" w:rsidRDefault="0099106F">
            <w:pPr>
              <w:spacing w:before="60" w:after="60"/>
              <w:jc w:val="left"/>
              <w:rPr>
                <w:rFonts w:ascii="Arial" w:eastAsia="Arial" w:hAnsi="Arial" w:cs="Arial"/>
                <w:b/>
                <w:i/>
                <w:sz w:val="18"/>
                <w:szCs w:val="18"/>
              </w:rPr>
            </w:pPr>
            <w:r>
              <w:rPr>
                <w:rFonts w:ascii="Arial" w:eastAsia="Arial" w:hAnsi="Arial" w:cs="Arial"/>
                <w:b/>
                <w:i/>
                <w:sz w:val="18"/>
                <w:szCs w:val="18"/>
              </w:rPr>
              <w:t>curvicauda</w:t>
            </w: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5DA242F"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Chaetotaxy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CAAEF3F" w14:textId="53F93221" w:rsidR="00471E14" w:rsidRDefault="0099106F">
            <w:pPr>
              <w:spacing w:before="60" w:after="60"/>
              <w:jc w:val="left"/>
              <w:rPr>
                <w:rFonts w:ascii="Arial" w:eastAsia="Arial" w:hAnsi="Arial" w:cs="Arial"/>
                <w:sz w:val="14"/>
                <w:szCs w:val="14"/>
              </w:rPr>
            </w:pPr>
            <w:r>
              <w:rPr>
                <w:rFonts w:ascii="Arial" w:eastAsia="Arial" w:hAnsi="Arial" w:cs="Arial"/>
                <w:sz w:val="18"/>
                <w:szCs w:val="18"/>
              </w:rPr>
              <w:t>Most setae, including postpronotal, presutural supra-alar, dorsocentral, intra-alar and scutellar setae, absent or small and weak, much shorter than scutellum length (Figure</w:t>
            </w:r>
            <w:r w:rsidR="00DF5935">
              <w:rPr>
                <w:rFonts w:ascii="Arial" w:eastAsia="Arial" w:hAnsi="Arial" w:cs="Arial"/>
                <w:sz w:val="18"/>
                <w:szCs w:val="18"/>
              </w:rPr>
              <w:t xml:space="preserve"> 3(A and B)</w:t>
            </w:r>
            <w:r>
              <w:rPr>
                <w:rFonts w:ascii="Arial" w:eastAsia="Arial" w:hAnsi="Arial" w:cs="Arial"/>
                <w:sz w:val="18"/>
                <w:szCs w:val="18"/>
              </w:rPr>
              <w:t>)</w:t>
            </w:r>
          </w:p>
        </w:tc>
      </w:tr>
      <w:tr w:rsidR="00471E14" w14:paraId="33F486B5" w14:textId="77777777" w:rsidTr="00810564">
        <w:trPr>
          <w:trHeight w:val="330"/>
        </w:trPr>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8F162B4"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4"/>
                <w:szCs w:val="14"/>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0F647E04"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Thorax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1D432524" w14:textId="00786871"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Yellow with extensive dark brown markings; scutum with submedial brown stripes separate from brown mark on posterior margin, which is wider than long; anatergite at most with dark dorsal and ventrolateral spots; subscutellum and mediotergite with brown markings (Figure </w:t>
            </w:r>
            <w:r w:rsidR="00DF5935">
              <w:rPr>
                <w:rFonts w:ascii="Arial" w:eastAsia="Arial" w:hAnsi="Arial" w:cs="Arial"/>
                <w:sz w:val="18"/>
                <w:szCs w:val="18"/>
              </w:rPr>
              <w:t>3(A and B)</w:t>
            </w:r>
            <w:r>
              <w:rPr>
                <w:rFonts w:ascii="Arial" w:eastAsia="Arial" w:hAnsi="Arial" w:cs="Arial"/>
                <w:sz w:val="18"/>
                <w:szCs w:val="18"/>
              </w:rPr>
              <w:t>)</w:t>
            </w:r>
          </w:p>
        </w:tc>
      </w:tr>
      <w:tr w:rsidR="00471E14" w14:paraId="3B30C59B" w14:textId="77777777" w:rsidTr="00810564">
        <w:trPr>
          <w:trHeight w:val="330"/>
        </w:trPr>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6E0A32C"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2E0AB86"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Wings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020F3AA" w14:textId="2EA1725E" w:rsidR="00471E14" w:rsidRDefault="0099106F">
            <w:pPr>
              <w:spacing w:before="60" w:after="60"/>
              <w:jc w:val="left"/>
              <w:rPr>
                <w:rFonts w:ascii="Arial" w:eastAsia="Arial" w:hAnsi="Arial" w:cs="Arial"/>
                <w:sz w:val="14"/>
                <w:szCs w:val="14"/>
              </w:rPr>
            </w:pPr>
            <w:r>
              <w:rPr>
                <w:rFonts w:ascii="Arial" w:eastAsia="Arial" w:hAnsi="Arial" w:cs="Arial"/>
                <w:sz w:val="18"/>
                <w:szCs w:val="18"/>
              </w:rPr>
              <w:t xml:space="preserve">With only broad, uninterrupted costal band (C-band + apical part of S-band) filling all of wing anterior to vein </w:t>
            </w:r>
            <w:r>
              <w:rPr>
                <w:rFonts w:ascii="Arial" w:eastAsia="Arial" w:hAnsi="Arial" w:cs="Arial"/>
                <w:i/>
                <w:sz w:val="18"/>
                <w:szCs w:val="18"/>
              </w:rPr>
              <w:t>R</w:t>
            </w:r>
            <w:r>
              <w:rPr>
                <w:rFonts w:ascii="Arial" w:eastAsia="Arial" w:hAnsi="Arial" w:cs="Arial"/>
                <w:i/>
                <w:sz w:val="18"/>
                <w:szCs w:val="18"/>
                <w:vertAlign w:val="subscript"/>
              </w:rPr>
              <w:t>4+5</w:t>
            </w:r>
            <w:r>
              <w:rPr>
                <w:rFonts w:ascii="Arial" w:eastAsia="Arial" w:hAnsi="Arial" w:cs="Arial"/>
                <w:sz w:val="18"/>
                <w:szCs w:val="18"/>
              </w:rPr>
              <w:t>, and more diffuse band covering cell cua and base of cell m</w:t>
            </w:r>
            <w:r>
              <w:rPr>
                <w:rFonts w:ascii="Arial" w:eastAsia="Arial" w:hAnsi="Arial" w:cs="Arial"/>
                <w:sz w:val="18"/>
                <w:szCs w:val="18"/>
                <w:vertAlign w:val="subscript"/>
              </w:rPr>
              <w:t>4</w:t>
            </w:r>
            <w:r>
              <w:rPr>
                <w:rFonts w:ascii="Arial" w:eastAsia="Arial" w:hAnsi="Arial" w:cs="Arial"/>
                <w:sz w:val="18"/>
                <w:szCs w:val="18"/>
              </w:rPr>
              <w:t xml:space="preserve">; vein </w:t>
            </w:r>
            <w:r>
              <w:rPr>
                <w:rFonts w:ascii="Arial" w:eastAsia="Arial" w:hAnsi="Arial" w:cs="Arial"/>
                <w:i/>
                <w:sz w:val="18"/>
                <w:szCs w:val="18"/>
              </w:rPr>
              <w:t>R</w:t>
            </w:r>
            <w:r>
              <w:rPr>
                <w:rFonts w:ascii="Arial" w:eastAsia="Arial" w:hAnsi="Arial" w:cs="Arial"/>
                <w:i/>
                <w:sz w:val="18"/>
                <w:szCs w:val="18"/>
                <w:vertAlign w:val="subscript"/>
              </w:rPr>
              <w:t>2+3</w:t>
            </w:r>
            <w:r>
              <w:rPr>
                <w:rFonts w:ascii="Arial" w:eastAsia="Arial" w:hAnsi="Arial" w:cs="Arial"/>
                <w:sz w:val="18"/>
                <w:szCs w:val="18"/>
              </w:rPr>
              <w:t xml:space="preserve"> with strong bends and often spur veins (Figure </w:t>
            </w:r>
            <w:r w:rsidR="00D83D71">
              <w:rPr>
                <w:rFonts w:ascii="Arial" w:eastAsia="Arial" w:hAnsi="Arial" w:cs="Arial"/>
                <w:sz w:val="18"/>
                <w:szCs w:val="18"/>
              </w:rPr>
              <w:t>7-A</w:t>
            </w:r>
            <w:r>
              <w:rPr>
                <w:rFonts w:ascii="Arial" w:eastAsia="Arial" w:hAnsi="Arial" w:cs="Arial"/>
                <w:sz w:val="18"/>
                <w:szCs w:val="18"/>
              </w:rPr>
              <w:t>)</w:t>
            </w:r>
          </w:p>
        </w:tc>
      </w:tr>
      <w:tr w:rsidR="00471E14" w14:paraId="58C54A9D" w14:textId="77777777" w:rsidTr="00810564">
        <w:trPr>
          <w:trHeight w:val="330"/>
        </w:trPr>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919A718"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4"/>
                <w:szCs w:val="14"/>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82C311D"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Abdomen</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26506DD" w14:textId="01C3EF8E"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Petiolate; yellow to orange with dark brown bands (Figure </w:t>
            </w:r>
            <w:r w:rsidR="00D83D71">
              <w:rPr>
                <w:rFonts w:ascii="Arial" w:eastAsia="Arial" w:hAnsi="Arial" w:cs="Arial"/>
                <w:sz w:val="18"/>
                <w:szCs w:val="18"/>
              </w:rPr>
              <w:t>3-A</w:t>
            </w:r>
            <w:r>
              <w:rPr>
                <w:rFonts w:ascii="Arial" w:eastAsia="Arial" w:hAnsi="Arial" w:cs="Arial"/>
                <w:sz w:val="18"/>
                <w:szCs w:val="18"/>
              </w:rPr>
              <w:t>)</w:t>
            </w:r>
          </w:p>
        </w:tc>
      </w:tr>
      <w:tr w:rsidR="00471E14" w14:paraId="182BE7F1" w14:textId="77777777" w:rsidTr="00810564">
        <w:trPr>
          <w:trHeight w:val="330"/>
        </w:trPr>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3CC4C51"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F988CC0"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Female genitalia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A5C8CF9" w14:textId="571B59EB" w:rsidR="00471E14" w:rsidRPr="00B71B0E" w:rsidRDefault="0099106F">
            <w:pPr>
              <w:spacing w:before="60" w:after="60"/>
              <w:jc w:val="left"/>
              <w:rPr>
                <w:rFonts w:ascii="Arial" w:eastAsia="Arial" w:hAnsi="Arial" w:cs="Arial"/>
                <w:sz w:val="14"/>
                <w:szCs w:val="14"/>
              </w:rPr>
            </w:pPr>
            <w:r w:rsidRPr="00B71B0E">
              <w:rPr>
                <w:rFonts w:ascii="Arial" w:eastAsia="Arial" w:hAnsi="Arial" w:cs="Arial"/>
                <w:sz w:val="18"/>
                <w:szCs w:val="18"/>
              </w:rPr>
              <w:t xml:space="preserve">Oviscape elongate, 11–20 mm long, usually longer than thorax and abdomen combined, and strongly dorsally arched (Figure </w:t>
            </w:r>
            <w:r w:rsidR="005E03A7" w:rsidRPr="00B71B0E">
              <w:rPr>
                <w:rFonts w:ascii="Arial" w:eastAsia="Arial" w:hAnsi="Arial" w:cs="Arial"/>
                <w:sz w:val="18"/>
                <w:szCs w:val="18"/>
              </w:rPr>
              <w:t>3-A</w:t>
            </w:r>
            <w:r w:rsidRPr="00B71B0E">
              <w:rPr>
                <w:rFonts w:ascii="Arial" w:eastAsia="Arial" w:hAnsi="Arial" w:cs="Arial"/>
                <w:sz w:val="18"/>
                <w:szCs w:val="18"/>
              </w:rPr>
              <w:t>)</w:t>
            </w:r>
            <w:r w:rsidR="007352BB" w:rsidRPr="00B71B0E">
              <w:rPr>
                <w:rFonts w:ascii="Arial" w:eastAsia="Arial" w:hAnsi="Arial" w:cs="Arial"/>
                <w:sz w:val="18"/>
                <w:szCs w:val="18"/>
              </w:rPr>
              <w:t>; acul</w:t>
            </w:r>
            <w:r w:rsidR="00AC2495" w:rsidRPr="00B71B0E">
              <w:rPr>
                <w:rFonts w:ascii="Arial" w:eastAsia="Arial" w:hAnsi="Arial" w:cs="Arial"/>
                <w:sz w:val="18"/>
                <w:szCs w:val="18"/>
              </w:rPr>
              <w:t>e</w:t>
            </w:r>
            <w:r w:rsidR="007352BB" w:rsidRPr="00B71B0E">
              <w:rPr>
                <w:rFonts w:ascii="Arial" w:eastAsia="Arial" w:hAnsi="Arial" w:cs="Arial"/>
                <w:sz w:val="18"/>
                <w:szCs w:val="18"/>
              </w:rPr>
              <w:t>us</w:t>
            </w:r>
            <w:r w:rsidR="00FD62C3" w:rsidRPr="00B71B0E">
              <w:rPr>
                <w:rFonts w:ascii="Arial" w:eastAsia="Arial" w:hAnsi="Arial" w:cs="Arial"/>
                <w:sz w:val="18"/>
                <w:szCs w:val="18"/>
              </w:rPr>
              <w:t xml:space="preserve"> (Figure </w:t>
            </w:r>
            <w:r w:rsidR="005E03A7" w:rsidRPr="00B71B0E">
              <w:rPr>
                <w:rFonts w:ascii="Arial" w:eastAsia="Arial" w:hAnsi="Arial" w:cs="Arial"/>
                <w:sz w:val="18"/>
                <w:szCs w:val="18"/>
              </w:rPr>
              <w:t>8-A</w:t>
            </w:r>
            <w:r w:rsidR="00FD62C3" w:rsidRPr="00B71B0E">
              <w:rPr>
                <w:rFonts w:ascii="Arial" w:eastAsia="Arial" w:hAnsi="Arial" w:cs="Arial"/>
                <w:sz w:val="18"/>
                <w:szCs w:val="18"/>
              </w:rPr>
              <w:t>)</w:t>
            </w:r>
          </w:p>
          <w:p w14:paraId="5B990399" w14:textId="77777777" w:rsidR="00471E14" w:rsidRPr="00B71B0E" w:rsidRDefault="00471E14">
            <w:pPr>
              <w:spacing w:before="60" w:after="60"/>
              <w:jc w:val="left"/>
              <w:rPr>
                <w:rFonts w:ascii="Arial" w:eastAsia="Arial" w:hAnsi="Arial" w:cs="Arial"/>
                <w:sz w:val="18"/>
                <w:szCs w:val="18"/>
              </w:rPr>
            </w:pPr>
          </w:p>
        </w:tc>
      </w:tr>
      <w:tr w:rsidR="00471E14" w14:paraId="6FED30CE" w14:textId="77777777" w:rsidTr="00810564">
        <w:tc>
          <w:tcPr>
            <w:tcW w:w="1162"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676DB67B" w14:textId="77777777" w:rsidR="00471E14" w:rsidRDefault="0099106F">
            <w:pPr>
              <w:spacing w:before="60" w:after="60"/>
              <w:jc w:val="left"/>
              <w:rPr>
                <w:rFonts w:ascii="Arial" w:eastAsia="Arial" w:hAnsi="Arial" w:cs="Arial"/>
                <w:b/>
                <w:sz w:val="18"/>
                <w:szCs w:val="18"/>
              </w:rPr>
            </w:pPr>
            <w:r>
              <w:rPr>
                <w:rFonts w:ascii="Arial" w:eastAsia="Arial" w:hAnsi="Arial" w:cs="Arial"/>
                <w:b/>
                <w:i/>
                <w:sz w:val="18"/>
                <w:szCs w:val="18"/>
              </w:rPr>
              <w:t>fraterculus</w:t>
            </w:r>
            <w:r>
              <w:rPr>
                <w:rFonts w:ascii="Arial" w:eastAsia="Arial" w:hAnsi="Arial" w:cs="Arial"/>
                <w:b/>
                <w:sz w:val="18"/>
                <w:szCs w:val="18"/>
              </w:rPr>
              <w:t xml:space="preserve"> species complex </w:t>
            </w: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6FE73C8"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Chaetotaxy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1AACBD77" w14:textId="207DF9ED" w:rsidR="00471E14" w:rsidRPr="00B71B0E" w:rsidRDefault="0099106F">
            <w:pPr>
              <w:spacing w:before="60" w:after="60"/>
              <w:jc w:val="left"/>
              <w:rPr>
                <w:rFonts w:ascii="Arial" w:eastAsia="Arial" w:hAnsi="Arial" w:cs="Arial"/>
                <w:sz w:val="18"/>
                <w:szCs w:val="18"/>
              </w:rPr>
            </w:pPr>
            <w:r w:rsidRPr="00B71B0E">
              <w:rPr>
                <w:rFonts w:ascii="Arial" w:eastAsia="Arial" w:hAnsi="Arial" w:cs="Arial"/>
                <w:sz w:val="18"/>
                <w:szCs w:val="18"/>
              </w:rPr>
              <w:t xml:space="preserve">Setae generally well developed; posterior orbital seta present (similar to Figure </w:t>
            </w:r>
            <w:r w:rsidR="008D5572" w:rsidRPr="00B71B0E">
              <w:rPr>
                <w:rFonts w:ascii="Arial" w:eastAsia="Arial" w:hAnsi="Arial" w:cs="Arial"/>
                <w:sz w:val="18"/>
                <w:szCs w:val="18"/>
              </w:rPr>
              <w:t>4(C and D)</w:t>
            </w:r>
            <w:r w:rsidRPr="00B71B0E">
              <w:rPr>
                <w:rFonts w:ascii="Arial" w:eastAsia="Arial" w:hAnsi="Arial" w:cs="Arial"/>
                <w:sz w:val="18"/>
                <w:szCs w:val="18"/>
              </w:rPr>
              <w:t>)</w:t>
            </w:r>
          </w:p>
        </w:tc>
      </w:tr>
      <w:tr w:rsidR="00471E14" w14:paraId="061F51B2"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9763FF9"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8813E73"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Thorax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1459985" w14:textId="3993A7C5" w:rsidR="00471E14" w:rsidRDefault="0099106F">
            <w:pPr>
              <w:spacing w:before="60" w:after="60"/>
              <w:jc w:val="left"/>
              <w:rPr>
                <w:rFonts w:ascii="Arial" w:eastAsia="Arial" w:hAnsi="Arial" w:cs="Arial"/>
                <w:sz w:val="18"/>
                <w:szCs w:val="18"/>
              </w:rPr>
            </w:pPr>
            <w:r>
              <w:rPr>
                <w:rFonts w:ascii="Arial" w:eastAsia="Arial" w:hAnsi="Arial" w:cs="Arial"/>
                <w:sz w:val="18"/>
                <w:szCs w:val="18"/>
              </w:rPr>
              <w:t>Mostly yellow to orange; scutum without brown stripes (similar to Figure</w:t>
            </w:r>
            <w:r w:rsidR="008D5572">
              <w:rPr>
                <w:rFonts w:ascii="Arial" w:eastAsia="Arial" w:hAnsi="Arial" w:cs="Arial"/>
                <w:sz w:val="18"/>
                <w:szCs w:val="18"/>
              </w:rPr>
              <w:t xml:space="preserve"> 4(C and D)</w:t>
            </w:r>
            <w:r>
              <w:rPr>
                <w:rFonts w:ascii="Arial" w:eastAsia="Arial" w:hAnsi="Arial" w:cs="Arial"/>
                <w:sz w:val="18"/>
                <w:szCs w:val="18"/>
              </w:rPr>
              <w:t xml:space="preserve">); both mediotergite and subscutellum with lateral brown markings (Figure </w:t>
            </w:r>
            <w:r w:rsidR="00B4001C">
              <w:rPr>
                <w:rFonts w:ascii="Arial" w:eastAsia="Arial" w:hAnsi="Arial" w:cs="Arial"/>
                <w:sz w:val="18"/>
                <w:szCs w:val="18"/>
              </w:rPr>
              <w:t>5(C-1)</w:t>
            </w:r>
            <w:r>
              <w:rPr>
                <w:rFonts w:ascii="Arial" w:eastAsia="Arial" w:hAnsi="Arial" w:cs="Arial"/>
                <w:sz w:val="18"/>
                <w:szCs w:val="18"/>
              </w:rPr>
              <w:t xml:space="preserve">); scuto-scutellar suture usually with medial brown spot (similar to Figure </w:t>
            </w:r>
            <w:r w:rsidR="00B4001C">
              <w:rPr>
                <w:rFonts w:ascii="Arial" w:eastAsia="Arial" w:hAnsi="Arial" w:cs="Arial"/>
                <w:sz w:val="18"/>
                <w:szCs w:val="18"/>
              </w:rPr>
              <w:t>4-D</w:t>
            </w:r>
            <w:r>
              <w:rPr>
                <w:rFonts w:ascii="Arial" w:eastAsia="Arial" w:hAnsi="Arial" w:cs="Arial"/>
                <w:sz w:val="18"/>
                <w:szCs w:val="18"/>
              </w:rPr>
              <w:t>)</w:t>
            </w:r>
          </w:p>
        </w:tc>
      </w:tr>
      <w:tr w:rsidR="00471E14" w14:paraId="4149BCE6" w14:textId="77777777" w:rsidTr="00810564">
        <w:trPr>
          <w:trHeight w:val="690"/>
        </w:trPr>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A8DCCFD"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CFDF003"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Wings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4ED5E5C" w14:textId="656C5729"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Distal part of S-band normally developed, never reaching apex of vein </w:t>
            </w:r>
            <w:r>
              <w:rPr>
                <w:rFonts w:ascii="Arial" w:eastAsia="Arial" w:hAnsi="Arial" w:cs="Arial"/>
                <w:i/>
                <w:sz w:val="18"/>
                <w:szCs w:val="18"/>
              </w:rPr>
              <w:t>M</w:t>
            </w:r>
            <w:r>
              <w:rPr>
                <w:rFonts w:ascii="Arial" w:eastAsia="Arial" w:hAnsi="Arial" w:cs="Arial"/>
                <w:sz w:val="18"/>
                <w:szCs w:val="18"/>
              </w:rPr>
              <w:t xml:space="preserve">; V-band connected to or separated from S-band anteriorly (Figure </w:t>
            </w:r>
            <w:r w:rsidR="00E54558">
              <w:rPr>
                <w:rFonts w:ascii="Arial" w:eastAsia="Arial" w:hAnsi="Arial" w:cs="Arial"/>
                <w:sz w:val="18"/>
                <w:szCs w:val="18"/>
              </w:rPr>
              <w:t>7-H</w:t>
            </w:r>
            <w:r>
              <w:rPr>
                <w:rFonts w:ascii="Arial" w:eastAsia="Arial" w:hAnsi="Arial" w:cs="Arial"/>
                <w:sz w:val="18"/>
                <w:szCs w:val="18"/>
              </w:rPr>
              <w:t>)</w:t>
            </w:r>
          </w:p>
        </w:tc>
      </w:tr>
      <w:tr w:rsidR="00471E14" w14:paraId="69C0C396"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4E0965A"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6F4C984"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Abdomen</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7E3D074" w14:textId="0E87CCF3"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Not petiolate; entirely yellow to orange (similar to Figures </w:t>
            </w:r>
            <w:r w:rsidR="00E54558">
              <w:rPr>
                <w:rFonts w:ascii="Arial" w:eastAsia="Arial" w:hAnsi="Arial" w:cs="Arial"/>
                <w:sz w:val="18"/>
                <w:szCs w:val="18"/>
              </w:rPr>
              <w:t>4(C and D)</w:t>
            </w:r>
            <w:r>
              <w:rPr>
                <w:rFonts w:ascii="Arial" w:eastAsia="Arial" w:hAnsi="Arial" w:cs="Arial"/>
                <w:sz w:val="18"/>
                <w:szCs w:val="18"/>
              </w:rPr>
              <w:t>)</w:t>
            </w:r>
          </w:p>
        </w:tc>
      </w:tr>
      <w:tr w:rsidR="00471E14" w14:paraId="274E9A4A"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31C3C58"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0D43B032"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Female genitalia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8CB38CA" w14:textId="53972D99"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Oviscape yellow to orange, straight; 1.65–2.12 mm long, 0.55–0.75 times as long as mesonotum; aculeus 1.4–2.0 mm long; aculeus tip 0.20–0.30 mm long, 0.12–0.15 mm wide; lateral margins with 8 to 14 teeth occupying distal two-fifths to two-thirds (Figure </w:t>
            </w:r>
            <w:r w:rsidR="009A0404">
              <w:rPr>
                <w:rFonts w:ascii="Arial" w:eastAsia="Arial" w:hAnsi="Arial" w:cs="Arial"/>
                <w:sz w:val="18"/>
                <w:szCs w:val="18"/>
              </w:rPr>
              <w:t>8-H</w:t>
            </w:r>
            <w:r>
              <w:rPr>
                <w:rFonts w:ascii="Arial" w:eastAsia="Arial" w:hAnsi="Arial" w:cs="Arial"/>
                <w:sz w:val="18"/>
                <w:szCs w:val="18"/>
              </w:rPr>
              <w:t>)</w:t>
            </w:r>
          </w:p>
        </w:tc>
      </w:tr>
      <w:tr w:rsidR="00471E14" w14:paraId="46519C20" w14:textId="77777777" w:rsidTr="00810564">
        <w:tc>
          <w:tcPr>
            <w:tcW w:w="1162"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0D81DAEF" w14:textId="77777777" w:rsidR="00471E14" w:rsidRDefault="0099106F">
            <w:pPr>
              <w:spacing w:before="60" w:after="60"/>
              <w:jc w:val="left"/>
              <w:rPr>
                <w:rFonts w:ascii="Arial" w:eastAsia="Arial" w:hAnsi="Arial" w:cs="Arial"/>
                <w:b/>
                <w:sz w:val="18"/>
                <w:szCs w:val="18"/>
              </w:rPr>
            </w:pPr>
            <w:r>
              <w:rPr>
                <w:rFonts w:ascii="Arial" w:eastAsia="Arial" w:hAnsi="Arial" w:cs="Arial"/>
                <w:b/>
                <w:i/>
                <w:sz w:val="18"/>
                <w:szCs w:val="18"/>
              </w:rPr>
              <w:t>grandis</w:t>
            </w:r>
            <w:r>
              <w:rPr>
                <w:rFonts w:ascii="Arial" w:eastAsia="Arial" w:hAnsi="Arial" w:cs="Arial"/>
                <w:b/>
                <w:sz w:val="18"/>
                <w:szCs w:val="18"/>
              </w:rPr>
              <w:t xml:space="preserve"> </w:t>
            </w: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9B8B254"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Chaetotaxy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D9E2080" w14:textId="114D0685"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Setae generally well developed; posterior orbital seta usually absent (Figure </w:t>
            </w:r>
            <w:r w:rsidR="009A0404">
              <w:rPr>
                <w:rFonts w:ascii="Arial" w:eastAsia="Arial" w:hAnsi="Arial" w:cs="Arial"/>
                <w:sz w:val="18"/>
                <w:szCs w:val="18"/>
              </w:rPr>
              <w:t>4-A</w:t>
            </w:r>
            <w:r>
              <w:rPr>
                <w:rFonts w:ascii="Arial" w:eastAsia="Arial" w:hAnsi="Arial" w:cs="Arial"/>
                <w:sz w:val="18"/>
                <w:szCs w:val="18"/>
              </w:rPr>
              <w:t>)</w:t>
            </w:r>
          </w:p>
        </w:tc>
      </w:tr>
      <w:tr w:rsidR="00471E14" w14:paraId="09B09D95"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3DF585C"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A4D8801"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Thorax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B676C40" w14:textId="4109C27B"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Mostly yellow to orange; scutum with narrow dark brown dorsocentral stripes (Figure </w:t>
            </w:r>
            <w:r w:rsidR="009A0404">
              <w:rPr>
                <w:rFonts w:ascii="Arial" w:eastAsia="Arial" w:hAnsi="Arial" w:cs="Arial"/>
                <w:sz w:val="18"/>
                <w:szCs w:val="18"/>
              </w:rPr>
              <w:t>4-A</w:t>
            </w:r>
            <w:r>
              <w:rPr>
                <w:rFonts w:ascii="Arial" w:eastAsia="Arial" w:hAnsi="Arial" w:cs="Arial"/>
                <w:sz w:val="18"/>
                <w:szCs w:val="18"/>
              </w:rPr>
              <w:t>)</w:t>
            </w:r>
          </w:p>
        </w:tc>
      </w:tr>
      <w:tr w:rsidR="00471E14" w14:paraId="1987BA19"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579A17CC"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D8FCF91"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Wings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11ABB14" w14:textId="54017D06"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C-band uninterrupted along costal vein; basal half of S-band (on discal cell) continuous from apex of cell </w:t>
            </w:r>
            <w:r>
              <w:rPr>
                <w:rFonts w:ascii="Arial" w:eastAsia="Arial" w:hAnsi="Arial" w:cs="Arial"/>
                <w:i/>
                <w:sz w:val="18"/>
                <w:szCs w:val="18"/>
              </w:rPr>
              <w:t xml:space="preserve">bcu </w:t>
            </w:r>
            <w:r>
              <w:rPr>
                <w:rFonts w:ascii="Arial" w:eastAsia="Arial" w:hAnsi="Arial" w:cs="Arial"/>
                <w:sz w:val="18"/>
                <w:szCs w:val="18"/>
              </w:rPr>
              <w:t xml:space="preserve">through crossvein </w:t>
            </w:r>
            <w:r>
              <w:rPr>
                <w:rFonts w:ascii="Arial" w:eastAsia="Arial" w:hAnsi="Arial" w:cs="Arial"/>
                <w:i/>
                <w:sz w:val="18"/>
                <w:szCs w:val="18"/>
              </w:rPr>
              <w:t>R-M</w:t>
            </w:r>
            <w:r>
              <w:rPr>
                <w:rFonts w:ascii="Arial" w:eastAsia="Arial" w:hAnsi="Arial" w:cs="Arial"/>
                <w:sz w:val="18"/>
                <w:szCs w:val="18"/>
              </w:rPr>
              <w:t xml:space="preserve"> and connecting with C-band above; cell </w:t>
            </w:r>
            <w:r>
              <w:rPr>
                <w:rFonts w:ascii="Arial" w:eastAsia="Arial" w:hAnsi="Arial" w:cs="Arial"/>
                <w:i/>
                <w:sz w:val="18"/>
                <w:szCs w:val="18"/>
              </w:rPr>
              <w:t>r</w:t>
            </w:r>
            <w:r>
              <w:rPr>
                <w:rFonts w:ascii="Arial" w:eastAsia="Arial" w:hAnsi="Arial" w:cs="Arial"/>
                <w:i/>
                <w:sz w:val="18"/>
                <w:szCs w:val="18"/>
                <w:vertAlign w:val="subscript"/>
              </w:rPr>
              <w:t>2+3</w:t>
            </w:r>
            <w:r>
              <w:rPr>
                <w:rFonts w:ascii="Arial" w:eastAsia="Arial" w:hAnsi="Arial" w:cs="Arial"/>
                <w:sz w:val="18"/>
                <w:szCs w:val="18"/>
              </w:rPr>
              <w:t xml:space="preserve"> completely pigmented in entire length; vein </w:t>
            </w:r>
            <w:r>
              <w:rPr>
                <w:rFonts w:ascii="Arial" w:eastAsia="Arial" w:hAnsi="Arial" w:cs="Arial"/>
                <w:i/>
                <w:sz w:val="18"/>
                <w:szCs w:val="18"/>
              </w:rPr>
              <w:t>R</w:t>
            </w:r>
            <w:r>
              <w:rPr>
                <w:rFonts w:ascii="Arial" w:eastAsia="Arial" w:hAnsi="Arial" w:cs="Arial"/>
                <w:i/>
                <w:sz w:val="18"/>
                <w:szCs w:val="18"/>
                <w:vertAlign w:val="subscript"/>
              </w:rPr>
              <w:t>2+3</w:t>
            </w:r>
            <w:r>
              <w:rPr>
                <w:rFonts w:ascii="Arial" w:eastAsia="Arial" w:hAnsi="Arial" w:cs="Arial"/>
                <w:i/>
                <w:sz w:val="18"/>
                <w:szCs w:val="18"/>
              </w:rPr>
              <w:t xml:space="preserve"> </w:t>
            </w:r>
            <w:r>
              <w:rPr>
                <w:rFonts w:ascii="Arial" w:eastAsia="Arial" w:hAnsi="Arial" w:cs="Arial"/>
                <w:sz w:val="18"/>
                <w:szCs w:val="18"/>
              </w:rPr>
              <w:t xml:space="preserve">almost straight; cell </w:t>
            </w:r>
            <w:r>
              <w:rPr>
                <w:rFonts w:ascii="Arial" w:eastAsia="Arial" w:hAnsi="Arial" w:cs="Arial"/>
                <w:i/>
                <w:sz w:val="18"/>
                <w:szCs w:val="18"/>
              </w:rPr>
              <w:t>br</w:t>
            </w:r>
            <w:r>
              <w:rPr>
                <w:rFonts w:ascii="Arial" w:eastAsia="Arial" w:hAnsi="Arial" w:cs="Arial"/>
                <w:sz w:val="18"/>
                <w:szCs w:val="18"/>
              </w:rPr>
              <w:t xml:space="preserve"> broadly hyaline between veins </w:t>
            </w:r>
            <w:r>
              <w:rPr>
                <w:rFonts w:ascii="Arial" w:eastAsia="Arial" w:hAnsi="Arial" w:cs="Arial"/>
                <w:i/>
                <w:sz w:val="18"/>
                <w:szCs w:val="18"/>
              </w:rPr>
              <w:t>bm-cu</w:t>
            </w:r>
            <w:r>
              <w:rPr>
                <w:rFonts w:ascii="Arial" w:eastAsia="Arial" w:hAnsi="Arial" w:cs="Arial"/>
                <w:sz w:val="18"/>
                <w:szCs w:val="18"/>
              </w:rPr>
              <w:t xml:space="preserve"> and </w:t>
            </w:r>
            <w:r>
              <w:rPr>
                <w:rFonts w:ascii="Arial" w:eastAsia="Arial" w:hAnsi="Arial" w:cs="Arial"/>
                <w:i/>
                <w:sz w:val="18"/>
                <w:szCs w:val="18"/>
              </w:rPr>
              <w:t>r-m</w:t>
            </w:r>
            <w:r>
              <w:rPr>
                <w:rFonts w:ascii="Arial" w:eastAsia="Arial" w:hAnsi="Arial" w:cs="Arial"/>
                <w:sz w:val="18"/>
                <w:szCs w:val="18"/>
              </w:rPr>
              <w:t xml:space="preserve"> (Figure 7</w:t>
            </w:r>
            <w:r w:rsidR="00B6562D">
              <w:rPr>
                <w:rFonts w:ascii="Arial" w:eastAsia="Arial" w:hAnsi="Arial" w:cs="Arial"/>
                <w:sz w:val="18"/>
                <w:szCs w:val="18"/>
              </w:rPr>
              <w:t>-B</w:t>
            </w:r>
            <w:r>
              <w:rPr>
                <w:rFonts w:ascii="Arial" w:eastAsia="Arial" w:hAnsi="Arial" w:cs="Arial"/>
                <w:sz w:val="18"/>
                <w:szCs w:val="18"/>
              </w:rPr>
              <w:t>)</w:t>
            </w:r>
          </w:p>
        </w:tc>
      </w:tr>
      <w:tr w:rsidR="00471E14" w14:paraId="5B1437BD"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06FAFDAB"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5E23F84"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Abdomen</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3ABA636" w14:textId="08AFF06C"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Not petiolate; entirely yellow to orange (Figure </w:t>
            </w:r>
            <w:r w:rsidR="00B6562D">
              <w:rPr>
                <w:rFonts w:ascii="Arial" w:eastAsia="Arial" w:hAnsi="Arial" w:cs="Arial"/>
                <w:sz w:val="18"/>
                <w:szCs w:val="18"/>
              </w:rPr>
              <w:t>4-A</w:t>
            </w:r>
            <w:r>
              <w:rPr>
                <w:rFonts w:ascii="Arial" w:eastAsia="Arial" w:hAnsi="Arial" w:cs="Arial"/>
                <w:sz w:val="18"/>
                <w:szCs w:val="18"/>
              </w:rPr>
              <w:t>)</w:t>
            </w:r>
          </w:p>
        </w:tc>
      </w:tr>
      <w:tr w:rsidR="00471E14" w14:paraId="17CD8937"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31AB2A7F"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0E8A2601"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Female genitalia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4E09C00" w14:textId="00342984"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Oviscape orange, straight; 4.99–6.28 mm long, 1.40–1.59 times as long as mesonotum (Figure 12); aculeus 5.25–6.18 mm long; aculeus tip 0.58–0.66 mm long, 0.16–0.18 mm wide, with V-shaped ridges, lateral margins non-serrate (Figure </w:t>
            </w:r>
            <w:r w:rsidR="00B6562D">
              <w:rPr>
                <w:rFonts w:ascii="Arial" w:eastAsia="Arial" w:hAnsi="Arial" w:cs="Arial"/>
                <w:sz w:val="18"/>
                <w:szCs w:val="18"/>
              </w:rPr>
              <w:t>8-B</w:t>
            </w:r>
            <w:r>
              <w:rPr>
                <w:rFonts w:ascii="Arial" w:eastAsia="Arial" w:hAnsi="Arial" w:cs="Arial"/>
                <w:sz w:val="18"/>
                <w:szCs w:val="18"/>
              </w:rPr>
              <w:t>)</w:t>
            </w:r>
          </w:p>
        </w:tc>
      </w:tr>
      <w:tr w:rsidR="00471E14" w14:paraId="389DEFD5" w14:textId="77777777" w:rsidTr="00810564">
        <w:tc>
          <w:tcPr>
            <w:tcW w:w="1162"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4315B4F5" w14:textId="77777777" w:rsidR="00471E14" w:rsidRDefault="0099106F">
            <w:pPr>
              <w:spacing w:before="60" w:after="60"/>
              <w:jc w:val="left"/>
              <w:rPr>
                <w:rFonts w:ascii="Arial" w:eastAsia="Arial" w:hAnsi="Arial" w:cs="Arial"/>
                <w:b/>
                <w:sz w:val="18"/>
                <w:szCs w:val="18"/>
              </w:rPr>
            </w:pPr>
            <w:r>
              <w:rPr>
                <w:rFonts w:ascii="Arial" w:eastAsia="Arial" w:hAnsi="Arial" w:cs="Arial"/>
                <w:b/>
                <w:i/>
                <w:sz w:val="18"/>
                <w:szCs w:val="18"/>
              </w:rPr>
              <w:t>ludens</w:t>
            </w:r>
            <w:r>
              <w:rPr>
                <w:rFonts w:ascii="Arial" w:eastAsia="Arial" w:hAnsi="Arial" w:cs="Arial"/>
                <w:b/>
                <w:sz w:val="18"/>
                <w:szCs w:val="18"/>
              </w:rPr>
              <w:t xml:space="preserve"> </w:t>
            </w: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2CBFAC3"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Chaetotaxy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65FE9EC" w14:textId="07753D82"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Setae generally well developed; posterior orbital seta present (Figure </w:t>
            </w:r>
            <w:r w:rsidR="000C7E31">
              <w:rPr>
                <w:rFonts w:ascii="Arial" w:eastAsia="Arial" w:hAnsi="Arial" w:cs="Arial"/>
                <w:sz w:val="18"/>
                <w:szCs w:val="18"/>
              </w:rPr>
              <w:t>4-B</w:t>
            </w:r>
            <w:r>
              <w:rPr>
                <w:rFonts w:ascii="Arial" w:eastAsia="Arial" w:hAnsi="Arial" w:cs="Arial"/>
                <w:sz w:val="18"/>
                <w:szCs w:val="18"/>
              </w:rPr>
              <w:t>)</w:t>
            </w:r>
          </w:p>
        </w:tc>
      </w:tr>
      <w:tr w:rsidR="00471E14" w14:paraId="284CBD9E"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E0683D7"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AFC9130"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Thorax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65AE695" w14:textId="7DE095FA"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Mostly yellow to orange; scutum without brown stripes (Figure </w:t>
            </w:r>
            <w:r w:rsidR="000C7E31">
              <w:rPr>
                <w:rFonts w:ascii="Arial" w:eastAsia="Arial" w:hAnsi="Arial" w:cs="Arial"/>
                <w:sz w:val="18"/>
                <w:szCs w:val="18"/>
              </w:rPr>
              <w:t>4-B</w:t>
            </w:r>
            <w:r>
              <w:rPr>
                <w:rFonts w:ascii="Arial" w:eastAsia="Arial" w:hAnsi="Arial" w:cs="Arial"/>
                <w:sz w:val="18"/>
                <w:szCs w:val="18"/>
              </w:rPr>
              <w:t xml:space="preserve">); subscutellum always with brown marks laterally, often extending onto mediotergite (Figure </w:t>
            </w:r>
            <w:r w:rsidR="000C7E31">
              <w:rPr>
                <w:rFonts w:ascii="Arial" w:eastAsia="Arial" w:hAnsi="Arial" w:cs="Arial"/>
                <w:sz w:val="18"/>
                <w:szCs w:val="18"/>
              </w:rPr>
              <w:t>5(C-2)</w:t>
            </w:r>
            <w:r>
              <w:rPr>
                <w:rFonts w:ascii="Arial" w:eastAsia="Arial" w:hAnsi="Arial" w:cs="Arial"/>
                <w:sz w:val="18"/>
                <w:szCs w:val="18"/>
              </w:rPr>
              <w:t>)</w:t>
            </w:r>
          </w:p>
        </w:tc>
      </w:tr>
      <w:tr w:rsidR="00471E14" w14:paraId="336D0E49"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31327EC"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0EF5430"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Wings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87D8BE7" w14:textId="6F4203F5"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V-band usually not connected to S-band, and with arms usually separated anteriorly (Figure </w:t>
            </w:r>
            <w:r w:rsidR="004D3B37">
              <w:rPr>
                <w:rFonts w:ascii="Arial" w:eastAsia="Arial" w:hAnsi="Arial" w:cs="Arial"/>
                <w:sz w:val="18"/>
                <w:szCs w:val="18"/>
              </w:rPr>
              <w:t>7-F</w:t>
            </w:r>
            <w:r>
              <w:rPr>
                <w:rFonts w:ascii="Arial" w:eastAsia="Arial" w:hAnsi="Arial" w:cs="Arial"/>
                <w:sz w:val="18"/>
                <w:szCs w:val="18"/>
              </w:rPr>
              <w:t>)</w:t>
            </w:r>
          </w:p>
        </w:tc>
      </w:tr>
      <w:tr w:rsidR="00471E14" w14:paraId="7E1CDAD0"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9C9D989"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FAB66DD"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Abdomen</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D95FD21" w14:textId="0E850E1B"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Not petiolate; entirely yellow to orange (Figure </w:t>
            </w:r>
            <w:r w:rsidR="004D3B37">
              <w:rPr>
                <w:rFonts w:ascii="Arial" w:eastAsia="Arial" w:hAnsi="Arial" w:cs="Arial"/>
                <w:sz w:val="18"/>
                <w:szCs w:val="18"/>
              </w:rPr>
              <w:t>4-B</w:t>
            </w:r>
            <w:r>
              <w:rPr>
                <w:rFonts w:ascii="Arial" w:eastAsia="Arial" w:hAnsi="Arial" w:cs="Arial"/>
                <w:sz w:val="18"/>
                <w:szCs w:val="18"/>
              </w:rPr>
              <w:t>)</w:t>
            </w:r>
          </w:p>
        </w:tc>
      </w:tr>
      <w:tr w:rsidR="00471E14" w14:paraId="1C6ECE4E"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34035945"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F8481B5"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Female genitalia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1970EE33" w14:textId="660628A5"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Oviscape yellow to orange, straight; 3.5–6.3 mm long, 1.10–1.55 times as long as mesonotum (Figure </w:t>
            </w:r>
            <w:r w:rsidR="00007AAE">
              <w:rPr>
                <w:rFonts w:ascii="Arial" w:eastAsia="Arial" w:hAnsi="Arial" w:cs="Arial"/>
                <w:sz w:val="18"/>
                <w:szCs w:val="18"/>
              </w:rPr>
              <w:t>4-B</w:t>
            </w:r>
            <w:r>
              <w:rPr>
                <w:rFonts w:ascii="Arial" w:eastAsia="Arial" w:hAnsi="Arial" w:cs="Arial"/>
                <w:sz w:val="18"/>
                <w:szCs w:val="18"/>
              </w:rPr>
              <w:t xml:space="preserve">); aculeus usually 3.3–5.8 mm long; aculeus tip 0.28–0.42 mm long, 0.12–0.14 mm wide, with a moderate constriction near mid-length; lateral margins non-serrate or finely serrate on distal 0.55 or less (Figure </w:t>
            </w:r>
            <w:r w:rsidR="001A34C7">
              <w:rPr>
                <w:rFonts w:ascii="Arial" w:eastAsia="Arial" w:hAnsi="Arial" w:cs="Arial"/>
                <w:sz w:val="18"/>
                <w:szCs w:val="18"/>
              </w:rPr>
              <w:t>8-F</w:t>
            </w:r>
            <w:r>
              <w:rPr>
                <w:rFonts w:ascii="Arial" w:eastAsia="Arial" w:hAnsi="Arial" w:cs="Arial"/>
                <w:sz w:val="18"/>
                <w:szCs w:val="18"/>
              </w:rPr>
              <w:t>)</w:t>
            </w:r>
          </w:p>
        </w:tc>
      </w:tr>
      <w:tr w:rsidR="00471E14" w14:paraId="5ED041FD" w14:textId="77777777" w:rsidTr="00810564">
        <w:tc>
          <w:tcPr>
            <w:tcW w:w="1162"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61ED4D84" w14:textId="77777777" w:rsidR="00471E14" w:rsidRDefault="0099106F">
            <w:pPr>
              <w:spacing w:before="60" w:after="60"/>
              <w:jc w:val="left"/>
              <w:rPr>
                <w:rFonts w:ascii="Arial" w:eastAsia="Arial" w:hAnsi="Arial" w:cs="Arial"/>
                <w:b/>
                <w:sz w:val="18"/>
                <w:szCs w:val="18"/>
              </w:rPr>
            </w:pPr>
            <w:r>
              <w:rPr>
                <w:rFonts w:ascii="Arial" w:eastAsia="Arial" w:hAnsi="Arial" w:cs="Arial"/>
                <w:b/>
                <w:i/>
                <w:sz w:val="18"/>
                <w:szCs w:val="18"/>
              </w:rPr>
              <w:t>obliqua</w:t>
            </w:r>
            <w:r>
              <w:rPr>
                <w:rFonts w:ascii="Arial" w:eastAsia="Arial" w:hAnsi="Arial" w:cs="Arial"/>
                <w:b/>
                <w:sz w:val="18"/>
                <w:szCs w:val="18"/>
              </w:rPr>
              <w:t xml:space="preserve"> </w:t>
            </w: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7C3B038"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Chaetotaxy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94C4A6E" w14:textId="72ABD1EA"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Setae generally well developed; posterior orbital seta present (Figure </w:t>
            </w:r>
            <w:r w:rsidR="001A34C7">
              <w:rPr>
                <w:rFonts w:ascii="Arial" w:eastAsia="Arial" w:hAnsi="Arial" w:cs="Arial"/>
                <w:sz w:val="18"/>
                <w:szCs w:val="18"/>
              </w:rPr>
              <w:t>4-C</w:t>
            </w:r>
            <w:r>
              <w:rPr>
                <w:rFonts w:ascii="Arial" w:eastAsia="Arial" w:hAnsi="Arial" w:cs="Arial"/>
                <w:sz w:val="18"/>
                <w:szCs w:val="18"/>
              </w:rPr>
              <w:t>)</w:t>
            </w:r>
          </w:p>
        </w:tc>
      </w:tr>
      <w:tr w:rsidR="00471E14" w14:paraId="6C5AA21D"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680738E"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8DDF6F6"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Thorax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6581642" w14:textId="75F40EF6"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Mostly yellow to orange; scutum without brown stripes (Figure </w:t>
            </w:r>
            <w:r w:rsidR="001A34C7">
              <w:rPr>
                <w:rFonts w:ascii="Arial" w:eastAsia="Arial" w:hAnsi="Arial" w:cs="Arial"/>
                <w:sz w:val="18"/>
                <w:szCs w:val="18"/>
              </w:rPr>
              <w:t>4-C</w:t>
            </w:r>
            <w:r>
              <w:rPr>
                <w:rFonts w:ascii="Arial" w:eastAsia="Arial" w:hAnsi="Arial" w:cs="Arial"/>
                <w:sz w:val="18"/>
                <w:szCs w:val="18"/>
              </w:rPr>
              <w:t xml:space="preserve">); subscutellum entirely yellow, mediotergite usually with lateral brown markings (Figure </w:t>
            </w:r>
            <w:r w:rsidR="00D865E6">
              <w:rPr>
                <w:rFonts w:ascii="Arial" w:eastAsia="Arial" w:hAnsi="Arial" w:cs="Arial"/>
                <w:sz w:val="18"/>
                <w:szCs w:val="18"/>
              </w:rPr>
              <w:t>5(C-3)</w:t>
            </w:r>
            <w:r>
              <w:rPr>
                <w:rFonts w:ascii="Arial" w:eastAsia="Arial" w:hAnsi="Arial" w:cs="Arial"/>
                <w:sz w:val="18"/>
                <w:szCs w:val="18"/>
              </w:rPr>
              <w:t xml:space="preserve">); scuto-scutellar suture without medial brown spot (Figure </w:t>
            </w:r>
            <w:r w:rsidR="00D865E6">
              <w:rPr>
                <w:rFonts w:ascii="Arial" w:eastAsia="Arial" w:hAnsi="Arial" w:cs="Arial"/>
                <w:sz w:val="18"/>
                <w:szCs w:val="18"/>
              </w:rPr>
              <w:t>4-C</w:t>
            </w:r>
            <w:r>
              <w:rPr>
                <w:rFonts w:ascii="Arial" w:eastAsia="Arial" w:hAnsi="Arial" w:cs="Arial"/>
                <w:sz w:val="18"/>
                <w:szCs w:val="18"/>
              </w:rPr>
              <w:t>)</w:t>
            </w:r>
          </w:p>
        </w:tc>
      </w:tr>
      <w:tr w:rsidR="00471E14" w14:paraId="1F617586"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6C0A1EF4"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B52708C"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Wings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04B49915" w14:textId="005E0C18"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Distal part of S-band normally developed, never reaching apex of vein </w:t>
            </w:r>
            <w:r>
              <w:rPr>
                <w:rFonts w:ascii="Arial" w:eastAsia="Arial" w:hAnsi="Arial" w:cs="Arial"/>
                <w:i/>
                <w:sz w:val="18"/>
                <w:szCs w:val="18"/>
              </w:rPr>
              <w:t>M</w:t>
            </w:r>
            <w:r>
              <w:rPr>
                <w:rFonts w:ascii="Arial" w:eastAsia="Arial" w:hAnsi="Arial" w:cs="Arial"/>
                <w:sz w:val="18"/>
                <w:szCs w:val="18"/>
              </w:rPr>
              <w:t xml:space="preserve">; V-band usually connected anteriorly to S-band (Figure </w:t>
            </w:r>
            <w:r w:rsidR="00D865E6">
              <w:rPr>
                <w:rFonts w:ascii="Arial" w:eastAsia="Arial" w:hAnsi="Arial" w:cs="Arial"/>
                <w:sz w:val="18"/>
                <w:szCs w:val="18"/>
              </w:rPr>
              <w:t>7-G</w:t>
            </w:r>
            <w:r>
              <w:rPr>
                <w:rFonts w:ascii="Arial" w:eastAsia="Arial" w:hAnsi="Arial" w:cs="Arial"/>
                <w:sz w:val="18"/>
                <w:szCs w:val="18"/>
              </w:rPr>
              <w:t>)</w:t>
            </w:r>
          </w:p>
        </w:tc>
      </w:tr>
      <w:tr w:rsidR="00471E14" w14:paraId="5B3F5945"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8E666AD"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9FDE240"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Abdomen</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BDD7E33" w14:textId="18244716"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Not petiolate; entirely yellow to orange (Figure </w:t>
            </w:r>
            <w:r w:rsidR="00D865E6">
              <w:rPr>
                <w:rFonts w:ascii="Arial" w:eastAsia="Arial" w:hAnsi="Arial" w:cs="Arial"/>
                <w:sz w:val="18"/>
                <w:szCs w:val="18"/>
              </w:rPr>
              <w:t>4-C</w:t>
            </w:r>
            <w:r>
              <w:rPr>
                <w:rFonts w:ascii="Arial" w:eastAsia="Arial" w:hAnsi="Arial" w:cs="Arial"/>
                <w:sz w:val="18"/>
                <w:szCs w:val="18"/>
              </w:rPr>
              <w:t>)</w:t>
            </w:r>
          </w:p>
        </w:tc>
      </w:tr>
      <w:tr w:rsidR="00471E14" w14:paraId="5787A964"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285097BD"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6DA082D"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Female genitalia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5786A02" w14:textId="41C18F81"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Oviscape yellow to orange, straight; 1.5–1.9 mm long, 0.52–0.61 times as long as mesonotum (Figure </w:t>
            </w:r>
            <w:r w:rsidR="00D865E6">
              <w:rPr>
                <w:rFonts w:ascii="Arial" w:eastAsia="Arial" w:hAnsi="Arial" w:cs="Arial"/>
                <w:sz w:val="18"/>
                <w:szCs w:val="18"/>
              </w:rPr>
              <w:t>4-C</w:t>
            </w:r>
            <w:r>
              <w:rPr>
                <w:rFonts w:ascii="Arial" w:eastAsia="Arial" w:hAnsi="Arial" w:cs="Arial"/>
                <w:sz w:val="18"/>
                <w:szCs w:val="18"/>
              </w:rPr>
              <w:t xml:space="preserve">); aculeus 1.30-1.75 mm long; aculeus tip 0.16–0.20 mm long, 0.08–0.12 mm wide, with lateral serrations on distal two-thirds to four-fifths (Figure </w:t>
            </w:r>
            <w:r w:rsidR="007C59CD">
              <w:rPr>
                <w:rFonts w:ascii="Arial" w:eastAsia="Arial" w:hAnsi="Arial" w:cs="Arial"/>
                <w:sz w:val="18"/>
                <w:szCs w:val="18"/>
              </w:rPr>
              <w:t>8-G</w:t>
            </w:r>
            <w:r>
              <w:rPr>
                <w:rFonts w:ascii="Arial" w:eastAsia="Arial" w:hAnsi="Arial" w:cs="Arial"/>
                <w:sz w:val="18"/>
                <w:szCs w:val="18"/>
              </w:rPr>
              <w:t>)</w:t>
            </w:r>
          </w:p>
        </w:tc>
      </w:tr>
      <w:tr w:rsidR="00471E14" w14:paraId="66708522" w14:textId="77777777" w:rsidTr="00810564">
        <w:tc>
          <w:tcPr>
            <w:tcW w:w="1162"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0A7A32EE" w14:textId="77777777" w:rsidR="00471E14" w:rsidRDefault="0099106F">
            <w:pPr>
              <w:spacing w:before="60" w:after="60"/>
              <w:jc w:val="left"/>
              <w:rPr>
                <w:rFonts w:ascii="Arial" w:eastAsia="Arial" w:hAnsi="Arial" w:cs="Arial"/>
                <w:b/>
                <w:sz w:val="18"/>
                <w:szCs w:val="18"/>
              </w:rPr>
            </w:pPr>
            <w:r>
              <w:rPr>
                <w:rFonts w:ascii="Arial" w:eastAsia="Arial" w:hAnsi="Arial" w:cs="Arial"/>
                <w:b/>
                <w:i/>
                <w:sz w:val="18"/>
                <w:szCs w:val="18"/>
              </w:rPr>
              <w:t>serpentina</w:t>
            </w:r>
            <w:r>
              <w:rPr>
                <w:rFonts w:ascii="Arial" w:eastAsia="Arial" w:hAnsi="Arial" w:cs="Arial"/>
                <w:b/>
                <w:sz w:val="18"/>
                <w:szCs w:val="18"/>
              </w:rPr>
              <w:t xml:space="preserve"> </w:t>
            </w: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0D008086"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Chaetotaxy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74F40A9" w14:textId="0934EF1B"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Setae generally well developed; posterior orbital seta present (Figure </w:t>
            </w:r>
            <w:r w:rsidR="007C59CD">
              <w:rPr>
                <w:rFonts w:ascii="Arial" w:eastAsia="Arial" w:hAnsi="Arial" w:cs="Arial"/>
                <w:sz w:val="18"/>
                <w:szCs w:val="18"/>
              </w:rPr>
              <w:t>3-C</w:t>
            </w:r>
            <w:r>
              <w:rPr>
                <w:rFonts w:ascii="Arial" w:eastAsia="Arial" w:hAnsi="Arial" w:cs="Arial"/>
                <w:sz w:val="18"/>
                <w:szCs w:val="18"/>
              </w:rPr>
              <w:t>)</w:t>
            </w:r>
          </w:p>
        </w:tc>
      </w:tr>
      <w:tr w:rsidR="00471E14" w14:paraId="25FCFF65"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05B05F38"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A41901A"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Thorax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0422E75" w14:textId="1AA3148A"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Mostly brown or red–brown contrasting with yellow markings; scutum mostly brown with three yellow stripes (Figure </w:t>
            </w:r>
            <w:r w:rsidR="007C59CD">
              <w:rPr>
                <w:rFonts w:ascii="Arial" w:eastAsia="Arial" w:hAnsi="Arial" w:cs="Arial"/>
                <w:sz w:val="18"/>
                <w:szCs w:val="18"/>
              </w:rPr>
              <w:t>3-C</w:t>
            </w:r>
            <w:r>
              <w:rPr>
                <w:rFonts w:ascii="Arial" w:eastAsia="Arial" w:hAnsi="Arial" w:cs="Arial"/>
                <w:sz w:val="18"/>
                <w:szCs w:val="18"/>
              </w:rPr>
              <w:t>)</w:t>
            </w:r>
          </w:p>
        </w:tc>
      </w:tr>
      <w:tr w:rsidR="00471E14" w14:paraId="508870BE"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5DE84B4"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495E460"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Wings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56721CC" w14:textId="5C208B0A"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Wing pattern mostly dark brown; distal arm of V-band completely absent (Figure </w:t>
            </w:r>
            <w:r w:rsidR="007C59CD">
              <w:rPr>
                <w:rFonts w:ascii="Arial" w:eastAsia="Arial" w:hAnsi="Arial" w:cs="Arial"/>
                <w:sz w:val="18"/>
                <w:szCs w:val="18"/>
              </w:rPr>
              <w:t>7-C</w:t>
            </w:r>
            <w:r>
              <w:rPr>
                <w:rFonts w:ascii="Arial" w:eastAsia="Arial" w:hAnsi="Arial" w:cs="Arial"/>
                <w:sz w:val="18"/>
                <w:szCs w:val="18"/>
              </w:rPr>
              <w:t>)</w:t>
            </w:r>
          </w:p>
        </w:tc>
      </w:tr>
      <w:tr w:rsidR="00471E14" w14:paraId="53234076"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D59F680"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1F525F4C"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Abdomen</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61EB56F" w14:textId="584F0CC6"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Not petiolate; mostly brown, with white to yellow medial T-shaped mark (Figure </w:t>
            </w:r>
            <w:r w:rsidR="00C7443F">
              <w:rPr>
                <w:rFonts w:ascii="Arial" w:eastAsia="Arial" w:hAnsi="Arial" w:cs="Arial"/>
                <w:sz w:val="18"/>
                <w:szCs w:val="18"/>
              </w:rPr>
              <w:t>3-C</w:t>
            </w:r>
            <w:r>
              <w:rPr>
                <w:rFonts w:ascii="Arial" w:eastAsia="Arial" w:hAnsi="Arial" w:cs="Arial"/>
                <w:sz w:val="18"/>
                <w:szCs w:val="18"/>
              </w:rPr>
              <w:t>)</w:t>
            </w:r>
          </w:p>
        </w:tc>
      </w:tr>
      <w:tr w:rsidR="00471E14" w14:paraId="7B9A2838"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0A6CC03E"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0917C80B"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Female genitalia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0620657" w14:textId="4597E1E6"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Oviscape orange to brown, straight; 2.58–3.91 mm long, 0.79–1.02 times as long as mesonotum (Figure </w:t>
            </w:r>
            <w:r w:rsidR="00C7443F">
              <w:rPr>
                <w:rFonts w:ascii="Arial" w:eastAsia="Arial" w:hAnsi="Arial" w:cs="Arial"/>
                <w:sz w:val="18"/>
                <w:szCs w:val="18"/>
              </w:rPr>
              <w:t>3-C</w:t>
            </w:r>
            <w:r>
              <w:rPr>
                <w:rFonts w:ascii="Arial" w:eastAsia="Arial" w:hAnsi="Arial" w:cs="Arial"/>
                <w:sz w:val="18"/>
                <w:szCs w:val="18"/>
              </w:rPr>
              <w:t xml:space="preserve">); aculeus 2.58–3.83 mm long; aculeus tip 0.37–0.46 mm long, 0.14–0.17 mm wide, lateral margins finely serrated on distal 0.5–0.7 (Figure </w:t>
            </w:r>
            <w:r w:rsidR="00C7443F">
              <w:rPr>
                <w:rFonts w:ascii="Arial" w:eastAsia="Arial" w:hAnsi="Arial" w:cs="Arial"/>
                <w:sz w:val="18"/>
                <w:szCs w:val="18"/>
              </w:rPr>
              <w:t>8-C</w:t>
            </w:r>
            <w:r>
              <w:rPr>
                <w:rFonts w:ascii="Arial" w:eastAsia="Arial" w:hAnsi="Arial" w:cs="Arial"/>
                <w:sz w:val="18"/>
                <w:szCs w:val="18"/>
              </w:rPr>
              <w:t>)</w:t>
            </w:r>
          </w:p>
        </w:tc>
      </w:tr>
      <w:tr w:rsidR="00471E14" w14:paraId="6DF3E509" w14:textId="77777777" w:rsidTr="00810564">
        <w:tc>
          <w:tcPr>
            <w:tcW w:w="1162"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6405ECD8" w14:textId="77777777" w:rsidR="00471E14" w:rsidRDefault="0099106F">
            <w:pPr>
              <w:spacing w:before="60" w:after="60"/>
              <w:jc w:val="left"/>
              <w:rPr>
                <w:rFonts w:ascii="Arial" w:eastAsia="Arial" w:hAnsi="Arial" w:cs="Arial"/>
                <w:sz w:val="18"/>
                <w:szCs w:val="18"/>
              </w:rPr>
            </w:pPr>
            <w:r>
              <w:rPr>
                <w:rFonts w:ascii="Arial" w:eastAsia="Arial" w:hAnsi="Arial" w:cs="Arial"/>
                <w:b/>
                <w:i/>
                <w:sz w:val="18"/>
                <w:szCs w:val="18"/>
              </w:rPr>
              <w:t>striata</w:t>
            </w:r>
            <w:r>
              <w:rPr>
                <w:rFonts w:ascii="Arial" w:eastAsia="Arial" w:hAnsi="Arial" w:cs="Arial"/>
                <w:b/>
                <w:sz w:val="18"/>
                <w:szCs w:val="18"/>
              </w:rPr>
              <w:t xml:space="preserve"> </w:t>
            </w:r>
            <w:r>
              <w:rPr>
                <w:rFonts w:ascii="Arial" w:eastAsia="Arial" w:hAnsi="Arial" w:cs="Arial"/>
                <w:sz w:val="18"/>
                <w:szCs w:val="18"/>
              </w:rPr>
              <w:t xml:space="preserve"> </w:t>
            </w: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25C0817"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Chaetotaxy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FAF2A3B" w14:textId="26800C75"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Setae generally well developed; posterior orbital seta present (Figure </w:t>
            </w:r>
            <w:r w:rsidR="007E3AA1">
              <w:rPr>
                <w:rFonts w:ascii="Arial" w:eastAsia="Arial" w:hAnsi="Arial" w:cs="Arial"/>
                <w:sz w:val="18"/>
                <w:szCs w:val="18"/>
              </w:rPr>
              <w:t>3-D</w:t>
            </w:r>
            <w:r>
              <w:rPr>
                <w:rFonts w:ascii="Arial" w:eastAsia="Arial" w:hAnsi="Arial" w:cs="Arial"/>
                <w:sz w:val="18"/>
                <w:szCs w:val="18"/>
              </w:rPr>
              <w:t>)</w:t>
            </w:r>
          </w:p>
        </w:tc>
      </w:tr>
      <w:tr w:rsidR="00471E14" w14:paraId="3BBF3CBD"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40A66EAC"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BF0A59C"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Thorax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A0E2571" w14:textId="489BBCFA"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Mostly yellow to orange; scutum with two broad dorsocentral stripes connected on posterior margin forming a U-shaped mark, without setulae in a small area along transverse suture (Figure </w:t>
            </w:r>
            <w:r w:rsidR="007E3AA1">
              <w:rPr>
                <w:rFonts w:ascii="Arial" w:eastAsia="Arial" w:hAnsi="Arial" w:cs="Arial"/>
                <w:sz w:val="18"/>
                <w:szCs w:val="18"/>
              </w:rPr>
              <w:t>3-D</w:t>
            </w:r>
            <w:r>
              <w:rPr>
                <w:rFonts w:ascii="Arial" w:eastAsia="Arial" w:hAnsi="Arial" w:cs="Arial"/>
                <w:sz w:val="18"/>
                <w:szCs w:val="18"/>
              </w:rPr>
              <w:t>)</w:t>
            </w:r>
          </w:p>
        </w:tc>
      </w:tr>
      <w:tr w:rsidR="00471E14" w14:paraId="621D4602"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3289EC96"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0460CBB"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Wings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A6364C2" w14:textId="1005EB3C"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Wing pattern mostly orange and brown; distal arm of V-band present or absent (Figure </w:t>
            </w:r>
            <w:r w:rsidR="007E3AA1">
              <w:rPr>
                <w:rFonts w:ascii="Arial" w:eastAsia="Arial" w:hAnsi="Arial" w:cs="Arial"/>
                <w:sz w:val="18"/>
                <w:szCs w:val="18"/>
              </w:rPr>
              <w:t>7-D</w:t>
            </w:r>
            <w:r>
              <w:rPr>
                <w:rFonts w:ascii="Arial" w:eastAsia="Arial" w:hAnsi="Arial" w:cs="Arial"/>
                <w:sz w:val="18"/>
                <w:szCs w:val="18"/>
              </w:rPr>
              <w:t>)</w:t>
            </w:r>
          </w:p>
        </w:tc>
      </w:tr>
      <w:tr w:rsidR="00471E14" w14:paraId="417657DF"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1813AB46"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459E4929"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Abdomen</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64699497" w14:textId="1D5F3D1E"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Not petiolate; entirely yellow to orange (Figure </w:t>
            </w:r>
            <w:r w:rsidR="007E3AA1">
              <w:rPr>
                <w:rFonts w:ascii="Arial" w:eastAsia="Arial" w:hAnsi="Arial" w:cs="Arial"/>
                <w:sz w:val="18"/>
                <w:szCs w:val="18"/>
              </w:rPr>
              <w:t>3-D</w:t>
            </w:r>
            <w:r>
              <w:rPr>
                <w:rFonts w:ascii="Arial" w:eastAsia="Arial" w:hAnsi="Arial" w:cs="Arial"/>
                <w:sz w:val="18"/>
                <w:szCs w:val="18"/>
              </w:rPr>
              <w:t>)</w:t>
            </w:r>
          </w:p>
        </w:tc>
      </w:tr>
      <w:tr w:rsidR="00471E14" w14:paraId="3774A7DF"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415D8E1"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052E2BE6"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Female genitalia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756C948" w14:textId="3DA3586D"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Oviscape yellow to dark orange, straight; 2.32–2.66 mm long, 0.74–0.86 times as long as mesonotum (Figure </w:t>
            </w:r>
            <w:r w:rsidR="00E92836">
              <w:rPr>
                <w:rFonts w:ascii="Arial" w:eastAsia="Arial" w:hAnsi="Arial" w:cs="Arial"/>
                <w:sz w:val="18"/>
                <w:szCs w:val="18"/>
              </w:rPr>
              <w:t>3-D</w:t>
            </w:r>
            <w:r>
              <w:rPr>
                <w:rFonts w:ascii="Arial" w:eastAsia="Arial" w:hAnsi="Arial" w:cs="Arial"/>
                <w:sz w:val="18"/>
                <w:szCs w:val="18"/>
              </w:rPr>
              <w:t xml:space="preserve">); aculeus 1.95–2.30 mm long; aculeus tip broad, 0.24–0.31 mm long, 0.17–0.20 mm wide, lateral margins non-serrate or at most with a few weak apical serrations (Figure </w:t>
            </w:r>
            <w:r w:rsidR="00E92836">
              <w:rPr>
                <w:rFonts w:ascii="Arial" w:eastAsia="Arial" w:hAnsi="Arial" w:cs="Arial"/>
                <w:sz w:val="18"/>
                <w:szCs w:val="18"/>
              </w:rPr>
              <w:t>8-D</w:t>
            </w:r>
            <w:r>
              <w:rPr>
                <w:rFonts w:ascii="Arial" w:eastAsia="Arial" w:hAnsi="Arial" w:cs="Arial"/>
                <w:sz w:val="18"/>
                <w:szCs w:val="18"/>
              </w:rPr>
              <w:t>)</w:t>
            </w:r>
          </w:p>
        </w:tc>
      </w:tr>
      <w:tr w:rsidR="00471E14" w14:paraId="7A844158" w14:textId="77777777" w:rsidTr="00810564">
        <w:tc>
          <w:tcPr>
            <w:tcW w:w="1162" w:type="dxa"/>
            <w:vMerge w:val="restart"/>
            <w:tcBorders>
              <w:top w:val="single" w:sz="6" w:space="0" w:color="00000A"/>
              <w:left w:val="single" w:sz="6" w:space="0" w:color="00000A"/>
              <w:bottom w:val="single" w:sz="6" w:space="0" w:color="00000A"/>
              <w:right w:val="single" w:sz="6" w:space="0" w:color="00000A"/>
            </w:tcBorders>
            <w:shd w:val="clear" w:color="auto" w:fill="FFFFFF"/>
            <w:vAlign w:val="center"/>
          </w:tcPr>
          <w:p w14:paraId="1158F240" w14:textId="77777777" w:rsidR="00471E14" w:rsidRDefault="0099106F">
            <w:pPr>
              <w:spacing w:before="60" w:after="60"/>
              <w:jc w:val="left"/>
              <w:rPr>
                <w:rFonts w:ascii="Arial" w:eastAsia="Arial" w:hAnsi="Arial" w:cs="Arial"/>
                <w:b/>
                <w:sz w:val="18"/>
                <w:szCs w:val="18"/>
              </w:rPr>
            </w:pPr>
            <w:r>
              <w:rPr>
                <w:rFonts w:ascii="Arial" w:eastAsia="Arial" w:hAnsi="Arial" w:cs="Arial"/>
                <w:b/>
                <w:i/>
                <w:sz w:val="18"/>
                <w:szCs w:val="18"/>
              </w:rPr>
              <w:t>suspensa</w:t>
            </w:r>
            <w:r>
              <w:rPr>
                <w:rFonts w:ascii="Arial" w:eastAsia="Arial" w:hAnsi="Arial" w:cs="Arial"/>
                <w:b/>
                <w:sz w:val="18"/>
                <w:szCs w:val="18"/>
              </w:rPr>
              <w:t xml:space="preserve"> </w:t>
            </w: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1C524BBB"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Chaetotaxy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1C300D8B" w14:textId="11B8D1D3"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Setae generally well developed; posterior orbital seta present (Figure </w:t>
            </w:r>
            <w:r w:rsidR="00E92836">
              <w:rPr>
                <w:rFonts w:ascii="Arial" w:eastAsia="Arial" w:hAnsi="Arial" w:cs="Arial"/>
                <w:sz w:val="18"/>
                <w:szCs w:val="18"/>
              </w:rPr>
              <w:t>4-D</w:t>
            </w:r>
            <w:r>
              <w:rPr>
                <w:rFonts w:ascii="Arial" w:eastAsia="Arial" w:hAnsi="Arial" w:cs="Arial"/>
                <w:sz w:val="18"/>
                <w:szCs w:val="18"/>
              </w:rPr>
              <w:t>)</w:t>
            </w:r>
          </w:p>
        </w:tc>
      </w:tr>
      <w:tr w:rsidR="00471E14" w14:paraId="5F7C27B8"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3ECBC17C"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29CA76E8"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Thorax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7407959" w14:textId="6B61FAAC"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Mostly yellow to orange; scutum without brown stripes; scuto-scutellar suture usually with large rounded brown spot medially (Figure </w:t>
            </w:r>
            <w:r w:rsidR="00E92836">
              <w:rPr>
                <w:rFonts w:ascii="Arial" w:eastAsia="Arial" w:hAnsi="Arial" w:cs="Arial"/>
                <w:sz w:val="18"/>
                <w:szCs w:val="18"/>
              </w:rPr>
              <w:t>4-D</w:t>
            </w:r>
            <w:r>
              <w:rPr>
                <w:rFonts w:ascii="Arial" w:eastAsia="Arial" w:hAnsi="Arial" w:cs="Arial"/>
                <w:sz w:val="18"/>
                <w:szCs w:val="18"/>
              </w:rPr>
              <w:t>); subscutellum and mediotergite with or without lateral brown marks</w:t>
            </w:r>
          </w:p>
        </w:tc>
      </w:tr>
      <w:tr w:rsidR="00471E14" w14:paraId="447FF62A"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390C9643"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32ED48B4"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Wings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540AFC5A" w14:textId="29950BC8"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Distal part of S-band extremely broad, reaching apex of vein </w:t>
            </w:r>
            <w:r>
              <w:rPr>
                <w:rFonts w:ascii="Arial" w:eastAsia="Arial" w:hAnsi="Arial" w:cs="Arial"/>
                <w:i/>
                <w:sz w:val="18"/>
                <w:szCs w:val="18"/>
              </w:rPr>
              <w:t>M</w:t>
            </w:r>
            <w:r>
              <w:rPr>
                <w:rFonts w:ascii="Arial" w:eastAsia="Arial" w:hAnsi="Arial" w:cs="Arial"/>
                <w:i/>
                <w:sz w:val="18"/>
                <w:szCs w:val="18"/>
                <w:vertAlign w:val="subscript"/>
              </w:rPr>
              <w:t>1</w:t>
            </w:r>
            <w:r>
              <w:rPr>
                <w:rFonts w:ascii="Arial" w:eastAsia="Arial" w:hAnsi="Arial" w:cs="Arial"/>
                <w:sz w:val="18"/>
                <w:szCs w:val="18"/>
              </w:rPr>
              <w:t xml:space="preserve">; V-band broad and complete, with arms widely connected anteriorly (Figure </w:t>
            </w:r>
            <w:r w:rsidR="007771A9">
              <w:rPr>
                <w:rFonts w:ascii="Arial" w:eastAsia="Arial" w:hAnsi="Arial" w:cs="Arial"/>
                <w:sz w:val="18"/>
                <w:szCs w:val="18"/>
              </w:rPr>
              <w:t>7-E</w:t>
            </w:r>
            <w:r>
              <w:rPr>
                <w:rFonts w:ascii="Arial" w:eastAsia="Arial" w:hAnsi="Arial" w:cs="Arial"/>
                <w:sz w:val="18"/>
                <w:szCs w:val="18"/>
              </w:rPr>
              <w:t>)</w:t>
            </w:r>
          </w:p>
        </w:tc>
      </w:tr>
      <w:tr w:rsidR="00471E14" w14:paraId="3720AA18"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C13918E"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15C3EECC"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Abdomen</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18ACC57A" w14:textId="77B35A6A"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Not petiolate; entirely yellow to orange (Figure </w:t>
            </w:r>
            <w:r w:rsidR="007771A9">
              <w:rPr>
                <w:rFonts w:ascii="Arial" w:eastAsia="Arial" w:hAnsi="Arial" w:cs="Arial"/>
                <w:sz w:val="18"/>
                <w:szCs w:val="18"/>
              </w:rPr>
              <w:t>4-D</w:t>
            </w:r>
            <w:r>
              <w:rPr>
                <w:rFonts w:ascii="Arial" w:eastAsia="Arial" w:hAnsi="Arial" w:cs="Arial"/>
                <w:sz w:val="18"/>
                <w:szCs w:val="18"/>
              </w:rPr>
              <w:t>)</w:t>
            </w:r>
          </w:p>
        </w:tc>
      </w:tr>
      <w:tr w:rsidR="00471E14" w14:paraId="79B64685" w14:textId="77777777" w:rsidTr="00810564">
        <w:tc>
          <w:tcPr>
            <w:tcW w:w="1162" w:type="dxa"/>
            <w:vMerge/>
            <w:tcBorders>
              <w:top w:val="single" w:sz="6" w:space="0" w:color="00000A"/>
              <w:left w:val="single" w:sz="6" w:space="0" w:color="00000A"/>
              <w:bottom w:val="single" w:sz="6" w:space="0" w:color="00000A"/>
              <w:right w:val="single" w:sz="6" w:space="0" w:color="00000A"/>
            </w:tcBorders>
            <w:shd w:val="clear" w:color="auto" w:fill="FFFFFF"/>
            <w:vAlign w:val="center"/>
          </w:tcPr>
          <w:p w14:paraId="7B2A2D36" w14:textId="77777777" w:rsidR="00471E14" w:rsidRDefault="00471E14">
            <w:pPr>
              <w:widowControl w:val="0"/>
              <w:pBdr>
                <w:top w:val="nil"/>
                <w:left w:val="nil"/>
                <w:bottom w:val="nil"/>
                <w:right w:val="nil"/>
                <w:between w:val="nil"/>
              </w:pBdr>
              <w:spacing w:line="276" w:lineRule="auto"/>
              <w:jc w:val="left"/>
              <w:rPr>
                <w:rFonts w:ascii="Arial" w:eastAsia="Arial" w:hAnsi="Arial" w:cs="Arial"/>
                <w:sz w:val="18"/>
                <w:szCs w:val="18"/>
              </w:rPr>
            </w:pPr>
          </w:p>
        </w:tc>
        <w:tc>
          <w:tcPr>
            <w:tcW w:w="1189"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1C15704C" w14:textId="7777777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Female genitalia </w:t>
            </w:r>
          </w:p>
        </w:tc>
        <w:tc>
          <w:tcPr>
            <w:tcW w:w="6721" w:type="dxa"/>
            <w:tcBorders>
              <w:top w:val="single" w:sz="6" w:space="0" w:color="00000A"/>
              <w:left w:val="single" w:sz="6" w:space="0" w:color="00000A"/>
              <w:bottom w:val="single" w:sz="6" w:space="0" w:color="00000A"/>
              <w:right w:val="single" w:sz="6" w:space="0" w:color="00000A"/>
            </w:tcBorders>
            <w:shd w:val="clear" w:color="auto" w:fill="FFFFFF"/>
            <w:vAlign w:val="center"/>
          </w:tcPr>
          <w:p w14:paraId="7D81DADD" w14:textId="708D1BB7" w:rsidR="00471E14" w:rsidRDefault="0099106F">
            <w:pPr>
              <w:spacing w:before="60" w:after="60"/>
              <w:jc w:val="left"/>
              <w:rPr>
                <w:rFonts w:ascii="Arial" w:eastAsia="Arial" w:hAnsi="Arial" w:cs="Arial"/>
                <w:sz w:val="18"/>
                <w:szCs w:val="18"/>
              </w:rPr>
            </w:pPr>
            <w:r>
              <w:rPr>
                <w:rFonts w:ascii="Arial" w:eastAsia="Arial" w:hAnsi="Arial" w:cs="Arial"/>
                <w:sz w:val="18"/>
                <w:szCs w:val="18"/>
              </w:rPr>
              <w:t xml:space="preserve">Oviscape yellow to orange, straight; 1.45–1.95 mm long, 0.6–0.8 times as long as mesonotum (Figure </w:t>
            </w:r>
            <w:r w:rsidR="007771A9">
              <w:rPr>
                <w:rFonts w:ascii="Arial" w:eastAsia="Arial" w:hAnsi="Arial" w:cs="Arial"/>
                <w:sz w:val="18"/>
                <w:szCs w:val="18"/>
              </w:rPr>
              <w:t>4-D</w:t>
            </w:r>
            <w:r>
              <w:rPr>
                <w:rFonts w:ascii="Arial" w:eastAsia="Arial" w:hAnsi="Arial" w:cs="Arial"/>
                <w:sz w:val="18"/>
                <w:szCs w:val="18"/>
              </w:rPr>
              <w:t xml:space="preserve">); aculeus 1.4–1.6 mm long; aculeus tip 0.19–0.23 mm long, 0.10–0.13 mm wide, lateral margins serrate on distal 0.50–0.65 (Figure </w:t>
            </w:r>
            <w:r w:rsidR="007771A9">
              <w:rPr>
                <w:rFonts w:ascii="Arial" w:eastAsia="Arial" w:hAnsi="Arial" w:cs="Arial"/>
                <w:sz w:val="18"/>
                <w:szCs w:val="18"/>
              </w:rPr>
              <w:t>8-E</w:t>
            </w:r>
            <w:r>
              <w:rPr>
                <w:rFonts w:ascii="Arial" w:eastAsia="Arial" w:hAnsi="Arial" w:cs="Arial"/>
                <w:sz w:val="18"/>
                <w:szCs w:val="18"/>
              </w:rPr>
              <w:t>)</w:t>
            </w:r>
          </w:p>
        </w:tc>
      </w:tr>
    </w:tbl>
    <w:p w14:paraId="60BC4E6E" w14:textId="77777777" w:rsidR="00471E14" w:rsidRDefault="00471E14">
      <w:pPr>
        <w:rPr>
          <w:sz w:val="18"/>
          <w:szCs w:val="18"/>
        </w:rPr>
      </w:pPr>
    </w:p>
    <w:p w14:paraId="3319C461" w14:textId="77777777" w:rsidR="00471E14" w:rsidRDefault="00471E14">
      <w:pPr>
        <w:pBdr>
          <w:top w:val="nil"/>
          <w:left w:val="nil"/>
          <w:bottom w:val="nil"/>
          <w:right w:val="nil"/>
          <w:between w:val="nil"/>
        </w:pBdr>
        <w:rPr>
          <w:rFonts w:ascii="Arial" w:eastAsia="Arial" w:hAnsi="Arial" w:cs="Arial"/>
          <w:b/>
          <w:sz w:val="18"/>
          <w:szCs w:val="18"/>
        </w:rPr>
      </w:pPr>
    </w:p>
    <w:p w14:paraId="7E8F7EB9" w14:textId="77777777" w:rsidR="00471E14" w:rsidRPr="007708DB" w:rsidRDefault="0099106F" w:rsidP="00810564">
      <w:pPr>
        <w:keepNext/>
        <w:pBdr>
          <w:top w:val="nil"/>
          <w:left w:val="nil"/>
          <w:bottom w:val="nil"/>
          <w:right w:val="nil"/>
          <w:between w:val="nil"/>
        </w:pBdr>
        <w:spacing w:before="60" w:after="60"/>
        <w:rPr>
          <w:rFonts w:ascii="Arial" w:eastAsia="Arial" w:hAnsi="Arial" w:cs="Arial"/>
          <w:sz w:val="18"/>
          <w:szCs w:val="18"/>
        </w:rPr>
      </w:pPr>
      <w:r w:rsidRPr="007708DB">
        <w:rPr>
          <w:rFonts w:ascii="Arial" w:eastAsia="Arial" w:hAnsi="Arial" w:cs="Arial"/>
          <w:b/>
          <w:sz w:val="18"/>
          <w:szCs w:val="18"/>
        </w:rPr>
        <w:t xml:space="preserve">Table 4. </w:t>
      </w:r>
      <w:r w:rsidRPr="007708DB">
        <w:rPr>
          <w:rFonts w:ascii="Arial" w:eastAsia="Arial" w:hAnsi="Arial" w:cs="Arial"/>
          <w:sz w:val="18"/>
          <w:szCs w:val="18"/>
        </w:rPr>
        <w:t xml:space="preserve">Key morphological characters of third instars of </w:t>
      </w:r>
      <w:r w:rsidRPr="007708DB">
        <w:rPr>
          <w:rFonts w:ascii="Arial" w:eastAsia="Arial" w:hAnsi="Arial" w:cs="Arial"/>
          <w:i/>
          <w:sz w:val="18"/>
          <w:szCs w:val="18"/>
        </w:rPr>
        <w:t>Anastrepha</w:t>
      </w:r>
      <w:r w:rsidRPr="007708DB">
        <w:rPr>
          <w:rFonts w:ascii="Arial" w:eastAsia="Arial" w:hAnsi="Arial" w:cs="Arial"/>
          <w:sz w:val="18"/>
          <w:szCs w:val="18"/>
        </w:rPr>
        <w:t xml:space="preserve"> species</w:t>
      </w:r>
      <w:r w:rsidRPr="007708DB">
        <w:rPr>
          <w:rFonts w:ascii="Arial" w:eastAsia="Arial" w:hAnsi="Arial" w:cs="Arial"/>
          <w:b/>
          <w:sz w:val="18"/>
          <w:szCs w:val="18"/>
        </w:rPr>
        <w:t xml:space="preserve">. </w:t>
      </w:r>
      <w:r w:rsidRPr="007708DB">
        <w:rPr>
          <w:rFonts w:ascii="Arial" w:eastAsia="Arial" w:hAnsi="Arial" w:cs="Arial"/>
          <w:sz w:val="18"/>
          <w:szCs w:val="18"/>
        </w:rPr>
        <w:t>Data taken from Steck et al. (1992), Carroll et al. (2004), Hernandez et al. (2019), Rodriguez (2022) and Martinez Alava (2022).</w:t>
      </w:r>
    </w:p>
    <w:tbl>
      <w:tblPr>
        <w:tblStyle w:val="a2"/>
        <w:tblW w:w="9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85"/>
        <w:gridCol w:w="1065"/>
        <w:gridCol w:w="1005"/>
        <w:gridCol w:w="1170"/>
        <w:gridCol w:w="1140"/>
        <w:gridCol w:w="1005"/>
        <w:gridCol w:w="1245"/>
        <w:gridCol w:w="1245"/>
      </w:tblGrid>
      <w:tr w:rsidR="00B71B0E" w:rsidRPr="00B71B0E" w14:paraId="41D00FDB" w14:textId="77777777">
        <w:tc>
          <w:tcPr>
            <w:tcW w:w="1185" w:type="dxa"/>
            <w:shd w:val="clear" w:color="auto" w:fill="auto"/>
            <w:tcMar>
              <w:top w:w="100" w:type="dxa"/>
              <w:left w:w="100" w:type="dxa"/>
              <w:bottom w:w="100" w:type="dxa"/>
              <w:right w:w="100" w:type="dxa"/>
            </w:tcMar>
          </w:tcPr>
          <w:p w14:paraId="61FD75F7" w14:textId="77777777"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sz w:val="18"/>
                <w:szCs w:val="18"/>
              </w:rPr>
              <w:t>Species</w:t>
            </w:r>
          </w:p>
        </w:tc>
        <w:tc>
          <w:tcPr>
            <w:tcW w:w="1065" w:type="dxa"/>
            <w:shd w:val="clear" w:color="auto" w:fill="auto"/>
            <w:tcMar>
              <w:top w:w="100" w:type="dxa"/>
              <w:left w:w="100" w:type="dxa"/>
              <w:bottom w:w="100" w:type="dxa"/>
              <w:right w:w="100" w:type="dxa"/>
            </w:tcMar>
          </w:tcPr>
          <w:p w14:paraId="53A3812F" w14:textId="77777777"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sz w:val="18"/>
                <w:szCs w:val="18"/>
              </w:rPr>
              <w:t>Maximum length (mm)</w:t>
            </w:r>
          </w:p>
        </w:tc>
        <w:tc>
          <w:tcPr>
            <w:tcW w:w="1005" w:type="dxa"/>
            <w:shd w:val="clear" w:color="auto" w:fill="auto"/>
            <w:tcMar>
              <w:top w:w="100" w:type="dxa"/>
              <w:left w:w="100" w:type="dxa"/>
              <w:bottom w:w="100" w:type="dxa"/>
              <w:right w:w="100" w:type="dxa"/>
            </w:tcMar>
          </w:tcPr>
          <w:p w14:paraId="429FDCF6" w14:textId="77777777"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sz w:val="18"/>
                <w:szCs w:val="18"/>
              </w:rPr>
              <w:t>Dorsal spinules present</w:t>
            </w:r>
          </w:p>
        </w:tc>
        <w:tc>
          <w:tcPr>
            <w:tcW w:w="1170" w:type="dxa"/>
            <w:shd w:val="clear" w:color="auto" w:fill="auto"/>
            <w:tcMar>
              <w:top w:w="100" w:type="dxa"/>
              <w:left w:w="100" w:type="dxa"/>
              <w:bottom w:w="100" w:type="dxa"/>
              <w:right w:w="100" w:type="dxa"/>
            </w:tcMar>
          </w:tcPr>
          <w:p w14:paraId="09ECB0FF" w14:textId="77777777" w:rsidR="00471E14" w:rsidRDefault="0099106F">
            <w:pPr>
              <w:widowControl w:val="0"/>
              <w:pBdr>
                <w:top w:val="nil"/>
                <w:left w:val="nil"/>
                <w:bottom w:val="nil"/>
                <w:right w:val="nil"/>
                <w:between w:val="nil"/>
              </w:pBdr>
              <w:jc w:val="left"/>
              <w:rPr>
                <w:rFonts w:ascii="Arial" w:eastAsia="Arial" w:hAnsi="Arial" w:cs="Arial"/>
                <w:b/>
                <w:color w:val="FF0000"/>
                <w:sz w:val="18"/>
                <w:szCs w:val="18"/>
              </w:rPr>
            </w:pPr>
            <w:r>
              <w:rPr>
                <w:rFonts w:ascii="Arial" w:eastAsia="Arial" w:hAnsi="Arial" w:cs="Arial"/>
                <w:b/>
                <w:sz w:val="18"/>
                <w:szCs w:val="18"/>
              </w:rPr>
              <w:t xml:space="preserve">No. oral ridges, margin shape </w:t>
            </w:r>
          </w:p>
        </w:tc>
        <w:tc>
          <w:tcPr>
            <w:tcW w:w="1140" w:type="dxa"/>
            <w:shd w:val="clear" w:color="auto" w:fill="auto"/>
            <w:tcMar>
              <w:top w:w="100" w:type="dxa"/>
              <w:left w:w="100" w:type="dxa"/>
              <w:bottom w:w="100" w:type="dxa"/>
              <w:right w:w="100" w:type="dxa"/>
            </w:tcMar>
          </w:tcPr>
          <w:p w14:paraId="584EE221" w14:textId="77777777"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sz w:val="18"/>
                <w:szCs w:val="18"/>
              </w:rPr>
              <w:t>Accessory plates</w:t>
            </w:r>
          </w:p>
        </w:tc>
        <w:tc>
          <w:tcPr>
            <w:tcW w:w="1005" w:type="dxa"/>
            <w:shd w:val="clear" w:color="auto" w:fill="auto"/>
            <w:tcMar>
              <w:top w:w="100" w:type="dxa"/>
              <w:left w:w="100" w:type="dxa"/>
              <w:bottom w:w="100" w:type="dxa"/>
              <w:right w:w="100" w:type="dxa"/>
            </w:tcMar>
          </w:tcPr>
          <w:p w14:paraId="6545EE5E" w14:textId="77777777"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sz w:val="18"/>
                <w:szCs w:val="18"/>
              </w:rPr>
              <w:t>Preoral organ sensilla</w:t>
            </w:r>
          </w:p>
        </w:tc>
        <w:tc>
          <w:tcPr>
            <w:tcW w:w="1245" w:type="dxa"/>
            <w:shd w:val="clear" w:color="auto" w:fill="auto"/>
            <w:tcMar>
              <w:top w:w="100" w:type="dxa"/>
              <w:left w:w="100" w:type="dxa"/>
              <w:bottom w:w="100" w:type="dxa"/>
              <w:right w:w="100" w:type="dxa"/>
            </w:tcMar>
          </w:tcPr>
          <w:p w14:paraId="46D678F2" w14:textId="77777777"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sz w:val="18"/>
                <w:szCs w:val="18"/>
              </w:rPr>
              <w:t>Mouthhook, length b (tip to ventral apodeme) (mm)</w:t>
            </w:r>
          </w:p>
        </w:tc>
        <w:tc>
          <w:tcPr>
            <w:tcW w:w="1245" w:type="dxa"/>
            <w:shd w:val="clear" w:color="auto" w:fill="auto"/>
            <w:tcMar>
              <w:top w:w="100" w:type="dxa"/>
              <w:left w:w="100" w:type="dxa"/>
              <w:bottom w:w="100" w:type="dxa"/>
              <w:right w:w="100" w:type="dxa"/>
            </w:tcMar>
          </w:tcPr>
          <w:p w14:paraId="2CEAABDD" w14:textId="77777777" w:rsidR="00471E14" w:rsidRPr="00B71B0E" w:rsidRDefault="0099106F">
            <w:pPr>
              <w:widowControl w:val="0"/>
              <w:pBdr>
                <w:top w:val="nil"/>
                <w:left w:val="nil"/>
                <w:bottom w:val="nil"/>
                <w:right w:val="nil"/>
                <w:between w:val="nil"/>
              </w:pBdr>
              <w:jc w:val="left"/>
              <w:rPr>
                <w:rFonts w:ascii="Arial" w:eastAsia="Arial" w:hAnsi="Arial" w:cs="Arial"/>
                <w:b/>
                <w:sz w:val="18"/>
                <w:szCs w:val="18"/>
              </w:rPr>
            </w:pPr>
            <w:r w:rsidRPr="00B71B0E">
              <w:rPr>
                <w:rFonts w:ascii="Arial" w:eastAsia="Arial" w:hAnsi="Arial" w:cs="Arial"/>
                <w:b/>
                <w:sz w:val="18"/>
                <w:szCs w:val="18"/>
              </w:rPr>
              <w:t xml:space="preserve">Mouthhook, ventral surface </w:t>
            </w:r>
          </w:p>
        </w:tc>
      </w:tr>
      <w:tr w:rsidR="00B71B0E" w:rsidRPr="00B71B0E" w14:paraId="1099A54B" w14:textId="77777777">
        <w:tc>
          <w:tcPr>
            <w:tcW w:w="1185" w:type="dxa"/>
            <w:shd w:val="clear" w:color="auto" w:fill="auto"/>
            <w:tcMar>
              <w:top w:w="100" w:type="dxa"/>
              <w:left w:w="100" w:type="dxa"/>
              <w:bottom w:w="100" w:type="dxa"/>
              <w:right w:w="100" w:type="dxa"/>
            </w:tcMar>
          </w:tcPr>
          <w:p w14:paraId="65FD24D7" w14:textId="77777777" w:rsidR="00471E14" w:rsidRDefault="0099106F">
            <w:pPr>
              <w:widowControl w:val="0"/>
              <w:pBdr>
                <w:top w:val="nil"/>
                <w:left w:val="nil"/>
                <w:bottom w:val="nil"/>
                <w:right w:val="nil"/>
                <w:between w:val="nil"/>
              </w:pBdr>
              <w:jc w:val="left"/>
              <w:rPr>
                <w:rFonts w:ascii="Arial" w:eastAsia="Arial" w:hAnsi="Arial" w:cs="Arial"/>
                <w:b/>
                <w:i/>
                <w:sz w:val="18"/>
                <w:szCs w:val="18"/>
              </w:rPr>
            </w:pPr>
            <w:r>
              <w:rPr>
                <w:rFonts w:ascii="Arial" w:eastAsia="Arial" w:hAnsi="Arial" w:cs="Arial"/>
                <w:b/>
                <w:i/>
                <w:sz w:val="18"/>
                <w:szCs w:val="18"/>
              </w:rPr>
              <w:t>curvicauda</w:t>
            </w:r>
          </w:p>
        </w:tc>
        <w:tc>
          <w:tcPr>
            <w:tcW w:w="1065" w:type="dxa"/>
            <w:shd w:val="clear" w:color="auto" w:fill="auto"/>
            <w:tcMar>
              <w:top w:w="100" w:type="dxa"/>
              <w:left w:w="100" w:type="dxa"/>
              <w:bottom w:w="100" w:type="dxa"/>
              <w:right w:w="100" w:type="dxa"/>
            </w:tcMar>
          </w:tcPr>
          <w:p w14:paraId="3B7B359B"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15</w:t>
            </w:r>
          </w:p>
        </w:tc>
        <w:tc>
          <w:tcPr>
            <w:tcW w:w="1005" w:type="dxa"/>
            <w:shd w:val="clear" w:color="auto" w:fill="auto"/>
            <w:tcMar>
              <w:top w:w="100" w:type="dxa"/>
              <w:left w:w="100" w:type="dxa"/>
              <w:bottom w:w="100" w:type="dxa"/>
              <w:right w:w="100" w:type="dxa"/>
            </w:tcMar>
          </w:tcPr>
          <w:p w14:paraId="00C44B90"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T1–T3 (–A1 or beyond in Colombia)</w:t>
            </w:r>
          </w:p>
        </w:tc>
        <w:tc>
          <w:tcPr>
            <w:tcW w:w="1170" w:type="dxa"/>
            <w:shd w:val="clear" w:color="auto" w:fill="auto"/>
            <w:tcMar>
              <w:top w:w="100" w:type="dxa"/>
              <w:left w:w="100" w:type="dxa"/>
              <w:bottom w:w="100" w:type="dxa"/>
              <w:right w:w="100" w:type="dxa"/>
            </w:tcMar>
          </w:tcPr>
          <w:p w14:paraId="05937509"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13–19, margins entire</w:t>
            </w:r>
          </w:p>
        </w:tc>
        <w:tc>
          <w:tcPr>
            <w:tcW w:w="1140" w:type="dxa"/>
            <w:shd w:val="clear" w:color="auto" w:fill="auto"/>
            <w:tcMar>
              <w:top w:w="100" w:type="dxa"/>
              <w:left w:w="100" w:type="dxa"/>
              <w:bottom w:w="100" w:type="dxa"/>
              <w:right w:w="100" w:type="dxa"/>
            </w:tcMar>
          </w:tcPr>
          <w:p w14:paraId="04FD83B6" w14:textId="294348CD"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16-34, in 1</w:t>
            </w:r>
            <w:r w:rsidR="00356FD9">
              <w:rPr>
                <w:rFonts w:ascii="Arial" w:eastAsia="Arial" w:hAnsi="Arial" w:cs="Arial"/>
                <w:sz w:val="18"/>
                <w:szCs w:val="18"/>
              </w:rPr>
              <w:t>–</w:t>
            </w:r>
            <w:r>
              <w:rPr>
                <w:rFonts w:ascii="Arial" w:eastAsia="Arial" w:hAnsi="Arial" w:cs="Arial"/>
                <w:sz w:val="18"/>
                <w:szCs w:val="18"/>
              </w:rPr>
              <w:t>3 series</w:t>
            </w:r>
          </w:p>
        </w:tc>
        <w:tc>
          <w:tcPr>
            <w:tcW w:w="1005" w:type="dxa"/>
            <w:shd w:val="clear" w:color="auto" w:fill="auto"/>
            <w:tcMar>
              <w:top w:w="100" w:type="dxa"/>
              <w:left w:w="100" w:type="dxa"/>
              <w:bottom w:w="100" w:type="dxa"/>
              <w:right w:w="100" w:type="dxa"/>
            </w:tcMar>
          </w:tcPr>
          <w:p w14:paraId="0CB286E3"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 (2 extra but much smaller sensilla may be visible at high magnification)</w:t>
            </w:r>
          </w:p>
        </w:tc>
        <w:tc>
          <w:tcPr>
            <w:tcW w:w="1245" w:type="dxa"/>
            <w:shd w:val="clear" w:color="auto" w:fill="auto"/>
            <w:tcMar>
              <w:top w:w="100" w:type="dxa"/>
              <w:left w:w="100" w:type="dxa"/>
              <w:bottom w:w="100" w:type="dxa"/>
              <w:right w:w="100" w:type="dxa"/>
            </w:tcMar>
          </w:tcPr>
          <w:p w14:paraId="37ED7BA6"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0.20–0.25</w:t>
            </w:r>
          </w:p>
        </w:tc>
        <w:tc>
          <w:tcPr>
            <w:tcW w:w="1245" w:type="dxa"/>
            <w:shd w:val="clear" w:color="auto" w:fill="auto"/>
            <w:tcMar>
              <w:top w:w="100" w:type="dxa"/>
              <w:left w:w="100" w:type="dxa"/>
              <w:bottom w:w="100" w:type="dxa"/>
              <w:right w:w="100" w:type="dxa"/>
            </w:tcMar>
          </w:tcPr>
          <w:p w14:paraId="2CAD54C4" w14:textId="77777777" w:rsidR="00471E14" w:rsidRPr="00B71B0E" w:rsidRDefault="0099106F">
            <w:pPr>
              <w:widowControl w:val="0"/>
              <w:pBdr>
                <w:top w:val="nil"/>
                <w:left w:val="nil"/>
                <w:bottom w:val="nil"/>
                <w:right w:val="nil"/>
                <w:between w:val="nil"/>
              </w:pBdr>
              <w:jc w:val="left"/>
              <w:rPr>
                <w:rFonts w:ascii="Arial" w:eastAsia="Arial" w:hAnsi="Arial" w:cs="Arial"/>
                <w:sz w:val="18"/>
                <w:szCs w:val="18"/>
              </w:rPr>
            </w:pPr>
            <w:r w:rsidRPr="00B71B0E">
              <w:rPr>
                <w:rFonts w:ascii="Arial" w:eastAsia="Arial" w:hAnsi="Arial" w:cs="Arial"/>
                <w:sz w:val="18"/>
                <w:szCs w:val="18"/>
              </w:rPr>
              <w:t>weakly papillate</w:t>
            </w:r>
          </w:p>
        </w:tc>
      </w:tr>
      <w:tr w:rsidR="00471E14" w14:paraId="436BF4DA" w14:textId="77777777">
        <w:tc>
          <w:tcPr>
            <w:tcW w:w="1185" w:type="dxa"/>
            <w:shd w:val="clear" w:color="auto" w:fill="auto"/>
            <w:tcMar>
              <w:top w:w="100" w:type="dxa"/>
              <w:left w:w="100" w:type="dxa"/>
              <w:bottom w:w="100" w:type="dxa"/>
              <w:right w:w="100" w:type="dxa"/>
            </w:tcMar>
          </w:tcPr>
          <w:p w14:paraId="7166E9A9" w14:textId="77777777" w:rsidR="00471E14" w:rsidRDefault="0099106F">
            <w:pPr>
              <w:widowControl w:val="0"/>
              <w:pBdr>
                <w:top w:val="nil"/>
                <w:left w:val="nil"/>
                <w:bottom w:val="nil"/>
                <w:right w:val="nil"/>
                <w:between w:val="nil"/>
              </w:pBdr>
              <w:jc w:val="left"/>
              <w:rPr>
                <w:rFonts w:ascii="Arial" w:eastAsia="Arial" w:hAnsi="Arial" w:cs="Arial"/>
                <w:b/>
                <w:i/>
                <w:sz w:val="18"/>
                <w:szCs w:val="18"/>
              </w:rPr>
            </w:pPr>
            <w:r>
              <w:rPr>
                <w:rFonts w:ascii="Arial" w:eastAsia="Arial" w:hAnsi="Arial" w:cs="Arial"/>
                <w:b/>
                <w:i/>
                <w:sz w:val="18"/>
                <w:szCs w:val="18"/>
              </w:rPr>
              <w:t xml:space="preserve">fraterculus </w:t>
            </w:r>
            <w:r>
              <w:rPr>
                <w:rFonts w:ascii="Arial" w:eastAsia="Arial" w:hAnsi="Arial" w:cs="Arial"/>
                <w:b/>
                <w:sz w:val="18"/>
                <w:szCs w:val="18"/>
              </w:rPr>
              <w:t>species complex</w:t>
            </w:r>
          </w:p>
        </w:tc>
        <w:tc>
          <w:tcPr>
            <w:tcW w:w="1065" w:type="dxa"/>
            <w:shd w:val="clear" w:color="auto" w:fill="auto"/>
            <w:tcMar>
              <w:top w:w="100" w:type="dxa"/>
              <w:left w:w="100" w:type="dxa"/>
              <w:bottom w:w="100" w:type="dxa"/>
              <w:right w:w="100" w:type="dxa"/>
            </w:tcMar>
          </w:tcPr>
          <w:p w14:paraId="141EFA2C"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10</w:t>
            </w:r>
          </w:p>
        </w:tc>
        <w:tc>
          <w:tcPr>
            <w:tcW w:w="1005" w:type="dxa"/>
            <w:shd w:val="clear" w:color="auto" w:fill="auto"/>
            <w:tcMar>
              <w:top w:w="100" w:type="dxa"/>
              <w:left w:w="100" w:type="dxa"/>
              <w:bottom w:w="100" w:type="dxa"/>
              <w:right w:w="100" w:type="dxa"/>
            </w:tcMar>
          </w:tcPr>
          <w:p w14:paraId="0370348B"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T1–T2 or T3</w:t>
            </w:r>
          </w:p>
        </w:tc>
        <w:tc>
          <w:tcPr>
            <w:tcW w:w="1170" w:type="dxa"/>
            <w:shd w:val="clear" w:color="auto" w:fill="auto"/>
            <w:tcMar>
              <w:top w:w="100" w:type="dxa"/>
              <w:left w:w="100" w:type="dxa"/>
              <w:bottom w:w="100" w:type="dxa"/>
              <w:right w:w="100" w:type="dxa"/>
            </w:tcMar>
          </w:tcPr>
          <w:p w14:paraId="029C61B6"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7–11, margins  emarginate to scalloped</w:t>
            </w:r>
          </w:p>
        </w:tc>
        <w:tc>
          <w:tcPr>
            <w:tcW w:w="1140" w:type="dxa"/>
            <w:shd w:val="clear" w:color="auto" w:fill="auto"/>
            <w:tcMar>
              <w:top w:w="100" w:type="dxa"/>
              <w:left w:w="100" w:type="dxa"/>
              <w:bottom w:w="100" w:type="dxa"/>
              <w:right w:w="100" w:type="dxa"/>
            </w:tcMar>
          </w:tcPr>
          <w:p w14:paraId="445D32D9"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4–11, in single series</w:t>
            </w:r>
          </w:p>
        </w:tc>
        <w:tc>
          <w:tcPr>
            <w:tcW w:w="1005" w:type="dxa"/>
            <w:shd w:val="clear" w:color="auto" w:fill="auto"/>
            <w:tcMar>
              <w:top w:w="100" w:type="dxa"/>
              <w:left w:w="100" w:type="dxa"/>
              <w:bottom w:w="100" w:type="dxa"/>
              <w:right w:w="100" w:type="dxa"/>
            </w:tcMar>
          </w:tcPr>
          <w:p w14:paraId="46747D5C"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2 or 3</w:t>
            </w:r>
          </w:p>
        </w:tc>
        <w:tc>
          <w:tcPr>
            <w:tcW w:w="1245" w:type="dxa"/>
            <w:shd w:val="clear" w:color="auto" w:fill="auto"/>
            <w:tcMar>
              <w:top w:w="100" w:type="dxa"/>
              <w:left w:w="100" w:type="dxa"/>
              <w:bottom w:w="100" w:type="dxa"/>
              <w:right w:w="100" w:type="dxa"/>
            </w:tcMar>
          </w:tcPr>
          <w:p w14:paraId="7DFA0AAF"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0.20–0.27</w:t>
            </w:r>
          </w:p>
        </w:tc>
        <w:tc>
          <w:tcPr>
            <w:tcW w:w="1245" w:type="dxa"/>
            <w:shd w:val="clear" w:color="auto" w:fill="auto"/>
            <w:tcMar>
              <w:top w:w="100" w:type="dxa"/>
              <w:left w:w="100" w:type="dxa"/>
              <w:bottom w:w="100" w:type="dxa"/>
              <w:right w:w="100" w:type="dxa"/>
            </w:tcMar>
          </w:tcPr>
          <w:p w14:paraId="7C78DAB9"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smooth</w:t>
            </w:r>
          </w:p>
        </w:tc>
      </w:tr>
      <w:tr w:rsidR="00471E14" w14:paraId="06A6D763" w14:textId="77777777">
        <w:tc>
          <w:tcPr>
            <w:tcW w:w="1185" w:type="dxa"/>
            <w:shd w:val="clear" w:color="auto" w:fill="auto"/>
            <w:tcMar>
              <w:top w:w="100" w:type="dxa"/>
              <w:left w:w="100" w:type="dxa"/>
              <w:bottom w:w="100" w:type="dxa"/>
              <w:right w:w="100" w:type="dxa"/>
            </w:tcMar>
          </w:tcPr>
          <w:p w14:paraId="1F9D1C99" w14:textId="77777777" w:rsidR="00471E14" w:rsidRDefault="0099106F">
            <w:pPr>
              <w:widowControl w:val="0"/>
              <w:pBdr>
                <w:top w:val="nil"/>
                <w:left w:val="nil"/>
                <w:bottom w:val="nil"/>
                <w:right w:val="nil"/>
                <w:between w:val="nil"/>
              </w:pBdr>
              <w:jc w:val="left"/>
              <w:rPr>
                <w:rFonts w:ascii="Arial" w:eastAsia="Arial" w:hAnsi="Arial" w:cs="Arial"/>
                <w:b/>
                <w:i/>
                <w:sz w:val="18"/>
                <w:szCs w:val="18"/>
              </w:rPr>
            </w:pPr>
            <w:r>
              <w:rPr>
                <w:rFonts w:ascii="Arial" w:eastAsia="Arial" w:hAnsi="Arial" w:cs="Arial"/>
                <w:b/>
                <w:i/>
                <w:sz w:val="18"/>
                <w:szCs w:val="18"/>
              </w:rPr>
              <w:t>grandis</w:t>
            </w:r>
          </w:p>
        </w:tc>
        <w:tc>
          <w:tcPr>
            <w:tcW w:w="1065" w:type="dxa"/>
            <w:shd w:val="clear" w:color="auto" w:fill="auto"/>
            <w:tcMar>
              <w:top w:w="100" w:type="dxa"/>
              <w:left w:w="100" w:type="dxa"/>
              <w:bottom w:w="100" w:type="dxa"/>
              <w:right w:w="100" w:type="dxa"/>
            </w:tcMar>
          </w:tcPr>
          <w:p w14:paraId="695EE568"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17</w:t>
            </w:r>
          </w:p>
        </w:tc>
        <w:tc>
          <w:tcPr>
            <w:tcW w:w="1005" w:type="dxa"/>
            <w:shd w:val="clear" w:color="auto" w:fill="auto"/>
            <w:tcMar>
              <w:top w:w="100" w:type="dxa"/>
              <w:left w:w="100" w:type="dxa"/>
              <w:bottom w:w="100" w:type="dxa"/>
              <w:right w:w="100" w:type="dxa"/>
            </w:tcMar>
          </w:tcPr>
          <w:p w14:paraId="7893C016"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T1– A4 or A5</w:t>
            </w:r>
          </w:p>
        </w:tc>
        <w:tc>
          <w:tcPr>
            <w:tcW w:w="1170" w:type="dxa"/>
            <w:shd w:val="clear" w:color="auto" w:fill="auto"/>
            <w:tcMar>
              <w:top w:w="100" w:type="dxa"/>
              <w:left w:w="100" w:type="dxa"/>
              <w:bottom w:w="100" w:type="dxa"/>
              <w:right w:w="100" w:type="dxa"/>
            </w:tcMar>
          </w:tcPr>
          <w:p w14:paraId="573D0F1E"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8–13, margins weakly emarginate</w:t>
            </w:r>
          </w:p>
        </w:tc>
        <w:tc>
          <w:tcPr>
            <w:tcW w:w="1140" w:type="dxa"/>
            <w:shd w:val="clear" w:color="auto" w:fill="auto"/>
            <w:tcMar>
              <w:top w:w="100" w:type="dxa"/>
              <w:left w:w="100" w:type="dxa"/>
              <w:bottom w:w="100" w:type="dxa"/>
              <w:right w:w="100" w:type="dxa"/>
            </w:tcMar>
          </w:tcPr>
          <w:p w14:paraId="5C79C6F1"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13-24, in 2–4 series</w:t>
            </w:r>
          </w:p>
        </w:tc>
        <w:tc>
          <w:tcPr>
            <w:tcW w:w="1005" w:type="dxa"/>
            <w:shd w:val="clear" w:color="auto" w:fill="auto"/>
            <w:tcMar>
              <w:top w:w="100" w:type="dxa"/>
              <w:left w:w="100" w:type="dxa"/>
              <w:bottom w:w="100" w:type="dxa"/>
              <w:right w:w="100" w:type="dxa"/>
            </w:tcMar>
          </w:tcPr>
          <w:p w14:paraId="46D1EB9C"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3</w:t>
            </w:r>
          </w:p>
        </w:tc>
        <w:tc>
          <w:tcPr>
            <w:tcW w:w="1245" w:type="dxa"/>
            <w:shd w:val="clear" w:color="auto" w:fill="auto"/>
            <w:tcMar>
              <w:top w:w="100" w:type="dxa"/>
              <w:left w:w="100" w:type="dxa"/>
              <w:bottom w:w="100" w:type="dxa"/>
              <w:right w:w="100" w:type="dxa"/>
            </w:tcMar>
          </w:tcPr>
          <w:p w14:paraId="7E489443"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0.30–0.37</w:t>
            </w:r>
          </w:p>
        </w:tc>
        <w:tc>
          <w:tcPr>
            <w:tcW w:w="1245" w:type="dxa"/>
            <w:shd w:val="clear" w:color="auto" w:fill="auto"/>
            <w:tcMar>
              <w:top w:w="100" w:type="dxa"/>
              <w:left w:w="100" w:type="dxa"/>
              <w:bottom w:w="100" w:type="dxa"/>
              <w:right w:w="100" w:type="dxa"/>
            </w:tcMar>
          </w:tcPr>
          <w:p w14:paraId="416CD151"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densely papillate</w:t>
            </w:r>
          </w:p>
        </w:tc>
      </w:tr>
      <w:tr w:rsidR="00471E14" w14:paraId="2ADE707C" w14:textId="77777777">
        <w:tc>
          <w:tcPr>
            <w:tcW w:w="1185" w:type="dxa"/>
            <w:shd w:val="clear" w:color="auto" w:fill="auto"/>
            <w:tcMar>
              <w:top w:w="100" w:type="dxa"/>
              <w:left w:w="100" w:type="dxa"/>
              <w:bottom w:w="100" w:type="dxa"/>
              <w:right w:w="100" w:type="dxa"/>
            </w:tcMar>
          </w:tcPr>
          <w:p w14:paraId="49A1A4F7" w14:textId="77777777" w:rsidR="00471E14" w:rsidRDefault="0099106F">
            <w:pPr>
              <w:widowControl w:val="0"/>
              <w:pBdr>
                <w:top w:val="nil"/>
                <w:left w:val="nil"/>
                <w:bottom w:val="nil"/>
                <w:right w:val="nil"/>
                <w:between w:val="nil"/>
              </w:pBdr>
              <w:jc w:val="left"/>
              <w:rPr>
                <w:rFonts w:ascii="Arial" w:eastAsia="Arial" w:hAnsi="Arial" w:cs="Arial"/>
                <w:b/>
                <w:i/>
                <w:sz w:val="18"/>
                <w:szCs w:val="18"/>
              </w:rPr>
            </w:pPr>
            <w:r>
              <w:rPr>
                <w:rFonts w:ascii="Arial" w:eastAsia="Arial" w:hAnsi="Arial" w:cs="Arial"/>
                <w:b/>
                <w:i/>
                <w:sz w:val="18"/>
                <w:szCs w:val="18"/>
              </w:rPr>
              <w:t>ludens</w:t>
            </w:r>
          </w:p>
        </w:tc>
        <w:tc>
          <w:tcPr>
            <w:tcW w:w="1065" w:type="dxa"/>
            <w:shd w:val="clear" w:color="auto" w:fill="auto"/>
            <w:tcMar>
              <w:top w:w="100" w:type="dxa"/>
              <w:left w:w="100" w:type="dxa"/>
              <w:bottom w:w="100" w:type="dxa"/>
              <w:right w:w="100" w:type="dxa"/>
            </w:tcMar>
          </w:tcPr>
          <w:p w14:paraId="594273D1"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12</w:t>
            </w:r>
          </w:p>
        </w:tc>
        <w:tc>
          <w:tcPr>
            <w:tcW w:w="1005" w:type="dxa"/>
            <w:shd w:val="clear" w:color="auto" w:fill="auto"/>
            <w:tcMar>
              <w:top w:w="100" w:type="dxa"/>
              <w:left w:w="100" w:type="dxa"/>
              <w:bottom w:w="100" w:type="dxa"/>
              <w:right w:w="100" w:type="dxa"/>
            </w:tcMar>
          </w:tcPr>
          <w:p w14:paraId="6561FBD4"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T1–T3 or A1</w:t>
            </w:r>
          </w:p>
        </w:tc>
        <w:tc>
          <w:tcPr>
            <w:tcW w:w="1170" w:type="dxa"/>
            <w:shd w:val="clear" w:color="auto" w:fill="auto"/>
            <w:tcMar>
              <w:top w:w="100" w:type="dxa"/>
              <w:left w:w="100" w:type="dxa"/>
              <w:bottom w:w="100" w:type="dxa"/>
              <w:right w:w="100" w:type="dxa"/>
            </w:tcMar>
          </w:tcPr>
          <w:p w14:paraId="7B06EB39"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11–17, margins entire, rarely scalloped</w:t>
            </w:r>
          </w:p>
        </w:tc>
        <w:tc>
          <w:tcPr>
            <w:tcW w:w="1140" w:type="dxa"/>
            <w:shd w:val="clear" w:color="auto" w:fill="auto"/>
            <w:tcMar>
              <w:top w:w="100" w:type="dxa"/>
              <w:left w:w="100" w:type="dxa"/>
              <w:bottom w:w="100" w:type="dxa"/>
              <w:right w:w="100" w:type="dxa"/>
            </w:tcMar>
          </w:tcPr>
          <w:p w14:paraId="537AE989" w14:textId="537D73EE"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9-15, in 1</w:t>
            </w:r>
            <w:r w:rsidR="00356FD9">
              <w:rPr>
                <w:rFonts w:ascii="Arial" w:eastAsia="Arial" w:hAnsi="Arial" w:cs="Arial"/>
                <w:sz w:val="18"/>
                <w:szCs w:val="18"/>
              </w:rPr>
              <w:t>–</w:t>
            </w:r>
            <w:r>
              <w:rPr>
                <w:rFonts w:ascii="Arial" w:eastAsia="Arial" w:hAnsi="Arial" w:cs="Arial"/>
                <w:sz w:val="18"/>
                <w:szCs w:val="18"/>
              </w:rPr>
              <w:t>2 series</w:t>
            </w:r>
          </w:p>
        </w:tc>
        <w:tc>
          <w:tcPr>
            <w:tcW w:w="1005" w:type="dxa"/>
            <w:shd w:val="clear" w:color="auto" w:fill="auto"/>
            <w:tcMar>
              <w:top w:w="100" w:type="dxa"/>
              <w:left w:w="100" w:type="dxa"/>
              <w:bottom w:w="100" w:type="dxa"/>
              <w:right w:w="100" w:type="dxa"/>
            </w:tcMar>
          </w:tcPr>
          <w:p w14:paraId="2D5E021D"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3</w:t>
            </w:r>
          </w:p>
        </w:tc>
        <w:tc>
          <w:tcPr>
            <w:tcW w:w="1245" w:type="dxa"/>
            <w:shd w:val="clear" w:color="auto" w:fill="auto"/>
            <w:tcMar>
              <w:top w:w="100" w:type="dxa"/>
              <w:left w:w="100" w:type="dxa"/>
              <w:bottom w:w="100" w:type="dxa"/>
              <w:right w:w="100" w:type="dxa"/>
            </w:tcMar>
          </w:tcPr>
          <w:p w14:paraId="0A83E81B"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0.26–0.31</w:t>
            </w:r>
          </w:p>
        </w:tc>
        <w:tc>
          <w:tcPr>
            <w:tcW w:w="1245" w:type="dxa"/>
            <w:shd w:val="clear" w:color="auto" w:fill="auto"/>
            <w:tcMar>
              <w:top w:w="100" w:type="dxa"/>
              <w:left w:w="100" w:type="dxa"/>
              <w:bottom w:w="100" w:type="dxa"/>
              <w:right w:w="100" w:type="dxa"/>
            </w:tcMar>
          </w:tcPr>
          <w:p w14:paraId="016C17EC"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nearly smooth</w:t>
            </w:r>
          </w:p>
        </w:tc>
      </w:tr>
      <w:tr w:rsidR="00471E14" w14:paraId="3E0AC24D" w14:textId="77777777">
        <w:tc>
          <w:tcPr>
            <w:tcW w:w="1185" w:type="dxa"/>
            <w:shd w:val="clear" w:color="auto" w:fill="auto"/>
            <w:tcMar>
              <w:top w:w="100" w:type="dxa"/>
              <w:left w:w="100" w:type="dxa"/>
              <w:bottom w:w="100" w:type="dxa"/>
              <w:right w:w="100" w:type="dxa"/>
            </w:tcMar>
          </w:tcPr>
          <w:p w14:paraId="328DFDEB" w14:textId="77777777" w:rsidR="00471E14" w:rsidRDefault="0099106F">
            <w:pPr>
              <w:widowControl w:val="0"/>
              <w:pBdr>
                <w:top w:val="nil"/>
                <w:left w:val="nil"/>
                <w:bottom w:val="nil"/>
                <w:right w:val="nil"/>
                <w:between w:val="nil"/>
              </w:pBdr>
              <w:jc w:val="left"/>
              <w:rPr>
                <w:rFonts w:ascii="Arial" w:eastAsia="Arial" w:hAnsi="Arial" w:cs="Arial"/>
                <w:b/>
                <w:i/>
                <w:sz w:val="18"/>
                <w:szCs w:val="18"/>
              </w:rPr>
            </w:pPr>
            <w:r>
              <w:rPr>
                <w:rFonts w:ascii="Arial" w:eastAsia="Arial" w:hAnsi="Arial" w:cs="Arial"/>
                <w:b/>
                <w:i/>
                <w:sz w:val="18"/>
                <w:szCs w:val="18"/>
              </w:rPr>
              <w:t>obliqua</w:t>
            </w:r>
          </w:p>
        </w:tc>
        <w:tc>
          <w:tcPr>
            <w:tcW w:w="1065" w:type="dxa"/>
            <w:shd w:val="clear" w:color="auto" w:fill="auto"/>
            <w:tcMar>
              <w:top w:w="100" w:type="dxa"/>
              <w:left w:w="100" w:type="dxa"/>
              <w:bottom w:w="100" w:type="dxa"/>
              <w:right w:w="100" w:type="dxa"/>
            </w:tcMar>
          </w:tcPr>
          <w:p w14:paraId="0C53008C"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11</w:t>
            </w:r>
          </w:p>
        </w:tc>
        <w:tc>
          <w:tcPr>
            <w:tcW w:w="1005" w:type="dxa"/>
            <w:shd w:val="clear" w:color="auto" w:fill="auto"/>
            <w:tcMar>
              <w:top w:w="100" w:type="dxa"/>
              <w:left w:w="100" w:type="dxa"/>
              <w:bottom w:w="100" w:type="dxa"/>
              <w:right w:w="100" w:type="dxa"/>
            </w:tcMar>
          </w:tcPr>
          <w:p w14:paraId="6748A05C"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T1–T2 or T3</w:t>
            </w:r>
          </w:p>
        </w:tc>
        <w:tc>
          <w:tcPr>
            <w:tcW w:w="1170" w:type="dxa"/>
            <w:shd w:val="clear" w:color="auto" w:fill="auto"/>
            <w:tcMar>
              <w:top w:w="100" w:type="dxa"/>
              <w:left w:w="100" w:type="dxa"/>
              <w:bottom w:w="100" w:type="dxa"/>
              <w:right w:w="100" w:type="dxa"/>
            </w:tcMar>
          </w:tcPr>
          <w:p w14:paraId="683CD308"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6–11,  margins  emarginate to scalloped</w:t>
            </w:r>
          </w:p>
        </w:tc>
        <w:tc>
          <w:tcPr>
            <w:tcW w:w="1140" w:type="dxa"/>
            <w:shd w:val="clear" w:color="auto" w:fill="auto"/>
            <w:tcMar>
              <w:top w:w="100" w:type="dxa"/>
              <w:left w:w="100" w:type="dxa"/>
              <w:bottom w:w="100" w:type="dxa"/>
              <w:right w:w="100" w:type="dxa"/>
            </w:tcMar>
          </w:tcPr>
          <w:p w14:paraId="0078C7C1"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3-7, in single series</w:t>
            </w:r>
          </w:p>
        </w:tc>
        <w:tc>
          <w:tcPr>
            <w:tcW w:w="1005" w:type="dxa"/>
            <w:shd w:val="clear" w:color="auto" w:fill="auto"/>
            <w:tcMar>
              <w:top w:w="100" w:type="dxa"/>
              <w:left w:w="100" w:type="dxa"/>
              <w:bottom w:w="100" w:type="dxa"/>
              <w:right w:w="100" w:type="dxa"/>
            </w:tcMar>
          </w:tcPr>
          <w:p w14:paraId="3493F588"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3 or 4</w:t>
            </w:r>
          </w:p>
        </w:tc>
        <w:tc>
          <w:tcPr>
            <w:tcW w:w="1245" w:type="dxa"/>
            <w:shd w:val="clear" w:color="auto" w:fill="auto"/>
            <w:tcMar>
              <w:top w:w="100" w:type="dxa"/>
              <w:left w:w="100" w:type="dxa"/>
              <w:bottom w:w="100" w:type="dxa"/>
              <w:right w:w="100" w:type="dxa"/>
            </w:tcMar>
          </w:tcPr>
          <w:p w14:paraId="2B3F21A6"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0.24–0.31</w:t>
            </w:r>
          </w:p>
        </w:tc>
        <w:tc>
          <w:tcPr>
            <w:tcW w:w="1245" w:type="dxa"/>
            <w:shd w:val="clear" w:color="auto" w:fill="auto"/>
            <w:tcMar>
              <w:top w:w="100" w:type="dxa"/>
              <w:left w:w="100" w:type="dxa"/>
              <w:bottom w:w="100" w:type="dxa"/>
              <w:right w:w="100" w:type="dxa"/>
            </w:tcMar>
          </w:tcPr>
          <w:p w14:paraId="2FFAA7F9"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smooth</w:t>
            </w:r>
          </w:p>
        </w:tc>
      </w:tr>
      <w:tr w:rsidR="00471E14" w14:paraId="6318B9A3" w14:textId="77777777">
        <w:tc>
          <w:tcPr>
            <w:tcW w:w="1185" w:type="dxa"/>
            <w:shd w:val="clear" w:color="auto" w:fill="auto"/>
            <w:tcMar>
              <w:top w:w="100" w:type="dxa"/>
              <w:left w:w="100" w:type="dxa"/>
              <w:bottom w:w="100" w:type="dxa"/>
              <w:right w:w="100" w:type="dxa"/>
            </w:tcMar>
          </w:tcPr>
          <w:p w14:paraId="3DCCE711" w14:textId="77777777"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i/>
                <w:sz w:val="18"/>
                <w:szCs w:val="18"/>
              </w:rPr>
              <w:t>serpentina</w:t>
            </w:r>
          </w:p>
        </w:tc>
        <w:tc>
          <w:tcPr>
            <w:tcW w:w="1065" w:type="dxa"/>
            <w:shd w:val="clear" w:color="auto" w:fill="auto"/>
            <w:tcMar>
              <w:top w:w="100" w:type="dxa"/>
              <w:left w:w="100" w:type="dxa"/>
              <w:bottom w:w="100" w:type="dxa"/>
              <w:right w:w="100" w:type="dxa"/>
            </w:tcMar>
          </w:tcPr>
          <w:p w14:paraId="78C9464C"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10</w:t>
            </w:r>
          </w:p>
        </w:tc>
        <w:tc>
          <w:tcPr>
            <w:tcW w:w="1005" w:type="dxa"/>
            <w:shd w:val="clear" w:color="auto" w:fill="auto"/>
            <w:tcMar>
              <w:top w:w="100" w:type="dxa"/>
              <w:left w:w="100" w:type="dxa"/>
              <w:bottom w:w="100" w:type="dxa"/>
              <w:right w:w="100" w:type="dxa"/>
            </w:tcMar>
          </w:tcPr>
          <w:p w14:paraId="5C9ACA9E"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T1–T2 or T3</w:t>
            </w:r>
          </w:p>
        </w:tc>
        <w:tc>
          <w:tcPr>
            <w:tcW w:w="1170" w:type="dxa"/>
            <w:shd w:val="clear" w:color="auto" w:fill="auto"/>
            <w:tcMar>
              <w:top w:w="100" w:type="dxa"/>
              <w:left w:w="100" w:type="dxa"/>
              <w:bottom w:w="100" w:type="dxa"/>
              <w:right w:w="100" w:type="dxa"/>
            </w:tcMar>
          </w:tcPr>
          <w:p w14:paraId="395BF6BA"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10–17, margins entire to serrate, emarginate or scalloped</w:t>
            </w:r>
          </w:p>
        </w:tc>
        <w:tc>
          <w:tcPr>
            <w:tcW w:w="1140" w:type="dxa"/>
            <w:shd w:val="clear" w:color="auto" w:fill="auto"/>
            <w:tcMar>
              <w:top w:w="100" w:type="dxa"/>
              <w:left w:w="100" w:type="dxa"/>
              <w:bottom w:w="100" w:type="dxa"/>
              <w:right w:w="100" w:type="dxa"/>
            </w:tcMar>
          </w:tcPr>
          <w:p w14:paraId="1815038E" w14:textId="5D3305F1"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8–15, in 1</w:t>
            </w:r>
            <w:r w:rsidR="00356FD9">
              <w:rPr>
                <w:rFonts w:ascii="Arial" w:eastAsia="Arial" w:hAnsi="Arial" w:cs="Arial"/>
                <w:sz w:val="18"/>
                <w:szCs w:val="18"/>
              </w:rPr>
              <w:t>–</w:t>
            </w:r>
            <w:r>
              <w:rPr>
                <w:rFonts w:ascii="Arial" w:eastAsia="Arial" w:hAnsi="Arial" w:cs="Arial"/>
                <w:sz w:val="18"/>
                <w:szCs w:val="18"/>
              </w:rPr>
              <w:t>2 series</w:t>
            </w:r>
          </w:p>
        </w:tc>
        <w:tc>
          <w:tcPr>
            <w:tcW w:w="1005" w:type="dxa"/>
            <w:shd w:val="clear" w:color="auto" w:fill="auto"/>
            <w:tcMar>
              <w:top w:w="100" w:type="dxa"/>
              <w:left w:w="100" w:type="dxa"/>
              <w:bottom w:w="100" w:type="dxa"/>
              <w:right w:w="100" w:type="dxa"/>
            </w:tcMar>
          </w:tcPr>
          <w:p w14:paraId="79362B16"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2</w:t>
            </w:r>
          </w:p>
        </w:tc>
        <w:tc>
          <w:tcPr>
            <w:tcW w:w="1245" w:type="dxa"/>
            <w:shd w:val="clear" w:color="auto" w:fill="auto"/>
            <w:tcMar>
              <w:top w:w="100" w:type="dxa"/>
              <w:left w:w="100" w:type="dxa"/>
              <w:bottom w:w="100" w:type="dxa"/>
              <w:right w:w="100" w:type="dxa"/>
            </w:tcMar>
          </w:tcPr>
          <w:p w14:paraId="2E1FD64A"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0.24–0.30</w:t>
            </w:r>
          </w:p>
        </w:tc>
        <w:tc>
          <w:tcPr>
            <w:tcW w:w="1245" w:type="dxa"/>
            <w:shd w:val="clear" w:color="auto" w:fill="auto"/>
            <w:tcMar>
              <w:top w:w="100" w:type="dxa"/>
              <w:left w:w="100" w:type="dxa"/>
              <w:bottom w:w="100" w:type="dxa"/>
              <w:right w:w="100" w:type="dxa"/>
            </w:tcMar>
          </w:tcPr>
          <w:p w14:paraId="166CB2EC"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 xml:space="preserve"> rough</w:t>
            </w:r>
          </w:p>
        </w:tc>
      </w:tr>
      <w:tr w:rsidR="00471E14" w14:paraId="31395155" w14:textId="77777777">
        <w:tc>
          <w:tcPr>
            <w:tcW w:w="1185" w:type="dxa"/>
            <w:shd w:val="clear" w:color="auto" w:fill="auto"/>
            <w:tcMar>
              <w:top w:w="100" w:type="dxa"/>
              <w:left w:w="100" w:type="dxa"/>
              <w:bottom w:w="100" w:type="dxa"/>
              <w:right w:w="100" w:type="dxa"/>
            </w:tcMar>
          </w:tcPr>
          <w:p w14:paraId="46967B01" w14:textId="77777777" w:rsidR="00471E14" w:rsidRDefault="0099106F">
            <w:pPr>
              <w:widowControl w:val="0"/>
              <w:pBdr>
                <w:top w:val="nil"/>
                <w:left w:val="nil"/>
                <w:bottom w:val="nil"/>
                <w:right w:val="nil"/>
                <w:between w:val="nil"/>
              </w:pBdr>
              <w:jc w:val="left"/>
              <w:rPr>
                <w:rFonts w:ascii="Arial" w:eastAsia="Arial" w:hAnsi="Arial" w:cs="Arial"/>
                <w:b/>
                <w:i/>
                <w:sz w:val="18"/>
                <w:szCs w:val="18"/>
              </w:rPr>
            </w:pPr>
            <w:r>
              <w:rPr>
                <w:rFonts w:ascii="Arial" w:eastAsia="Arial" w:hAnsi="Arial" w:cs="Arial"/>
                <w:b/>
                <w:i/>
                <w:sz w:val="18"/>
                <w:szCs w:val="18"/>
              </w:rPr>
              <w:t>striata</w:t>
            </w:r>
          </w:p>
        </w:tc>
        <w:tc>
          <w:tcPr>
            <w:tcW w:w="1065" w:type="dxa"/>
            <w:shd w:val="clear" w:color="auto" w:fill="auto"/>
            <w:tcMar>
              <w:top w:w="100" w:type="dxa"/>
              <w:left w:w="100" w:type="dxa"/>
              <w:bottom w:w="100" w:type="dxa"/>
              <w:right w:w="100" w:type="dxa"/>
            </w:tcMar>
          </w:tcPr>
          <w:p w14:paraId="15F9B892"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11</w:t>
            </w:r>
          </w:p>
        </w:tc>
        <w:tc>
          <w:tcPr>
            <w:tcW w:w="1005" w:type="dxa"/>
            <w:shd w:val="clear" w:color="auto" w:fill="auto"/>
            <w:tcMar>
              <w:top w:w="100" w:type="dxa"/>
              <w:left w:w="100" w:type="dxa"/>
              <w:bottom w:w="100" w:type="dxa"/>
              <w:right w:w="100" w:type="dxa"/>
            </w:tcMar>
          </w:tcPr>
          <w:p w14:paraId="282A7F66"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T1–A3 or more</w:t>
            </w:r>
          </w:p>
        </w:tc>
        <w:tc>
          <w:tcPr>
            <w:tcW w:w="1170" w:type="dxa"/>
            <w:shd w:val="clear" w:color="auto" w:fill="auto"/>
            <w:tcMar>
              <w:top w:w="100" w:type="dxa"/>
              <w:left w:w="100" w:type="dxa"/>
              <w:bottom w:w="100" w:type="dxa"/>
              <w:right w:w="100" w:type="dxa"/>
            </w:tcMar>
          </w:tcPr>
          <w:p w14:paraId="0166350A"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6–10, margins entire to serrate</w:t>
            </w:r>
          </w:p>
        </w:tc>
        <w:tc>
          <w:tcPr>
            <w:tcW w:w="1140" w:type="dxa"/>
            <w:shd w:val="clear" w:color="auto" w:fill="auto"/>
            <w:tcMar>
              <w:top w:w="100" w:type="dxa"/>
              <w:left w:w="100" w:type="dxa"/>
              <w:bottom w:w="100" w:type="dxa"/>
              <w:right w:w="100" w:type="dxa"/>
            </w:tcMar>
          </w:tcPr>
          <w:p w14:paraId="490D70F6"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4–12, in 1–2 series</w:t>
            </w:r>
          </w:p>
        </w:tc>
        <w:tc>
          <w:tcPr>
            <w:tcW w:w="1005" w:type="dxa"/>
            <w:shd w:val="clear" w:color="auto" w:fill="auto"/>
            <w:tcMar>
              <w:top w:w="100" w:type="dxa"/>
              <w:left w:w="100" w:type="dxa"/>
              <w:bottom w:w="100" w:type="dxa"/>
              <w:right w:w="100" w:type="dxa"/>
            </w:tcMar>
          </w:tcPr>
          <w:p w14:paraId="23B36D47"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4 or more</w:t>
            </w:r>
          </w:p>
        </w:tc>
        <w:tc>
          <w:tcPr>
            <w:tcW w:w="1245" w:type="dxa"/>
            <w:shd w:val="clear" w:color="auto" w:fill="auto"/>
            <w:tcMar>
              <w:top w:w="100" w:type="dxa"/>
              <w:left w:w="100" w:type="dxa"/>
              <w:bottom w:w="100" w:type="dxa"/>
              <w:right w:w="100" w:type="dxa"/>
            </w:tcMar>
          </w:tcPr>
          <w:p w14:paraId="35740EEA"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0.26–0.37</w:t>
            </w:r>
          </w:p>
        </w:tc>
        <w:tc>
          <w:tcPr>
            <w:tcW w:w="1245" w:type="dxa"/>
            <w:shd w:val="clear" w:color="auto" w:fill="auto"/>
            <w:tcMar>
              <w:top w:w="100" w:type="dxa"/>
              <w:left w:w="100" w:type="dxa"/>
              <w:bottom w:w="100" w:type="dxa"/>
              <w:right w:w="100" w:type="dxa"/>
            </w:tcMar>
          </w:tcPr>
          <w:p w14:paraId="406D03D8"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rough</w:t>
            </w:r>
          </w:p>
        </w:tc>
      </w:tr>
      <w:tr w:rsidR="00471E14" w14:paraId="0E4635D4" w14:textId="77777777">
        <w:tc>
          <w:tcPr>
            <w:tcW w:w="1185" w:type="dxa"/>
            <w:shd w:val="clear" w:color="auto" w:fill="auto"/>
            <w:tcMar>
              <w:top w:w="100" w:type="dxa"/>
              <w:left w:w="100" w:type="dxa"/>
              <w:bottom w:w="100" w:type="dxa"/>
              <w:right w:w="100" w:type="dxa"/>
            </w:tcMar>
          </w:tcPr>
          <w:p w14:paraId="7EF1F7E0" w14:textId="77777777" w:rsidR="00471E14" w:rsidRDefault="0099106F">
            <w:pPr>
              <w:widowControl w:val="0"/>
              <w:pBdr>
                <w:top w:val="nil"/>
                <w:left w:val="nil"/>
                <w:bottom w:val="nil"/>
                <w:right w:val="nil"/>
                <w:between w:val="nil"/>
              </w:pBdr>
              <w:jc w:val="left"/>
              <w:rPr>
                <w:rFonts w:ascii="Arial" w:eastAsia="Arial" w:hAnsi="Arial" w:cs="Arial"/>
                <w:b/>
                <w:i/>
                <w:sz w:val="18"/>
                <w:szCs w:val="18"/>
              </w:rPr>
            </w:pPr>
            <w:r>
              <w:rPr>
                <w:rFonts w:ascii="Arial" w:eastAsia="Arial" w:hAnsi="Arial" w:cs="Arial"/>
                <w:b/>
                <w:i/>
                <w:sz w:val="18"/>
                <w:szCs w:val="18"/>
              </w:rPr>
              <w:t>suspensa</w:t>
            </w:r>
          </w:p>
        </w:tc>
        <w:tc>
          <w:tcPr>
            <w:tcW w:w="1065" w:type="dxa"/>
            <w:shd w:val="clear" w:color="auto" w:fill="auto"/>
            <w:tcMar>
              <w:top w:w="100" w:type="dxa"/>
              <w:left w:w="100" w:type="dxa"/>
              <w:bottom w:w="100" w:type="dxa"/>
              <w:right w:w="100" w:type="dxa"/>
            </w:tcMar>
          </w:tcPr>
          <w:p w14:paraId="23BF4FF3"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9</w:t>
            </w:r>
          </w:p>
        </w:tc>
        <w:tc>
          <w:tcPr>
            <w:tcW w:w="1005" w:type="dxa"/>
            <w:shd w:val="clear" w:color="auto" w:fill="auto"/>
            <w:tcMar>
              <w:top w:w="100" w:type="dxa"/>
              <w:left w:w="100" w:type="dxa"/>
              <w:bottom w:w="100" w:type="dxa"/>
              <w:right w:w="100" w:type="dxa"/>
            </w:tcMar>
          </w:tcPr>
          <w:p w14:paraId="7D6AF59D"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T1, or T1–T2 or T3</w:t>
            </w:r>
          </w:p>
        </w:tc>
        <w:tc>
          <w:tcPr>
            <w:tcW w:w="1170" w:type="dxa"/>
            <w:shd w:val="clear" w:color="auto" w:fill="auto"/>
            <w:tcMar>
              <w:top w:w="100" w:type="dxa"/>
              <w:left w:w="100" w:type="dxa"/>
              <w:bottom w:w="100" w:type="dxa"/>
              <w:right w:w="100" w:type="dxa"/>
            </w:tcMar>
          </w:tcPr>
          <w:p w14:paraId="0B5D8E29"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8–13, margins  emarginate to scalloped</w:t>
            </w:r>
          </w:p>
        </w:tc>
        <w:tc>
          <w:tcPr>
            <w:tcW w:w="1140" w:type="dxa"/>
            <w:shd w:val="clear" w:color="auto" w:fill="auto"/>
            <w:tcMar>
              <w:top w:w="100" w:type="dxa"/>
              <w:left w:w="100" w:type="dxa"/>
              <w:bottom w:w="100" w:type="dxa"/>
              <w:right w:w="100" w:type="dxa"/>
            </w:tcMar>
          </w:tcPr>
          <w:p w14:paraId="1F2373C4"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2–6, in single series</w:t>
            </w:r>
          </w:p>
        </w:tc>
        <w:tc>
          <w:tcPr>
            <w:tcW w:w="1005" w:type="dxa"/>
            <w:shd w:val="clear" w:color="auto" w:fill="auto"/>
            <w:tcMar>
              <w:top w:w="100" w:type="dxa"/>
              <w:left w:w="100" w:type="dxa"/>
              <w:bottom w:w="100" w:type="dxa"/>
              <w:right w:w="100" w:type="dxa"/>
            </w:tcMar>
          </w:tcPr>
          <w:p w14:paraId="2E1CFAE0" w14:textId="77777777" w:rsidR="00471E14" w:rsidRDefault="0099106F">
            <w:pPr>
              <w:widowControl w:val="0"/>
              <w:jc w:val="left"/>
              <w:rPr>
                <w:rFonts w:ascii="Arial" w:eastAsia="Arial" w:hAnsi="Arial" w:cs="Arial"/>
                <w:sz w:val="18"/>
                <w:szCs w:val="18"/>
                <w:highlight w:val="yellow"/>
              </w:rPr>
            </w:pPr>
            <w:r>
              <w:rPr>
                <w:rFonts w:ascii="Arial" w:eastAsia="Arial" w:hAnsi="Arial" w:cs="Arial"/>
                <w:sz w:val="18"/>
                <w:szCs w:val="18"/>
              </w:rPr>
              <w:t>2</w:t>
            </w:r>
          </w:p>
        </w:tc>
        <w:tc>
          <w:tcPr>
            <w:tcW w:w="1245" w:type="dxa"/>
            <w:shd w:val="clear" w:color="auto" w:fill="auto"/>
            <w:tcMar>
              <w:top w:w="100" w:type="dxa"/>
              <w:left w:w="100" w:type="dxa"/>
              <w:bottom w:w="100" w:type="dxa"/>
              <w:right w:w="100" w:type="dxa"/>
            </w:tcMar>
          </w:tcPr>
          <w:p w14:paraId="28D12098"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0.22–0.29</w:t>
            </w:r>
          </w:p>
        </w:tc>
        <w:tc>
          <w:tcPr>
            <w:tcW w:w="1245" w:type="dxa"/>
            <w:shd w:val="clear" w:color="auto" w:fill="auto"/>
            <w:tcMar>
              <w:top w:w="100" w:type="dxa"/>
              <w:left w:w="100" w:type="dxa"/>
              <w:bottom w:w="100" w:type="dxa"/>
              <w:right w:w="100" w:type="dxa"/>
            </w:tcMar>
          </w:tcPr>
          <w:p w14:paraId="79DC2A0D"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smooth</w:t>
            </w:r>
          </w:p>
        </w:tc>
      </w:tr>
    </w:tbl>
    <w:p w14:paraId="368BB84B" w14:textId="77777777" w:rsidR="00471E14" w:rsidRDefault="00471E14">
      <w:pPr>
        <w:keepNext/>
        <w:pBdr>
          <w:top w:val="nil"/>
          <w:left w:val="nil"/>
          <w:bottom w:val="nil"/>
          <w:right w:val="nil"/>
          <w:between w:val="nil"/>
        </w:pBdr>
        <w:spacing w:before="60" w:after="60"/>
        <w:jc w:val="left"/>
        <w:rPr>
          <w:rFonts w:ascii="Arial" w:eastAsia="Arial" w:hAnsi="Arial" w:cs="Arial"/>
          <w:b/>
          <w:sz w:val="18"/>
          <w:szCs w:val="18"/>
        </w:rPr>
      </w:pPr>
    </w:p>
    <w:p w14:paraId="2929EA84" w14:textId="77777777" w:rsidR="00471E14" w:rsidRDefault="00471E14">
      <w:pPr>
        <w:keepNext/>
        <w:pBdr>
          <w:top w:val="nil"/>
          <w:left w:val="nil"/>
          <w:bottom w:val="nil"/>
          <w:right w:val="nil"/>
          <w:between w:val="nil"/>
        </w:pBdr>
        <w:spacing w:before="60" w:after="60"/>
        <w:jc w:val="left"/>
        <w:rPr>
          <w:rFonts w:ascii="Arial" w:eastAsia="Arial" w:hAnsi="Arial" w:cs="Arial"/>
          <w:b/>
          <w:sz w:val="18"/>
          <w:szCs w:val="18"/>
        </w:rPr>
      </w:pPr>
    </w:p>
    <w:p w14:paraId="4816988E" w14:textId="77777777" w:rsidR="00471E14" w:rsidRPr="007708DB" w:rsidRDefault="0099106F">
      <w:pPr>
        <w:keepNext/>
        <w:spacing w:before="60" w:after="60"/>
        <w:jc w:val="left"/>
        <w:rPr>
          <w:rFonts w:ascii="Arial" w:eastAsia="Arial" w:hAnsi="Arial" w:cs="Arial"/>
          <w:b/>
          <w:sz w:val="18"/>
          <w:szCs w:val="18"/>
        </w:rPr>
      </w:pPr>
      <w:r w:rsidRPr="007708DB">
        <w:rPr>
          <w:rFonts w:ascii="Arial" w:eastAsia="Arial" w:hAnsi="Arial" w:cs="Arial"/>
          <w:b/>
          <w:sz w:val="18"/>
          <w:szCs w:val="18"/>
        </w:rPr>
        <w:t xml:space="preserve">Table 4. </w:t>
      </w:r>
      <w:r w:rsidRPr="007708DB">
        <w:rPr>
          <w:rFonts w:ascii="Arial" w:eastAsia="Arial" w:hAnsi="Arial" w:cs="Arial"/>
          <w:sz w:val="18"/>
          <w:szCs w:val="18"/>
        </w:rPr>
        <w:t>Continued.</w:t>
      </w:r>
    </w:p>
    <w:tbl>
      <w:tblPr>
        <w:tblStyle w:val="a3"/>
        <w:tblW w:w="90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05"/>
        <w:gridCol w:w="1304"/>
        <w:gridCol w:w="1304"/>
        <w:gridCol w:w="1304"/>
        <w:gridCol w:w="1304"/>
        <w:gridCol w:w="1365"/>
        <w:gridCol w:w="1185"/>
      </w:tblGrid>
      <w:tr w:rsidR="00471E14" w14:paraId="649C077C" w14:textId="77777777">
        <w:trPr>
          <w:tblHeader/>
        </w:trPr>
        <w:tc>
          <w:tcPr>
            <w:tcW w:w="1305" w:type="dxa"/>
            <w:shd w:val="clear" w:color="auto" w:fill="auto"/>
            <w:tcMar>
              <w:top w:w="100" w:type="dxa"/>
              <w:left w:w="100" w:type="dxa"/>
              <w:bottom w:w="100" w:type="dxa"/>
              <w:right w:w="100" w:type="dxa"/>
            </w:tcMar>
          </w:tcPr>
          <w:p w14:paraId="25E747D2" w14:textId="77777777" w:rsidR="00471E14" w:rsidRDefault="0099106F">
            <w:pPr>
              <w:widowControl w:val="0"/>
              <w:jc w:val="left"/>
              <w:rPr>
                <w:rFonts w:ascii="Arial" w:eastAsia="Arial" w:hAnsi="Arial" w:cs="Arial"/>
                <w:b/>
                <w:sz w:val="18"/>
                <w:szCs w:val="18"/>
              </w:rPr>
            </w:pPr>
            <w:r>
              <w:rPr>
                <w:rFonts w:ascii="Arial" w:eastAsia="Arial" w:hAnsi="Arial" w:cs="Arial"/>
                <w:b/>
                <w:sz w:val="18"/>
                <w:szCs w:val="18"/>
              </w:rPr>
              <w:t>Species</w:t>
            </w:r>
          </w:p>
        </w:tc>
        <w:tc>
          <w:tcPr>
            <w:tcW w:w="1304" w:type="dxa"/>
            <w:shd w:val="clear" w:color="auto" w:fill="auto"/>
            <w:tcMar>
              <w:top w:w="100" w:type="dxa"/>
              <w:left w:w="100" w:type="dxa"/>
              <w:bottom w:w="100" w:type="dxa"/>
              <w:right w:w="100" w:type="dxa"/>
            </w:tcMar>
          </w:tcPr>
          <w:p w14:paraId="34BAFAA9" w14:textId="77777777"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sz w:val="18"/>
                <w:szCs w:val="18"/>
              </w:rPr>
              <w:t>No. anterior spiracles lobes</w:t>
            </w:r>
          </w:p>
        </w:tc>
        <w:tc>
          <w:tcPr>
            <w:tcW w:w="1304" w:type="dxa"/>
            <w:shd w:val="clear" w:color="auto" w:fill="auto"/>
            <w:tcMar>
              <w:top w:w="100" w:type="dxa"/>
              <w:left w:w="100" w:type="dxa"/>
              <w:bottom w:w="100" w:type="dxa"/>
              <w:right w:w="100" w:type="dxa"/>
            </w:tcMar>
          </w:tcPr>
          <w:p w14:paraId="042F0827" w14:textId="77777777"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sz w:val="18"/>
                <w:szCs w:val="18"/>
              </w:rPr>
              <w:t>Anterior spiracle apical width (mm)</w:t>
            </w:r>
          </w:p>
        </w:tc>
        <w:tc>
          <w:tcPr>
            <w:tcW w:w="1304" w:type="dxa"/>
            <w:shd w:val="clear" w:color="auto" w:fill="auto"/>
            <w:tcMar>
              <w:top w:w="100" w:type="dxa"/>
              <w:left w:w="100" w:type="dxa"/>
              <w:bottom w:w="100" w:type="dxa"/>
              <w:right w:w="100" w:type="dxa"/>
            </w:tcMar>
          </w:tcPr>
          <w:p w14:paraId="1B588315" w14:textId="77777777"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sz w:val="18"/>
                <w:szCs w:val="18"/>
              </w:rPr>
              <w:t>Posterior spiracle slit length (mm)</w:t>
            </w:r>
          </w:p>
        </w:tc>
        <w:tc>
          <w:tcPr>
            <w:tcW w:w="1304" w:type="dxa"/>
            <w:shd w:val="clear" w:color="auto" w:fill="auto"/>
            <w:tcMar>
              <w:top w:w="100" w:type="dxa"/>
              <w:left w:w="100" w:type="dxa"/>
              <w:bottom w:w="100" w:type="dxa"/>
              <w:right w:w="100" w:type="dxa"/>
            </w:tcMar>
          </w:tcPr>
          <w:p w14:paraId="2DA977F9" w14:textId="77777777"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sz w:val="18"/>
                <w:szCs w:val="18"/>
              </w:rPr>
              <w:t>Posterior spiracle length/width</w:t>
            </w:r>
          </w:p>
          <w:p w14:paraId="596C5FE6" w14:textId="77777777" w:rsidR="00471E14" w:rsidRDefault="00471E14">
            <w:pPr>
              <w:widowControl w:val="0"/>
              <w:pBdr>
                <w:top w:val="nil"/>
                <w:left w:val="nil"/>
                <w:bottom w:val="nil"/>
                <w:right w:val="nil"/>
                <w:between w:val="nil"/>
              </w:pBdr>
              <w:jc w:val="left"/>
              <w:rPr>
                <w:rFonts w:ascii="Arial" w:eastAsia="Arial" w:hAnsi="Arial" w:cs="Arial"/>
                <w:b/>
                <w:sz w:val="18"/>
                <w:szCs w:val="18"/>
              </w:rPr>
            </w:pPr>
          </w:p>
        </w:tc>
        <w:tc>
          <w:tcPr>
            <w:tcW w:w="1365" w:type="dxa"/>
            <w:shd w:val="clear" w:color="auto" w:fill="auto"/>
            <w:tcMar>
              <w:top w:w="100" w:type="dxa"/>
              <w:left w:w="100" w:type="dxa"/>
              <w:bottom w:w="100" w:type="dxa"/>
              <w:right w:w="100" w:type="dxa"/>
            </w:tcMar>
          </w:tcPr>
          <w:p w14:paraId="2DA7EF98" w14:textId="77777777"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sz w:val="18"/>
                <w:szCs w:val="18"/>
              </w:rPr>
              <w:t>Posterior spiracle processes: number (dorsal and ventral), base</w:t>
            </w:r>
          </w:p>
        </w:tc>
        <w:tc>
          <w:tcPr>
            <w:tcW w:w="1185" w:type="dxa"/>
            <w:shd w:val="clear" w:color="auto" w:fill="auto"/>
            <w:tcMar>
              <w:top w:w="100" w:type="dxa"/>
              <w:left w:w="100" w:type="dxa"/>
              <w:bottom w:w="100" w:type="dxa"/>
              <w:right w:w="100" w:type="dxa"/>
            </w:tcMar>
          </w:tcPr>
          <w:p w14:paraId="1E9F696C" w14:textId="15B3B1BB" w:rsidR="00471E14" w:rsidRDefault="0099106F">
            <w:pPr>
              <w:widowControl w:val="0"/>
              <w:pBdr>
                <w:top w:val="nil"/>
                <w:left w:val="nil"/>
                <w:bottom w:val="nil"/>
                <w:right w:val="nil"/>
                <w:between w:val="nil"/>
              </w:pBdr>
              <w:jc w:val="left"/>
              <w:rPr>
                <w:rFonts w:ascii="Arial" w:eastAsia="Arial" w:hAnsi="Arial" w:cs="Arial"/>
                <w:b/>
                <w:sz w:val="18"/>
                <w:szCs w:val="18"/>
              </w:rPr>
            </w:pPr>
            <w:r>
              <w:rPr>
                <w:rFonts w:ascii="Arial" w:eastAsia="Arial" w:hAnsi="Arial" w:cs="Arial"/>
                <w:b/>
                <w:sz w:val="18"/>
                <w:szCs w:val="18"/>
              </w:rPr>
              <w:t xml:space="preserve">Anal lobes (Figure </w:t>
            </w:r>
            <w:r w:rsidR="00D8531C">
              <w:rPr>
                <w:rFonts w:ascii="Arial" w:eastAsia="Arial" w:hAnsi="Arial" w:cs="Arial"/>
                <w:b/>
                <w:sz w:val="18"/>
                <w:szCs w:val="18"/>
              </w:rPr>
              <w:t>22</w:t>
            </w:r>
            <w:r>
              <w:rPr>
                <w:rFonts w:ascii="Arial" w:eastAsia="Arial" w:hAnsi="Arial" w:cs="Arial"/>
                <w:b/>
                <w:sz w:val="18"/>
                <w:szCs w:val="18"/>
              </w:rPr>
              <w:t>)</w:t>
            </w:r>
          </w:p>
        </w:tc>
      </w:tr>
      <w:tr w:rsidR="00471E14" w14:paraId="2AA0C31E" w14:textId="77777777">
        <w:trPr>
          <w:tblHeader/>
        </w:trPr>
        <w:tc>
          <w:tcPr>
            <w:tcW w:w="1305" w:type="dxa"/>
            <w:shd w:val="clear" w:color="auto" w:fill="auto"/>
            <w:tcMar>
              <w:top w:w="100" w:type="dxa"/>
              <w:left w:w="100" w:type="dxa"/>
              <w:bottom w:w="100" w:type="dxa"/>
              <w:right w:w="100" w:type="dxa"/>
            </w:tcMar>
          </w:tcPr>
          <w:p w14:paraId="50D8032D" w14:textId="77777777" w:rsidR="00471E14" w:rsidRDefault="0099106F">
            <w:pPr>
              <w:widowControl w:val="0"/>
              <w:jc w:val="left"/>
              <w:rPr>
                <w:rFonts w:ascii="Arial" w:eastAsia="Arial" w:hAnsi="Arial" w:cs="Arial"/>
                <w:b/>
                <w:i/>
                <w:sz w:val="18"/>
                <w:szCs w:val="18"/>
              </w:rPr>
            </w:pPr>
            <w:r>
              <w:rPr>
                <w:rFonts w:ascii="Arial" w:eastAsia="Arial" w:hAnsi="Arial" w:cs="Arial"/>
                <w:b/>
                <w:i/>
                <w:sz w:val="18"/>
                <w:szCs w:val="18"/>
              </w:rPr>
              <w:t>curvicauda</w:t>
            </w:r>
          </w:p>
        </w:tc>
        <w:tc>
          <w:tcPr>
            <w:tcW w:w="1304" w:type="dxa"/>
            <w:shd w:val="clear" w:color="auto" w:fill="auto"/>
            <w:tcMar>
              <w:top w:w="100" w:type="dxa"/>
              <w:left w:w="100" w:type="dxa"/>
              <w:bottom w:w="100" w:type="dxa"/>
              <w:right w:w="100" w:type="dxa"/>
            </w:tcMar>
          </w:tcPr>
          <w:p w14:paraId="09FEBB1B"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22–30</w:t>
            </w:r>
          </w:p>
        </w:tc>
        <w:tc>
          <w:tcPr>
            <w:tcW w:w="1304" w:type="dxa"/>
            <w:shd w:val="clear" w:color="auto" w:fill="auto"/>
            <w:tcMar>
              <w:top w:w="100" w:type="dxa"/>
              <w:left w:w="100" w:type="dxa"/>
              <w:bottom w:w="100" w:type="dxa"/>
              <w:right w:w="100" w:type="dxa"/>
            </w:tcMar>
          </w:tcPr>
          <w:p w14:paraId="0C5CA18D"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0.35–0.49</w:t>
            </w:r>
          </w:p>
        </w:tc>
        <w:tc>
          <w:tcPr>
            <w:tcW w:w="1304" w:type="dxa"/>
            <w:shd w:val="clear" w:color="auto" w:fill="auto"/>
            <w:tcMar>
              <w:top w:w="100" w:type="dxa"/>
              <w:left w:w="100" w:type="dxa"/>
              <w:bottom w:w="100" w:type="dxa"/>
              <w:right w:w="100" w:type="dxa"/>
            </w:tcMar>
          </w:tcPr>
          <w:p w14:paraId="58AE4E2D" w14:textId="77777777" w:rsidR="00471E14" w:rsidRDefault="0099106F">
            <w:pPr>
              <w:widowControl w:val="0"/>
              <w:pBdr>
                <w:top w:val="nil"/>
                <w:left w:val="nil"/>
                <w:bottom w:val="nil"/>
                <w:right w:val="nil"/>
                <w:between w:val="nil"/>
              </w:pBdr>
              <w:jc w:val="left"/>
              <w:rPr>
                <w:rFonts w:ascii="Arial" w:eastAsia="Arial" w:hAnsi="Arial" w:cs="Arial"/>
                <w:color w:val="FF0000"/>
                <w:sz w:val="18"/>
                <w:szCs w:val="18"/>
              </w:rPr>
            </w:pPr>
            <w:r>
              <w:rPr>
                <w:rFonts w:ascii="Arial" w:eastAsia="Arial" w:hAnsi="Arial" w:cs="Arial"/>
                <w:sz w:val="18"/>
                <w:szCs w:val="18"/>
              </w:rPr>
              <w:t>0.09-0.16</w:t>
            </w:r>
          </w:p>
        </w:tc>
        <w:tc>
          <w:tcPr>
            <w:tcW w:w="1304" w:type="dxa"/>
            <w:shd w:val="clear" w:color="auto" w:fill="auto"/>
            <w:tcMar>
              <w:top w:w="100" w:type="dxa"/>
              <w:left w:w="100" w:type="dxa"/>
              <w:bottom w:w="100" w:type="dxa"/>
              <w:right w:w="100" w:type="dxa"/>
            </w:tcMar>
          </w:tcPr>
          <w:p w14:paraId="31F9F7C7"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3–5</w:t>
            </w:r>
          </w:p>
        </w:tc>
        <w:tc>
          <w:tcPr>
            <w:tcW w:w="1365" w:type="dxa"/>
            <w:shd w:val="clear" w:color="auto" w:fill="auto"/>
            <w:tcMar>
              <w:top w:w="100" w:type="dxa"/>
              <w:left w:w="100" w:type="dxa"/>
              <w:bottom w:w="100" w:type="dxa"/>
              <w:right w:w="100" w:type="dxa"/>
            </w:tcMar>
          </w:tcPr>
          <w:p w14:paraId="5DA3688E"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2–7, very short, narrow</w:t>
            </w:r>
          </w:p>
          <w:p w14:paraId="60EEF291" w14:textId="77777777" w:rsidR="00471E14" w:rsidRDefault="00471E14">
            <w:pPr>
              <w:widowControl w:val="0"/>
              <w:pBdr>
                <w:top w:val="nil"/>
                <w:left w:val="nil"/>
                <w:bottom w:val="nil"/>
                <w:right w:val="nil"/>
                <w:between w:val="nil"/>
              </w:pBdr>
              <w:jc w:val="left"/>
              <w:rPr>
                <w:rFonts w:ascii="Arial" w:eastAsia="Arial" w:hAnsi="Arial" w:cs="Arial"/>
                <w:sz w:val="18"/>
                <w:szCs w:val="18"/>
              </w:rPr>
            </w:pPr>
          </w:p>
        </w:tc>
        <w:tc>
          <w:tcPr>
            <w:tcW w:w="1185" w:type="dxa"/>
            <w:shd w:val="clear" w:color="auto" w:fill="auto"/>
            <w:tcMar>
              <w:top w:w="100" w:type="dxa"/>
              <w:left w:w="100" w:type="dxa"/>
              <w:bottom w:w="100" w:type="dxa"/>
              <w:right w:w="100" w:type="dxa"/>
            </w:tcMar>
          </w:tcPr>
          <w:p w14:paraId="49DC7C7E"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entire</w:t>
            </w:r>
          </w:p>
        </w:tc>
      </w:tr>
      <w:tr w:rsidR="00471E14" w14:paraId="60CA2D46" w14:textId="77777777">
        <w:trPr>
          <w:tblHeader/>
        </w:trPr>
        <w:tc>
          <w:tcPr>
            <w:tcW w:w="1305" w:type="dxa"/>
            <w:shd w:val="clear" w:color="auto" w:fill="auto"/>
            <w:tcMar>
              <w:top w:w="100" w:type="dxa"/>
              <w:left w:w="100" w:type="dxa"/>
              <w:bottom w:w="100" w:type="dxa"/>
              <w:right w:w="100" w:type="dxa"/>
            </w:tcMar>
          </w:tcPr>
          <w:p w14:paraId="746A2B77" w14:textId="77777777" w:rsidR="00471E14" w:rsidRDefault="0099106F">
            <w:pPr>
              <w:widowControl w:val="0"/>
              <w:jc w:val="left"/>
              <w:rPr>
                <w:rFonts w:ascii="Arial" w:eastAsia="Arial" w:hAnsi="Arial" w:cs="Arial"/>
                <w:b/>
                <w:i/>
                <w:sz w:val="18"/>
                <w:szCs w:val="18"/>
              </w:rPr>
            </w:pPr>
            <w:r>
              <w:rPr>
                <w:rFonts w:ascii="Arial" w:eastAsia="Arial" w:hAnsi="Arial" w:cs="Arial"/>
                <w:b/>
                <w:i/>
                <w:sz w:val="18"/>
                <w:szCs w:val="18"/>
              </w:rPr>
              <w:t xml:space="preserve">fraterculus </w:t>
            </w:r>
            <w:r>
              <w:rPr>
                <w:rFonts w:ascii="Arial" w:eastAsia="Arial" w:hAnsi="Arial" w:cs="Arial"/>
                <w:b/>
                <w:sz w:val="18"/>
                <w:szCs w:val="18"/>
              </w:rPr>
              <w:t>species complex</w:t>
            </w:r>
          </w:p>
        </w:tc>
        <w:tc>
          <w:tcPr>
            <w:tcW w:w="1304" w:type="dxa"/>
            <w:shd w:val="clear" w:color="auto" w:fill="auto"/>
            <w:tcMar>
              <w:top w:w="100" w:type="dxa"/>
              <w:left w:w="100" w:type="dxa"/>
              <w:bottom w:w="100" w:type="dxa"/>
              <w:right w:w="100" w:type="dxa"/>
            </w:tcMar>
          </w:tcPr>
          <w:p w14:paraId="28125EB5"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9–13</w:t>
            </w:r>
          </w:p>
        </w:tc>
        <w:tc>
          <w:tcPr>
            <w:tcW w:w="1304" w:type="dxa"/>
            <w:shd w:val="clear" w:color="auto" w:fill="auto"/>
            <w:tcMar>
              <w:top w:w="100" w:type="dxa"/>
              <w:left w:w="100" w:type="dxa"/>
              <w:bottom w:w="100" w:type="dxa"/>
              <w:right w:w="100" w:type="dxa"/>
            </w:tcMar>
          </w:tcPr>
          <w:p w14:paraId="63C7FD93"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0.16–0.24</w:t>
            </w:r>
          </w:p>
        </w:tc>
        <w:tc>
          <w:tcPr>
            <w:tcW w:w="1304" w:type="dxa"/>
            <w:shd w:val="clear" w:color="auto" w:fill="auto"/>
            <w:tcMar>
              <w:top w:w="100" w:type="dxa"/>
              <w:left w:w="100" w:type="dxa"/>
              <w:bottom w:w="100" w:type="dxa"/>
              <w:right w:w="100" w:type="dxa"/>
            </w:tcMar>
          </w:tcPr>
          <w:p w14:paraId="0A57D69C"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0.07–0.10</w:t>
            </w:r>
          </w:p>
        </w:tc>
        <w:tc>
          <w:tcPr>
            <w:tcW w:w="1304" w:type="dxa"/>
            <w:shd w:val="clear" w:color="auto" w:fill="auto"/>
            <w:tcMar>
              <w:top w:w="100" w:type="dxa"/>
              <w:left w:w="100" w:type="dxa"/>
              <w:bottom w:w="100" w:type="dxa"/>
              <w:right w:w="100" w:type="dxa"/>
            </w:tcMar>
          </w:tcPr>
          <w:p w14:paraId="66D0C8DB"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2.7–3.8</w:t>
            </w:r>
          </w:p>
        </w:tc>
        <w:tc>
          <w:tcPr>
            <w:tcW w:w="1365" w:type="dxa"/>
            <w:shd w:val="clear" w:color="auto" w:fill="auto"/>
            <w:tcMar>
              <w:top w:w="100" w:type="dxa"/>
              <w:left w:w="100" w:type="dxa"/>
              <w:bottom w:w="100" w:type="dxa"/>
              <w:right w:w="100" w:type="dxa"/>
            </w:tcMar>
          </w:tcPr>
          <w:p w14:paraId="72B65D83"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9–18, narrow-medium</w:t>
            </w:r>
          </w:p>
        </w:tc>
        <w:tc>
          <w:tcPr>
            <w:tcW w:w="1185" w:type="dxa"/>
            <w:shd w:val="clear" w:color="auto" w:fill="auto"/>
            <w:tcMar>
              <w:top w:w="100" w:type="dxa"/>
              <w:left w:w="100" w:type="dxa"/>
              <w:bottom w:w="100" w:type="dxa"/>
              <w:right w:w="100" w:type="dxa"/>
            </w:tcMar>
          </w:tcPr>
          <w:p w14:paraId="592E5044"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entire, grooved, bilobed</w:t>
            </w:r>
          </w:p>
        </w:tc>
      </w:tr>
      <w:tr w:rsidR="00471E14" w14:paraId="62B4EB70" w14:textId="77777777">
        <w:trPr>
          <w:trHeight w:val="630"/>
          <w:tblHeader/>
        </w:trPr>
        <w:tc>
          <w:tcPr>
            <w:tcW w:w="1305" w:type="dxa"/>
            <w:shd w:val="clear" w:color="auto" w:fill="auto"/>
            <w:tcMar>
              <w:top w:w="100" w:type="dxa"/>
              <w:left w:w="100" w:type="dxa"/>
              <w:bottom w:w="100" w:type="dxa"/>
              <w:right w:w="100" w:type="dxa"/>
            </w:tcMar>
          </w:tcPr>
          <w:p w14:paraId="4737B7D6" w14:textId="77777777" w:rsidR="00471E14" w:rsidRDefault="0099106F">
            <w:pPr>
              <w:widowControl w:val="0"/>
              <w:jc w:val="left"/>
              <w:rPr>
                <w:rFonts w:ascii="Arial" w:eastAsia="Arial" w:hAnsi="Arial" w:cs="Arial"/>
                <w:b/>
                <w:i/>
                <w:sz w:val="18"/>
                <w:szCs w:val="18"/>
              </w:rPr>
            </w:pPr>
            <w:r>
              <w:rPr>
                <w:rFonts w:ascii="Arial" w:eastAsia="Arial" w:hAnsi="Arial" w:cs="Arial"/>
                <w:b/>
                <w:i/>
                <w:sz w:val="18"/>
                <w:szCs w:val="18"/>
              </w:rPr>
              <w:t>grandis</w:t>
            </w:r>
          </w:p>
        </w:tc>
        <w:tc>
          <w:tcPr>
            <w:tcW w:w="1304" w:type="dxa"/>
            <w:shd w:val="clear" w:color="auto" w:fill="auto"/>
            <w:tcMar>
              <w:top w:w="100" w:type="dxa"/>
              <w:left w:w="100" w:type="dxa"/>
              <w:bottom w:w="100" w:type="dxa"/>
              <w:right w:w="100" w:type="dxa"/>
            </w:tcMar>
          </w:tcPr>
          <w:p w14:paraId="3F946BAD"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28–37 in 2–3 rows</w:t>
            </w:r>
          </w:p>
        </w:tc>
        <w:tc>
          <w:tcPr>
            <w:tcW w:w="1304" w:type="dxa"/>
            <w:shd w:val="clear" w:color="auto" w:fill="auto"/>
            <w:tcMar>
              <w:top w:w="100" w:type="dxa"/>
              <w:left w:w="100" w:type="dxa"/>
              <w:bottom w:w="100" w:type="dxa"/>
              <w:right w:w="100" w:type="dxa"/>
            </w:tcMar>
          </w:tcPr>
          <w:p w14:paraId="3BF3AB02"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0.43–0.61</w:t>
            </w:r>
          </w:p>
        </w:tc>
        <w:tc>
          <w:tcPr>
            <w:tcW w:w="1304" w:type="dxa"/>
            <w:shd w:val="clear" w:color="auto" w:fill="auto"/>
            <w:tcMar>
              <w:top w:w="100" w:type="dxa"/>
              <w:left w:w="100" w:type="dxa"/>
              <w:bottom w:w="100" w:type="dxa"/>
              <w:right w:w="100" w:type="dxa"/>
            </w:tcMar>
          </w:tcPr>
          <w:p w14:paraId="0DF4396E"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0.12–0.16</w:t>
            </w:r>
          </w:p>
        </w:tc>
        <w:tc>
          <w:tcPr>
            <w:tcW w:w="1304" w:type="dxa"/>
            <w:shd w:val="clear" w:color="auto" w:fill="auto"/>
            <w:tcMar>
              <w:top w:w="100" w:type="dxa"/>
              <w:left w:w="100" w:type="dxa"/>
              <w:bottom w:w="100" w:type="dxa"/>
              <w:right w:w="100" w:type="dxa"/>
            </w:tcMar>
          </w:tcPr>
          <w:p w14:paraId="6D4BF24C"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3.0–5.3</w:t>
            </w:r>
          </w:p>
        </w:tc>
        <w:tc>
          <w:tcPr>
            <w:tcW w:w="1365" w:type="dxa"/>
            <w:shd w:val="clear" w:color="auto" w:fill="auto"/>
            <w:tcMar>
              <w:top w:w="100" w:type="dxa"/>
              <w:left w:w="100" w:type="dxa"/>
              <w:bottom w:w="100" w:type="dxa"/>
              <w:right w:w="100" w:type="dxa"/>
            </w:tcMar>
          </w:tcPr>
          <w:p w14:paraId="159B3670"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11–22,  narrow</w:t>
            </w:r>
          </w:p>
          <w:p w14:paraId="7E841EA8" w14:textId="77777777" w:rsidR="00471E14" w:rsidRDefault="00471E14">
            <w:pPr>
              <w:widowControl w:val="0"/>
              <w:pBdr>
                <w:top w:val="nil"/>
                <w:left w:val="nil"/>
                <w:bottom w:val="nil"/>
                <w:right w:val="nil"/>
                <w:between w:val="nil"/>
              </w:pBdr>
              <w:jc w:val="left"/>
              <w:rPr>
                <w:rFonts w:ascii="Arial" w:eastAsia="Arial" w:hAnsi="Arial" w:cs="Arial"/>
                <w:sz w:val="18"/>
                <w:szCs w:val="18"/>
              </w:rPr>
            </w:pPr>
          </w:p>
        </w:tc>
        <w:tc>
          <w:tcPr>
            <w:tcW w:w="1185" w:type="dxa"/>
            <w:shd w:val="clear" w:color="auto" w:fill="auto"/>
            <w:tcMar>
              <w:top w:w="100" w:type="dxa"/>
              <w:left w:w="100" w:type="dxa"/>
              <w:bottom w:w="100" w:type="dxa"/>
              <w:right w:w="100" w:type="dxa"/>
            </w:tcMar>
          </w:tcPr>
          <w:p w14:paraId="2D99072C"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bilobed</w:t>
            </w:r>
          </w:p>
        </w:tc>
      </w:tr>
      <w:tr w:rsidR="00471E14" w14:paraId="18AC9BF9" w14:textId="77777777">
        <w:trPr>
          <w:tblHeader/>
        </w:trPr>
        <w:tc>
          <w:tcPr>
            <w:tcW w:w="1305" w:type="dxa"/>
            <w:shd w:val="clear" w:color="auto" w:fill="auto"/>
            <w:tcMar>
              <w:top w:w="100" w:type="dxa"/>
              <w:left w:w="100" w:type="dxa"/>
              <w:bottom w:w="100" w:type="dxa"/>
              <w:right w:w="100" w:type="dxa"/>
            </w:tcMar>
          </w:tcPr>
          <w:p w14:paraId="51B91A54" w14:textId="77777777" w:rsidR="00471E14" w:rsidRDefault="0099106F">
            <w:pPr>
              <w:widowControl w:val="0"/>
              <w:jc w:val="left"/>
              <w:rPr>
                <w:rFonts w:ascii="Arial" w:eastAsia="Arial" w:hAnsi="Arial" w:cs="Arial"/>
                <w:b/>
                <w:i/>
                <w:sz w:val="18"/>
                <w:szCs w:val="18"/>
              </w:rPr>
            </w:pPr>
            <w:r>
              <w:rPr>
                <w:rFonts w:ascii="Arial" w:eastAsia="Arial" w:hAnsi="Arial" w:cs="Arial"/>
                <w:b/>
                <w:i/>
                <w:sz w:val="18"/>
                <w:szCs w:val="18"/>
              </w:rPr>
              <w:t>ludens</w:t>
            </w:r>
          </w:p>
        </w:tc>
        <w:tc>
          <w:tcPr>
            <w:tcW w:w="1304" w:type="dxa"/>
            <w:shd w:val="clear" w:color="auto" w:fill="auto"/>
            <w:tcMar>
              <w:top w:w="100" w:type="dxa"/>
              <w:left w:w="100" w:type="dxa"/>
              <w:bottom w:w="100" w:type="dxa"/>
              <w:right w:w="100" w:type="dxa"/>
            </w:tcMar>
          </w:tcPr>
          <w:p w14:paraId="4533DEE8"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12–22</w:t>
            </w:r>
          </w:p>
        </w:tc>
        <w:tc>
          <w:tcPr>
            <w:tcW w:w="1304" w:type="dxa"/>
            <w:shd w:val="clear" w:color="auto" w:fill="auto"/>
            <w:tcMar>
              <w:top w:w="100" w:type="dxa"/>
              <w:left w:w="100" w:type="dxa"/>
              <w:bottom w:w="100" w:type="dxa"/>
              <w:right w:w="100" w:type="dxa"/>
            </w:tcMar>
          </w:tcPr>
          <w:p w14:paraId="71FB54AD"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0.26–0.35</w:t>
            </w:r>
          </w:p>
        </w:tc>
        <w:tc>
          <w:tcPr>
            <w:tcW w:w="1304" w:type="dxa"/>
            <w:shd w:val="clear" w:color="auto" w:fill="auto"/>
            <w:tcMar>
              <w:top w:w="100" w:type="dxa"/>
              <w:left w:w="100" w:type="dxa"/>
              <w:bottom w:w="100" w:type="dxa"/>
              <w:right w:w="100" w:type="dxa"/>
            </w:tcMar>
          </w:tcPr>
          <w:p w14:paraId="51EC6E5A"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0.08–0.13</w:t>
            </w:r>
          </w:p>
        </w:tc>
        <w:tc>
          <w:tcPr>
            <w:tcW w:w="1304" w:type="dxa"/>
            <w:shd w:val="clear" w:color="auto" w:fill="auto"/>
            <w:tcMar>
              <w:top w:w="100" w:type="dxa"/>
              <w:left w:w="100" w:type="dxa"/>
              <w:bottom w:w="100" w:type="dxa"/>
              <w:right w:w="100" w:type="dxa"/>
            </w:tcMar>
          </w:tcPr>
          <w:p w14:paraId="7652561F"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2.9–4.9</w:t>
            </w:r>
          </w:p>
        </w:tc>
        <w:tc>
          <w:tcPr>
            <w:tcW w:w="1365" w:type="dxa"/>
            <w:shd w:val="clear" w:color="auto" w:fill="auto"/>
            <w:tcMar>
              <w:top w:w="100" w:type="dxa"/>
              <w:left w:w="100" w:type="dxa"/>
              <w:bottom w:w="100" w:type="dxa"/>
              <w:right w:w="100" w:type="dxa"/>
            </w:tcMar>
          </w:tcPr>
          <w:p w14:paraId="4FBEE4E3"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5–15, narrow</w:t>
            </w:r>
          </w:p>
        </w:tc>
        <w:tc>
          <w:tcPr>
            <w:tcW w:w="1185" w:type="dxa"/>
            <w:shd w:val="clear" w:color="auto" w:fill="auto"/>
            <w:tcMar>
              <w:top w:w="100" w:type="dxa"/>
              <w:left w:w="100" w:type="dxa"/>
              <w:bottom w:w="100" w:type="dxa"/>
              <w:right w:w="100" w:type="dxa"/>
            </w:tcMar>
          </w:tcPr>
          <w:p w14:paraId="695FBB98"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bilobed</w:t>
            </w:r>
          </w:p>
        </w:tc>
      </w:tr>
      <w:tr w:rsidR="00471E14" w14:paraId="1407BFB7" w14:textId="77777777">
        <w:tc>
          <w:tcPr>
            <w:tcW w:w="1305" w:type="dxa"/>
            <w:shd w:val="clear" w:color="auto" w:fill="auto"/>
            <w:tcMar>
              <w:top w:w="100" w:type="dxa"/>
              <w:left w:w="100" w:type="dxa"/>
              <w:bottom w:w="100" w:type="dxa"/>
              <w:right w:w="100" w:type="dxa"/>
            </w:tcMar>
          </w:tcPr>
          <w:p w14:paraId="30E86C8F" w14:textId="77777777" w:rsidR="00471E14" w:rsidRDefault="0099106F">
            <w:pPr>
              <w:widowControl w:val="0"/>
              <w:jc w:val="left"/>
              <w:rPr>
                <w:rFonts w:ascii="Arial" w:eastAsia="Arial" w:hAnsi="Arial" w:cs="Arial"/>
                <w:b/>
                <w:i/>
                <w:sz w:val="18"/>
                <w:szCs w:val="18"/>
              </w:rPr>
            </w:pPr>
            <w:r>
              <w:rPr>
                <w:rFonts w:ascii="Arial" w:eastAsia="Arial" w:hAnsi="Arial" w:cs="Arial"/>
                <w:b/>
                <w:i/>
                <w:sz w:val="18"/>
                <w:szCs w:val="18"/>
              </w:rPr>
              <w:t>obliqua</w:t>
            </w:r>
          </w:p>
        </w:tc>
        <w:tc>
          <w:tcPr>
            <w:tcW w:w="1304" w:type="dxa"/>
            <w:shd w:val="clear" w:color="auto" w:fill="auto"/>
            <w:tcMar>
              <w:top w:w="100" w:type="dxa"/>
              <w:left w:w="100" w:type="dxa"/>
              <w:bottom w:w="100" w:type="dxa"/>
              <w:right w:w="100" w:type="dxa"/>
            </w:tcMar>
          </w:tcPr>
          <w:p w14:paraId="5F998044"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9–18</w:t>
            </w:r>
          </w:p>
        </w:tc>
        <w:tc>
          <w:tcPr>
            <w:tcW w:w="1304" w:type="dxa"/>
            <w:shd w:val="clear" w:color="auto" w:fill="auto"/>
            <w:tcMar>
              <w:top w:w="100" w:type="dxa"/>
              <w:left w:w="100" w:type="dxa"/>
              <w:bottom w:w="100" w:type="dxa"/>
              <w:right w:w="100" w:type="dxa"/>
            </w:tcMar>
          </w:tcPr>
          <w:p w14:paraId="1EDA9423"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0.20–0.27</w:t>
            </w:r>
          </w:p>
        </w:tc>
        <w:tc>
          <w:tcPr>
            <w:tcW w:w="1304" w:type="dxa"/>
            <w:shd w:val="clear" w:color="auto" w:fill="auto"/>
            <w:tcMar>
              <w:top w:w="100" w:type="dxa"/>
              <w:left w:w="100" w:type="dxa"/>
              <w:bottom w:w="100" w:type="dxa"/>
              <w:right w:w="100" w:type="dxa"/>
            </w:tcMar>
          </w:tcPr>
          <w:p w14:paraId="4271B79D"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0.08–0.12</w:t>
            </w:r>
          </w:p>
        </w:tc>
        <w:tc>
          <w:tcPr>
            <w:tcW w:w="1304" w:type="dxa"/>
            <w:shd w:val="clear" w:color="auto" w:fill="auto"/>
            <w:tcMar>
              <w:top w:w="100" w:type="dxa"/>
              <w:left w:w="100" w:type="dxa"/>
              <w:bottom w:w="100" w:type="dxa"/>
              <w:right w:w="100" w:type="dxa"/>
            </w:tcMar>
          </w:tcPr>
          <w:p w14:paraId="1F9DE505"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3.0–4.9</w:t>
            </w:r>
          </w:p>
        </w:tc>
        <w:tc>
          <w:tcPr>
            <w:tcW w:w="1365" w:type="dxa"/>
            <w:shd w:val="clear" w:color="auto" w:fill="auto"/>
            <w:tcMar>
              <w:top w:w="100" w:type="dxa"/>
              <w:left w:w="100" w:type="dxa"/>
              <w:bottom w:w="100" w:type="dxa"/>
              <w:right w:w="100" w:type="dxa"/>
            </w:tcMar>
          </w:tcPr>
          <w:p w14:paraId="0767A246"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8–17,narrow-medium</w:t>
            </w:r>
          </w:p>
        </w:tc>
        <w:tc>
          <w:tcPr>
            <w:tcW w:w="1185" w:type="dxa"/>
            <w:shd w:val="clear" w:color="auto" w:fill="auto"/>
            <w:tcMar>
              <w:top w:w="100" w:type="dxa"/>
              <w:left w:w="100" w:type="dxa"/>
              <w:bottom w:w="100" w:type="dxa"/>
              <w:right w:w="100" w:type="dxa"/>
            </w:tcMar>
          </w:tcPr>
          <w:p w14:paraId="2DC90669" w14:textId="77777777" w:rsidR="00471E14" w:rsidRDefault="0099106F">
            <w:pPr>
              <w:widowControl w:val="0"/>
              <w:jc w:val="left"/>
              <w:rPr>
                <w:rFonts w:ascii="Arial" w:eastAsia="Arial" w:hAnsi="Arial" w:cs="Arial"/>
                <w:sz w:val="18"/>
                <w:szCs w:val="18"/>
              </w:rPr>
            </w:pPr>
            <w:r>
              <w:rPr>
                <w:rFonts w:ascii="Arial" w:eastAsia="Arial" w:hAnsi="Arial" w:cs="Arial"/>
                <w:sz w:val="18"/>
                <w:szCs w:val="18"/>
              </w:rPr>
              <w:t>entire</w:t>
            </w:r>
          </w:p>
        </w:tc>
      </w:tr>
      <w:tr w:rsidR="00471E14" w14:paraId="4E367B6F" w14:textId="77777777">
        <w:tc>
          <w:tcPr>
            <w:tcW w:w="1305" w:type="dxa"/>
            <w:shd w:val="clear" w:color="auto" w:fill="auto"/>
            <w:tcMar>
              <w:top w:w="100" w:type="dxa"/>
              <w:left w:w="100" w:type="dxa"/>
              <w:bottom w:w="100" w:type="dxa"/>
              <w:right w:w="100" w:type="dxa"/>
            </w:tcMar>
          </w:tcPr>
          <w:p w14:paraId="08529398" w14:textId="77777777" w:rsidR="00471E14" w:rsidRDefault="0099106F">
            <w:pPr>
              <w:widowControl w:val="0"/>
              <w:jc w:val="left"/>
              <w:rPr>
                <w:rFonts w:ascii="Arial" w:eastAsia="Arial" w:hAnsi="Arial" w:cs="Arial"/>
                <w:b/>
                <w:i/>
                <w:sz w:val="18"/>
                <w:szCs w:val="18"/>
              </w:rPr>
            </w:pPr>
            <w:r>
              <w:rPr>
                <w:rFonts w:ascii="Arial" w:eastAsia="Arial" w:hAnsi="Arial" w:cs="Arial"/>
                <w:b/>
                <w:i/>
                <w:sz w:val="18"/>
                <w:szCs w:val="18"/>
              </w:rPr>
              <w:t>serpentina</w:t>
            </w:r>
          </w:p>
        </w:tc>
        <w:tc>
          <w:tcPr>
            <w:tcW w:w="1304" w:type="dxa"/>
            <w:shd w:val="clear" w:color="auto" w:fill="auto"/>
            <w:tcMar>
              <w:top w:w="100" w:type="dxa"/>
              <w:left w:w="100" w:type="dxa"/>
              <w:bottom w:w="100" w:type="dxa"/>
              <w:right w:w="100" w:type="dxa"/>
            </w:tcMar>
          </w:tcPr>
          <w:p w14:paraId="62F4E5F7"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13–19</w:t>
            </w:r>
          </w:p>
        </w:tc>
        <w:tc>
          <w:tcPr>
            <w:tcW w:w="1304" w:type="dxa"/>
            <w:shd w:val="clear" w:color="auto" w:fill="auto"/>
            <w:tcMar>
              <w:top w:w="100" w:type="dxa"/>
              <w:left w:w="100" w:type="dxa"/>
              <w:bottom w:w="100" w:type="dxa"/>
              <w:right w:w="100" w:type="dxa"/>
            </w:tcMar>
          </w:tcPr>
          <w:p w14:paraId="682713F6"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0.21–0.29</w:t>
            </w:r>
          </w:p>
        </w:tc>
        <w:tc>
          <w:tcPr>
            <w:tcW w:w="1304" w:type="dxa"/>
            <w:shd w:val="clear" w:color="auto" w:fill="auto"/>
            <w:tcMar>
              <w:top w:w="100" w:type="dxa"/>
              <w:left w:w="100" w:type="dxa"/>
              <w:bottom w:w="100" w:type="dxa"/>
              <w:right w:w="100" w:type="dxa"/>
            </w:tcMar>
          </w:tcPr>
          <w:p w14:paraId="3E35BF66"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0.07–0.10</w:t>
            </w:r>
          </w:p>
        </w:tc>
        <w:tc>
          <w:tcPr>
            <w:tcW w:w="1304" w:type="dxa"/>
            <w:shd w:val="clear" w:color="auto" w:fill="auto"/>
            <w:tcMar>
              <w:top w:w="100" w:type="dxa"/>
              <w:left w:w="100" w:type="dxa"/>
              <w:bottom w:w="100" w:type="dxa"/>
              <w:right w:w="100" w:type="dxa"/>
            </w:tcMar>
          </w:tcPr>
          <w:p w14:paraId="2EFC8FA3"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2.3–3.6</w:t>
            </w:r>
          </w:p>
        </w:tc>
        <w:tc>
          <w:tcPr>
            <w:tcW w:w="1365" w:type="dxa"/>
            <w:shd w:val="clear" w:color="auto" w:fill="auto"/>
            <w:tcMar>
              <w:top w:w="100" w:type="dxa"/>
              <w:left w:w="100" w:type="dxa"/>
              <w:bottom w:w="100" w:type="dxa"/>
              <w:right w:w="100" w:type="dxa"/>
            </w:tcMar>
          </w:tcPr>
          <w:p w14:paraId="2A1F230D"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5–12, narrow</w:t>
            </w:r>
          </w:p>
        </w:tc>
        <w:tc>
          <w:tcPr>
            <w:tcW w:w="1185" w:type="dxa"/>
            <w:shd w:val="clear" w:color="auto" w:fill="auto"/>
            <w:tcMar>
              <w:top w:w="100" w:type="dxa"/>
              <w:left w:w="100" w:type="dxa"/>
              <w:bottom w:w="100" w:type="dxa"/>
              <w:right w:w="100" w:type="dxa"/>
            </w:tcMar>
          </w:tcPr>
          <w:p w14:paraId="07908477" w14:textId="77777777" w:rsidR="00471E14" w:rsidRDefault="0099106F">
            <w:pPr>
              <w:widowControl w:val="0"/>
              <w:jc w:val="left"/>
              <w:rPr>
                <w:rFonts w:ascii="Arial" w:eastAsia="Arial" w:hAnsi="Arial" w:cs="Arial"/>
                <w:sz w:val="18"/>
                <w:szCs w:val="18"/>
              </w:rPr>
            </w:pPr>
            <w:r>
              <w:rPr>
                <w:rFonts w:ascii="Arial" w:eastAsia="Arial" w:hAnsi="Arial" w:cs="Arial"/>
                <w:sz w:val="18"/>
                <w:szCs w:val="18"/>
              </w:rPr>
              <w:t>entire, grooved, bilobed</w:t>
            </w:r>
          </w:p>
        </w:tc>
      </w:tr>
      <w:tr w:rsidR="00471E14" w14:paraId="14F7AB96" w14:textId="77777777">
        <w:tc>
          <w:tcPr>
            <w:tcW w:w="1305" w:type="dxa"/>
            <w:shd w:val="clear" w:color="auto" w:fill="auto"/>
            <w:tcMar>
              <w:top w:w="100" w:type="dxa"/>
              <w:left w:w="100" w:type="dxa"/>
              <w:bottom w:w="100" w:type="dxa"/>
              <w:right w:w="100" w:type="dxa"/>
            </w:tcMar>
          </w:tcPr>
          <w:p w14:paraId="1B2A1FA0" w14:textId="77777777" w:rsidR="00471E14" w:rsidRDefault="0099106F">
            <w:pPr>
              <w:widowControl w:val="0"/>
              <w:jc w:val="left"/>
              <w:rPr>
                <w:rFonts w:ascii="Arial" w:eastAsia="Arial" w:hAnsi="Arial" w:cs="Arial"/>
                <w:b/>
                <w:i/>
                <w:sz w:val="18"/>
                <w:szCs w:val="18"/>
              </w:rPr>
            </w:pPr>
            <w:r>
              <w:rPr>
                <w:rFonts w:ascii="Arial" w:eastAsia="Arial" w:hAnsi="Arial" w:cs="Arial"/>
                <w:b/>
                <w:i/>
                <w:sz w:val="18"/>
                <w:szCs w:val="18"/>
              </w:rPr>
              <w:t>striata</w:t>
            </w:r>
          </w:p>
        </w:tc>
        <w:tc>
          <w:tcPr>
            <w:tcW w:w="1304" w:type="dxa"/>
            <w:shd w:val="clear" w:color="auto" w:fill="auto"/>
            <w:tcMar>
              <w:top w:w="100" w:type="dxa"/>
              <w:left w:w="100" w:type="dxa"/>
              <w:bottom w:w="100" w:type="dxa"/>
              <w:right w:w="100" w:type="dxa"/>
            </w:tcMar>
          </w:tcPr>
          <w:p w14:paraId="3A0C0FD9"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11–18</w:t>
            </w:r>
          </w:p>
        </w:tc>
        <w:tc>
          <w:tcPr>
            <w:tcW w:w="1304" w:type="dxa"/>
            <w:shd w:val="clear" w:color="auto" w:fill="auto"/>
            <w:tcMar>
              <w:top w:w="100" w:type="dxa"/>
              <w:left w:w="100" w:type="dxa"/>
              <w:bottom w:w="100" w:type="dxa"/>
              <w:right w:w="100" w:type="dxa"/>
            </w:tcMar>
          </w:tcPr>
          <w:p w14:paraId="7BC8BFAF"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0.20–0.35</w:t>
            </w:r>
          </w:p>
        </w:tc>
        <w:tc>
          <w:tcPr>
            <w:tcW w:w="1304" w:type="dxa"/>
            <w:shd w:val="clear" w:color="auto" w:fill="auto"/>
            <w:tcMar>
              <w:top w:w="100" w:type="dxa"/>
              <w:left w:w="100" w:type="dxa"/>
              <w:bottom w:w="100" w:type="dxa"/>
              <w:right w:w="100" w:type="dxa"/>
            </w:tcMar>
          </w:tcPr>
          <w:p w14:paraId="5F6EA431"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0.10–0.15</w:t>
            </w:r>
          </w:p>
        </w:tc>
        <w:tc>
          <w:tcPr>
            <w:tcW w:w="1304" w:type="dxa"/>
            <w:shd w:val="clear" w:color="auto" w:fill="auto"/>
            <w:tcMar>
              <w:top w:w="100" w:type="dxa"/>
              <w:left w:w="100" w:type="dxa"/>
              <w:bottom w:w="100" w:type="dxa"/>
              <w:right w:w="100" w:type="dxa"/>
            </w:tcMar>
          </w:tcPr>
          <w:p w14:paraId="329DE350"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3.3–5.8</w:t>
            </w:r>
          </w:p>
        </w:tc>
        <w:tc>
          <w:tcPr>
            <w:tcW w:w="1365" w:type="dxa"/>
            <w:shd w:val="clear" w:color="auto" w:fill="auto"/>
            <w:tcMar>
              <w:top w:w="100" w:type="dxa"/>
              <w:left w:w="100" w:type="dxa"/>
              <w:bottom w:w="100" w:type="dxa"/>
              <w:right w:w="100" w:type="dxa"/>
            </w:tcMar>
          </w:tcPr>
          <w:p w14:paraId="6E264309"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13–22, medium-wide</w:t>
            </w:r>
          </w:p>
          <w:p w14:paraId="4CE69B57" w14:textId="77777777" w:rsidR="00471E14" w:rsidRDefault="00471E14">
            <w:pPr>
              <w:widowControl w:val="0"/>
              <w:pBdr>
                <w:top w:val="nil"/>
                <w:left w:val="nil"/>
                <w:bottom w:val="nil"/>
                <w:right w:val="nil"/>
                <w:between w:val="nil"/>
              </w:pBdr>
              <w:jc w:val="left"/>
              <w:rPr>
                <w:rFonts w:ascii="Arial" w:eastAsia="Arial" w:hAnsi="Arial" w:cs="Arial"/>
                <w:sz w:val="18"/>
                <w:szCs w:val="18"/>
              </w:rPr>
            </w:pPr>
          </w:p>
        </w:tc>
        <w:tc>
          <w:tcPr>
            <w:tcW w:w="1185" w:type="dxa"/>
            <w:shd w:val="clear" w:color="auto" w:fill="auto"/>
            <w:tcMar>
              <w:top w:w="100" w:type="dxa"/>
              <w:left w:w="100" w:type="dxa"/>
              <w:bottom w:w="100" w:type="dxa"/>
              <w:right w:w="100" w:type="dxa"/>
            </w:tcMar>
          </w:tcPr>
          <w:p w14:paraId="45E2482C"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entire, grooved, bilobed</w:t>
            </w:r>
          </w:p>
        </w:tc>
      </w:tr>
      <w:tr w:rsidR="00471E14" w14:paraId="1BFB37EA" w14:textId="77777777">
        <w:tc>
          <w:tcPr>
            <w:tcW w:w="1305" w:type="dxa"/>
            <w:shd w:val="clear" w:color="auto" w:fill="auto"/>
            <w:tcMar>
              <w:top w:w="100" w:type="dxa"/>
              <w:left w:w="100" w:type="dxa"/>
              <w:bottom w:w="100" w:type="dxa"/>
              <w:right w:w="100" w:type="dxa"/>
            </w:tcMar>
          </w:tcPr>
          <w:p w14:paraId="7C7E46AC" w14:textId="77777777" w:rsidR="00471E14" w:rsidRDefault="0099106F">
            <w:pPr>
              <w:widowControl w:val="0"/>
              <w:jc w:val="left"/>
              <w:rPr>
                <w:rFonts w:ascii="Arial" w:eastAsia="Arial" w:hAnsi="Arial" w:cs="Arial"/>
                <w:b/>
                <w:i/>
                <w:sz w:val="18"/>
                <w:szCs w:val="18"/>
              </w:rPr>
            </w:pPr>
            <w:r>
              <w:rPr>
                <w:rFonts w:ascii="Arial" w:eastAsia="Arial" w:hAnsi="Arial" w:cs="Arial"/>
                <w:b/>
                <w:i/>
                <w:sz w:val="18"/>
                <w:szCs w:val="18"/>
              </w:rPr>
              <w:t>suspensa</w:t>
            </w:r>
          </w:p>
        </w:tc>
        <w:tc>
          <w:tcPr>
            <w:tcW w:w="1304" w:type="dxa"/>
            <w:shd w:val="clear" w:color="auto" w:fill="auto"/>
            <w:tcMar>
              <w:top w:w="100" w:type="dxa"/>
              <w:left w:w="100" w:type="dxa"/>
              <w:bottom w:w="100" w:type="dxa"/>
              <w:right w:w="100" w:type="dxa"/>
            </w:tcMar>
          </w:tcPr>
          <w:p w14:paraId="136A22A2"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9–14</w:t>
            </w:r>
          </w:p>
        </w:tc>
        <w:tc>
          <w:tcPr>
            <w:tcW w:w="1304" w:type="dxa"/>
            <w:shd w:val="clear" w:color="auto" w:fill="auto"/>
            <w:tcMar>
              <w:top w:w="100" w:type="dxa"/>
              <w:left w:w="100" w:type="dxa"/>
              <w:bottom w:w="100" w:type="dxa"/>
              <w:right w:w="100" w:type="dxa"/>
            </w:tcMar>
          </w:tcPr>
          <w:p w14:paraId="69BF54ED"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0.16–0.24</w:t>
            </w:r>
          </w:p>
        </w:tc>
        <w:tc>
          <w:tcPr>
            <w:tcW w:w="1304" w:type="dxa"/>
            <w:shd w:val="clear" w:color="auto" w:fill="auto"/>
            <w:tcMar>
              <w:top w:w="100" w:type="dxa"/>
              <w:left w:w="100" w:type="dxa"/>
              <w:bottom w:w="100" w:type="dxa"/>
              <w:right w:w="100" w:type="dxa"/>
            </w:tcMar>
          </w:tcPr>
          <w:p w14:paraId="6C29EB27"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0.07–0.10</w:t>
            </w:r>
          </w:p>
        </w:tc>
        <w:tc>
          <w:tcPr>
            <w:tcW w:w="1304" w:type="dxa"/>
            <w:shd w:val="clear" w:color="auto" w:fill="auto"/>
            <w:tcMar>
              <w:top w:w="100" w:type="dxa"/>
              <w:left w:w="100" w:type="dxa"/>
              <w:bottom w:w="100" w:type="dxa"/>
              <w:right w:w="100" w:type="dxa"/>
            </w:tcMar>
          </w:tcPr>
          <w:p w14:paraId="1F2F15F4"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2.3–3.7</w:t>
            </w:r>
          </w:p>
        </w:tc>
        <w:tc>
          <w:tcPr>
            <w:tcW w:w="1365" w:type="dxa"/>
            <w:shd w:val="clear" w:color="auto" w:fill="auto"/>
            <w:tcMar>
              <w:top w:w="100" w:type="dxa"/>
              <w:left w:w="100" w:type="dxa"/>
              <w:bottom w:w="100" w:type="dxa"/>
              <w:right w:w="100" w:type="dxa"/>
            </w:tcMar>
          </w:tcPr>
          <w:p w14:paraId="6C6A02EF"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8–16, narrow-medium</w:t>
            </w:r>
          </w:p>
        </w:tc>
        <w:tc>
          <w:tcPr>
            <w:tcW w:w="1185" w:type="dxa"/>
            <w:shd w:val="clear" w:color="auto" w:fill="auto"/>
            <w:tcMar>
              <w:top w:w="100" w:type="dxa"/>
              <w:left w:w="100" w:type="dxa"/>
              <w:bottom w:w="100" w:type="dxa"/>
              <w:right w:w="100" w:type="dxa"/>
            </w:tcMar>
          </w:tcPr>
          <w:p w14:paraId="39FF8E19" w14:textId="77777777" w:rsidR="00471E14" w:rsidRDefault="0099106F">
            <w:pPr>
              <w:widowControl w:val="0"/>
              <w:pBdr>
                <w:top w:val="nil"/>
                <w:left w:val="nil"/>
                <w:bottom w:val="nil"/>
                <w:right w:val="nil"/>
                <w:between w:val="nil"/>
              </w:pBdr>
              <w:jc w:val="left"/>
              <w:rPr>
                <w:rFonts w:ascii="Arial" w:eastAsia="Arial" w:hAnsi="Arial" w:cs="Arial"/>
                <w:sz w:val="18"/>
                <w:szCs w:val="18"/>
              </w:rPr>
            </w:pPr>
            <w:r>
              <w:rPr>
                <w:rFonts w:ascii="Arial" w:eastAsia="Arial" w:hAnsi="Arial" w:cs="Arial"/>
                <w:sz w:val="18"/>
                <w:szCs w:val="18"/>
              </w:rPr>
              <w:t>entire, grooved</w:t>
            </w:r>
          </w:p>
        </w:tc>
      </w:tr>
    </w:tbl>
    <w:p w14:paraId="0F9CD5E4" w14:textId="77777777" w:rsidR="00471E14" w:rsidRDefault="0099106F">
      <w:pPr>
        <w:keepNext/>
        <w:pBdr>
          <w:top w:val="nil"/>
          <w:left w:val="nil"/>
          <w:bottom w:val="nil"/>
          <w:right w:val="nil"/>
          <w:between w:val="nil"/>
        </w:pBdr>
        <w:spacing w:before="60" w:after="60"/>
        <w:jc w:val="left"/>
        <w:rPr>
          <w:b/>
          <w:i/>
        </w:rPr>
      </w:pPr>
      <w:r>
        <w:br w:type="page"/>
      </w:r>
      <w:r>
        <w:rPr>
          <w:b/>
        </w:rPr>
        <w:t xml:space="preserve">4.5 </w:t>
      </w:r>
      <w:r>
        <w:rPr>
          <w:b/>
        </w:rPr>
        <w:tab/>
        <w:t xml:space="preserve">Molecular identification of economically important species of </w:t>
      </w:r>
      <w:r>
        <w:rPr>
          <w:b/>
          <w:i/>
        </w:rPr>
        <w:t>Anastrepha</w:t>
      </w:r>
    </w:p>
    <w:p w14:paraId="67071E8A" w14:textId="7259139C" w:rsidR="00471E14" w:rsidRPr="00B71B0E" w:rsidRDefault="0099106F" w:rsidP="00810564">
      <w:pPr>
        <w:pStyle w:val="IPPParagraphnumbering"/>
      </w:pPr>
      <w:r>
        <w:t xml:space="preserve">Molecular diagnostic methods allow for the identification of the </w:t>
      </w:r>
      <w:r>
        <w:rPr>
          <w:i/>
        </w:rPr>
        <w:t>Anastrepha</w:t>
      </w:r>
      <w:r>
        <w:t xml:space="preserve"> pest species </w:t>
      </w:r>
      <w:r>
        <w:rPr>
          <w:i/>
        </w:rPr>
        <w:t>A. grandis, A. ludens, A. obliqua, A. serpentina, A. striata</w:t>
      </w:r>
      <w:r>
        <w:t xml:space="preserve">, and </w:t>
      </w:r>
      <w:r>
        <w:rPr>
          <w:i/>
        </w:rPr>
        <w:t xml:space="preserve">A. suspensa </w:t>
      </w:r>
      <w:r>
        <w:t xml:space="preserve">(Barr </w:t>
      </w:r>
      <w:r>
        <w:rPr>
          <w:i/>
        </w:rPr>
        <w:t>et al</w:t>
      </w:r>
      <w:r>
        <w:t>., 2017, 2018)</w:t>
      </w:r>
      <w:r>
        <w:rPr>
          <w:i/>
        </w:rPr>
        <w:t>.</w:t>
      </w:r>
      <w:r>
        <w:t xml:space="preserve"> The procedures described in these publications target DNAs using the polymerase chain reaction (PCR) and conventional sequencing. The protocols mentioned in these studies provide guidance for sequencing the amplification of the </w:t>
      </w:r>
      <w:r w:rsidRPr="00B71B0E">
        <w:t xml:space="preserve">barcoding cytochrome oxidase subunit I (COI) gene region (Folmer 1994) and the internal transcribed spacer 2 (ITS2) region (Ji </w:t>
      </w:r>
      <w:r w:rsidRPr="00B71B0E">
        <w:rPr>
          <w:i/>
        </w:rPr>
        <w:t>et al.</w:t>
      </w:r>
      <w:r w:rsidRPr="00B71B0E">
        <w:t xml:space="preserve"> 200</w:t>
      </w:r>
      <w:r w:rsidR="00DB0447">
        <w:t>3</w:t>
      </w:r>
      <w:r w:rsidRPr="00B71B0E">
        <w:t>). The outcomes described in these methods yield sequences that are unique to those previously mentioned species and will allow diagnosticians to make accurate determinations.</w:t>
      </w:r>
      <w:r w:rsidR="008323D2" w:rsidRPr="00B71B0E">
        <w:t xml:space="preserve"> In addition to geographic and taxonomic sampling </w:t>
      </w:r>
      <w:r w:rsidR="000B43CD" w:rsidRPr="00B71B0E">
        <w:t xml:space="preserve">of </w:t>
      </w:r>
      <w:r w:rsidR="006E62D7" w:rsidRPr="00B71B0E">
        <w:t xml:space="preserve">the </w:t>
      </w:r>
      <w:r w:rsidR="000B43CD" w:rsidRPr="00B71B0E">
        <w:t xml:space="preserve">pests </w:t>
      </w:r>
      <w:r w:rsidR="004355FC" w:rsidRPr="00B71B0E">
        <w:t xml:space="preserve">used to confirm diagnostic specificity </w:t>
      </w:r>
      <w:r w:rsidR="002300BA" w:rsidRPr="00B71B0E">
        <w:t xml:space="preserve">in </w:t>
      </w:r>
      <w:r w:rsidR="000B43CD" w:rsidRPr="00B71B0E">
        <w:t>these diagnostic</w:t>
      </w:r>
      <w:r w:rsidR="002300BA" w:rsidRPr="00B71B0E">
        <w:t xml:space="preserve"> method</w:t>
      </w:r>
      <w:r w:rsidR="006E62D7" w:rsidRPr="00B71B0E">
        <w:t>s</w:t>
      </w:r>
      <w:r w:rsidR="001C42AA" w:rsidRPr="00B71B0E">
        <w:t xml:space="preserve">, the genus </w:t>
      </w:r>
      <w:r w:rsidR="001C42AA" w:rsidRPr="00B71B0E">
        <w:rPr>
          <w:i/>
          <w:iCs/>
        </w:rPr>
        <w:t>Anastrepha</w:t>
      </w:r>
      <w:r w:rsidR="001C42AA" w:rsidRPr="00B71B0E">
        <w:t xml:space="preserve"> has been the subject of several molecular studies </w:t>
      </w:r>
      <w:r w:rsidR="004218E3" w:rsidRPr="00B71B0E">
        <w:t xml:space="preserve">that </w:t>
      </w:r>
      <w:r w:rsidR="000C0FA6" w:rsidRPr="00B71B0E">
        <w:t xml:space="preserve">support the methods through </w:t>
      </w:r>
      <w:r w:rsidR="004218E3" w:rsidRPr="00B71B0E">
        <w:t xml:space="preserve">estimates of </w:t>
      </w:r>
      <w:r w:rsidR="006E62D7" w:rsidRPr="00B71B0E">
        <w:t xml:space="preserve">pest </w:t>
      </w:r>
      <w:r w:rsidR="004218E3" w:rsidRPr="00B71B0E">
        <w:t xml:space="preserve">genetic diversity </w:t>
      </w:r>
      <w:r w:rsidR="000C0FA6" w:rsidRPr="00B71B0E">
        <w:t xml:space="preserve">(Boykin et al., 2010; Ruiz-Arce et al. 2012, 2015, 2019; Barr et al., 2017, 2018; Bartolini et al., 2020) </w:t>
      </w:r>
      <w:r w:rsidR="004218E3" w:rsidRPr="00B71B0E">
        <w:t xml:space="preserve">and </w:t>
      </w:r>
      <w:r w:rsidR="000C0FA6" w:rsidRPr="00B71B0E">
        <w:t>systematic relationships (</w:t>
      </w:r>
      <w:r w:rsidR="00D25AD8" w:rsidRPr="00B71B0E">
        <w:t>McPheron et al., 1999; Smith-Caldas et al., 2001; Barr 2005; Silva and Barr 200</w:t>
      </w:r>
      <w:r w:rsidR="00DB0447">
        <w:t>6</w:t>
      </w:r>
      <w:r w:rsidR="00D25AD8" w:rsidRPr="00B71B0E">
        <w:t xml:space="preserve"> Mengual et al. 2017; Moore et al., 2022</w:t>
      </w:r>
      <w:r w:rsidR="000C0FA6" w:rsidRPr="00B71B0E">
        <w:t>).</w:t>
      </w:r>
      <w:r w:rsidR="001C42AA" w:rsidRPr="00B71B0E">
        <w:t xml:space="preserve"> </w:t>
      </w:r>
    </w:p>
    <w:p w14:paraId="172B85A7" w14:textId="77777777" w:rsidR="00471E14" w:rsidRDefault="0099106F">
      <w:pPr>
        <w:keepNext/>
        <w:spacing w:before="240" w:after="120"/>
        <w:jc w:val="left"/>
        <w:rPr>
          <w:b/>
        </w:rPr>
      </w:pPr>
      <w:r>
        <w:rPr>
          <w:b/>
        </w:rPr>
        <w:t>4.5.1 DNA extraction methods</w:t>
      </w:r>
    </w:p>
    <w:p w14:paraId="7BB31242" w14:textId="2C78A91B" w:rsidR="00471E14" w:rsidRDefault="0099106F" w:rsidP="00810564">
      <w:pPr>
        <w:pStyle w:val="IPPParagraphnumbering"/>
      </w:pPr>
      <w:r>
        <w:t xml:space="preserve">The successful diagnoses of specimens belonging to </w:t>
      </w:r>
      <w:r>
        <w:rPr>
          <w:i/>
        </w:rPr>
        <w:t xml:space="preserve">Anastrepha </w:t>
      </w:r>
      <w:r>
        <w:t xml:space="preserve">require proper preservation and effective isolation of high-quality DNAs of sufficient quantities to analyze with PCR methods. These considerations should be taken early on, prior to gathering individuals if possible. Specimens should be stored in 70-100% ethanol (Vink </w:t>
      </w:r>
      <w:r>
        <w:rPr>
          <w:i/>
        </w:rPr>
        <w:t>et al</w:t>
      </w:r>
      <w:r>
        <w:t xml:space="preserve">., 2005) immediately after collecting and maintained in </w:t>
      </w:r>
      <w:r>
        <w:rPr>
          <w:u w:val="single"/>
        </w:rPr>
        <w:t>&gt;</w:t>
      </w:r>
      <w:r>
        <w:t>95% ethanol and/or kept at -20</w:t>
      </w:r>
      <w:r>
        <w:rPr>
          <w:vertAlign w:val="superscript"/>
        </w:rPr>
        <w:t>o</w:t>
      </w:r>
      <w:r>
        <w:t>C or cooler temperatures to minimize the degradation of nucleic acids. Published methods for isolating DNAs have relied on use of commercial kits and effective protocols for isolating DNA. The DNA isolation process removes unwanted agents that may inhibit some molecular methods and yields a more refined product. Armstrong (200</w:t>
      </w:r>
      <w:r w:rsidR="007267E9">
        <w:t>5</w:t>
      </w:r>
      <w:r>
        <w:t xml:space="preserve">) and Boykin </w:t>
      </w:r>
      <w:r>
        <w:rPr>
          <w:i/>
        </w:rPr>
        <w:t>et</w:t>
      </w:r>
      <w:r>
        <w:t xml:space="preserve"> </w:t>
      </w:r>
      <w:r>
        <w:rPr>
          <w:i/>
        </w:rPr>
        <w:t>al.</w:t>
      </w:r>
      <w:r>
        <w:t xml:space="preserve"> (2014) provide protocols that have successfully isolated sufficient quantities of DNA from a single leg for PCR. Removal of a leg from an adult specimen for DNA extraction is recommended so that a voucher is retained for morphological examination. For larvae (prepared according to section 4.2), the mid-section of the body can be removed, leaving the head and caudal areas intact. This approach is minimally invasive and recommended because the remaining specimen can be used for future studies including morphological identifications (Barr </w:t>
      </w:r>
      <w:r>
        <w:rPr>
          <w:i/>
        </w:rPr>
        <w:t>et al.,</w:t>
      </w:r>
      <w:r>
        <w:t xml:space="preserve"> 2006). </w:t>
      </w:r>
    </w:p>
    <w:p w14:paraId="1FD06FD4" w14:textId="77777777" w:rsidR="00471E14" w:rsidRDefault="0099106F">
      <w:pPr>
        <w:keepNext/>
        <w:spacing w:before="240" w:after="120"/>
        <w:jc w:val="left"/>
        <w:rPr>
          <w:b/>
        </w:rPr>
      </w:pPr>
      <w:r>
        <w:rPr>
          <w:b/>
        </w:rPr>
        <w:t>4.5.2 Controls for molecular tests</w:t>
      </w:r>
    </w:p>
    <w:p w14:paraId="1A5EE99D" w14:textId="77777777" w:rsidR="00471E14" w:rsidRDefault="0099106F" w:rsidP="00810564">
      <w:pPr>
        <w:pStyle w:val="IPPParagraphnumbering"/>
      </w:pPr>
      <w:r>
        <w:t>For the test result to be considered reliable, appropriate controls – which will depend on the type of test used and the level of certainty required – should be considered for each series of nucleic acid isolations and amplification of the target pest or target nucleic acid. As a minimum, a positive nucleic acid control, a negative amplification control (no template control), and a negative extraction control should be used for a PCR test used to conduct DNA sequencing analysis.</w:t>
      </w:r>
    </w:p>
    <w:p w14:paraId="4634FE75" w14:textId="77777777" w:rsidR="00471E14" w:rsidRDefault="0099106F" w:rsidP="00810564">
      <w:pPr>
        <w:pStyle w:val="IPPParagraphnumbering"/>
      </w:pPr>
      <w:r>
        <w:rPr>
          <w:b/>
        </w:rPr>
        <w:t xml:space="preserve">Positive nucleic acid control. </w:t>
      </w:r>
      <w:r>
        <w:t>This control is used to monitor the efficiency of the test method (apart from the extraction). Pre-prepared (stored) genomic target DNA may be used. A positive control may consist of a previously analyzed sample belonging to an individual of known identity and condition of DNA.</w:t>
      </w:r>
    </w:p>
    <w:p w14:paraId="7A12A0D9" w14:textId="77777777" w:rsidR="00471E14" w:rsidRDefault="0099106F" w:rsidP="00810564">
      <w:pPr>
        <w:pStyle w:val="IPPParagraphnumbering"/>
      </w:pPr>
      <w:r>
        <w:rPr>
          <w:b/>
        </w:rPr>
        <w:t xml:space="preserve">Negative amplification control (no template control). </w:t>
      </w:r>
      <w:r>
        <w:t>This control is necessary to rule out false positives resulting from contamination with other genetic material during the preparation of the reaction mixture. PCR-grade water that was used to prepare the reaction mixture is added in place of template DNA</w:t>
      </w:r>
    </w:p>
    <w:p w14:paraId="37B19693" w14:textId="77777777" w:rsidR="00471E14" w:rsidRDefault="0099106F" w:rsidP="00810564">
      <w:pPr>
        <w:pStyle w:val="IPPParagraphnumbering"/>
      </w:pPr>
      <w:r>
        <w:rPr>
          <w:b/>
        </w:rPr>
        <w:t xml:space="preserve">Negative extraction control. </w:t>
      </w:r>
      <w:r>
        <w:t>This control is used to monitor contamination during nucleic acid extraction. This requires extraction blanks to be processed alongside the samples to be tested.</w:t>
      </w:r>
    </w:p>
    <w:p w14:paraId="32EA550D" w14:textId="77777777" w:rsidR="00471E14" w:rsidRDefault="0099106F">
      <w:pPr>
        <w:keepNext/>
        <w:spacing w:before="240" w:after="120"/>
        <w:jc w:val="left"/>
        <w:rPr>
          <w:b/>
        </w:rPr>
      </w:pPr>
      <w:r>
        <w:rPr>
          <w:b/>
        </w:rPr>
        <w:t xml:space="preserve">4.5.3 COI PCR amplification methods for </w:t>
      </w:r>
      <w:r>
        <w:rPr>
          <w:b/>
          <w:i/>
        </w:rPr>
        <w:t xml:space="preserve">Anastrepha </w:t>
      </w:r>
      <w:r>
        <w:rPr>
          <w:b/>
        </w:rPr>
        <w:t>species</w:t>
      </w:r>
    </w:p>
    <w:p w14:paraId="62CDB0C8" w14:textId="77777777" w:rsidR="00471E14" w:rsidRDefault="0099106F" w:rsidP="00810564">
      <w:pPr>
        <w:pStyle w:val="IPPParagraphnumbering"/>
      </w:pPr>
      <w:r>
        <w:t xml:space="preserve">The methods for amplifying COI in </w:t>
      </w:r>
      <w:r>
        <w:rPr>
          <w:i/>
        </w:rPr>
        <w:t>Anastrepha</w:t>
      </w:r>
      <w:r>
        <w:t xml:space="preserve"> DNAs were reported in Barr et al. (2018). Two primer sets were used in the study and resulted in trimmed amplified fragments of 650-750 base pairs. These two sets provide comparable results with those individual species mentioned in their publication. Diagnosing </w:t>
      </w:r>
      <w:r>
        <w:rPr>
          <w:i/>
        </w:rPr>
        <w:t xml:space="preserve">A. grandis, A. ludens, A. serpentina, </w:t>
      </w:r>
      <w:r>
        <w:t xml:space="preserve">and </w:t>
      </w:r>
      <w:r>
        <w:rPr>
          <w:i/>
        </w:rPr>
        <w:t xml:space="preserve">A. striata </w:t>
      </w:r>
      <w:r>
        <w:t xml:space="preserve">can be reliably accomplished using these methods. </w:t>
      </w:r>
    </w:p>
    <w:p w14:paraId="0803D96D" w14:textId="77777777" w:rsidR="00471E14" w:rsidRDefault="0099106F" w:rsidP="00810564">
      <w:pPr>
        <w:pStyle w:val="IPPParagraphnumbering"/>
      </w:pPr>
      <w:r>
        <w:t>Table 5 provides the PCR master mix components and their respective concentrations and volumes and PCR amplification when using these two primer sets.</w:t>
      </w:r>
    </w:p>
    <w:p w14:paraId="16B8EC3D" w14:textId="77777777" w:rsidR="00471E14" w:rsidRDefault="0099106F" w:rsidP="00810564">
      <w:pPr>
        <w:pStyle w:val="IPPParagraphnumbering"/>
      </w:pPr>
      <w:r>
        <w:t>The COI oligonucleotide primers used from Folmer et al. (1994):</w:t>
      </w:r>
    </w:p>
    <w:p w14:paraId="4F4B9822" w14:textId="77777777" w:rsidR="00471E14" w:rsidRDefault="0099106F" w:rsidP="00810564">
      <w:pPr>
        <w:pStyle w:val="IPPParagraphnumbering"/>
      </w:pPr>
      <w:r>
        <w:t>LCO-1490 (5′-GGTCAACAAATCATAAAGATATTGG-3′)</w:t>
      </w:r>
    </w:p>
    <w:p w14:paraId="22181E21" w14:textId="77777777" w:rsidR="00471E14" w:rsidRDefault="0099106F" w:rsidP="00810564">
      <w:pPr>
        <w:pStyle w:val="IPPParagraphnumbering"/>
      </w:pPr>
      <w:r>
        <w:t>HCO-2198 (5′-TAAACTTCAGGGTGACCAAAAAATCA-3′)</w:t>
      </w:r>
    </w:p>
    <w:p w14:paraId="1248A04C" w14:textId="77777777" w:rsidR="00471E14" w:rsidRDefault="0099106F" w:rsidP="00810564">
      <w:pPr>
        <w:pStyle w:val="IPPParagraphnumbering"/>
      </w:pPr>
      <w:r>
        <w:t>The COI oligonucleotide primers used from Simon et al. (1994):</w:t>
      </w:r>
    </w:p>
    <w:p w14:paraId="073A41F4" w14:textId="77777777" w:rsidR="00471E14" w:rsidRDefault="0099106F" w:rsidP="00810564">
      <w:pPr>
        <w:pStyle w:val="IPPParagraphnumbering"/>
      </w:pPr>
      <w:r>
        <w:t>TY-J-1460 (5′- TACAATTTATCGCCTAAACTTCAGCC-3′)</w:t>
      </w:r>
    </w:p>
    <w:p w14:paraId="6100E5E9" w14:textId="77777777" w:rsidR="00471E14" w:rsidRDefault="0099106F" w:rsidP="00810564">
      <w:pPr>
        <w:pStyle w:val="IPPParagraphnumbering"/>
      </w:pPr>
      <w:r>
        <w:t>C1-N-2191 (5′- CCCGGTAAAATTAAAATATAAACTTC-3′)</w:t>
      </w:r>
    </w:p>
    <w:p w14:paraId="42B4EC6E" w14:textId="77777777" w:rsidR="00471E14" w:rsidRPr="007708DB" w:rsidRDefault="0099106F">
      <w:pPr>
        <w:keepNext/>
        <w:spacing w:before="240" w:line="276" w:lineRule="auto"/>
        <w:jc w:val="left"/>
        <w:rPr>
          <w:rFonts w:ascii="Arial" w:eastAsia="Arial" w:hAnsi="Arial" w:cs="Arial"/>
          <w:color w:val="000000"/>
          <w:sz w:val="18"/>
          <w:szCs w:val="18"/>
        </w:rPr>
      </w:pPr>
      <w:r w:rsidRPr="007708DB">
        <w:rPr>
          <w:rFonts w:ascii="Arial" w:hAnsi="Arial" w:cs="Arial"/>
          <w:b/>
          <w:sz w:val="18"/>
          <w:szCs w:val="18"/>
        </w:rPr>
        <w:t>Table 5.</w:t>
      </w:r>
      <w:r w:rsidRPr="007708DB">
        <w:rPr>
          <w:rFonts w:ascii="Arial" w:hAnsi="Arial" w:cs="Arial"/>
          <w:sz w:val="18"/>
          <w:szCs w:val="18"/>
        </w:rPr>
        <w:t xml:space="preserve"> List of master mix ingredients and PCR cycling parameters for COI.</w:t>
      </w:r>
    </w:p>
    <w:tbl>
      <w:tblPr>
        <w:tblStyle w:val="a4"/>
        <w:tblW w:w="60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0"/>
        <w:gridCol w:w="3012"/>
      </w:tblGrid>
      <w:tr w:rsidR="00471E14" w14:paraId="78B989AE" w14:textId="77777777">
        <w:tc>
          <w:tcPr>
            <w:tcW w:w="3010" w:type="dxa"/>
            <w:tcBorders>
              <w:top w:val="single" w:sz="4" w:space="0" w:color="000000"/>
              <w:left w:val="nil"/>
              <w:bottom w:val="single" w:sz="4" w:space="0" w:color="000000"/>
              <w:right w:val="nil"/>
            </w:tcBorders>
            <w:shd w:val="clear" w:color="auto" w:fill="BFBFBF"/>
          </w:tcPr>
          <w:p w14:paraId="31DF1E3D"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b/>
                <w:color w:val="000000"/>
                <w:sz w:val="18"/>
                <w:szCs w:val="18"/>
              </w:rPr>
              <w:t>Reagents</w:t>
            </w:r>
          </w:p>
        </w:tc>
        <w:tc>
          <w:tcPr>
            <w:tcW w:w="3012" w:type="dxa"/>
            <w:tcBorders>
              <w:top w:val="single" w:sz="4" w:space="0" w:color="000000"/>
              <w:left w:val="nil"/>
              <w:bottom w:val="single" w:sz="4" w:space="0" w:color="000000"/>
              <w:right w:val="nil"/>
            </w:tcBorders>
            <w:shd w:val="clear" w:color="auto" w:fill="BFBFBF"/>
          </w:tcPr>
          <w:p w14:paraId="5797E1AD"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b/>
                <w:color w:val="000000"/>
                <w:sz w:val="18"/>
                <w:szCs w:val="18"/>
              </w:rPr>
              <w:t>Final concentration</w:t>
            </w:r>
          </w:p>
        </w:tc>
      </w:tr>
      <w:tr w:rsidR="00471E14" w14:paraId="729D1E00" w14:textId="77777777">
        <w:tc>
          <w:tcPr>
            <w:tcW w:w="3010" w:type="dxa"/>
            <w:tcBorders>
              <w:top w:val="single" w:sz="4" w:space="0" w:color="000000"/>
              <w:left w:val="nil"/>
              <w:bottom w:val="nil"/>
              <w:right w:val="nil"/>
            </w:tcBorders>
            <w:shd w:val="clear" w:color="auto" w:fill="auto"/>
          </w:tcPr>
          <w:p w14:paraId="00E3BE44"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PCR-grade water</w:t>
            </w:r>
          </w:p>
        </w:tc>
        <w:tc>
          <w:tcPr>
            <w:tcW w:w="3012" w:type="dxa"/>
            <w:tcBorders>
              <w:top w:val="single" w:sz="4" w:space="0" w:color="000000"/>
              <w:left w:val="nil"/>
              <w:bottom w:val="nil"/>
              <w:right w:val="nil"/>
            </w:tcBorders>
            <w:shd w:val="clear" w:color="auto" w:fill="auto"/>
          </w:tcPr>
          <w:p w14:paraId="3C06F977"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w:t>
            </w:r>
            <w:r>
              <w:rPr>
                <w:rFonts w:ascii="Arial" w:eastAsia="Arial" w:hAnsi="Arial" w:cs="Arial"/>
                <w:color w:val="000000"/>
                <w:sz w:val="18"/>
                <w:szCs w:val="18"/>
                <w:vertAlign w:val="superscript"/>
              </w:rPr>
              <w:t>†</w:t>
            </w:r>
          </w:p>
        </w:tc>
      </w:tr>
      <w:tr w:rsidR="00471E14" w14:paraId="4738A88A" w14:textId="77777777">
        <w:tc>
          <w:tcPr>
            <w:tcW w:w="3010" w:type="dxa"/>
            <w:tcBorders>
              <w:top w:val="nil"/>
              <w:left w:val="nil"/>
              <w:bottom w:val="nil"/>
              <w:right w:val="nil"/>
            </w:tcBorders>
            <w:shd w:val="clear" w:color="auto" w:fill="auto"/>
          </w:tcPr>
          <w:p w14:paraId="1094CE27"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PCR buffer</w:t>
            </w:r>
          </w:p>
        </w:tc>
        <w:tc>
          <w:tcPr>
            <w:tcW w:w="3012" w:type="dxa"/>
            <w:tcBorders>
              <w:top w:val="nil"/>
              <w:left w:val="nil"/>
              <w:bottom w:val="nil"/>
              <w:right w:val="nil"/>
            </w:tcBorders>
            <w:shd w:val="clear" w:color="auto" w:fill="auto"/>
          </w:tcPr>
          <w:p w14:paraId="37B5743A"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 xml:space="preserve">1× </w:t>
            </w:r>
          </w:p>
        </w:tc>
      </w:tr>
      <w:tr w:rsidR="00471E14" w14:paraId="00A30CEC" w14:textId="77777777">
        <w:tc>
          <w:tcPr>
            <w:tcW w:w="3010" w:type="dxa"/>
            <w:tcBorders>
              <w:top w:val="nil"/>
              <w:left w:val="nil"/>
              <w:bottom w:val="nil"/>
              <w:right w:val="nil"/>
            </w:tcBorders>
            <w:shd w:val="clear" w:color="auto" w:fill="auto"/>
          </w:tcPr>
          <w:p w14:paraId="63A69D4F"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MgCl</w:t>
            </w:r>
            <w:r>
              <w:rPr>
                <w:rFonts w:ascii="Arial" w:eastAsia="Arial" w:hAnsi="Arial" w:cs="Arial"/>
                <w:color w:val="000000"/>
                <w:sz w:val="18"/>
                <w:szCs w:val="18"/>
                <w:vertAlign w:val="subscript"/>
              </w:rPr>
              <w:t>2</w:t>
            </w:r>
          </w:p>
        </w:tc>
        <w:tc>
          <w:tcPr>
            <w:tcW w:w="3012" w:type="dxa"/>
            <w:tcBorders>
              <w:top w:val="nil"/>
              <w:left w:val="nil"/>
              <w:bottom w:val="nil"/>
              <w:right w:val="nil"/>
            </w:tcBorders>
            <w:shd w:val="clear" w:color="auto" w:fill="auto"/>
          </w:tcPr>
          <w:p w14:paraId="09EDBE1D"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2.5 mM</w:t>
            </w:r>
          </w:p>
        </w:tc>
      </w:tr>
      <w:tr w:rsidR="00471E14" w14:paraId="5BA2AB5F" w14:textId="77777777">
        <w:trPr>
          <w:trHeight w:val="60"/>
        </w:trPr>
        <w:tc>
          <w:tcPr>
            <w:tcW w:w="3010" w:type="dxa"/>
            <w:tcBorders>
              <w:top w:val="nil"/>
              <w:left w:val="nil"/>
              <w:bottom w:val="nil"/>
              <w:right w:val="nil"/>
            </w:tcBorders>
            <w:shd w:val="clear" w:color="auto" w:fill="auto"/>
          </w:tcPr>
          <w:p w14:paraId="0A33578F"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dNTPs</w:t>
            </w:r>
          </w:p>
        </w:tc>
        <w:tc>
          <w:tcPr>
            <w:tcW w:w="3012" w:type="dxa"/>
            <w:tcBorders>
              <w:top w:val="nil"/>
              <w:left w:val="nil"/>
              <w:bottom w:val="nil"/>
              <w:right w:val="nil"/>
            </w:tcBorders>
            <w:shd w:val="clear" w:color="auto" w:fill="auto"/>
          </w:tcPr>
          <w:p w14:paraId="6EB2C7AA"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200 µM of each</w:t>
            </w:r>
          </w:p>
        </w:tc>
      </w:tr>
      <w:tr w:rsidR="00471E14" w14:paraId="39D37C1B" w14:textId="77777777">
        <w:tc>
          <w:tcPr>
            <w:tcW w:w="3010" w:type="dxa"/>
            <w:tcBorders>
              <w:top w:val="nil"/>
              <w:left w:val="nil"/>
              <w:bottom w:val="nil"/>
              <w:right w:val="nil"/>
            </w:tcBorders>
            <w:shd w:val="clear" w:color="auto" w:fill="auto"/>
          </w:tcPr>
          <w:p w14:paraId="0A953F3F"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Primer (forward)</w:t>
            </w:r>
          </w:p>
        </w:tc>
        <w:tc>
          <w:tcPr>
            <w:tcW w:w="3012" w:type="dxa"/>
            <w:tcBorders>
              <w:top w:val="nil"/>
              <w:left w:val="nil"/>
              <w:bottom w:val="nil"/>
              <w:right w:val="nil"/>
            </w:tcBorders>
            <w:shd w:val="clear" w:color="auto" w:fill="auto"/>
          </w:tcPr>
          <w:p w14:paraId="1AA7FE4C"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0.2 µM</w:t>
            </w:r>
          </w:p>
        </w:tc>
      </w:tr>
      <w:tr w:rsidR="00471E14" w14:paraId="2E92F0FA" w14:textId="77777777">
        <w:tc>
          <w:tcPr>
            <w:tcW w:w="3010" w:type="dxa"/>
            <w:tcBorders>
              <w:top w:val="nil"/>
              <w:left w:val="nil"/>
              <w:bottom w:val="nil"/>
              <w:right w:val="nil"/>
            </w:tcBorders>
            <w:shd w:val="clear" w:color="auto" w:fill="auto"/>
          </w:tcPr>
          <w:p w14:paraId="014CF121"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Primer (reverse)</w:t>
            </w:r>
          </w:p>
        </w:tc>
        <w:tc>
          <w:tcPr>
            <w:tcW w:w="3012" w:type="dxa"/>
            <w:tcBorders>
              <w:top w:val="nil"/>
              <w:left w:val="nil"/>
              <w:bottom w:val="nil"/>
              <w:right w:val="nil"/>
            </w:tcBorders>
            <w:shd w:val="clear" w:color="auto" w:fill="auto"/>
          </w:tcPr>
          <w:p w14:paraId="7FCB1FE1"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0.2 µM</w:t>
            </w:r>
          </w:p>
        </w:tc>
      </w:tr>
      <w:tr w:rsidR="00471E14" w14:paraId="53717280" w14:textId="77777777">
        <w:tc>
          <w:tcPr>
            <w:tcW w:w="3010" w:type="dxa"/>
            <w:tcBorders>
              <w:top w:val="nil"/>
              <w:left w:val="nil"/>
              <w:bottom w:val="single" w:sz="4" w:space="0" w:color="000000"/>
              <w:right w:val="nil"/>
            </w:tcBorders>
            <w:shd w:val="clear" w:color="auto" w:fill="auto"/>
          </w:tcPr>
          <w:p w14:paraId="56337DF6"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DNA polymerase</w:t>
            </w:r>
          </w:p>
        </w:tc>
        <w:tc>
          <w:tcPr>
            <w:tcW w:w="3012" w:type="dxa"/>
            <w:tcBorders>
              <w:top w:val="nil"/>
              <w:left w:val="nil"/>
              <w:bottom w:val="single" w:sz="4" w:space="0" w:color="000000"/>
              <w:right w:val="nil"/>
            </w:tcBorders>
            <w:shd w:val="clear" w:color="auto" w:fill="auto"/>
          </w:tcPr>
          <w:p w14:paraId="107429BA"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0.025 U/µL</w:t>
            </w:r>
          </w:p>
        </w:tc>
      </w:tr>
      <w:tr w:rsidR="00471E14" w14:paraId="2B02C4D5" w14:textId="77777777">
        <w:tc>
          <w:tcPr>
            <w:tcW w:w="3010" w:type="dxa"/>
            <w:tcBorders>
              <w:top w:val="single" w:sz="4" w:space="0" w:color="000000"/>
              <w:left w:val="nil"/>
              <w:bottom w:val="single" w:sz="4" w:space="0" w:color="000000"/>
              <w:right w:val="nil"/>
            </w:tcBorders>
            <w:shd w:val="clear" w:color="auto" w:fill="auto"/>
          </w:tcPr>
          <w:p w14:paraId="42427F9A"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DNA sample</w:t>
            </w:r>
          </w:p>
        </w:tc>
        <w:tc>
          <w:tcPr>
            <w:tcW w:w="3012" w:type="dxa"/>
            <w:tcBorders>
              <w:top w:val="single" w:sz="4" w:space="0" w:color="000000"/>
              <w:left w:val="nil"/>
              <w:bottom w:val="single" w:sz="4" w:space="0" w:color="000000"/>
              <w:right w:val="nil"/>
            </w:tcBorders>
            <w:shd w:val="clear" w:color="auto" w:fill="auto"/>
          </w:tcPr>
          <w:p w14:paraId="0C260E64"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1 µL</w:t>
            </w:r>
          </w:p>
        </w:tc>
      </w:tr>
      <w:tr w:rsidR="00471E14" w14:paraId="5DADF5FC" w14:textId="77777777">
        <w:tc>
          <w:tcPr>
            <w:tcW w:w="3010" w:type="dxa"/>
            <w:tcBorders>
              <w:top w:val="single" w:sz="4" w:space="0" w:color="000000"/>
              <w:left w:val="nil"/>
              <w:right w:val="nil"/>
            </w:tcBorders>
            <w:shd w:val="clear" w:color="auto" w:fill="BFBFBF"/>
          </w:tcPr>
          <w:p w14:paraId="2445E331"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b/>
                <w:color w:val="000000"/>
                <w:sz w:val="18"/>
                <w:szCs w:val="18"/>
              </w:rPr>
              <w:t>Cycling parameters</w:t>
            </w:r>
          </w:p>
        </w:tc>
        <w:tc>
          <w:tcPr>
            <w:tcW w:w="3012" w:type="dxa"/>
            <w:tcBorders>
              <w:top w:val="single" w:sz="4" w:space="0" w:color="000000"/>
              <w:left w:val="nil"/>
              <w:right w:val="nil"/>
            </w:tcBorders>
            <w:shd w:val="clear" w:color="auto" w:fill="BFBFBF"/>
          </w:tcPr>
          <w:p w14:paraId="2829910A" w14:textId="77777777" w:rsidR="00471E14" w:rsidRDefault="00471E14">
            <w:pPr>
              <w:pBdr>
                <w:top w:val="nil"/>
                <w:left w:val="nil"/>
                <w:bottom w:val="nil"/>
                <w:right w:val="nil"/>
                <w:between w:val="nil"/>
              </w:pBdr>
              <w:spacing w:before="60" w:after="60"/>
              <w:jc w:val="left"/>
              <w:rPr>
                <w:rFonts w:ascii="Arial" w:eastAsia="Arial" w:hAnsi="Arial" w:cs="Arial"/>
                <w:color w:val="000000"/>
                <w:sz w:val="18"/>
                <w:szCs w:val="18"/>
              </w:rPr>
            </w:pPr>
          </w:p>
        </w:tc>
      </w:tr>
      <w:tr w:rsidR="00471E14" w14:paraId="4BC7F76E" w14:textId="77777777">
        <w:tc>
          <w:tcPr>
            <w:tcW w:w="3010" w:type="dxa"/>
            <w:tcBorders>
              <w:top w:val="single" w:sz="4" w:space="0" w:color="000000"/>
              <w:left w:val="nil"/>
              <w:bottom w:val="nil"/>
              <w:right w:val="nil"/>
            </w:tcBorders>
            <w:shd w:val="clear" w:color="auto" w:fill="auto"/>
          </w:tcPr>
          <w:p w14:paraId="75C2BE14"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Initial denaturation</w:t>
            </w:r>
          </w:p>
        </w:tc>
        <w:tc>
          <w:tcPr>
            <w:tcW w:w="3012" w:type="dxa"/>
            <w:tcBorders>
              <w:top w:val="single" w:sz="4" w:space="0" w:color="000000"/>
              <w:left w:val="nil"/>
              <w:bottom w:val="nil"/>
              <w:right w:val="nil"/>
            </w:tcBorders>
            <w:shd w:val="clear" w:color="auto" w:fill="auto"/>
          </w:tcPr>
          <w:p w14:paraId="4B02F6EE"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94 °C for 3 min</w:t>
            </w:r>
          </w:p>
        </w:tc>
      </w:tr>
      <w:tr w:rsidR="00471E14" w14:paraId="3D682849" w14:textId="77777777">
        <w:tc>
          <w:tcPr>
            <w:tcW w:w="3010" w:type="dxa"/>
            <w:tcBorders>
              <w:top w:val="nil"/>
              <w:left w:val="nil"/>
              <w:bottom w:val="nil"/>
              <w:right w:val="nil"/>
            </w:tcBorders>
            <w:shd w:val="clear" w:color="auto" w:fill="auto"/>
          </w:tcPr>
          <w:p w14:paraId="516C112D"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Number of cycles</w:t>
            </w:r>
          </w:p>
        </w:tc>
        <w:tc>
          <w:tcPr>
            <w:tcW w:w="3012" w:type="dxa"/>
            <w:tcBorders>
              <w:top w:val="nil"/>
              <w:left w:val="nil"/>
              <w:bottom w:val="nil"/>
              <w:right w:val="nil"/>
            </w:tcBorders>
            <w:shd w:val="clear" w:color="auto" w:fill="auto"/>
          </w:tcPr>
          <w:p w14:paraId="39DBB980"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39</w:t>
            </w:r>
          </w:p>
        </w:tc>
      </w:tr>
      <w:tr w:rsidR="00471E14" w14:paraId="7D135D52" w14:textId="77777777">
        <w:tc>
          <w:tcPr>
            <w:tcW w:w="3010" w:type="dxa"/>
            <w:tcBorders>
              <w:top w:val="nil"/>
              <w:left w:val="nil"/>
              <w:bottom w:val="nil"/>
              <w:right w:val="nil"/>
            </w:tcBorders>
            <w:shd w:val="clear" w:color="auto" w:fill="auto"/>
          </w:tcPr>
          <w:p w14:paraId="5FDE489E" w14:textId="77777777" w:rsidR="00471E14" w:rsidRDefault="0099106F">
            <w:pPr>
              <w:numPr>
                <w:ilvl w:val="0"/>
                <w:numId w:val="1"/>
              </w:numPr>
              <w:pBdr>
                <w:top w:val="nil"/>
                <w:left w:val="nil"/>
                <w:bottom w:val="nil"/>
                <w:right w:val="nil"/>
                <w:between w:val="nil"/>
              </w:pBdr>
              <w:spacing w:before="60" w:after="60"/>
              <w:ind w:left="284" w:hanging="142"/>
              <w:jc w:val="left"/>
              <w:rPr>
                <w:rFonts w:ascii="Arial" w:eastAsia="Arial" w:hAnsi="Arial" w:cs="Arial"/>
                <w:color w:val="000000"/>
                <w:sz w:val="18"/>
                <w:szCs w:val="18"/>
              </w:rPr>
            </w:pPr>
            <w:r>
              <w:rPr>
                <w:rFonts w:ascii="Arial" w:eastAsia="Arial" w:hAnsi="Arial" w:cs="Arial"/>
                <w:color w:val="000000"/>
                <w:sz w:val="18"/>
                <w:szCs w:val="18"/>
              </w:rPr>
              <w:t>Denaturation</w:t>
            </w:r>
          </w:p>
        </w:tc>
        <w:tc>
          <w:tcPr>
            <w:tcW w:w="3012" w:type="dxa"/>
            <w:tcBorders>
              <w:top w:val="nil"/>
              <w:left w:val="nil"/>
              <w:bottom w:val="nil"/>
              <w:right w:val="nil"/>
            </w:tcBorders>
            <w:shd w:val="clear" w:color="auto" w:fill="auto"/>
          </w:tcPr>
          <w:p w14:paraId="6D94B5E7"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94 °C for 20 s</w:t>
            </w:r>
          </w:p>
        </w:tc>
      </w:tr>
      <w:tr w:rsidR="00471E14" w14:paraId="638D142C" w14:textId="77777777">
        <w:tc>
          <w:tcPr>
            <w:tcW w:w="3010" w:type="dxa"/>
            <w:tcBorders>
              <w:top w:val="nil"/>
              <w:left w:val="nil"/>
              <w:bottom w:val="nil"/>
              <w:right w:val="nil"/>
            </w:tcBorders>
            <w:shd w:val="clear" w:color="auto" w:fill="auto"/>
          </w:tcPr>
          <w:p w14:paraId="6AEFFD1C" w14:textId="77777777" w:rsidR="00471E14" w:rsidRDefault="0099106F">
            <w:pPr>
              <w:numPr>
                <w:ilvl w:val="0"/>
                <w:numId w:val="1"/>
              </w:numPr>
              <w:pBdr>
                <w:top w:val="nil"/>
                <w:left w:val="nil"/>
                <w:bottom w:val="nil"/>
                <w:right w:val="nil"/>
                <w:between w:val="nil"/>
              </w:pBdr>
              <w:spacing w:before="60" w:after="60"/>
              <w:ind w:left="284" w:hanging="142"/>
              <w:jc w:val="left"/>
              <w:rPr>
                <w:rFonts w:ascii="Arial" w:eastAsia="Arial" w:hAnsi="Arial" w:cs="Arial"/>
                <w:color w:val="000000"/>
                <w:sz w:val="18"/>
                <w:szCs w:val="18"/>
              </w:rPr>
            </w:pPr>
            <w:r>
              <w:rPr>
                <w:rFonts w:ascii="Arial" w:eastAsia="Arial" w:hAnsi="Arial" w:cs="Arial"/>
                <w:color w:val="000000"/>
                <w:sz w:val="18"/>
                <w:szCs w:val="18"/>
              </w:rPr>
              <w:t>Annealing</w:t>
            </w:r>
          </w:p>
        </w:tc>
        <w:tc>
          <w:tcPr>
            <w:tcW w:w="3012" w:type="dxa"/>
            <w:tcBorders>
              <w:top w:val="nil"/>
              <w:left w:val="nil"/>
              <w:bottom w:val="nil"/>
              <w:right w:val="nil"/>
            </w:tcBorders>
            <w:shd w:val="clear" w:color="auto" w:fill="auto"/>
          </w:tcPr>
          <w:p w14:paraId="13CE11C9"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52 °C for 20 s</w:t>
            </w:r>
          </w:p>
        </w:tc>
      </w:tr>
      <w:tr w:rsidR="00471E14" w14:paraId="077CE90C" w14:textId="77777777">
        <w:tc>
          <w:tcPr>
            <w:tcW w:w="3010" w:type="dxa"/>
            <w:tcBorders>
              <w:top w:val="nil"/>
              <w:left w:val="nil"/>
              <w:bottom w:val="nil"/>
              <w:right w:val="nil"/>
            </w:tcBorders>
            <w:shd w:val="clear" w:color="auto" w:fill="auto"/>
          </w:tcPr>
          <w:p w14:paraId="364BD91E" w14:textId="77777777" w:rsidR="00471E14" w:rsidRDefault="0099106F">
            <w:pPr>
              <w:numPr>
                <w:ilvl w:val="0"/>
                <w:numId w:val="1"/>
              </w:numPr>
              <w:pBdr>
                <w:top w:val="nil"/>
                <w:left w:val="nil"/>
                <w:bottom w:val="nil"/>
                <w:right w:val="nil"/>
                <w:between w:val="nil"/>
              </w:pBdr>
              <w:spacing w:before="60" w:after="60"/>
              <w:ind w:left="284" w:hanging="142"/>
              <w:jc w:val="left"/>
              <w:rPr>
                <w:rFonts w:ascii="Arial" w:eastAsia="Arial" w:hAnsi="Arial" w:cs="Arial"/>
                <w:color w:val="000000"/>
                <w:sz w:val="18"/>
                <w:szCs w:val="18"/>
              </w:rPr>
            </w:pPr>
            <w:r>
              <w:rPr>
                <w:rFonts w:ascii="Arial" w:eastAsia="Arial" w:hAnsi="Arial" w:cs="Arial"/>
                <w:color w:val="000000"/>
                <w:sz w:val="18"/>
                <w:szCs w:val="18"/>
              </w:rPr>
              <w:t>Elongation</w:t>
            </w:r>
          </w:p>
        </w:tc>
        <w:tc>
          <w:tcPr>
            <w:tcW w:w="3012" w:type="dxa"/>
            <w:tcBorders>
              <w:top w:val="nil"/>
              <w:left w:val="nil"/>
              <w:bottom w:val="nil"/>
              <w:right w:val="nil"/>
            </w:tcBorders>
            <w:shd w:val="clear" w:color="auto" w:fill="auto"/>
          </w:tcPr>
          <w:p w14:paraId="16D5146A"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72 °C for 20 s</w:t>
            </w:r>
          </w:p>
        </w:tc>
      </w:tr>
      <w:tr w:rsidR="00471E14" w14:paraId="17895648" w14:textId="77777777">
        <w:tc>
          <w:tcPr>
            <w:tcW w:w="3010" w:type="dxa"/>
            <w:tcBorders>
              <w:top w:val="nil"/>
              <w:left w:val="nil"/>
              <w:bottom w:val="single" w:sz="4" w:space="0" w:color="000000"/>
              <w:right w:val="nil"/>
            </w:tcBorders>
            <w:shd w:val="clear" w:color="auto" w:fill="auto"/>
          </w:tcPr>
          <w:p w14:paraId="5E053039"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Final elongation</w:t>
            </w:r>
          </w:p>
        </w:tc>
        <w:tc>
          <w:tcPr>
            <w:tcW w:w="3012" w:type="dxa"/>
            <w:tcBorders>
              <w:top w:val="nil"/>
              <w:left w:val="nil"/>
              <w:bottom w:val="single" w:sz="4" w:space="0" w:color="000000"/>
              <w:right w:val="nil"/>
            </w:tcBorders>
            <w:shd w:val="clear" w:color="auto" w:fill="auto"/>
          </w:tcPr>
          <w:p w14:paraId="0817E3C3"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72 °C for 5 min</w:t>
            </w:r>
          </w:p>
        </w:tc>
      </w:tr>
      <w:tr w:rsidR="00471E14" w14:paraId="0B57F0E8" w14:textId="77777777">
        <w:tc>
          <w:tcPr>
            <w:tcW w:w="3010" w:type="dxa"/>
            <w:tcBorders>
              <w:top w:val="single" w:sz="4" w:space="0" w:color="000000"/>
              <w:left w:val="nil"/>
              <w:bottom w:val="single" w:sz="4" w:space="0" w:color="000000"/>
              <w:right w:val="nil"/>
            </w:tcBorders>
            <w:shd w:val="clear" w:color="auto" w:fill="BFBFBF"/>
          </w:tcPr>
          <w:p w14:paraId="0ABFC29B"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b/>
                <w:color w:val="000000"/>
                <w:sz w:val="18"/>
                <w:szCs w:val="18"/>
              </w:rPr>
              <w:t>Expected amplicons</w:t>
            </w:r>
          </w:p>
        </w:tc>
        <w:tc>
          <w:tcPr>
            <w:tcW w:w="3012" w:type="dxa"/>
            <w:tcBorders>
              <w:top w:val="single" w:sz="4" w:space="0" w:color="000000"/>
              <w:left w:val="nil"/>
              <w:bottom w:val="single" w:sz="4" w:space="0" w:color="000000"/>
              <w:right w:val="nil"/>
            </w:tcBorders>
            <w:shd w:val="clear" w:color="auto" w:fill="BFBFBF"/>
          </w:tcPr>
          <w:p w14:paraId="79995B7E" w14:textId="77777777" w:rsidR="00471E14" w:rsidRDefault="00471E14">
            <w:pPr>
              <w:pBdr>
                <w:top w:val="nil"/>
                <w:left w:val="nil"/>
                <w:bottom w:val="nil"/>
                <w:right w:val="nil"/>
                <w:between w:val="nil"/>
              </w:pBdr>
              <w:spacing w:before="60" w:after="60"/>
              <w:jc w:val="left"/>
              <w:rPr>
                <w:rFonts w:ascii="Arial" w:eastAsia="Arial" w:hAnsi="Arial" w:cs="Arial"/>
                <w:color w:val="000000"/>
                <w:sz w:val="18"/>
                <w:szCs w:val="18"/>
              </w:rPr>
            </w:pPr>
          </w:p>
        </w:tc>
      </w:tr>
      <w:tr w:rsidR="00471E14" w:rsidRPr="0063407B" w14:paraId="514C69D6" w14:textId="77777777">
        <w:tc>
          <w:tcPr>
            <w:tcW w:w="3010" w:type="dxa"/>
            <w:tcBorders>
              <w:top w:val="single" w:sz="4" w:space="0" w:color="000000"/>
              <w:left w:val="nil"/>
              <w:bottom w:val="single" w:sz="4" w:space="0" w:color="000000"/>
              <w:right w:val="nil"/>
            </w:tcBorders>
            <w:shd w:val="clear" w:color="auto" w:fill="auto"/>
          </w:tcPr>
          <w:p w14:paraId="47C198C5"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Size</w:t>
            </w:r>
          </w:p>
        </w:tc>
        <w:tc>
          <w:tcPr>
            <w:tcW w:w="3012" w:type="dxa"/>
            <w:tcBorders>
              <w:top w:val="single" w:sz="4" w:space="0" w:color="000000"/>
              <w:left w:val="nil"/>
              <w:bottom w:val="single" w:sz="4" w:space="0" w:color="000000"/>
              <w:right w:val="nil"/>
            </w:tcBorders>
            <w:shd w:val="clear" w:color="auto" w:fill="auto"/>
          </w:tcPr>
          <w:p w14:paraId="690EA903"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 xml:space="preserve">c. 709 bp (Folmer </w:t>
            </w:r>
            <w:r>
              <w:rPr>
                <w:rFonts w:ascii="Arial" w:eastAsia="Arial" w:hAnsi="Arial" w:cs="Arial"/>
                <w:i/>
                <w:color w:val="000000"/>
                <w:sz w:val="18"/>
                <w:szCs w:val="18"/>
              </w:rPr>
              <w:t>et al.</w:t>
            </w:r>
            <w:r>
              <w:rPr>
                <w:rFonts w:ascii="Arial" w:eastAsia="Arial" w:hAnsi="Arial" w:cs="Arial"/>
                <w:color w:val="000000"/>
                <w:sz w:val="18"/>
                <w:szCs w:val="18"/>
              </w:rPr>
              <w:t xml:space="preserve"> primer set)</w:t>
            </w:r>
          </w:p>
          <w:p w14:paraId="7276C40F" w14:textId="77777777" w:rsidR="00471E14" w:rsidRPr="00913AA9" w:rsidRDefault="0099106F">
            <w:pPr>
              <w:pBdr>
                <w:top w:val="nil"/>
                <w:left w:val="nil"/>
                <w:bottom w:val="nil"/>
                <w:right w:val="nil"/>
                <w:between w:val="nil"/>
              </w:pBdr>
              <w:spacing w:before="60" w:after="60"/>
              <w:jc w:val="left"/>
              <w:rPr>
                <w:rFonts w:ascii="Arial" w:eastAsia="Arial" w:hAnsi="Arial" w:cs="Arial"/>
                <w:color w:val="000000"/>
                <w:sz w:val="18"/>
                <w:szCs w:val="18"/>
                <w:lang w:val="fr-BE"/>
              </w:rPr>
            </w:pPr>
            <w:r w:rsidRPr="00913AA9">
              <w:rPr>
                <w:rFonts w:ascii="Arial" w:eastAsia="Arial" w:hAnsi="Arial" w:cs="Arial"/>
                <w:color w:val="000000"/>
                <w:sz w:val="18"/>
                <w:szCs w:val="18"/>
                <w:lang w:val="fr-BE"/>
              </w:rPr>
              <w:t xml:space="preserve">c. 775 bp (Simon </w:t>
            </w:r>
            <w:r w:rsidRPr="00913AA9">
              <w:rPr>
                <w:rFonts w:ascii="Arial" w:eastAsia="Arial" w:hAnsi="Arial" w:cs="Arial"/>
                <w:i/>
                <w:color w:val="000000"/>
                <w:sz w:val="18"/>
                <w:szCs w:val="18"/>
                <w:lang w:val="fr-BE"/>
              </w:rPr>
              <w:t>et al.</w:t>
            </w:r>
            <w:r w:rsidRPr="00913AA9">
              <w:rPr>
                <w:rFonts w:ascii="Arial" w:eastAsia="Arial" w:hAnsi="Arial" w:cs="Arial"/>
                <w:color w:val="000000"/>
                <w:sz w:val="18"/>
                <w:szCs w:val="18"/>
                <w:lang w:val="fr-BE"/>
              </w:rPr>
              <w:t xml:space="preserve"> primer set) </w:t>
            </w:r>
          </w:p>
        </w:tc>
      </w:tr>
    </w:tbl>
    <w:p w14:paraId="7B851047" w14:textId="77777777" w:rsidR="00471E14" w:rsidRDefault="0099106F">
      <w:pPr>
        <w:keepNext/>
        <w:spacing w:before="240" w:after="120" w:line="276" w:lineRule="auto"/>
        <w:jc w:val="left"/>
        <w:rPr>
          <w:b/>
        </w:rPr>
      </w:pPr>
      <w:r>
        <w:rPr>
          <w:b/>
        </w:rPr>
        <w:t xml:space="preserve">4.5.4 ITS2 PCR amplification methods for </w:t>
      </w:r>
      <w:r>
        <w:rPr>
          <w:b/>
          <w:i/>
        </w:rPr>
        <w:t xml:space="preserve">Anastrepha </w:t>
      </w:r>
      <w:r>
        <w:rPr>
          <w:b/>
        </w:rPr>
        <w:t>species</w:t>
      </w:r>
    </w:p>
    <w:p w14:paraId="3ACE7652" w14:textId="6896DC7B" w:rsidR="00471E14" w:rsidRDefault="0099106F" w:rsidP="00810564">
      <w:pPr>
        <w:pStyle w:val="IPPParagraphnumbering"/>
      </w:pPr>
      <w:r>
        <w:t xml:space="preserve">The methods for amplifying ITS2 in </w:t>
      </w:r>
      <w:r>
        <w:rPr>
          <w:i/>
        </w:rPr>
        <w:t>Anastrepha</w:t>
      </w:r>
      <w:r>
        <w:t xml:space="preserve"> DNAs were reported in Barr et al. (2017). The primer set used in the study results in PCR products of variable length. The fragment size of the amplicons is not used to diagnose the species, but once aligned, the sequence data include nucleotide differences that are used to diagnose several species. The edited alignment is 220 base pairs. Fixed differences in the alignment caused by substitutions and insertions are used to diagnose three species in the study: </w:t>
      </w:r>
      <w:r>
        <w:rPr>
          <w:i/>
        </w:rPr>
        <w:t xml:space="preserve">A. ludens, A. obliqua, </w:t>
      </w:r>
      <w:r>
        <w:t xml:space="preserve">and </w:t>
      </w:r>
      <w:r>
        <w:rPr>
          <w:i/>
        </w:rPr>
        <w:t>A. suspensa</w:t>
      </w:r>
      <w:r>
        <w:t xml:space="preserve">. The taxonomic representation in the ITS2 data is not as comprehensive as the COI sequence resource. Consequently, use of COI for identification of </w:t>
      </w:r>
      <w:r>
        <w:rPr>
          <w:i/>
        </w:rPr>
        <w:t>A. ludens</w:t>
      </w:r>
      <w:r>
        <w:t xml:space="preserve"> is recommended for molecular confirmation of that species. The COI sequence data are insufficient to diagnose </w:t>
      </w:r>
      <w:r>
        <w:rPr>
          <w:i/>
        </w:rPr>
        <w:t xml:space="preserve">A. obliqua </w:t>
      </w:r>
      <w:r>
        <w:t xml:space="preserve">and </w:t>
      </w:r>
      <w:r>
        <w:rPr>
          <w:i/>
        </w:rPr>
        <w:t>A. suspensa</w:t>
      </w:r>
      <w:r>
        <w:t xml:space="preserve">. The ITS2 data are used in addition to COI data to complete a confirmed identification of </w:t>
      </w:r>
      <w:r>
        <w:rPr>
          <w:i/>
        </w:rPr>
        <w:t xml:space="preserve">A. obliqua, </w:t>
      </w:r>
      <w:r>
        <w:t xml:space="preserve">and </w:t>
      </w:r>
      <w:r>
        <w:rPr>
          <w:i/>
        </w:rPr>
        <w:t>A. suspensa</w:t>
      </w:r>
      <w:r>
        <w:t>. Table 6 provides a modified version of the Barr et al. (2017) PCR master mix components and their respective concentrations and volumes and PCR amplification when using these two primer sets.</w:t>
      </w:r>
    </w:p>
    <w:p w14:paraId="1D9DEB74" w14:textId="77777777" w:rsidR="00471E14" w:rsidRDefault="0099106F" w:rsidP="00810564">
      <w:pPr>
        <w:pStyle w:val="IPPParagraphnumbering"/>
      </w:pPr>
      <w:r>
        <w:t>The ITS2 oligonucleotide primers used from Ji et al. (2003) and Barr et al. (2017):</w:t>
      </w:r>
    </w:p>
    <w:p w14:paraId="4E5E7571" w14:textId="77777777" w:rsidR="00471E14" w:rsidRDefault="0099106F" w:rsidP="00810564">
      <w:pPr>
        <w:pStyle w:val="IPPParagraphnumbering"/>
      </w:pPr>
      <w:r>
        <w:t>CAS5p8Ft (5'-TGAACATCGACATTTYGAACGCATAT) Ji et al. (2003)</w:t>
      </w:r>
    </w:p>
    <w:p w14:paraId="18CC41A7" w14:textId="77777777" w:rsidR="00471E14" w:rsidRDefault="0099106F" w:rsidP="00810564">
      <w:pPr>
        <w:pStyle w:val="IPPParagraphnumbering"/>
      </w:pPr>
      <w:r>
        <w:t>AsusR1 (5'-TTTTCATTTCATTTTATTTGAGAGG) Barr et al. (2017)</w:t>
      </w:r>
    </w:p>
    <w:p w14:paraId="53A264EA" w14:textId="77777777" w:rsidR="00471E14" w:rsidRPr="007708DB" w:rsidRDefault="0099106F">
      <w:pPr>
        <w:keepNext/>
        <w:spacing w:before="240" w:after="120" w:line="276" w:lineRule="auto"/>
        <w:jc w:val="left"/>
        <w:rPr>
          <w:rFonts w:ascii="Arial" w:eastAsia="Arial" w:hAnsi="Arial" w:cs="Arial"/>
          <w:color w:val="000000"/>
          <w:sz w:val="18"/>
          <w:szCs w:val="18"/>
        </w:rPr>
      </w:pPr>
      <w:r w:rsidRPr="007708DB">
        <w:rPr>
          <w:rFonts w:ascii="Arial" w:hAnsi="Arial" w:cs="Arial"/>
          <w:b/>
          <w:sz w:val="18"/>
          <w:szCs w:val="18"/>
        </w:rPr>
        <w:t>Table 6.</w:t>
      </w:r>
      <w:r w:rsidRPr="007708DB">
        <w:rPr>
          <w:rFonts w:ascii="Arial" w:hAnsi="Arial" w:cs="Arial"/>
          <w:sz w:val="18"/>
          <w:szCs w:val="18"/>
        </w:rPr>
        <w:t xml:space="preserve"> List of master mix ingredients and PCR cycling parameters for ITS2.</w:t>
      </w:r>
    </w:p>
    <w:tbl>
      <w:tblPr>
        <w:tblStyle w:val="a5"/>
        <w:tblW w:w="60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0"/>
        <w:gridCol w:w="3012"/>
      </w:tblGrid>
      <w:tr w:rsidR="00471E14" w14:paraId="480D7744" w14:textId="77777777">
        <w:tc>
          <w:tcPr>
            <w:tcW w:w="3010" w:type="dxa"/>
            <w:tcBorders>
              <w:top w:val="single" w:sz="4" w:space="0" w:color="000000"/>
              <w:left w:val="nil"/>
              <w:bottom w:val="single" w:sz="4" w:space="0" w:color="000000"/>
              <w:right w:val="nil"/>
            </w:tcBorders>
            <w:shd w:val="clear" w:color="auto" w:fill="BFBFBF"/>
          </w:tcPr>
          <w:p w14:paraId="180656D4"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b/>
                <w:color w:val="000000"/>
                <w:sz w:val="18"/>
                <w:szCs w:val="18"/>
              </w:rPr>
              <w:t>Reagents</w:t>
            </w:r>
          </w:p>
        </w:tc>
        <w:tc>
          <w:tcPr>
            <w:tcW w:w="3012" w:type="dxa"/>
            <w:tcBorders>
              <w:top w:val="single" w:sz="4" w:space="0" w:color="000000"/>
              <w:left w:val="nil"/>
              <w:bottom w:val="single" w:sz="4" w:space="0" w:color="000000"/>
              <w:right w:val="nil"/>
            </w:tcBorders>
            <w:shd w:val="clear" w:color="auto" w:fill="BFBFBF"/>
          </w:tcPr>
          <w:p w14:paraId="463DB31F"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b/>
                <w:color w:val="000000"/>
                <w:sz w:val="18"/>
                <w:szCs w:val="18"/>
              </w:rPr>
              <w:t>Final concentration</w:t>
            </w:r>
          </w:p>
        </w:tc>
      </w:tr>
      <w:tr w:rsidR="00471E14" w14:paraId="019D21F7" w14:textId="77777777">
        <w:tc>
          <w:tcPr>
            <w:tcW w:w="3010" w:type="dxa"/>
            <w:tcBorders>
              <w:top w:val="single" w:sz="4" w:space="0" w:color="000000"/>
              <w:left w:val="nil"/>
              <w:bottom w:val="nil"/>
              <w:right w:val="nil"/>
            </w:tcBorders>
            <w:shd w:val="clear" w:color="auto" w:fill="auto"/>
          </w:tcPr>
          <w:p w14:paraId="47A53EB9"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PCR-grade water</w:t>
            </w:r>
          </w:p>
        </w:tc>
        <w:tc>
          <w:tcPr>
            <w:tcW w:w="3012" w:type="dxa"/>
            <w:tcBorders>
              <w:top w:val="single" w:sz="4" w:space="0" w:color="000000"/>
              <w:left w:val="nil"/>
              <w:bottom w:val="nil"/>
              <w:right w:val="nil"/>
            </w:tcBorders>
            <w:shd w:val="clear" w:color="auto" w:fill="auto"/>
          </w:tcPr>
          <w:p w14:paraId="296422F0"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w:t>
            </w:r>
            <w:r>
              <w:rPr>
                <w:rFonts w:ascii="Arial" w:eastAsia="Arial" w:hAnsi="Arial" w:cs="Arial"/>
                <w:color w:val="000000"/>
                <w:sz w:val="18"/>
                <w:szCs w:val="18"/>
                <w:vertAlign w:val="superscript"/>
              </w:rPr>
              <w:t>†</w:t>
            </w:r>
          </w:p>
        </w:tc>
      </w:tr>
      <w:tr w:rsidR="00471E14" w14:paraId="638FADB2" w14:textId="77777777">
        <w:tc>
          <w:tcPr>
            <w:tcW w:w="3010" w:type="dxa"/>
            <w:tcBorders>
              <w:top w:val="nil"/>
              <w:left w:val="nil"/>
              <w:bottom w:val="nil"/>
              <w:right w:val="nil"/>
            </w:tcBorders>
            <w:shd w:val="clear" w:color="auto" w:fill="auto"/>
          </w:tcPr>
          <w:p w14:paraId="042CACDE"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PCR buffer</w:t>
            </w:r>
          </w:p>
        </w:tc>
        <w:tc>
          <w:tcPr>
            <w:tcW w:w="3012" w:type="dxa"/>
            <w:tcBorders>
              <w:top w:val="nil"/>
              <w:left w:val="nil"/>
              <w:bottom w:val="nil"/>
              <w:right w:val="nil"/>
            </w:tcBorders>
            <w:shd w:val="clear" w:color="auto" w:fill="auto"/>
          </w:tcPr>
          <w:p w14:paraId="40F0739A"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 xml:space="preserve">1× </w:t>
            </w:r>
          </w:p>
        </w:tc>
      </w:tr>
      <w:tr w:rsidR="00471E14" w14:paraId="3D796C71" w14:textId="77777777">
        <w:tc>
          <w:tcPr>
            <w:tcW w:w="3010" w:type="dxa"/>
            <w:tcBorders>
              <w:top w:val="nil"/>
              <w:left w:val="nil"/>
              <w:bottom w:val="nil"/>
              <w:right w:val="nil"/>
            </w:tcBorders>
            <w:shd w:val="clear" w:color="auto" w:fill="auto"/>
          </w:tcPr>
          <w:p w14:paraId="1A0782F2"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MgCl</w:t>
            </w:r>
            <w:r>
              <w:rPr>
                <w:rFonts w:ascii="Arial" w:eastAsia="Arial" w:hAnsi="Arial" w:cs="Arial"/>
                <w:color w:val="000000"/>
                <w:sz w:val="18"/>
                <w:szCs w:val="18"/>
                <w:vertAlign w:val="subscript"/>
              </w:rPr>
              <w:t>2</w:t>
            </w:r>
          </w:p>
        </w:tc>
        <w:tc>
          <w:tcPr>
            <w:tcW w:w="3012" w:type="dxa"/>
            <w:tcBorders>
              <w:top w:val="nil"/>
              <w:left w:val="nil"/>
              <w:bottom w:val="nil"/>
              <w:right w:val="nil"/>
            </w:tcBorders>
            <w:shd w:val="clear" w:color="auto" w:fill="auto"/>
          </w:tcPr>
          <w:p w14:paraId="2D374C5E"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2 mM</w:t>
            </w:r>
          </w:p>
        </w:tc>
      </w:tr>
      <w:tr w:rsidR="00471E14" w14:paraId="4FF1BA2D" w14:textId="77777777">
        <w:trPr>
          <w:trHeight w:val="60"/>
        </w:trPr>
        <w:tc>
          <w:tcPr>
            <w:tcW w:w="3010" w:type="dxa"/>
            <w:tcBorders>
              <w:top w:val="nil"/>
              <w:left w:val="nil"/>
              <w:bottom w:val="nil"/>
              <w:right w:val="nil"/>
            </w:tcBorders>
            <w:shd w:val="clear" w:color="auto" w:fill="auto"/>
          </w:tcPr>
          <w:p w14:paraId="76421106"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dNTPs</w:t>
            </w:r>
          </w:p>
        </w:tc>
        <w:tc>
          <w:tcPr>
            <w:tcW w:w="3012" w:type="dxa"/>
            <w:tcBorders>
              <w:top w:val="nil"/>
              <w:left w:val="nil"/>
              <w:bottom w:val="nil"/>
              <w:right w:val="nil"/>
            </w:tcBorders>
            <w:shd w:val="clear" w:color="auto" w:fill="auto"/>
          </w:tcPr>
          <w:p w14:paraId="5F941B8C"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200 µM of each</w:t>
            </w:r>
          </w:p>
        </w:tc>
      </w:tr>
      <w:tr w:rsidR="00471E14" w14:paraId="5BC042ED" w14:textId="77777777">
        <w:tc>
          <w:tcPr>
            <w:tcW w:w="3010" w:type="dxa"/>
            <w:tcBorders>
              <w:top w:val="nil"/>
              <w:left w:val="nil"/>
              <w:bottom w:val="nil"/>
              <w:right w:val="nil"/>
            </w:tcBorders>
            <w:shd w:val="clear" w:color="auto" w:fill="auto"/>
          </w:tcPr>
          <w:p w14:paraId="078034E8"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Primer (forward)</w:t>
            </w:r>
          </w:p>
        </w:tc>
        <w:tc>
          <w:tcPr>
            <w:tcW w:w="3012" w:type="dxa"/>
            <w:tcBorders>
              <w:top w:val="nil"/>
              <w:left w:val="nil"/>
              <w:bottom w:val="nil"/>
              <w:right w:val="nil"/>
            </w:tcBorders>
            <w:shd w:val="clear" w:color="auto" w:fill="auto"/>
          </w:tcPr>
          <w:p w14:paraId="5C7A529D"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0.4 µM</w:t>
            </w:r>
          </w:p>
        </w:tc>
      </w:tr>
      <w:tr w:rsidR="00471E14" w14:paraId="3BBDA337" w14:textId="77777777">
        <w:tc>
          <w:tcPr>
            <w:tcW w:w="3010" w:type="dxa"/>
            <w:tcBorders>
              <w:top w:val="nil"/>
              <w:left w:val="nil"/>
              <w:bottom w:val="nil"/>
              <w:right w:val="nil"/>
            </w:tcBorders>
            <w:shd w:val="clear" w:color="auto" w:fill="auto"/>
          </w:tcPr>
          <w:p w14:paraId="79D45B88"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Primer (reverse)</w:t>
            </w:r>
          </w:p>
        </w:tc>
        <w:tc>
          <w:tcPr>
            <w:tcW w:w="3012" w:type="dxa"/>
            <w:tcBorders>
              <w:top w:val="nil"/>
              <w:left w:val="nil"/>
              <w:bottom w:val="nil"/>
              <w:right w:val="nil"/>
            </w:tcBorders>
            <w:shd w:val="clear" w:color="auto" w:fill="auto"/>
          </w:tcPr>
          <w:p w14:paraId="62C85DA6"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0.4 µM</w:t>
            </w:r>
          </w:p>
        </w:tc>
      </w:tr>
      <w:tr w:rsidR="00471E14" w14:paraId="666ACA2E" w14:textId="77777777">
        <w:tc>
          <w:tcPr>
            <w:tcW w:w="3010" w:type="dxa"/>
            <w:tcBorders>
              <w:top w:val="nil"/>
              <w:left w:val="nil"/>
              <w:bottom w:val="single" w:sz="4" w:space="0" w:color="000000"/>
              <w:right w:val="nil"/>
            </w:tcBorders>
            <w:shd w:val="clear" w:color="auto" w:fill="auto"/>
          </w:tcPr>
          <w:p w14:paraId="752B3CC2"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DNA polymerase</w:t>
            </w:r>
          </w:p>
        </w:tc>
        <w:tc>
          <w:tcPr>
            <w:tcW w:w="3012" w:type="dxa"/>
            <w:tcBorders>
              <w:top w:val="nil"/>
              <w:left w:val="nil"/>
              <w:bottom w:val="single" w:sz="4" w:space="0" w:color="000000"/>
              <w:right w:val="nil"/>
            </w:tcBorders>
            <w:shd w:val="clear" w:color="auto" w:fill="auto"/>
          </w:tcPr>
          <w:p w14:paraId="16C6DF22"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0.025 U/µL</w:t>
            </w:r>
          </w:p>
        </w:tc>
      </w:tr>
      <w:tr w:rsidR="00471E14" w14:paraId="6419792B" w14:textId="77777777">
        <w:tc>
          <w:tcPr>
            <w:tcW w:w="3010" w:type="dxa"/>
            <w:tcBorders>
              <w:top w:val="single" w:sz="4" w:space="0" w:color="000000"/>
              <w:left w:val="nil"/>
              <w:bottom w:val="single" w:sz="4" w:space="0" w:color="000000"/>
              <w:right w:val="nil"/>
            </w:tcBorders>
            <w:shd w:val="clear" w:color="auto" w:fill="auto"/>
          </w:tcPr>
          <w:p w14:paraId="29DB34B5"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DNA sample</w:t>
            </w:r>
          </w:p>
        </w:tc>
        <w:tc>
          <w:tcPr>
            <w:tcW w:w="3012" w:type="dxa"/>
            <w:tcBorders>
              <w:top w:val="single" w:sz="4" w:space="0" w:color="000000"/>
              <w:left w:val="nil"/>
              <w:bottom w:val="single" w:sz="4" w:space="0" w:color="000000"/>
              <w:right w:val="nil"/>
            </w:tcBorders>
            <w:shd w:val="clear" w:color="auto" w:fill="auto"/>
          </w:tcPr>
          <w:p w14:paraId="5981D01B"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2 µL</w:t>
            </w:r>
          </w:p>
        </w:tc>
      </w:tr>
      <w:tr w:rsidR="00471E14" w14:paraId="096AF160" w14:textId="77777777">
        <w:tc>
          <w:tcPr>
            <w:tcW w:w="3010" w:type="dxa"/>
            <w:tcBorders>
              <w:top w:val="single" w:sz="4" w:space="0" w:color="000000"/>
              <w:left w:val="nil"/>
              <w:right w:val="nil"/>
            </w:tcBorders>
            <w:shd w:val="clear" w:color="auto" w:fill="BFBFBF"/>
          </w:tcPr>
          <w:p w14:paraId="404A4CE6"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b/>
                <w:color w:val="000000"/>
                <w:sz w:val="18"/>
                <w:szCs w:val="18"/>
              </w:rPr>
              <w:t>Cycling parameters</w:t>
            </w:r>
          </w:p>
        </w:tc>
        <w:tc>
          <w:tcPr>
            <w:tcW w:w="3012" w:type="dxa"/>
            <w:tcBorders>
              <w:top w:val="single" w:sz="4" w:space="0" w:color="000000"/>
              <w:left w:val="nil"/>
              <w:right w:val="nil"/>
            </w:tcBorders>
            <w:shd w:val="clear" w:color="auto" w:fill="BFBFBF"/>
          </w:tcPr>
          <w:p w14:paraId="7D74EB11" w14:textId="77777777" w:rsidR="00471E14" w:rsidRDefault="00471E14">
            <w:pPr>
              <w:pBdr>
                <w:top w:val="nil"/>
                <w:left w:val="nil"/>
                <w:bottom w:val="nil"/>
                <w:right w:val="nil"/>
                <w:between w:val="nil"/>
              </w:pBdr>
              <w:spacing w:before="60" w:after="60"/>
              <w:jc w:val="left"/>
              <w:rPr>
                <w:rFonts w:ascii="Arial" w:eastAsia="Arial" w:hAnsi="Arial" w:cs="Arial"/>
                <w:color w:val="000000"/>
                <w:sz w:val="18"/>
                <w:szCs w:val="18"/>
              </w:rPr>
            </w:pPr>
          </w:p>
        </w:tc>
      </w:tr>
      <w:tr w:rsidR="00471E14" w14:paraId="103A169C" w14:textId="77777777">
        <w:tc>
          <w:tcPr>
            <w:tcW w:w="3010" w:type="dxa"/>
            <w:tcBorders>
              <w:top w:val="single" w:sz="4" w:space="0" w:color="000000"/>
              <w:left w:val="nil"/>
              <w:bottom w:val="nil"/>
              <w:right w:val="nil"/>
            </w:tcBorders>
            <w:shd w:val="clear" w:color="auto" w:fill="auto"/>
          </w:tcPr>
          <w:p w14:paraId="66BAAFA3"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Initial denaturation</w:t>
            </w:r>
          </w:p>
        </w:tc>
        <w:tc>
          <w:tcPr>
            <w:tcW w:w="3012" w:type="dxa"/>
            <w:tcBorders>
              <w:top w:val="single" w:sz="4" w:space="0" w:color="000000"/>
              <w:left w:val="nil"/>
              <w:bottom w:val="nil"/>
              <w:right w:val="nil"/>
            </w:tcBorders>
            <w:shd w:val="clear" w:color="auto" w:fill="auto"/>
          </w:tcPr>
          <w:p w14:paraId="22F0F029"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94 °C for 3 min</w:t>
            </w:r>
          </w:p>
        </w:tc>
      </w:tr>
      <w:tr w:rsidR="00471E14" w14:paraId="4ACA23FB" w14:textId="77777777">
        <w:tc>
          <w:tcPr>
            <w:tcW w:w="3010" w:type="dxa"/>
            <w:tcBorders>
              <w:top w:val="nil"/>
              <w:left w:val="nil"/>
              <w:bottom w:val="nil"/>
              <w:right w:val="nil"/>
            </w:tcBorders>
            <w:shd w:val="clear" w:color="auto" w:fill="auto"/>
          </w:tcPr>
          <w:p w14:paraId="1F821D9D"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Number of cycles</w:t>
            </w:r>
          </w:p>
        </w:tc>
        <w:tc>
          <w:tcPr>
            <w:tcW w:w="3012" w:type="dxa"/>
            <w:tcBorders>
              <w:top w:val="nil"/>
              <w:left w:val="nil"/>
              <w:bottom w:val="nil"/>
              <w:right w:val="nil"/>
            </w:tcBorders>
            <w:shd w:val="clear" w:color="auto" w:fill="auto"/>
          </w:tcPr>
          <w:p w14:paraId="5DB6D9B0"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39</w:t>
            </w:r>
          </w:p>
        </w:tc>
      </w:tr>
      <w:tr w:rsidR="00471E14" w14:paraId="4F0CA6DF" w14:textId="77777777">
        <w:tc>
          <w:tcPr>
            <w:tcW w:w="3010" w:type="dxa"/>
            <w:tcBorders>
              <w:top w:val="nil"/>
              <w:left w:val="nil"/>
              <w:bottom w:val="nil"/>
              <w:right w:val="nil"/>
            </w:tcBorders>
            <w:shd w:val="clear" w:color="auto" w:fill="auto"/>
          </w:tcPr>
          <w:p w14:paraId="47D3355E" w14:textId="77777777" w:rsidR="00471E14" w:rsidRDefault="0099106F">
            <w:pPr>
              <w:numPr>
                <w:ilvl w:val="0"/>
                <w:numId w:val="1"/>
              </w:numPr>
              <w:pBdr>
                <w:top w:val="nil"/>
                <w:left w:val="nil"/>
                <w:bottom w:val="nil"/>
                <w:right w:val="nil"/>
                <w:between w:val="nil"/>
              </w:pBdr>
              <w:spacing w:before="60" w:after="60"/>
              <w:ind w:left="284" w:hanging="142"/>
              <w:jc w:val="left"/>
              <w:rPr>
                <w:rFonts w:ascii="Arial" w:eastAsia="Arial" w:hAnsi="Arial" w:cs="Arial"/>
                <w:color w:val="000000"/>
                <w:sz w:val="18"/>
                <w:szCs w:val="18"/>
              </w:rPr>
            </w:pPr>
            <w:r>
              <w:rPr>
                <w:rFonts w:ascii="Arial" w:eastAsia="Arial" w:hAnsi="Arial" w:cs="Arial"/>
                <w:color w:val="000000"/>
                <w:sz w:val="18"/>
                <w:szCs w:val="18"/>
              </w:rPr>
              <w:t>Denaturation</w:t>
            </w:r>
          </w:p>
        </w:tc>
        <w:tc>
          <w:tcPr>
            <w:tcW w:w="3012" w:type="dxa"/>
            <w:tcBorders>
              <w:top w:val="nil"/>
              <w:left w:val="nil"/>
              <w:bottom w:val="nil"/>
              <w:right w:val="nil"/>
            </w:tcBorders>
            <w:shd w:val="clear" w:color="auto" w:fill="auto"/>
          </w:tcPr>
          <w:p w14:paraId="0CB3212E"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94 °C for 20 s</w:t>
            </w:r>
          </w:p>
        </w:tc>
      </w:tr>
      <w:tr w:rsidR="00471E14" w14:paraId="76E39563" w14:textId="77777777">
        <w:tc>
          <w:tcPr>
            <w:tcW w:w="3010" w:type="dxa"/>
            <w:tcBorders>
              <w:top w:val="nil"/>
              <w:left w:val="nil"/>
              <w:bottom w:val="nil"/>
              <w:right w:val="nil"/>
            </w:tcBorders>
            <w:shd w:val="clear" w:color="auto" w:fill="auto"/>
          </w:tcPr>
          <w:p w14:paraId="336A8597" w14:textId="77777777" w:rsidR="00471E14" w:rsidRDefault="0099106F">
            <w:pPr>
              <w:numPr>
                <w:ilvl w:val="0"/>
                <w:numId w:val="1"/>
              </w:numPr>
              <w:pBdr>
                <w:top w:val="nil"/>
                <w:left w:val="nil"/>
                <w:bottom w:val="nil"/>
                <w:right w:val="nil"/>
                <w:between w:val="nil"/>
              </w:pBdr>
              <w:spacing w:before="60" w:after="60"/>
              <w:ind w:left="284" w:hanging="142"/>
              <w:jc w:val="left"/>
              <w:rPr>
                <w:rFonts w:ascii="Arial" w:eastAsia="Arial" w:hAnsi="Arial" w:cs="Arial"/>
                <w:color w:val="000000"/>
                <w:sz w:val="18"/>
                <w:szCs w:val="18"/>
              </w:rPr>
            </w:pPr>
            <w:r>
              <w:rPr>
                <w:rFonts w:ascii="Arial" w:eastAsia="Arial" w:hAnsi="Arial" w:cs="Arial"/>
                <w:color w:val="000000"/>
                <w:sz w:val="18"/>
                <w:szCs w:val="18"/>
              </w:rPr>
              <w:t>Annealing</w:t>
            </w:r>
          </w:p>
        </w:tc>
        <w:tc>
          <w:tcPr>
            <w:tcW w:w="3012" w:type="dxa"/>
            <w:tcBorders>
              <w:top w:val="nil"/>
              <w:left w:val="nil"/>
              <w:bottom w:val="nil"/>
              <w:right w:val="nil"/>
            </w:tcBorders>
            <w:shd w:val="clear" w:color="auto" w:fill="auto"/>
          </w:tcPr>
          <w:p w14:paraId="1893BDC3"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50 °C for 40 s</w:t>
            </w:r>
          </w:p>
        </w:tc>
      </w:tr>
      <w:tr w:rsidR="00471E14" w14:paraId="56589E41" w14:textId="77777777">
        <w:tc>
          <w:tcPr>
            <w:tcW w:w="3010" w:type="dxa"/>
            <w:tcBorders>
              <w:top w:val="nil"/>
              <w:left w:val="nil"/>
              <w:bottom w:val="nil"/>
              <w:right w:val="nil"/>
            </w:tcBorders>
            <w:shd w:val="clear" w:color="auto" w:fill="auto"/>
          </w:tcPr>
          <w:p w14:paraId="13E6F5F9" w14:textId="77777777" w:rsidR="00471E14" w:rsidRDefault="0099106F">
            <w:pPr>
              <w:numPr>
                <w:ilvl w:val="0"/>
                <w:numId w:val="1"/>
              </w:numPr>
              <w:pBdr>
                <w:top w:val="nil"/>
                <w:left w:val="nil"/>
                <w:bottom w:val="nil"/>
                <w:right w:val="nil"/>
                <w:between w:val="nil"/>
              </w:pBdr>
              <w:spacing w:before="60" w:after="60"/>
              <w:ind w:left="284" w:hanging="142"/>
              <w:jc w:val="left"/>
              <w:rPr>
                <w:rFonts w:ascii="Arial" w:eastAsia="Arial" w:hAnsi="Arial" w:cs="Arial"/>
                <w:color w:val="000000"/>
                <w:sz w:val="18"/>
                <w:szCs w:val="18"/>
              </w:rPr>
            </w:pPr>
            <w:r>
              <w:rPr>
                <w:rFonts w:ascii="Arial" w:eastAsia="Arial" w:hAnsi="Arial" w:cs="Arial"/>
                <w:color w:val="000000"/>
                <w:sz w:val="18"/>
                <w:szCs w:val="18"/>
              </w:rPr>
              <w:t>Elongation</w:t>
            </w:r>
          </w:p>
        </w:tc>
        <w:tc>
          <w:tcPr>
            <w:tcW w:w="3012" w:type="dxa"/>
            <w:tcBorders>
              <w:top w:val="nil"/>
              <w:left w:val="nil"/>
              <w:bottom w:val="nil"/>
              <w:right w:val="nil"/>
            </w:tcBorders>
            <w:shd w:val="clear" w:color="auto" w:fill="auto"/>
          </w:tcPr>
          <w:p w14:paraId="1E770070"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72 °C for 30 s</w:t>
            </w:r>
          </w:p>
        </w:tc>
      </w:tr>
      <w:tr w:rsidR="00471E14" w14:paraId="522904AE" w14:textId="77777777">
        <w:tc>
          <w:tcPr>
            <w:tcW w:w="3010" w:type="dxa"/>
            <w:tcBorders>
              <w:top w:val="nil"/>
              <w:left w:val="nil"/>
              <w:bottom w:val="single" w:sz="4" w:space="0" w:color="000000"/>
              <w:right w:val="nil"/>
            </w:tcBorders>
            <w:shd w:val="clear" w:color="auto" w:fill="auto"/>
          </w:tcPr>
          <w:p w14:paraId="20BC0E17"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Final elongation</w:t>
            </w:r>
          </w:p>
        </w:tc>
        <w:tc>
          <w:tcPr>
            <w:tcW w:w="3012" w:type="dxa"/>
            <w:tcBorders>
              <w:top w:val="nil"/>
              <w:left w:val="nil"/>
              <w:bottom w:val="single" w:sz="4" w:space="0" w:color="000000"/>
              <w:right w:val="nil"/>
            </w:tcBorders>
            <w:shd w:val="clear" w:color="auto" w:fill="auto"/>
          </w:tcPr>
          <w:p w14:paraId="6975401A"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72 °C for 5 min</w:t>
            </w:r>
          </w:p>
        </w:tc>
      </w:tr>
      <w:tr w:rsidR="00471E14" w14:paraId="3B0CCEA0" w14:textId="77777777">
        <w:tc>
          <w:tcPr>
            <w:tcW w:w="3010" w:type="dxa"/>
            <w:tcBorders>
              <w:top w:val="single" w:sz="4" w:space="0" w:color="000000"/>
              <w:left w:val="nil"/>
              <w:bottom w:val="single" w:sz="4" w:space="0" w:color="000000"/>
              <w:right w:val="nil"/>
            </w:tcBorders>
            <w:shd w:val="clear" w:color="auto" w:fill="BFBFBF"/>
          </w:tcPr>
          <w:p w14:paraId="0AA55BE2"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b/>
                <w:color w:val="000000"/>
                <w:sz w:val="18"/>
                <w:szCs w:val="18"/>
              </w:rPr>
              <w:t>Expected amplicons</w:t>
            </w:r>
          </w:p>
        </w:tc>
        <w:tc>
          <w:tcPr>
            <w:tcW w:w="3012" w:type="dxa"/>
            <w:tcBorders>
              <w:top w:val="single" w:sz="4" w:space="0" w:color="000000"/>
              <w:left w:val="nil"/>
              <w:bottom w:val="single" w:sz="4" w:space="0" w:color="000000"/>
              <w:right w:val="nil"/>
            </w:tcBorders>
            <w:shd w:val="clear" w:color="auto" w:fill="BFBFBF"/>
          </w:tcPr>
          <w:p w14:paraId="04C2AA52" w14:textId="77777777" w:rsidR="00471E14" w:rsidRDefault="00471E14">
            <w:pPr>
              <w:pBdr>
                <w:top w:val="nil"/>
                <w:left w:val="nil"/>
                <w:bottom w:val="nil"/>
                <w:right w:val="nil"/>
                <w:between w:val="nil"/>
              </w:pBdr>
              <w:spacing w:before="60" w:after="60"/>
              <w:jc w:val="left"/>
              <w:rPr>
                <w:rFonts w:ascii="Arial" w:eastAsia="Arial" w:hAnsi="Arial" w:cs="Arial"/>
                <w:color w:val="000000"/>
                <w:sz w:val="18"/>
                <w:szCs w:val="18"/>
              </w:rPr>
            </w:pPr>
          </w:p>
        </w:tc>
      </w:tr>
      <w:tr w:rsidR="00471E14" w14:paraId="6C0251A5" w14:textId="77777777">
        <w:tc>
          <w:tcPr>
            <w:tcW w:w="3010" w:type="dxa"/>
            <w:tcBorders>
              <w:top w:val="single" w:sz="4" w:space="0" w:color="000000"/>
              <w:left w:val="nil"/>
              <w:bottom w:val="single" w:sz="4" w:space="0" w:color="000000"/>
              <w:right w:val="nil"/>
            </w:tcBorders>
            <w:shd w:val="clear" w:color="auto" w:fill="auto"/>
          </w:tcPr>
          <w:p w14:paraId="755FAADC"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Size</w:t>
            </w:r>
          </w:p>
        </w:tc>
        <w:tc>
          <w:tcPr>
            <w:tcW w:w="3012" w:type="dxa"/>
            <w:tcBorders>
              <w:top w:val="single" w:sz="4" w:space="0" w:color="000000"/>
              <w:left w:val="nil"/>
              <w:bottom w:val="single" w:sz="4" w:space="0" w:color="000000"/>
              <w:right w:val="nil"/>
            </w:tcBorders>
            <w:shd w:val="clear" w:color="auto" w:fill="auto"/>
          </w:tcPr>
          <w:p w14:paraId="722AB8D9" w14:textId="77777777" w:rsidR="00471E14" w:rsidRDefault="0099106F">
            <w:pPr>
              <w:pBdr>
                <w:top w:val="nil"/>
                <w:left w:val="nil"/>
                <w:bottom w:val="nil"/>
                <w:right w:val="nil"/>
                <w:between w:val="nil"/>
              </w:pBdr>
              <w:spacing w:before="60" w:after="60"/>
              <w:jc w:val="left"/>
              <w:rPr>
                <w:rFonts w:ascii="Arial" w:eastAsia="Arial" w:hAnsi="Arial" w:cs="Arial"/>
                <w:color w:val="000000"/>
                <w:sz w:val="18"/>
                <w:szCs w:val="18"/>
              </w:rPr>
            </w:pPr>
            <w:r>
              <w:rPr>
                <w:rFonts w:ascii="Arial" w:eastAsia="Arial" w:hAnsi="Arial" w:cs="Arial"/>
                <w:color w:val="000000"/>
                <w:sz w:val="18"/>
                <w:szCs w:val="18"/>
              </w:rPr>
              <w:t>c. 230-290 bp</w:t>
            </w:r>
          </w:p>
        </w:tc>
      </w:tr>
    </w:tbl>
    <w:p w14:paraId="300307AD" w14:textId="77777777" w:rsidR="00471E14" w:rsidRDefault="0099106F">
      <w:pPr>
        <w:keepNext/>
        <w:spacing w:before="240" w:after="240"/>
        <w:jc w:val="left"/>
        <w:rPr>
          <w:b/>
        </w:rPr>
      </w:pPr>
      <w:r>
        <w:rPr>
          <w:b/>
        </w:rPr>
        <w:t>4.5.5 DNA sequence editing</w:t>
      </w:r>
    </w:p>
    <w:p w14:paraId="7F4A3E80" w14:textId="40068815" w:rsidR="00471E14" w:rsidRDefault="0099106F" w:rsidP="00810564">
      <w:pPr>
        <w:pStyle w:val="IPPParagraphnumbering"/>
      </w:pPr>
      <w:r>
        <w:t>Using a bi-directional sequencing approach of PCR products is required to confirm sequencing and will yield two DNA sequence reads in alternate directions. This provides two pieces of data for the same DNA target. The instrument output will provide the user with sequence data reported as text, the instrument trace signal (chromatogram), and quality scores (Phred). This information will help in determining nucleotide base calls that will provide a more accurate read during the editing process. Using software or manual alignment methods, the forward and reverse sequences for the same DNA sample should then be aligned to create a consensus sequence. The consensus sequence must be visually inspected for accurate calls. Sites that are not corroborated by data in both sequences because of differences in lengths should be not be considered as accurate and assigned as an ambiguous base (i.e., N = A, C, T or G).  If multiple peaks are observed at a nucleotide site in both the forward-primed and reverse-primed sequences, or both show high quality scores (&gt;30) but are conflicting calls then the site should be assigned as an ambiguous base (i.e., N) in the consensus sequence. Diagnosis should only be performed on edited sequences having less than 0.5% ambiguous bases. The final sequence length of the query sequence should be approximately 600 base pairs (bp) in length for COI. Additional information on data editing processes is available in the EPPO Bulletin (2016).</w:t>
      </w:r>
    </w:p>
    <w:p w14:paraId="5E4CBFB7" w14:textId="77777777" w:rsidR="00471E14" w:rsidRDefault="0099106F">
      <w:pPr>
        <w:keepNext/>
        <w:spacing w:before="240"/>
        <w:jc w:val="left"/>
      </w:pPr>
      <w:bookmarkStart w:id="2" w:name="_2jxsxqh" w:colFirst="0" w:colLast="0"/>
      <w:bookmarkEnd w:id="2"/>
      <w:r>
        <w:t>Once a consensus sequence is generated, the query for either COI or ITS2 can be performed using default setting for blastn search of Basic Local Alignment Search Tool (BLAST) of NCBI:</w:t>
      </w:r>
      <w:hyperlink r:id="rId11">
        <w:r>
          <w:t xml:space="preserve"> </w:t>
        </w:r>
      </w:hyperlink>
      <w:hyperlink r:id="rId12">
        <w:r>
          <w:rPr>
            <w:color w:val="1155CC"/>
            <w:u w:val="single"/>
          </w:rPr>
          <w:t>https://blast.ncbi.nlm.nih.gov/Blast.cgi</w:t>
        </w:r>
      </w:hyperlink>
      <w:r>
        <w:t xml:space="preserve">. The best sequence match between the consensus and the database as measured with the highest Max Score should be a species in the genus </w:t>
      </w:r>
      <w:r>
        <w:rPr>
          <w:i/>
        </w:rPr>
        <w:t>Anastrepha</w:t>
      </w:r>
      <w:r>
        <w:t xml:space="preserve">. If the consensus is a best match to an </w:t>
      </w:r>
      <w:r>
        <w:rPr>
          <w:i/>
        </w:rPr>
        <w:t>Anastrepha</w:t>
      </w:r>
      <w:r>
        <w:t xml:space="preserve"> record, then the consensus sequence is appropriate for further comparison and interpretation in the protocol for each species (sections below). If the consensus is a best match to DNA other than a </w:t>
      </w:r>
      <w:r>
        <w:rPr>
          <w:i/>
        </w:rPr>
        <w:t>Anastrepha</w:t>
      </w:r>
      <w:r>
        <w:t xml:space="preserve"> record, then the consensus sequence likely represents DNA from a contaminant or an </w:t>
      </w:r>
      <w:r>
        <w:rPr>
          <w:i/>
        </w:rPr>
        <w:t>Anastrepha</w:t>
      </w:r>
      <w:r>
        <w:t xml:space="preserve"> species not previously reported. Both studies reported that there were no pseudogenes or intra-individual copies occurring in the species examined with COI (Barr et al., 2018) and ITS2 (Barr et al., 2017). Nevertheless, the consensus sequence of the COI gene should be translated into an amino acid sequence and compared to amino acid translation of </w:t>
      </w:r>
      <w:r>
        <w:rPr>
          <w:i/>
        </w:rPr>
        <w:t>Anastrepha</w:t>
      </w:r>
      <w:r>
        <w:t xml:space="preserve"> records to detect evidence of premature stop codons and reading frame shifts that suggest a pseudogene has been amplified and sequenced.</w:t>
      </w:r>
    </w:p>
    <w:p w14:paraId="4163BC34" w14:textId="77777777" w:rsidR="00471E14" w:rsidRDefault="0099106F">
      <w:pPr>
        <w:keepNext/>
        <w:spacing w:before="240" w:after="240"/>
        <w:jc w:val="left"/>
        <w:rPr>
          <w:b/>
        </w:rPr>
      </w:pPr>
      <w:r>
        <w:rPr>
          <w:b/>
        </w:rPr>
        <w:t xml:space="preserve">4.5.6 Methods for identifying </w:t>
      </w:r>
      <w:r>
        <w:rPr>
          <w:b/>
          <w:i/>
        </w:rPr>
        <w:t>Anastrepha</w:t>
      </w:r>
      <w:r>
        <w:rPr>
          <w:b/>
        </w:rPr>
        <w:t xml:space="preserve"> species with COI</w:t>
      </w:r>
    </w:p>
    <w:p w14:paraId="2A37DFDF" w14:textId="6F040E40" w:rsidR="00471E14" w:rsidRDefault="0099106F" w:rsidP="00810564">
      <w:pPr>
        <w:pStyle w:val="IPPParagraphnumbering"/>
      </w:pPr>
      <w:r>
        <w:t xml:space="preserve">Verifying </w:t>
      </w:r>
      <w:r w:rsidRPr="00B71B0E">
        <w:t>the quality conditions prior to continuing analyses is recommended. The consensus sequence can then be compared to reference sequences for COI found in the Barcode of Life Data system (</w:t>
      </w:r>
      <w:r w:rsidR="0092296D" w:rsidRPr="00B71B0E">
        <w:t>BOLD</w:t>
      </w:r>
      <w:r w:rsidRPr="00B71B0E">
        <w:t xml:space="preserve">) and </w:t>
      </w:r>
      <w:r w:rsidR="001369B4" w:rsidRPr="00B71B0E">
        <w:t xml:space="preserve">Barr et al. (2017) reference sequences </w:t>
      </w:r>
      <w:r w:rsidRPr="00B71B0E">
        <w:t>GenBank (</w:t>
      </w:r>
      <w:r w:rsidR="00864CFE" w:rsidRPr="00B71B0E">
        <w:t xml:space="preserve">KU511143-KU511157, </w:t>
      </w:r>
      <w:r w:rsidRPr="00B71B0E">
        <w:t>MF695132-MF695457, MF695459-MF695586, MF838771-MF838840)</w:t>
      </w:r>
      <w:r w:rsidR="00007698" w:rsidRPr="00B71B0E">
        <w:t>,</w:t>
      </w:r>
      <w:r w:rsidR="00B81F09" w:rsidRPr="00B71B0E">
        <w:t xml:space="preserve"> and for ITS2 in Genbank (</w:t>
      </w:r>
      <w:r w:rsidR="00351AE6" w:rsidRPr="00B71B0E">
        <w:t>PopSet 1046760793: KU510999-KU51</w:t>
      </w:r>
      <w:r w:rsidR="00864CFE" w:rsidRPr="00B71B0E">
        <w:t>1142</w:t>
      </w:r>
      <w:r w:rsidR="00B81F09" w:rsidRPr="00B71B0E">
        <w:t>)</w:t>
      </w:r>
      <w:r w:rsidRPr="00B71B0E">
        <w:t>. The alignment of query and reference sequences can be accomplished using an algorithm such as CLUSTAL W (Thompson et al., 2003) found in software such as Mega (Kumar et al., 2012). The COI alignment provides another opportunity to perform quality control measures on the consensus sequence</w:t>
      </w:r>
      <w:r>
        <w:t xml:space="preserve">. One can visually examine insertion and deletion events seen as gaps in the alignment and translation into amino acids allows for revealing evidence of pseudogenes. If there is no evidence of a pseudogene, then the consensus can be examined using genetic distance methods in order to make species determinations. The ITS2 alignment includes insertion and deletion events and these events are included as characters in the diagnosis. </w:t>
      </w:r>
    </w:p>
    <w:p w14:paraId="3C9444B4" w14:textId="77777777" w:rsidR="00471E14" w:rsidRDefault="0099106F" w:rsidP="00810564">
      <w:pPr>
        <w:pStyle w:val="IPPParagraphnumbering"/>
      </w:pPr>
      <w:r>
        <w:t xml:space="preserve">The alignment can then be used to calculate the uncorrected pairwise p-distance estimates and arrive at the identity of an individual. The divergence may vary among species for these comparisons. Those recommended estimates are listed below for species determinations. Based on these methods, the barcode gap can be used to effectively diagnose query sequences belonging to </w:t>
      </w:r>
      <w:r>
        <w:rPr>
          <w:i/>
        </w:rPr>
        <w:t>A. grandis, A. ludens, A. serpentina</w:t>
      </w:r>
      <w:r>
        <w:t xml:space="preserve">, and </w:t>
      </w:r>
      <w:r>
        <w:rPr>
          <w:i/>
        </w:rPr>
        <w:t>A. striata</w:t>
      </w:r>
      <w:r>
        <w:t>. For the other major pest species discussed in this document, there is no barcode gap in COI (</w:t>
      </w:r>
      <w:r>
        <w:rPr>
          <w:i/>
        </w:rPr>
        <w:t>A. fraterculus</w:t>
      </w:r>
      <w:r>
        <w:t xml:space="preserve"> complex, </w:t>
      </w:r>
      <w:r>
        <w:rPr>
          <w:i/>
        </w:rPr>
        <w:t>A. obliqua</w:t>
      </w:r>
      <w:r>
        <w:t xml:space="preserve">, </w:t>
      </w:r>
      <w:r>
        <w:rPr>
          <w:i/>
        </w:rPr>
        <w:t>A. suspensa</w:t>
      </w:r>
      <w:r>
        <w:t>) or there is insufficient data to evaluate (</w:t>
      </w:r>
      <w:r>
        <w:rPr>
          <w:i/>
        </w:rPr>
        <w:t>A. curvicauda</w:t>
      </w:r>
      <w:r>
        <w:t xml:space="preserve">).  </w:t>
      </w:r>
    </w:p>
    <w:p w14:paraId="57FC8006" w14:textId="100BE522" w:rsidR="00DA5430" w:rsidRPr="00B71B0E" w:rsidRDefault="0099106F">
      <w:pPr>
        <w:keepNext/>
        <w:spacing w:before="240" w:after="240"/>
        <w:jc w:val="left"/>
        <w:rPr>
          <w:b/>
          <w:i/>
        </w:rPr>
      </w:pPr>
      <w:r w:rsidRPr="00B71B0E">
        <w:rPr>
          <w:b/>
        </w:rPr>
        <w:t xml:space="preserve">4.5.6.1 COI sequencing methods for identifying </w:t>
      </w:r>
      <w:r w:rsidRPr="00B71B0E">
        <w:rPr>
          <w:b/>
          <w:i/>
        </w:rPr>
        <w:t>Anastrepha grandis</w:t>
      </w:r>
    </w:p>
    <w:p w14:paraId="435DCA58" w14:textId="058A4918" w:rsidR="00471E14" w:rsidRPr="00B71B0E" w:rsidRDefault="005A0A54" w:rsidP="00810564">
      <w:pPr>
        <w:pStyle w:val="IPPParagraphnumbering"/>
        <w:rPr>
          <w:rFonts w:eastAsia="Gungsuh"/>
        </w:rPr>
      </w:pPr>
      <w:r w:rsidRPr="00B71B0E">
        <w:t xml:space="preserve">Sequences from the </w:t>
      </w:r>
      <w:r w:rsidR="0039507F" w:rsidRPr="00B71B0E">
        <w:t>32</w:t>
      </w:r>
      <w:r w:rsidRPr="00B71B0E">
        <w:t xml:space="preserve"> </w:t>
      </w:r>
      <w:r w:rsidRPr="00B71B0E">
        <w:rPr>
          <w:i/>
        </w:rPr>
        <w:t xml:space="preserve">A. </w:t>
      </w:r>
      <w:r w:rsidR="0039507F" w:rsidRPr="00B71B0E">
        <w:rPr>
          <w:i/>
        </w:rPr>
        <w:t>grandi</w:t>
      </w:r>
      <w:r w:rsidRPr="00B71B0E">
        <w:rPr>
          <w:i/>
        </w:rPr>
        <w:t>s specimens</w:t>
      </w:r>
      <w:r w:rsidRPr="00B71B0E">
        <w:t xml:space="preserve"> revealed in the Barr et al. (2017) study can be accessed within BOLD (BIN: BOLD:AA</w:t>
      </w:r>
      <w:r w:rsidR="00566B4D" w:rsidRPr="00B71B0E">
        <w:t>E5912</w:t>
      </w:r>
      <w:r w:rsidRPr="00B71B0E">
        <w:t>)</w:t>
      </w:r>
      <w:r w:rsidR="00EF46F5" w:rsidRPr="00B71B0E">
        <w:t xml:space="preserve"> or by using the reference data alignment from Section 4.5.6</w:t>
      </w:r>
      <w:r w:rsidRPr="00B71B0E">
        <w:t xml:space="preserve">. </w:t>
      </w:r>
      <w:r w:rsidR="00EF46F5" w:rsidRPr="00B71B0E">
        <w:t>C</w:t>
      </w:r>
      <w:r w:rsidR="0099106F" w:rsidRPr="00B71B0E">
        <w:t>omputed pairwise p-distance estimates can be used to make an accurate determination</w:t>
      </w:r>
      <w:r w:rsidR="00EF46F5" w:rsidRPr="00B71B0E">
        <w:t xml:space="preserve"> to this species</w:t>
      </w:r>
      <w:r w:rsidR="0099106F" w:rsidRPr="00B71B0E">
        <w:t xml:space="preserve">. The query </w:t>
      </w:r>
      <w:r w:rsidR="008E4A79" w:rsidRPr="00B71B0E">
        <w:t>specimen</w:t>
      </w:r>
      <w:r w:rsidR="0099106F" w:rsidRPr="00B71B0E">
        <w:t xml:space="preserve"> </w:t>
      </w:r>
      <w:r w:rsidR="008E4A79" w:rsidRPr="00B71B0E">
        <w:t>is diagnosed as</w:t>
      </w:r>
      <w:r w:rsidR="0099106F" w:rsidRPr="00B71B0E">
        <w:t xml:space="preserve"> </w:t>
      </w:r>
      <w:r w:rsidR="0099106F" w:rsidRPr="00B71B0E">
        <w:rPr>
          <w:i/>
        </w:rPr>
        <w:t>A. grandis</w:t>
      </w:r>
      <w:r w:rsidR="0099106F" w:rsidRPr="00B71B0E">
        <w:t xml:space="preserve"> if the </w:t>
      </w:r>
      <w:r w:rsidR="008E4A79" w:rsidRPr="00B71B0E">
        <w:t xml:space="preserve">pair-wise </w:t>
      </w:r>
      <w:r w:rsidR="0099106F" w:rsidRPr="00B71B0E">
        <w:t>p-distance</w:t>
      </w:r>
      <w:r w:rsidR="008E4A79" w:rsidRPr="00B71B0E">
        <w:t>s</w:t>
      </w:r>
      <w:r w:rsidR="0099106F" w:rsidRPr="00B71B0E">
        <w:t xml:space="preserve"> between the query </w:t>
      </w:r>
      <w:r w:rsidR="008E4A79" w:rsidRPr="00B71B0E">
        <w:t xml:space="preserve">sequence </w:t>
      </w:r>
      <w:r w:rsidR="0099106F" w:rsidRPr="00B71B0E">
        <w:t xml:space="preserve">and </w:t>
      </w:r>
      <w:r w:rsidR="0069420C" w:rsidRPr="00B71B0E">
        <w:t xml:space="preserve">all </w:t>
      </w:r>
      <w:r w:rsidR="0099106F" w:rsidRPr="00B71B0E">
        <w:rPr>
          <w:i/>
        </w:rPr>
        <w:t>A. grandis</w:t>
      </w:r>
      <w:r w:rsidR="0099106F" w:rsidRPr="00B71B0E">
        <w:rPr>
          <w:rFonts w:eastAsia="Gungsuh"/>
        </w:rPr>
        <w:t xml:space="preserve"> reference sequences </w:t>
      </w:r>
      <w:r w:rsidR="008E4A79" w:rsidRPr="00B71B0E">
        <w:rPr>
          <w:rFonts w:eastAsia="Gungsuh"/>
        </w:rPr>
        <w:t>are</w:t>
      </w:r>
      <w:r w:rsidR="0099106F" w:rsidRPr="00B71B0E">
        <w:rPr>
          <w:rFonts w:eastAsia="Gungsuh"/>
        </w:rPr>
        <w:t xml:space="preserve"> ≤0.014.</w:t>
      </w:r>
      <w:r w:rsidR="00BE5D8C" w:rsidRPr="00B71B0E">
        <w:rPr>
          <w:rFonts w:eastAsia="Gungsuh"/>
        </w:rPr>
        <w:t xml:space="preserve"> Alternatively</w:t>
      </w:r>
      <w:r w:rsidR="003A7146" w:rsidRPr="00B71B0E">
        <w:rPr>
          <w:rFonts w:eastAsia="Gungsuh"/>
        </w:rPr>
        <w:t>,</w:t>
      </w:r>
      <w:r w:rsidR="00BE5D8C" w:rsidRPr="00B71B0E">
        <w:rPr>
          <w:rFonts w:eastAsia="Gungsuh"/>
        </w:rPr>
        <w:t xml:space="preserve"> a phylogenetic tree using Maximum Likelihood or other character</w:t>
      </w:r>
      <w:r w:rsidR="003A7146" w:rsidRPr="00B71B0E">
        <w:rPr>
          <w:rFonts w:eastAsia="Gungsuh"/>
        </w:rPr>
        <w:t>-</w:t>
      </w:r>
      <w:r w:rsidR="00BE5D8C" w:rsidRPr="00B71B0E">
        <w:rPr>
          <w:rFonts w:eastAsia="Gungsuh"/>
        </w:rPr>
        <w:t xml:space="preserve">based </w:t>
      </w:r>
      <w:r w:rsidR="003A7146" w:rsidRPr="00B71B0E">
        <w:rPr>
          <w:rFonts w:eastAsia="Gungsuh"/>
        </w:rPr>
        <w:t xml:space="preserve">tree searching </w:t>
      </w:r>
      <w:r w:rsidR="00BE5D8C" w:rsidRPr="00B71B0E">
        <w:rPr>
          <w:rFonts w:eastAsia="Gungsuh"/>
        </w:rPr>
        <w:t>method c</w:t>
      </w:r>
      <w:r w:rsidR="003A7146" w:rsidRPr="00B71B0E">
        <w:rPr>
          <w:rFonts w:eastAsia="Gungsuh"/>
        </w:rPr>
        <w:t>an</w:t>
      </w:r>
      <w:r w:rsidR="00BE5D8C" w:rsidRPr="00B71B0E">
        <w:rPr>
          <w:rFonts w:eastAsia="Gungsuh"/>
        </w:rPr>
        <w:t xml:space="preserve"> be used to confirm species </w:t>
      </w:r>
      <w:r w:rsidR="00302FFC" w:rsidRPr="00B71B0E">
        <w:rPr>
          <w:rFonts w:eastAsia="Gungsuh"/>
        </w:rPr>
        <w:t>d</w:t>
      </w:r>
      <w:r w:rsidR="00736E0E" w:rsidRPr="00B71B0E">
        <w:rPr>
          <w:rFonts w:eastAsia="Gungsuh"/>
        </w:rPr>
        <w:t>iagnosis</w:t>
      </w:r>
      <w:r w:rsidR="008A7947" w:rsidRPr="00B71B0E">
        <w:rPr>
          <w:rFonts w:eastAsia="Gungsuh"/>
        </w:rPr>
        <w:t xml:space="preserve">. Identification to </w:t>
      </w:r>
      <w:r w:rsidR="008A7947" w:rsidRPr="00B71B0E">
        <w:rPr>
          <w:rFonts w:eastAsia="Gungsuh"/>
          <w:i/>
          <w:iCs/>
        </w:rPr>
        <w:t>A. grand</w:t>
      </w:r>
      <w:r w:rsidR="00061BB2" w:rsidRPr="00B71B0E">
        <w:rPr>
          <w:rFonts w:eastAsia="Gungsuh"/>
          <w:i/>
          <w:iCs/>
        </w:rPr>
        <w:t>i</w:t>
      </w:r>
      <w:r w:rsidR="008A7947" w:rsidRPr="00B71B0E">
        <w:rPr>
          <w:rFonts w:eastAsia="Gungsuh"/>
          <w:i/>
          <w:iCs/>
        </w:rPr>
        <w:t>s</w:t>
      </w:r>
      <w:r w:rsidR="008A7947" w:rsidRPr="00B71B0E">
        <w:rPr>
          <w:rFonts w:eastAsia="Gungsuh"/>
        </w:rPr>
        <w:t xml:space="preserve"> using </w:t>
      </w:r>
      <w:r w:rsidR="00061BB2" w:rsidRPr="00B71B0E">
        <w:rPr>
          <w:rFonts w:eastAsia="Gungsuh"/>
        </w:rPr>
        <w:t xml:space="preserve">tree </w:t>
      </w:r>
      <w:r w:rsidR="008A7947" w:rsidRPr="00B71B0E">
        <w:rPr>
          <w:rFonts w:eastAsia="Gungsuh"/>
        </w:rPr>
        <w:t>topol</w:t>
      </w:r>
      <w:r w:rsidR="00061BB2" w:rsidRPr="00B71B0E">
        <w:rPr>
          <w:rFonts w:eastAsia="Gungsuh"/>
        </w:rPr>
        <w:t>o</w:t>
      </w:r>
      <w:r w:rsidR="008A7947" w:rsidRPr="00B71B0E">
        <w:rPr>
          <w:rFonts w:eastAsia="Gungsuh"/>
        </w:rPr>
        <w:t>gy</w:t>
      </w:r>
      <w:r w:rsidR="00736E0E" w:rsidRPr="00B71B0E">
        <w:rPr>
          <w:rFonts w:eastAsia="Gungsuh"/>
        </w:rPr>
        <w:t xml:space="preserve"> </w:t>
      </w:r>
      <w:r w:rsidR="00061BB2" w:rsidRPr="00B71B0E">
        <w:rPr>
          <w:rFonts w:eastAsia="Gungsuh"/>
        </w:rPr>
        <w:t xml:space="preserve">requires </w:t>
      </w:r>
      <w:r w:rsidR="00700BCE" w:rsidRPr="00B71B0E">
        <w:rPr>
          <w:rFonts w:eastAsia="Gungsuh"/>
        </w:rPr>
        <w:t xml:space="preserve">two conditions be supported: (1) </w:t>
      </w:r>
      <w:r w:rsidR="00186E47" w:rsidRPr="00B71B0E">
        <w:rPr>
          <w:rFonts w:eastAsia="Gungsuh"/>
        </w:rPr>
        <w:t xml:space="preserve">the query specimen </w:t>
      </w:r>
      <w:r w:rsidR="00700BCE" w:rsidRPr="00B71B0E">
        <w:rPr>
          <w:rFonts w:eastAsia="Gungsuh"/>
        </w:rPr>
        <w:t>is</w:t>
      </w:r>
      <w:r w:rsidR="00186E47" w:rsidRPr="00B71B0E">
        <w:rPr>
          <w:rFonts w:eastAsia="Gungsuh"/>
        </w:rPr>
        <w:t xml:space="preserve"> in a </w:t>
      </w:r>
      <w:r w:rsidR="00700BCE" w:rsidRPr="00B71B0E">
        <w:rPr>
          <w:rFonts w:eastAsia="Gungsuh"/>
        </w:rPr>
        <w:t>mono</w:t>
      </w:r>
      <w:r w:rsidR="00E77507" w:rsidRPr="00B71B0E">
        <w:rPr>
          <w:rFonts w:eastAsia="Gungsuh"/>
        </w:rPr>
        <w:t>p</w:t>
      </w:r>
      <w:r w:rsidR="00700BCE" w:rsidRPr="00B71B0E">
        <w:rPr>
          <w:rFonts w:eastAsia="Gungsuh"/>
        </w:rPr>
        <w:t>h</w:t>
      </w:r>
      <w:r w:rsidR="00E77507" w:rsidRPr="00B71B0E">
        <w:rPr>
          <w:rFonts w:eastAsia="Gungsuh"/>
        </w:rPr>
        <w:t>y</w:t>
      </w:r>
      <w:r w:rsidR="00700BCE" w:rsidRPr="00B71B0E">
        <w:rPr>
          <w:rFonts w:eastAsia="Gungsuh"/>
        </w:rPr>
        <w:t xml:space="preserve">letic </w:t>
      </w:r>
      <w:r w:rsidR="00186E47" w:rsidRPr="00B71B0E">
        <w:rPr>
          <w:rFonts w:eastAsia="Gungsuh"/>
        </w:rPr>
        <w:t xml:space="preserve">clade comprised of only </w:t>
      </w:r>
      <w:r w:rsidR="00186E47" w:rsidRPr="00B71B0E">
        <w:rPr>
          <w:rFonts w:eastAsia="Gungsuh"/>
          <w:i/>
          <w:iCs/>
        </w:rPr>
        <w:t xml:space="preserve">A. grandis </w:t>
      </w:r>
      <w:r w:rsidR="00186E47" w:rsidRPr="00B71B0E">
        <w:rPr>
          <w:rFonts w:eastAsia="Gungsuh"/>
        </w:rPr>
        <w:t xml:space="preserve">reference sequences and </w:t>
      </w:r>
      <w:r w:rsidR="00E77507" w:rsidRPr="00B71B0E">
        <w:rPr>
          <w:rFonts w:eastAsia="Gungsuh"/>
        </w:rPr>
        <w:t xml:space="preserve">(2) </w:t>
      </w:r>
      <w:r w:rsidR="00700BCE" w:rsidRPr="00B71B0E">
        <w:rPr>
          <w:rFonts w:eastAsia="Gungsuh"/>
        </w:rPr>
        <w:t xml:space="preserve">the query cannot be </w:t>
      </w:r>
      <w:r w:rsidR="00E77507" w:rsidRPr="00B71B0E">
        <w:rPr>
          <w:rFonts w:eastAsia="Gungsuh"/>
        </w:rPr>
        <w:t xml:space="preserve">the </w:t>
      </w:r>
      <w:r w:rsidR="00700BCE" w:rsidRPr="00B71B0E">
        <w:rPr>
          <w:rFonts w:eastAsia="Gungsuh"/>
        </w:rPr>
        <w:t xml:space="preserve">sister taxon to </w:t>
      </w:r>
      <w:r w:rsidR="00E77507" w:rsidRPr="00B71B0E">
        <w:rPr>
          <w:rFonts w:eastAsia="Gungsuh"/>
        </w:rPr>
        <w:t xml:space="preserve">a clade comprising all </w:t>
      </w:r>
      <w:r w:rsidR="00E77507" w:rsidRPr="00B71B0E">
        <w:rPr>
          <w:rFonts w:eastAsia="Gungsuh"/>
          <w:i/>
          <w:iCs/>
        </w:rPr>
        <w:t xml:space="preserve">A. grandis </w:t>
      </w:r>
      <w:r w:rsidR="00E77507" w:rsidRPr="00B71B0E">
        <w:rPr>
          <w:rFonts w:eastAsia="Gungsuh"/>
        </w:rPr>
        <w:t>reference sequences.</w:t>
      </w:r>
      <w:r w:rsidR="007B0165" w:rsidRPr="00B71B0E">
        <w:rPr>
          <w:rFonts w:eastAsia="Gungsuh"/>
        </w:rPr>
        <w:t xml:space="preserve"> </w:t>
      </w:r>
    </w:p>
    <w:p w14:paraId="2522D518" w14:textId="3BD7F5B5" w:rsidR="007D57B5" w:rsidRPr="00B71B0E" w:rsidRDefault="007D57B5" w:rsidP="00810564">
      <w:pPr>
        <w:pStyle w:val="IPPParagraphnumbering"/>
      </w:pPr>
      <w:r w:rsidRPr="00B71B0E">
        <w:t xml:space="preserve">If the results do not meet the expected distance measure or the tree-based criteria, then the query fly cannot be identified as </w:t>
      </w:r>
      <w:r w:rsidRPr="00B71B0E">
        <w:rPr>
          <w:i/>
        </w:rPr>
        <w:t>A. grandis</w:t>
      </w:r>
      <w:r w:rsidRPr="00B71B0E">
        <w:t>. In this situation, the genetic results are inconsistent with genetic distance estimates from prior data sets. It is possible that the sequence is a paralogous copy of the COI gene and additional taxonomic and or molecular diagnoses need to be conducted.</w:t>
      </w:r>
    </w:p>
    <w:p w14:paraId="26CB97C2" w14:textId="77777777" w:rsidR="00471E14" w:rsidRPr="00B71B0E" w:rsidRDefault="0099106F">
      <w:pPr>
        <w:keepNext/>
        <w:spacing w:before="240" w:after="240"/>
        <w:jc w:val="left"/>
        <w:rPr>
          <w:b/>
          <w:i/>
        </w:rPr>
      </w:pPr>
      <w:r w:rsidRPr="00B71B0E">
        <w:rPr>
          <w:b/>
        </w:rPr>
        <w:t xml:space="preserve">4.5.6.2 COI sequencing methods for identifying </w:t>
      </w:r>
      <w:r w:rsidRPr="00B71B0E">
        <w:rPr>
          <w:b/>
          <w:i/>
        </w:rPr>
        <w:t>Anastrepha ludens</w:t>
      </w:r>
    </w:p>
    <w:p w14:paraId="6B89A60C" w14:textId="1D631E2A" w:rsidR="00471E14" w:rsidRPr="00B71B0E" w:rsidRDefault="0099106F" w:rsidP="00810564">
      <w:pPr>
        <w:pStyle w:val="IPPParagraphnumbering"/>
        <w:rPr>
          <w:rFonts w:eastAsia="Gungsuh"/>
        </w:rPr>
      </w:pPr>
      <w:r w:rsidRPr="00B71B0E">
        <w:t xml:space="preserve">Sequences from the 81 </w:t>
      </w:r>
      <w:r w:rsidRPr="00B71B0E">
        <w:rPr>
          <w:i/>
        </w:rPr>
        <w:t>A. ludens specimens</w:t>
      </w:r>
      <w:r w:rsidRPr="00B71B0E">
        <w:t xml:space="preserve"> revealed in the Barr et al. (2017) study can be accessed </w:t>
      </w:r>
      <w:r w:rsidR="004C1AFA" w:rsidRPr="00B71B0E">
        <w:t xml:space="preserve">in GenBank or </w:t>
      </w:r>
      <w:r w:rsidRPr="00B71B0E">
        <w:t xml:space="preserve">BOLD (BIN: BOLD:AAJ2068). Comparisons to other </w:t>
      </w:r>
      <w:r w:rsidRPr="00B71B0E">
        <w:rPr>
          <w:i/>
        </w:rPr>
        <w:t>Anastrepha</w:t>
      </w:r>
      <w:r w:rsidRPr="00B71B0E">
        <w:t xml:space="preserve"> records in BOLD (BOLD:AAC0699) can be made in order to accurately determine the identity of the query sequence. </w:t>
      </w:r>
      <w:r w:rsidR="004C1AFA" w:rsidRPr="00B71B0E">
        <w:t xml:space="preserve">The query sequence when compared to sequences belonging to </w:t>
      </w:r>
      <w:r w:rsidR="004C1AFA" w:rsidRPr="00B71B0E">
        <w:rPr>
          <w:i/>
        </w:rPr>
        <w:t>A. ludens</w:t>
      </w:r>
      <w:r w:rsidR="004C1AFA" w:rsidRPr="00B71B0E">
        <w:t xml:space="preserve"> via the computed pairwise p-distance estimates can provide the end user with an accurate determination. </w:t>
      </w:r>
      <w:r w:rsidRPr="00B71B0E">
        <w:t xml:space="preserve">Arriving at a determination of </w:t>
      </w:r>
      <w:r w:rsidRPr="00B71B0E">
        <w:rPr>
          <w:i/>
        </w:rPr>
        <w:t>A. ludens</w:t>
      </w:r>
      <w:r w:rsidRPr="00B71B0E">
        <w:t xml:space="preserve"> is correct if the </w:t>
      </w:r>
      <w:r w:rsidR="00DA5430" w:rsidRPr="00B71B0E">
        <w:t xml:space="preserve">pair-wise </w:t>
      </w:r>
      <w:r w:rsidRPr="00B71B0E">
        <w:t>p-distance</w:t>
      </w:r>
      <w:r w:rsidR="00DA5430" w:rsidRPr="00B71B0E">
        <w:t>s</w:t>
      </w:r>
      <w:r w:rsidRPr="00B71B0E">
        <w:t xml:space="preserve"> between the query and </w:t>
      </w:r>
      <w:r w:rsidR="00B940C9" w:rsidRPr="00B71B0E">
        <w:t xml:space="preserve">all </w:t>
      </w:r>
      <w:r w:rsidRPr="00B71B0E">
        <w:rPr>
          <w:i/>
        </w:rPr>
        <w:t>A. ludens</w:t>
      </w:r>
      <w:r w:rsidRPr="00B71B0E">
        <w:rPr>
          <w:rFonts w:eastAsia="Gungsuh"/>
        </w:rPr>
        <w:t xml:space="preserve"> reference sequences </w:t>
      </w:r>
      <w:r w:rsidR="00DA5430" w:rsidRPr="00B71B0E">
        <w:rPr>
          <w:rFonts w:eastAsia="Gungsuh"/>
        </w:rPr>
        <w:t>are</w:t>
      </w:r>
      <w:r w:rsidRPr="00B71B0E">
        <w:rPr>
          <w:rFonts w:eastAsia="Gungsuh"/>
        </w:rPr>
        <w:t xml:space="preserve"> ≤0.024.</w:t>
      </w:r>
      <w:r w:rsidR="0048699A" w:rsidRPr="00B71B0E">
        <w:rPr>
          <w:rFonts w:eastAsia="Gungsuh"/>
        </w:rPr>
        <w:t xml:space="preserve"> Alternatively, ph</w:t>
      </w:r>
      <w:r w:rsidR="001D7943" w:rsidRPr="00B71B0E">
        <w:rPr>
          <w:rFonts w:eastAsia="Gungsuh"/>
        </w:rPr>
        <w:t xml:space="preserve">ylogenetic tree analysis can be performed as described in Section 4.5.6.1 </w:t>
      </w:r>
      <w:r w:rsidR="002B5EBF" w:rsidRPr="00B71B0E">
        <w:rPr>
          <w:rFonts w:eastAsia="Gungsuh"/>
        </w:rPr>
        <w:t>to confirm identity of query fly</w:t>
      </w:r>
      <w:r w:rsidR="002613B5" w:rsidRPr="00B71B0E">
        <w:rPr>
          <w:rFonts w:eastAsia="Gungsuh"/>
        </w:rPr>
        <w:t xml:space="preserve"> as</w:t>
      </w:r>
      <w:r w:rsidR="002B5EBF" w:rsidRPr="00B71B0E">
        <w:rPr>
          <w:rFonts w:eastAsia="Gungsuh"/>
        </w:rPr>
        <w:t xml:space="preserve"> </w:t>
      </w:r>
      <w:r w:rsidR="002613B5" w:rsidRPr="00B71B0E">
        <w:rPr>
          <w:rFonts w:eastAsia="Gungsuh"/>
          <w:i/>
          <w:iCs/>
        </w:rPr>
        <w:t>A. ludens</w:t>
      </w:r>
      <w:r w:rsidR="002613B5" w:rsidRPr="00B71B0E">
        <w:rPr>
          <w:rFonts w:eastAsia="Gungsuh"/>
        </w:rPr>
        <w:t xml:space="preserve"> </w:t>
      </w:r>
      <w:r w:rsidR="005B1E27" w:rsidRPr="00B71B0E">
        <w:rPr>
          <w:rFonts w:eastAsia="Gungsuh"/>
        </w:rPr>
        <w:t xml:space="preserve">based on monophyletic </w:t>
      </w:r>
      <w:r w:rsidR="00C77033" w:rsidRPr="00B71B0E">
        <w:rPr>
          <w:rFonts w:eastAsia="Gungsuh"/>
        </w:rPr>
        <w:t>topology</w:t>
      </w:r>
      <w:r w:rsidR="002613B5" w:rsidRPr="00B71B0E">
        <w:rPr>
          <w:rFonts w:eastAsia="Gungsuh"/>
        </w:rPr>
        <w:t>.</w:t>
      </w:r>
      <w:r w:rsidR="00C77033" w:rsidRPr="00B71B0E">
        <w:rPr>
          <w:rFonts w:eastAsia="Gungsuh"/>
        </w:rPr>
        <w:t xml:space="preserve"> </w:t>
      </w:r>
    </w:p>
    <w:p w14:paraId="7E88E481" w14:textId="41473ED0" w:rsidR="007D57B5" w:rsidRPr="00B71B0E" w:rsidRDefault="007D57B5" w:rsidP="00810564">
      <w:pPr>
        <w:pStyle w:val="IPPParagraphnumbering"/>
      </w:pPr>
      <w:r w:rsidRPr="00B71B0E">
        <w:t xml:space="preserve">If the results do not meet the expected distance measure or the tree-based criteria, then the query fly cannot be identified as </w:t>
      </w:r>
      <w:r w:rsidRPr="00B71B0E">
        <w:rPr>
          <w:i/>
        </w:rPr>
        <w:t>A. ludens</w:t>
      </w:r>
      <w:r w:rsidRPr="00B71B0E">
        <w:t>. In this situation, the genetic results are inconsistent with genetic distance estimates from prior data sets. It is possible that the sequence is a paralogous copy of the COI gene and additional taxonomic and or molecular diagnoses need to be conducted.</w:t>
      </w:r>
    </w:p>
    <w:p w14:paraId="1AB407E8" w14:textId="77777777" w:rsidR="00471E14" w:rsidRPr="00B71B0E" w:rsidRDefault="0099106F">
      <w:pPr>
        <w:keepNext/>
        <w:spacing w:before="240" w:after="240"/>
        <w:jc w:val="left"/>
        <w:rPr>
          <w:b/>
          <w:i/>
        </w:rPr>
      </w:pPr>
      <w:r w:rsidRPr="00B71B0E">
        <w:rPr>
          <w:b/>
        </w:rPr>
        <w:t xml:space="preserve">4.5.6.3 COI sequencing methods for identifying </w:t>
      </w:r>
      <w:r w:rsidRPr="00B71B0E">
        <w:rPr>
          <w:b/>
          <w:i/>
        </w:rPr>
        <w:t>Anastrepha serpentina</w:t>
      </w:r>
    </w:p>
    <w:p w14:paraId="07A01857" w14:textId="67F34E88" w:rsidR="00471E14" w:rsidRPr="00B71B0E" w:rsidRDefault="0099106F" w:rsidP="00810564">
      <w:pPr>
        <w:pStyle w:val="IPPParagraphnumbering"/>
        <w:rPr>
          <w:rFonts w:eastAsia="Gungsuh"/>
        </w:rPr>
      </w:pPr>
      <w:r w:rsidRPr="00B71B0E">
        <w:t xml:space="preserve">Queried sequences can be compared to those catalogued </w:t>
      </w:r>
      <w:r w:rsidR="00D063E1" w:rsidRPr="00B71B0E">
        <w:t xml:space="preserve">reference sequence </w:t>
      </w:r>
      <w:r w:rsidRPr="00B71B0E">
        <w:t>for this species in BOLD (BIN BOLD:AAF3739)</w:t>
      </w:r>
      <w:r w:rsidR="00D063E1" w:rsidRPr="00B71B0E">
        <w:t xml:space="preserve"> and GenBank (Barr et al. 2017)</w:t>
      </w:r>
      <w:r w:rsidRPr="00B71B0E">
        <w:t xml:space="preserve">. Additional sequences from other species within the serpentina group are also found allowing for comparisons with other closely related individuals. When comparing </w:t>
      </w:r>
      <w:r w:rsidR="00B940C9" w:rsidRPr="00B71B0E">
        <w:t xml:space="preserve">the query to </w:t>
      </w:r>
      <w:r w:rsidRPr="00B71B0E">
        <w:t xml:space="preserve">these reference sequences, the query sequence is </w:t>
      </w:r>
      <w:r w:rsidR="0091583A" w:rsidRPr="00B71B0E">
        <w:t xml:space="preserve">diagnosed as </w:t>
      </w:r>
      <w:r w:rsidRPr="00B71B0E">
        <w:rPr>
          <w:i/>
        </w:rPr>
        <w:t>A. serpentina</w:t>
      </w:r>
      <w:r w:rsidRPr="00B71B0E">
        <w:rPr>
          <w:rFonts w:eastAsia="Gungsuh"/>
        </w:rPr>
        <w:t xml:space="preserve"> if </w:t>
      </w:r>
      <w:r w:rsidR="00701B65" w:rsidRPr="00B71B0E">
        <w:rPr>
          <w:rFonts w:eastAsia="Gungsuh"/>
        </w:rPr>
        <w:t xml:space="preserve">pair-wise </w:t>
      </w:r>
      <w:r w:rsidRPr="00B71B0E">
        <w:rPr>
          <w:rFonts w:eastAsia="Gungsuh"/>
        </w:rPr>
        <w:t xml:space="preserve">p-distance estimates </w:t>
      </w:r>
      <w:r w:rsidR="0091583A" w:rsidRPr="00B71B0E">
        <w:rPr>
          <w:rFonts w:eastAsia="Gungsuh"/>
        </w:rPr>
        <w:t xml:space="preserve">between the query and all </w:t>
      </w:r>
      <w:r w:rsidR="0091583A" w:rsidRPr="00B71B0E">
        <w:rPr>
          <w:i/>
        </w:rPr>
        <w:t>A. serpentina</w:t>
      </w:r>
      <w:r w:rsidR="0091583A" w:rsidRPr="00B71B0E">
        <w:rPr>
          <w:rFonts w:eastAsia="Gungsuh"/>
        </w:rPr>
        <w:t xml:space="preserve"> refer</w:t>
      </w:r>
      <w:r w:rsidR="00701B65" w:rsidRPr="00B71B0E">
        <w:rPr>
          <w:rFonts w:eastAsia="Gungsuh"/>
        </w:rPr>
        <w:t xml:space="preserve">ence sequences </w:t>
      </w:r>
      <w:r w:rsidRPr="00B71B0E">
        <w:rPr>
          <w:rFonts w:eastAsia="Gungsuh"/>
        </w:rPr>
        <w:t>are seen to be ≤0.015.</w:t>
      </w:r>
      <w:r w:rsidR="00C77033" w:rsidRPr="00B71B0E">
        <w:rPr>
          <w:rFonts w:eastAsia="Gungsuh"/>
        </w:rPr>
        <w:t xml:space="preserve"> Alternatively, phylogenetic tree analysis can be performed as described in Section 4.5.6.1 to confirm identity of query fly as </w:t>
      </w:r>
      <w:r w:rsidR="00C77033" w:rsidRPr="00B71B0E">
        <w:rPr>
          <w:rFonts w:eastAsia="Gungsuh"/>
          <w:i/>
          <w:iCs/>
        </w:rPr>
        <w:t>A. serpentina</w:t>
      </w:r>
      <w:r w:rsidR="00C77033" w:rsidRPr="00B71B0E">
        <w:rPr>
          <w:rFonts w:eastAsia="Gungsuh"/>
        </w:rPr>
        <w:t xml:space="preserve"> based on monophyletic topology. </w:t>
      </w:r>
    </w:p>
    <w:p w14:paraId="7C18B582" w14:textId="0D80D918" w:rsidR="007D57B5" w:rsidRPr="00B71B0E" w:rsidRDefault="007D57B5" w:rsidP="00810564">
      <w:pPr>
        <w:pStyle w:val="IPPParagraphnumbering"/>
      </w:pPr>
      <w:r w:rsidRPr="00B71B0E">
        <w:t xml:space="preserve">If the results do not meet the expected distance measure or the tree-based criteria, then the query fly cannot be identified as </w:t>
      </w:r>
      <w:r w:rsidRPr="00B71B0E">
        <w:rPr>
          <w:i/>
        </w:rPr>
        <w:t>A. serpentina</w:t>
      </w:r>
      <w:r w:rsidRPr="00B71B0E">
        <w:t>. In this situation, the genetic results are inconsistent with genetic distance estimates from prior data sets. It is possible that the sequence is a paralogous copy of the COI gene and additional taxonomic and or molecular diagnoses need to be conducted.</w:t>
      </w:r>
    </w:p>
    <w:p w14:paraId="23D278E8" w14:textId="77777777" w:rsidR="00471E14" w:rsidRPr="00B71B0E" w:rsidRDefault="0099106F">
      <w:pPr>
        <w:keepNext/>
        <w:spacing w:before="240" w:after="240"/>
        <w:jc w:val="left"/>
        <w:rPr>
          <w:b/>
          <w:i/>
        </w:rPr>
      </w:pPr>
      <w:r w:rsidRPr="00B71B0E">
        <w:rPr>
          <w:b/>
        </w:rPr>
        <w:t xml:space="preserve">4.5.6.4 COI sequencing methods for identifying </w:t>
      </w:r>
      <w:r w:rsidRPr="00B71B0E">
        <w:rPr>
          <w:b/>
          <w:i/>
        </w:rPr>
        <w:t>Anastrepha striata</w:t>
      </w:r>
    </w:p>
    <w:p w14:paraId="5C7511B4" w14:textId="7E08DCED" w:rsidR="00471E14" w:rsidRPr="00B71B0E" w:rsidRDefault="0099106F" w:rsidP="00810564">
      <w:pPr>
        <w:pStyle w:val="IPPParagraphnumbering"/>
        <w:rPr>
          <w:rFonts w:eastAsia="Gungsuh"/>
        </w:rPr>
      </w:pPr>
      <w:bookmarkStart w:id="3" w:name="_z337ya" w:colFirst="0" w:colLast="0"/>
      <w:bookmarkEnd w:id="3"/>
      <w:r w:rsidRPr="00B71B0E">
        <w:t xml:space="preserve">The </w:t>
      </w:r>
      <w:r w:rsidR="00183046" w:rsidRPr="00B71B0E">
        <w:t xml:space="preserve">reference </w:t>
      </w:r>
      <w:r w:rsidRPr="00B71B0E">
        <w:t xml:space="preserve">sequences in BOLD </w:t>
      </w:r>
      <w:r w:rsidR="00183046" w:rsidRPr="00B71B0E">
        <w:t xml:space="preserve">and GenBank </w:t>
      </w:r>
      <w:r w:rsidRPr="00B71B0E">
        <w:t xml:space="preserve">can be referenced and compared against a query. Using the methods described above, the user can determine the identity as </w:t>
      </w:r>
      <w:r w:rsidRPr="00B71B0E">
        <w:rPr>
          <w:i/>
        </w:rPr>
        <w:t>A. striata</w:t>
      </w:r>
      <w:r w:rsidRPr="00B71B0E">
        <w:rPr>
          <w:rFonts w:eastAsia="Gungsuh"/>
        </w:rPr>
        <w:t xml:space="preserve"> if the p-distance estimates are ≤0.011</w:t>
      </w:r>
      <w:r w:rsidR="00701B65" w:rsidRPr="00B71B0E">
        <w:rPr>
          <w:rFonts w:eastAsia="Gungsuh"/>
        </w:rPr>
        <w:t xml:space="preserve"> between the query and all </w:t>
      </w:r>
      <w:r w:rsidR="00701B65" w:rsidRPr="00B71B0E">
        <w:rPr>
          <w:i/>
        </w:rPr>
        <w:t>A. striata</w:t>
      </w:r>
      <w:r w:rsidR="00701B65" w:rsidRPr="00B71B0E">
        <w:rPr>
          <w:rFonts w:eastAsia="Gungsuh"/>
        </w:rPr>
        <w:t xml:space="preserve"> reference sequences</w:t>
      </w:r>
      <w:r w:rsidRPr="00B71B0E">
        <w:rPr>
          <w:rFonts w:eastAsia="Gungsuh"/>
        </w:rPr>
        <w:t xml:space="preserve">. </w:t>
      </w:r>
      <w:r w:rsidR="00C77033" w:rsidRPr="00B71B0E">
        <w:rPr>
          <w:rFonts w:eastAsia="Gungsuh"/>
        </w:rPr>
        <w:t xml:space="preserve">Alternatively, phylogenetic tree analysis can be performed as described in Section 4.5.6.1 to confirm identity of query fly as </w:t>
      </w:r>
      <w:r w:rsidR="00C77033" w:rsidRPr="00B71B0E">
        <w:rPr>
          <w:rFonts w:eastAsia="Gungsuh"/>
          <w:i/>
          <w:iCs/>
        </w:rPr>
        <w:t>A. ludens</w:t>
      </w:r>
      <w:r w:rsidR="00C77033" w:rsidRPr="00B71B0E">
        <w:rPr>
          <w:rFonts w:eastAsia="Gungsuh"/>
        </w:rPr>
        <w:t xml:space="preserve"> based on monophyletic topology.</w:t>
      </w:r>
      <w:r w:rsidRPr="00B71B0E">
        <w:rPr>
          <w:rFonts w:eastAsia="Gungsuh"/>
        </w:rPr>
        <w:t xml:space="preserve">  </w:t>
      </w:r>
    </w:p>
    <w:p w14:paraId="351067AF" w14:textId="7EF3D53B" w:rsidR="007D57B5" w:rsidRPr="00B71B0E" w:rsidRDefault="007D57B5" w:rsidP="00810564">
      <w:pPr>
        <w:pStyle w:val="IPPParagraphnumbering"/>
      </w:pPr>
      <w:r w:rsidRPr="00B71B0E">
        <w:t xml:space="preserve">If the results do not meet the expected distance measure or the tree-based criteria, then the query fly cannot be identified as </w:t>
      </w:r>
      <w:r w:rsidRPr="00B71B0E">
        <w:rPr>
          <w:i/>
        </w:rPr>
        <w:t>A. striata</w:t>
      </w:r>
      <w:r w:rsidRPr="00B71B0E">
        <w:t>. In this situation, the genetic results are inconsistent with genetic distance estimates from prior data sets. It is possible that the sequence is a paralogous copy of the COI gene and additional taxonomic and or molecular diagnoses need to be conducted.</w:t>
      </w:r>
    </w:p>
    <w:p w14:paraId="123513CA" w14:textId="77777777" w:rsidR="00471E14" w:rsidRPr="00B71B0E" w:rsidRDefault="0099106F">
      <w:pPr>
        <w:keepNext/>
        <w:spacing w:before="240" w:after="240"/>
        <w:jc w:val="left"/>
        <w:rPr>
          <w:b/>
        </w:rPr>
      </w:pPr>
      <w:r w:rsidRPr="00B71B0E">
        <w:rPr>
          <w:b/>
        </w:rPr>
        <w:t xml:space="preserve">4.5.7 Methods for identifying </w:t>
      </w:r>
      <w:r w:rsidRPr="00B71B0E">
        <w:rPr>
          <w:b/>
          <w:i/>
        </w:rPr>
        <w:t xml:space="preserve">Anastrepha </w:t>
      </w:r>
      <w:r w:rsidRPr="00B71B0E">
        <w:rPr>
          <w:b/>
        </w:rPr>
        <w:t>species with ITS2</w:t>
      </w:r>
    </w:p>
    <w:p w14:paraId="1944E75B" w14:textId="5AE72A75" w:rsidR="00471E14" w:rsidRPr="00B71B0E" w:rsidRDefault="0099106F" w:rsidP="00810564">
      <w:pPr>
        <w:pStyle w:val="IPPParagraphnumbering"/>
      </w:pPr>
      <w:bookmarkStart w:id="4" w:name="_3j2qqm3" w:colFirst="0" w:colLast="0"/>
      <w:bookmarkEnd w:id="4"/>
      <w:r w:rsidRPr="00B71B0E">
        <w:t xml:space="preserve">Once editing has been completed, the query sequence can then be compared to ITS2 reference sequences found in GenBank (KU510999–KU511142). The software applications capable of global alignment such as Mega (Kumar et al., 2016), employing CLUSTAL W (Thompson et al., 2003) can be used to align the query and reference sequences. The ITS2 alignment will include insertion and deletion events and these events are included as characters in the diagnosis. Only three species can be diagnosed with these methods - </w:t>
      </w:r>
      <w:r w:rsidRPr="00B71B0E">
        <w:rPr>
          <w:i/>
        </w:rPr>
        <w:t>A. ludens</w:t>
      </w:r>
      <w:r w:rsidRPr="00B71B0E">
        <w:t xml:space="preserve">, </w:t>
      </w:r>
      <w:r w:rsidRPr="00B71B0E">
        <w:rPr>
          <w:i/>
        </w:rPr>
        <w:t>A. obliqua</w:t>
      </w:r>
      <w:r w:rsidRPr="00B71B0E">
        <w:t xml:space="preserve">, and </w:t>
      </w:r>
      <w:r w:rsidRPr="00B71B0E">
        <w:rPr>
          <w:i/>
        </w:rPr>
        <w:t>A. suspensa</w:t>
      </w:r>
      <w:r w:rsidRPr="00B71B0E">
        <w:t xml:space="preserve">. In order to make an accurate diagnosis, the exact match of query to reference must be made. The ITS2 method is appropriate for diagnosing these three flies during screening of the pests where it is known to be present.  </w:t>
      </w:r>
    </w:p>
    <w:p w14:paraId="036C3FAA" w14:textId="77777777" w:rsidR="00471E14" w:rsidRPr="00B71B0E" w:rsidRDefault="0099106F">
      <w:pPr>
        <w:keepNext/>
        <w:pBdr>
          <w:top w:val="nil"/>
          <w:left w:val="nil"/>
          <w:bottom w:val="nil"/>
          <w:right w:val="nil"/>
          <w:between w:val="nil"/>
        </w:pBdr>
        <w:spacing w:before="240" w:after="120"/>
        <w:ind w:left="567" w:hanging="567"/>
        <w:jc w:val="left"/>
        <w:rPr>
          <w:b/>
        </w:rPr>
      </w:pPr>
      <w:bookmarkStart w:id="5" w:name="_1y810tw" w:colFirst="0" w:colLast="0"/>
      <w:bookmarkEnd w:id="5"/>
      <w:r w:rsidRPr="00B71B0E">
        <w:rPr>
          <w:b/>
        </w:rPr>
        <w:t>5.</w:t>
      </w:r>
      <w:r w:rsidRPr="00B71B0E">
        <w:rPr>
          <w:b/>
        </w:rPr>
        <w:tab/>
        <w:t xml:space="preserve">Records </w:t>
      </w:r>
    </w:p>
    <w:p w14:paraId="6AD319AC" w14:textId="77777777" w:rsidR="00471E14" w:rsidRDefault="0099106F" w:rsidP="00810564">
      <w:pPr>
        <w:pStyle w:val="IPPParagraphnumbering"/>
      </w:pPr>
      <w:r>
        <w:t>Records and evidence, including voucher specimens, should be retained as described in section 2.5 of ISPM 27 (</w:t>
      </w:r>
      <w:r>
        <w:rPr>
          <w:i/>
        </w:rPr>
        <w:t>Diagnostic protocols for regulated pests</w:t>
      </w:r>
      <w:r>
        <w:t xml:space="preserve">). </w:t>
      </w:r>
    </w:p>
    <w:p w14:paraId="3F8CCF2D" w14:textId="77777777" w:rsidR="00471E14" w:rsidRDefault="0099106F" w:rsidP="00810564">
      <w:pPr>
        <w:pStyle w:val="IPPParagraphnumbering"/>
      </w:pPr>
      <w:r>
        <w:t xml:space="preserve">In cases where other contracting parties may be affected by the diagnosis, the records and evidence (in particular, preserved or slide-mounted specimens and photographs of distinctive taxonomic structures, as appropriate) should be deposited in a museum or another permanent collection. </w:t>
      </w:r>
    </w:p>
    <w:p w14:paraId="17F4B636" w14:textId="77777777" w:rsidR="00471E14" w:rsidRDefault="0099106F">
      <w:pPr>
        <w:keepNext/>
        <w:pBdr>
          <w:top w:val="nil"/>
          <w:left w:val="nil"/>
          <w:bottom w:val="nil"/>
          <w:right w:val="nil"/>
          <w:between w:val="nil"/>
        </w:pBdr>
        <w:tabs>
          <w:tab w:val="left" w:pos="567"/>
        </w:tabs>
        <w:spacing w:before="240" w:after="120"/>
        <w:ind w:left="567" w:hanging="567"/>
        <w:jc w:val="left"/>
        <w:rPr>
          <w:b/>
          <w:color w:val="000000"/>
          <w:sz w:val="24"/>
          <w:szCs w:val="24"/>
        </w:rPr>
      </w:pPr>
      <w:r>
        <w:rPr>
          <w:b/>
          <w:color w:val="000000"/>
          <w:sz w:val="24"/>
          <w:szCs w:val="24"/>
        </w:rPr>
        <w:t>6.</w:t>
      </w:r>
      <w:r>
        <w:rPr>
          <w:b/>
          <w:color w:val="000000"/>
          <w:sz w:val="24"/>
          <w:szCs w:val="24"/>
        </w:rPr>
        <w:tab/>
        <w:t xml:space="preserve">Contact Points for Further Information </w:t>
      </w:r>
    </w:p>
    <w:p w14:paraId="21FEE653" w14:textId="77777777" w:rsidR="00471E14" w:rsidRDefault="0099106F" w:rsidP="00810564">
      <w:pPr>
        <w:pStyle w:val="IPPParagraphnumbering"/>
      </w:pPr>
      <w:r>
        <w:t>Further information on this protocol can be obtained from:</w:t>
      </w:r>
    </w:p>
    <w:p w14:paraId="4AD6B42D" w14:textId="77777777" w:rsidR="00471E14" w:rsidRDefault="0099106F" w:rsidP="00810564">
      <w:pPr>
        <w:pStyle w:val="IPPParagraphnumbering"/>
      </w:pPr>
      <w:r>
        <w:t xml:space="preserve">Instituto de Ecología A.C., Red de Interacciones Multitróficas, Xalapa, Veracruz, México (Vicente Hernández-Ortiz; e-mail: </w:t>
      </w:r>
      <w:hyperlink r:id="rId13">
        <w:r>
          <w:rPr>
            <w:color w:val="0000FF"/>
            <w:u w:val="single"/>
          </w:rPr>
          <w:t>vicente.hernandez@inecol.mx</w:t>
        </w:r>
      </w:hyperlink>
      <w:r>
        <w:t xml:space="preserve">). </w:t>
      </w:r>
    </w:p>
    <w:p w14:paraId="29CAFAC4" w14:textId="77777777" w:rsidR="00471E14" w:rsidRDefault="0099106F" w:rsidP="00810564">
      <w:pPr>
        <w:pStyle w:val="IPPParagraphnumbering"/>
      </w:pPr>
      <w:r>
        <w:t xml:space="preserve">Systematic Entomology Laboratory, United States Department of Agriculture (USDA), Washington, DC, United States (Allen L. Norrbom; e-mail: </w:t>
      </w:r>
      <w:hyperlink r:id="rId14">
        <w:r>
          <w:rPr>
            <w:color w:val="0000FF"/>
            <w:u w:val="single"/>
          </w:rPr>
          <w:t>anorrbom@sel.barc.usda.gov</w:t>
        </w:r>
      </w:hyperlink>
      <w:r>
        <w:t xml:space="preserve">). </w:t>
      </w:r>
    </w:p>
    <w:p w14:paraId="6B02F190" w14:textId="77777777" w:rsidR="00471E14" w:rsidRPr="00913AA9" w:rsidRDefault="0099106F" w:rsidP="00810564">
      <w:pPr>
        <w:pStyle w:val="IPPParagraphnumbering"/>
        <w:rPr>
          <w:lang w:val="pt-BR"/>
        </w:rPr>
      </w:pPr>
      <w:r w:rsidRPr="00913AA9">
        <w:rPr>
          <w:lang w:val="pt-BR"/>
        </w:rPr>
        <w:t xml:space="preserve">Escola Superior de Agricultura Luiz de Queiroz (ESALQ)/Universidade de São Paulo (USP) – Departmaneto de Entomologia, Piracicaba, Brazil (Roberto A. Zucchi; e-mail: </w:t>
      </w:r>
      <w:hyperlink r:id="rId15">
        <w:r w:rsidRPr="00913AA9">
          <w:rPr>
            <w:color w:val="0000FF"/>
            <w:u w:val="single"/>
            <w:lang w:val="pt-BR"/>
          </w:rPr>
          <w:t>razucchi@usp.br</w:t>
        </w:r>
      </w:hyperlink>
      <w:r w:rsidRPr="00913AA9">
        <w:rPr>
          <w:color w:val="0000FF"/>
          <w:u w:val="single"/>
          <w:lang w:val="pt-BR"/>
        </w:rPr>
        <w:t>; Marcoandre Savaris; e-mail: savaris@usp.br</w:t>
      </w:r>
      <w:r w:rsidRPr="00913AA9">
        <w:rPr>
          <w:lang w:val="pt-BR"/>
        </w:rPr>
        <w:t xml:space="preserve">). </w:t>
      </w:r>
    </w:p>
    <w:p w14:paraId="6AFA22A3" w14:textId="77777777" w:rsidR="00471E14" w:rsidRPr="00913AA9" w:rsidRDefault="0099106F" w:rsidP="00810564">
      <w:pPr>
        <w:pStyle w:val="IPPParagraphnumbering"/>
        <w:rPr>
          <w:lang w:val="es-CU"/>
        </w:rPr>
      </w:pPr>
      <w:r w:rsidRPr="00913AA9">
        <w:rPr>
          <w:lang w:val="es-CU"/>
        </w:rPr>
        <w:t xml:space="preserve">Universidad Metropolitana de Ciencias de la Educación, Instituto de Entomología, Santiago, Chile (Daniel Frías; e-mail: </w:t>
      </w:r>
      <w:hyperlink r:id="rId16">
        <w:r w:rsidRPr="00913AA9">
          <w:rPr>
            <w:color w:val="0000FF"/>
            <w:u w:val="single"/>
            <w:lang w:val="es-CU"/>
          </w:rPr>
          <w:t>daniel.frias@umce.cl</w:t>
        </w:r>
      </w:hyperlink>
      <w:r w:rsidRPr="00913AA9">
        <w:rPr>
          <w:lang w:val="es-CU"/>
        </w:rPr>
        <w:t xml:space="preserve">). </w:t>
      </w:r>
    </w:p>
    <w:p w14:paraId="190FB4D6" w14:textId="77777777" w:rsidR="00471E14" w:rsidRDefault="0099106F" w:rsidP="00810564">
      <w:pPr>
        <w:pStyle w:val="IPPParagraphnumbering"/>
      </w:pPr>
      <w:r>
        <w:t xml:space="preserve">Florida Department of Agriculture and Consumer Services, Division of Plant Industry, Gainesville, FL, United States (Gary Steck; e-mail: </w:t>
      </w:r>
      <w:hyperlink r:id="rId17">
        <w:r>
          <w:rPr>
            <w:color w:val="0000FF"/>
            <w:u w:val="single"/>
          </w:rPr>
          <w:t>gary.steck@</w:t>
        </w:r>
      </w:hyperlink>
      <w:r>
        <w:rPr>
          <w:color w:val="0000FF"/>
          <w:u w:val="single"/>
        </w:rPr>
        <w:t>fdacs.gov</w:t>
      </w:r>
      <w:r>
        <w:t xml:space="preserve">). </w:t>
      </w:r>
    </w:p>
    <w:p w14:paraId="0A9945B2" w14:textId="77777777" w:rsidR="00471E14" w:rsidRDefault="0099106F" w:rsidP="00810564">
      <w:pPr>
        <w:pStyle w:val="IPPParagraphnumbering"/>
      </w:pPr>
      <w:r>
        <w:t xml:space="preserve">Universidad de Buenos Aires, Facultad de Agronomía, Buenos Aires, Argentina (Alicia Basso; e-mail: </w:t>
      </w:r>
      <w:hyperlink r:id="rId18">
        <w:r>
          <w:rPr>
            <w:color w:val="0000FF"/>
            <w:u w:val="single"/>
          </w:rPr>
          <w:t>bassoalicia@yahoo.com</w:t>
        </w:r>
      </w:hyperlink>
      <w:r>
        <w:t>).</w:t>
      </w:r>
    </w:p>
    <w:p w14:paraId="351369DF" w14:textId="77777777" w:rsidR="00471E14" w:rsidRDefault="0099106F" w:rsidP="00810564">
      <w:pPr>
        <w:pStyle w:val="IPPParagraphnumbering"/>
      </w:pPr>
      <w:r>
        <w:t xml:space="preserve">APHIS, United States Department of Agriculture (USDA), Plant Protection and Quarantine, Insect Management and Molecular Diagnostics Laboratory, TX, United States (Norman B. Barr; e-mail: </w:t>
      </w:r>
      <w:hyperlink r:id="rId19">
        <w:r>
          <w:rPr>
            <w:color w:val="0000FF"/>
            <w:u w:val="single"/>
          </w:rPr>
          <w:t>Norman.B.Barr@aphis.usda.gov</w:t>
        </w:r>
      </w:hyperlink>
      <w:r>
        <w:t xml:space="preserve">). </w:t>
      </w:r>
    </w:p>
    <w:p w14:paraId="44D1704B" w14:textId="77777777" w:rsidR="00471E14" w:rsidRDefault="0099106F" w:rsidP="00810564">
      <w:pPr>
        <w:pStyle w:val="IPPParagraphnumbering"/>
      </w:pPr>
      <w:r>
        <w:t xml:space="preserve">Ministerio de Ganadería, Agricultura y Pesca, Dirección General de Servicios Agrícolas, Departamento Laboratorios Biológicos, Montevideo, Uruguay (Andrea Listre; e-mail: </w:t>
      </w:r>
      <w:hyperlink r:id="rId20">
        <w:r>
          <w:rPr>
            <w:color w:val="0000FF"/>
            <w:u w:val="single"/>
          </w:rPr>
          <w:t>allbme@gmail.com</w:t>
        </w:r>
      </w:hyperlink>
      <w:r>
        <w:t xml:space="preserve">). </w:t>
      </w:r>
    </w:p>
    <w:p w14:paraId="31CDD6BF" w14:textId="77777777" w:rsidR="00471E14" w:rsidRPr="00913AA9" w:rsidRDefault="0099106F" w:rsidP="00810564">
      <w:pPr>
        <w:pStyle w:val="IPPParagraphnumbering"/>
        <w:rPr>
          <w:lang w:val="es-CU"/>
        </w:rPr>
      </w:pPr>
      <w:r w:rsidRPr="00913AA9">
        <w:rPr>
          <w:lang w:val="es-CU"/>
        </w:rPr>
        <w:t xml:space="preserve">Servicio Nacional de Sanidad y Calidad Agroalimentaria (SENASA), Dirección de Laboratorio Vegetal, Departamento de Entomología y Acarología, Buenos Aires, Argentina (Ignacio Dumois; e-mail: </w:t>
      </w:r>
      <w:hyperlink r:id="rId21">
        <w:r w:rsidRPr="00913AA9">
          <w:rPr>
            <w:color w:val="1155CC"/>
            <w:u w:val="single"/>
            <w:lang w:val="es-CU"/>
          </w:rPr>
          <w:t>idumois@senasa.gob.ar</w:t>
        </w:r>
      </w:hyperlink>
      <w:r w:rsidRPr="00913AA9">
        <w:rPr>
          <w:lang w:val="es-CU"/>
        </w:rPr>
        <w:t>).</w:t>
      </w:r>
    </w:p>
    <w:p w14:paraId="40B42DA3" w14:textId="77777777" w:rsidR="00471E14" w:rsidRDefault="0099106F" w:rsidP="00810564">
      <w:pPr>
        <w:pStyle w:val="IPPParagraphnumbering"/>
      </w:pPr>
      <w:r>
        <w:rPr>
          <w:color w:val="444444"/>
          <w:highlight w:val="white"/>
        </w:rPr>
        <w:t xml:space="preserve">Ministry of Agriculture and Rural Development (MARD), Plant Protection Department (PPD), Plant Quarantine Diagnostic Centre (PQDC), </w:t>
      </w:r>
      <w:r>
        <w:t xml:space="preserve">Vietnam; Hoang Kim Thoa; email: </w:t>
      </w:r>
      <w:hyperlink r:id="rId22">
        <w:r>
          <w:rPr>
            <w:color w:val="1155CC"/>
            <w:u w:val="single"/>
          </w:rPr>
          <w:t>thoahk.bvtv@mard.gov.vn</w:t>
        </w:r>
      </w:hyperlink>
      <w:r>
        <w:t xml:space="preserve"> or  </w:t>
      </w:r>
      <w:hyperlink r:id="rId23">
        <w:r>
          <w:rPr>
            <w:color w:val="1155CC"/>
            <w:u w:val="single"/>
          </w:rPr>
          <w:t>kimthoappd@gmail.com</w:t>
        </w:r>
      </w:hyperlink>
      <w:r>
        <w:t>).</w:t>
      </w:r>
    </w:p>
    <w:p w14:paraId="5B478E4B" w14:textId="77777777" w:rsidR="00471E14" w:rsidRDefault="0099106F" w:rsidP="00810564">
      <w:pPr>
        <w:pStyle w:val="IPPParagraphnumbering"/>
      </w:pPr>
      <w:r>
        <w:t>A request for a revision to a diagnostic protocol may be submitted by national plant protection organizations (NPPOs), regional plant protection organizations (RPPOs) or Commission on Phytosanitary Measures (CPM) subsidiary bodies through the IPPC Secretariat (</w:t>
      </w:r>
      <w:hyperlink r:id="rId24">
        <w:r>
          <w:rPr>
            <w:color w:val="0000FF"/>
            <w:u w:val="single"/>
          </w:rPr>
          <w:t>ippc@fao.org</w:t>
        </w:r>
      </w:hyperlink>
      <w:r>
        <w:t xml:space="preserve">), which will in turn forward it to the Technical Panel on Diagnostic Protocols (TPDP). </w:t>
      </w:r>
    </w:p>
    <w:p w14:paraId="632AC968" w14:textId="77777777" w:rsidR="00471E14" w:rsidRDefault="0099106F">
      <w:pPr>
        <w:keepNext/>
        <w:pBdr>
          <w:top w:val="nil"/>
          <w:left w:val="nil"/>
          <w:bottom w:val="nil"/>
          <w:right w:val="nil"/>
          <w:between w:val="nil"/>
        </w:pBdr>
        <w:tabs>
          <w:tab w:val="left" w:pos="567"/>
        </w:tabs>
        <w:spacing w:before="240" w:after="120"/>
        <w:ind w:left="567" w:hanging="567"/>
        <w:jc w:val="left"/>
        <w:rPr>
          <w:b/>
          <w:color w:val="000000"/>
          <w:sz w:val="24"/>
          <w:szCs w:val="24"/>
        </w:rPr>
      </w:pPr>
      <w:r>
        <w:rPr>
          <w:b/>
          <w:color w:val="000000"/>
          <w:sz w:val="24"/>
          <w:szCs w:val="24"/>
        </w:rPr>
        <w:t>7.</w:t>
      </w:r>
      <w:r>
        <w:rPr>
          <w:b/>
          <w:color w:val="000000"/>
          <w:sz w:val="24"/>
          <w:szCs w:val="24"/>
        </w:rPr>
        <w:tab/>
        <w:t xml:space="preserve">Acknowledgements </w:t>
      </w:r>
    </w:p>
    <w:p w14:paraId="7B7D85C7" w14:textId="77777777" w:rsidR="00471E14" w:rsidRDefault="0099106F" w:rsidP="004D1E32">
      <w:pPr>
        <w:pStyle w:val="IPPParagraphnumbering"/>
      </w:pPr>
      <w:r>
        <w:t>The revision of this protocol was performed by Raul Ruiz-Arce (APHIS, United States Department of Agriculture (USDA), United States), Allen Norrbom (Systematic Entomology Laboratory, Agricultural Research Service, United States Department of Agriculture (USDA), United States), Ignacio Dumois (Servicio Nacional de Sanidad y Calidad Agroalimentaria, Argentina), Thoa Kim-Hoang (</w:t>
      </w:r>
      <w:r>
        <w:rPr>
          <w:color w:val="444444"/>
          <w:highlight w:val="white"/>
        </w:rPr>
        <w:t>Plant Quarantine Diagnostic Centre, Ministry of Agriculture and Rural Development (MARD)</w:t>
      </w:r>
      <w:r>
        <w:t xml:space="preserve">, Vietnam), and Gary Steck (Division of Plant Industry, Florida Department of Agriculture and Consumer Services, United States). The first adopted version of the protocol was written by V. Hernández-Ortiz (Instituto de Ecología A.C., Red de Interacciones Multitróficas, México (see preceding section)) with the collaboration of N. Vaccaro (Instituto Nacional de Tecnología Agropecuaria, Estación Experimental Concordia, Argentina) and A. Basso (Universidad de Buenos Aires, Facultad de Agronomía, Argentina (see preceding section)). </w:t>
      </w:r>
    </w:p>
    <w:p w14:paraId="19820BD2" w14:textId="77777777" w:rsidR="00471E14" w:rsidRDefault="0099106F" w:rsidP="004D1E32">
      <w:pPr>
        <w:pStyle w:val="IPPParagraphnumbering"/>
      </w:pPr>
      <w:r>
        <w:t>In addition, the following experts were significantly involved in the development of this protocol:</w:t>
      </w:r>
      <w:r>
        <w:rPr>
          <w:highlight w:val="yellow"/>
        </w:rPr>
        <w:t xml:space="preserve"> </w:t>
      </w:r>
    </w:p>
    <w:p w14:paraId="2D0C39C0" w14:textId="77777777" w:rsidR="00471E14" w:rsidRPr="00E06874" w:rsidRDefault="0099106F" w:rsidP="004D1E32">
      <w:pPr>
        <w:pStyle w:val="IPPParagraphnumbering"/>
        <w:rPr>
          <w:lang w:val="pt-BR"/>
        </w:rPr>
      </w:pPr>
      <w:r w:rsidRPr="00E06874">
        <w:rPr>
          <w:lang w:val="pt-BR"/>
        </w:rPr>
        <w:t xml:space="preserve">R.A. Zucchi (Escola Superior de Agricultura Luiz de Queiroz, Universidade de São Paulo, Brazil (see preceding section)) </w:t>
      </w:r>
    </w:p>
    <w:p w14:paraId="49105902" w14:textId="77777777" w:rsidR="00471E14" w:rsidRPr="00913AA9" w:rsidRDefault="0099106F" w:rsidP="004D1E32">
      <w:pPr>
        <w:pStyle w:val="IPPParagraphnumbering"/>
        <w:rPr>
          <w:lang w:val="es-CU"/>
        </w:rPr>
      </w:pPr>
      <w:r w:rsidRPr="00913AA9">
        <w:rPr>
          <w:lang w:val="es-CU"/>
        </w:rPr>
        <w:t xml:space="preserve">D. Frías (Universidad Metropolitana de Ciencias de la Educación, Chile (see preceding section)) </w:t>
      </w:r>
    </w:p>
    <w:p w14:paraId="13338EE6" w14:textId="77777777" w:rsidR="00471E14" w:rsidRDefault="0099106F" w:rsidP="004D1E32">
      <w:pPr>
        <w:pStyle w:val="IPPParagraphnumbering"/>
      </w:pPr>
      <w:r>
        <w:t xml:space="preserve">N.B. Barr (APHIS, United States Department of Agriculture (USDA), United States (see preceding section)) </w:t>
      </w:r>
    </w:p>
    <w:p w14:paraId="3BFDD9FB" w14:textId="77777777" w:rsidR="00471E14" w:rsidRPr="00913AA9" w:rsidRDefault="0099106F" w:rsidP="004D1E32">
      <w:pPr>
        <w:pStyle w:val="IPPParagraphnumbering"/>
        <w:rPr>
          <w:lang w:val="es-CU"/>
        </w:rPr>
      </w:pPr>
      <w:r w:rsidRPr="00913AA9">
        <w:rPr>
          <w:lang w:val="es-CU"/>
        </w:rPr>
        <w:t xml:space="preserve">A.L. Terra, (Ministerio de Ganadería, Agricultura y Pesca, Dirección General de Servicios Agrícolas, Uruguay) </w:t>
      </w:r>
    </w:p>
    <w:p w14:paraId="14A05684" w14:textId="77777777" w:rsidR="00471E14" w:rsidRPr="00913AA9" w:rsidRDefault="0099106F" w:rsidP="004D1E32">
      <w:pPr>
        <w:pStyle w:val="IPPParagraphnumbering"/>
        <w:rPr>
          <w:lang w:val="es-CU"/>
        </w:rPr>
      </w:pPr>
      <w:r w:rsidRPr="00913AA9">
        <w:rPr>
          <w:lang w:val="es-CU"/>
        </w:rPr>
        <w:t xml:space="preserve">A. Listre (Ministerio de Ganadería, Agricultura y Pesca, Dirección General de Servicios Agrícolas, Uruguay) </w:t>
      </w:r>
    </w:p>
    <w:p w14:paraId="6623C1BE" w14:textId="77777777" w:rsidR="00471E14" w:rsidRPr="00913AA9" w:rsidRDefault="0099106F" w:rsidP="004D1E32">
      <w:pPr>
        <w:pStyle w:val="IPPParagraphnumbering"/>
        <w:rPr>
          <w:lang w:val="es-CU"/>
        </w:rPr>
      </w:pPr>
      <w:r w:rsidRPr="00913AA9">
        <w:rPr>
          <w:lang w:val="es-CU"/>
        </w:rPr>
        <w:t xml:space="preserve">O. Volonterio (Ministerio de Ganadería, Agricultura y Pesca, Dirección General de Servicios Agrícolas, Uruguay) </w:t>
      </w:r>
    </w:p>
    <w:p w14:paraId="04CC9448" w14:textId="77777777" w:rsidR="00471E14" w:rsidRDefault="0099106F" w:rsidP="004D1E32">
      <w:pPr>
        <w:pStyle w:val="IPPParagraphnumbering"/>
      </w:pPr>
      <w:r>
        <w:t xml:space="preserve">M. Malipatil (La Trobe University, Bioprotection, Biosciences Research Division, Department of Environment and Primary Industries (Victoria), Australia) </w:t>
      </w:r>
    </w:p>
    <w:p w14:paraId="3761441B" w14:textId="77777777" w:rsidR="00471E14" w:rsidRPr="00913AA9" w:rsidRDefault="0099106F" w:rsidP="004D1E32">
      <w:pPr>
        <w:pStyle w:val="IPPParagraphnumbering"/>
        <w:rPr>
          <w:lang w:val="fr-BE"/>
        </w:rPr>
      </w:pPr>
      <w:r w:rsidRPr="00913AA9">
        <w:rPr>
          <w:lang w:val="fr-BE"/>
        </w:rPr>
        <w:t>V. Balmès (Anses, Laboratoire de la santé des végétaux, Unité entomologie et plantes invasives, France).</w:t>
      </w:r>
    </w:p>
    <w:p w14:paraId="297E9142" w14:textId="77777777" w:rsidR="00471E14" w:rsidRDefault="0099106F">
      <w:pPr>
        <w:keepNext/>
        <w:pBdr>
          <w:top w:val="nil"/>
          <w:left w:val="nil"/>
          <w:bottom w:val="nil"/>
          <w:right w:val="nil"/>
          <w:between w:val="nil"/>
        </w:pBdr>
        <w:tabs>
          <w:tab w:val="left" w:pos="567"/>
        </w:tabs>
        <w:spacing w:before="240" w:after="120"/>
        <w:ind w:left="567" w:hanging="567"/>
        <w:jc w:val="left"/>
        <w:rPr>
          <w:b/>
          <w:color w:val="000000"/>
          <w:sz w:val="24"/>
          <w:szCs w:val="24"/>
        </w:rPr>
      </w:pPr>
      <w:r>
        <w:rPr>
          <w:b/>
          <w:color w:val="000000"/>
          <w:sz w:val="24"/>
          <w:szCs w:val="24"/>
        </w:rPr>
        <w:t>8.</w:t>
      </w:r>
      <w:r>
        <w:rPr>
          <w:b/>
          <w:color w:val="000000"/>
          <w:sz w:val="24"/>
          <w:szCs w:val="24"/>
        </w:rPr>
        <w:tab/>
        <w:t xml:space="preserve">References </w:t>
      </w:r>
    </w:p>
    <w:p w14:paraId="77975575" w14:textId="77777777" w:rsidR="00471E14" w:rsidRDefault="0099106F" w:rsidP="004D1E32">
      <w:pPr>
        <w:pStyle w:val="IPPParagraphnumbering"/>
      </w:pPr>
      <w:r>
        <w:t xml:space="preserve">The present standard refers to International Standards for Phytosanitary Measures (ISPMs). ISPMs are available on the International Phytosanitary Portal (IPP) at </w:t>
      </w:r>
      <w:hyperlink r:id="rId25">
        <w:r>
          <w:rPr>
            <w:color w:val="0000FF"/>
            <w:u w:val="single"/>
          </w:rPr>
          <w:t>https://www.ippc.int/core-activities/standards-setting/ispms</w:t>
        </w:r>
      </w:hyperlink>
      <w:r>
        <w:t>.</w:t>
      </w:r>
    </w:p>
    <w:p w14:paraId="081ED536" w14:textId="77777777" w:rsidR="00471E14" w:rsidRDefault="0099106F" w:rsidP="004D1E32">
      <w:pPr>
        <w:pStyle w:val="IPPParagraphnumbering"/>
      </w:pPr>
      <w:r>
        <w:rPr>
          <w:b/>
          <w:highlight w:val="white"/>
        </w:rPr>
        <w:t>Armstrong, K. F., &amp; Ball, S. L.</w:t>
      </w:r>
      <w:r>
        <w:rPr>
          <w:highlight w:val="white"/>
        </w:rPr>
        <w:t xml:space="preserve"> 2005. DNA barcodes for biosecurity: invasive species identification. </w:t>
      </w:r>
      <w:r>
        <w:rPr>
          <w:i/>
        </w:rPr>
        <w:t>Philosophical Transactions of the Royal Society B: Biological Sciences</w:t>
      </w:r>
      <w:r>
        <w:t xml:space="preserve">, </w:t>
      </w:r>
      <w:r>
        <w:rPr>
          <w:i/>
        </w:rPr>
        <w:t>360</w:t>
      </w:r>
      <w:r>
        <w:t>(1462), 1813-1823.</w:t>
      </w:r>
    </w:p>
    <w:p w14:paraId="21E62FC4" w14:textId="77777777" w:rsidR="00471E14" w:rsidRDefault="0099106F" w:rsidP="004D1E32">
      <w:pPr>
        <w:pStyle w:val="IPPParagraphnumbering"/>
      </w:pPr>
      <w:r>
        <w:rPr>
          <w:b/>
          <w:highlight w:val="white"/>
        </w:rPr>
        <w:t>Barr, N. B., &amp; McPheron, B. A.</w:t>
      </w:r>
      <w:r>
        <w:rPr>
          <w:highlight w:val="white"/>
        </w:rPr>
        <w:t xml:space="preserve"> 2006. Molecular phylogenetics of the genus </w:t>
      </w:r>
      <w:r>
        <w:rPr>
          <w:i/>
          <w:highlight w:val="white"/>
        </w:rPr>
        <w:t xml:space="preserve">Ceratitis </w:t>
      </w:r>
      <w:r>
        <w:rPr>
          <w:highlight w:val="white"/>
        </w:rPr>
        <w:t xml:space="preserve">(Diptera: Tephritidae). </w:t>
      </w:r>
      <w:r>
        <w:rPr>
          <w:i/>
        </w:rPr>
        <w:t>Molecular phylogenetics and evolution</w:t>
      </w:r>
      <w:r>
        <w:t xml:space="preserve">, </w:t>
      </w:r>
      <w:r>
        <w:rPr>
          <w:i/>
        </w:rPr>
        <w:t>38</w:t>
      </w:r>
      <w:r>
        <w:t>(1), 216-230.</w:t>
      </w:r>
    </w:p>
    <w:p w14:paraId="16C3400E" w14:textId="77777777" w:rsidR="00471E14" w:rsidRDefault="0099106F" w:rsidP="004D1E32">
      <w:pPr>
        <w:pStyle w:val="IPPParagraphnumbering"/>
      </w:pPr>
      <w:r w:rsidRPr="00E06874">
        <w:rPr>
          <w:b/>
          <w:highlight w:val="white"/>
          <w:lang w:val="it-IT"/>
        </w:rPr>
        <w:t>Barr, N. B., Cui, L., &amp; McPheron, B. A.</w:t>
      </w:r>
      <w:r w:rsidRPr="00E06874">
        <w:rPr>
          <w:highlight w:val="white"/>
          <w:lang w:val="it-IT"/>
        </w:rPr>
        <w:t xml:space="preserve"> 2005. </w:t>
      </w:r>
      <w:r>
        <w:rPr>
          <w:highlight w:val="white"/>
        </w:rPr>
        <w:t xml:space="preserve">Molecular systematics of nuclear gene period in genus </w:t>
      </w:r>
      <w:r>
        <w:rPr>
          <w:i/>
          <w:highlight w:val="white"/>
        </w:rPr>
        <w:t xml:space="preserve">Anastrepha </w:t>
      </w:r>
      <w:r>
        <w:rPr>
          <w:highlight w:val="white"/>
        </w:rPr>
        <w:t xml:space="preserve">(Tephritidae). </w:t>
      </w:r>
      <w:r>
        <w:rPr>
          <w:i/>
        </w:rPr>
        <w:t>Annals of the Entomological Society of America</w:t>
      </w:r>
      <w:r>
        <w:t xml:space="preserve">, </w:t>
      </w:r>
      <w:r>
        <w:rPr>
          <w:i/>
        </w:rPr>
        <w:t>98</w:t>
      </w:r>
      <w:r>
        <w:t>(2), 173-180.</w:t>
      </w:r>
    </w:p>
    <w:p w14:paraId="5B7D285C" w14:textId="77777777" w:rsidR="00471E14" w:rsidRDefault="0099106F" w:rsidP="004D1E32">
      <w:pPr>
        <w:pStyle w:val="IPPParagraphnumbering"/>
      </w:pPr>
      <w:r w:rsidRPr="00E06874">
        <w:rPr>
          <w:b/>
          <w:highlight w:val="white"/>
          <w:lang w:val="pt-BR"/>
        </w:rPr>
        <w:t xml:space="preserve">Barr, N. B., Ruiz-Arce, R., Farris, R. E., Silva, J. G., Lima, K. M., Dutra, V. S., ... </w:t>
      </w:r>
      <w:r>
        <w:rPr>
          <w:b/>
          <w:highlight w:val="white"/>
        </w:rPr>
        <w:t>&amp; Thomas, D. B.</w:t>
      </w:r>
      <w:r>
        <w:rPr>
          <w:highlight w:val="white"/>
        </w:rPr>
        <w:t xml:space="preserve"> 2018. Identifying </w:t>
      </w:r>
      <w:r>
        <w:rPr>
          <w:i/>
          <w:highlight w:val="white"/>
        </w:rPr>
        <w:t xml:space="preserve">Anastrepha </w:t>
      </w:r>
      <w:r>
        <w:rPr>
          <w:highlight w:val="white"/>
        </w:rPr>
        <w:t xml:space="preserve">(Diptera; Tephritidae) Species Using DNA Barcodes. </w:t>
      </w:r>
      <w:r>
        <w:rPr>
          <w:i/>
        </w:rPr>
        <w:t>Journal of economic entomology</w:t>
      </w:r>
      <w:r>
        <w:t xml:space="preserve">, </w:t>
      </w:r>
      <w:r>
        <w:rPr>
          <w:i/>
        </w:rPr>
        <w:t>111</w:t>
      </w:r>
      <w:r>
        <w:t>(1), 405-421.</w:t>
      </w:r>
    </w:p>
    <w:p w14:paraId="7CC52F5E" w14:textId="77777777" w:rsidR="00471E14" w:rsidRPr="00913AA9" w:rsidRDefault="0099106F" w:rsidP="004D1E32">
      <w:pPr>
        <w:pStyle w:val="IPPParagraphnumbering"/>
        <w:rPr>
          <w:lang w:val="it-IT"/>
        </w:rPr>
      </w:pPr>
      <w:r>
        <w:rPr>
          <w:b/>
          <w:highlight w:val="white"/>
        </w:rPr>
        <w:t>Barr, N., Ruiz-Arce, R., Obregón, O., Shatters, R., Norrbom, A. L., Nolazco, N., &amp; Thomas, D.</w:t>
      </w:r>
      <w:r>
        <w:rPr>
          <w:highlight w:val="white"/>
        </w:rPr>
        <w:t xml:space="preserve"> 2017. Diagnostic characters within ITS2 DNA support molecular identification of </w:t>
      </w:r>
      <w:r>
        <w:rPr>
          <w:i/>
          <w:highlight w:val="white"/>
        </w:rPr>
        <w:t>Anastrepha suspensa</w:t>
      </w:r>
      <w:r>
        <w:rPr>
          <w:highlight w:val="white"/>
        </w:rPr>
        <w:t xml:space="preserve"> (Diptera: Tephritidae). </w:t>
      </w:r>
      <w:r w:rsidRPr="00913AA9">
        <w:rPr>
          <w:i/>
          <w:lang w:val="it-IT"/>
        </w:rPr>
        <w:t>Florida Entomologist</w:t>
      </w:r>
      <w:r w:rsidRPr="00913AA9">
        <w:rPr>
          <w:lang w:val="it-IT"/>
        </w:rPr>
        <w:t xml:space="preserve">, </w:t>
      </w:r>
      <w:r w:rsidRPr="00913AA9">
        <w:rPr>
          <w:i/>
          <w:lang w:val="it-IT"/>
        </w:rPr>
        <w:t>100</w:t>
      </w:r>
      <w:r w:rsidRPr="00913AA9">
        <w:rPr>
          <w:lang w:val="it-IT"/>
        </w:rPr>
        <w:t>(1), 182-185.</w:t>
      </w:r>
    </w:p>
    <w:p w14:paraId="33B735A4" w14:textId="77777777" w:rsidR="00471E14" w:rsidRDefault="0099106F" w:rsidP="004D1E32">
      <w:pPr>
        <w:pStyle w:val="IPPParagraphnumbering"/>
      </w:pPr>
      <w:r w:rsidRPr="00913AA9">
        <w:rPr>
          <w:b/>
          <w:highlight w:val="white"/>
          <w:lang w:val="it-IT"/>
        </w:rPr>
        <w:t xml:space="preserve">Bartolini, I., Rivera, J., Nolazco, N., &amp; Olórtegui, A. </w:t>
      </w:r>
      <w:r w:rsidRPr="00913AA9">
        <w:rPr>
          <w:highlight w:val="white"/>
          <w:lang w:val="it-IT"/>
        </w:rPr>
        <w:t xml:space="preserve">2020. </w:t>
      </w:r>
      <w:r>
        <w:rPr>
          <w:highlight w:val="white"/>
        </w:rPr>
        <w:t xml:space="preserve">Towards the implementation of a DNA barcode library for the identification of Peruvian species of </w:t>
      </w:r>
      <w:r>
        <w:rPr>
          <w:i/>
          <w:highlight w:val="white"/>
        </w:rPr>
        <w:t xml:space="preserve">Anastrepha </w:t>
      </w:r>
      <w:r>
        <w:rPr>
          <w:highlight w:val="white"/>
        </w:rPr>
        <w:t xml:space="preserve">(Diptera: Tephritidae). </w:t>
      </w:r>
      <w:r>
        <w:rPr>
          <w:i/>
        </w:rPr>
        <w:t>Plos one</w:t>
      </w:r>
      <w:r>
        <w:t xml:space="preserve">, </w:t>
      </w:r>
      <w:r>
        <w:rPr>
          <w:i/>
        </w:rPr>
        <w:t>15</w:t>
      </w:r>
      <w:r>
        <w:t>(1), e0228136.</w:t>
      </w:r>
    </w:p>
    <w:p w14:paraId="1A2F5F06" w14:textId="31848107" w:rsidR="000653D8" w:rsidRPr="000653D8" w:rsidRDefault="000653D8" w:rsidP="004D1E32">
      <w:pPr>
        <w:pStyle w:val="IPPParagraphnumbering"/>
        <w:rPr>
          <w:shd w:val="clear" w:color="auto" w:fill="FFFFFF"/>
        </w:rPr>
      </w:pPr>
      <w:r w:rsidRPr="000653D8">
        <w:rPr>
          <w:b/>
          <w:bCs/>
          <w:shd w:val="clear" w:color="auto" w:fill="FFFFFF"/>
        </w:rPr>
        <w:t>Basso, A., Sonvico, A., Quesada-Allue, L. A., &amp; Manso, F</w:t>
      </w:r>
      <w:r w:rsidRPr="000653D8">
        <w:rPr>
          <w:shd w:val="clear" w:color="auto" w:fill="FFFFFF"/>
        </w:rPr>
        <w:t>. 2003. Karyotypic and molecular identification of laboratory stocks of the South American fruit fly Anastrepha fraterculus (Wied)(Diptera: Tephritidae). </w:t>
      </w:r>
      <w:r w:rsidRPr="000653D8">
        <w:rPr>
          <w:i/>
          <w:iCs/>
          <w:shd w:val="clear" w:color="auto" w:fill="FFFFFF"/>
        </w:rPr>
        <w:t>Journal of Economic Entomology</w:t>
      </w:r>
      <w:r w:rsidRPr="000653D8">
        <w:rPr>
          <w:shd w:val="clear" w:color="auto" w:fill="FFFFFF"/>
        </w:rPr>
        <w:t>, </w:t>
      </w:r>
      <w:r w:rsidRPr="000653D8">
        <w:rPr>
          <w:i/>
          <w:iCs/>
          <w:shd w:val="clear" w:color="auto" w:fill="FFFFFF"/>
        </w:rPr>
        <w:t>96</w:t>
      </w:r>
      <w:r w:rsidRPr="000653D8">
        <w:rPr>
          <w:shd w:val="clear" w:color="auto" w:fill="FFFFFF"/>
        </w:rPr>
        <w:t>(4), 1237-1244.</w:t>
      </w:r>
    </w:p>
    <w:p w14:paraId="16919E3C" w14:textId="22B1CDC2" w:rsidR="00471E14" w:rsidRDefault="0099106F" w:rsidP="004D1E32">
      <w:pPr>
        <w:pStyle w:val="IPPParagraphnumbering"/>
      </w:pPr>
      <w:r>
        <w:rPr>
          <w:b/>
          <w:highlight w:val="white"/>
        </w:rPr>
        <w:t>Boykin, L. M., Schutze, M. K., Krosch, M. N., Chomič, A., Chapman, T. A., Englezou, A., ... &amp; Cameron, S. L.</w:t>
      </w:r>
      <w:r>
        <w:rPr>
          <w:highlight w:val="white"/>
        </w:rPr>
        <w:t xml:space="preserve"> 2014. Multi‐gene phylogenetic analysis of south‐east Asian pest members of the </w:t>
      </w:r>
      <w:r>
        <w:rPr>
          <w:i/>
          <w:highlight w:val="white"/>
        </w:rPr>
        <w:t>Bactrocera dorsalis</w:t>
      </w:r>
      <w:r>
        <w:rPr>
          <w:highlight w:val="white"/>
        </w:rPr>
        <w:t xml:space="preserve"> species complex (Diptera: Tephritidae) does not support current taxonomy. </w:t>
      </w:r>
      <w:r>
        <w:rPr>
          <w:i/>
        </w:rPr>
        <w:t>Journal of Applied Entomology</w:t>
      </w:r>
      <w:r>
        <w:t xml:space="preserve">, </w:t>
      </w:r>
      <w:r>
        <w:rPr>
          <w:i/>
        </w:rPr>
        <w:t>138</w:t>
      </w:r>
      <w:r>
        <w:t>(4), 235-253.</w:t>
      </w:r>
    </w:p>
    <w:p w14:paraId="6B702C7A" w14:textId="77777777" w:rsidR="00471E14" w:rsidRDefault="0099106F" w:rsidP="004D1E32">
      <w:pPr>
        <w:pStyle w:val="IPPParagraphnumbering"/>
      </w:pPr>
      <w:r>
        <w:rPr>
          <w:b/>
          <w:highlight w:val="white"/>
        </w:rPr>
        <w:t xml:space="preserve">Boykin, L. M., Shatters Jr, R. G., Hall, D. G., Dean, D., &amp; Beerli, P. </w:t>
      </w:r>
      <w:r>
        <w:rPr>
          <w:highlight w:val="white"/>
        </w:rPr>
        <w:t xml:space="preserve">2010. Genetic variation of </w:t>
      </w:r>
      <w:r>
        <w:rPr>
          <w:i/>
          <w:highlight w:val="white"/>
        </w:rPr>
        <w:t>Anastrepha suspensa</w:t>
      </w:r>
      <w:r>
        <w:rPr>
          <w:highlight w:val="white"/>
        </w:rPr>
        <w:t xml:space="preserve"> (Diptera: Tephritidae) in Florida and the Caribbean using microsatellite DNA markers. </w:t>
      </w:r>
      <w:r>
        <w:rPr>
          <w:i/>
        </w:rPr>
        <w:t>Journal of economic entomology</w:t>
      </w:r>
      <w:r>
        <w:t xml:space="preserve">, </w:t>
      </w:r>
      <w:r>
        <w:rPr>
          <w:i/>
        </w:rPr>
        <w:t>103</w:t>
      </w:r>
      <w:r>
        <w:t>(6), 2214-2222.</w:t>
      </w:r>
    </w:p>
    <w:p w14:paraId="49672581" w14:textId="77777777" w:rsidR="00471E14" w:rsidRDefault="0099106F" w:rsidP="004D1E32">
      <w:pPr>
        <w:pStyle w:val="IPPParagraphnumbering"/>
      </w:pPr>
      <w:r>
        <w:rPr>
          <w:b/>
        </w:rPr>
        <w:t>Cáceres, C., Segura, D.F., Vera, M.T., Wornoayporn, V., Cladera, J.L., Teal, P., Sapountzis, P., Bourtzis, P., Zacharopoulou, A. &amp; Robinson, A.S.</w:t>
      </w:r>
      <w:r>
        <w:t xml:space="preserve"> 2009. Incipient speciation revealed in </w:t>
      </w:r>
      <w:r>
        <w:rPr>
          <w:i/>
        </w:rPr>
        <w:t>Anastrepha fraterculus</w:t>
      </w:r>
      <w:r>
        <w:t xml:space="preserve"> (Diptera; Tephritidae) by studies on mating compatibility, sex pheromones, hybridization, and cytology. </w:t>
      </w:r>
      <w:r>
        <w:rPr>
          <w:i/>
        </w:rPr>
        <w:t>Biological Journal of the Linnean Society,</w:t>
      </w:r>
      <w:r>
        <w:t xml:space="preserve"> 97: 152–165.</w:t>
      </w:r>
    </w:p>
    <w:p w14:paraId="15168FF8" w14:textId="77777777" w:rsidR="00471E14" w:rsidRDefault="0099106F" w:rsidP="004D1E32">
      <w:pPr>
        <w:pStyle w:val="IPPParagraphnumbering"/>
      </w:pPr>
      <w:r>
        <w:rPr>
          <w:b/>
        </w:rPr>
        <w:t>Carroll, L.E. &amp; Wharton, R.A.</w:t>
      </w:r>
      <w:r>
        <w:t xml:space="preserve"> 1989. Morphology of the immature stages of</w:t>
      </w:r>
      <w:r>
        <w:rPr>
          <w:i/>
        </w:rPr>
        <w:t xml:space="preserve"> Anastrepha ludens </w:t>
      </w:r>
      <w:r>
        <w:t xml:space="preserve">(Diptera: Tephritidae). </w:t>
      </w:r>
      <w:r>
        <w:rPr>
          <w:i/>
        </w:rPr>
        <w:t>Annals of the Entomological Society of America,</w:t>
      </w:r>
      <w:r>
        <w:t xml:space="preserve"> 82: 201–214.</w:t>
      </w:r>
    </w:p>
    <w:p w14:paraId="4FC52B45" w14:textId="77777777" w:rsidR="00595532" w:rsidRDefault="0099106F" w:rsidP="004D1E32">
      <w:pPr>
        <w:pStyle w:val="IPPParagraphnumbering"/>
      </w:pPr>
      <w:r>
        <w:rPr>
          <w:b/>
        </w:rPr>
        <w:t>Carroll, L.E., Norrbom, A.L., Dallwitz, M.J. &amp; Thompson, F.C.</w:t>
      </w:r>
      <w:r>
        <w:t xml:space="preserve"> 2004. </w:t>
      </w:r>
      <w:r>
        <w:rPr>
          <w:i/>
        </w:rPr>
        <w:t>Pest fruit flies of the world: Larvae.</w:t>
      </w:r>
      <w:r>
        <w:t xml:space="preserve"> Version: 8 December 2006. Available at</w:t>
      </w:r>
      <w:hyperlink r:id="rId26">
        <w:r>
          <w:t xml:space="preserve"> </w:t>
        </w:r>
      </w:hyperlink>
      <w:hyperlink r:id="rId27">
        <w:r>
          <w:rPr>
            <w:u w:val="single"/>
          </w:rPr>
          <w:t>http://delta-intkey.com/ffl/</w:t>
        </w:r>
      </w:hyperlink>
      <w:r>
        <w:t xml:space="preserve"> (last accessed 18 March 2015).</w:t>
      </w:r>
    </w:p>
    <w:p w14:paraId="49252F89" w14:textId="44280E9B" w:rsidR="00471E14" w:rsidRDefault="0099106F" w:rsidP="004D1E32">
      <w:pPr>
        <w:pStyle w:val="IPPParagraphnumbering"/>
      </w:pPr>
      <w:r w:rsidRPr="00913AA9">
        <w:rPr>
          <w:b/>
          <w:lang w:val="pt-BR"/>
        </w:rPr>
        <w:t>Dutra, V. S., B. Ronchi-Teles, G. J. Steck, E. L. Araujo, M. F. Souza-Filho, A. Raga &amp; J. G. Silva.</w:t>
      </w:r>
      <w:r w:rsidRPr="00913AA9">
        <w:rPr>
          <w:lang w:val="pt-BR"/>
        </w:rPr>
        <w:t xml:space="preserve"> </w:t>
      </w:r>
      <w:r>
        <w:t xml:space="preserve">2018a. Description of larvae of three </w:t>
      </w:r>
      <w:r>
        <w:rPr>
          <w:i/>
        </w:rPr>
        <w:t xml:space="preserve">Anastrepha </w:t>
      </w:r>
      <w:r>
        <w:t xml:space="preserve">species in the </w:t>
      </w:r>
      <w:r>
        <w:rPr>
          <w:i/>
        </w:rPr>
        <w:t xml:space="preserve">fraterculus </w:t>
      </w:r>
      <w:r>
        <w:t xml:space="preserve">species group (Diptera: Tephritidae). </w:t>
      </w:r>
      <w:r>
        <w:rPr>
          <w:i/>
        </w:rPr>
        <w:t>Proceedings of the Entomological Society of Washington</w:t>
      </w:r>
      <w:r>
        <w:t>, 120: 708-724.</w:t>
      </w:r>
    </w:p>
    <w:p w14:paraId="329D712A" w14:textId="77777777" w:rsidR="00471E14" w:rsidRDefault="0099106F" w:rsidP="004D1E32">
      <w:pPr>
        <w:pStyle w:val="IPPParagraphnumbering"/>
      </w:pPr>
      <w:r w:rsidRPr="00E06874">
        <w:rPr>
          <w:b/>
          <w:lang w:val="pt-BR"/>
        </w:rPr>
        <w:t>Dutra, V. S., B. Ronchi-Teles, G. J. Steck, E. J. Rodriguez, A. L. Norrbom, B. D. Sutton &amp; J. G. Silva.</w:t>
      </w:r>
      <w:r w:rsidRPr="00E06874">
        <w:rPr>
          <w:lang w:val="pt-BR"/>
        </w:rPr>
        <w:t xml:space="preserve"> </w:t>
      </w:r>
      <w:r>
        <w:t xml:space="preserve">2018b. Description of the larvae of </w:t>
      </w:r>
      <w:r>
        <w:rPr>
          <w:i/>
        </w:rPr>
        <w:t>Anastrepha curitis</w:t>
      </w:r>
      <w:r>
        <w:t xml:space="preserve">, </w:t>
      </w:r>
      <w:r>
        <w:rPr>
          <w:i/>
        </w:rPr>
        <w:t>Anastrepha pickeli</w:t>
      </w:r>
      <w:r>
        <w:t xml:space="preserve"> and </w:t>
      </w:r>
      <w:r>
        <w:rPr>
          <w:i/>
        </w:rPr>
        <w:t>Anastrepha pulchra</w:t>
      </w:r>
      <w:r>
        <w:t xml:space="preserve"> (Diptera: Tephritidae). </w:t>
      </w:r>
      <w:r>
        <w:rPr>
          <w:i/>
        </w:rPr>
        <w:t>Proceedings of the Entomological Society of Washington</w:t>
      </w:r>
      <w:r>
        <w:t>, 120: 9-24.</w:t>
      </w:r>
    </w:p>
    <w:p w14:paraId="5D0B1C4B" w14:textId="77777777" w:rsidR="00471E14" w:rsidRDefault="0099106F" w:rsidP="004D1E32">
      <w:pPr>
        <w:pStyle w:val="IPPParagraphnumbering"/>
      </w:pPr>
      <w:r w:rsidRPr="00E06874">
        <w:rPr>
          <w:b/>
          <w:lang w:val="pt-BR"/>
        </w:rPr>
        <w:t>Dutra, V.S., Ronchi-Teles, B., Steck, G.J. &amp; Gomes Silva, J.</w:t>
      </w:r>
      <w:r w:rsidRPr="00E06874">
        <w:rPr>
          <w:lang w:val="pt-BR"/>
        </w:rPr>
        <w:t xml:space="preserve"> 2011a. </w:t>
      </w:r>
      <w:r>
        <w:t xml:space="preserve">Description of eggs of </w:t>
      </w:r>
      <w:r>
        <w:rPr>
          <w:i/>
        </w:rPr>
        <w:t xml:space="preserve">Anastrepha </w:t>
      </w:r>
      <w:r>
        <w:t xml:space="preserve">spp. (Diptera: Tephritidae) in the </w:t>
      </w:r>
      <w:r>
        <w:rPr>
          <w:i/>
        </w:rPr>
        <w:t xml:space="preserve">spatulata </w:t>
      </w:r>
      <w:r>
        <w:t xml:space="preserve">group using scanning electron microscopy. </w:t>
      </w:r>
      <w:r>
        <w:rPr>
          <w:i/>
        </w:rPr>
        <w:t xml:space="preserve">Annals of the Entomological Society of America, </w:t>
      </w:r>
      <w:r>
        <w:t>104(5): 857–862.</w:t>
      </w:r>
    </w:p>
    <w:p w14:paraId="0E494064" w14:textId="77777777" w:rsidR="00471E14" w:rsidRDefault="0099106F" w:rsidP="004D1E32">
      <w:pPr>
        <w:pStyle w:val="IPPParagraphnumbering"/>
      </w:pPr>
      <w:r w:rsidRPr="00E06874">
        <w:rPr>
          <w:b/>
          <w:lang w:val="pt-BR"/>
        </w:rPr>
        <w:t>Dutra, V.S., Ronchi-Teles, B., Steck, G.J. &amp; Gomes Silva, J.</w:t>
      </w:r>
      <w:r w:rsidRPr="00E06874">
        <w:rPr>
          <w:lang w:val="pt-BR"/>
        </w:rPr>
        <w:t xml:space="preserve"> 2011b. </w:t>
      </w:r>
      <w:r>
        <w:t>Egg morphology of</w:t>
      </w:r>
      <w:r>
        <w:rPr>
          <w:i/>
        </w:rPr>
        <w:t xml:space="preserve"> Anastrepha </w:t>
      </w:r>
      <w:r>
        <w:t xml:space="preserve">spp. (Diptera: Tephritidae) in the </w:t>
      </w:r>
      <w:r>
        <w:rPr>
          <w:i/>
        </w:rPr>
        <w:t xml:space="preserve">fraterculus </w:t>
      </w:r>
      <w:r>
        <w:t xml:space="preserve">group using scanning electron microscopy. </w:t>
      </w:r>
      <w:r>
        <w:rPr>
          <w:i/>
        </w:rPr>
        <w:t xml:space="preserve">Annals of the Entomological Society of America, </w:t>
      </w:r>
      <w:r>
        <w:t>104(1): 16–24.</w:t>
      </w:r>
    </w:p>
    <w:p w14:paraId="2B37F952" w14:textId="77777777" w:rsidR="00471E14" w:rsidRDefault="0099106F" w:rsidP="004D1E32">
      <w:pPr>
        <w:pStyle w:val="IPPParagraphnumbering"/>
      </w:pPr>
      <w:r w:rsidRPr="00E06874">
        <w:rPr>
          <w:b/>
          <w:lang w:val="pt-BR"/>
        </w:rPr>
        <w:t xml:space="preserve">Dutra, V.S., Ronchi-Teles, B., Steck, G.J. &amp; Gomes Silva, J. </w:t>
      </w:r>
      <w:r w:rsidRPr="00E06874">
        <w:rPr>
          <w:lang w:val="pt-BR"/>
        </w:rPr>
        <w:t xml:space="preserve">2012. </w:t>
      </w:r>
      <w:r>
        <w:t>Description of larvae of</w:t>
      </w:r>
      <w:r>
        <w:rPr>
          <w:i/>
        </w:rPr>
        <w:t xml:space="preserve"> Anastrepha </w:t>
      </w:r>
      <w:r>
        <w:t xml:space="preserve">spp. (Diptera: Tephritidae) in the </w:t>
      </w:r>
      <w:r>
        <w:rPr>
          <w:i/>
        </w:rPr>
        <w:t xml:space="preserve">fraterculus </w:t>
      </w:r>
      <w:r>
        <w:t xml:space="preserve">group. </w:t>
      </w:r>
      <w:r>
        <w:rPr>
          <w:i/>
        </w:rPr>
        <w:t xml:space="preserve">Annals of the Entomological Society of America, </w:t>
      </w:r>
      <w:r>
        <w:t xml:space="preserve">105(4): 529–538. </w:t>
      </w:r>
    </w:p>
    <w:p w14:paraId="1D649316" w14:textId="77777777" w:rsidR="00471E14" w:rsidRDefault="0099106F" w:rsidP="004D1E32">
      <w:pPr>
        <w:pStyle w:val="IPPParagraphnumbering"/>
      </w:pPr>
      <w:r w:rsidRPr="00E06874">
        <w:rPr>
          <w:b/>
          <w:lang w:val="pt-BR"/>
        </w:rPr>
        <w:t xml:space="preserve">Dutra, V.S., Ronchi-Teles, B., Steck, G.J. &amp; Gomes Silva, J. </w:t>
      </w:r>
      <w:r w:rsidRPr="00E06874">
        <w:rPr>
          <w:lang w:val="pt-BR"/>
        </w:rPr>
        <w:t xml:space="preserve">2013. </w:t>
      </w:r>
      <w:r>
        <w:t xml:space="preserve">Description of eggs of </w:t>
      </w:r>
      <w:r>
        <w:rPr>
          <w:i/>
        </w:rPr>
        <w:t xml:space="preserve">Anastrepha curitis </w:t>
      </w:r>
      <w:r>
        <w:t xml:space="preserve">and </w:t>
      </w:r>
      <w:r>
        <w:rPr>
          <w:i/>
        </w:rPr>
        <w:t xml:space="preserve">Anastrepha leptozona </w:t>
      </w:r>
      <w:r>
        <w:t xml:space="preserve">(Diptera: Tephritidae) using SEM. </w:t>
      </w:r>
      <w:r>
        <w:rPr>
          <w:i/>
        </w:rPr>
        <w:t xml:space="preserve">Annals of the Entomological Society of America, </w:t>
      </w:r>
      <w:r>
        <w:t xml:space="preserve">106(1): 13–17. </w:t>
      </w:r>
    </w:p>
    <w:p w14:paraId="366B73BB" w14:textId="627F4D37" w:rsidR="00471E14" w:rsidRDefault="00595532" w:rsidP="004D1E32">
      <w:pPr>
        <w:pStyle w:val="IPPParagraphnumbering"/>
      </w:pPr>
      <w:r w:rsidRPr="00595532">
        <w:rPr>
          <w:b/>
        </w:rPr>
        <w:t>EPPO (European and Mediterranean Plant Protection Organization)</w:t>
      </w:r>
      <w:r>
        <w:rPr>
          <w:b/>
        </w:rPr>
        <w:t xml:space="preserve">. </w:t>
      </w:r>
      <w:r w:rsidRPr="00595532">
        <w:rPr>
          <w:bCs/>
        </w:rPr>
        <w:t xml:space="preserve"> 2016. EPPO Standard PM 7/129(1) DNA barcoding as an identification tool for a number of regulated pests. EPPO Bulletin, 46, 501–537.</w:t>
      </w:r>
      <w:r w:rsidR="0099106F">
        <w:t xml:space="preserve"> </w:t>
      </w:r>
    </w:p>
    <w:p w14:paraId="5343A460" w14:textId="77777777" w:rsidR="00471E14" w:rsidRDefault="0099106F" w:rsidP="004D1E32">
      <w:pPr>
        <w:pStyle w:val="IPPParagraphnumbering"/>
        <w:rPr>
          <w:highlight w:val="white"/>
        </w:rPr>
      </w:pPr>
      <w:r>
        <w:rPr>
          <w:b/>
          <w:highlight w:val="white"/>
        </w:rPr>
        <w:t>Folmer, O., Black, M., Hoeh, W., Lutz, R., &amp; Vrijenhoek, R.</w:t>
      </w:r>
      <w:r>
        <w:rPr>
          <w:highlight w:val="white"/>
        </w:rPr>
        <w:t xml:space="preserve"> 1994. DNA primers for amplification of mitochondrial cytochrome c oxidase subunit I from diverse metazoan invertebrates Mol Mar Biol Biotechnol. 3: 294–9.</w:t>
      </w:r>
    </w:p>
    <w:p w14:paraId="6505CFBD" w14:textId="77777777" w:rsidR="00471E14" w:rsidRDefault="0099106F" w:rsidP="004D1E32">
      <w:pPr>
        <w:pStyle w:val="IPPParagraphnumbering"/>
      </w:pPr>
      <w:r>
        <w:rPr>
          <w:b/>
        </w:rPr>
        <w:t>Foote, R.H., Blanc, F.L. &amp; Norrbom, A.L.</w:t>
      </w:r>
      <w:r>
        <w:t xml:space="preserve"> 1993. </w:t>
      </w:r>
      <w:r>
        <w:rPr>
          <w:i/>
        </w:rPr>
        <w:t>Handbook of the fruit flies (Diptera: Tephritidae) of America North of Mexico.</w:t>
      </w:r>
      <w:r>
        <w:t xml:space="preserve"> Ithaca, NY, Comstock Publishing Associates, Cornell University Press. 571 pp. </w:t>
      </w:r>
    </w:p>
    <w:p w14:paraId="2AFF6FD6" w14:textId="77777777" w:rsidR="00471E14" w:rsidRPr="00913AA9" w:rsidRDefault="0099106F" w:rsidP="004D1E32">
      <w:pPr>
        <w:pStyle w:val="IPPParagraphnumbering"/>
        <w:rPr>
          <w:lang w:val="es-CU"/>
        </w:rPr>
      </w:pPr>
      <w:r w:rsidRPr="00913AA9">
        <w:rPr>
          <w:b/>
          <w:lang w:val="es-CU"/>
        </w:rPr>
        <w:t xml:space="preserve">Frías, D., Hernández-Ortiz, V. &amp; López Muñoz, L. </w:t>
      </w:r>
      <w:r w:rsidRPr="00913AA9">
        <w:rPr>
          <w:lang w:val="es-CU"/>
        </w:rPr>
        <w:t xml:space="preserve">2009. </w:t>
      </w:r>
      <w:r>
        <w:t xml:space="preserve">Description of the third-instar of </w:t>
      </w:r>
      <w:r>
        <w:rPr>
          <w:i/>
        </w:rPr>
        <w:t xml:space="preserve">Anastrepha leptozona </w:t>
      </w:r>
      <w:r>
        <w:t xml:space="preserve">Hendel (Diptera: Tephritidae). </w:t>
      </w:r>
      <w:r w:rsidRPr="00913AA9">
        <w:rPr>
          <w:i/>
          <w:lang w:val="es-CU"/>
        </w:rPr>
        <w:t xml:space="preserve">Neotropical Entomology, </w:t>
      </w:r>
      <w:r w:rsidRPr="00913AA9">
        <w:rPr>
          <w:lang w:val="es-CU"/>
        </w:rPr>
        <w:t>38(4): 491–496.</w:t>
      </w:r>
    </w:p>
    <w:p w14:paraId="247226FB" w14:textId="77777777" w:rsidR="00471E14" w:rsidRDefault="0099106F" w:rsidP="004D1E32">
      <w:pPr>
        <w:pStyle w:val="IPPParagraphnumbering"/>
      </w:pPr>
      <w:r w:rsidRPr="00913AA9">
        <w:rPr>
          <w:b/>
          <w:lang w:val="es-CU"/>
        </w:rPr>
        <w:t>Frías, D., Hernández-Ortiz, V., Vaccaro, N., Bartolucci, A. &amp; Salles, L.</w:t>
      </w:r>
      <w:r w:rsidRPr="00913AA9">
        <w:rPr>
          <w:lang w:val="es-CU"/>
        </w:rPr>
        <w:t xml:space="preserve"> 2006. </w:t>
      </w:r>
      <w:r>
        <w:t xml:space="preserve">Comparative morphology of immature stages in some frugivorous species of fruit flies (Diptera: Tephritidae). </w:t>
      </w:r>
      <w:r>
        <w:rPr>
          <w:i/>
        </w:rPr>
        <w:t>In</w:t>
      </w:r>
      <w:r>
        <w:t xml:space="preserve"> A. Freidberg, ed. </w:t>
      </w:r>
      <w:r>
        <w:rPr>
          <w:i/>
        </w:rPr>
        <w:t>Biotaxonomy of the Tephritoidea</w:t>
      </w:r>
      <w:r>
        <w:t xml:space="preserve">, </w:t>
      </w:r>
      <w:r>
        <w:rPr>
          <w:i/>
        </w:rPr>
        <w:t xml:space="preserve">Israel Journal of Entomology, </w:t>
      </w:r>
      <w:r>
        <w:t>35–36: 423–457.</w:t>
      </w:r>
    </w:p>
    <w:p w14:paraId="4A4E348A" w14:textId="77777777" w:rsidR="00471E14" w:rsidRDefault="0099106F" w:rsidP="004D1E32">
      <w:pPr>
        <w:pStyle w:val="IPPParagraphnumbering"/>
      </w:pPr>
      <w:r>
        <w:rPr>
          <w:b/>
        </w:rPr>
        <w:t xml:space="preserve">Frias, D., Selivon, D. &amp; Hernández-Ortiz, V. </w:t>
      </w:r>
      <w:r>
        <w:t xml:space="preserve">2008. Taxonomy of immature stages: New morphological characters for Tephritidae larvae identification. </w:t>
      </w:r>
      <w:r w:rsidRPr="00913AA9">
        <w:rPr>
          <w:i/>
          <w:lang w:val="it-IT"/>
        </w:rPr>
        <w:t>In</w:t>
      </w:r>
      <w:r w:rsidRPr="00913AA9">
        <w:rPr>
          <w:lang w:val="it-IT"/>
        </w:rPr>
        <w:t xml:space="preserve"> A. Malavasi, R. Sugayama, R. Zucchi &amp; J. Sivinski, eds. </w:t>
      </w:r>
      <w:r>
        <w:rPr>
          <w:i/>
        </w:rPr>
        <w:t xml:space="preserve">Fruit flies of economic importance: From basic to applied knowledge. </w:t>
      </w:r>
      <w:r>
        <w:t>Proceedings of the International Symposium on Fruit Flies of Economic Importance, Salvador, Brazil, 10–15 September 2006, pp. 29–44.</w:t>
      </w:r>
    </w:p>
    <w:p w14:paraId="3542654E" w14:textId="77777777" w:rsidR="00471E14" w:rsidRPr="00913AA9" w:rsidRDefault="0099106F" w:rsidP="004D1E32">
      <w:pPr>
        <w:pStyle w:val="IPPParagraphnumbering"/>
        <w:rPr>
          <w:lang w:val="es-CU"/>
        </w:rPr>
      </w:pPr>
      <w:r w:rsidRPr="00913AA9">
        <w:rPr>
          <w:b/>
          <w:lang w:val="es-CU"/>
        </w:rPr>
        <w:t>Hernández-Ortiz, V. &amp; Aluja, M.</w:t>
      </w:r>
      <w:r w:rsidRPr="00913AA9">
        <w:rPr>
          <w:lang w:val="es-CU"/>
        </w:rPr>
        <w:t xml:space="preserve"> 1993. Listado de especies del género neotropical </w:t>
      </w:r>
      <w:r w:rsidRPr="00913AA9">
        <w:rPr>
          <w:i/>
          <w:lang w:val="es-CU"/>
        </w:rPr>
        <w:t>Anastrepha</w:t>
      </w:r>
      <w:r w:rsidRPr="00913AA9">
        <w:rPr>
          <w:lang w:val="es-CU"/>
        </w:rPr>
        <w:t xml:space="preserve"> (Diptera: Tephritidae) con notas sobre su distribución y plantas hospederas. </w:t>
      </w:r>
      <w:r w:rsidRPr="00913AA9">
        <w:rPr>
          <w:i/>
          <w:lang w:val="es-CU"/>
        </w:rPr>
        <w:t>Folia Entomológica Mexicana,</w:t>
      </w:r>
      <w:r w:rsidRPr="00913AA9">
        <w:rPr>
          <w:lang w:val="es-CU"/>
        </w:rPr>
        <w:t xml:space="preserve"> 88: 89–105. </w:t>
      </w:r>
    </w:p>
    <w:p w14:paraId="4F352CA3" w14:textId="77777777" w:rsidR="00471E14" w:rsidRPr="00913AA9" w:rsidRDefault="0099106F" w:rsidP="004D1E32">
      <w:pPr>
        <w:pStyle w:val="IPPParagraphnumbering"/>
        <w:rPr>
          <w:lang w:val="es-CU"/>
        </w:rPr>
      </w:pPr>
      <w:r w:rsidRPr="00913AA9">
        <w:rPr>
          <w:b/>
          <w:lang w:val="es-CU"/>
        </w:rPr>
        <w:t>Hernández-Ortiz, V.</w:t>
      </w:r>
      <w:r w:rsidRPr="00913AA9">
        <w:rPr>
          <w:lang w:val="es-CU"/>
        </w:rPr>
        <w:t xml:space="preserve"> 1992. </w:t>
      </w:r>
      <w:r w:rsidRPr="00913AA9">
        <w:rPr>
          <w:i/>
          <w:lang w:val="es-CU"/>
        </w:rPr>
        <w:t xml:space="preserve">El género </w:t>
      </w:r>
      <w:r w:rsidRPr="00913AA9">
        <w:rPr>
          <w:lang w:val="es-CU"/>
        </w:rPr>
        <w:t>Anastrepha</w:t>
      </w:r>
      <w:r w:rsidRPr="00913AA9">
        <w:rPr>
          <w:i/>
          <w:lang w:val="es-CU"/>
        </w:rPr>
        <w:t xml:space="preserve"> Schiner en México</w:t>
      </w:r>
      <w:r w:rsidRPr="00913AA9">
        <w:rPr>
          <w:lang w:val="es-CU"/>
        </w:rPr>
        <w:t xml:space="preserve">. Taxonomía, distribución y sus plantas huéspedes. Publicación #33. Xalapa, México, Instituto de Ecología. 167 pp. </w:t>
      </w:r>
    </w:p>
    <w:p w14:paraId="45FE581C" w14:textId="77777777" w:rsidR="00471E14" w:rsidRDefault="0099106F" w:rsidP="004D1E32">
      <w:pPr>
        <w:pStyle w:val="IPPParagraphnumbering"/>
      </w:pPr>
      <w:r w:rsidRPr="00913AA9">
        <w:rPr>
          <w:b/>
          <w:lang w:val="es-CU"/>
        </w:rPr>
        <w:t xml:space="preserve">Hernández-Ortiz, V., Bartolucci A.F., Morales-Valles, P., Frías, D. &amp; Selivon, D. </w:t>
      </w:r>
      <w:r w:rsidRPr="00913AA9">
        <w:rPr>
          <w:lang w:val="es-CU"/>
        </w:rPr>
        <w:t xml:space="preserve">2012. </w:t>
      </w:r>
      <w:r>
        <w:t xml:space="preserve">Cryptic species of the </w:t>
      </w:r>
      <w:r>
        <w:rPr>
          <w:i/>
        </w:rPr>
        <w:t>Anastrepha fraterculus</w:t>
      </w:r>
      <w:r>
        <w:t xml:space="preserve"> complex: A multivariate approach for the recognition of South American morphotypes. </w:t>
      </w:r>
      <w:r>
        <w:rPr>
          <w:i/>
        </w:rPr>
        <w:t>Annals of the Entomological Society of America,</w:t>
      </w:r>
      <w:r>
        <w:t xml:space="preserve"> 105(2): 305–318.</w:t>
      </w:r>
    </w:p>
    <w:p w14:paraId="4986FD6B" w14:textId="77777777" w:rsidR="00471E14" w:rsidRDefault="0099106F" w:rsidP="004D1E32">
      <w:pPr>
        <w:pStyle w:val="IPPParagraphnumbering"/>
      </w:pPr>
      <w:r>
        <w:rPr>
          <w:b/>
        </w:rPr>
        <w:t xml:space="preserve">Hernández-Ortiz, V., Canal, N.A., Tigrero Salas, J.O., Ruíz-Hurtado, F.M. &amp; Dzul-Cauich, J. F. </w:t>
      </w:r>
      <w:r>
        <w:t xml:space="preserve"> 2015. Taxonomy and phenotypic relationships of the </w:t>
      </w:r>
      <w:r>
        <w:rPr>
          <w:i/>
        </w:rPr>
        <w:t>Anastrepha fraterculus</w:t>
      </w:r>
      <w:r>
        <w:t xml:space="preserve"> complex in the Mesoamerican and Pacific Neotropical dominions (Diptera, Tephritidae). </w:t>
      </w:r>
      <w:r>
        <w:rPr>
          <w:i/>
        </w:rPr>
        <w:t>ZooKeys</w:t>
      </w:r>
      <w:r>
        <w:t>, 540: 95–124.</w:t>
      </w:r>
    </w:p>
    <w:p w14:paraId="5AB4C424" w14:textId="77777777" w:rsidR="00471E14" w:rsidRDefault="0099106F" w:rsidP="004D1E32">
      <w:pPr>
        <w:pStyle w:val="IPPParagraphnumbering"/>
      </w:pPr>
      <w:r>
        <w:rPr>
          <w:b/>
        </w:rPr>
        <w:t>Hernández-Ortiz, V., Gómez-Anaya, J.A., Sánchez, A., McPheron, B.A. &amp; Aluja, M.</w:t>
      </w:r>
      <w:r>
        <w:t xml:space="preserve"> 2004. Morphometric analysis of Mexican and South American populations of the</w:t>
      </w:r>
      <w:r>
        <w:rPr>
          <w:i/>
        </w:rPr>
        <w:t xml:space="preserve"> Anastrepha fraterculus </w:t>
      </w:r>
      <w:r>
        <w:t xml:space="preserve">complex (Diptera: Tephritidae) and recognition of a distinct Mexican morphotype. </w:t>
      </w:r>
      <w:r>
        <w:rPr>
          <w:i/>
        </w:rPr>
        <w:t>Bulletin of Entomological Research,</w:t>
      </w:r>
      <w:r>
        <w:t xml:space="preserve"> 94: 487–499. </w:t>
      </w:r>
    </w:p>
    <w:p w14:paraId="63D583D9" w14:textId="77777777" w:rsidR="00471E14" w:rsidRPr="00913AA9" w:rsidRDefault="0099106F" w:rsidP="004D1E32">
      <w:pPr>
        <w:pStyle w:val="IPPParagraphnumbering"/>
        <w:rPr>
          <w:lang w:val="es-CU"/>
        </w:rPr>
      </w:pPr>
      <w:r w:rsidRPr="00E06874">
        <w:rPr>
          <w:b/>
          <w:lang w:val="es-CU"/>
        </w:rPr>
        <w:t xml:space="preserve">Hernández-Ortiz, V., Guillén-Aguilar, J. &amp; López, L. </w:t>
      </w:r>
      <w:r w:rsidRPr="00E06874">
        <w:rPr>
          <w:lang w:val="es-CU"/>
        </w:rPr>
        <w:t xml:space="preserve">2010. </w:t>
      </w:r>
      <w:r w:rsidRPr="00913AA9">
        <w:rPr>
          <w:lang w:val="es-CU"/>
        </w:rPr>
        <w:t xml:space="preserve">Taxonomía e identificación de moscas de la fruta de Importancia Económica en América. </w:t>
      </w:r>
      <w:r w:rsidRPr="00913AA9">
        <w:rPr>
          <w:i/>
          <w:lang w:val="es-CU"/>
        </w:rPr>
        <w:t>In</w:t>
      </w:r>
      <w:r w:rsidRPr="00913AA9">
        <w:rPr>
          <w:lang w:val="es-CU"/>
        </w:rPr>
        <w:t xml:space="preserve"> P. Montoya, J. Toledo &amp; E. Hernández, eds. </w:t>
      </w:r>
      <w:r w:rsidRPr="00913AA9">
        <w:rPr>
          <w:i/>
          <w:lang w:val="es-CU"/>
        </w:rPr>
        <w:t>Moscas de la Fruta: Fundamentos y Procedimientos para su Manejo</w:t>
      </w:r>
      <w:r w:rsidRPr="00913AA9">
        <w:rPr>
          <w:lang w:val="es-CU"/>
        </w:rPr>
        <w:t xml:space="preserve">, pp. 49–80. México, D.F., S y G Editores. </w:t>
      </w:r>
    </w:p>
    <w:p w14:paraId="113015D2" w14:textId="77777777" w:rsidR="00471E14" w:rsidRDefault="0099106F" w:rsidP="004D1E32">
      <w:pPr>
        <w:pStyle w:val="IPPParagraphnumbering"/>
      </w:pPr>
      <w:r w:rsidRPr="00E06874">
        <w:rPr>
          <w:b/>
        </w:rPr>
        <w:t>Ji, Y. J., Zhang, D. X., &amp; He, L. J.</w:t>
      </w:r>
      <w:r w:rsidRPr="00E06874">
        <w:t xml:space="preserve"> 2003. </w:t>
      </w:r>
      <w:r>
        <w:t xml:space="preserve">Evolutionary conservation and versatility of a new set of primers for amplifying the ribosomal internal transcribed spacer regions in insects and other invertebrates. </w:t>
      </w:r>
      <w:r>
        <w:rPr>
          <w:i/>
        </w:rPr>
        <w:t>Molecular Ecology Notes</w:t>
      </w:r>
      <w:r>
        <w:t xml:space="preserve">, </w:t>
      </w:r>
      <w:r>
        <w:rPr>
          <w:i/>
        </w:rPr>
        <w:t>3</w:t>
      </w:r>
      <w:r>
        <w:t>(4), 581-585.</w:t>
      </w:r>
    </w:p>
    <w:p w14:paraId="0C912049" w14:textId="77777777" w:rsidR="00154C48" w:rsidRDefault="0099106F" w:rsidP="004D1E32">
      <w:pPr>
        <w:pStyle w:val="IPPParagraphnumbering"/>
      </w:pPr>
      <w:r>
        <w:rPr>
          <w:b/>
          <w:highlight w:val="white"/>
        </w:rPr>
        <w:t xml:space="preserve">Kumar, S., Stecher, G., &amp; Tamura, K. </w:t>
      </w:r>
      <w:r>
        <w:rPr>
          <w:highlight w:val="white"/>
        </w:rPr>
        <w:t xml:space="preserve">2016. MEGA7: molecular evolutionary genetics analysis version 7.0 for bigger datasets. </w:t>
      </w:r>
      <w:r>
        <w:rPr>
          <w:i/>
          <w:highlight w:val="white"/>
        </w:rPr>
        <w:t>Molecular Biology and Evolution</w:t>
      </w:r>
      <w:r>
        <w:rPr>
          <w:highlight w:val="white"/>
        </w:rPr>
        <w:t xml:space="preserve">, </w:t>
      </w:r>
      <w:r>
        <w:rPr>
          <w:i/>
          <w:highlight w:val="white"/>
        </w:rPr>
        <w:t>33</w:t>
      </w:r>
      <w:r>
        <w:rPr>
          <w:highlight w:val="white"/>
        </w:rPr>
        <w:t>(7), 1870-1874.</w:t>
      </w:r>
    </w:p>
    <w:p w14:paraId="302FE004" w14:textId="3EA2F4AB" w:rsidR="00471E14" w:rsidRDefault="0099106F" w:rsidP="004D1E32">
      <w:pPr>
        <w:pStyle w:val="IPPParagraphnumbering"/>
        <w:rPr>
          <w:highlight w:val="white"/>
        </w:rPr>
      </w:pPr>
      <w:r>
        <w:rPr>
          <w:b/>
        </w:rPr>
        <w:t xml:space="preserve">Liquido, N. J., McQuate, G. T., Suiter, K. A., Norrbom, A. L., Yee, W. L. &amp; Chang, C. L. </w:t>
      </w:r>
      <w:r>
        <w:t xml:space="preserve"> 2022. The USDA compendium of Fruit Fly Host Information. 2022. Edition 5.0. </w:t>
      </w:r>
      <w:hyperlink r:id="rId28">
        <w:r>
          <w:rPr>
            <w:color w:val="0000FF"/>
            <w:u w:val="single"/>
          </w:rPr>
          <w:t>https://coffhi.cphst.org/</w:t>
        </w:r>
      </w:hyperlink>
      <w:r>
        <w:t>. Accessed on January 19, 2022.</w:t>
      </w:r>
    </w:p>
    <w:p w14:paraId="3B62BD29" w14:textId="77777777" w:rsidR="00471E14" w:rsidRPr="00913AA9" w:rsidRDefault="0099106F" w:rsidP="004D1E32">
      <w:pPr>
        <w:pStyle w:val="IPPParagraphnumbering"/>
        <w:rPr>
          <w:lang w:val="es-CU"/>
        </w:rPr>
      </w:pPr>
      <w:r w:rsidRPr="00913AA9">
        <w:rPr>
          <w:b/>
          <w:lang w:val="es-CU"/>
        </w:rPr>
        <w:t>Martinez Alava, J. O.</w:t>
      </w:r>
      <w:r w:rsidRPr="00913AA9">
        <w:rPr>
          <w:bCs/>
          <w:lang w:val="es-CU"/>
        </w:rPr>
        <w:t xml:space="preserve"> 2022.</w:t>
      </w:r>
      <w:r w:rsidRPr="00913AA9">
        <w:rPr>
          <w:lang w:val="es-CU"/>
        </w:rPr>
        <w:t xml:space="preserve"> Morfología y taxonomía de las formas inmaduras del género </w:t>
      </w:r>
      <w:r w:rsidRPr="00913AA9">
        <w:rPr>
          <w:i/>
          <w:lang w:val="es-CU"/>
        </w:rPr>
        <w:t xml:space="preserve">Anastrepha </w:t>
      </w:r>
      <w:r w:rsidRPr="00913AA9">
        <w:rPr>
          <w:lang w:val="es-CU"/>
        </w:rPr>
        <w:t xml:space="preserve">Schiner (Diptera: Tephritidae) para Colombia. PhD dissertation. Universidad Nacional de Colombia, Bogotá D.C. </w:t>
      </w:r>
    </w:p>
    <w:p w14:paraId="55FFA7E2" w14:textId="77777777" w:rsidR="00471E14" w:rsidRDefault="0099106F" w:rsidP="004D1E32">
      <w:pPr>
        <w:pStyle w:val="IPPParagraphnumbering"/>
      </w:pPr>
      <w:r w:rsidRPr="00913AA9">
        <w:rPr>
          <w:b/>
          <w:highlight w:val="white"/>
          <w:lang w:val="es-CU"/>
        </w:rPr>
        <w:t>McPheron, B. A., Han, H. Y., Silva, J. G., &amp; Norrbom, A. L.</w:t>
      </w:r>
      <w:r w:rsidRPr="00913AA9">
        <w:rPr>
          <w:highlight w:val="white"/>
          <w:lang w:val="es-CU"/>
        </w:rPr>
        <w:t xml:space="preserve"> 1999. </w:t>
      </w:r>
      <w:r>
        <w:rPr>
          <w:highlight w:val="white"/>
        </w:rPr>
        <w:t xml:space="preserve">Phylogeny of the genera Anastrepha and Toxotrypana (Trypetinae: Toxotrypanini) based upon 16S rRNA mitochondrial DNA sequences. In </w:t>
      </w:r>
      <w:r>
        <w:rPr>
          <w:i/>
        </w:rPr>
        <w:t>Fruit Flies (Tephritidae)</w:t>
      </w:r>
      <w:r>
        <w:t xml:space="preserve"> (pp. 361-380). CRC Press.</w:t>
      </w:r>
    </w:p>
    <w:p w14:paraId="1BFD584B" w14:textId="77777777" w:rsidR="00154C48" w:rsidRDefault="0099106F" w:rsidP="004D1E32">
      <w:pPr>
        <w:pStyle w:val="IPPParagraphnumbering"/>
      </w:pPr>
      <w:r>
        <w:rPr>
          <w:b/>
          <w:highlight w:val="white"/>
        </w:rPr>
        <w:t>Mengual, X., Kerr, P., Norrbom, A. L., Barr, N. B., Lewis, M. L., Stapelfeldt, A. M., ... &amp; Gaimari, S.</w:t>
      </w:r>
      <w:r>
        <w:rPr>
          <w:highlight w:val="white"/>
        </w:rPr>
        <w:t xml:space="preserve"> 2017. Phylogenetic relationships of the tribe Toxotrypanini (Diptera: Tephritidae) based on molecular characters. </w:t>
      </w:r>
      <w:r>
        <w:rPr>
          <w:i/>
        </w:rPr>
        <w:t>Molecular Phylogenetics and Evolution</w:t>
      </w:r>
      <w:r>
        <w:t xml:space="preserve">, </w:t>
      </w:r>
      <w:r>
        <w:rPr>
          <w:i/>
        </w:rPr>
        <w:t>113</w:t>
      </w:r>
      <w:r>
        <w:t>, 84-112.</w:t>
      </w:r>
    </w:p>
    <w:p w14:paraId="09123A91" w14:textId="25E6A2B9" w:rsidR="00A0796E" w:rsidRPr="00A0796E" w:rsidRDefault="009812D2" w:rsidP="004D1E32">
      <w:pPr>
        <w:pStyle w:val="IPPParagraphnumbering"/>
      </w:pPr>
      <w:r w:rsidRPr="00A0796E">
        <w:rPr>
          <w:b/>
        </w:rPr>
        <w:t>Moore, M</w:t>
      </w:r>
      <w:r w:rsidR="00A0796E" w:rsidRPr="00A0796E">
        <w:rPr>
          <w:b/>
        </w:rPr>
        <w:t xml:space="preserve">. et al. </w:t>
      </w:r>
      <w:r w:rsidR="00A0796E" w:rsidRPr="00A0796E">
        <w:rPr>
          <w:bCs/>
        </w:rPr>
        <w:t>(</w:t>
      </w:r>
      <w:r w:rsidR="00A0796E" w:rsidRPr="00A0796E">
        <w:rPr>
          <w:bCs/>
          <w:i/>
          <w:iCs/>
        </w:rPr>
        <w:t>In-</w:t>
      </w:r>
      <w:r w:rsidR="00A0796E" w:rsidRPr="00A0796E">
        <w:rPr>
          <w:bCs/>
        </w:rPr>
        <w:t>publication)</w:t>
      </w:r>
      <w:r w:rsidR="00A0796E" w:rsidRPr="00A0796E">
        <w:rPr>
          <w:b/>
        </w:rPr>
        <w:t xml:space="preserve">. </w:t>
      </w:r>
      <w:r w:rsidR="00A0796E" w:rsidRPr="00A0796E">
        <w:t>A COI DNA Barcode Library for Anastrepha Schiner (Diptera: Tephritidae). PONE-D-21-36803R1.</w:t>
      </w:r>
    </w:p>
    <w:p w14:paraId="4835DF44" w14:textId="4B31913D" w:rsidR="00471E14" w:rsidRDefault="0099106F" w:rsidP="004D1E32">
      <w:pPr>
        <w:pStyle w:val="IPPParagraphnumbering"/>
      </w:pPr>
      <w:r>
        <w:rPr>
          <w:b/>
        </w:rPr>
        <w:t>Norrbom, A. L., A. Muller, A. Gangadin, B. D. Sutton, E. J. Rodriguez, M. Savaris, S. Lampert, P. A. Rodriguez Clavijo, G. J. Steck, M. R. Moore, N. Nolazco, H. Troya, C. B. Keil, A. Padilla, B. M. Wiegmann, B. Cassel, M. Branham &amp; R. Ruiz-Arce.</w:t>
      </w:r>
      <w:r>
        <w:t xml:space="preserve"> 2021. New species and host plants of </w:t>
      </w:r>
      <w:r>
        <w:rPr>
          <w:i/>
        </w:rPr>
        <w:t xml:space="preserve">Anastrepha </w:t>
      </w:r>
      <w:r>
        <w:t xml:space="preserve">(Diptera: Tephritidae) primarily from Suriname and Pará, Brazil. </w:t>
      </w:r>
      <w:r>
        <w:rPr>
          <w:i/>
        </w:rPr>
        <w:t>Zootaxa</w:t>
      </w:r>
      <w:r>
        <w:t>, 5044 (1): 1–74.</w:t>
      </w:r>
    </w:p>
    <w:p w14:paraId="55C302AD" w14:textId="77777777" w:rsidR="00471E14" w:rsidRPr="000653D8" w:rsidRDefault="0099106F" w:rsidP="004D1E32">
      <w:pPr>
        <w:pStyle w:val="IPPParagraphnumbering"/>
      </w:pPr>
      <w:r w:rsidRPr="000653D8">
        <w:rPr>
          <w:b/>
        </w:rPr>
        <w:t>Norrbom, A. L., N. B. Barr, P. Kerr, X. Mengual, N. Nolazco, E. J. Rodriguez, G. J. Steck, B. D. Sutton, K. Uramoto &amp; R. A. Zucchi.</w:t>
      </w:r>
      <w:r w:rsidRPr="000653D8">
        <w:t xml:space="preserve"> 2018. Synonymy of </w:t>
      </w:r>
      <w:r w:rsidRPr="000653D8">
        <w:rPr>
          <w:i/>
        </w:rPr>
        <w:t xml:space="preserve">Toxotrypana </w:t>
      </w:r>
      <w:r w:rsidRPr="000653D8">
        <w:t xml:space="preserve">Gerstaecker with </w:t>
      </w:r>
      <w:r w:rsidRPr="000653D8">
        <w:rPr>
          <w:i/>
        </w:rPr>
        <w:t xml:space="preserve">Anastrepha </w:t>
      </w:r>
      <w:r w:rsidRPr="000653D8">
        <w:t xml:space="preserve">Schiner (Diptera: Tephritidae). </w:t>
      </w:r>
      <w:r w:rsidRPr="000653D8">
        <w:rPr>
          <w:i/>
        </w:rPr>
        <w:t>Proceedings of the Entomological Society of Washington</w:t>
      </w:r>
      <w:r w:rsidRPr="000653D8">
        <w:t xml:space="preserve">, 120: 834-841. </w:t>
      </w:r>
    </w:p>
    <w:p w14:paraId="20D031F0" w14:textId="2D6D91A1" w:rsidR="000653D8" w:rsidRPr="000653D8" w:rsidRDefault="000653D8" w:rsidP="004D1E32">
      <w:pPr>
        <w:pStyle w:val="IPPParagraphnumbering"/>
        <w:rPr>
          <w:szCs w:val="22"/>
          <w:shd w:val="clear" w:color="auto" w:fill="FFFFFF"/>
        </w:rPr>
      </w:pPr>
      <w:r w:rsidRPr="00913AA9">
        <w:rPr>
          <w:b/>
          <w:bCs/>
          <w:szCs w:val="22"/>
          <w:shd w:val="clear" w:color="auto" w:fill="FFFFFF"/>
          <w:lang w:val="pt-BR"/>
        </w:rPr>
        <w:t>Norrbom, A. L.</w:t>
      </w:r>
      <w:r w:rsidRPr="00913AA9">
        <w:rPr>
          <w:szCs w:val="22"/>
          <w:shd w:val="clear" w:color="auto" w:fill="FFFFFF"/>
          <w:lang w:val="pt-BR"/>
        </w:rPr>
        <w:t xml:space="preserve"> 2010. Tephritidae (fruit flies, moscas de frutas). </w:t>
      </w:r>
      <w:r w:rsidRPr="000653D8">
        <w:rPr>
          <w:i/>
          <w:iCs/>
          <w:szCs w:val="22"/>
          <w:shd w:val="clear" w:color="auto" w:fill="FFFFFF"/>
        </w:rPr>
        <w:t>Manual of Central American Diptera</w:t>
      </w:r>
      <w:r w:rsidRPr="000653D8">
        <w:rPr>
          <w:szCs w:val="22"/>
          <w:shd w:val="clear" w:color="auto" w:fill="FFFFFF"/>
        </w:rPr>
        <w:t>, </w:t>
      </w:r>
      <w:r w:rsidRPr="000653D8">
        <w:rPr>
          <w:i/>
          <w:iCs/>
          <w:szCs w:val="22"/>
          <w:shd w:val="clear" w:color="auto" w:fill="FFFFFF"/>
        </w:rPr>
        <w:t>2</w:t>
      </w:r>
      <w:r w:rsidRPr="000653D8">
        <w:rPr>
          <w:szCs w:val="22"/>
          <w:shd w:val="clear" w:color="auto" w:fill="FFFFFF"/>
        </w:rPr>
        <w:t>, 909-954.</w:t>
      </w:r>
    </w:p>
    <w:p w14:paraId="06ECE76D" w14:textId="0CF9B165" w:rsidR="000653D8" w:rsidRPr="00711D27" w:rsidRDefault="000653D8" w:rsidP="004D1E32">
      <w:pPr>
        <w:pStyle w:val="IPPParagraphnumbering"/>
      </w:pPr>
      <w:r w:rsidRPr="000653D8">
        <w:rPr>
          <w:b/>
          <w:bCs/>
          <w:szCs w:val="22"/>
        </w:rPr>
        <w:t>Norrbom, A. L., E. J. Rodriguez, G. J. Steck, B. A. Sutton, and N. Nolazco.</w:t>
      </w:r>
      <w:r w:rsidRPr="000653D8">
        <w:rPr>
          <w:szCs w:val="22"/>
        </w:rPr>
        <w:t xml:space="preserve"> 2015. New species and host plants of </w:t>
      </w:r>
      <w:r w:rsidRPr="000653D8">
        <w:rPr>
          <w:i/>
          <w:iCs/>
          <w:szCs w:val="22"/>
        </w:rPr>
        <w:t>Anastrepha</w:t>
      </w:r>
      <w:r w:rsidRPr="00711D27">
        <w:rPr>
          <w:i/>
          <w:iCs/>
        </w:rPr>
        <w:t xml:space="preserve"> </w:t>
      </w:r>
      <w:r w:rsidRPr="00711D27">
        <w:t xml:space="preserve">(Diptera: Tephritidae) primarily from Peru and Bolivia. Zootaxa. 4041: 1–94. </w:t>
      </w:r>
    </w:p>
    <w:p w14:paraId="354A91EC" w14:textId="66FE4DAD" w:rsidR="00471E14" w:rsidRDefault="0099106F" w:rsidP="004D1E32">
      <w:pPr>
        <w:pStyle w:val="IPPParagraphnumbering"/>
      </w:pPr>
      <w:r>
        <w:rPr>
          <w:b/>
        </w:rPr>
        <w:t>Norrbom, A.L. &amp; Kim, K.C.</w:t>
      </w:r>
      <w:r>
        <w:t xml:space="preserve"> 1988. A list of the reported host plants of the species of </w:t>
      </w:r>
      <w:r>
        <w:rPr>
          <w:i/>
        </w:rPr>
        <w:t xml:space="preserve">Anastrepha </w:t>
      </w:r>
      <w:r>
        <w:t xml:space="preserve">(Diptera: Tephritidae). </w:t>
      </w:r>
      <w:r>
        <w:rPr>
          <w:i/>
        </w:rPr>
        <w:t>United States Department of Agriculture, APHIS</w:t>
      </w:r>
      <w:r>
        <w:t xml:space="preserve"> 81–52, 114 pp.</w:t>
      </w:r>
    </w:p>
    <w:p w14:paraId="08CCD3DE" w14:textId="77777777" w:rsidR="00471E14" w:rsidRDefault="0099106F" w:rsidP="004D1E32">
      <w:pPr>
        <w:pStyle w:val="IPPParagraphnumbering"/>
      </w:pPr>
      <w:r>
        <w:rPr>
          <w:b/>
        </w:rPr>
        <w:t>Norrbom, A.L.</w:t>
      </w:r>
      <w:r>
        <w:t xml:space="preserve"> 2004a. Host plant database for </w:t>
      </w:r>
      <w:r>
        <w:rPr>
          <w:i/>
        </w:rPr>
        <w:t>Anastrepha</w:t>
      </w:r>
      <w:r>
        <w:t xml:space="preserve"> and </w:t>
      </w:r>
      <w:r>
        <w:rPr>
          <w:i/>
        </w:rPr>
        <w:t>Toxotrypana</w:t>
      </w:r>
      <w:r>
        <w:t xml:space="preserve"> (Diptera: Tephritidae: Toxotrypanini). </w:t>
      </w:r>
      <w:r>
        <w:rPr>
          <w:i/>
        </w:rPr>
        <w:t>Diptera Data Dissemination Disk</w:t>
      </w:r>
      <w:r>
        <w:t xml:space="preserve"> (CD-ROM) 2.</w:t>
      </w:r>
    </w:p>
    <w:p w14:paraId="34E8A9EA" w14:textId="77777777" w:rsidR="00471E14" w:rsidRDefault="0099106F" w:rsidP="004D1E32">
      <w:pPr>
        <w:pStyle w:val="IPPParagraphnumbering"/>
      </w:pPr>
      <w:r>
        <w:rPr>
          <w:b/>
        </w:rPr>
        <w:t xml:space="preserve">Norrbom, A.L. </w:t>
      </w:r>
      <w:r>
        <w:t xml:space="preserve">2004b. Updates to Biosystematic Database of World Diptera for Tephritidae through 1999. </w:t>
      </w:r>
      <w:r>
        <w:rPr>
          <w:i/>
        </w:rPr>
        <w:t>Diptera Data Dissemination Disk</w:t>
      </w:r>
      <w:r>
        <w:t xml:space="preserve"> (CD-ROM) 2.</w:t>
      </w:r>
    </w:p>
    <w:p w14:paraId="5CCB4DAC" w14:textId="77777777" w:rsidR="00471E14" w:rsidRDefault="0099106F" w:rsidP="004D1E32">
      <w:pPr>
        <w:pStyle w:val="IPPParagraphnumbering"/>
      </w:pPr>
      <w:r>
        <w:rPr>
          <w:b/>
        </w:rPr>
        <w:t>Norrbom, A.L., Carroll, L.E. &amp; Freidberg, A.</w:t>
      </w:r>
      <w:r>
        <w:t xml:space="preserve"> 1999a. Status of knowledge. </w:t>
      </w:r>
      <w:r>
        <w:rPr>
          <w:i/>
        </w:rPr>
        <w:t>In</w:t>
      </w:r>
      <w:r>
        <w:t xml:space="preserve"> F.C. Thompson, ed. </w:t>
      </w:r>
      <w:r>
        <w:rPr>
          <w:i/>
        </w:rPr>
        <w:t>Fruit fly expert identification system and systematic information database,</w:t>
      </w:r>
      <w:r>
        <w:t xml:space="preserve"> pp. 9–47. </w:t>
      </w:r>
      <w:r>
        <w:rPr>
          <w:i/>
        </w:rPr>
        <w:t>Myia</w:t>
      </w:r>
      <w:r>
        <w:t xml:space="preserve"> (1998) 9, vii + 524 pp. and </w:t>
      </w:r>
      <w:r>
        <w:rPr>
          <w:i/>
        </w:rPr>
        <w:t>Diptera Data Dissemination Disk</w:t>
      </w:r>
      <w:r>
        <w:t xml:space="preserve"> (CD-ROM) (1998) 1. </w:t>
      </w:r>
    </w:p>
    <w:p w14:paraId="7E6FAD40" w14:textId="77777777" w:rsidR="00471E14" w:rsidRDefault="0099106F" w:rsidP="004D1E32">
      <w:pPr>
        <w:pStyle w:val="IPPParagraphnumbering"/>
      </w:pPr>
      <w:r>
        <w:rPr>
          <w:b/>
        </w:rPr>
        <w:t xml:space="preserve">Norrbom, A.L., Carroll, L.E., Thompson, F.C., White, I.M. &amp; Freidberg, A. </w:t>
      </w:r>
      <w:r>
        <w:t xml:space="preserve">1999b. Systematic database of names. </w:t>
      </w:r>
      <w:r>
        <w:rPr>
          <w:i/>
        </w:rPr>
        <w:t>In</w:t>
      </w:r>
      <w:r>
        <w:t xml:space="preserve"> F.C. Thompson, ed. </w:t>
      </w:r>
      <w:r>
        <w:rPr>
          <w:i/>
        </w:rPr>
        <w:t>Fruit fly expert identification system and systematic information database,</w:t>
      </w:r>
      <w:r>
        <w:t xml:space="preserve"> pp. 65–251. </w:t>
      </w:r>
      <w:r>
        <w:rPr>
          <w:i/>
        </w:rPr>
        <w:t>Myia</w:t>
      </w:r>
      <w:r>
        <w:t xml:space="preserve"> (1998) 9, vii + 524 pp. and </w:t>
      </w:r>
      <w:r>
        <w:rPr>
          <w:i/>
        </w:rPr>
        <w:t>Diptera Data Dissemination Disk</w:t>
      </w:r>
      <w:r>
        <w:t xml:space="preserve"> (CD-ROM) (1998) 1. </w:t>
      </w:r>
    </w:p>
    <w:p w14:paraId="1D56746D" w14:textId="77777777" w:rsidR="00471E14" w:rsidRDefault="0099106F" w:rsidP="004D1E32">
      <w:pPr>
        <w:pStyle w:val="IPPParagraphnumbering"/>
      </w:pPr>
      <w:r>
        <w:rPr>
          <w:b/>
        </w:rPr>
        <w:t>Norrbom, A.L., Korytkowski, C.A., Zucchi, R.A., Uramoto, K., Venable, G.L., McCormick, J. &amp; Dallwitz, M.J.</w:t>
      </w:r>
      <w:r>
        <w:t xml:space="preserve"> 2012. </w:t>
      </w:r>
      <w:r>
        <w:rPr>
          <w:i/>
        </w:rPr>
        <w:t>Anastrepha</w:t>
      </w:r>
      <w:r>
        <w:t xml:space="preserve"> and </w:t>
      </w:r>
      <w:r>
        <w:rPr>
          <w:i/>
        </w:rPr>
        <w:t>Toxotrypana</w:t>
      </w:r>
      <w:r>
        <w:t>: Descriptions, illustrations, and interactive keys. Version: 31 August 2012. Available at</w:t>
      </w:r>
      <w:hyperlink r:id="rId29">
        <w:r>
          <w:t xml:space="preserve"> </w:t>
        </w:r>
      </w:hyperlink>
      <w:hyperlink r:id="rId30">
        <w:r>
          <w:rPr>
            <w:u w:val="single"/>
          </w:rPr>
          <w:t>http://delta-intkey.com</w:t>
        </w:r>
      </w:hyperlink>
      <w:r>
        <w:t xml:space="preserve"> (last accessed 18 March 2015). </w:t>
      </w:r>
    </w:p>
    <w:p w14:paraId="18BD3CF6" w14:textId="77777777" w:rsidR="00471E14" w:rsidRDefault="0099106F" w:rsidP="004D1E32">
      <w:pPr>
        <w:pStyle w:val="IPPParagraphnumbering"/>
      </w:pPr>
      <w:r>
        <w:rPr>
          <w:b/>
        </w:rPr>
        <w:t>Norrbom, A.L., Zucchi, R.A. &amp; Hernández-Ortiz, V.</w:t>
      </w:r>
      <w:r>
        <w:t xml:space="preserve"> 1999c. Phylogeny of the genera </w:t>
      </w:r>
      <w:r>
        <w:rPr>
          <w:i/>
        </w:rPr>
        <w:t xml:space="preserve">Anastrepha </w:t>
      </w:r>
      <w:r>
        <w:t xml:space="preserve">and </w:t>
      </w:r>
      <w:r>
        <w:rPr>
          <w:i/>
        </w:rPr>
        <w:t xml:space="preserve">Toxotrypana </w:t>
      </w:r>
      <w:r>
        <w:t xml:space="preserve">(Trypetinae: Toxotrypanini) based on morphology. </w:t>
      </w:r>
      <w:r>
        <w:rPr>
          <w:i/>
        </w:rPr>
        <w:t>In</w:t>
      </w:r>
      <w:r>
        <w:t xml:space="preserve"> M. Aluja &amp; A.L. Norrbom, eds. </w:t>
      </w:r>
      <w:r>
        <w:rPr>
          <w:i/>
        </w:rPr>
        <w:t>Fruit flies (Tephritidae): Phylogeny and evolution of behavior</w:t>
      </w:r>
      <w:r>
        <w:t>, pp. 299–342. Boca Raton, FL, CRC Press.</w:t>
      </w:r>
    </w:p>
    <w:p w14:paraId="0FAD7389" w14:textId="285C8A3A" w:rsidR="009B3119" w:rsidRPr="009B3119" w:rsidRDefault="009B3119" w:rsidP="004D1E32">
      <w:pPr>
        <w:pStyle w:val="IPPParagraphnumbering"/>
        <w:rPr>
          <w:shd w:val="clear" w:color="auto" w:fill="FFFFFF"/>
        </w:rPr>
      </w:pPr>
      <w:r w:rsidRPr="00913AA9">
        <w:rPr>
          <w:b/>
          <w:bCs/>
          <w:shd w:val="clear" w:color="auto" w:fill="FFFFFF"/>
          <w:lang w:val="es-CU"/>
        </w:rPr>
        <w:t>Prezotto, L. F., Perondini, A. L., Hernández-Ortiz, V., Frías, D., &amp; Selivon, D.</w:t>
      </w:r>
      <w:r w:rsidRPr="00913AA9">
        <w:rPr>
          <w:shd w:val="clear" w:color="auto" w:fill="FFFFFF"/>
          <w:lang w:val="es-CU"/>
        </w:rPr>
        <w:t xml:space="preserve"> 2019. </w:t>
      </w:r>
      <w:r w:rsidRPr="009B3119">
        <w:rPr>
          <w:shd w:val="clear" w:color="auto" w:fill="FFFFFF"/>
        </w:rPr>
        <w:t>What can integrated analysis of morphological and genetic data still reveal about the Anastrepha fraterculus (Diptera: Tephritidae) cryptic species complex?. </w:t>
      </w:r>
      <w:r w:rsidRPr="009B3119">
        <w:rPr>
          <w:i/>
          <w:iCs/>
          <w:shd w:val="clear" w:color="auto" w:fill="FFFFFF"/>
        </w:rPr>
        <w:t>Insects</w:t>
      </w:r>
      <w:r w:rsidRPr="009B3119">
        <w:rPr>
          <w:shd w:val="clear" w:color="auto" w:fill="FFFFFF"/>
        </w:rPr>
        <w:t>, </w:t>
      </w:r>
      <w:r w:rsidRPr="009B3119">
        <w:rPr>
          <w:i/>
          <w:iCs/>
          <w:shd w:val="clear" w:color="auto" w:fill="FFFFFF"/>
        </w:rPr>
        <w:t>10</w:t>
      </w:r>
      <w:r w:rsidRPr="009B3119">
        <w:rPr>
          <w:shd w:val="clear" w:color="auto" w:fill="FFFFFF"/>
        </w:rPr>
        <w:t>(11), 408.</w:t>
      </w:r>
    </w:p>
    <w:p w14:paraId="3F20A89D" w14:textId="5188FF0D" w:rsidR="00471E14" w:rsidRDefault="0099106F" w:rsidP="004D1E32">
      <w:pPr>
        <w:pStyle w:val="IPPParagraphnumbering"/>
      </w:pPr>
      <w:r>
        <w:rPr>
          <w:b/>
        </w:rPr>
        <w:t>Rodriguez, E.J</w:t>
      </w:r>
      <w:r>
        <w:t xml:space="preserve">. 2022. Comparative morphology and integrative taxonomy to enhance accuracy of identification of fruit fly larvae in the genus </w:t>
      </w:r>
      <w:r>
        <w:rPr>
          <w:i/>
        </w:rPr>
        <w:t xml:space="preserve">Anastrepha </w:t>
      </w:r>
      <w:r>
        <w:t xml:space="preserve">(Diptera: Tephritidae). PhD dissertation. University of Florida, Gainesville. </w:t>
      </w:r>
    </w:p>
    <w:p w14:paraId="62F15FF5" w14:textId="77777777" w:rsidR="00471E14" w:rsidRDefault="0099106F" w:rsidP="004D1E32">
      <w:pPr>
        <w:pStyle w:val="IPPParagraphnumbering"/>
      </w:pPr>
      <w:r w:rsidRPr="00E06874">
        <w:rPr>
          <w:b/>
          <w:lang w:val="pt-BR"/>
        </w:rPr>
        <w:t>Rodriguez, E. J., G. J. Steck, M. R. Moore, A. L. Norrbom, B. D. Sutton &amp; M. A. Branham.</w:t>
      </w:r>
      <w:r w:rsidRPr="00E06874">
        <w:rPr>
          <w:lang w:val="pt-BR"/>
        </w:rPr>
        <w:t xml:space="preserve"> </w:t>
      </w:r>
      <w:r>
        <w:t xml:space="preserve">2021. Description of larvae of </w:t>
      </w:r>
      <w:r>
        <w:rPr>
          <w:i/>
        </w:rPr>
        <w:t>Anastrepha amplidentata</w:t>
      </w:r>
      <w:r>
        <w:t xml:space="preserve"> and </w:t>
      </w:r>
      <w:r>
        <w:rPr>
          <w:i/>
        </w:rPr>
        <w:t>Anastrepha durantae</w:t>
      </w:r>
      <w:r>
        <w:t xml:space="preserve"> with review of larval morphology of the </w:t>
      </w:r>
      <w:r>
        <w:rPr>
          <w:i/>
        </w:rPr>
        <w:t xml:space="preserve">fraterculus </w:t>
      </w:r>
      <w:r>
        <w:t xml:space="preserve">group. </w:t>
      </w:r>
      <w:r>
        <w:rPr>
          <w:i/>
        </w:rPr>
        <w:t>Proceedings of the Entomological Society of Washington</w:t>
      </w:r>
      <w:r>
        <w:t xml:space="preserve">, 123 (1): 169–189. </w:t>
      </w:r>
    </w:p>
    <w:p w14:paraId="60FB1A6F" w14:textId="77777777" w:rsidR="00471E14" w:rsidRDefault="0099106F" w:rsidP="004D1E32">
      <w:pPr>
        <w:pStyle w:val="IPPParagraphnumbering"/>
      </w:pPr>
      <w:r>
        <w:rPr>
          <w:b/>
          <w:highlight w:val="white"/>
        </w:rPr>
        <w:t>Ruiz–Arce, R., Barr, N. B., Owen, C. L., Thomas, D. B., &amp; McPheron, B. A.</w:t>
      </w:r>
      <w:r>
        <w:rPr>
          <w:highlight w:val="white"/>
        </w:rPr>
        <w:t xml:space="preserve"> 2012. Phylogeography of </w:t>
      </w:r>
      <w:r>
        <w:rPr>
          <w:i/>
          <w:highlight w:val="white"/>
        </w:rPr>
        <w:t>Anastrepha obliqua</w:t>
      </w:r>
      <w:r>
        <w:rPr>
          <w:highlight w:val="white"/>
        </w:rPr>
        <w:t xml:space="preserve"> inferred with mtDNA sequencing. </w:t>
      </w:r>
      <w:r>
        <w:rPr>
          <w:i/>
        </w:rPr>
        <w:t>Journal of economic entomology</w:t>
      </w:r>
      <w:r>
        <w:t xml:space="preserve">, </w:t>
      </w:r>
      <w:r>
        <w:rPr>
          <w:i/>
        </w:rPr>
        <w:t>105</w:t>
      </w:r>
      <w:r>
        <w:t>(6), 2147-2160.</w:t>
      </w:r>
    </w:p>
    <w:p w14:paraId="1C320BC3" w14:textId="77777777" w:rsidR="00471E14" w:rsidRDefault="0099106F" w:rsidP="004D1E32">
      <w:pPr>
        <w:pStyle w:val="IPPParagraphnumbering"/>
      </w:pPr>
      <w:r w:rsidRPr="00913AA9">
        <w:rPr>
          <w:b/>
          <w:highlight w:val="white"/>
          <w:lang w:val="pt-BR"/>
        </w:rPr>
        <w:t>Ruiz-Arce, R., Islam, M. S., Aluja, M., &amp; McPheron, B. A.</w:t>
      </w:r>
      <w:r w:rsidRPr="00913AA9">
        <w:rPr>
          <w:highlight w:val="white"/>
          <w:lang w:val="pt-BR"/>
        </w:rPr>
        <w:t xml:space="preserve"> 2019. </w:t>
      </w:r>
      <w:r>
        <w:rPr>
          <w:highlight w:val="white"/>
        </w:rPr>
        <w:t xml:space="preserve">Genetic variation in </w:t>
      </w:r>
      <w:r>
        <w:rPr>
          <w:i/>
          <w:highlight w:val="white"/>
        </w:rPr>
        <w:t>Anastrepha obliqua</w:t>
      </w:r>
      <w:r>
        <w:rPr>
          <w:highlight w:val="white"/>
        </w:rPr>
        <w:t xml:space="preserve"> (Diptera: Tephritidae) in a highly diverse tropical environment in the Mexican state of Veracruz. </w:t>
      </w:r>
      <w:r>
        <w:rPr>
          <w:i/>
        </w:rPr>
        <w:t>Journal of economic entomology</w:t>
      </w:r>
      <w:r>
        <w:t xml:space="preserve">, </w:t>
      </w:r>
      <w:r>
        <w:rPr>
          <w:i/>
        </w:rPr>
        <w:t>112</w:t>
      </w:r>
      <w:r>
        <w:t>(6), 2952-2965.</w:t>
      </w:r>
    </w:p>
    <w:p w14:paraId="46F9FFD9" w14:textId="77777777" w:rsidR="00471E14" w:rsidRDefault="0099106F" w:rsidP="004D1E32">
      <w:pPr>
        <w:pStyle w:val="IPPParagraphnumbering"/>
      </w:pPr>
      <w:r>
        <w:rPr>
          <w:b/>
          <w:highlight w:val="white"/>
        </w:rPr>
        <w:t xml:space="preserve">Ruiz-Arce, R., Owen, C. L., Thomas, D. B., Barr, N. B., &amp; McPheron, B. A. </w:t>
      </w:r>
      <w:r>
        <w:rPr>
          <w:highlight w:val="white"/>
        </w:rPr>
        <w:t xml:space="preserve">2015. Phylogeographic structure in </w:t>
      </w:r>
      <w:r>
        <w:rPr>
          <w:i/>
          <w:highlight w:val="white"/>
        </w:rPr>
        <w:t>Anastrepha ludens</w:t>
      </w:r>
      <w:r>
        <w:rPr>
          <w:highlight w:val="white"/>
        </w:rPr>
        <w:t xml:space="preserve"> (Diptera: Tephritidae) populations inferred with mtDNA sequencing. </w:t>
      </w:r>
      <w:r>
        <w:rPr>
          <w:i/>
        </w:rPr>
        <w:t>Journal of Economic Entomology</w:t>
      </w:r>
      <w:r>
        <w:t xml:space="preserve">, </w:t>
      </w:r>
      <w:r>
        <w:rPr>
          <w:i/>
        </w:rPr>
        <w:t>108</w:t>
      </w:r>
      <w:r>
        <w:t>(3), 1324-1336.</w:t>
      </w:r>
    </w:p>
    <w:p w14:paraId="7FD8F0A9" w14:textId="77777777" w:rsidR="00471E14" w:rsidRDefault="0099106F" w:rsidP="004D1E32">
      <w:pPr>
        <w:pStyle w:val="IPPParagraphnumbering"/>
      </w:pPr>
      <w:r w:rsidRPr="00E06874">
        <w:rPr>
          <w:b/>
          <w:lang w:val="it-IT"/>
        </w:rPr>
        <w:t>Selivon, D., Perondini, A.L.P., Morgante, J.S.</w:t>
      </w:r>
      <w:r w:rsidRPr="00E06874">
        <w:rPr>
          <w:lang w:val="it-IT"/>
        </w:rPr>
        <w:t xml:space="preserve"> 2005. </w:t>
      </w:r>
      <w:r>
        <w:t xml:space="preserve">A genetic-morphological characterization of two cryptic species of the </w:t>
      </w:r>
      <w:r>
        <w:rPr>
          <w:i/>
        </w:rPr>
        <w:t>Anastrepha fraterculus</w:t>
      </w:r>
      <w:r>
        <w:t xml:space="preserve"> complex (Diptera: Tephritidae). </w:t>
      </w:r>
      <w:r>
        <w:rPr>
          <w:i/>
        </w:rPr>
        <w:t>Annals of the Entomological Society of America,</w:t>
      </w:r>
      <w:r>
        <w:t xml:space="preserve"> 98: 367–381.</w:t>
      </w:r>
    </w:p>
    <w:p w14:paraId="40957283" w14:textId="77777777" w:rsidR="00471E14" w:rsidRDefault="0099106F" w:rsidP="004D1E32">
      <w:pPr>
        <w:pStyle w:val="IPPParagraphnumbering"/>
      </w:pPr>
      <w:r>
        <w:rPr>
          <w:b/>
        </w:rPr>
        <w:t>Selivon, D., Vretos, C., Fontes, L. &amp; Perondini, A.L.P.</w:t>
      </w:r>
      <w:r>
        <w:t xml:space="preserve"> 2004. New variant forms in the </w:t>
      </w:r>
      <w:r>
        <w:rPr>
          <w:i/>
        </w:rPr>
        <w:t>Anastrepha fraterculus</w:t>
      </w:r>
      <w:r>
        <w:t xml:space="preserve"> complex (Diptera, Tephritidae). </w:t>
      </w:r>
      <w:r>
        <w:rPr>
          <w:i/>
        </w:rPr>
        <w:t>In</w:t>
      </w:r>
      <w:r>
        <w:t xml:space="preserve"> B.N. Barnes, ed. </w:t>
      </w:r>
      <w:r>
        <w:rPr>
          <w:i/>
        </w:rPr>
        <w:t>Proceedings of the 6th International Symposium on Fruit Flies of Economic Importance,</w:t>
      </w:r>
      <w:r>
        <w:t xml:space="preserve"> Stellenbosch, South Africa, 2004, pp. 253–258. Stellenbosch, South Africa, Isteg Scientific Publications.</w:t>
      </w:r>
    </w:p>
    <w:p w14:paraId="4056F3D1" w14:textId="77777777" w:rsidR="00471E14" w:rsidRDefault="0099106F" w:rsidP="004D1E32">
      <w:pPr>
        <w:pStyle w:val="IPPParagraphnumbering"/>
      </w:pPr>
      <w:r w:rsidRPr="00E06874">
        <w:rPr>
          <w:b/>
          <w:highlight w:val="white"/>
          <w:lang w:val="pt-BR"/>
        </w:rPr>
        <w:t>Silva, J. G., &amp; Barr, N. B.</w:t>
      </w:r>
      <w:r w:rsidRPr="00E06874">
        <w:rPr>
          <w:highlight w:val="white"/>
          <w:lang w:val="pt-BR"/>
        </w:rPr>
        <w:t xml:space="preserve"> 2006. </w:t>
      </w:r>
      <w:r>
        <w:rPr>
          <w:highlight w:val="white"/>
        </w:rPr>
        <w:t xml:space="preserve">Recent advances in molecular systematics of </w:t>
      </w:r>
      <w:r>
        <w:rPr>
          <w:i/>
          <w:highlight w:val="white"/>
        </w:rPr>
        <w:t xml:space="preserve">Anastrepha </w:t>
      </w:r>
      <w:r>
        <w:rPr>
          <w:highlight w:val="white"/>
        </w:rPr>
        <w:t xml:space="preserve">Schiner. In </w:t>
      </w:r>
      <w:r>
        <w:t xml:space="preserve">R. L. Sugayama, R. A. Zucchi, S. M. Ovruski &amp; J. Sivinski, eds., </w:t>
      </w:r>
      <w:r>
        <w:rPr>
          <w:i/>
        </w:rPr>
        <w:t>Fruit Flies of Economic Importance: From Basic to Applied Knowledge. Proceedings of the 7th International Symposium on Fruit Flies of Economic Importance, 10-15 September 2006, Salvador, Brazil.</w:t>
      </w:r>
      <w:r>
        <w:t xml:space="preserve"> (pp. 13-28).</w:t>
      </w:r>
    </w:p>
    <w:p w14:paraId="62D465CD" w14:textId="77777777" w:rsidR="00471E14" w:rsidRDefault="0099106F" w:rsidP="004D1E32">
      <w:pPr>
        <w:pStyle w:val="IPPParagraphnumbering"/>
      </w:pPr>
      <w:r>
        <w:rPr>
          <w:b/>
          <w:highlight w:val="white"/>
        </w:rPr>
        <w:t>Smith-Caldas, M. R., McPheron, B. A., Silva, J. G., &amp; Zucchi, R. A.</w:t>
      </w:r>
      <w:r>
        <w:rPr>
          <w:highlight w:val="white"/>
        </w:rPr>
        <w:t xml:space="preserve"> 2001. Phylogenetic relationships among species of the </w:t>
      </w:r>
      <w:r>
        <w:rPr>
          <w:i/>
          <w:highlight w:val="white"/>
        </w:rPr>
        <w:t xml:space="preserve">fraterculus </w:t>
      </w:r>
      <w:r>
        <w:rPr>
          <w:highlight w:val="white"/>
        </w:rPr>
        <w:t>group (</w:t>
      </w:r>
      <w:r>
        <w:rPr>
          <w:i/>
          <w:highlight w:val="white"/>
        </w:rPr>
        <w:t>Anastrepha</w:t>
      </w:r>
      <w:r>
        <w:rPr>
          <w:highlight w:val="white"/>
        </w:rPr>
        <w:t xml:space="preserve">: Diptera: Tephritidae) inferred from DNA sequences of mitochondrial cytochrome oxidase I. </w:t>
      </w:r>
      <w:r>
        <w:rPr>
          <w:i/>
        </w:rPr>
        <w:t>Neotropical Entomology</w:t>
      </w:r>
      <w:r>
        <w:t xml:space="preserve">, </w:t>
      </w:r>
      <w:r>
        <w:rPr>
          <w:i/>
        </w:rPr>
        <w:t>30</w:t>
      </w:r>
      <w:r>
        <w:t>, 565-573.</w:t>
      </w:r>
    </w:p>
    <w:p w14:paraId="09525141" w14:textId="77777777" w:rsidR="00471E14" w:rsidRDefault="0099106F" w:rsidP="004D1E32">
      <w:pPr>
        <w:pStyle w:val="IPPParagraphnumbering"/>
      </w:pPr>
      <w:r w:rsidRPr="00913AA9">
        <w:rPr>
          <w:b/>
          <w:lang w:val="pt-BR"/>
        </w:rPr>
        <w:t xml:space="preserve">Steck, G. J., E. J. Rodriguez, A. L. Norrbom, V. S. Dutra, B. Ronchi-Teles &amp; J. G. Silva. </w:t>
      </w:r>
      <w:r>
        <w:t xml:space="preserve">2019. Review of </w:t>
      </w:r>
      <w:r>
        <w:rPr>
          <w:i/>
        </w:rPr>
        <w:t xml:space="preserve">Anastrepha </w:t>
      </w:r>
      <w:r>
        <w:t>(Diptera: Tephritidae) immature stage taxonomy, p. 57-88. In: D. Pérez-Staples, F. Díaz-Fleischer, P. Montoya &amp; M. T. Vera (eds.), Area-wide management of fruit fly pests. CRC Press, Boca Raton, i-xxviii + 412 p.</w:t>
      </w:r>
    </w:p>
    <w:p w14:paraId="3603CDAE" w14:textId="77777777" w:rsidR="00471E14" w:rsidRDefault="0099106F" w:rsidP="004D1E32">
      <w:pPr>
        <w:pStyle w:val="IPPParagraphnumbering"/>
      </w:pPr>
      <w:r>
        <w:rPr>
          <w:b/>
        </w:rPr>
        <w:t>Steck, G.J. &amp; Wharton, R.A.</w:t>
      </w:r>
      <w:r>
        <w:t xml:space="preserve"> 1988. Description of immature stages of</w:t>
      </w:r>
      <w:r>
        <w:rPr>
          <w:i/>
        </w:rPr>
        <w:t xml:space="preserve"> Anastrepha interrupta, A. limae</w:t>
      </w:r>
      <w:r>
        <w:t xml:space="preserve">, and </w:t>
      </w:r>
      <w:r>
        <w:rPr>
          <w:i/>
        </w:rPr>
        <w:t xml:space="preserve">A. grandis </w:t>
      </w:r>
      <w:r>
        <w:t xml:space="preserve">(Diptera: Tephritidae). </w:t>
      </w:r>
      <w:r>
        <w:rPr>
          <w:i/>
        </w:rPr>
        <w:t>Annals of the Entomological Society of America,</w:t>
      </w:r>
      <w:r>
        <w:t xml:space="preserve"> 81: 994–1003. </w:t>
      </w:r>
    </w:p>
    <w:p w14:paraId="4AF66659" w14:textId="77777777" w:rsidR="00471E14" w:rsidRDefault="0099106F" w:rsidP="004D1E32">
      <w:pPr>
        <w:pStyle w:val="IPPParagraphnumbering"/>
      </w:pPr>
      <w:r>
        <w:rPr>
          <w:b/>
        </w:rPr>
        <w:t>Steck, G.J., Carroll, L.E., Celedonio-Hurtado, H. &amp; Guillén-Aguilar, J.</w:t>
      </w:r>
      <w:r>
        <w:t xml:space="preserve"> 1990. Methods for identification of </w:t>
      </w:r>
      <w:r>
        <w:rPr>
          <w:i/>
        </w:rPr>
        <w:t xml:space="preserve">Anastrepha </w:t>
      </w:r>
      <w:r>
        <w:t xml:space="preserve">larvae (Diptera: Tephritidae), and key to 13 species. </w:t>
      </w:r>
      <w:r>
        <w:rPr>
          <w:i/>
        </w:rPr>
        <w:t>Proceedings of the Entomological Society of Washington,</w:t>
      </w:r>
      <w:r>
        <w:t xml:space="preserve"> 92: 333–346. </w:t>
      </w:r>
    </w:p>
    <w:p w14:paraId="69C151E0" w14:textId="77777777" w:rsidR="00471E14" w:rsidRDefault="0099106F" w:rsidP="004D1E32">
      <w:pPr>
        <w:pStyle w:val="IPPParagraphnumbering"/>
      </w:pPr>
      <w:r>
        <w:rPr>
          <w:b/>
        </w:rPr>
        <w:t>Steck, G.J., Ndlela, S., Somma, L.A., Diaz, J., Moore, M.R. &amp; Awad, J.</w:t>
      </w:r>
      <w:r>
        <w:t xml:space="preserve"> 2022. Description of the immature stages of </w:t>
      </w:r>
      <w:r>
        <w:rPr>
          <w:i/>
        </w:rPr>
        <w:t>Dacus bivittatus</w:t>
      </w:r>
      <w:r>
        <w:t xml:space="preserve"> (Diptera: Tephritidae), the greater pumpkin fruit fly. </w:t>
      </w:r>
      <w:r>
        <w:rPr>
          <w:i/>
        </w:rPr>
        <w:t>Proceedings of the Entomological Society of Washington</w:t>
      </w:r>
      <w:r>
        <w:t xml:space="preserve"> (In press).</w:t>
      </w:r>
    </w:p>
    <w:p w14:paraId="386EEDA5" w14:textId="77777777" w:rsidR="00471E14" w:rsidRDefault="0099106F" w:rsidP="004D1E32">
      <w:pPr>
        <w:pStyle w:val="IPPParagraphnumbering"/>
      </w:pPr>
      <w:r>
        <w:rPr>
          <w:b/>
        </w:rPr>
        <w:t>Stone, A.</w:t>
      </w:r>
      <w:r>
        <w:t xml:space="preserve"> 1942. The fruit flies of the genus</w:t>
      </w:r>
      <w:r>
        <w:rPr>
          <w:i/>
        </w:rPr>
        <w:t xml:space="preserve"> Anastrepha</w:t>
      </w:r>
      <w:r>
        <w:t xml:space="preserve">. </w:t>
      </w:r>
      <w:r>
        <w:rPr>
          <w:i/>
        </w:rPr>
        <w:t>United States Department of Agriculture Miscellaneous Publication,</w:t>
      </w:r>
      <w:r>
        <w:t xml:space="preserve"> 439: 112 p.</w:t>
      </w:r>
    </w:p>
    <w:p w14:paraId="129FA2AB" w14:textId="77777777" w:rsidR="00471E14" w:rsidRPr="00DB0447" w:rsidRDefault="0099106F" w:rsidP="004D1E32">
      <w:pPr>
        <w:pStyle w:val="IPPParagraphnumbering"/>
      </w:pPr>
      <w:r>
        <w:rPr>
          <w:b/>
        </w:rPr>
        <w:t xml:space="preserve">Sutton, B. D., G. J. Steck, A. L. Norrbom, E. J. Rodriguez, P. Srivastava, N. Nolazco Alvarado, F. Colque, E. Yábar Landa, J. J. Lagrava Sánchez, E. Quisberth, E. Arévalo Peñaranda, P. A. Rodriguez </w:t>
      </w:r>
      <w:r w:rsidRPr="00DB0447">
        <w:rPr>
          <w:b/>
        </w:rPr>
        <w:t xml:space="preserve">Clavijo, J. K. Alvarez-Baca, T. Guevara Zapata &amp; P. Ponce. </w:t>
      </w:r>
      <w:r w:rsidRPr="00DB0447">
        <w:t xml:space="preserve">2015. Nuclear ribosomal internal transcribed spacer 1 (ITS1) variation in the </w:t>
      </w:r>
      <w:r w:rsidRPr="00DB0447">
        <w:rPr>
          <w:i/>
        </w:rPr>
        <w:t>Anastrepha fraterculus</w:t>
      </w:r>
      <w:r w:rsidRPr="00DB0447">
        <w:t xml:space="preserve"> cryptic species complex (Diptera, Tephritidae) of the Andean region. </w:t>
      </w:r>
      <w:r w:rsidRPr="00DB0447">
        <w:rPr>
          <w:i/>
        </w:rPr>
        <w:t>ZooKeys</w:t>
      </w:r>
      <w:r w:rsidRPr="00DB0447">
        <w:t xml:space="preserve">, 540: 175–191. </w:t>
      </w:r>
    </w:p>
    <w:p w14:paraId="7A7424DE" w14:textId="45F49EEC" w:rsidR="00DB0447" w:rsidRPr="00DB0447" w:rsidRDefault="00DB0447" w:rsidP="004D1E32">
      <w:pPr>
        <w:pStyle w:val="IPPParagraphnumbering"/>
        <w:rPr>
          <w:b/>
          <w:highlight w:val="white"/>
        </w:rPr>
      </w:pPr>
      <w:r w:rsidRPr="00DB0447">
        <w:rPr>
          <w:b/>
          <w:bCs/>
          <w:shd w:val="clear" w:color="auto" w:fill="FFFFFF"/>
        </w:rPr>
        <w:t>Silva, J. G., &amp; Barr, N. B.</w:t>
      </w:r>
      <w:r w:rsidRPr="00DB0447">
        <w:rPr>
          <w:shd w:val="clear" w:color="auto" w:fill="FFFFFF"/>
        </w:rPr>
        <w:t xml:space="preserve"> 2006, September. Recent advances in molecular systematics of Anastrepha Schiffner. In </w:t>
      </w:r>
      <w:r w:rsidRPr="00DB0447">
        <w:rPr>
          <w:i/>
          <w:iCs/>
          <w:shd w:val="clear" w:color="auto" w:fill="FFFFFF"/>
        </w:rPr>
        <w:t>Seventh international symposium on fruit flies of economic importance, Salvador, Brazil</w:t>
      </w:r>
      <w:r w:rsidRPr="00DB0447">
        <w:rPr>
          <w:shd w:val="clear" w:color="auto" w:fill="FFFFFF"/>
        </w:rPr>
        <w:t> (pp. 13-18).</w:t>
      </w:r>
      <w:r w:rsidRPr="00DB0447">
        <w:rPr>
          <w:b/>
          <w:highlight w:val="white"/>
        </w:rPr>
        <w:t xml:space="preserve"> </w:t>
      </w:r>
    </w:p>
    <w:p w14:paraId="113037CA" w14:textId="14902F52" w:rsidR="00471E14" w:rsidRDefault="0099106F" w:rsidP="004D1E32">
      <w:pPr>
        <w:pStyle w:val="IPPParagraphnumbering"/>
      </w:pPr>
      <w:r w:rsidRPr="00DB0447">
        <w:rPr>
          <w:b/>
          <w:highlight w:val="white"/>
        </w:rPr>
        <w:t>Thompson, J.D., Gibson, T.J. and Higgins, D.G.</w:t>
      </w:r>
      <w:r w:rsidRPr="00DB0447">
        <w:rPr>
          <w:highlight w:val="white"/>
        </w:rPr>
        <w:t xml:space="preserve"> 2003. Multiple sequence alignment using ClustalW and ClustalX</w:t>
      </w:r>
      <w:r>
        <w:rPr>
          <w:sz w:val="24"/>
          <w:highlight w:val="white"/>
        </w:rPr>
        <w:t xml:space="preserve">. </w:t>
      </w:r>
      <w:r>
        <w:rPr>
          <w:i/>
          <w:sz w:val="24"/>
          <w:highlight w:val="white"/>
        </w:rPr>
        <w:t>Current protocols in bioinformatics</w:t>
      </w:r>
      <w:r>
        <w:rPr>
          <w:sz w:val="24"/>
          <w:highlight w:val="white"/>
        </w:rPr>
        <w:t>, (1), pp.2-3.</w:t>
      </w:r>
    </w:p>
    <w:p w14:paraId="01D906AB" w14:textId="77777777" w:rsidR="00471E14" w:rsidRDefault="0099106F" w:rsidP="004D1E32">
      <w:pPr>
        <w:pStyle w:val="IPPParagraphnumbering"/>
      </w:pPr>
      <w:r>
        <w:rPr>
          <w:b/>
        </w:rPr>
        <w:t>Vera, M.T., Cáceres, C., Wornoayporn, V., Islam, A., Robinson, A.S., De La Vega, M.H., Hendrichs, J. &amp; Cayol, J.P.</w:t>
      </w:r>
      <w:r>
        <w:t xml:space="preserve"> 2006. Mating incompatibility among populations of the South American fruit fly </w:t>
      </w:r>
      <w:r>
        <w:rPr>
          <w:i/>
        </w:rPr>
        <w:t>Anastrepha fraterculus</w:t>
      </w:r>
      <w:r>
        <w:t xml:space="preserve"> (Diptera: Tephritidae). </w:t>
      </w:r>
      <w:r>
        <w:rPr>
          <w:i/>
        </w:rPr>
        <w:t>Annals of the Entomological Society of America,</w:t>
      </w:r>
      <w:r>
        <w:t xml:space="preserve"> 99: 387–397.</w:t>
      </w:r>
    </w:p>
    <w:p w14:paraId="7DE19021" w14:textId="77777777" w:rsidR="00471E14" w:rsidRDefault="0099106F" w:rsidP="004D1E32">
      <w:pPr>
        <w:pStyle w:val="IPPParagraphnumbering"/>
        <w:rPr>
          <w:highlight w:val="white"/>
        </w:rPr>
      </w:pPr>
      <w:r>
        <w:rPr>
          <w:b/>
          <w:highlight w:val="white"/>
        </w:rPr>
        <w:t>Vink, C. J., Thomas, S. M., Paquin, P., Hayashi, C. Y., &amp; Hedin, M.</w:t>
      </w:r>
      <w:r>
        <w:rPr>
          <w:highlight w:val="white"/>
        </w:rPr>
        <w:t xml:space="preserve"> 2005. The effects of preservatives and temperatures on arachnid DNA. </w:t>
      </w:r>
      <w:r>
        <w:rPr>
          <w:i/>
          <w:highlight w:val="white"/>
        </w:rPr>
        <w:t>Invertebrate systematics</w:t>
      </w:r>
      <w:r>
        <w:rPr>
          <w:highlight w:val="white"/>
        </w:rPr>
        <w:t xml:space="preserve">, </w:t>
      </w:r>
      <w:r>
        <w:rPr>
          <w:i/>
          <w:highlight w:val="white"/>
        </w:rPr>
        <w:t>19</w:t>
      </w:r>
      <w:r>
        <w:rPr>
          <w:highlight w:val="white"/>
        </w:rPr>
        <w:t>(2), 99-104.</w:t>
      </w:r>
    </w:p>
    <w:p w14:paraId="5163432B" w14:textId="77777777" w:rsidR="00471E14" w:rsidRPr="00913AA9" w:rsidRDefault="0099106F" w:rsidP="004D1E32">
      <w:pPr>
        <w:pStyle w:val="IPPParagraphnumbering"/>
        <w:rPr>
          <w:lang w:val="it-IT"/>
        </w:rPr>
      </w:pPr>
      <w:r>
        <w:rPr>
          <w:b/>
        </w:rPr>
        <w:t>White, I.M. &amp; Elson-Harris, M.M.</w:t>
      </w:r>
      <w:r>
        <w:t xml:space="preserve"> 1992. </w:t>
      </w:r>
      <w:r>
        <w:rPr>
          <w:i/>
        </w:rPr>
        <w:t>Fruit flies of economic significance: Their identification and bionomics</w:t>
      </w:r>
      <w:r>
        <w:t xml:space="preserve">. </w:t>
      </w:r>
      <w:r w:rsidRPr="00913AA9">
        <w:rPr>
          <w:lang w:val="it-IT"/>
        </w:rPr>
        <w:t xml:space="preserve">Wallingford, UK, CABI. 601 pp. </w:t>
      </w:r>
    </w:p>
    <w:p w14:paraId="681498DE" w14:textId="77777777" w:rsidR="00471E14" w:rsidRDefault="0099106F" w:rsidP="004D1E32">
      <w:pPr>
        <w:pStyle w:val="IPPParagraphnumbering"/>
      </w:pPr>
      <w:r w:rsidRPr="00913AA9">
        <w:rPr>
          <w:b/>
          <w:lang w:val="it-IT"/>
        </w:rPr>
        <w:t>Zucchi, R.A.</w:t>
      </w:r>
      <w:r w:rsidRPr="00913AA9">
        <w:rPr>
          <w:lang w:val="it-IT"/>
        </w:rPr>
        <w:t xml:space="preserve"> 2000. Taxonomia. </w:t>
      </w:r>
      <w:r w:rsidRPr="00913AA9">
        <w:rPr>
          <w:i/>
          <w:lang w:val="it-IT"/>
        </w:rPr>
        <w:t>In</w:t>
      </w:r>
      <w:r w:rsidRPr="00913AA9">
        <w:rPr>
          <w:lang w:val="it-IT"/>
        </w:rPr>
        <w:t xml:space="preserve"> A. Malavasi &amp; R.A. </w:t>
      </w:r>
      <w:r w:rsidRPr="00913AA9">
        <w:rPr>
          <w:color w:val="00000A"/>
          <w:lang w:val="it-IT"/>
        </w:rPr>
        <w:t>Zucchi, e</w:t>
      </w:r>
      <w:r w:rsidRPr="00913AA9">
        <w:rPr>
          <w:lang w:val="it-IT"/>
        </w:rPr>
        <w:t xml:space="preserve">ds. </w:t>
      </w:r>
      <w:r w:rsidRPr="00913AA9">
        <w:rPr>
          <w:i/>
          <w:lang w:val="pt-BR"/>
        </w:rPr>
        <w:t>Moscas-das-frutas de importância econômica no Brasil. Conhecimento básico e aplicado</w:t>
      </w:r>
      <w:r w:rsidRPr="00913AA9">
        <w:rPr>
          <w:lang w:val="pt-BR"/>
        </w:rPr>
        <w:t xml:space="preserve">, pp. 13–24. </w:t>
      </w:r>
      <w:r>
        <w:t xml:space="preserve">Riberao Preto, Brasil, Holos Editora. </w:t>
      </w:r>
    </w:p>
    <w:p w14:paraId="79396B17" w14:textId="77777777" w:rsidR="00471E14" w:rsidRDefault="0099106F">
      <w:pPr>
        <w:pBdr>
          <w:top w:val="nil"/>
          <w:left w:val="nil"/>
          <w:bottom w:val="nil"/>
          <w:right w:val="nil"/>
          <w:between w:val="nil"/>
        </w:pBdr>
        <w:spacing w:after="60"/>
        <w:ind w:left="567" w:hanging="567"/>
        <w:rPr>
          <w:b/>
        </w:rPr>
      </w:pPr>
      <w:r>
        <w:br w:type="page"/>
      </w:r>
    </w:p>
    <w:p w14:paraId="2ACE4785" w14:textId="77777777" w:rsidR="00471E14" w:rsidRDefault="0099106F" w:rsidP="00356FD9">
      <w:pPr>
        <w:keepNext/>
        <w:tabs>
          <w:tab w:val="left" w:pos="567"/>
        </w:tabs>
        <w:spacing w:before="240" w:after="120"/>
        <w:jc w:val="left"/>
        <w:rPr>
          <w:b/>
          <w:sz w:val="24"/>
          <w:szCs w:val="24"/>
        </w:rPr>
      </w:pPr>
      <w:r>
        <w:rPr>
          <w:b/>
          <w:sz w:val="24"/>
          <w:szCs w:val="24"/>
        </w:rPr>
        <w:t>9.</w:t>
      </w:r>
      <w:r>
        <w:rPr>
          <w:b/>
          <w:sz w:val="24"/>
          <w:szCs w:val="24"/>
        </w:rPr>
        <w:tab/>
        <w:t xml:space="preserve">Figures </w:t>
      </w:r>
    </w:p>
    <w:p w14:paraId="4546C87C" w14:textId="77777777" w:rsidR="00426446" w:rsidRDefault="00426446" w:rsidP="00426446">
      <w:pPr>
        <w:rPr>
          <w:b/>
        </w:rPr>
      </w:pPr>
      <w:r w:rsidRPr="000B47A3">
        <w:rPr>
          <w:noProof/>
          <w:lang w:val="en-US"/>
        </w:rPr>
        <w:drawing>
          <wp:inline distT="0" distB="0" distL="0" distR="0" wp14:anchorId="7AD56438" wp14:editId="6772C0F0">
            <wp:extent cx="4895238" cy="4628571"/>
            <wp:effectExtent l="0" t="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95238" cy="4628571"/>
                    </a:xfrm>
                    <a:prstGeom prst="rect">
                      <a:avLst/>
                    </a:prstGeom>
                  </pic:spPr>
                </pic:pic>
              </a:graphicData>
            </a:graphic>
          </wp:inline>
        </w:drawing>
      </w:r>
    </w:p>
    <w:p w14:paraId="47860ECB" w14:textId="77777777" w:rsidR="00426446" w:rsidRDefault="00426446" w:rsidP="00426446">
      <w:pPr>
        <w:rPr>
          <w:b/>
        </w:rPr>
      </w:pPr>
    </w:p>
    <w:p w14:paraId="7CF2621A" w14:textId="77777777" w:rsidR="00426446" w:rsidRDefault="00426446" w:rsidP="00426446">
      <w:r>
        <w:rPr>
          <w:b/>
        </w:rPr>
        <w:t>Figure 1.</w:t>
      </w:r>
      <w:r>
        <w:t xml:space="preserve"> Ovipositor of adult female of </w:t>
      </w:r>
      <w:r>
        <w:rPr>
          <w:i/>
        </w:rPr>
        <w:t xml:space="preserve">Anastrepha striata </w:t>
      </w:r>
      <w:r>
        <w:t xml:space="preserve">in ventral view: </w:t>
      </w:r>
      <w:r>
        <w:rPr>
          <w:b/>
        </w:rPr>
        <w:t>(A)</w:t>
      </w:r>
      <w:r>
        <w:t xml:space="preserve"> Aculeus and eversible membrane retracted inside oviscape; </w:t>
      </w:r>
      <w:r>
        <w:rPr>
          <w:b/>
        </w:rPr>
        <w:t>(B)</w:t>
      </w:r>
      <w:r>
        <w:t xml:space="preserve"> Aculeus and eversible membrane partially everted; </w:t>
      </w:r>
      <w:r>
        <w:rPr>
          <w:b/>
        </w:rPr>
        <w:t>(C)</w:t>
      </w:r>
      <w:r>
        <w:t xml:space="preserve"> Aculeus and eversible membrane completely everted. </w:t>
      </w:r>
    </w:p>
    <w:p w14:paraId="79AA6FE9" w14:textId="77777777" w:rsidR="00426446" w:rsidRDefault="00426446" w:rsidP="00426446">
      <w:pPr>
        <w:rPr>
          <w:i/>
        </w:rPr>
      </w:pPr>
      <w:r>
        <w:rPr>
          <w:i/>
        </w:rPr>
        <w:t>Source: Figures adapted from Norrbom et al. (2012).</w:t>
      </w:r>
    </w:p>
    <w:p w14:paraId="1A943036" w14:textId="77777777" w:rsidR="00426446" w:rsidRDefault="00426446" w:rsidP="00426446">
      <w:pPr>
        <w:rPr>
          <w:b/>
        </w:rPr>
      </w:pPr>
    </w:p>
    <w:p w14:paraId="420A571E" w14:textId="77777777" w:rsidR="00426446" w:rsidRDefault="00426446" w:rsidP="00426446">
      <w:pPr>
        <w:spacing w:after="160" w:line="259" w:lineRule="auto"/>
        <w:jc w:val="left"/>
        <w:rPr>
          <w:b/>
        </w:rPr>
      </w:pPr>
      <w:r>
        <w:rPr>
          <w:b/>
        </w:rPr>
        <w:br w:type="page"/>
      </w:r>
    </w:p>
    <w:p w14:paraId="21BCE906" w14:textId="77777777" w:rsidR="00426446" w:rsidRDefault="00426446" w:rsidP="00426446">
      <w:pPr>
        <w:rPr>
          <w:b/>
        </w:rPr>
      </w:pPr>
      <w:r w:rsidRPr="00783ED6">
        <w:rPr>
          <w:noProof/>
          <w:lang w:val="en-US"/>
        </w:rPr>
        <w:drawing>
          <wp:inline distT="0" distB="0" distL="0" distR="0" wp14:anchorId="3860961F" wp14:editId="6C6C026B">
            <wp:extent cx="5943600" cy="477393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4773930"/>
                    </a:xfrm>
                    <a:prstGeom prst="rect">
                      <a:avLst/>
                    </a:prstGeom>
                  </pic:spPr>
                </pic:pic>
              </a:graphicData>
            </a:graphic>
          </wp:inline>
        </w:drawing>
      </w:r>
    </w:p>
    <w:p w14:paraId="67445DD3" w14:textId="77777777" w:rsidR="00426446" w:rsidRDefault="00426446" w:rsidP="00426446">
      <w:r>
        <w:rPr>
          <w:b/>
        </w:rPr>
        <w:t xml:space="preserve">Figure 2. </w:t>
      </w:r>
      <w:r>
        <w:t xml:space="preserve">Third instars: </w:t>
      </w:r>
      <w:r>
        <w:rPr>
          <w:b/>
        </w:rPr>
        <w:t>(A)</w:t>
      </w:r>
      <w:r>
        <w:t xml:space="preserve"> Habitus showing location of major anatomical features; </w:t>
      </w:r>
      <w:r>
        <w:rPr>
          <w:b/>
        </w:rPr>
        <w:t>(B)</w:t>
      </w:r>
      <w:r>
        <w:t xml:space="preserve"> pseudocephalon, ventrolateral view; </w:t>
      </w:r>
      <w:r>
        <w:rPr>
          <w:b/>
        </w:rPr>
        <w:t>(C)</w:t>
      </w:r>
      <w:r>
        <w:t xml:space="preserve"> Slide-mounted larva, cleared cuticle with cephaloskeleton removed; </w:t>
      </w:r>
      <w:r>
        <w:rPr>
          <w:b/>
        </w:rPr>
        <w:t>(D)</w:t>
      </w:r>
      <w:r>
        <w:t xml:space="preserve"> pseudocephalon, ventral view, SEM. </w:t>
      </w:r>
      <w:r>
        <w:rPr>
          <w:i/>
        </w:rPr>
        <w:t>A1-A8</w:t>
      </w:r>
      <w:r>
        <w:t xml:space="preserve">, first to eighth abdominal segments; </w:t>
      </w:r>
      <w:r>
        <w:rPr>
          <w:i/>
        </w:rPr>
        <w:t>ANT</w:t>
      </w:r>
      <w:r>
        <w:t xml:space="preserve">, antenna; </w:t>
      </w:r>
      <w:r>
        <w:rPr>
          <w:i/>
        </w:rPr>
        <w:t>AP</w:t>
      </w:r>
      <w:r>
        <w:t xml:space="preserve">, accessory plates; </w:t>
      </w:r>
      <w:r>
        <w:rPr>
          <w:i/>
        </w:rPr>
        <w:t>ASp</w:t>
      </w:r>
      <w:r>
        <w:t xml:space="preserve">, anterior spiracle; </w:t>
      </w:r>
      <w:r>
        <w:rPr>
          <w:i/>
        </w:rPr>
        <w:t>CP</w:t>
      </w:r>
      <w:r>
        <w:t xml:space="preserve">, cephaloskeleton; </w:t>
      </w:r>
      <w:r>
        <w:rPr>
          <w:i/>
        </w:rPr>
        <w:t>MH</w:t>
      </w:r>
      <w:r>
        <w:t xml:space="preserve">, mouthhook; </w:t>
      </w:r>
      <w:r>
        <w:rPr>
          <w:i/>
        </w:rPr>
        <w:t>MP</w:t>
      </w:r>
      <w:r>
        <w:t xml:space="preserve">, maxillary palp; </w:t>
      </w:r>
      <w:r>
        <w:rPr>
          <w:i/>
        </w:rPr>
        <w:t>PC</w:t>
      </w:r>
      <w:r>
        <w:t xml:space="preserve">, pseudocephalon; </w:t>
      </w:r>
      <w:r>
        <w:rPr>
          <w:i/>
        </w:rPr>
        <w:t>OR</w:t>
      </w:r>
      <w:r>
        <w:t xml:space="preserve">, oral ridges; </w:t>
      </w:r>
      <w:r>
        <w:rPr>
          <w:i/>
        </w:rPr>
        <w:t>POL</w:t>
      </w:r>
      <w:r>
        <w:t xml:space="preserve">, preoral lobes; </w:t>
      </w:r>
      <w:r>
        <w:rPr>
          <w:i/>
        </w:rPr>
        <w:t>PSp</w:t>
      </w:r>
      <w:r>
        <w:t xml:space="preserve">, posterior spiracles; </w:t>
      </w:r>
      <w:r>
        <w:rPr>
          <w:i/>
        </w:rPr>
        <w:t>sp</w:t>
      </w:r>
      <w:r>
        <w:t xml:space="preserve">, spinules; </w:t>
      </w:r>
      <w:r>
        <w:rPr>
          <w:i/>
        </w:rPr>
        <w:t>T1-T3</w:t>
      </w:r>
      <w:r>
        <w:t>, first to third thoracic segments.</w:t>
      </w:r>
    </w:p>
    <w:p w14:paraId="44D04EE7" w14:textId="0DFF3964" w:rsidR="00426446" w:rsidRDefault="00426446" w:rsidP="00426446">
      <w:pPr>
        <w:rPr>
          <w:b/>
        </w:rPr>
      </w:pPr>
      <w:r>
        <w:rPr>
          <w:i/>
        </w:rPr>
        <w:t xml:space="preserve">Source: Figures </w:t>
      </w:r>
      <w:r w:rsidR="00063CD0" w:rsidRPr="00E85E31">
        <w:rPr>
          <w:i/>
        </w:rPr>
        <w:t>2A-B courtesy of J. Diaz and G. J. Steck; Figures 2C-D from Steck et al. 2022</w:t>
      </w:r>
      <w:r>
        <w:rPr>
          <w:i/>
        </w:rPr>
        <w:t>.</w:t>
      </w:r>
    </w:p>
    <w:p w14:paraId="066FD94D" w14:textId="77777777" w:rsidR="00426446" w:rsidRDefault="00426446" w:rsidP="00426446">
      <w:pPr>
        <w:rPr>
          <w:b/>
        </w:rPr>
      </w:pPr>
    </w:p>
    <w:p w14:paraId="0BF0093C" w14:textId="77777777" w:rsidR="00426446" w:rsidRDefault="00426446" w:rsidP="00426446">
      <w:pPr>
        <w:rPr>
          <w:b/>
        </w:rPr>
      </w:pPr>
    </w:p>
    <w:p w14:paraId="129F075C" w14:textId="77777777" w:rsidR="00426446" w:rsidRDefault="00426446" w:rsidP="00426446">
      <w:pPr>
        <w:spacing w:after="160" w:line="259" w:lineRule="auto"/>
        <w:jc w:val="left"/>
        <w:rPr>
          <w:b/>
        </w:rPr>
      </w:pPr>
      <w:r>
        <w:rPr>
          <w:b/>
        </w:rPr>
        <w:br w:type="page"/>
      </w:r>
    </w:p>
    <w:p w14:paraId="79EA0F9D" w14:textId="77777777" w:rsidR="00426446" w:rsidRDefault="00426446" w:rsidP="00426446">
      <w:pPr>
        <w:rPr>
          <w:b/>
        </w:rPr>
      </w:pPr>
      <w:r w:rsidRPr="00692E35">
        <w:rPr>
          <w:noProof/>
          <w:lang w:val="en-US"/>
        </w:rPr>
        <w:drawing>
          <wp:inline distT="0" distB="0" distL="0" distR="0" wp14:anchorId="06A5B6F0" wp14:editId="1E67D69A">
            <wp:extent cx="5009524" cy="5333333"/>
            <wp:effectExtent l="0" t="0" r="63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09524" cy="5333333"/>
                    </a:xfrm>
                    <a:prstGeom prst="rect">
                      <a:avLst/>
                    </a:prstGeom>
                  </pic:spPr>
                </pic:pic>
              </a:graphicData>
            </a:graphic>
          </wp:inline>
        </w:drawing>
      </w:r>
    </w:p>
    <w:p w14:paraId="2365E6E8" w14:textId="77777777" w:rsidR="00426446" w:rsidRDefault="00426446" w:rsidP="00426446">
      <w:r>
        <w:rPr>
          <w:b/>
        </w:rPr>
        <w:t>Figure 3.</w:t>
      </w:r>
      <w:r>
        <w:t xml:space="preserve"> </w:t>
      </w:r>
      <w:r>
        <w:rPr>
          <w:b/>
        </w:rPr>
        <w:t>(A)</w:t>
      </w:r>
      <w:r>
        <w:t xml:space="preserve"> Habitus of adult female of </w:t>
      </w:r>
      <w:r>
        <w:rPr>
          <w:i/>
        </w:rPr>
        <w:t>Anastrepha curvicauda</w:t>
      </w:r>
      <w:r>
        <w:t xml:space="preserve"> in lateral view. </w:t>
      </w:r>
      <w:r>
        <w:rPr>
          <w:b/>
        </w:rPr>
        <w:t>(B)</w:t>
      </w:r>
      <w:r>
        <w:t xml:space="preserve"> Thorax of adult female of </w:t>
      </w:r>
      <w:r>
        <w:rPr>
          <w:i/>
        </w:rPr>
        <w:t>Anastrepha curvicauda</w:t>
      </w:r>
      <w:r>
        <w:t xml:space="preserve"> in dorsal view. </w:t>
      </w:r>
      <w:r>
        <w:rPr>
          <w:b/>
        </w:rPr>
        <w:t>(C)</w:t>
      </w:r>
      <w:r>
        <w:t xml:space="preserve"> Habitus of adult female of </w:t>
      </w:r>
      <w:r>
        <w:rPr>
          <w:i/>
        </w:rPr>
        <w:t>Anastrepha serpentina</w:t>
      </w:r>
      <w:r>
        <w:t xml:space="preserve"> in dorsal view. </w:t>
      </w:r>
      <w:r>
        <w:rPr>
          <w:b/>
        </w:rPr>
        <w:t>(D)</w:t>
      </w:r>
      <w:r>
        <w:t xml:space="preserve"> Habitus of adult female of </w:t>
      </w:r>
      <w:r>
        <w:rPr>
          <w:i/>
        </w:rPr>
        <w:t xml:space="preserve">Anastrepha striata </w:t>
      </w:r>
      <w:r>
        <w:t>in dorsal view.</w:t>
      </w:r>
    </w:p>
    <w:p w14:paraId="17582947" w14:textId="77777777" w:rsidR="00426446" w:rsidRDefault="00426446" w:rsidP="00426446">
      <w:pPr>
        <w:rPr>
          <w:i/>
        </w:rPr>
      </w:pPr>
      <w:r>
        <w:rPr>
          <w:i/>
        </w:rPr>
        <w:t>Source: Figures adapted from Norrbom et al. (2012).</w:t>
      </w:r>
    </w:p>
    <w:p w14:paraId="2C3437D9" w14:textId="77777777" w:rsidR="00426446" w:rsidRDefault="00426446" w:rsidP="00426446">
      <w:pPr>
        <w:spacing w:after="160" w:line="259" w:lineRule="auto"/>
        <w:jc w:val="left"/>
        <w:rPr>
          <w:b/>
        </w:rPr>
      </w:pPr>
      <w:r>
        <w:rPr>
          <w:b/>
        </w:rPr>
        <w:br w:type="page"/>
      </w:r>
    </w:p>
    <w:p w14:paraId="6A4F5C5E" w14:textId="77777777" w:rsidR="00426446" w:rsidRDefault="00426446" w:rsidP="00426446">
      <w:pPr>
        <w:rPr>
          <w:b/>
        </w:rPr>
      </w:pPr>
      <w:r w:rsidRPr="00B22C54">
        <w:rPr>
          <w:noProof/>
          <w:lang w:val="en-US"/>
        </w:rPr>
        <w:drawing>
          <wp:inline distT="0" distB="0" distL="0" distR="0" wp14:anchorId="10A09B61" wp14:editId="7C758C03">
            <wp:extent cx="5085714" cy="5333333"/>
            <wp:effectExtent l="0" t="0" r="127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85714" cy="5333333"/>
                    </a:xfrm>
                    <a:prstGeom prst="rect">
                      <a:avLst/>
                    </a:prstGeom>
                  </pic:spPr>
                </pic:pic>
              </a:graphicData>
            </a:graphic>
          </wp:inline>
        </w:drawing>
      </w:r>
    </w:p>
    <w:p w14:paraId="01976881" w14:textId="77777777" w:rsidR="00426446" w:rsidRDefault="00426446" w:rsidP="00426446">
      <w:r>
        <w:rPr>
          <w:b/>
        </w:rPr>
        <w:t>Figure 4.</w:t>
      </w:r>
      <w:r>
        <w:t xml:space="preserve"> Habitus of adult female in dorsal view: </w:t>
      </w:r>
      <w:r>
        <w:rPr>
          <w:b/>
        </w:rPr>
        <w:t>(A)</w:t>
      </w:r>
      <w:r>
        <w:t xml:space="preserve"> </w:t>
      </w:r>
      <w:r>
        <w:rPr>
          <w:i/>
        </w:rPr>
        <w:t>Anastrepha grandis</w:t>
      </w:r>
      <w:r>
        <w:t xml:space="preserve">; </w:t>
      </w:r>
      <w:r>
        <w:rPr>
          <w:b/>
        </w:rPr>
        <w:t>(B)</w:t>
      </w:r>
      <w:r>
        <w:t xml:space="preserve"> </w:t>
      </w:r>
      <w:r>
        <w:rPr>
          <w:i/>
        </w:rPr>
        <w:t>Anastrepha ludens</w:t>
      </w:r>
      <w:r>
        <w:t xml:space="preserve"> (Mexican fruit fly); </w:t>
      </w:r>
      <w:r>
        <w:rPr>
          <w:b/>
        </w:rPr>
        <w:t>(C)</w:t>
      </w:r>
      <w:r>
        <w:t xml:space="preserve"> </w:t>
      </w:r>
      <w:r>
        <w:rPr>
          <w:i/>
        </w:rPr>
        <w:t xml:space="preserve">Anastrepha obliqua </w:t>
      </w:r>
      <w:r>
        <w:t xml:space="preserve">(West Indian fruit fly); </w:t>
      </w:r>
      <w:r>
        <w:rPr>
          <w:b/>
        </w:rPr>
        <w:t>(D)</w:t>
      </w:r>
      <w:r>
        <w:t xml:space="preserve"> </w:t>
      </w:r>
      <w:r>
        <w:rPr>
          <w:i/>
        </w:rPr>
        <w:t xml:space="preserve">Anastrepha suspensa </w:t>
      </w:r>
      <w:r>
        <w:t xml:space="preserve">(Caribbean fruit fly). </w:t>
      </w:r>
    </w:p>
    <w:p w14:paraId="2890D4FD" w14:textId="77777777" w:rsidR="00426446" w:rsidRDefault="00426446" w:rsidP="00426446">
      <w:pPr>
        <w:rPr>
          <w:i/>
        </w:rPr>
      </w:pPr>
      <w:r>
        <w:rPr>
          <w:i/>
        </w:rPr>
        <w:t>Source: Figures 4-A, C, D adapted from Norrbom et al. (2012); Figure 4-B micrograph courtesy V. Hernández-Ortiz.</w:t>
      </w:r>
    </w:p>
    <w:p w14:paraId="5747A342" w14:textId="77777777" w:rsidR="00426446" w:rsidRDefault="00426446" w:rsidP="00426446">
      <w:pPr>
        <w:spacing w:after="160" w:line="259" w:lineRule="auto"/>
        <w:jc w:val="left"/>
        <w:rPr>
          <w:b/>
        </w:rPr>
      </w:pPr>
      <w:r>
        <w:rPr>
          <w:b/>
        </w:rPr>
        <w:br w:type="page"/>
      </w:r>
    </w:p>
    <w:p w14:paraId="724F0CE7" w14:textId="77777777" w:rsidR="00426446" w:rsidRDefault="00426446" w:rsidP="00426446">
      <w:pPr>
        <w:rPr>
          <w:b/>
        </w:rPr>
      </w:pPr>
      <w:r w:rsidRPr="007B2F3D">
        <w:rPr>
          <w:noProof/>
          <w:lang w:val="en-US"/>
        </w:rPr>
        <w:drawing>
          <wp:inline distT="0" distB="0" distL="0" distR="0" wp14:anchorId="44893CA3" wp14:editId="5FE80245">
            <wp:extent cx="5028571" cy="5714286"/>
            <wp:effectExtent l="0" t="0" r="63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28571" cy="5714286"/>
                    </a:xfrm>
                    <a:prstGeom prst="rect">
                      <a:avLst/>
                    </a:prstGeom>
                  </pic:spPr>
                </pic:pic>
              </a:graphicData>
            </a:graphic>
          </wp:inline>
        </w:drawing>
      </w:r>
    </w:p>
    <w:p w14:paraId="5DAEEE0E" w14:textId="77777777" w:rsidR="00426446" w:rsidRDefault="00426446" w:rsidP="00426446">
      <w:r>
        <w:rPr>
          <w:b/>
        </w:rPr>
        <w:t>Figure 5. (A)</w:t>
      </w:r>
      <w:r>
        <w:t xml:space="preserve"> Morphology of head of </w:t>
      </w:r>
      <w:r>
        <w:rPr>
          <w:i/>
        </w:rPr>
        <w:t>Anastrepha</w:t>
      </w:r>
      <w:r>
        <w:t xml:space="preserve"> species in fronto-lateral view. </w:t>
      </w:r>
      <w:r>
        <w:rPr>
          <w:i/>
        </w:rPr>
        <w:t>a-orb,</w:t>
      </w:r>
      <w:r>
        <w:t xml:space="preserve"> anterior orbital setae;</w:t>
      </w:r>
      <w:r>
        <w:rPr>
          <w:i/>
        </w:rPr>
        <w:t xml:space="preserve"> fro,</w:t>
      </w:r>
      <w:r>
        <w:t xml:space="preserve"> frontal setae; </w:t>
      </w:r>
      <w:r>
        <w:rPr>
          <w:i/>
        </w:rPr>
        <w:t>gen,</w:t>
      </w:r>
      <w:r>
        <w:t xml:space="preserve"> gena; </w:t>
      </w:r>
      <w:r>
        <w:rPr>
          <w:i/>
        </w:rPr>
        <w:t>pocl,</w:t>
      </w:r>
      <w:r>
        <w:t xml:space="preserve"> postocellar setae; </w:t>
      </w:r>
      <w:r>
        <w:rPr>
          <w:i/>
        </w:rPr>
        <w:t>pocu,</w:t>
      </w:r>
      <w:r>
        <w:t xml:space="preserve"> postocular setae;</w:t>
      </w:r>
      <w:r>
        <w:rPr>
          <w:i/>
        </w:rPr>
        <w:t xml:space="preserve"> p-orb,</w:t>
      </w:r>
      <w:r>
        <w:t xml:space="preserve"> posterior orbital seta; </w:t>
      </w:r>
      <w:r>
        <w:rPr>
          <w:i/>
        </w:rPr>
        <w:t>vtl,</w:t>
      </w:r>
      <w:r>
        <w:t xml:space="preserve"> lateral vertical seta; </w:t>
      </w:r>
      <w:r>
        <w:rPr>
          <w:i/>
        </w:rPr>
        <w:t>vtm,</w:t>
      </w:r>
      <w:r>
        <w:t xml:space="preserve"> medial vertical seta. </w:t>
      </w:r>
      <w:r>
        <w:rPr>
          <w:b/>
        </w:rPr>
        <w:t>(B)</w:t>
      </w:r>
      <w:r>
        <w:t xml:space="preserve"> Thorax in dorsal view, showing chaetotaxy.</w:t>
      </w:r>
      <w:r>
        <w:rPr>
          <w:i/>
        </w:rPr>
        <w:t xml:space="preserve"> ac,</w:t>
      </w:r>
      <w:r>
        <w:t xml:space="preserve"> acrostichal seta; </w:t>
      </w:r>
      <w:r>
        <w:rPr>
          <w:i/>
        </w:rPr>
        <w:t>asa,</w:t>
      </w:r>
      <w:r>
        <w:t xml:space="preserve"> presutural supra-alar seta; </w:t>
      </w:r>
      <w:r>
        <w:rPr>
          <w:i/>
        </w:rPr>
        <w:t>dc,</w:t>
      </w:r>
      <w:r>
        <w:t xml:space="preserve"> dorsocentral seta; </w:t>
      </w:r>
      <w:r>
        <w:rPr>
          <w:i/>
        </w:rPr>
        <w:t>in,</w:t>
      </w:r>
      <w:r>
        <w:t xml:space="preserve"> intra-alar seta;</w:t>
      </w:r>
      <w:r>
        <w:rPr>
          <w:i/>
        </w:rPr>
        <w:t xml:space="preserve"> ntp,</w:t>
      </w:r>
      <w:r>
        <w:t xml:space="preserve"> notopleural setae;</w:t>
      </w:r>
      <w:r>
        <w:rPr>
          <w:i/>
        </w:rPr>
        <w:t xml:space="preserve"> pa, </w:t>
      </w:r>
      <w:r>
        <w:t>postalar seta;</w:t>
      </w:r>
      <w:r>
        <w:rPr>
          <w:i/>
        </w:rPr>
        <w:t xml:space="preserve"> ppn,</w:t>
      </w:r>
      <w:r>
        <w:t xml:space="preserve"> postpronotal seta;</w:t>
      </w:r>
      <w:r>
        <w:rPr>
          <w:i/>
        </w:rPr>
        <w:t xml:space="preserve"> psa,</w:t>
      </w:r>
      <w:r>
        <w:t xml:space="preserve"> postsutural supra-alar seta; </w:t>
      </w:r>
      <w:r>
        <w:rPr>
          <w:i/>
        </w:rPr>
        <w:t>sc,</w:t>
      </w:r>
      <w:r>
        <w:t xml:space="preserve"> scutellar setae. </w:t>
      </w:r>
      <w:r>
        <w:rPr>
          <w:b/>
        </w:rPr>
        <w:t>(C)</w:t>
      </w:r>
      <w:r>
        <w:t xml:space="preserve"> Mediotergite and subscutellum, posterior view: </w:t>
      </w:r>
      <w:r>
        <w:rPr>
          <w:b/>
        </w:rPr>
        <w:t>(C-1)</w:t>
      </w:r>
      <w:r>
        <w:t xml:space="preserve"> </w:t>
      </w:r>
      <w:r>
        <w:rPr>
          <w:i/>
        </w:rPr>
        <w:t>A. fraterculus</w:t>
      </w:r>
      <w:r>
        <w:t xml:space="preserve">; </w:t>
      </w:r>
      <w:r>
        <w:rPr>
          <w:b/>
        </w:rPr>
        <w:t xml:space="preserve">(C-2) </w:t>
      </w:r>
      <w:r>
        <w:rPr>
          <w:i/>
        </w:rPr>
        <w:t>A. ludens</w:t>
      </w:r>
      <w:r>
        <w:t xml:space="preserve">; and </w:t>
      </w:r>
      <w:r>
        <w:rPr>
          <w:b/>
        </w:rPr>
        <w:t>(C-3)</w:t>
      </w:r>
      <w:r>
        <w:t xml:space="preserve"> </w:t>
      </w:r>
      <w:r>
        <w:rPr>
          <w:i/>
        </w:rPr>
        <w:t>A. obliqua.</w:t>
      </w:r>
      <w:r>
        <w:t xml:space="preserve"> </w:t>
      </w:r>
    </w:p>
    <w:p w14:paraId="1AEF7DE8" w14:textId="77777777" w:rsidR="00426446" w:rsidRDefault="00426446" w:rsidP="00426446">
      <w:pPr>
        <w:rPr>
          <w:i/>
        </w:rPr>
      </w:pPr>
      <w:r>
        <w:rPr>
          <w:i/>
        </w:rPr>
        <w:t xml:space="preserve">Source: Figure 4-A adapted from Hernández-Ortiz </w:t>
      </w:r>
      <w:r>
        <w:t>et al.</w:t>
      </w:r>
      <w:r>
        <w:rPr>
          <w:i/>
        </w:rPr>
        <w:t xml:space="preserve"> (2010); Figures 4-B, C adapted from Hernández-Ortiz (1992). </w:t>
      </w:r>
    </w:p>
    <w:p w14:paraId="70BDF98E" w14:textId="77777777" w:rsidR="00426446" w:rsidRDefault="00426446" w:rsidP="00426446">
      <w:pPr>
        <w:spacing w:after="160" w:line="259" w:lineRule="auto"/>
        <w:jc w:val="left"/>
        <w:rPr>
          <w:i/>
        </w:rPr>
      </w:pPr>
      <w:r>
        <w:rPr>
          <w:i/>
        </w:rPr>
        <w:br w:type="page"/>
      </w:r>
    </w:p>
    <w:p w14:paraId="431BB957" w14:textId="77777777" w:rsidR="00426446" w:rsidRPr="00FB0ED3" w:rsidRDefault="00426446" w:rsidP="00426446">
      <w:pPr>
        <w:rPr>
          <w:iCs/>
        </w:rPr>
      </w:pPr>
      <w:r w:rsidRPr="00014732">
        <w:rPr>
          <w:noProof/>
          <w:lang w:val="en-US"/>
        </w:rPr>
        <w:drawing>
          <wp:inline distT="0" distB="0" distL="0" distR="0" wp14:anchorId="62ABEEBA" wp14:editId="78F2315B">
            <wp:extent cx="5066667" cy="5419048"/>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66667" cy="5419048"/>
                    </a:xfrm>
                    <a:prstGeom prst="rect">
                      <a:avLst/>
                    </a:prstGeom>
                  </pic:spPr>
                </pic:pic>
              </a:graphicData>
            </a:graphic>
          </wp:inline>
        </w:drawing>
      </w:r>
    </w:p>
    <w:p w14:paraId="19A22915" w14:textId="77777777" w:rsidR="00426446" w:rsidRDefault="00426446" w:rsidP="00426446">
      <w:r>
        <w:rPr>
          <w:b/>
        </w:rPr>
        <w:t>Figure 6. (A)</w:t>
      </w:r>
      <w:r>
        <w:t xml:space="preserve"> Wing in dorsal view showing general </w:t>
      </w:r>
      <w:r>
        <w:rPr>
          <w:i/>
        </w:rPr>
        <w:t xml:space="preserve">Anastrepha </w:t>
      </w:r>
      <w:r>
        <w:t xml:space="preserve">pattern and nomenclature of veins and cells. </w:t>
      </w:r>
      <w:r>
        <w:rPr>
          <w:b/>
        </w:rPr>
        <w:t>(B)</w:t>
      </w:r>
      <w:r>
        <w:t xml:space="preserve"> Male terminalia in </w:t>
      </w:r>
      <w:r>
        <w:rPr>
          <w:i/>
        </w:rPr>
        <w:t xml:space="preserve">Anastrepha </w:t>
      </w:r>
      <w:r>
        <w:t xml:space="preserve">species. </w:t>
      </w:r>
      <w:r>
        <w:rPr>
          <w:i/>
        </w:rPr>
        <w:t xml:space="preserve">epa, </w:t>
      </w:r>
      <w:r>
        <w:t xml:space="preserve">epandrium; </w:t>
      </w:r>
      <w:r>
        <w:rPr>
          <w:i/>
        </w:rPr>
        <w:t>gla,</w:t>
      </w:r>
      <w:r>
        <w:t xml:space="preserve"> glans; </w:t>
      </w:r>
      <w:r>
        <w:rPr>
          <w:i/>
        </w:rPr>
        <w:t>lsur,</w:t>
      </w:r>
      <w:r>
        <w:t xml:space="preserve"> lateral surstylus; </w:t>
      </w:r>
      <w:r>
        <w:rPr>
          <w:i/>
        </w:rPr>
        <w:t>msur,</w:t>
      </w:r>
      <w:r>
        <w:t xml:space="preserve"> medial surstylus; </w:t>
      </w:r>
      <w:r>
        <w:rPr>
          <w:i/>
        </w:rPr>
        <w:t>ph,</w:t>
      </w:r>
      <w:r>
        <w:t xml:space="preserve"> phallus; </w:t>
      </w:r>
      <w:r>
        <w:rPr>
          <w:i/>
        </w:rPr>
        <w:t>pre,</w:t>
      </w:r>
      <w:r>
        <w:t xml:space="preserve"> prensisetae; </w:t>
      </w:r>
      <w:r>
        <w:rPr>
          <w:i/>
        </w:rPr>
        <w:t>pro,</w:t>
      </w:r>
      <w:r>
        <w:t xml:space="preserve"> proctiger. </w:t>
      </w:r>
      <w:r>
        <w:rPr>
          <w:b/>
        </w:rPr>
        <w:t>(C)</w:t>
      </w:r>
      <w:r>
        <w:t xml:space="preserve"> Female terminalia in </w:t>
      </w:r>
      <w:r>
        <w:rPr>
          <w:i/>
        </w:rPr>
        <w:t xml:space="preserve">Anastrepha </w:t>
      </w:r>
      <w:r>
        <w:t xml:space="preserve">species. </w:t>
      </w:r>
      <w:r>
        <w:rPr>
          <w:i/>
        </w:rPr>
        <w:t>em,</w:t>
      </w:r>
      <w:r>
        <w:t xml:space="preserve"> eversible membrane; </w:t>
      </w:r>
      <w:r>
        <w:rPr>
          <w:i/>
        </w:rPr>
        <w:t>ov,</w:t>
      </w:r>
      <w:r>
        <w:t xml:space="preserve"> oviscape;</w:t>
      </w:r>
      <w:r>
        <w:rPr>
          <w:i/>
        </w:rPr>
        <w:t xml:space="preserve"> sp, </w:t>
      </w:r>
      <w:r>
        <w:t xml:space="preserve">sclerotized plates. </w:t>
      </w:r>
    </w:p>
    <w:p w14:paraId="7D0EC25F" w14:textId="77777777" w:rsidR="00426446" w:rsidRDefault="00426446" w:rsidP="00426446">
      <w:pPr>
        <w:rPr>
          <w:i/>
        </w:rPr>
      </w:pPr>
      <w:r>
        <w:rPr>
          <w:i/>
        </w:rPr>
        <w:t xml:space="preserve">Source: Figure 6-A adapted from Hernández-Ortiz </w:t>
      </w:r>
      <w:r>
        <w:t>et al.</w:t>
      </w:r>
      <w:r>
        <w:rPr>
          <w:i/>
        </w:rPr>
        <w:t xml:space="preserve"> (2010); Figures 6-B, C adapted from Norrbom </w:t>
      </w:r>
      <w:r>
        <w:t>et al</w:t>
      </w:r>
      <w:r>
        <w:rPr>
          <w:i/>
        </w:rPr>
        <w:t xml:space="preserve">. (2012). </w:t>
      </w:r>
    </w:p>
    <w:p w14:paraId="3A43BC1C" w14:textId="77777777" w:rsidR="00426446" w:rsidRDefault="00426446" w:rsidP="00426446">
      <w:pPr>
        <w:spacing w:after="160" w:line="259" w:lineRule="auto"/>
        <w:jc w:val="left"/>
        <w:rPr>
          <w:i/>
        </w:rPr>
      </w:pPr>
      <w:r>
        <w:rPr>
          <w:i/>
        </w:rPr>
        <w:br w:type="page"/>
      </w:r>
    </w:p>
    <w:p w14:paraId="539452EA" w14:textId="77777777" w:rsidR="00426446" w:rsidRPr="00872EBC" w:rsidRDefault="00426446" w:rsidP="00426446">
      <w:pPr>
        <w:rPr>
          <w:iCs/>
        </w:rPr>
      </w:pPr>
      <w:r w:rsidRPr="000E7926">
        <w:rPr>
          <w:noProof/>
          <w:lang w:val="en-US"/>
        </w:rPr>
        <w:drawing>
          <wp:inline distT="0" distB="0" distL="0" distR="0" wp14:anchorId="7E5C5D73" wp14:editId="387A0C79">
            <wp:extent cx="5085714" cy="4733333"/>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85714" cy="4733333"/>
                    </a:xfrm>
                    <a:prstGeom prst="rect">
                      <a:avLst/>
                    </a:prstGeom>
                  </pic:spPr>
                </pic:pic>
              </a:graphicData>
            </a:graphic>
          </wp:inline>
        </w:drawing>
      </w:r>
    </w:p>
    <w:p w14:paraId="7C3DC58D" w14:textId="77777777" w:rsidR="00426446" w:rsidRDefault="00426446" w:rsidP="00426446">
      <w:r>
        <w:rPr>
          <w:b/>
        </w:rPr>
        <w:t>Figure 7.</w:t>
      </w:r>
      <w:r>
        <w:t xml:space="preserve"> Wing pattern of </w:t>
      </w:r>
      <w:r>
        <w:rPr>
          <w:i/>
        </w:rPr>
        <w:t xml:space="preserve">Anastrepha </w:t>
      </w:r>
      <w:r>
        <w:t xml:space="preserve">species: </w:t>
      </w:r>
      <w:r>
        <w:rPr>
          <w:b/>
        </w:rPr>
        <w:t>(A)</w:t>
      </w:r>
      <w:r>
        <w:t xml:space="preserve"> </w:t>
      </w:r>
      <w:r>
        <w:rPr>
          <w:i/>
        </w:rPr>
        <w:t>A. curvicauda</w:t>
      </w:r>
      <w:r>
        <w:t xml:space="preserve">; </w:t>
      </w:r>
      <w:r>
        <w:rPr>
          <w:b/>
        </w:rPr>
        <w:t>(B)</w:t>
      </w:r>
      <w:r>
        <w:t xml:space="preserve"> </w:t>
      </w:r>
      <w:r>
        <w:rPr>
          <w:i/>
        </w:rPr>
        <w:t>A. grandis</w:t>
      </w:r>
      <w:r>
        <w:t xml:space="preserve">; </w:t>
      </w:r>
      <w:r>
        <w:rPr>
          <w:b/>
        </w:rPr>
        <w:t>(C)</w:t>
      </w:r>
      <w:r>
        <w:t xml:space="preserve"> </w:t>
      </w:r>
      <w:r>
        <w:rPr>
          <w:i/>
        </w:rPr>
        <w:t>A. serpentina</w:t>
      </w:r>
      <w:r>
        <w:t xml:space="preserve">; </w:t>
      </w:r>
      <w:r>
        <w:rPr>
          <w:b/>
        </w:rPr>
        <w:t>(D)</w:t>
      </w:r>
      <w:r>
        <w:t xml:space="preserve"> </w:t>
      </w:r>
      <w:r>
        <w:rPr>
          <w:i/>
        </w:rPr>
        <w:t>A. striata</w:t>
      </w:r>
      <w:r>
        <w:t xml:space="preserve">; </w:t>
      </w:r>
      <w:r>
        <w:rPr>
          <w:b/>
        </w:rPr>
        <w:t>(E)</w:t>
      </w:r>
      <w:r>
        <w:t xml:space="preserve"> </w:t>
      </w:r>
      <w:r>
        <w:rPr>
          <w:i/>
        </w:rPr>
        <w:t>A. suspensa</w:t>
      </w:r>
      <w:r>
        <w:t xml:space="preserve">; </w:t>
      </w:r>
      <w:r>
        <w:rPr>
          <w:b/>
        </w:rPr>
        <w:t>(F)</w:t>
      </w:r>
      <w:r>
        <w:t xml:space="preserve"> </w:t>
      </w:r>
      <w:r>
        <w:rPr>
          <w:i/>
        </w:rPr>
        <w:t>A. ludens</w:t>
      </w:r>
      <w:r>
        <w:t xml:space="preserve">; </w:t>
      </w:r>
      <w:r>
        <w:rPr>
          <w:b/>
        </w:rPr>
        <w:t>(G)</w:t>
      </w:r>
      <w:r>
        <w:t xml:space="preserve"> </w:t>
      </w:r>
      <w:r>
        <w:rPr>
          <w:i/>
        </w:rPr>
        <w:t>A. obliqua</w:t>
      </w:r>
      <w:r>
        <w:t xml:space="preserve">; and </w:t>
      </w:r>
      <w:r>
        <w:rPr>
          <w:b/>
        </w:rPr>
        <w:t>(H)</w:t>
      </w:r>
      <w:r>
        <w:t xml:space="preserve"> </w:t>
      </w:r>
      <w:r>
        <w:rPr>
          <w:i/>
        </w:rPr>
        <w:t xml:space="preserve">A. fraterculus </w:t>
      </w:r>
      <w:r>
        <w:t xml:space="preserve">(Brazil). </w:t>
      </w:r>
    </w:p>
    <w:p w14:paraId="68D0BDA9" w14:textId="77777777" w:rsidR="00426446" w:rsidRDefault="00426446" w:rsidP="00426446">
      <w:pPr>
        <w:rPr>
          <w:i/>
        </w:rPr>
      </w:pPr>
      <w:r>
        <w:rPr>
          <w:i/>
        </w:rPr>
        <w:t xml:space="preserve">Source: Figures adapted from Hernández-Ortiz </w:t>
      </w:r>
      <w:r>
        <w:t>et al</w:t>
      </w:r>
      <w:r>
        <w:rPr>
          <w:i/>
        </w:rPr>
        <w:t xml:space="preserve">. (2010) and Norrbom </w:t>
      </w:r>
      <w:r>
        <w:t>et al</w:t>
      </w:r>
      <w:r>
        <w:rPr>
          <w:i/>
        </w:rPr>
        <w:t xml:space="preserve">. (2012). </w:t>
      </w:r>
    </w:p>
    <w:p w14:paraId="2B08FDF2" w14:textId="77777777" w:rsidR="00426446" w:rsidRDefault="00426446" w:rsidP="00426446">
      <w:pPr>
        <w:spacing w:after="160" w:line="259" w:lineRule="auto"/>
        <w:jc w:val="left"/>
        <w:rPr>
          <w:b/>
        </w:rPr>
      </w:pPr>
      <w:r>
        <w:rPr>
          <w:b/>
        </w:rPr>
        <w:br w:type="page"/>
      </w:r>
    </w:p>
    <w:p w14:paraId="130308EE" w14:textId="77777777" w:rsidR="00426446" w:rsidRDefault="00426446" w:rsidP="00426446">
      <w:pPr>
        <w:rPr>
          <w:b/>
        </w:rPr>
      </w:pPr>
      <w:r w:rsidRPr="00D30EEA">
        <w:rPr>
          <w:noProof/>
          <w:lang w:val="en-US"/>
        </w:rPr>
        <w:drawing>
          <wp:inline distT="0" distB="0" distL="0" distR="0" wp14:anchorId="3D3D5600" wp14:editId="751901E2">
            <wp:extent cx="5104762" cy="5980952"/>
            <wp:effectExtent l="0" t="0" r="127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04762" cy="5980952"/>
                    </a:xfrm>
                    <a:prstGeom prst="rect">
                      <a:avLst/>
                    </a:prstGeom>
                  </pic:spPr>
                </pic:pic>
              </a:graphicData>
            </a:graphic>
          </wp:inline>
        </w:drawing>
      </w:r>
    </w:p>
    <w:p w14:paraId="767A4808" w14:textId="77777777" w:rsidR="00426446" w:rsidRDefault="00426446" w:rsidP="00426446">
      <w:r>
        <w:rPr>
          <w:b/>
        </w:rPr>
        <w:t>Figure 8.</w:t>
      </w:r>
      <w:r>
        <w:t xml:space="preserve"> Morphology of the aculeus tip in ventral view of </w:t>
      </w:r>
      <w:r>
        <w:rPr>
          <w:i/>
        </w:rPr>
        <w:t xml:space="preserve">Anastrepha </w:t>
      </w:r>
      <w:r>
        <w:t xml:space="preserve">species of major economic importance: </w:t>
      </w:r>
      <w:r>
        <w:rPr>
          <w:b/>
        </w:rPr>
        <w:t>(A)</w:t>
      </w:r>
      <w:r>
        <w:t xml:space="preserve"> </w:t>
      </w:r>
      <w:r>
        <w:rPr>
          <w:i/>
        </w:rPr>
        <w:t>A. curvicauda</w:t>
      </w:r>
      <w:r>
        <w:t xml:space="preserve">; </w:t>
      </w:r>
      <w:r>
        <w:rPr>
          <w:b/>
        </w:rPr>
        <w:t>(B)</w:t>
      </w:r>
      <w:r>
        <w:t xml:space="preserve"> </w:t>
      </w:r>
      <w:r>
        <w:rPr>
          <w:i/>
        </w:rPr>
        <w:t>A. grandis</w:t>
      </w:r>
      <w:r>
        <w:t xml:space="preserve">; </w:t>
      </w:r>
      <w:r>
        <w:rPr>
          <w:b/>
        </w:rPr>
        <w:t>(C)</w:t>
      </w:r>
      <w:r>
        <w:t xml:space="preserve"> </w:t>
      </w:r>
      <w:r>
        <w:rPr>
          <w:i/>
        </w:rPr>
        <w:t>A. serpentina</w:t>
      </w:r>
      <w:r>
        <w:t xml:space="preserve">; </w:t>
      </w:r>
      <w:r>
        <w:rPr>
          <w:b/>
        </w:rPr>
        <w:t>(D)</w:t>
      </w:r>
      <w:r>
        <w:t xml:space="preserve"> </w:t>
      </w:r>
      <w:r>
        <w:rPr>
          <w:i/>
        </w:rPr>
        <w:t>A. striata</w:t>
      </w:r>
      <w:r>
        <w:t xml:space="preserve">; </w:t>
      </w:r>
      <w:r>
        <w:rPr>
          <w:b/>
        </w:rPr>
        <w:t>(E)</w:t>
      </w:r>
      <w:r>
        <w:t xml:space="preserve"> </w:t>
      </w:r>
      <w:r>
        <w:rPr>
          <w:i/>
        </w:rPr>
        <w:t>A. suspensa</w:t>
      </w:r>
      <w:r>
        <w:t xml:space="preserve">; </w:t>
      </w:r>
      <w:r>
        <w:rPr>
          <w:b/>
        </w:rPr>
        <w:t>(F)</w:t>
      </w:r>
      <w:r>
        <w:t xml:space="preserve"> </w:t>
      </w:r>
      <w:r>
        <w:rPr>
          <w:i/>
        </w:rPr>
        <w:t>A. ludens</w:t>
      </w:r>
      <w:r>
        <w:t xml:space="preserve">; </w:t>
      </w:r>
      <w:r>
        <w:rPr>
          <w:b/>
        </w:rPr>
        <w:t>(G)</w:t>
      </w:r>
      <w:r>
        <w:t xml:space="preserve"> </w:t>
      </w:r>
      <w:r>
        <w:rPr>
          <w:i/>
        </w:rPr>
        <w:t>A. obliqua</w:t>
      </w:r>
      <w:r>
        <w:t xml:space="preserve">; and </w:t>
      </w:r>
      <w:r>
        <w:rPr>
          <w:b/>
        </w:rPr>
        <w:t>(H)</w:t>
      </w:r>
      <w:r>
        <w:t xml:space="preserve"> </w:t>
      </w:r>
      <w:r>
        <w:rPr>
          <w:i/>
        </w:rPr>
        <w:t xml:space="preserve">A. fraterculus </w:t>
      </w:r>
      <w:r>
        <w:t xml:space="preserve">(Brazil). </w:t>
      </w:r>
    </w:p>
    <w:p w14:paraId="4C2A563D" w14:textId="77777777" w:rsidR="00426446" w:rsidRDefault="00426446" w:rsidP="00426446">
      <w:pPr>
        <w:rPr>
          <w:b/>
        </w:rPr>
      </w:pPr>
      <w:r>
        <w:rPr>
          <w:i/>
        </w:rPr>
        <w:t xml:space="preserve">Source: Figure 8-A courtesy of A.L. Norrbom; figures 8-B-H adapted from Hernández-Ortiz </w:t>
      </w:r>
      <w:r>
        <w:t>et al</w:t>
      </w:r>
      <w:r>
        <w:rPr>
          <w:i/>
        </w:rPr>
        <w:t xml:space="preserve">. (2010). </w:t>
      </w:r>
    </w:p>
    <w:p w14:paraId="0F3B3B67" w14:textId="77777777" w:rsidR="00426446" w:rsidRDefault="00426446" w:rsidP="00426446">
      <w:pPr>
        <w:spacing w:after="160" w:line="259" w:lineRule="auto"/>
        <w:jc w:val="left"/>
        <w:rPr>
          <w:b/>
        </w:rPr>
      </w:pPr>
      <w:r>
        <w:rPr>
          <w:b/>
        </w:rPr>
        <w:br w:type="page"/>
      </w:r>
    </w:p>
    <w:p w14:paraId="6E629EB4" w14:textId="77777777" w:rsidR="00426446" w:rsidRDefault="00426446" w:rsidP="00426446">
      <w:pPr>
        <w:rPr>
          <w:b/>
        </w:rPr>
      </w:pPr>
      <w:r w:rsidRPr="00B421FD">
        <w:rPr>
          <w:noProof/>
          <w:lang w:val="en-US"/>
        </w:rPr>
        <w:drawing>
          <wp:inline distT="0" distB="0" distL="0" distR="0" wp14:anchorId="5B6A2AAB" wp14:editId="12F3CDCC">
            <wp:extent cx="5943600" cy="422084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220845"/>
                    </a:xfrm>
                    <a:prstGeom prst="rect">
                      <a:avLst/>
                    </a:prstGeom>
                  </pic:spPr>
                </pic:pic>
              </a:graphicData>
            </a:graphic>
          </wp:inline>
        </w:drawing>
      </w:r>
    </w:p>
    <w:p w14:paraId="586F59BF" w14:textId="77777777" w:rsidR="00426446" w:rsidRDefault="00426446" w:rsidP="00426446">
      <w:r>
        <w:rPr>
          <w:b/>
        </w:rPr>
        <w:t xml:space="preserve">Figure 9. (A) </w:t>
      </w:r>
      <w:r>
        <w:t xml:space="preserve">Lateral habitus: (A-A), second instar; (A-B), small third instar; (A-C), large third instar of </w:t>
      </w:r>
      <w:r>
        <w:rPr>
          <w:i/>
        </w:rPr>
        <w:t>Anastrepha suspensa</w:t>
      </w:r>
      <w:r>
        <w:t xml:space="preserve"> showing differences in sizes (A-D); </w:t>
      </w:r>
      <w:r>
        <w:rPr>
          <w:b/>
        </w:rPr>
        <w:t>(B)</w:t>
      </w:r>
      <w:r>
        <w:t xml:space="preserve"> Cephaloskeleton of </w:t>
      </w:r>
      <w:r>
        <w:rPr>
          <w:i/>
        </w:rPr>
        <w:t>Anastrepha suspensa</w:t>
      </w:r>
      <w:r>
        <w:t xml:space="preserve">, second instar; arrow indicates  subapical tooth on mouthhook that is subequal in size to apical tooth; </w:t>
      </w:r>
      <w:r>
        <w:rPr>
          <w:b/>
        </w:rPr>
        <w:t>(C)</w:t>
      </w:r>
      <w:r>
        <w:t xml:space="preserve"> Cephaloskeleton of </w:t>
      </w:r>
      <w:r>
        <w:rPr>
          <w:i/>
        </w:rPr>
        <w:t>Anastrepha suspensa</w:t>
      </w:r>
      <w:r>
        <w:t xml:space="preserve">, third instar; arrow indicates lack of subapical tooth on mouthhook; </w:t>
      </w:r>
      <w:r>
        <w:rPr>
          <w:b/>
        </w:rPr>
        <w:t>(D)</w:t>
      </w:r>
      <w:r>
        <w:t xml:space="preserve"> Cephaloskeleton of </w:t>
      </w:r>
      <w:r>
        <w:rPr>
          <w:i/>
        </w:rPr>
        <w:t>Ceratitis fasciventris</w:t>
      </w:r>
      <w:r>
        <w:t>, third instar; arrow indicates subapical tooth on mouthhook that is much smaller than apical tooth.</w:t>
      </w:r>
    </w:p>
    <w:p w14:paraId="42D2E60E" w14:textId="77777777" w:rsidR="00426446" w:rsidRDefault="00426446" w:rsidP="00426446">
      <w:pPr>
        <w:rPr>
          <w:i/>
        </w:rPr>
      </w:pPr>
      <w:r>
        <w:rPr>
          <w:i/>
        </w:rPr>
        <w:t>Source: Figures 9-A, B courtesy of D. R. Traficante and G. J. Steck; Figure 9-C courtesy of J. Diaz and G. J. Steck; Figure 9-D courtesy of G. J. Steck.</w:t>
      </w:r>
    </w:p>
    <w:p w14:paraId="2FD06F9E" w14:textId="77777777" w:rsidR="00426446" w:rsidRDefault="00426446" w:rsidP="00426446">
      <w:pPr>
        <w:spacing w:after="160" w:line="259" w:lineRule="auto"/>
        <w:jc w:val="left"/>
        <w:rPr>
          <w:b/>
        </w:rPr>
      </w:pPr>
      <w:r>
        <w:rPr>
          <w:b/>
        </w:rPr>
        <w:br w:type="page"/>
      </w:r>
    </w:p>
    <w:p w14:paraId="6A56D3A4" w14:textId="77777777" w:rsidR="00426446" w:rsidRDefault="00426446" w:rsidP="00426446">
      <w:pPr>
        <w:rPr>
          <w:b/>
        </w:rPr>
      </w:pPr>
      <w:r w:rsidRPr="00D373BB">
        <w:rPr>
          <w:noProof/>
          <w:lang w:val="en-US"/>
        </w:rPr>
        <w:drawing>
          <wp:inline distT="0" distB="0" distL="0" distR="0" wp14:anchorId="2E2ABF43" wp14:editId="38F83100">
            <wp:extent cx="5943600" cy="22898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2289810"/>
                    </a:xfrm>
                    <a:prstGeom prst="rect">
                      <a:avLst/>
                    </a:prstGeom>
                  </pic:spPr>
                </pic:pic>
              </a:graphicData>
            </a:graphic>
          </wp:inline>
        </w:drawing>
      </w:r>
    </w:p>
    <w:p w14:paraId="20023337" w14:textId="77777777" w:rsidR="00426446" w:rsidRDefault="00426446" w:rsidP="00426446">
      <w:r>
        <w:rPr>
          <w:b/>
        </w:rPr>
        <w:t xml:space="preserve">Figure 10. </w:t>
      </w:r>
      <w:r>
        <w:t xml:space="preserve">Caudal segment: </w:t>
      </w:r>
      <w:r>
        <w:rPr>
          <w:b/>
        </w:rPr>
        <w:t>(A)</w:t>
      </w:r>
      <w:r>
        <w:t xml:space="preserve">, </w:t>
      </w:r>
      <w:r>
        <w:rPr>
          <w:i/>
        </w:rPr>
        <w:t>Ceratitis capitata</w:t>
      </w:r>
      <w:r>
        <w:t xml:space="preserve">, caudal ridges present (red arrows), posterior spiracle (blue arrow); </w:t>
      </w:r>
      <w:r>
        <w:rPr>
          <w:b/>
        </w:rPr>
        <w:t>(B)</w:t>
      </w:r>
      <w:r>
        <w:t xml:space="preserve">, </w:t>
      </w:r>
      <w:r>
        <w:rPr>
          <w:i/>
        </w:rPr>
        <w:t>Anastrepha distincta</w:t>
      </w:r>
      <w:r>
        <w:t>, caudal ridges absent (arrow).</w:t>
      </w:r>
    </w:p>
    <w:p w14:paraId="0F738965" w14:textId="77777777" w:rsidR="00426446" w:rsidRDefault="00426446" w:rsidP="00426446">
      <w:pPr>
        <w:pBdr>
          <w:top w:val="nil"/>
          <w:left w:val="nil"/>
          <w:bottom w:val="nil"/>
          <w:right w:val="nil"/>
          <w:between w:val="nil"/>
        </w:pBdr>
        <w:spacing w:after="60"/>
        <w:rPr>
          <w:i/>
        </w:rPr>
      </w:pPr>
      <w:r>
        <w:rPr>
          <w:i/>
        </w:rPr>
        <w:t>Source: Figure 10-A courtesy of G. J. Steck; Figure 10-B courtesy of L. A. Somma and G. J. Steck.</w:t>
      </w:r>
    </w:p>
    <w:p w14:paraId="5E6A94F2" w14:textId="77777777" w:rsidR="00426446" w:rsidRDefault="00426446" w:rsidP="00426446">
      <w:pPr>
        <w:spacing w:after="160" w:line="259" w:lineRule="auto"/>
        <w:jc w:val="left"/>
        <w:rPr>
          <w:i/>
        </w:rPr>
      </w:pPr>
      <w:r>
        <w:rPr>
          <w:i/>
        </w:rPr>
        <w:br w:type="page"/>
      </w:r>
    </w:p>
    <w:p w14:paraId="39E0FD07" w14:textId="77777777" w:rsidR="00426446" w:rsidRPr="00D373BB" w:rsidRDefault="00426446" w:rsidP="00426446">
      <w:pPr>
        <w:pBdr>
          <w:top w:val="nil"/>
          <w:left w:val="nil"/>
          <w:bottom w:val="nil"/>
          <w:right w:val="nil"/>
          <w:between w:val="nil"/>
        </w:pBdr>
        <w:spacing w:after="60"/>
        <w:rPr>
          <w:iCs/>
        </w:rPr>
      </w:pPr>
      <w:r w:rsidRPr="002525EB">
        <w:rPr>
          <w:noProof/>
          <w:lang w:val="en-US"/>
        </w:rPr>
        <w:drawing>
          <wp:inline distT="0" distB="0" distL="0" distR="0" wp14:anchorId="247CA7AA" wp14:editId="5D38F65A">
            <wp:extent cx="5943600" cy="22872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287270"/>
                    </a:xfrm>
                    <a:prstGeom prst="rect">
                      <a:avLst/>
                    </a:prstGeom>
                  </pic:spPr>
                </pic:pic>
              </a:graphicData>
            </a:graphic>
          </wp:inline>
        </w:drawing>
      </w:r>
    </w:p>
    <w:p w14:paraId="0757CBB7" w14:textId="77777777" w:rsidR="00426446" w:rsidRDefault="00426446" w:rsidP="00426446">
      <w:pPr>
        <w:jc w:val="left"/>
      </w:pPr>
      <w:r>
        <w:rPr>
          <w:b/>
        </w:rPr>
        <w:t xml:space="preserve">Figure 11. </w:t>
      </w:r>
      <w:r>
        <w:t>Cephaloskeleton:</w:t>
      </w:r>
      <w:r>
        <w:rPr>
          <w:b/>
        </w:rPr>
        <w:t xml:space="preserve"> (A), </w:t>
      </w:r>
      <w:r>
        <w:t xml:space="preserve">mouthhook of </w:t>
      </w:r>
      <w:r>
        <w:rPr>
          <w:i/>
        </w:rPr>
        <w:t>Ceratitis capitata</w:t>
      </w:r>
      <w:r>
        <w:t xml:space="preserve"> with elongate posterior neck (blue arrow) and dental sclerite (red arrow)</w:t>
      </w:r>
      <w:r>
        <w:rPr>
          <w:b/>
        </w:rPr>
        <w:t xml:space="preserve">; (B), </w:t>
      </w:r>
      <w:r>
        <w:t xml:space="preserve">mouthhook of </w:t>
      </w:r>
      <w:r>
        <w:rPr>
          <w:i/>
        </w:rPr>
        <w:t>Anastrepha ludens</w:t>
      </w:r>
      <w:r>
        <w:t xml:space="preserve"> with truncate posterior end and no dental sclerite.</w:t>
      </w:r>
    </w:p>
    <w:p w14:paraId="4E2EDA9C" w14:textId="77777777" w:rsidR="00426446" w:rsidRDefault="00426446" w:rsidP="00426446">
      <w:pPr>
        <w:pBdr>
          <w:top w:val="nil"/>
          <w:left w:val="nil"/>
          <w:bottom w:val="nil"/>
          <w:right w:val="nil"/>
          <w:between w:val="nil"/>
        </w:pBdr>
        <w:spacing w:after="60"/>
        <w:rPr>
          <w:i/>
        </w:rPr>
      </w:pPr>
      <w:r>
        <w:rPr>
          <w:i/>
        </w:rPr>
        <w:t>Source: Figures courtesy of J. Diaz and G. J. Steck.</w:t>
      </w:r>
    </w:p>
    <w:p w14:paraId="7685762C" w14:textId="77777777" w:rsidR="00426446" w:rsidRDefault="00426446" w:rsidP="00426446">
      <w:pPr>
        <w:spacing w:after="160" w:line="259" w:lineRule="auto"/>
        <w:jc w:val="left"/>
        <w:rPr>
          <w:i/>
        </w:rPr>
      </w:pPr>
      <w:r>
        <w:rPr>
          <w:i/>
        </w:rPr>
        <w:br w:type="page"/>
      </w:r>
    </w:p>
    <w:p w14:paraId="79137E93" w14:textId="77777777" w:rsidR="00426446" w:rsidRDefault="00426446" w:rsidP="00426446">
      <w:pPr>
        <w:pBdr>
          <w:top w:val="nil"/>
          <w:left w:val="nil"/>
          <w:bottom w:val="nil"/>
          <w:right w:val="nil"/>
          <w:between w:val="nil"/>
        </w:pBdr>
        <w:spacing w:after="60"/>
        <w:rPr>
          <w:i/>
        </w:rPr>
      </w:pPr>
      <w:r w:rsidRPr="006A4BC8">
        <w:rPr>
          <w:noProof/>
          <w:lang w:val="en-US"/>
        </w:rPr>
        <w:drawing>
          <wp:inline distT="0" distB="0" distL="0" distR="0" wp14:anchorId="6D4FD37A" wp14:editId="2A70E808">
            <wp:extent cx="5943600" cy="163131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1631315"/>
                    </a:xfrm>
                    <a:prstGeom prst="rect">
                      <a:avLst/>
                    </a:prstGeom>
                  </pic:spPr>
                </pic:pic>
              </a:graphicData>
            </a:graphic>
          </wp:inline>
        </w:drawing>
      </w:r>
    </w:p>
    <w:p w14:paraId="7BEBD2B2" w14:textId="77777777" w:rsidR="00426446" w:rsidRDefault="00426446" w:rsidP="00426446">
      <w:r>
        <w:rPr>
          <w:b/>
        </w:rPr>
        <w:t>Figure 12.</w:t>
      </w:r>
      <w:r>
        <w:t xml:space="preserve"> Pseudocephalon sensory structures: antenna, maxillary palpus, dorsolateral pair: </w:t>
      </w:r>
      <w:r>
        <w:rPr>
          <w:b/>
        </w:rPr>
        <w:t>(A)</w:t>
      </w:r>
      <w:r>
        <w:t xml:space="preserve">, dorsolateral pair of sensilla (circled) perpendicular to maxillary palpus, </w:t>
      </w:r>
      <w:r>
        <w:rPr>
          <w:i/>
        </w:rPr>
        <w:t>Anastrepha suspensa</w:t>
      </w:r>
      <w:r>
        <w:t xml:space="preserve">; </w:t>
      </w:r>
      <w:r>
        <w:rPr>
          <w:b/>
        </w:rPr>
        <w:t>(B)</w:t>
      </w:r>
      <w:r>
        <w:t xml:space="preserve">, dorsolateral pair of sensilla (circled) perpendicular to maxillary palpus, </w:t>
      </w:r>
      <w:r>
        <w:rPr>
          <w:i/>
        </w:rPr>
        <w:t>Anastrepha suspensa</w:t>
      </w:r>
      <w:r>
        <w:t xml:space="preserve">, SEM; </w:t>
      </w:r>
      <w:r>
        <w:rPr>
          <w:b/>
        </w:rPr>
        <w:t>(C</w:t>
      </w:r>
      <w:r>
        <w:t xml:space="preserve">), dorsolateral pair of sensilla (circled), parallel to maxillary palpus, </w:t>
      </w:r>
      <w:r>
        <w:rPr>
          <w:i/>
        </w:rPr>
        <w:t>Ceratitis capitata</w:t>
      </w:r>
      <w:r>
        <w:t xml:space="preserve">, SEM. </w:t>
      </w:r>
      <w:r>
        <w:rPr>
          <w:i/>
        </w:rPr>
        <w:t>ANT</w:t>
      </w:r>
      <w:r>
        <w:t xml:space="preserve">, antenna; </w:t>
      </w:r>
      <w:r>
        <w:rPr>
          <w:i/>
        </w:rPr>
        <w:t>DP</w:t>
      </w:r>
      <w:r>
        <w:t xml:space="preserve">, dorsolateral pair; </w:t>
      </w:r>
      <w:r>
        <w:rPr>
          <w:i/>
        </w:rPr>
        <w:t>MP</w:t>
      </w:r>
      <w:r>
        <w:t>, maxillary palpus.</w:t>
      </w:r>
    </w:p>
    <w:p w14:paraId="20FEFC43" w14:textId="77777777" w:rsidR="00426446" w:rsidRDefault="00426446" w:rsidP="00426446">
      <w:pPr>
        <w:pBdr>
          <w:top w:val="nil"/>
          <w:left w:val="nil"/>
          <w:bottom w:val="nil"/>
          <w:right w:val="nil"/>
          <w:between w:val="nil"/>
        </w:pBdr>
        <w:spacing w:after="60"/>
        <w:rPr>
          <w:i/>
        </w:rPr>
      </w:pPr>
      <w:r>
        <w:rPr>
          <w:i/>
        </w:rPr>
        <w:t>Source: Figure 12-A courtesy of D. R. Traficante and G. J. Steck; Figures 12-B, C courtesy of L. A. Somma and G. J. Steck.</w:t>
      </w:r>
    </w:p>
    <w:p w14:paraId="71206B15" w14:textId="77777777" w:rsidR="00426446" w:rsidRDefault="00426446" w:rsidP="00426446">
      <w:pPr>
        <w:spacing w:after="160" w:line="259" w:lineRule="auto"/>
        <w:jc w:val="left"/>
        <w:rPr>
          <w:i/>
        </w:rPr>
      </w:pPr>
      <w:r>
        <w:rPr>
          <w:i/>
        </w:rPr>
        <w:br w:type="page"/>
      </w:r>
    </w:p>
    <w:p w14:paraId="03B8EF2E" w14:textId="77777777" w:rsidR="00426446" w:rsidRPr="00E82EED" w:rsidRDefault="00426446" w:rsidP="00426446">
      <w:pPr>
        <w:pBdr>
          <w:top w:val="nil"/>
          <w:left w:val="nil"/>
          <w:bottom w:val="nil"/>
          <w:right w:val="nil"/>
          <w:between w:val="nil"/>
        </w:pBdr>
        <w:spacing w:after="60"/>
        <w:rPr>
          <w:iCs/>
        </w:rPr>
      </w:pPr>
      <w:r w:rsidRPr="00E82EED">
        <w:rPr>
          <w:noProof/>
          <w:lang w:val="en-US"/>
        </w:rPr>
        <w:drawing>
          <wp:inline distT="0" distB="0" distL="0" distR="0" wp14:anchorId="4882465C" wp14:editId="48D20DE4">
            <wp:extent cx="5943600" cy="26993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2699385"/>
                    </a:xfrm>
                    <a:prstGeom prst="rect">
                      <a:avLst/>
                    </a:prstGeom>
                  </pic:spPr>
                </pic:pic>
              </a:graphicData>
            </a:graphic>
          </wp:inline>
        </w:drawing>
      </w:r>
    </w:p>
    <w:p w14:paraId="68BC7693" w14:textId="77777777" w:rsidR="00426446" w:rsidRDefault="00426446" w:rsidP="00426446">
      <w:r>
        <w:rPr>
          <w:b/>
        </w:rPr>
        <w:t xml:space="preserve">Figure 13. (A) </w:t>
      </w:r>
      <w:r>
        <w:t xml:space="preserve">Preoral teeth (circled), </w:t>
      </w:r>
      <w:r>
        <w:rPr>
          <w:i/>
        </w:rPr>
        <w:t>Rhagoletis pomonella</w:t>
      </w:r>
      <w:r>
        <w:t xml:space="preserve">; </w:t>
      </w:r>
      <w:r>
        <w:rPr>
          <w:b/>
        </w:rPr>
        <w:t xml:space="preserve">(B) </w:t>
      </w:r>
      <w:r>
        <w:t xml:space="preserve">Preoral teeth (circled), </w:t>
      </w:r>
      <w:r>
        <w:rPr>
          <w:i/>
        </w:rPr>
        <w:t>Rhagoletis pomonella</w:t>
      </w:r>
      <w:r>
        <w:t xml:space="preserve">, few oral ridges, no accessory plates, SEM; </w:t>
      </w:r>
      <w:r>
        <w:rPr>
          <w:b/>
        </w:rPr>
        <w:t>(C)</w:t>
      </w:r>
      <w:r>
        <w:t xml:space="preserve"> Preoral organ lacks preoral teeth (circle), numerous oral ridges and accessory plates, </w:t>
      </w:r>
      <w:r>
        <w:rPr>
          <w:i/>
        </w:rPr>
        <w:t>Anastrepha obliqua</w:t>
      </w:r>
      <w:r>
        <w:t xml:space="preserve">, SEM. </w:t>
      </w:r>
      <w:r>
        <w:rPr>
          <w:i/>
        </w:rPr>
        <w:t>AP</w:t>
      </w:r>
      <w:r>
        <w:t xml:space="preserve">, accessory plates. </w:t>
      </w:r>
    </w:p>
    <w:p w14:paraId="211DCE74" w14:textId="77777777" w:rsidR="00426446" w:rsidRDefault="00426446" w:rsidP="00426446">
      <w:pPr>
        <w:rPr>
          <w:i/>
        </w:rPr>
      </w:pPr>
      <w:r>
        <w:rPr>
          <w:i/>
        </w:rPr>
        <w:t>Source: Figure 13-A courtesy of G. J. Steck; Figures 13-B, C courtesy of L. A. Somma and G. J. Steck.</w:t>
      </w:r>
    </w:p>
    <w:p w14:paraId="0F8604F2" w14:textId="77777777" w:rsidR="00426446" w:rsidRDefault="00426446" w:rsidP="00426446">
      <w:pPr>
        <w:spacing w:after="160" w:line="259" w:lineRule="auto"/>
        <w:jc w:val="left"/>
        <w:rPr>
          <w:i/>
        </w:rPr>
      </w:pPr>
      <w:r>
        <w:rPr>
          <w:i/>
        </w:rPr>
        <w:br w:type="page"/>
      </w:r>
    </w:p>
    <w:p w14:paraId="2378725C" w14:textId="77777777" w:rsidR="00426446" w:rsidRPr="00160E48" w:rsidRDefault="00426446" w:rsidP="00426446">
      <w:pPr>
        <w:rPr>
          <w:iCs/>
        </w:rPr>
      </w:pPr>
      <w:r w:rsidRPr="005D0CE3">
        <w:rPr>
          <w:noProof/>
          <w:lang w:val="en-US"/>
        </w:rPr>
        <w:drawing>
          <wp:inline distT="0" distB="0" distL="0" distR="0" wp14:anchorId="3D6BAED5" wp14:editId="671EF466">
            <wp:extent cx="5943600" cy="453199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4531995"/>
                    </a:xfrm>
                    <a:prstGeom prst="rect">
                      <a:avLst/>
                    </a:prstGeom>
                  </pic:spPr>
                </pic:pic>
              </a:graphicData>
            </a:graphic>
          </wp:inline>
        </w:drawing>
      </w:r>
    </w:p>
    <w:p w14:paraId="5EC800F9" w14:textId="77777777" w:rsidR="00426446" w:rsidRPr="00913AA9" w:rsidRDefault="00426446" w:rsidP="00426446">
      <w:pPr>
        <w:rPr>
          <w:lang w:val="pt-BR"/>
        </w:rPr>
      </w:pPr>
      <w:r w:rsidRPr="00913AA9">
        <w:rPr>
          <w:b/>
          <w:lang w:val="pt-BR"/>
        </w:rPr>
        <w:t xml:space="preserve">Figure 14. </w:t>
      </w:r>
      <w:r w:rsidRPr="00913AA9">
        <w:rPr>
          <w:lang w:val="pt-BR"/>
        </w:rPr>
        <w:t xml:space="preserve">Anterior spiracle: </w:t>
      </w:r>
      <w:r w:rsidRPr="00913AA9">
        <w:rPr>
          <w:b/>
          <w:lang w:val="pt-BR"/>
        </w:rPr>
        <w:t>(A)</w:t>
      </w:r>
      <w:r w:rsidRPr="00913AA9">
        <w:rPr>
          <w:lang w:val="pt-BR"/>
        </w:rPr>
        <w:t xml:space="preserve"> </w:t>
      </w:r>
      <w:r w:rsidRPr="00913AA9">
        <w:rPr>
          <w:i/>
          <w:lang w:val="pt-BR"/>
        </w:rPr>
        <w:t>Rhagoletis</w:t>
      </w:r>
      <w:r w:rsidRPr="00913AA9">
        <w:rPr>
          <w:lang w:val="pt-BR"/>
        </w:rPr>
        <w:t xml:space="preserve"> </w:t>
      </w:r>
      <w:r w:rsidRPr="00913AA9">
        <w:rPr>
          <w:i/>
          <w:lang w:val="pt-BR"/>
        </w:rPr>
        <w:t>cingulata</w:t>
      </w:r>
      <w:r w:rsidRPr="00913AA9">
        <w:rPr>
          <w:lang w:val="pt-BR"/>
        </w:rPr>
        <w:t xml:space="preserve">; </w:t>
      </w:r>
      <w:r w:rsidRPr="00913AA9">
        <w:rPr>
          <w:b/>
          <w:lang w:val="pt-BR"/>
        </w:rPr>
        <w:t>(B)</w:t>
      </w:r>
      <w:r w:rsidRPr="00913AA9">
        <w:rPr>
          <w:lang w:val="pt-BR"/>
        </w:rPr>
        <w:t xml:space="preserve"> </w:t>
      </w:r>
      <w:r w:rsidRPr="00913AA9">
        <w:rPr>
          <w:i/>
          <w:lang w:val="pt-BR"/>
        </w:rPr>
        <w:t>Rhagoletis</w:t>
      </w:r>
      <w:r w:rsidRPr="00913AA9">
        <w:rPr>
          <w:lang w:val="pt-BR"/>
        </w:rPr>
        <w:t xml:space="preserve"> </w:t>
      </w:r>
      <w:r w:rsidRPr="00913AA9">
        <w:rPr>
          <w:i/>
          <w:lang w:val="pt-BR"/>
        </w:rPr>
        <w:t>cingulata</w:t>
      </w:r>
      <w:r w:rsidRPr="00913AA9">
        <w:rPr>
          <w:lang w:val="pt-BR"/>
        </w:rPr>
        <w:t xml:space="preserve">, SEM; </w:t>
      </w:r>
      <w:r w:rsidRPr="00913AA9">
        <w:rPr>
          <w:b/>
          <w:lang w:val="pt-BR"/>
        </w:rPr>
        <w:t>(C)</w:t>
      </w:r>
      <w:r w:rsidRPr="00913AA9">
        <w:rPr>
          <w:lang w:val="pt-BR"/>
        </w:rPr>
        <w:t xml:space="preserve"> </w:t>
      </w:r>
      <w:r w:rsidRPr="00913AA9">
        <w:rPr>
          <w:i/>
          <w:lang w:val="pt-BR"/>
        </w:rPr>
        <w:t>Anastrepha ludens</w:t>
      </w:r>
      <w:r w:rsidRPr="00913AA9">
        <w:rPr>
          <w:lang w:val="pt-BR"/>
        </w:rPr>
        <w:t xml:space="preserve">; </w:t>
      </w:r>
      <w:r w:rsidRPr="00913AA9">
        <w:rPr>
          <w:b/>
          <w:lang w:val="pt-BR"/>
        </w:rPr>
        <w:t>(D)</w:t>
      </w:r>
      <w:r w:rsidRPr="00913AA9">
        <w:rPr>
          <w:lang w:val="pt-BR"/>
        </w:rPr>
        <w:t xml:space="preserve"> </w:t>
      </w:r>
      <w:r w:rsidRPr="00913AA9">
        <w:rPr>
          <w:i/>
          <w:lang w:val="pt-BR"/>
        </w:rPr>
        <w:t>Anastrepha ludens</w:t>
      </w:r>
      <w:r w:rsidRPr="00913AA9">
        <w:rPr>
          <w:lang w:val="pt-BR"/>
        </w:rPr>
        <w:t xml:space="preserve">, SEM. </w:t>
      </w:r>
    </w:p>
    <w:p w14:paraId="39DA2A39" w14:textId="7FDABFA2" w:rsidR="00426446" w:rsidRDefault="00426446" w:rsidP="00426446">
      <w:pPr>
        <w:pBdr>
          <w:top w:val="nil"/>
          <w:left w:val="nil"/>
          <w:bottom w:val="nil"/>
          <w:right w:val="nil"/>
          <w:between w:val="nil"/>
        </w:pBdr>
        <w:spacing w:after="60"/>
        <w:rPr>
          <w:i/>
        </w:rPr>
      </w:pPr>
      <w:r>
        <w:rPr>
          <w:i/>
        </w:rPr>
        <w:t>Source: Figure</w:t>
      </w:r>
      <w:r w:rsidR="00160B5A">
        <w:rPr>
          <w:i/>
        </w:rPr>
        <w:t>s</w:t>
      </w:r>
      <w:r>
        <w:rPr>
          <w:i/>
        </w:rPr>
        <w:t xml:space="preserve"> 14-A</w:t>
      </w:r>
      <w:r w:rsidR="00160B5A">
        <w:rPr>
          <w:i/>
        </w:rPr>
        <w:t>, C</w:t>
      </w:r>
      <w:r>
        <w:rPr>
          <w:i/>
        </w:rPr>
        <w:t xml:space="preserve"> courtesy of J. Diaz and G. J. Steck; Figure</w:t>
      </w:r>
      <w:r w:rsidR="00F61AB4">
        <w:rPr>
          <w:i/>
        </w:rPr>
        <w:t>s</w:t>
      </w:r>
      <w:r>
        <w:rPr>
          <w:i/>
        </w:rPr>
        <w:t xml:space="preserve"> 14-B</w:t>
      </w:r>
      <w:r w:rsidR="00F61AB4">
        <w:rPr>
          <w:i/>
        </w:rPr>
        <w:t>, D</w:t>
      </w:r>
      <w:r>
        <w:rPr>
          <w:i/>
        </w:rPr>
        <w:t xml:space="preserve"> courtesy of L. A. Somma and G. J. Steck</w:t>
      </w:r>
      <w:r w:rsidR="00BC470A">
        <w:rPr>
          <w:i/>
        </w:rPr>
        <w:t>.</w:t>
      </w:r>
    </w:p>
    <w:p w14:paraId="0192976A" w14:textId="77777777" w:rsidR="00426446" w:rsidRDefault="00426446" w:rsidP="00426446">
      <w:pPr>
        <w:spacing w:after="160" w:line="259" w:lineRule="auto"/>
        <w:jc w:val="left"/>
        <w:rPr>
          <w:i/>
        </w:rPr>
      </w:pPr>
      <w:r>
        <w:rPr>
          <w:i/>
        </w:rPr>
        <w:br w:type="page"/>
      </w:r>
    </w:p>
    <w:p w14:paraId="6FC774A7" w14:textId="77777777" w:rsidR="00426446" w:rsidRPr="005D0CE3" w:rsidRDefault="00426446" w:rsidP="00426446">
      <w:pPr>
        <w:pBdr>
          <w:top w:val="nil"/>
          <w:left w:val="nil"/>
          <w:bottom w:val="nil"/>
          <w:right w:val="nil"/>
          <w:between w:val="nil"/>
        </w:pBdr>
        <w:spacing w:after="60"/>
        <w:rPr>
          <w:iCs/>
        </w:rPr>
      </w:pPr>
      <w:r w:rsidRPr="005D4C36">
        <w:rPr>
          <w:noProof/>
          <w:lang w:val="en-US"/>
        </w:rPr>
        <w:drawing>
          <wp:inline distT="0" distB="0" distL="0" distR="0" wp14:anchorId="2992D0C9" wp14:editId="00607FCC">
            <wp:extent cx="5943600" cy="22866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2286635"/>
                    </a:xfrm>
                    <a:prstGeom prst="rect">
                      <a:avLst/>
                    </a:prstGeom>
                  </pic:spPr>
                </pic:pic>
              </a:graphicData>
            </a:graphic>
          </wp:inline>
        </w:drawing>
      </w:r>
    </w:p>
    <w:p w14:paraId="51D31EE2" w14:textId="77777777" w:rsidR="00426446" w:rsidRDefault="00426446" w:rsidP="00426446">
      <w:r>
        <w:rPr>
          <w:b/>
        </w:rPr>
        <w:t xml:space="preserve">Figure 15. </w:t>
      </w:r>
      <w:r>
        <w:rPr>
          <w:i/>
        </w:rPr>
        <w:t>Rhagoletis cingulata</w:t>
      </w:r>
      <w:r>
        <w:t xml:space="preserve">; </w:t>
      </w:r>
      <w:r>
        <w:rPr>
          <w:b/>
        </w:rPr>
        <w:t>(A)</w:t>
      </w:r>
      <w:r>
        <w:t xml:space="preserve"> lateral habitus, arrow indicates prominent tubercles on caudal segment; </w:t>
      </w:r>
      <w:r>
        <w:rPr>
          <w:b/>
        </w:rPr>
        <w:t>(B)</w:t>
      </w:r>
      <w:r>
        <w:t xml:space="preserve"> caudal segment, arrows indicate prominent tubercles, SEM. </w:t>
      </w:r>
    </w:p>
    <w:p w14:paraId="2B549EFE" w14:textId="77777777" w:rsidR="00426446" w:rsidRDefault="00426446" w:rsidP="00426446">
      <w:pPr>
        <w:widowControl w:val="0"/>
        <w:spacing w:line="270" w:lineRule="auto"/>
        <w:ind w:left="12" w:right="21" w:firstLine="3"/>
        <w:jc w:val="left"/>
        <w:rPr>
          <w:i/>
        </w:rPr>
      </w:pPr>
      <w:r>
        <w:rPr>
          <w:i/>
        </w:rPr>
        <w:t>Source: Figure 15-A courtesy of G. J. Steck; Figure 15-B courtesy of L. A. Somma and G. J. Steck.</w:t>
      </w:r>
    </w:p>
    <w:p w14:paraId="68643669" w14:textId="77777777" w:rsidR="00426446" w:rsidRDefault="00426446" w:rsidP="00426446">
      <w:pPr>
        <w:widowControl w:val="0"/>
        <w:spacing w:line="270" w:lineRule="auto"/>
        <w:ind w:left="12" w:right="21" w:firstLine="3"/>
        <w:jc w:val="left"/>
        <w:rPr>
          <w:i/>
        </w:rPr>
      </w:pPr>
    </w:p>
    <w:p w14:paraId="67884690" w14:textId="77777777" w:rsidR="00426446" w:rsidRDefault="00426446" w:rsidP="00426446">
      <w:pPr>
        <w:spacing w:after="160" w:line="259" w:lineRule="auto"/>
        <w:jc w:val="left"/>
        <w:rPr>
          <w:i/>
        </w:rPr>
      </w:pPr>
      <w:r>
        <w:rPr>
          <w:i/>
        </w:rPr>
        <w:br w:type="page"/>
      </w:r>
    </w:p>
    <w:p w14:paraId="7207FC25" w14:textId="77777777" w:rsidR="00426446" w:rsidRPr="005D4C36" w:rsidRDefault="00426446" w:rsidP="00426446">
      <w:pPr>
        <w:pBdr>
          <w:top w:val="nil"/>
          <w:left w:val="nil"/>
          <w:bottom w:val="nil"/>
          <w:right w:val="nil"/>
          <w:between w:val="nil"/>
        </w:pBdr>
        <w:spacing w:after="60"/>
        <w:rPr>
          <w:iCs/>
        </w:rPr>
      </w:pPr>
      <w:r w:rsidRPr="00B71594">
        <w:rPr>
          <w:noProof/>
          <w:lang w:val="en-US"/>
        </w:rPr>
        <w:drawing>
          <wp:inline distT="0" distB="0" distL="0" distR="0" wp14:anchorId="1113613F" wp14:editId="2F8660D7">
            <wp:extent cx="5561905" cy="7076190"/>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61905" cy="7076190"/>
                    </a:xfrm>
                    <a:prstGeom prst="rect">
                      <a:avLst/>
                    </a:prstGeom>
                  </pic:spPr>
                </pic:pic>
              </a:graphicData>
            </a:graphic>
          </wp:inline>
        </w:drawing>
      </w:r>
    </w:p>
    <w:p w14:paraId="3760FE9E" w14:textId="77777777" w:rsidR="00426446" w:rsidRDefault="00426446" w:rsidP="00426446">
      <w:pPr>
        <w:rPr>
          <w:b/>
        </w:rPr>
      </w:pPr>
      <w:r>
        <w:rPr>
          <w:b/>
        </w:rPr>
        <w:t xml:space="preserve">Figure 16. </w:t>
      </w:r>
      <w:r>
        <w:t>Facial mask:</w:t>
      </w:r>
      <w:r>
        <w:rPr>
          <w:b/>
        </w:rPr>
        <w:t xml:space="preserve"> (A) </w:t>
      </w:r>
      <w:r>
        <w:rPr>
          <w:i/>
        </w:rPr>
        <w:t>Anastrepha curvicauda;</w:t>
      </w:r>
      <w:r>
        <w:rPr>
          <w:b/>
        </w:rPr>
        <w:t xml:space="preserve"> (B) </w:t>
      </w:r>
      <w:r>
        <w:rPr>
          <w:i/>
        </w:rPr>
        <w:t>Anastrepha fraterculus;</w:t>
      </w:r>
      <w:r>
        <w:rPr>
          <w:b/>
        </w:rPr>
        <w:t xml:space="preserve"> (C) </w:t>
      </w:r>
      <w:r>
        <w:rPr>
          <w:i/>
        </w:rPr>
        <w:t xml:space="preserve">Anastrepha grandis; </w:t>
      </w:r>
      <w:r>
        <w:rPr>
          <w:b/>
        </w:rPr>
        <w:t>(D)</w:t>
      </w:r>
      <w:r>
        <w:rPr>
          <w:i/>
        </w:rPr>
        <w:t xml:space="preserve"> Anastrepha ludens;</w:t>
      </w:r>
      <w:r>
        <w:rPr>
          <w:b/>
        </w:rPr>
        <w:t xml:space="preserve"> (E) </w:t>
      </w:r>
      <w:r>
        <w:rPr>
          <w:i/>
        </w:rPr>
        <w:t>Anastrepha obliqua;</w:t>
      </w:r>
      <w:r>
        <w:rPr>
          <w:b/>
        </w:rPr>
        <w:t xml:space="preserve"> (F) </w:t>
      </w:r>
      <w:r>
        <w:rPr>
          <w:i/>
        </w:rPr>
        <w:t>Anastrepha serpentina;</w:t>
      </w:r>
      <w:r>
        <w:rPr>
          <w:b/>
        </w:rPr>
        <w:t xml:space="preserve"> (G) </w:t>
      </w:r>
      <w:r>
        <w:rPr>
          <w:i/>
        </w:rPr>
        <w:t>Anastrepha striata;</w:t>
      </w:r>
      <w:r>
        <w:rPr>
          <w:b/>
        </w:rPr>
        <w:t xml:space="preserve"> (65) </w:t>
      </w:r>
      <w:r>
        <w:rPr>
          <w:i/>
        </w:rPr>
        <w:t>Anastrepha suspensa.</w:t>
      </w:r>
      <w:r>
        <w:rPr>
          <w:b/>
        </w:rPr>
        <w:t xml:space="preserve"> </w:t>
      </w:r>
    </w:p>
    <w:p w14:paraId="1F14D1E3" w14:textId="77777777" w:rsidR="00426446" w:rsidRDefault="00426446" w:rsidP="00426446">
      <w:pPr>
        <w:pBdr>
          <w:top w:val="nil"/>
          <w:left w:val="nil"/>
          <w:bottom w:val="nil"/>
          <w:right w:val="nil"/>
          <w:between w:val="nil"/>
        </w:pBdr>
        <w:spacing w:after="60"/>
        <w:rPr>
          <w:i/>
        </w:rPr>
      </w:pPr>
      <w:r>
        <w:rPr>
          <w:i/>
        </w:rPr>
        <w:t>Source:  Figures 16-A, C</w:t>
      </w:r>
      <w:r>
        <w:rPr>
          <w:b/>
        </w:rPr>
        <w:t>–</w:t>
      </w:r>
      <w:r>
        <w:rPr>
          <w:i/>
        </w:rPr>
        <w:t>H courtesy of L. A. Somma and G. J. Steck; Figure 16-B courtesy of G. J. Steck.</w:t>
      </w:r>
    </w:p>
    <w:p w14:paraId="7CC4A6CF" w14:textId="77777777" w:rsidR="00426446" w:rsidRDefault="00426446" w:rsidP="00426446">
      <w:pPr>
        <w:spacing w:after="160" w:line="259" w:lineRule="auto"/>
        <w:jc w:val="left"/>
        <w:rPr>
          <w:i/>
        </w:rPr>
      </w:pPr>
      <w:r>
        <w:rPr>
          <w:i/>
        </w:rPr>
        <w:br w:type="page"/>
      </w:r>
    </w:p>
    <w:p w14:paraId="1F405FFE" w14:textId="77777777" w:rsidR="00426446" w:rsidRDefault="00426446" w:rsidP="00426446">
      <w:pPr>
        <w:pBdr>
          <w:top w:val="nil"/>
          <w:left w:val="nil"/>
          <w:bottom w:val="nil"/>
          <w:right w:val="nil"/>
          <w:between w:val="nil"/>
        </w:pBdr>
        <w:spacing w:after="60"/>
      </w:pPr>
      <w:r w:rsidRPr="00800F27">
        <w:rPr>
          <w:noProof/>
          <w:lang w:val="en-US"/>
        </w:rPr>
        <w:drawing>
          <wp:inline distT="0" distB="0" distL="0" distR="0" wp14:anchorId="513DEDBB" wp14:editId="4FD5F1E1">
            <wp:extent cx="5129784" cy="688543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29784" cy="6885432"/>
                    </a:xfrm>
                    <a:prstGeom prst="rect">
                      <a:avLst/>
                    </a:prstGeom>
                  </pic:spPr>
                </pic:pic>
              </a:graphicData>
            </a:graphic>
          </wp:inline>
        </w:drawing>
      </w:r>
    </w:p>
    <w:p w14:paraId="03AF5271" w14:textId="77777777" w:rsidR="00426446" w:rsidRPr="00800F27" w:rsidRDefault="00426446" w:rsidP="00426446">
      <w:pPr>
        <w:rPr>
          <w:b/>
        </w:rPr>
      </w:pPr>
      <w:r>
        <w:rPr>
          <w:b/>
        </w:rPr>
        <w:t xml:space="preserve">Figure 17. </w:t>
      </w:r>
      <w:r>
        <w:t xml:space="preserve">Oral ridges and accessory plates: </w:t>
      </w:r>
      <w:r>
        <w:rPr>
          <w:b/>
        </w:rPr>
        <w:t xml:space="preserve">(A) </w:t>
      </w:r>
      <w:r>
        <w:rPr>
          <w:i/>
        </w:rPr>
        <w:t>Anastrepha curvicauda;</w:t>
      </w:r>
      <w:r>
        <w:rPr>
          <w:b/>
        </w:rPr>
        <w:t xml:space="preserve"> (B) </w:t>
      </w:r>
      <w:r>
        <w:rPr>
          <w:i/>
        </w:rPr>
        <w:t>Anastrepha fraterculus;</w:t>
      </w:r>
      <w:r>
        <w:rPr>
          <w:b/>
        </w:rPr>
        <w:t xml:space="preserve"> (C) </w:t>
      </w:r>
      <w:r>
        <w:rPr>
          <w:i/>
        </w:rPr>
        <w:t xml:space="preserve">Anastrepha grandis; </w:t>
      </w:r>
      <w:r>
        <w:rPr>
          <w:b/>
        </w:rPr>
        <w:t>(D)</w:t>
      </w:r>
      <w:r>
        <w:rPr>
          <w:i/>
        </w:rPr>
        <w:t xml:space="preserve"> Anastrepha ludens;</w:t>
      </w:r>
      <w:r>
        <w:rPr>
          <w:b/>
        </w:rPr>
        <w:t xml:space="preserve"> (E) </w:t>
      </w:r>
      <w:r>
        <w:rPr>
          <w:i/>
        </w:rPr>
        <w:t>Anastrepha obliqua;</w:t>
      </w:r>
      <w:r>
        <w:rPr>
          <w:b/>
        </w:rPr>
        <w:t xml:space="preserve"> (F) </w:t>
      </w:r>
      <w:r>
        <w:rPr>
          <w:i/>
        </w:rPr>
        <w:t>Anastrepha serpentina;</w:t>
      </w:r>
      <w:r>
        <w:rPr>
          <w:b/>
        </w:rPr>
        <w:t xml:space="preserve"> (G) </w:t>
      </w:r>
      <w:r>
        <w:rPr>
          <w:i/>
        </w:rPr>
        <w:t>Anastrepha striata;</w:t>
      </w:r>
      <w:r>
        <w:rPr>
          <w:b/>
        </w:rPr>
        <w:t xml:space="preserve"> (H) </w:t>
      </w:r>
      <w:r>
        <w:rPr>
          <w:i/>
        </w:rPr>
        <w:t>Anastrepha suspensa.</w:t>
      </w:r>
      <w:r>
        <w:rPr>
          <w:b/>
        </w:rPr>
        <w:t xml:space="preserve"> </w:t>
      </w:r>
      <w:r>
        <w:rPr>
          <w:i/>
        </w:rPr>
        <w:t>Source:  Figures courtesy of L. A. Somma and G. J. Steck.</w:t>
      </w:r>
    </w:p>
    <w:p w14:paraId="77FA713E" w14:textId="77777777" w:rsidR="00426446" w:rsidRDefault="00426446" w:rsidP="00426446">
      <w:pPr>
        <w:spacing w:after="160" w:line="259" w:lineRule="auto"/>
        <w:jc w:val="left"/>
        <w:rPr>
          <w:i/>
        </w:rPr>
      </w:pPr>
      <w:r>
        <w:rPr>
          <w:i/>
        </w:rPr>
        <w:br w:type="page"/>
      </w:r>
    </w:p>
    <w:p w14:paraId="5DD76091" w14:textId="77777777" w:rsidR="00426446" w:rsidRPr="00046B0D" w:rsidRDefault="00426446" w:rsidP="00426446">
      <w:pPr>
        <w:pBdr>
          <w:top w:val="nil"/>
          <w:left w:val="nil"/>
          <w:bottom w:val="nil"/>
          <w:right w:val="nil"/>
          <w:between w:val="nil"/>
        </w:pBdr>
        <w:spacing w:after="60"/>
        <w:rPr>
          <w:iCs/>
        </w:rPr>
      </w:pPr>
      <w:r w:rsidRPr="009D4E88">
        <w:rPr>
          <w:noProof/>
          <w:lang w:val="en-US"/>
        </w:rPr>
        <w:drawing>
          <wp:inline distT="0" distB="0" distL="0" distR="0" wp14:anchorId="5DAD217F" wp14:editId="55EB0065">
            <wp:extent cx="4800600" cy="716889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00600" cy="7168896"/>
                    </a:xfrm>
                    <a:prstGeom prst="rect">
                      <a:avLst/>
                    </a:prstGeom>
                  </pic:spPr>
                </pic:pic>
              </a:graphicData>
            </a:graphic>
          </wp:inline>
        </w:drawing>
      </w:r>
    </w:p>
    <w:p w14:paraId="2AA07D0F" w14:textId="77777777" w:rsidR="00426446" w:rsidRDefault="00426446" w:rsidP="00426446">
      <w:pPr>
        <w:rPr>
          <w:b/>
        </w:rPr>
      </w:pPr>
      <w:r>
        <w:rPr>
          <w:b/>
        </w:rPr>
        <w:t xml:space="preserve">Figure 18. </w:t>
      </w:r>
      <w:r>
        <w:t>Cephaloskeleton:</w:t>
      </w:r>
      <w:r>
        <w:rPr>
          <w:b/>
        </w:rPr>
        <w:t xml:space="preserve"> (A) </w:t>
      </w:r>
      <w:r>
        <w:rPr>
          <w:i/>
        </w:rPr>
        <w:t>Anastrepha curvicauda;</w:t>
      </w:r>
      <w:r>
        <w:rPr>
          <w:b/>
        </w:rPr>
        <w:t xml:space="preserve"> (B) </w:t>
      </w:r>
      <w:r>
        <w:rPr>
          <w:i/>
        </w:rPr>
        <w:t>Anastrepha fraterculus;</w:t>
      </w:r>
      <w:r>
        <w:rPr>
          <w:b/>
        </w:rPr>
        <w:t xml:space="preserve"> (C) </w:t>
      </w:r>
      <w:r>
        <w:rPr>
          <w:i/>
        </w:rPr>
        <w:t xml:space="preserve">Anastrepha grandis; </w:t>
      </w:r>
      <w:r>
        <w:rPr>
          <w:b/>
        </w:rPr>
        <w:t>(D)</w:t>
      </w:r>
      <w:r>
        <w:rPr>
          <w:i/>
        </w:rPr>
        <w:t xml:space="preserve"> Anastrepha ludens;</w:t>
      </w:r>
      <w:r>
        <w:rPr>
          <w:b/>
        </w:rPr>
        <w:t xml:space="preserve"> (E) </w:t>
      </w:r>
      <w:r>
        <w:rPr>
          <w:i/>
        </w:rPr>
        <w:t>Anastrepha obliqua;</w:t>
      </w:r>
      <w:r>
        <w:rPr>
          <w:b/>
        </w:rPr>
        <w:t xml:space="preserve"> (F) </w:t>
      </w:r>
      <w:r>
        <w:rPr>
          <w:i/>
        </w:rPr>
        <w:t>Anastrepha serpentina;</w:t>
      </w:r>
      <w:r>
        <w:rPr>
          <w:b/>
        </w:rPr>
        <w:t xml:space="preserve"> (G) </w:t>
      </w:r>
      <w:r>
        <w:rPr>
          <w:i/>
        </w:rPr>
        <w:t>Anastrepha striata;</w:t>
      </w:r>
      <w:r>
        <w:rPr>
          <w:b/>
        </w:rPr>
        <w:t xml:space="preserve"> (H) </w:t>
      </w:r>
      <w:r>
        <w:rPr>
          <w:i/>
        </w:rPr>
        <w:t>Anastrepha suspensa.</w:t>
      </w:r>
      <w:r>
        <w:rPr>
          <w:b/>
        </w:rPr>
        <w:t xml:space="preserve"> </w:t>
      </w:r>
    </w:p>
    <w:p w14:paraId="69EA6EE1" w14:textId="77777777" w:rsidR="00426446" w:rsidRDefault="00426446" w:rsidP="00426446">
      <w:pPr>
        <w:pBdr>
          <w:top w:val="nil"/>
          <w:left w:val="nil"/>
          <w:bottom w:val="nil"/>
          <w:right w:val="nil"/>
          <w:between w:val="nil"/>
        </w:pBdr>
        <w:spacing w:after="60"/>
        <w:rPr>
          <w:i/>
        </w:rPr>
      </w:pPr>
      <w:r>
        <w:rPr>
          <w:i/>
        </w:rPr>
        <w:t>Source:  Figures 18-A, G courtesy of D. R. Traficante and G. J. Steck; Figures 18-B-F, H courtesy of J. Diaz and G. J. Steck.</w:t>
      </w:r>
    </w:p>
    <w:p w14:paraId="61ACA40C" w14:textId="77777777" w:rsidR="00426446" w:rsidRDefault="00426446" w:rsidP="00426446">
      <w:pPr>
        <w:spacing w:after="160" w:line="259" w:lineRule="auto"/>
        <w:jc w:val="left"/>
        <w:rPr>
          <w:i/>
        </w:rPr>
      </w:pPr>
      <w:r>
        <w:rPr>
          <w:i/>
        </w:rPr>
        <w:br w:type="page"/>
      </w:r>
    </w:p>
    <w:p w14:paraId="371E594B" w14:textId="77777777" w:rsidR="00426446" w:rsidRPr="00CF186C" w:rsidRDefault="00426446" w:rsidP="00426446">
      <w:pPr>
        <w:pBdr>
          <w:top w:val="nil"/>
          <w:left w:val="nil"/>
          <w:bottom w:val="nil"/>
          <w:right w:val="nil"/>
          <w:between w:val="nil"/>
        </w:pBdr>
        <w:spacing w:after="60"/>
        <w:rPr>
          <w:iCs/>
        </w:rPr>
      </w:pPr>
      <w:r w:rsidRPr="00CF186C">
        <w:rPr>
          <w:noProof/>
          <w:lang w:val="en-US"/>
        </w:rPr>
        <w:drawing>
          <wp:inline distT="0" distB="0" distL="0" distR="0" wp14:anchorId="337AF4D0" wp14:editId="0F0EAC67">
            <wp:extent cx="4846320" cy="7077456"/>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46320" cy="7077456"/>
                    </a:xfrm>
                    <a:prstGeom prst="rect">
                      <a:avLst/>
                    </a:prstGeom>
                  </pic:spPr>
                </pic:pic>
              </a:graphicData>
            </a:graphic>
          </wp:inline>
        </w:drawing>
      </w:r>
    </w:p>
    <w:p w14:paraId="22547288" w14:textId="13195DE5" w:rsidR="00426446" w:rsidRDefault="00426446" w:rsidP="00426446">
      <w:pPr>
        <w:rPr>
          <w:b/>
        </w:rPr>
      </w:pPr>
      <w:r>
        <w:rPr>
          <w:b/>
        </w:rPr>
        <w:t xml:space="preserve">Figure 19. </w:t>
      </w:r>
      <w:r w:rsidR="000B4FE6">
        <w:t>Mouthhook ventral surface</w:t>
      </w:r>
      <w:r>
        <w:t xml:space="preserve">: </w:t>
      </w:r>
      <w:r>
        <w:rPr>
          <w:b/>
        </w:rPr>
        <w:t xml:space="preserve">(A) </w:t>
      </w:r>
      <w:r>
        <w:rPr>
          <w:i/>
        </w:rPr>
        <w:t>Anastrepha curvicauda;</w:t>
      </w:r>
      <w:r>
        <w:rPr>
          <w:b/>
        </w:rPr>
        <w:t xml:space="preserve"> (B) </w:t>
      </w:r>
      <w:r>
        <w:rPr>
          <w:i/>
        </w:rPr>
        <w:t>Anastrepha fraterculus;</w:t>
      </w:r>
      <w:r>
        <w:rPr>
          <w:b/>
        </w:rPr>
        <w:t xml:space="preserve"> (C) </w:t>
      </w:r>
      <w:r>
        <w:rPr>
          <w:i/>
        </w:rPr>
        <w:t xml:space="preserve">Anastrepha grandis; </w:t>
      </w:r>
      <w:r>
        <w:rPr>
          <w:b/>
        </w:rPr>
        <w:t>(D)</w:t>
      </w:r>
      <w:r>
        <w:rPr>
          <w:i/>
        </w:rPr>
        <w:t xml:space="preserve"> Anastrepha ludens;</w:t>
      </w:r>
      <w:r>
        <w:rPr>
          <w:b/>
        </w:rPr>
        <w:t xml:space="preserve"> (E) </w:t>
      </w:r>
      <w:r>
        <w:rPr>
          <w:i/>
        </w:rPr>
        <w:t>Anastrepha obliqua;</w:t>
      </w:r>
      <w:r>
        <w:rPr>
          <w:b/>
        </w:rPr>
        <w:t xml:space="preserve"> (F) </w:t>
      </w:r>
      <w:r>
        <w:rPr>
          <w:i/>
        </w:rPr>
        <w:t>Anastrepha serpentina;</w:t>
      </w:r>
      <w:r>
        <w:rPr>
          <w:b/>
        </w:rPr>
        <w:t xml:space="preserve"> (G) </w:t>
      </w:r>
      <w:r>
        <w:rPr>
          <w:i/>
        </w:rPr>
        <w:t>Anastrepha striata;</w:t>
      </w:r>
      <w:r>
        <w:rPr>
          <w:b/>
        </w:rPr>
        <w:t xml:space="preserve"> (H) </w:t>
      </w:r>
      <w:r>
        <w:rPr>
          <w:i/>
        </w:rPr>
        <w:t>Anastrepha suspensa.</w:t>
      </w:r>
      <w:r>
        <w:rPr>
          <w:b/>
        </w:rPr>
        <w:t xml:space="preserve"> </w:t>
      </w:r>
    </w:p>
    <w:p w14:paraId="1CBA8E8B" w14:textId="77777777" w:rsidR="00426446" w:rsidRDefault="00426446" w:rsidP="00426446">
      <w:pPr>
        <w:pBdr>
          <w:top w:val="nil"/>
          <w:left w:val="nil"/>
          <w:bottom w:val="nil"/>
          <w:right w:val="nil"/>
          <w:between w:val="nil"/>
        </w:pBdr>
        <w:spacing w:after="60"/>
        <w:rPr>
          <w:i/>
        </w:rPr>
      </w:pPr>
      <w:r>
        <w:rPr>
          <w:i/>
        </w:rPr>
        <w:t>Source: Figures courtesy of L. A. Somma and G. J. Steck.</w:t>
      </w:r>
    </w:p>
    <w:p w14:paraId="3BFB3ABF" w14:textId="77777777" w:rsidR="00426446" w:rsidRDefault="00426446" w:rsidP="00426446">
      <w:pPr>
        <w:spacing w:after="160" w:line="259" w:lineRule="auto"/>
        <w:jc w:val="left"/>
        <w:rPr>
          <w:i/>
        </w:rPr>
      </w:pPr>
      <w:r>
        <w:rPr>
          <w:i/>
        </w:rPr>
        <w:br w:type="page"/>
      </w:r>
    </w:p>
    <w:p w14:paraId="30097978" w14:textId="77777777" w:rsidR="00426446" w:rsidRPr="00CF186C" w:rsidRDefault="00426446" w:rsidP="00426446">
      <w:pPr>
        <w:pBdr>
          <w:top w:val="nil"/>
          <w:left w:val="nil"/>
          <w:bottom w:val="nil"/>
          <w:right w:val="nil"/>
          <w:between w:val="nil"/>
        </w:pBdr>
        <w:spacing w:after="60"/>
        <w:rPr>
          <w:iCs/>
        </w:rPr>
      </w:pPr>
      <w:r w:rsidRPr="00320370">
        <w:rPr>
          <w:noProof/>
          <w:lang w:val="en-US"/>
        </w:rPr>
        <w:drawing>
          <wp:inline distT="0" distB="0" distL="0" distR="0" wp14:anchorId="40F8A0EB" wp14:editId="1D422560">
            <wp:extent cx="4983480" cy="7479792"/>
            <wp:effectExtent l="0" t="0" r="762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83480" cy="7479792"/>
                    </a:xfrm>
                    <a:prstGeom prst="rect">
                      <a:avLst/>
                    </a:prstGeom>
                  </pic:spPr>
                </pic:pic>
              </a:graphicData>
            </a:graphic>
          </wp:inline>
        </w:drawing>
      </w:r>
    </w:p>
    <w:p w14:paraId="7685C064" w14:textId="7AC45D2A" w:rsidR="00426446" w:rsidRDefault="00426446" w:rsidP="00426446">
      <w:pPr>
        <w:rPr>
          <w:b/>
        </w:rPr>
      </w:pPr>
      <w:r>
        <w:rPr>
          <w:b/>
        </w:rPr>
        <w:t xml:space="preserve">Figure 20. </w:t>
      </w:r>
      <w:r w:rsidR="008B5C72">
        <w:t>Anterior</w:t>
      </w:r>
      <w:r>
        <w:t xml:space="preserve"> spiracle:</w:t>
      </w:r>
      <w:r>
        <w:rPr>
          <w:b/>
        </w:rPr>
        <w:t xml:space="preserve"> (A) </w:t>
      </w:r>
      <w:r>
        <w:rPr>
          <w:i/>
        </w:rPr>
        <w:t>Anastrepha curvicauda;</w:t>
      </w:r>
      <w:r>
        <w:rPr>
          <w:b/>
        </w:rPr>
        <w:t xml:space="preserve"> (B) </w:t>
      </w:r>
      <w:r>
        <w:rPr>
          <w:i/>
        </w:rPr>
        <w:t>Anastrepha fraterculus;</w:t>
      </w:r>
      <w:r>
        <w:rPr>
          <w:b/>
        </w:rPr>
        <w:t xml:space="preserve"> (C) </w:t>
      </w:r>
      <w:r>
        <w:rPr>
          <w:i/>
        </w:rPr>
        <w:t xml:space="preserve">Anastrepha grandis; </w:t>
      </w:r>
      <w:r>
        <w:rPr>
          <w:b/>
        </w:rPr>
        <w:t>(D)</w:t>
      </w:r>
      <w:r>
        <w:rPr>
          <w:i/>
        </w:rPr>
        <w:t xml:space="preserve"> Anastrepha ludens;</w:t>
      </w:r>
      <w:r>
        <w:rPr>
          <w:b/>
        </w:rPr>
        <w:t xml:space="preserve"> (E) </w:t>
      </w:r>
      <w:r>
        <w:rPr>
          <w:i/>
        </w:rPr>
        <w:t>Anastrepha obliqua;</w:t>
      </w:r>
      <w:r>
        <w:rPr>
          <w:b/>
        </w:rPr>
        <w:t xml:space="preserve"> (F) </w:t>
      </w:r>
      <w:r>
        <w:rPr>
          <w:i/>
        </w:rPr>
        <w:t>Anastrepha serpentina;</w:t>
      </w:r>
      <w:r>
        <w:rPr>
          <w:b/>
        </w:rPr>
        <w:t xml:space="preserve"> (G) </w:t>
      </w:r>
      <w:r>
        <w:rPr>
          <w:i/>
        </w:rPr>
        <w:t>Anastrepha striata;</w:t>
      </w:r>
      <w:r>
        <w:rPr>
          <w:b/>
        </w:rPr>
        <w:t xml:space="preserve"> (H) </w:t>
      </w:r>
      <w:r>
        <w:rPr>
          <w:i/>
        </w:rPr>
        <w:t>Anastrepha suspensa.</w:t>
      </w:r>
      <w:r>
        <w:rPr>
          <w:b/>
        </w:rPr>
        <w:t xml:space="preserve"> </w:t>
      </w:r>
    </w:p>
    <w:p w14:paraId="0432A754" w14:textId="77777777" w:rsidR="00426446" w:rsidRDefault="00426446" w:rsidP="00426446">
      <w:pPr>
        <w:pBdr>
          <w:top w:val="nil"/>
          <w:left w:val="nil"/>
          <w:bottom w:val="nil"/>
          <w:right w:val="nil"/>
          <w:between w:val="nil"/>
        </w:pBdr>
        <w:spacing w:after="60"/>
        <w:rPr>
          <w:i/>
        </w:rPr>
      </w:pPr>
      <w:r>
        <w:rPr>
          <w:i/>
        </w:rPr>
        <w:t>Source: Figures courtesy of J. Diaz and G. J. Steck.</w:t>
      </w:r>
    </w:p>
    <w:p w14:paraId="264A03AE" w14:textId="77777777" w:rsidR="00426446" w:rsidRDefault="00426446" w:rsidP="00426446">
      <w:pPr>
        <w:spacing w:after="160" w:line="259" w:lineRule="auto"/>
        <w:jc w:val="left"/>
        <w:rPr>
          <w:i/>
        </w:rPr>
      </w:pPr>
      <w:r>
        <w:rPr>
          <w:i/>
        </w:rPr>
        <w:br w:type="page"/>
      </w:r>
    </w:p>
    <w:p w14:paraId="007BEC9A" w14:textId="77777777" w:rsidR="00426446" w:rsidRPr="00320370" w:rsidRDefault="00426446" w:rsidP="00426446">
      <w:pPr>
        <w:pBdr>
          <w:top w:val="nil"/>
          <w:left w:val="nil"/>
          <w:bottom w:val="nil"/>
          <w:right w:val="nil"/>
          <w:between w:val="nil"/>
        </w:pBdr>
        <w:spacing w:after="60"/>
        <w:rPr>
          <w:iCs/>
        </w:rPr>
      </w:pPr>
      <w:r w:rsidRPr="00CB37EB">
        <w:rPr>
          <w:noProof/>
          <w:lang w:val="en-US"/>
        </w:rPr>
        <w:drawing>
          <wp:inline distT="0" distB="0" distL="0" distR="0" wp14:anchorId="0DA08ABA" wp14:editId="62F6B38C">
            <wp:extent cx="5340096" cy="72054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40096" cy="7205472"/>
                    </a:xfrm>
                    <a:prstGeom prst="rect">
                      <a:avLst/>
                    </a:prstGeom>
                  </pic:spPr>
                </pic:pic>
              </a:graphicData>
            </a:graphic>
          </wp:inline>
        </w:drawing>
      </w:r>
    </w:p>
    <w:p w14:paraId="2D3080E0" w14:textId="77777777" w:rsidR="00426446" w:rsidRDefault="00426446" w:rsidP="00426446">
      <w:pPr>
        <w:jc w:val="left"/>
      </w:pPr>
      <w:r>
        <w:rPr>
          <w:b/>
        </w:rPr>
        <w:t xml:space="preserve">Figure 21. </w:t>
      </w:r>
      <w:r>
        <w:t xml:space="preserve">Posterior spiracle: </w:t>
      </w:r>
      <w:r>
        <w:rPr>
          <w:b/>
        </w:rPr>
        <w:t xml:space="preserve">(A) </w:t>
      </w:r>
      <w:r>
        <w:rPr>
          <w:i/>
        </w:rPr>
        <w:t xml:space="preserve">Anastrepha curvicauda; </w:t>
      </w:r>
      <w:r>
        <w:rPr>
          <w:b/>
        </w:rPr>
        <w:t xml:space="preserve">(B) </w:t>
      </w:r>
      <w:r>
        <w:rPr>
          <w:i/>
        </w:rPr>
        <w:t xml:space="preserve">Anastrepha fraterculus; </w:t>
      </w:r>
      <w:r>
        <w:rPr>
          <w:b/>
        </w:rPr>
        <w:t xml:space="preserve">(C) </w:t>
      </w:r>
      <w:r>
        <w:rPr>
          <w:i/>
        </w:rPr>
        <w:t xml:space="preserve">Anastrepha grandis; </w:t>
      </w:r>
      <w:r>
        <w:rPr>
          <w:b/>
        </w:rPr>
        <w:t xml:space="preserve">(D) </w:t>
      </w:r>
      <w:r>
        <w:rPr>
          <w:i/>
        </w:rPr>
        <w:t xml:space="preserve">Anastrepha ludens; </w:t>
      </w:r>
      <w:r>
        <w:rPr>
          <w:b/>
        </w:rPr>
        <w:t xml:space="preserve">(E) </w:t>
      </w:r>
      <w:r>
        <w:rPr>
          <w:i/>
        </w:rPr>
        <w:t xml:space="preserve">Anastrepha obliqua; </w:t>
      </w:r>
      <w:r>
        <w:rPr>
          <w:b/>
        </w:rPr>
        <w:t xml:space="preserve">(F) </w:t>
      </w:r>
      <w:r>
        <w:rPr>
          <w:i/>
        </w:rPr>
        <w:t xml:space="preserve">Anastrepha serpentina; </w:t>
      </w:r>
      <w:r>
        <w:rPr>
          <w:b/>
        </w:rPr>
        <w:t xml:space="preserve">(G) </w:t>
      </w:r>
      <w:r>
        <w:rPr>
          <w:i/>
        </w:rPr>
        <w:t xml:space="preserve">Anastrepha striata; </w:t>
      </w:r>
      <w:r>
        <w:rPr>
          <w:b/>
        </w:rPr>
        <w:t xml:space="preserve">(H) </w:t>
      </w:r>
      <w:r>
        <w:rPr>
          <w:i/>
        </w:rPr>
        <w:t>Anastrepha suspensa.</w:t>
      </w:r>
    </w:p>
    <w:p w14:paraId="38CCDC4E" w14:textId="77777777" w:rsidR="00426446" w:rsidRDefault="00426446" w:rsidP="00426446">
      <w:pPr>
        <w:pBdr>
          <w:top w:val="nil"/>
          <w:left w:val="nil"/>
          <w:bottom w:val="nil"/>
          <w:right w:val="nil"/>
          <w:between w:val="nil"/>
        </w:pBdr>
        <w:spacing w:after="60"/>
        <w:rPr>
          <w:i/>
        </w:rPr>
      </w:pPr>
      <w:r>
        <w:rPr>
          <w:i/>
        </w:rPr>
        <w:t>Source: Figures courtesy of J. Diaz and G. J. Steck.</w:t>
      </w:r>
    </w:p>
    <w:p w14:paraId="262C73E4" w14:textId="77777777" w:rsidR="00426446" w:rsidRDefault="00426446" w:rsidP="00426446">
      <w:pPr>
        <w:spacing w:after="160" w:line="259" w:lineRule="auto"/>
        <w:jc w:val="left"/>
        <w:rPr>
          <w:i/>
        </w:rPr>
      </w:pPr>
      <w:r>
        <w:rPr>
          <w:i/>
        </w:rPr>
        <w:br w:type="page"/>
      </w:r>
    </w:p>
    <w:p w14:paraId="1266C201" w14:textId="77777777" w:rsidR="00426446" w:rsidRPr="00CB37EB" w:rsidRDefault="00426446" w:rsidP="00426446">
      <w:pPr>
        <w:pBdr>
          <w:top w:val="nil"/>
          <w:left w:val="nil"/>
          <w:bottom w:val="nil"/>
          <w:right w:val="nil"/>
          <w:between w:val="nil"/>
        </w:pBdr>
        <w:spacing w:after="60"/>
        <w:rPr>
          <w:iCs/>
        </w:rPr>
      </w:pPr>
      <w:r w:rsidRPr="00C10D3A">
        <w:rPr>
          <w:noProof/>
          <w:lang w:val="en-US"/>
        </w:rPr>
        <w:drawing>
          <wp:inline distT="0" distB="0" distL="0" distR="0" wp14:anchorId="2D52E19F" wp14:editId="5FA6497B">
            <wp:extent cx="5943600" cy="44469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4446905"/>
                    </a:xfrm>
                    <a:prstGeom prst="rect">
                      <a:avLst/>
                    </a:prstGeom>
                  </pic:spPr>
                </pic:pic>
              </a:graphicData>
            </a:graphic>
          </wp:inline>
        </w:drawing>
      </w:r>
    </w:p>
    <w:p w14:paraId="0B2D617B" w14:textId="77777777" w:rsidR="00426446" w:rsidRDefault="00426446" w:rsidP="00426446">
      <w:pPr>
        <w:pBdr>
          <w:top w:val="nil"/>
          <w:left w:val="nil"/>
          <w:bottom w:val="nil"/>
          <w:right w:val="nil"/>
          <w:between w:val="nil"/>
        </w:pBdr>
        <w:spacing w:after="60"/>
      </w:pPr>
      <w:r>
        <w:rPr>
          <w:b/>
        </w:rPr>
        <w:t xml:space="preserve">Figure 22. </w:t>
      </w:r>
      <w:r>
        <w:t xml:space="preserve">Anal lobes: </w:t>
      </w:r>
      <w:r>
        <w:rPr>
          <w:b/>
        </w:rPr>
        <w:t>(A)</w:t>
      </w:r>
      <w:r>
        <w:t xml:space="preserve"> grooved, unequal lobes, </w:t>
      </w:r>
      <w:r>
        <w:rPr>
          <w:i/>
        </w:rPr>
        <w:t>Anastrepha grandis</w:t>
      </w:r>
      <w:r>
        <w:t xml:space="preserve">; </w:t>
      </w:r>
      <w:r>
        <w:rPr>
          <w:b/>
        </w:rPr>
        <w:t>(B)</w:t>
      </w:r>
      <w:r>
        <w:t xml:space="preserve"> grooved, unequal lobes, </w:t>
      </w:r>
      <w:r>
        <w:rPr>
          <w:i/>
        </w:rPr>
        <w:t>Anastrepha grandis</w:t>
      </w:r>
      <w:r>
        <w:t xml:space="preserve">, SEM; </w:t>
      </w:r>
      <w:r>
        <w:rPr>
          <w:b/>
        </w:rPr>
        <w:t>(C)</w:t>
      </w:r>
      <w:r>
        <w:t xml:space="preserve"> entire, </w:t>
      </w:r>
      <w:r>
        <w:rPr>
          <w:i/>
        </w:rPr>
        <w:t>Anastrepha fraterculus</w:t>
      </w:r>
      <w:r>
        <w:t xml:space="preserve">, SEM; </w:t>
      </w:r>
      <w:r>
        <w:rPr>
          <w:b/>
        </w:rPr>
        <w:t>(D)</w:t>
      </w:r>
      <w:r>
        <w:t xml:space="preserve"> entire, </w:t>
      </w:r>
      <w:r>
        <w:rPr>
          <w:i/>
        </w:rPr>
        <w:t>Anastrepha obliqua</w:t>
      </w:r>
      <w:r>
        <w:t xml:space="preserve">, SEM. </w:t>
      </w:r>
    </w:p>
    <w:p w14:paraId="6701593D" w14:textId="77777777" w:rsidR="00426446" w:rsidRDefault="00426446" w:rsidP="00426446">
      <w:pPr>
        <w:rPr>
          <w:i/>
        </w:rPr>
      </w:pPr>
      <w:r>
        <w:rPr>
          <w:i/>
        </w:rPr>
        <w:t>Source: Figure 22-A courtesy of J. Diaz and G. J. Steck; Figures 22-B-D courtesy of L. A. Somma and G. J. Steck.</w:t>
      </w:r>
    </w:p>
    <w:p w14:paraId="39C963C9" w14:textId="77777777" w:rsidR="00426446" w:rsidRDefault="00426446" w:rsidP="00426446">
      <w:pPr>
        <w:spacing w:after="160" w:line="259" w:lineRule="auto"/>
        <w:jc w:val="left"/>
        <w:rPr>
          <w:i/>
        </w:rPr>
      </w:pPr>
      <w:r>
        <w:rPr>
          <w:i/>
        </w:rPr>
        <w:br w:type="page"/>
      </w:r>
    </w:p>
    <w:p w14:paraId="7E05DBB3" w14:textId="77777777" w:rsidR="00426446" w:rsidRPr="00286119" w:rsidRDefault="00426446" w:rsidP="00426446">
      <w:pPr>
        <w:rPr>
          <w:iCs/>
        </w:rPr>
      </w:pPr>
      <w:r w:rsidRPr="003D6219">
        <w:rPr>
          <w:noProof/>
          <w:lang w:val="en-US"/>
        </w:rPr>
        <w:drawing>
          <wp:inline distT="0" distB="0" distL="0" distR="0" wp14:anchorId="095DE0C8" wp14:editId="71851E1D">
            <wp:extent cx="5943600" cy="22288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2228850"/>
                    </a:xfrm>
                    <a:prstGeom prst="rect">
                      <a:avLst/>
                    </a:prstGeom>
                  </pic:spPr>
                </pic:pic>
              </a:graphicData>
            </a:graphic>
          </wp:inline>
        </w:drawing>
      </w:r>
    </w:p>
    <w:p w14:paraId="520C4156" w14:textId="13AC90CE" w:rsidR="008919A1" w:rsidRDefault="00426446">
      <w:pPr>
        <w:pBdr>
          <w:top w:val="nil"/>
          <w:left w:val="nil"/>
          <w:bottom w:val="nil"/>
          <w:right w:val="nil"/>
          <w:between w:val="nil"/>
        </w:pBdr>
        <w:spacing w:after="60"/>
        <w:rPr>
          <w:i/>
        </w:rPr>
        <w:sectPr w:rsidR="008919A1">
          <w:headerReference w:type="even" r:id="rId54"/>
          <w:headerReference w:type="default" r:id="rId55"/>
          <w:footerReference w:type="even" r:id="rId56"/>
          <w:footerReference w:type="default" r:id="rId57"/>
          <w:headerReference w:type="first" r:id="rId58"/>
          <w:footerReference w:type="first" r:id="rId59"/>
          <w:pgSz w:w="11907" w:h="16839"/>
          <w:pgMar w:top="1559" w:right="1418" w:bottom="1418" w:left="1418" w:header="720" w:footer="720" w:gutter="0"/>
          <w:pgNumType w:start="1"/>
          <w:cols w:space="720"/>
          <w:titlePg/>
        </w:sectPr>
      </w:pPr>
      <w:r>
        <w:rPr>
          <w:b/>
        </w:rPr>
        <w:t>Figure 23.</w:t>
      </w:r>
      <w:r>
        <w:t xml:space="preserve"> Dorsal spinules (arrows): </w:t>
      </w:r>
      <w:r>
        <w:rPr>
          <w:b/>
        </w:rPr>
        <w:t>(A)</w:t>
      </w:r>
      <w:r>
        <w:t xml:space="preserve"> present on T2 and T3, </w:t>
      </w:r>
      <w:r>
        <w:rPr>
          <w:i/>
        </w:rPr>
        <w:t>Anastrepha suspensa</w:t>
      </w:r>
      <w:r>
        <w:t xml:space="preserve">, SEM; </w:t>
      </w:r>
      <w:r>
        <w:rPr>
          <w:b/>
        </w:rPr>
        <w:t>(B)</w:t>
      </w:r>
      <w:r>
        <w:t xml:space="preserve"> as seen under compound microscope, </w:t>
      </w:r>
      <w:r>
        <w:rPr>
          <w:i/>
        </w:rPr>
        <w:t>Anastrepha ludens</w:t>
      </w:r>
      <w:r>
        <w:t xml:space="preserve">. </w:t>
      </w:r>
      <w:r>
        <w:rPr>
          <w:i/>
        </w:rPr>
        <w:t>Source:  Figure 23-A courtesy of L. A. Somma and G. J. Steck; Figure 23-B cour</w:t>
      </w:r>
      <w:r w:rsidR="003F1EBD">
        <w:rPr>
          <w:i/>
        </w:rPr>
        <w:t>tesy of J. Diaz and G. J. Steck</w:t>
      </w:r>
    </w:p>
    <w:p w14:paraId="55FCF689" w14:textId="77777777" w:rsidR="00471E14" w:rsidRDefault="00471E14">
      <w:pPr>
        <w:pBdr>
          <w:top w:val="nil"/>
          <w:left w:val="nil"/>
          <w:bottom w:val="nil"/>
          <w:right w:val="nil"/>
          <w:between w:val="nil"/>
        </w:pBdr>
        <w:spacing w:after="180"/>
        <w:rPr>
          <w:rFonts w:ascii="Arial" w:eastAsia="Arial" w:hAnsi="Arial" w:cs="Arial"/>
          <w:color w:val="000000"/>
          <w:sz w:val="18"/>
          <w:szCs w:val="18"/>
        </w:rPr>
      </w:pPr>
    </w:p>
    <w:sectPr w:rsidR="00471E14">
      <w:headerReference w:type="first" r:id="rId60"/>
      <w:pgSz w:w="11907" w:h="16839"/>
      <w:pgMar w:top="1559" w:right="1418" w:bottom="1418" w:left="1418" w:header="993"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C7F7C5" w14:textId="77777777" w:rsidR="00470412" w:rsidRDefault="00470412">
      <w:r>
        <w:separator/>
      </w:r>
    </w:p>
  </w:endnote>
  <w:endnote w:type="continuationSeparator" w:id="0">
    <w:p w14:paraId="2C97243F" w14:textId="77777777" w:rsidR="00470412" w:rsidRDefault="004704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Gungsuh">
    <w:altName w:val="Malgun Gothic Semilight"/>
    <w:charset w:val="81"/>
    <w:family w:val="roman"/>
    <w:pitch w:val="variable"/>
    <w:sig w:usb0="00000000"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C0A34" w14:textId="622CBBF3" w:rsidR="00470412" w:rsidRDefault="00470412" w:rsidP="004D1E32">
    <w:pPr>
      <w:pBdr>
        <w:top w:val="single" w:sz="4" w:space="4" w:color="000000"/>
        <w:left w:val="nil"/>
        <w:bottom w:val="none" w:sz="0" w:space="0" w:color="000000"/>
        <w:right w:val="nil"/>
        <w:between w:val="nil"/>
      </w:pBdr>
      <w:tabs>
        <w:tab w:val="left" w:pos="1134"/>
        <w:tab w:val="right" w:pos="9072"/>
      </w:tabs>
      <w:spacing w:after="120"/>
      <w:rPr>
        <w:rFonts w:ascii="Verdana" w:eastAsia="Verdana" w:hAnsi="Verdana" w:cs="Verdana"/>
        <w:b/>
        <w:color w:val="000000"/>
        <w:sz w:val="18"/>
        <w:szCs w:val="18"/>
      </w:rPr>
    </w:pPr>
    <w:r w:rsidRPr="004D1E32">
      <w:rPr>
        <w:rStyle w:val="PageNumber"/>
        <w:rFonts w:cs="Arial"/>
        <w:szCs w:val="18"/>
      </w:rPr>
      <w:t xml:space="preserve">Page </w:t>
    </w:r>
    <w:r w:rsidRPr="004D1E32">
      <w:rPr>
        <w:rStyle w:val="PageNumber"/>
        <w:rFonts w:cs="Arial"/>
        <w:szCs w:val="18"/>
      </w:rPr>
      <w:fldChar w:fldCharType="begin"/>
    </w:r>
    <w:r w:rsidRPr="004D1E32">
      <w:rPr>
        <w:rStyle w:val="PageNumber"/>
        <w:rFonts w:cs="Arial"/>
        <w:szCs w:val="18"/>
      </w:rPr>
      <w:instrText xml:space="preserve"> PAGE </w:instrText>
    </w:r>
    <w:r w:rsidRPr="004D1E32">
      <w:rPr>
        <w:rStyle w:val="PageNumber"/>
        <w:rFonts w:cs="Arial"/>
        <w:szCs w:val="18"/>
      </w:rPr>
      <w:fldChar w:fldCharType="separate"/>
    </w:r>
    <w:r w:rsidR="00784C13">
      <w:rPr>
        <w:rStyle w:val="PageNumber"/>
        <w:rFonts w:cs="Arial"/>
        <w:noProof/>
        <w:szCs w:val="18"/>
      </w:rPr>
      <w:t>20</w:t>
    </w:r>
    <w:r w:rsidRPr="004D1E32">
      <w:rPr>
        <w:rStyle w:val="PageNumber"/>
        <w:rFonts w:cs="Arial"/>
        <w:szCs w:val="18"/>
      </w:rPr>
      <w:fldChar w:fldCharType="end"/>
    </w:r>
    <w:r w:rsidRPr="004D1E32">
      <w:rPr>
        <w:rStyle w:val="PageNumber"/>
        <w:rFonts w:cs="Arial"/>
        <w:szCs w:val="18"/>
      </w:rPr>
      <w:t xml:space="preserve"> of </w:t>
    </w:r>
    <w:r w:rsidRPr="004D1E32">
      <w:rPr>
        <w:rStyle w:val="PageNumber"/>
        <w:rFonts w:cs="Arial"/>
        <w:szCs w:val="18"/>
      </w:rPr>
      <w:fldChar w:fldCharType="begin"/>
    </w:r>
    <w:r w:rsidRPr="004D1E32">
      <w:rPr>
        <w:rStyle w:val="PageNumber"/>
        <w:rFonts w:cs="Arial"/>
        <w:szCs w:val="18"/>
      </w:rPr>
      <w:instrText xml:space="preserve"> NUMPAGES </w:instrText>
    </w:r>
    <w:r w:rsidRPr="004D1E32">
      <w:rPr>
        <w:rStyle w:val="PageNumber"/>
        <w:rFonts w:cs="Arial"/>
        <w:szCs w:val="18"/>
      </w:rPr>
      <w:fldChar w:fldCharType="separate"/>
    </w:r>
    <w:r w:rsidR="00784C13">
      <w:rPr>
        <w:rStyle w:val="PageNumber"/>
        <w:rFonts w:cs="Arial"/>
        <w:noProof/>
        <w:szCs w:val="18"/>
      </w:rPr>
      <w:t>52</w:t>
    </w:r>
    <w:r w:rsidRPr="004D1E32">
      <w:rPr>
        <w:rStyle w:val="PageNumber"/>
        <w:rFonts w:cs="Arial"/>
        <w:szCs w:val="18"/>
      </w:rPr>
      <w:fldChar w:fldCharType="end"/>
    </w:r>
    <w:r w:rsidR="003F1EBD">
      <w:rPr>
        <w:rStyle w:val="PageNumber"/>
        <w:rFonts w:cs="Arial"/>
        <w:szCs w:val="18"/>
      </w:rPr>
      <w:tab/>
    </w:r>
    <w:r w:rsidRPr="004D1E32">
      <w:rPr>
        <w:rFonts w:ascii="Arial" w:hAnsi="Arial" w:cs="Arial"/>
        <w:b/>
        <w:sz w:val="18"/>
        <w:szCs w:val="18"/>
      </w:rPr>
      <w:t>I</w:t>
    </w:r>
    <w:r w:rsidRPr="004D1E32">
      <w:rPr>
        <w:rFonts w:ascii="Arial" w:eastAsia="Arial" w:hAnsi="Arial" w:cs="Arial"/>
        <w:b/>
        <w:color w:val="000000"/>
        <w:sz w:val="18"/>
        <w:szCs w:val="18"/>
      </w:rPr>
      <w:t>nternational Plant</w:t>
    </w:r>
    <w:r>
      <w:rPr>
        <w:rFonts w:ascii="Arial" w:eastAsia="Arial" w:hAnsi="Arial" w:cs="Arial"/>
        <w:b/>
        <w:color w:val="000000"/>
        <w:sz w:val="18"/>
        <w:szCs w:val="18"/>
      </w:rPr>
      <w:t xml:space="preserve"> Protection Convention</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5ED0A" w14:textId="5153B798" w:rsidR="00470412" w:rsidRDefault="00470412" w:rsidP="004D1E32">
    <w:pPr>
      <w:pBdr>
        <w:top w:val="single" w:sz="4" w:space="4" w:color="000000"/>
        <w:left w:val="nil"/>
        <w:bottom w:val="none" w:sz="0" w:space="0" w:color="000000"/>
        <w:right w:val="nil"/>
        <w:between w:val="nil"/>
      </w:pBdr>
      <w:tabs>
        <w:tab w:val="left" w:pos="1134"/>
        <w:tab w:val="right" w:pos="9072"/>
      </w:tabs>
      <w:spacing w:after="120"/>
      <w:jc w:val="right"/>
      <w:rPr>
        <w:rFonts w:ascii="Verdana" w:eastAsia="Verdana" w:hAnsi="Verdana" w:cs="Verdana"/>
        <w:b/>
        <w:color w:val="000000"/>
        <w:sz w:val="18"/>
        <w:szCs w:val="18"/>
      </w:rPr>
    </w:pPr>
    <w:r>
      <w:rPr>
        <w:rFonts w:ascii="Arial" w:eastAsia="Arial" w:hAnsi="Arial" w:cs="Arial"/>
        <w:b/>
        <w:color w:val="000000"/>
        <w:sz w:val="18"/>
        <w:szCs w:val="18"/>
      </w:rPr>
      <w:t>International Plant Protection Convention</w:t>
    </w:r>
    <w:r>
      <w:rPr>
        <w:rFonts w:ascii="Arial" w:eastAsia="Arial" w:hAnsi="Arial" w:cs="Arial"/>
        <w:b/>
        <w:color w:val="000000"/>
        <w:sz w:val="18"/>
        <w:szCs w:val="18"/>
      </w:rPr>
      <w:tab/>
    </w:r>
    <w:r w:rsidRPr="00CE1166">
      <w:rPr>
        <w:rStyle w:val="PageNumber"/>
      </w:rPr>
      <w:t xml:space="preserve">Page </w:t>
    </w:r>
    <w:r w:rsidRPr="00A02E40">
      <w:rPr>
        <w:rStyle w:val="PageNumber"/>
        <w:b w:val="0"/>
      </w:rPr>
      <w:fldChar w:fldCharType="begin"/>
    </w:r>
    <w:r w:rsidRPr="00A02E40">
      <w:rPr>
        <w:rStyle w:val="PageNumber"/>
      </w:rPr>
      <w:instrText xml:space="preserve"> PAGE </w:instrText>
    </w:r>
    <w:r w:rsidRPr="00A02E40">
      <w:rPr>
        <w:rStyle w:val="PageNumber"/>
        <w:b w:val="0"/>
      </w:rPr>
      <w:fldChar w:fldCharType="separate"/>
    </w:r>
    <w:r w:rsidR="00784C13">
      <w:rPr>
        <w:rStyle w:val="PageNumber"/>
        <w:noProof/>
      </w:rPr>
      <w:t>19</w:t>
    </w:r>
    <w:r w:rsidRPr="00A02E40">
      <w:rPr>
        <w:rStyle w:val="PageNumber"/>
        <w:b w:val="0"/>
      </w:rPr>
      <w:fldChar w:fldCharType="end"/>
    </w:r>
    <w:r w:rsidRPr="00CE1166">
      <w:rPr>
        <w:rStyle w:val="PageNumber"/>
      </w:rPr>
      <w:t xml:space="preserve"> of </w:t>
    </w:r>
    <w:r w:rsidRPr="00A02E40">
      <w:rPr>
        <w:rStyle w:val="PageNumber"/>
        <w:b w:val="0"/>
      </w:rPr>
      <w:fldChar w:fldCharType="begin"/>
    </w:r>
    <w:r w:rsidRPr="00A02E40">
      <w:rPr>
        <w:rStyle w:val="PageNumber"/>
      </w:rPr>
      <w:instrText xml:space="preserve"> NUMPAGES </w:instrText>
    </w:r>
    <w:r w:rsidRPr="00A02E40">
      <w:rPr>
        <w:rStyle w:val="PageNumber"/>
        <w:b w:val="0"/>
      </w:rPr>
      <w:fldChar w:fldCharType="separate"/>
    </w:r>
    <w:r w:rsidR="00784C13">
      <w:rPr>
        <w:rStyle w:val="PageNumber"/>
        <w:noProof/>
      </w:rPr>
      <w:t>52</w:t>
    </w:r>
    <w:r w:rsidRPr="00A02E40">
      <w:rPr>
        <w:rStyle w:val="PageNumber"/>
        <w:b w:val="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E7E393" w14:textId="22814A1A" w:rsidR="00470412" w:rsidRDefault="00470412" w:rsidP="003F1EBD">
    <w:pPr>
      <w:pBdr>
        <w:top w:val="single" w:sz="4" w:space="4" w:color="000000"/>
        <w:left w:val="nil"/>
        <w:bottom w:val="none" w:sz="0" w:space="0" w:color="000000"/>
        <w:right w:val="nil"/>
        <w:between w:val="nil"/>
      </w:pBdr>
      <w:tabs>
        <w:tab w:val="left" w:pos="1134"/>
        <w:tab w:val="right" w:pos="9072"/>
      </w:tabs>
      <w:spacing w:after="120"/>
      <w:jc w:val="right"/>
      <w:rPr>
        <w:rFonts w:ascii="Verdana" w:eastAsia="Verdana" w:hAnsi="Verdana" w:cs="Verdana"/>
        <w:b/>
        <w:color w:val="000000"/>
        <w:sz w:val="18"/>
        <w:szCs w:val="18"/>
      </w:rPr>
    </w:pPr>
    <w:r>
      <w:rPr>
        <w:rFonts w:ascii="Arial" w:eastAsia="Arial" w:hAnsi="Arial" w:cs="Arial"/>
        <w:b/>
        <w:color w:val="000000"/>
        <w:sz w:val="18"/>
        <w:szCs w:val="18"/>
      </w:rPr>
      <w:t>International Plant Protection Convention</w:t>
    </w:r>
    <w:r>
      <w:rPr>
        <w:rFonts w:ascii="Arial" w:eastAsia="Arial" w:hAnsi="Arial" w:cs="Arial"/>
        <w:b/>
        <w:color w:val="000000"/>
        <w:sz w:val="18"/>
        <w:szCs w:val="18"/>
      </w:rPr>
      <w:tab/>
    </w:r>
    <w:r w:rsidRPr="00CE1166">
      <w:rPr>
        <w:rStyle w:val="PageNumber"/>
      </w:rPr>
      <w:t xml:space="preserve">Page </w:t>
    </w:r>
    <w:r w:rsidRPr="00A02E40">
      <w:rPr>
        <w:rStyle w:val="PageNumber"/>
        <w:b w:val="0"/>
      </w:rPr>
      <w:fldChar w:fldCharType="begin"/>
    </w:r>
    <w:r w:rsidRPr="00A02E40">
      <w:rPr>
        <w:rStyle w:val="PageNumber"/>
      </w:rPr>
      <w:instrText xml:space="preserve"> PAGE </w:instrText>
    </w:r>
    <w:r w:rsidRPr="00A02E40">
      <w:rPr>
        <w:rStyle w:val="PageNumber"/>
        <w:b w:val="0"/>
      </w:rPr>
      <w:fldChar w:fldCharType="separate"/>
    </w:r>
    <w:r w:rsidR="00784C13">
      <w:rPr>
        <w:rStyle w:val="PageNumber"/>
        <w:noProof/>
      </w:rPr>
      <w:t>1</w:t>
    </w:r>
    <w:r w:rsidRPr="00A02E40">
      <w:rPr>
        <w:rStyle w:val="PageNumber"/>
        <w:b w:val="0"/>
      </w:rPr>
      <w:fldChar w:fldCharType="end"/>
    </w:r>
    <w:r w:rsidRPr="00CE1166">
      <w:rPr>
        <w:rStyle w:val="PageNumber"/>
      </w:rPr>
      <w:t xml:space="preserve"> of </w:t>
    </w:r>
    <w:r w:rsidRPr="00A02E40">
      <w:rPr>
        <w:rStyle w:val="PageNumber"/>
        <w:b w:val="0"/>
      </w:rPr>
      <w:fldChar w:fldCharType="begin"/>
    </w:r>
    <w:r w:rsidRPr="00A02E40">
      <w:rPr>
        <w:rStyle w:val="PageNumber"/>
      </w:rPr>
      <w:instrText xml:space="preserve"> NUMPAGES </w:instrText>
    </w:r>
    <w:r w:rsidRPr="00A02E40">
      <w:rPr>
        <w:rStyle w:val="PageNumber"/>
        <w:b w:val="0"/>
      </w:rPr>
      <w:fldChar w:fldCharType="separate"/>
    </w:r>
    <w:r w:rsidR="00784C13">
      <w:rPr>
        <w:rStyle w:val="PageNumber"/>
        <w:noProof/>
      </w:rPr>
      <w:t>52</w:t>
    </w:r>
    <w:r w:rsidRPr="00A02E40">
      <w:rPr>
        <w:rStyle w:val="PageNumber"/>
        <w:b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866C9E" w14:textId="77777777" w:rsidR="00470412" w:rsidRDefault="00470412">
      <w:r>
        <w:separator/>
      </w:r>
    </w:p>
  </w:footnote>
  <w:footnote w:type="continuationSeparator" w:id="0">
    <w:p w14:paraId="6358F31C" w14:textId="77777777" w:rsidR="00470412" w:rsidRDefault="004704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1D7868" w14:textId="78356A32" w:rsidR="00470412" w:rsidRPr="004D1E32" w:rsidRDefault="003F1EBD">
    <w:pPr>
      <w:pBdr>
        <w:top w:val="nil"/>
        <w:left w:val="nil"/>
        <w:bottom w:val="single" w:sz="4" w:space="4" w:color="000000"/>
        <w:right w:val="nil"/>
        <w:between w:val="nil"/>
      </w:pBdr>
      <w:tabs>
        <w:tab w:val="left" w:pos="1134"/>
        <w:tab w:val="right" w:pos="9072"/>
      </w:tabs>
      <w:spacing w:after="120"/>
      <w:jc w:val="left"/>
      <w:rPr>
        <w:rFonts w:ascii="Arial" w:eastAsia="Arial" w:hAnsi="Arial" w:cs="Arial"/>
        <w:color w:val="000000"/>
        <w:sz w:val="18"/>
        <w:szCs w:val="18"/>
      </w:rPr>
    </w:pPr>
    <w:r>
      <w:rPr>
        <w:rFonts w:ascii="Arial" w:eastAsia="Times" w:hAnsi="Arial" w:cs="Arial"/>
        <w:bCs/>
        <w:sz w:val="18"/>
        <w:szCs w:val="18"/>
      </w:rPr>
      <w:t>2021-002</w:t>
    </w:r>
    <w:r>
      <w:rPr>
        <w:rFonts w:ascii="Arial" w:eastAsia="Arial" w:hAnsi="Arial" w:cs="Arial"/>
        <w:color w:val="000000"/>
        <w:sz w:val="18"/>
        <w:szCs w:val="18"/>
      </w:rPr>
      <w:t xml:space="preserve"> </w:t>
    </w:r>
    <w:r w:rsidR="0063407B">
      <w:rPr>
        <w:rFonts w:ascii="Arial" w:eastAsia="Arial" w:hAnsi="Arial" w:cs="Arial"/>
        <w:color w:val="000000"/>
        <w:sz w:val="18"/>
        <w:szCs w:val="18"/>
      </w:rPr>
      <w:t>(6.2)</w:t>
    </w:r>
    <w:r w:rsidR="00470412">
      <w:rPr>
        <w:rFonts w:ascii="Arial" w:eastAsia="Arial" w:hAnsi="Arial" w:cs="Arial"/>
        <w:color w:val="000000"/>
        <w:sz w:val="18"/>
        <w:szCs w:val="18"/>
      </w:rPr>
      <w:tab/>
    </w:r>
    <w:r w:rsidR="00470412" w:rsidRPr="004D1E32">
      <w:rPr>
        <w:rFonts w:ascii="Arial" w:eastAsia="Arial" w:hAnsi="Arial" w:cs="Arial"/>
        <w:iCs/>
        <w:color w:val="000000"/>
        <w:sz w:val="18"/>
        <w:szCs w:val="18"/>
      </w:rPr>
      <w:t xml:space="preserve">Draft Revision of DP 09: Genus </w:t>
    </w:r>
    <w:r w:rsidR="00470412" w:rsidRPr="004D1E32">
      <w:rPr>
        <w:rFonts w:ascii="Arial" w:eastAsia="Arial" w:hAnsi="Arial" w:cs="Arial"/>
        <w:i/>
        <w:iCs/>
        <w:color w:val="000000"/>
        <w:sz w:val="18"/>
        <w:szCs w:val="18"/>
      </w:rPr>
      <w:t>Anastreph</w:t>
    </w:r>
    <w:r w:rsidR="00470412" w:rsidRPr="004D1E32">
      <w:rPr>
        <w:rFonts w:ascii="Arial" w:eastAsia="Arial" w:hAnsi="Arial" w:cs="Arial"/>
        <w:iCs/>
        <w:color w:val="000000"/>
        <w:sz w:val="18"/>
        <w:szCs w:val="18"/>
      </w:rPr>
      <w:t>a (2021-002)</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644D58" w14:textId="7ACD13B8" w:rsidR="00470412" w:rsidRDefault="00470412">
    <w:pPr>
      <w:pBdr>
        <w:top w:val="nil"/>
        <w:left w:val="nil"/>
        <w:bottom w:val="single" w:sz="4" w:space="4" w:color="000000"/>
        <w:right w:val="nil"/>
        <w:between w:val="nil"/>
      </w:pBdr>
      <w:tabs>
        <w:tab w:val="left" w:pos="1134"/>
        <w:tab w:val="right" w:pos="9072"/>
      </w:tabs>
      <w:spacing w:after="120"/>
      <w:jc w:val="left"/>
      <w:rPr>
        <w:rFonts w:ascii="Arial" w:eastAsia="Arial" w:hAnsi="Arial" w:cs="Arial"/>
        <w:color w:val="000000"/>
        <w:sz w:val="18"/>
        <w:szCs w:val="18"/>
      </w:rPr>
    </w:pPr>
    <w:r w:rsidRPr="004D1E32">
      <w:rPr>
        <w:rFonts w:ascii="Arial" w:eastAsia="Arial" w:hAnsi="Arial" w:cs="Arial"/>
        <w:iCs/>
        <w:color w:val="000000"/>
        <w:sz w:val="18"/>
        <w:szCs w:val="18"/>
      </w:rPr>
      <w:t xml:space="preserve">Draft Revision of DP 09: Genus </w:t>
    </w:r>
    <w:r w:rsidRPr="004D1E32">
      <w:rPr>
        <w:rFonts w:ascii="Arial" w:eastAsia="Arial" w:hAnsi="Arial" w:cs="Arial"/>
        <w:i/>
        <w:iCs/>
        <w:color w:val="000000"/>
        <w:sz w:val="18"/>
        <w:szCs w:val="18"/>
      </w:rPr>
      <w:t xml:space="preserve">Anastrepha </w:t>
    </w:r>
    <w:r w:rsidRPr="004D1E32">
      <w:rPr>
        <w:rFonts w:ascii="Arial" w:eastAsia="Arial" w:hAnsi="Arial" w:cs="Arial"/>
        <w:iCs/>
        <w:color w:val="000000"/>
        <w:sz w:val="18"/>
        <w:szCs w:val="18"/>
      </w:rPr>
      <w:t>(2021-002)</w:t>
    </w:r>
    <w:r>
      <w:rPr>
        <w:rFonts w:ascii="Arial" w:eastAsia="Arial" w:hAnsi="Arial" w:cs="Arial"/>
        <w:color w:val="000000"/>
        <w:sz w:val="18"/>
        <w:szCs w:val="18"/>
      </w:rPr>
      <w:tab/>
    </w:r>
    <w:r w:rsidR="003F1EBD">
      <w:rPr>
        <w:rFonts w:ascii="Arial" w:eastAsia="Times" w:hAnsi="Arial" w:cs="Arial"/>
        <w:bCs/>
        <w:sz w:val="18"/>
        <w:szCs w:val="18"/>
      </w:rPr>
      <w:t>2021-002</w:t>
    </w:r>
    <w:r w:rsidR="003F1EBD">
      <w:rPr>
        <w:rFonts w:ascii="Arial" w:eastAsia="Arial" w:hAnsi="Arial" w:cs="Arial"/>
        <w:color w:val="000000"/>
        <w:sz w:val="18"/>
        <w:szCs w:val="18"/>
      </w:rPr>
      <w:t xml:space="preserve"> </w:t>
    </w:r>
    <w:r w:rsidR="0063407B">
      <w:rPr>
        <w:rFonts w:ascii="Arial" w:eastAsia="Arial" w:hAnsi="Arial" w:cs="Arial"/>
        <w:color w:val="000000"/>
        <w:sz w:val="18"/>
        <w:szCs w:val="18"/>
      </w:rPr>
      <w:t>(6.2)</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42C711" w14:textId="29ED3272" w:rsidR="00470412" w:rsidRPr="00C253CC" w:rsidRDefault="00470412" w:rsidP="00913AA9">
    <w:pPr>
      <w:pStyle w:val="IPPHeader"/>
    </w:pPr>
    <w:r w:rsidRPr="00657149">
      <w:rPr>
        <w:noProof/>
      </w:rPr>
      <w:drawing>
        <wp:anchor distT="0" distB="0" distL="114300" distR="114300" simplePos="0" relativeHeight="251660288" behindDoc="0" locked="0" layoutInCell="1" allowOverlap="1" wp14:anchorId="14DBC52C" wp14:editId="4E27F556">
          <wp:simplePos x="0" y="0"/>
          <wp:positionH relativeFrom="leftMargin">
            <wp:align>right</wp:align>
          </wp:positionH>
          <wp:positionV relativeFrom="page">
            <wp:posOffset>547189</wp:posOffset>
          </wp:positionV>
          <wp:extent cx="632460" cy="321310"/>
          <wp:effectExtent l="0" t="0" r="0" b="2540"/>
          <wp:wrapSquare wrapText="bothSides"/>
          <wp:docPr id="4" name="Picture 4" descr="IPP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PPC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2460" cy="321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7149">
      <w:rPr>
        <w:noProof/>
      </w:rPr>
      <w:drawing>
        <wp:anchor distT="0" distB="0" distL="114300" distR="114300" simplePos="0" relativeHeight="251659264" behindDoc="0" locked="0" layoutInCell="1" allowOverlap="0" wp14:anchorId="6DFBC19A" wp14:editId="6E3F1738">
          <wp:simplePos x="0" y="0"/>
          <wp:positionH relativeFrom="page">
            <wp:posOffset>-19050</wp:posOffset>
          </wp:positionH>
          <wp:positionV relativeFrom="page">
            <wp:posOffset>-36195</wp:posOffset>
          </wp:positionV>
          <wp:extent cx="7628400" cy="4644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628400" cy="46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695F">
      <w:t>Internatio</w:t>
    </w:r>
    <w:r>
      <w:t>nal Plant Protection Convention</w:t>
    </w:r>
    <w:r>
      <w:tab/>
    </w:r>
    <w:r w:rsidR="003F1EBD">
      <w:rPr>
        <w:rFonts w:eastAsia="Times" w:cs="Arial"/>
        <w:bCs/>
        <w:szCs w:val="18"/>
      </w:rPr>
      <w:t>2021-002</w:t>
    </w:r>
    <w:r>
      <w:br/>
    </w:r>
    <w:r>
      <w:rPr>
        <w:i/>
        <w:iCs/>
      </w:rPr>
      <w:t>Draft Revision of DP 09: Genus Anastrepha (2021-002)</w:t>
    </w:r>
    <w:r>
      <w:rPr>
        <w:i/>
        <w:iCs/>
      </w:rPr>
      <w:tab/>
    </w:r>
    <w:r w:rsidRPr="007E205D">
      <w:rPr>
        <w:i/>
      </w:rPr>
      <w:t xml:space="preserve">Agenda item: </w:t>
    </w:r>
    <w:r w:rsidR="0063407B">
      <w:rPr>
        <w:i/>
      </w:rPr>
      <w:t>6.2</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4B831F" w14:textId="77777777" w:rsidR="00470412" w:rsidRDefault="00470412">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4C0A6C"/>
    <w:multiLevelType w:val="multilevel"/>
    <w:tmpl w:val="06E871E4"/>
    <w:numStyleLink w:val="IPPParagraphnumberedlist"/>
  </w:abstractNum>
  <w:abstractNum w:abstractNumId="1" w15:restartNumberingAfterBreak="0">
    <w:nsid w:val="0AC676B5"/>
    <w:multiLevelType w:val="multilevel"/>
    <w:tmpl w:val="C1E891AE"/>
    <w:lvl w:ilvl="0">
      <w:start w:val="1"/>
      <w:numFmt w:val="bullet"/>
      <w:lvlText w:val="‐"/>
      <w:lvlJc w:val="left"/>
      <w:pPr>
        <w:ind w:left="1004" w:hanging="360"/>
      </w:pPr>
      <w:rPr>
        <w:rFonts w:ascii="Calibri" w:eastAsia="Calibri" w:hAnsi="Calibri" w:cs="Calibri"/>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2" w15:restartNumberingAfterBreak="0">
    <w:nsid w:val="0CEA3146"/>
    <w:multiLevelType w:val="hybridMultilevel"/>
    <w:tmpl w:val="F9B0A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1FE0F8F"/>
    <w:multiLevelType w:val="multilevel"/>
    <w:tmpl w:val="06E871E4"/>
    <w:styleLink w:val="IPPParagraphnumberedlist"/>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4" w15:restartNumberingAfterBreak="0">
    <w:nsid w:val="58143421"/>
    <w:multiLevelType w:val="hybridMultilevel"/>
    <w:tmpl w:val="3F4A8A2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activeWritingStyle w:appName="MSWord" w:lang="fr-BE" w:vendorID="64" w:dllVersion="131078" w:nlCheck="1" w:checkStyle="0"/>
  <w:activeWritingStyle w:appName="MSWord" w:lang="en-GB" w:vendorID="64" w:dllVersion="131078" w:nlCheck="1" w:checkStyle="1"/>
  <w:activeWritingStyle w:appName="MSWord" w:lang="en-US" w:vendorID="64" w:dllVersion="131078" w:nlCheck="1" w:checkStyle="1"/>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sLQ0N7YwsDAxMTEzNrFQ0lEKTi0uzszPAymwqAUATBzmliwAAAA="/>
  </w:docVars>
  <w:rsids>
    <w:rsidRoot w:val="00471E14"/>
    <w:rsid w:val="00007698"/>
    <w:rsid w:val="00007AAE"/>
    <w:rsid w:val="0002548A"/>
    <w:rsid w:val="00025FAD"/>
    <w:rsid w:val="00061BB2"/>
    <w:rsid w:val="00063CD0"/>
    <w:rsid w:val="000653D8"/>
    <w:rsid w:val="0006618B"/>
    <w:rsid w:val="0006688D"/>
    <w:rsid w:val="000803B5"/>
    <w:rsid w:val="000B43CD"/>
    <w:rsid w:val="000B4FE6"/>
    <w:rsid w:val="000C093B"/>
    <w:rsid w:val="000C0FA6"/>
    <w:rsid w:val="000C7E31"/>
    <w:rsid w:val="000D1861"/>
    <w:rsid w:val="000E301E"/>
    <w:rsid w:val="0010544F"/>
    <w:rsid w:val="00134573"/>
    <w:rsid w:val="001369B4"/>
    <w:rsid w:val="00154C48"/>
    <w:rsid w:val="00160B5A"/>
    <w:rsid w:val="001620B4"/>
    <w:rsid w:val="001704D2"/>
    <w:rsid w:val="00183046"/>
    <w:rsid w:val="00185388"/>
    <w:rsid w:val="00186E47"/>
    <w:rsid w:val="001924CD"/>
    <w:rsid w:val="00194F2D"/>
    <w:rsid w:val="001A2024"/>
    <w:rsid w:val="001A34C7"/>
    <w:rsid w:val="001B3412"/>
    <w:rsid w:val="001C42AA"/>
    <w:rsid w:val="001C5B31"/>
    <w:rsid w:val="001C6975"/>
    <w:rsid w:val="001D151C"/>
    <w:rsid w:val="001D4A7F"/>
    <w:rsid w:val="001D7943"/>
    <w:rsid w:val="001F1A0F"/>
    <w:rsid w:val="002300BA"/>
    <w:rsid w:val="00240FED"/>
    <w:rsid w:val="00245427"/>
    <w:rsid w:val="002613B5"/>
    <w:rsid w:val="002814BF"/>
    <w:rsid w:val="0029042B"/>
    <w:rsid w:val="00293929"/>
    <w:rsid w:val="002B5EBF"/>
    <w:rsid w:val="002B6F13"/>
    <w:rsid w:val="002C0193"/>
    <w:rsid w:val="002E74DB"/>
    <w:rsid w:val="00302FFC"/>
    <w:rsid w:val="003171B0"/>
    <w:rsid w:val="00320CF6"/>
    <w:rsid w:val="003329D6"/>
    <w:rsid w:val="00333BD7"/>
    <w:rsid w:val="0033444B"/>
    <w:rsid w:val="00337AF4"/>
    <w:rsid w:val="00343B38"/>
    <w:rsid w:val="00347FC7"/>
    <w:rsid w:val="00351AE6"/>
    <w:rsid w:val="00355018"/>
    <w:rsid w:val="00356FD9"/>
    <w:rsid w:val="00374CEC"/>
    <w:rsid w:val="0039507F"/>
    <w:rsid w:val="003A27D7"/>
    <w:rsid w:val="003A7146"/>
    <w:rsid w:val="003B72EA"/>
    <w:rsid w:val="003C2183"/>
    <w:rsid w:val="003F1EBD"/>
    <w:rsid w:val="004032C7"/>
    <w:rsid w:val="004218E3"/>
    <w:rsid w:val="004230BE"/>
    <w:rsid w:val="00426446"/>
    <w:rsid w:val="00433764"/>
    <w:rsid w:val="004355FC"/>
    <w:rsid w:val="0045736B"/>
    <w:rsid w:val="004610BF"/>
    <w:rsid w:val="00464264"/>
    <w:rsid w:val="0046616F"/>
    <w:rsid w:val="00470412"/>
    <w:rsid w:val="00471E14"/>
    <w:rsid w:val="0048699A"/>
    <w:rsid w:val="00493123"/>
    <w:rsid w:val="0049639A"/>
    <w:rsid w:val="004B037E"/>
    <w:rsid w:val="004C1AFA"/>
    <w:rsid w:val="004C42FD"/>
    <w:rsid w:val="004C65A9"/>
    <w:rsid w:val="004D1E32"/>
    <w:rsid w:val="004D3B37"/>
    <w:rsid w:val="004D7188"/>
    <w:rsid w:val="004D7B8C"/>
    <w:rsid w:val="004E6D05"/>
    <w:rsid w:val="004F2D36"/>
    <w:rsid w:val="004F5EA2"/>
    <w:rsid w:val="00515F90"/>
    <w:rsid w:val="00550441"/>
    <w:rsid w:val="00552BDE"/>
    <w:rsid w:val="00560E31"/>
    <w:rsid w:val="00563D82"/>
    <w:rsid w:val="00566B4D"/>
    <w:rsid w:val="00595532"/>
    <w:rsid w:val="005A0A54"/>
    <w:rsid w:val="005A5C8B"/>
    <w:rsid w:val="005B1E27"/>
    <w:rsid w:val="005C74C4"/>
    <w:rsid w:val="005E03A7"/>
    <w:rsid w:val="005E1E33"/>
    <w:rsid w:val="0063407B"/>
    <w:rsid w:val="00636B1B"/>
    <w:rsid w:val="00641A86"/>
    <w:rsid w:val="0065379A"/>
    <w:rsid w:val="00666511"/>
    <w:rsid w:val="00673CA1"/>
    <w:rsid w:val="00676791"/>
    <w:rsid w:val="00677563"/>
    <w:rsid w:val="00683F8B"/>
    <w:rsid w:val="00684D46"/>
    <w:rsid w:val="00686C28"/>
    <w:rsid w:val="0069420C"/>
    <w:rsid w:val="00695F43"/>
    <w:rsid w:val="006B4D21"/>
    <w:rsid w:val="006C259E"/>
    <w:rsid w:val="006E62D7"/>
    <w:rsid w:val="006F3932"/>
    <w:rsid w:val="00700BCE"/>
    <w:rsid w:val="00701B65"/>
    <w:rsid w:val="00713EA1"/>
    <w:rsid w:val="00715DED"/>
    <w:rsid w:val="00721170"/>
    <w:rsid w:val="00721B80"/>
    <w:rsid w:val="007267E9"/>
    <w:rsid w:val="00726BD7"/>
    <w:rsid w:val="007352BB"/>
    <w:rsid w:val="00736E0E"/>
    <w:rsid w:val="007506A8"/>
    <w:rsid w:val="00756810"/>
    <w:rsid w:val="0076738A"/>
    <w:rsid w:val="007708DB"/>
    <w:rsid w:val="00774223"/>
    <w:rsid w:val="007771A9"/>
    <w:rsid w:val="00780FE8"/>
    <w:rsid w:val="007838EF"/>
    <w:rsid w:val="00784C13"/>
    <w:rsid w:val="00786761"/>
    <w:rsid w:val="00792F44"/>
    <w:rsid w:val="007B0165"/>
    <w:rsid w:val="007B2B2A"/>
    <w:rsid w:val="007C59CD"/>
    <w:rsid w:val="007C7C56"/>
    <w:rsid w:val="007D546A"/>
    <w:rsid w:val="007D57B5"/>
    <w:rsid w:val="007E27A6"/>
    <w:rsid w:val="007E3AA1"/>
    <w:rsid w:val="00800145"/>
    <w:rsid w:val="00803588"/>
    <w:rsid w:val="00810564"/>
    <w:rsid w:val="0082703B"/>
    <w:rsid w:val="008323D2"/>
    <w:rsid w:val="00864CFE"/>
    <w:rsid w:val="00865DDB"/>
    <w:rsid w:val="008859DF"/>
    <w:rsid w:val="00890CF0"/>
    <w:rsid w:val="008919A1"/>
    <w:rsid w:val="008A02AF"/>
    <w:rsid w:val="008A7947"/>
    <w:rsid w:val="008B02E3"/>
    <w:rsid w:val="008B5C72"/>
    <w:rsid w:val="008C0760"/>
    <w:rsid w:val="008C4667"/>
    <w:rsid w:val="008D5572"/>
    <w:rsid w:val="008E29A8"/>
    <w:rsid w:val="008E3700"/>
    <w:rsid w:val="008E4A79"/>
    <w:rsid w:val="008F7528"/>
    <w:rsid w:val="00910C02"/>
    <w:rsid w:val="00913AA9"/>
    <w:rsid w:val="009148A8"/>
    <w:rsid w:val="0091583A"/>
    <w:rsid w:val="0092296D"/>
    <w:rsid w:val="00924607"/>
    <w:rsid w:val="00927FB2"/>
    <w:rsid w:val="00950358"/>
    <w:rsid w:val="00951292"/>
    <w:rsid w:val="00954756"/>
    <w:rsid w:val="00954A5B"/>
    <w:rsid w:val="0097189D"/>
    <w:rsid w:val="009812D2"/>
    <w:rsid w:val="0099106F"/>
    <w:rsid w:val="009A0404"/>
    <w:rsid w:val="009A0B00"/>
    <w:rsid w:val="009A229C"/>
    <w:rsid w:val="009B3119"/>
    <w:rsid w:val="009D11A5"/>
    <w:rsid w:val="009F069F"/>
    <w:rsid w:val="009F2D12"/>
    <w:rsid w:val="00A00C92"/>
    <w:rsid w:val="00A052FA"/>
    <w:rsid w:val="00A0796E"/>
    <w:rsid w:val="00A14367"/>
    <w:rsid w:val="00A31264"/>
    <w:rsid w:val="00A46649"/>
    <w:rsid w:val="00A471F2"/>
    <w:rsid w:val="00A64DED"/>
    <w:rsid w:val="00A66272"/>
    <w:rsid w:val="00A66B4D"/>
    <w:rsid w:val="00A67BFB"/>
    <w:rsid w:val="00A81565"/>
    <w:rsid w:val="00A83CE2"/>
    <w:rsid w:val="00A903C6"/>
    <w:rsid w:val="00A97784"/>
    <w:rsid w:val="00AC2495"/>
    <w:rsid w:val="00AC4443"/>
    <w:rsid w:val="00AD0437"/>
    <w:rsid w:val="00AF31D7"/>
    <w:rsid w:val="00B205DE"/>
    <w:rsid w:val="00B254BB"/>
    <w:rsid w:val="00B351C7"/>
    <w:rsid w:val="00B4001C"/>
    <w:rsid w:val="00B526A2"/>
    <w:rsid w:val="00B53691"/>
    <w:rsid w:val="00B600F2"/>
    <w:rsid w:val="00B6562D"/>
    <w:rsid w:val="00B71B0E"/>
    <w:rsid w:val="00B7518D"/>
    <w:rsid w:val="00B81F09"/>
    <w:rsid w:val="00B8619D"/>
    <w:rsid w:val="00B937CE"/>
    <w:rsid w:val="00B940C9"/>
    <w:rsid w:val="00BB536D"/>
    <w:rsid w:val="00BB7662"/>
    <w:rsid w:val="00BC470A"/>
    <w:rsid w:val="00BD2343"/>
    <w:rsid w:val="00BE2184"/>
    <w:rsid w:val="00BE558A"/>
    <w:rsid w:val="00BE5D8C"/>
    <w:rsid w:val="00BE6141"/>
    <w:rsid w:val="00C329CB"/>
    <w:rsid w:val="00C460BB"/>
    <w:rsid w:val="00C60014"/>
    <w:rsid w:val="00C602F0"/>
    <w:rsid w:val="00C622BE"/>
    <w:rsid w:val="00C66805"/>
    <w:rsid w:val="00C73566"/>
    <w:rsid w:val="00C7443F"/>
    <w:rsid w:val="00C765D0"/>
    <w:rsid w:val="00C77033"/>
    <w:rsid w:val="00C8479F"/>
    <w:rsid w:val="00C900DB"/>
    <w:rsid w:val="00C971E5"/>
    <w:rsid w:val="00CB1464"/>
    <w:rsid w:val="00CB21F1"/>
    <w:rsid w:val="00CD0EF7"/>
    <w:rsid w:val="00CD1E78"/>
    <w:rsid w:val="00D063E1"/>
    <w:rsid w:val="00D207AC"/>
    <w:rsid w:val="00D217E5"/>
    <w:rsid w:val="00D25AD8"/>
    <w:rsid w:val="00D32425"/>
    <w:rsid w:val="00D51181"/>
    <w:rsid w:val="00D55495"/>
    <w:rsid w:val="00D711EE"/>
    <w:rsid w:val="00D83D71"/>
    <w:rsid w:val="00D8531C"/>
    <w:rsid w:val="00D865E6"/>
    <w:rsid w:val="00D86E75"/>
    <w:rsid w:val="00D946CF"/>
    <w:rsid w:val="00D97467"/>
    <w:rsid w:val="00DA1817"/>
    <w:rsid w:val="00DA5430"/>
    <w:rsid w:val="00DB0447"/>
    <w:rsid w:val="00DD081B"/>
    <w:rsid w:val="00DF5935"/>
    <w:rsid w:val="00E04644"/>
    <w:rsid w:val="00E06874"/>
    <w:rsid w:val="00E54558"/>
    <w:rsid w:val="00E614C3"/>
    <w:rsid w:val="00E7240C"/>
    <w:rsid w:val="00E77507"/>
    <w:rsid w:val="00E80B8D"/>
    <w:rsid w:val="00E92836"/>
    <w:rsid w:val="00EA7139"/>
    <w:rsid w:val="00ED6559"/>
    <w:rsid w:val="00EE3C20"/>
    <w:rsid w:val="00EF46F5"/>
    <w:rsid w:val="00F01CB3"/>
    <w:rsid w:val="00F02559"/>
    <w:rsid w:val="00F46335"/>
    <w:rsid w:val="00F54846"/>
    <w:rsid w:val="00F61AB4"/>
    <w:rsid w:val="00F735A5"/>
    <w:rsid w:val="00F83359"/>
    <w:rsid w:val="00F97773"/>
    <w:rsid w:val="00F979B6"/>
    <w:rsid w:val="00FB7565"/>
    <w:rsid w:val="00FC6DA7"/>
    <w:rsid w:val="00FD62C3"/>
    <w:rsid w:val="00FD76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03AE22"/>
  <w15:docId w15:val="{6D5A6BF3-3552-4268-885C-ECFDA728D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outlineLvl w:val="0"/>
    </w:pPr>
    <w:rPr>
      <w:b/>
    </w:rPr>
  </w:style>
  <w:style w:type="paragraph" w:styleId="Heading2">
    <w:name w:val="heading 2"/>
    <w:basedOn w:val="Normal"/>
    <w:next w:val="Normal"/>
    <w:uiPriority w:val="9"/>
    <w:semiHidden/>
    <w:unhideWhenUsed/>
    <w:qFormat/>
    <w:pPr>
      <w:keepNext/>
      <w:spacing w:before="240" w:after="60"/>
      <w:outlineLvl w:val="1"/>
    </w:pPr>
    <w:rPr>
      <w:rFonts w:ascii="Calibri" w:eastAsia="Calibri" w:hAnsi="Calibri" w:cs="Calibri"/>
      <w:b/>
      <w:i/>
      <w:sz w:val="28"/>
      <w:szCs w:val="28"/>
    </w:rPr>
  </w:style>
  <w:style w:type="paragraph" w:styleId="Heading3">
    <w:name w:val="heading 3"/>
    <w:basedOn w:val="Normal"/>
    <w:next w:val="Normal"/>
    <w:uiPriority w:val="9"/>
    <w:semiHidden/>
    <w:unhideWhenUsed/>
    <w:qFormat/>
    <w:pPr>
      <w:keepNext/>
      <w:spacing w:before="240" w:after="60"/>
      <w:outlineLvl w:val="2"/>
    </w:pPr>
    <w:rPr>
      <w:rFonts w:ascii="Calibri" w:eastAsia="Calibri" w:hAnsi="Calibri" w:cs="Calibri"/>
      <w:b/>
      <w:sz w:val="26"/>
      <w:szCs w:val="26"/>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FD760E"/>
    <w:rPr>
      <w:b/>
      <w:bCs/>
    </w:rPr>
  </w:style>
  <w:style w:type="character" w:customStyle="1" w:styleId="CommentSubjectChar">
    <w:name w:val="Comment Subject Char"/>
    <w:basedOn w:val="CommentTextChar"/>
    <w:link w:val="CommentSubject"/>
    <w:uiPriority w:val="99"/>
    <w:semiHidden/>
    <w:rsid w:val="00FD760E"/>
    <w:rPr>
      <w:b/>
      <w:bCs/>
      <w:sz w:val="20"/>
      <w:szCs w:val="20"/>
    </w:rPr>
  </w:style>
  <w:style w:type="paragraph" w:customStyle="1" w:styleId="Default">
    <w:name w:val="Default"/>
    <w:rsid w:val="000653D8"/>
    <w:pPr>
      <w:autoSpaceDE w:val="0"/>
      <w:autoSpaceDN w:val="0"/>
      <w:adjustRightInd w:val="0"/>
      <w:jc w:val="left"/>
    </w:pPr>
    <w:rPr>
      <w:rFonts w:eastAsiaTheme="minorHAnsi"/>
      <w:color w:val="000000"/>
      <w:sz w:val="24"/>
      <w:szCs w:val="24"/>
      <w:lang w:val="en-US"/>
    </w:rPr>
  </w:style>
  <w:style w:type="paragraph" w:styleId="NormalWeb">
    <w:name w:val="Normal (Web)"/>
    <w:basedOn w:val="Normal"/>
    <w:link w:val="NormalWebChar"/>
    <w:uiPriority w:val="99"/>
    <w:unhideWhenUsed/>
    <w:rsid w:val="00A0796E"/>
    <w:pPr>
      <w:spacing w:before="100" w:beforeAutospacing="1" w:after="100" w:afterAutospacing="1"/>
      <w:jc w:val="left"/>
    </w:pPr>
    <w:rPr>
      <w:rFonts w:ascii="Calibri" w:eastAsiaTheme="minorHAnsi" w:hAnsi="Calibri" w:cs="Calibri"/>
      <w:lang w:val="en-US"/>
    </w:rPr>
  </w:style>
  <w:style w:type="paragraph" w:customStyle="1" w:styleId="IPPHeader">
    <w:name w:val="IPP Header"/>
    <w:basedOn w:val="Normal"/>
    <w:qFormat/>
    <w:rsid w:val="00913AA9"/>
    <w:pPr>
      <w:pBdr>
        <w:bottom w:val="single" w:sz="4" w:space="4" w:color="auto"/>
      </w:pBdr>
      <w:tabs>
        <w:tab w:val="left" w:pos="1134"/>
        <w:tab w:val="right" w:pos="9072"/>
      </w:tabs>
      <w:spacing w:after="120"/>
      <w:jc w:val="left"/>
    </w:pPr>
    <w:rPr>
      <w:rFonts w:ascii="Arial" w:eastAsia="MS Mincho" w:hAnsi="Arial"/>
      <w:sz w:val="18"/>
      <w:szCs w:val="24"/>
      <w:lang w:val="en-US"/>
    </w:rPr>
  </w:style>
  <w:style w:type="character" w:customStyle="1" w:styleId="NormalWebChar">
    <w:name w:val="Normal (Web) Char"/>
    <w:link w:val="NormalWeb"/>
    <w:uiPriority w:val="99"/>
    <w:rsid w:val="00913AA9"/>
    <w:rPr>
      <w:rFonts w:ascii="Calibri" w:eastAsiaTheme="minorHAnsi" w:hAnsi="Calibri" w:cs="Calibri"/>
      <w:lang w:val="en-US"/>
    </w:rPr>
  </w:style>
  <w:style w:type="character" w:customStyle="1" w:styleId="Signature1">
    <w:name w:val="Signature1"/>
    <w:rsid w:val="00913AA9"/>
  </w:style>
  <w:style w:type="paragraph" w:customStyle="1" w:styleId="IPPContentsHead">
    <w:name w:val="IPP ContentsHead"/>
    <w:basedOn w:val="Normal"/>
    <w:next w:val="Normal"/>
    <w:qFormat/>
    <w:rsid w:val="00913AA9"/>
    <w:pPr>
      <w:keepNext/>
      <w:spacing w:after="240"/>
      <w:ind w:left="567" w:hanging="567"/>
      <w:jc w:val="left"/>
    </w:pPr>
    <w:rPr>
      <w:rFonts w:eastAsia="MS Mincho"/>
      <w:b/>
      <w:bCs/>
      <w:iCs/>
      <w:sz w:val="24"/>
    </w:rPr>
  </w:style>
  <w:style w:type="numbering" w:customStyle="1" w:styleId="IPPParagraphnumberedlist">
    <w:name w:val="IPP Paragraph numbered list"/>
    <w:rsid w:val="00913AA9"/>
    <w:pPr>
      <w:numPr>
        <w:numId w:val="2"/>
      </w:numPr>
    </w:pPr>
  </w:style>
  <w:style w:type="paragraph" w:customStyle="1" w:styleId="IPPArial">
    <w:name w:val="IPP Arial"/>
    <w:basedOn w:val="Normal"/>
    <w:qFormat/>
    <w:rsid w:val="00913AA9"/>
    <w:rPr>
      <w:rFonts w:ascii="Arial" w:eastAsia="Times" w:hAnsi="Arial"/>
      <w:sz w:val="18"/>
      <w:szCs w:val="24"/>
    </w:rPr>
  </w:style>
  <w:style w:type="paragraph" w:customStyle="1" w:styleId="IPPParagraphnumbering">
    <w:name w:val="IPP Paragraph numbering"/>
    <w:basedOn w:val="Normal"/>
    <w:qFormat/>
    <w:rsid w:val="00913AA9"/>
    <w:pPr>
      <w:numPr>
        <w:numId w:val="3"/>
      </w:numPr>
      <w:spacing w:after="180"/>
    </w:pPr>
    <w:rPr>
      <w:rFonts w:eastAsia="Times"/>
      <w:szCs w:val="24"/>
      <w:lang w:val="en-US"/>
    </w:rPr>
  </w:style>
  <w:style w:type="paragraph" w:customStyle="1" w:styleId="IPPPargraphnumbering">
    <w:name w:val="IPP Pargraph numbering"/>
    <w:basedOn w:val="Normal"/>
    <w:uiPriority w:val="99"/>
    <w:qFormat/>
    <w:rsid w:val="00913AA9"/>
    <w:pPr>
      <w:tabs>
        <w:tab w:val="num" w:pos="360"/>
      </w:tabs>
      <w:spacing w:after="180"/>
      <w:ind w:left="360" w:hanging="360"/>
    </w:pPr>
    <w:rPr>
      <w:szCs w:val="24"/>
      <w:lang w:val="en-US"/>
    </w:rPr>
  </w:style>
  <w:style w:type="character" w:customStyle="1" w:styleId="PleaseReviewParagraphId">
    <w:name w:val="PleaseReviewParagraphId"/>
    <w:rsid w:val="00913AA9"/>
    <w:rPr>
      <w:rFonts w:ascii="Arial" w:hAnsi="Arial"/>
      <w:b w:val="0"/>
      <w:i w:val="0"/>
      <w:color w:val="000080"/>
      <w:sz w:val="16"/>
      <w:u w:val="none"/>
    </w:rPr>
  </w:style>
  <w:style w:type="character" w:styleId="PageNumber">
    <w:name w:val="page number"/>
    <w:rsid w:val="004D1E32"/>
    <w:rPr>
      <w:rFonts w:ascii="Arial" w:hAnsi="Arial"/>
      <w:b/>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78293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icente.hernandez@inecol.mx" TargetMode="External"/><Relationship Id="rId18" Type="http://schemas.openxmlformats.org/officeDocument/2006/relationships/hyperlink" Target="mailto:bassoalicia@yahoo.com" TargetMode="External"/><Relationship Id="rId26" Type="http://schemas.openxmlformats.org/officeDocument/2006/relationships/hyperlink" Target="http://delta-intkey.com/ffl/" TargetMode="External"/><Relationship Id="rId39" Type="http://schemas.openxmlformats.org/officeDocument/2006/relationships/image" Target="media/image9.png"/><Relationship Id="rId21" Type="http://schemas.openxmlformats.org/officeDocument/2006/relationships/hyperlink" Target="mailto:idumois@senasa.gob.ar" TargetMode="External"/><Relationship Id="rId34" Type="http://schemas.openxmlformats.org/officeDocument/2006/relationships/image" Target="media/image4.png"/><Relationship Id="rId42" Type="http://schemas.openxmlformats.org/officeDocument/2006/relationships/image" Target="media/image12.png"/><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header" Target="header2.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mailto:daniel.frias@umce.cl" TargetMode="External"/><Relationship Id="rId20" Type="http://schemas.openxmlformats.org/officeDocument/2006/relationships/hyperlink" Target="mailto:allbme@gmail.com" TargetMode="External"/><Relationship Id="rId29" Type="http://schemas.openxmlformats.org/officeDocument/2006/relationships/hyperlink" Target="http://delta-intkey.com" TargetMode="External"/><Relationship Id="rId41" Type="http://schemas.openxmlformats.org/officeDocument/2006/relationships/image" Target="media/image11.png"/><Relationship Id="rId54" Type="http://schemas.openxmlformats.org/officeDocument/2006/relationships/header" Target="header1.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blast.ncbi.nlm.nih.gov/Blast.cgi" TargetMode="External"/><Relationship Id="rId24" Type="http://schemas.openxmlformats.org/officeDocument/2006/relationships/hyperlink" Target="mailto:ippc@fao.org" TargetMode="External"/><Relationship Id="rId32" Type="http://schemas.openxmlformats.org/officeDocument/2006/relationships/image" Target="media/image2.png"/><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header" Target="header3.xml"/><Relationship Id="rId5" Type="http://schemas.openxmlformats.org/officeDocument/2006/relationships/styles" Target="styles.xml"/><Relationship Id="rId15" Type="http://schemas.openxmlformats.org/officeDocument/2006/relationships/hyperlink" Target="mailto:razucchi@usp.br" TargetMode="External"/><Relationship Id="rId23" Type="http://schemas.openxmlformats.org/officeDocument/2006/relationships/hyperlink" Target="mailto:kimthoappd@gmail.com" TargetMode="External"/><Relationship Id="rId28" Type="http://schemas.openxmlformats.org/officeDocument/2006/relationships/hyperlink" Target="https://coffhi.cphst.org/" TargetMode="External"/><Relationship Id="rId36" Type="http://schemas.openxmlformats.org/officeDocument/2006/relationships/image" Target="media/image6.png"/><Relationship Id="rId49" Type="http://schemas.openxmlformats.org/officeDocument/2006/relationships/image" Target="media/image19.png"/><Relationship Id="rId57" Type="http://schemas.openxmlformats.org/officeDocument/2006/relationships/footer" Target="footer2.xml"/><Relationship Id="rId61" Type="http://schemas.openxmlformats.org/officeDocument/2006/relationships/fontTable" Target="fontTable.xml"/><Relationship Id="rId10" Type="http://schemas.openxmlformats.org/officeDocument/2006/relationships/hyperlink" Target="https://coffhi.cphst.org/" TargetMode="External"/><Relationship Id="rId19" Type="http://schemas.openxmlformats.org/officeDocument/2006/relationships/hyperlink" Target="mailto:Norman.B.Barr@aphis.usda.gov" TargetMode="External"/><Relationship Id="rId31" Type="http://schemas.openxmlformats.org/officeDocument/2006/relationships/image" Target="media/image1.png"/><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header" Target="header4.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anorrbom@sel.barc.usda.gov" TargetMode="External"/><Relationship Id="rId22" Type="http://schemas.openxmlformats.org/officeDocument/2006/relationships/hyperlink" Target="mailto:thoahk.bvtv@mard.gov.vn" TargetMode="External"/><Relationship Id="rId27" Type="http://schemas.openxmlformats.org/officeDocument/2006/relationships/hyperlink" Target="http://delta-intkey.com/ffl/" TargetMode="External"/><Relationship Id="rId30" Type="http://schemas.openxmlformats.org/officeDocument/2006/relationships/hyperlink" Target="http://delta-intkey.com" TargetMode="External"/><Relationship Id="rId35" Type="http://schemas.openxmlformats.org/officeDocument/2006/relationships/image" Target="media/image5.pn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21.png"/><Relationship Id="rId3" Type="http://schemas.openxmlformats.org/officeDocument/2006/relationships/customXml" Target="../customXml/item3.xml"/><Relationship Id="rId12" Type="http://schemas.openxmlformats.org/officeDocument/2006/relationships/hyperlink" Target="https://blast.ncbi.nlm.nih.gov/Blast.cgi" TargetMode="External"/><Relationship Id="rId17" Type="http://schemas.openxmlformats.org/officeDocument/2006/relationships/hyperlink" Target="about:blank" TargetMode="External"/><Relationship Id="rId25" Type="http://schemas.openxmlformats.org/officeDocument/2006/relationships/hyperlink" Target="https://www.ippc.int/core-activities/standards-setting/ispms" TargetMode="External"/><Relationship Id="rId33" Type="http://schemas.openxmlformats.org/officeDocument/2006/relationships/image" Target="media/image3.png"/><Relationship Id="rId38" Type="http://schemas.openxmlformats.org/officeDocument/2006/relationships/image" Target="media/image8.png"/><Relationship Id="rId46" Type="http://schemas.openxmlformats.org/officeDocument/2006/relationships/image" Target="media/image16.png"/><Relationship Id="rId59" Type="http://schemas.openxmlformats.org/officeDocument/2006/relationships/footer" Target="footer3.xml"/></Relationships>
</file>

<file path=word/_rels/header3.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05d7f75-f42e-4288-8809-604fd4d9691f" xsi:nil="true"/>
    <lcf76f155ced4ddcb4097134ff3c332f xmlns="ea6feb38-a85a-45e8-92e9-814486bbe375">
      <Terms xmlns="http://schemas.microsoft.com/office/infopath/2007/PartnerControls"/>
    </lcf76f155ced4ddcb4097134ff3c332f>
    <_Flow_SignoffStatus xmlns="ea6feb38-a85a-45e8-92e9-814486bbe37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99519679B1A8B4091DBA33CE26F55F5" ma:contentTypeVersion="17" ma:contentTypeDescription="Create a new document." ma:contentTypeScope="" ma:versionID="b97c355e8ddb83b53e10132d4d0c39dd">
  <xsd:schema xmlns:xsd="http://www.w3.org/2001/XMLSchema" xmlns:xs="http://www.w3.org/2001/XMLSchema" xmlns:p="http://schemas.microsoft.com/office/2006/metadata/properties" xmlns:ns2="a05d7f75-f42e-4288-8809-604fd4d9691f" xmlns:ns3="ea6feb38-a85a-45e8-92e9-814486bbe375" targetNamespace="http://schemas.microsoft.com/office/2006/metadata/properties" ma:root="true" ma:fieldsID="7ee668c2352abc57114714e7d7c6a8d9" ns2:_="" ns3:_="">
    <xsd:import namespace="a05d7f75-f42e-4288-8809-604fd4d9691f"/>
    <xsd:import namespace="ea6feb38-a85a-45e8-92e9-814486bbe37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_Flow_SignoffStatu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5d7f75-f42e-4288-8809-604fd4d9691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540dbf57-1e7b-4a73-94c8-cbcaaea3fe5a}" ma:internalName="TaxCatchAll" ma:showField="CatchAllData" ma:web="a05d7f75-f42e-4288-8809-604fd4d9691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a6feb38-a85a-45e8-92e9-814486bbe37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_Flow_SignoffStatus" ma:index="21" nillable="true" ma:displayName="Sign-off status" ma:internalName="Sign_x002d_off_x0020_status">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40eee1e-ad38-437e-be40-fc9f033adc9a"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8422888-9FE4-415B-9D6A-CE6CA2F8AC3E}">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ea6feb38-a85a-45e8-92e9-814486bbe375"/>
    <ds:schemaRef ds:uri="a05d7f75-f42e-4288-8809-604fd4d9691f"/>
    <ds:schemaRef ds:uri="http://www.w3.org/XML/1998/namespace"/>
    <ds:schemaRef ds:uri="http://purl.org/dc/dcmitype/"/>
  </ds:schemaRefs>
</ds:datastoreItem>
</file>

<file path=customXml/itemProps2.xml><?xml version="1.0" encoding="utf-8"?>
<ds:datastoreItem xmlns:ds="http://schemas.openxmlformats.org/officeDocument/2006/customXml" ds:itemID="{F5C78369-A428-4AF1-9497-0075652D1D02}">
  <ds:schemaRefs>
    <ds:schemaRef ds:uri="http://schemas.microsoft.com/sharepoint/v3/contenttype/forms"/>
  </ds:schemaRefs>
</ds:datastoreItem>
</file>

<file path=customXml/itemProps3.xml><?xml version="1.0" encoding="utf-8"?>
<ds:datastoreItem xmlns:ds="http://schemas.openxmlformats.org/officeDocument/2006/customXml" ds:itemID="{3A178663-2CCF-4895-866F-DC76255D9E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5d7f75-f42e-4288-8809-604fd4d9691f"/>
    <ds:schemaRef ds:uri="ea6feb38-a85a-45e8-92e9-814486bbe3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52</Pages>
  <Words>14765</Words>
  <Characters>84166</Characters>
  <Application>Microsoft Office Word</Application>
  <DocSecurity>0</DocSecurity>
  <Lines>701</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Ruiz, Raul A - APHIS</dc:creator>
  <cp:lastModifiedBy>Adriana Moreira</cp:lastModifiedBy>
  <cp:revision>15</cp:revision>
  <cp:lastPrinted>2022-09-30T16:08:00Z</cp:lastPrinted>
  <dcterms:created xsi:type="dcterms:W3CDTF">2022-10-12T13:42:00Z</dcterms:created>
  <dcterms:modified xsi:type="dcterms:W3CDTF">2022-10-23T20:14:00Z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6b7b23866d0394ac123050f915a25f67b264e460a500a51f1a9cbdf6412515f9</vt:lpwstr>
  </property>
  <property fmtid="{D5CDD505-2E9C-101B-9397-08002B2CF9AE}" pid="3" name="ContentTypeId">
    <vt:lpwstr>0x010100299519679B1A8B4091DBA33CE26F55F5</vt:lpwstr>
  </property>
  <property fmtid="{D5CDD505-2E9C-101B-9397-08002B2CF9AE}" pid="4" name="MediaServiceImageTags">
    <vt:lpwstr/>
  </property>
</Properties>
</file>