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18ED2" w14:textId="09C012E9" w:rsidR="005C3D8E" w:rsidRPr="005C3D8E" w:rsidRDefault="0004310D" w:rsidP="005C3D8E">
      <w:pPr>
        <w:keepNext/>
        <w:tabs>
          <w:tab w:val="left" w:pos="851"/>
        </w:tabs>
        <w:spacing w:before="360" w:after="120"/>
        <w:ind w:left="851" w:hanging="851"/>
        <w:jc w:val="center"/>
        <w:outlineLvl w:val="0"/>
        <w:rPr>
          <w:rFonts w:eastAsia="Times"/>
          <w:b/>
          <w:bCs/>
          <w:iCs/>
          <w:caps/>
          <w:sz w:val="24"/>
          <w:szCs w:val="22"/>
        </w:rPr>
      </w:pPr>
      <w:bookmarkStart w:id="0" w:name="_Toc137983540"/>
      <w:r w:rsidRPr="0004310D">
        <w:rPr>
          <w:rFonts w:eastAsia="Times"/>
          <w:b/>
          <w:bCs/>
          <w:iCs/>
          <w:caps/>
          <w:sz w:val="24"/>
          <w:szCs w:val="22"/>
        </w:rPr>
        <w:t xml:space="preserve">draft </w:t>
      </w:r>
      <w:r w:rsidR="005C3D8E" w:rsidRPr="0004310D">
        <w:rPr>
          <w:rFonts w:eastAsia="Times"/>
          <w:b/>
          <w:bCs/>
          <w:iCs/>
          <w:caps/>
          <w:sz w:val="24"/>
          <w:szCs w:val="22"/>
        </w:rPr>
        <w:t>REVISION OF DP 25:</w:t>
      </w:r>
      <w:r w:rsidR="005C3D8E" w:rsidRPr="005C3D8E">
        <w:rPr>
          <w:rFonts w:eastAsia="Times"/>
          <w:b/>
          <w:bCs/>
          <w:i/>
          <w:iCs/>
          <w:caps/>
          <w:sz w:val="24"/>
          <w:szCs w:val="22"/>
        </w:rPr>
        <w:t xml:space="preserve"> </w:t>
      </w:r>
      <w:r w:rsidR="005C3D8E">
        <w:rPr>
          <w:rFonts w:eastAsia="Times"/>
          <w:b/>
          <w:bCs/>
          <w:i/>
          <w:iCs/>
          <w:caps/>
          <w:sz w:val="24"/>
          <w:szCs w:val="22"/>
        </w:rPr>
        <w:t>XYLELLA FASTIDIOSA</w:t>
      </w:r>
    </w:p>
    <w:tbl>
      <w:tblPr>
        <w:tblW w:w="9054" w:type="dxa"/>
        <w:tblInd w:w="-28" w:type="dxa"/>
        <w:tblBorders>
          <w:top w:val="single" w:sz="6" w:space="0" w:color="00000A"/>
          <w:left w:val="single" w:sz="6" w:space="0" w:color="00000A"/>
          <w:bottom w:val="single" w:sz="6" w:space="0" w:color="00000A"/>
          <w:right w:val="single" w:sz="6" w:space="0" w:color="00000A"/>
        </w:tblBorders>
        <w:tblLayout w:type="fixed"/>
        <w:tblCellMar>
          <w:top w:w="30" w:type="dxa"/>
          <w:left w:w="30" w:type="dxa"/>
          <w:bottom w:w="30" w:type="dxa"/>
          <w:right w:w="30" w:type="dxa"/>
        </w:tblCellMar>
        <w:tblLook w:val="0000" w:firstRow="0" w:lastRow="0" w:firstColumn="0" w:lastColumn="0" w:noHBand="0" w:noVBand="0"/>
      </w:tblPr>
      <w:tblGrid>
        <w:gridCol w:w="2740"/>
        <w:gridCol w:w="6314"/>
      </w:tblGrid>
      <w:tr w:rsidR="005C3D8E" w:rsidRPr="005C3D8E" w14:paraId="15D2D085" w14:textId="77777777" w:rsidTr="005C3D8E">
        <w:tc>
          <w:tcPr>
            <w:tcW w:w="9054" w:type="dxa"/>
            <w:gridSpan w:val="2"/>
            <w:tcBorders>
              <w:top w:val="single" w:sz="6" w:space="0" w:color="00000A"/>
              <w:bottom w:val="single" w:sz="6" w:space="0" w:color="00000A"/>
            </w:tcBorders>
          </w:tcPr>
          <w:p w14:paraId="34F0D2C6" w14:textId="77777777" w:rsidR="005C3D8E" w:rsidRPr="005C3D8E" w:rsidRDefault="005C3D8E" w:rsidP="005C3D8E">
            <w:pPr>
              <w:pBdr>
                <w:top w:val="nil"/>
                <w:left w:val="nil"/>
                <w:bottom w:val="nil"/>
                <w:right w:val="nil"/>
                <w:between w:val="nil"/>
              </w:pBdr>
              <w:spacing w:before="29"/>
              <w:rPr>
                <w:rFonts w:ascii="Arial" w:eastAsia="Arial" w:hAnsi="Arial" w:cs="Arial"/>
                <w:color w:val="000000"/>
                <w:sz w:val="18"/>
                <w:szCs w:val="18"/>
              </w:rPr>
            </w:pPr>
            <w:r w:rsidRPr="005C3D8E">
              <w:rPr>
                <w:rFonts w:ascii="Arial" w:eastAsia="Arial" w:hAnsi="Arial" w:cs="Arial"/>
                <w:b/>
                <w:color w:val="000000"/>
                <w:sz w:val="18"/>
                <w:szCs w:val="18"/>
              </w:rPr>
              <w:t>Status box</w:t>
            </w:r>
          </w:p>
        </w:tc>
      </w:tr>
      <w:tr w:rsidR="005C3D8E" w:rsidRPr="005C3D8E" w14:paraId="47794275" w14:textId="77777777" w:rsidTr="005C3D8E">
        <w:tc>
          <w:tcPr>
            <w:tcW w:w="9054" w:type="dxa"/>
            <w:gridSpan w:val="2"/>
            <w:tcBorders>
              <w:top w:val="single" w:sz="6" w:space="0" w:color="00000A"/>
              <w:bottom w:val="single" w:sz="6" w:space="0" w:color="00000A"/>
            </w:tcBorders>
          </w:tcPr>
          <w:p w14:paraId="539648F2" w14:textId="77777777" w:rsidR="005C3D8E" w:rsidRPr="005C3D8E" w:rsidRDefault="005C3D8E" w:rsidP="005C3D8E">
            <w:pPr>
              <w:pBdr>
                <w:top w:val="nil"/>
                <w:left w:val="nil"/>
                <w:bottom w:val="nil"/>
                <w:right w:val="nil"/>
                <w:between w:val="nil"/>
              </w:pBdr>
              <w:spacing w:before="29"/>
              <w:rPr>
                <w:rFonts w:ascii="Arial" w:eastAsia="Arial" w:hAnsi="Arial" w:cs="Arial"/>
                <w:color w:val="000000"/>
                <w:sz w:val="18"/>
                <w:szCs w:val="18"/>
              </w:rPr>
            </w:pPr>
            <w:r w:rsidRPr="005C3D8E">
              <w:rPr>
                <w:rFonts w:ascii="Arial" w:eastAsia="Arial" w:hAnsi="Arial" w:cs="Arial"/>
                <w:color w:val="000000"/>
                <w:sz w:val="18"/>
                <w:szCs w:val="18"/>
              </w:rPr>
              <w:t>This is not an official part of the standard and will be modified after adoption</w:t>
            </w:r>
          </w:p>
        </w:tc>
      </w:tr>
      <w:tr w:rsidR="005C3D8E" w:rsidRPr="005C3D8E" w14:paraId="72FF9772" w14:textId="77777777" w:rsidTr="005C3D8E">
        <w:tc>
          <w:tcPr>
            <w:tcW w:w="2740" w:type="dxa"/>
            <w:tcBorders>
              <w:top w:val="single" w:sz="6" w:space="0" w:color="00000A"/>
              <w:bottom w:val="single" w:sz="6" w:space="0" w:color="00000A"/>
              <w:right w:val="single" w:sz="6" w:space="0" w:color="00000A"/>
            </w:tcBorders>
          </w:tcPr>
          <w:p w14:paraId="11F7547B" w14:textId="77777777" w:rsidR="005C3D8E" w:rsidRPr="005C3D8E" w:rsidRDefault="005C3D8E" w:rsidP="005C3D8E">
            <w:pPr>
              <w:pBdr>
                <w:top w:val="nil"/>
                <w:left w:val="nil"/>
                <w:bottom w:val="nil"/>
                <w:right w:val="nil"/>
                <w:between w:val="nil"/>
              </w:pBdr>
              <w:spacing w:before="29"/>
              <w:rPr>
                <w:rFonts w:ascii="Arial" w:eastAsia="Arial" w:hAnsi="Arial" w:cs="Arial"/>
                <w:color w:val="000000"/>
                <w:sz w:val="18"/>
                <w:szCs w:val="18"/>
              </w:rPr>
            </w:pPr>
            <w:r w:rsidRPr="005C3D8E">
              <w:rPr>
                <w:rFonts w:ascii="Arial" w:eastAsia="Arial" w:hAnsi="Arial" w:cs="Arial"/>
                <w:b/>
                <w:color w:val="000000"/>
                <w:sz w:val="18"/>
                <w:szCs w:val="18"/>
              </w:rPr>
              <w:t>Date of this document</w:t>
            </w:r>
            <w:r w:rsidRPr="005C3D8E">
              <w:rPr>
                <w:rFonts w:ascii="Arial" w:eastAsia="Arial" w:hAnsi="Arial" w:cs="Arial"/>
                <w:color w:val="000000"/>
                <w:sz w:val="18"/>
                <w:szCs w:val="18"/>
              </w:rPr>
              <w:t xml:space="preserve"> </w:t>
            </w:r>
          </w:p>
        </w:tc>
        <w:tc>
          <w:tcPr>
            <w:tcW w:w="6314" w:type="dxa"/>
            <w:tcBorders>
              <w:top w:val="single" w:sz="6" w:space="0" w:color="00000A"/>
              <w:left w:val="single" w:sz="6" w:space="0" w:color="00000A"/>
              <w:bottom w:val="single" w:sz="6" w:space="0" w:color="00000A"/>
            </w:tcBorders>
          </w:tcPr>
          <w:p w14:paraId="58709B38" w14:textId="7910BD47" w:rsidR="005C3D8E" w:rsidRPr="005C3D8E" w:rsidRDefault="005C3D8E" w:rsidP="005C3D8E">
            <w:pPr>
              <w:pBdr>
                <w:top w:val="nil"/>
                <w:left w:val="nil"/>
                <w:bottom w:val="nil"/>
                <w:right w:val="nil"/>
                <w:between w:val="nil"/>
              </w:pBdr>
              <w:spacing w:before="29"/>
              <w:rPr>
                <w:rFonts w:ascii="Arial" w:eastAsia="Arial" w:hAnsi="Arial" w:cs="Arial"/>
                <w:color w:val="000000"/>
                <w:sz w:val="18"/>
                <w:szCs w:val="18"/>
              </w:rPr>
            </w:pPr>
            <w:r>
              <w:rPr>
                <w:rFonts w:ascii="Arial" w:eastAsia="Arial" w:hAnsi="Arial" w:cs="Arial"/>
                <w:color w:val="000000"/>
                <w:sz w:val="18"/>
                <w:szCs w:val="18"/>
              </w:rPr>
              <w:t>2022-09-26</w:t>
            </w:r>
          </w:p>
        </w:tc>
      </w:tr>
      <w:tr w:rsidR="005C3D8E" w:rsidRPr="005C3D8E" w14:paraId="110E812C" w14:textId="77777777" w:rsidTr="005C3D8E">
        <w:tc>
          <w:tcPr>
            <w:tcW w:w="2740" w:type="dxa"/>
            <w:tcBorders>
              <w:top w:val="single" w:sz="6" w:space="0" w:color="00000A"/>
              <w:bottom w:val="single" w:sz="6" w:space="0" w:color="00000A"/>
              <w:right w:val="single" w:sz="6" w:space="0" w:color="00000A"/>
            </w:tcBorders>
          </w:tcPr>
          <w:p w14:paraId="5261E407" w14:textId="77777777" w:rsidR="005C3D8E" w:rsidRPr="005C3D8E" w:rsidRDefault="005C3D8E" w:rsidP="005C3D8E">
            <w:pPr>
              <w:pBdr>
                <w:top w:val="nil"/>
                <w:left w:val="nil"/>
                <w:bottom w:val="nil"/>
                <w:right w:val="nil"/>
                <w:between w:val="nil"/>
              </w:pBdr>
              <w:spacing w:before="29"/>
              <w:rPr>
                <w:rFonts w:ascii="Arial" w:eastAsia="Arial" w:hAnsi="Arial" w:cs="Arial"/>
                <w:color w:val="000000"/>
                <w:sz w:val="18"/>
                <w:szCs w:val="18"/>
              </w:rPr>
            </w:pPr>
            <w:r w:rsidRPr="005C3D8E">
              <w:rPr>
                <w:rFonts w:ascii="Arial" w:eastAsia="Arial" w:hAnsi="Arial" w:cs="Arial"/>
                <w:b/>
                <w:color w:val="000000"/>
                <w:sz w:val="18"/>
                <w:szCs w:val="18"/>
              </w:rPr>
              <w:t>Document category</w:t>
            </w:r>
            <w:r w:rsidRPr="005C3D8E">
              <w:rPr>
                <w:rFonts w:ascii="Arial" w:eastAsia="Arial" w:hAnsi="Arial" w:cs="Arial"/>
                <w:color w:val="000000"/>
                <w:sz w:val="18"/>
                <w:szCs w:val="18"/>
              </w:rPr>
              <w:t xml:space="preserve"> </w:t>
            </w:r>
          </w:p>
        </w:tc>
        <w:tc>
          <w:tcPr>
            <w:tcW w:w="6314" w:type="dxa"/>
            <w:tcBorders>
              <w:top w:val="single" w:sz="6" w:space="0" w:color="00000A"/>
              <w:left w:val="single" w:sz="6" w:space="0" w:color="00000A"/>
              <w:bottom w:val="single" w:sz="6" w:space="0" w:color="00000A"/>
            </w:tcBorders>
          </w:tcPr>
          <w:p w14:paraId="1075C4E0" w14:textId="77777777" w:rsidR="005C3D8E" w:rsidRPr="005C3D8E" w:rsidRDefault="005C3D8E" w:rsidP="005C3D8E">
            <w:pPr>
              <w:pBdr>
                <w:top w:val="nil"/>
                <w:left w:val="nil"/>
                <w:bottom w:val="nil"/>
                <w:right w:val="nil"/>
                <w:between w:val="nil"/>
              </w:pBdr>
              <w:spacing w:before="29"/>
              <w:rPr>
                <w:rFonts w:ascii="Arial" w:eastAsia="Arial" w:hAnsi="Arial" w:cs="Arial"/>
                <w:color w:val="000000"/>
                <w:sz w:val="18"/>
                <w:szCs w:val="18"/>
              </w:rPr>
            </w:pPr>
            <w:r w:rsidRPr="005C3D8E">
              <w:rPr>
                <w:rFonts w:ascii="Arial" w:eastAsia="Arial" w:hAnsi="Arial" w:cs="Arial"/>
                <w:color w:val="000000"/>
                <w:sz w:val="18"/>
                <w:szCs w:val="18"/>
              </w:rPr>
              <w:t>Draft revision of annex to ISPM 27 (</w:t>
            </w:r>
            <w:r w:rsidRPr="005C3D8E">
              <w:rPr>
                <w:rFonts w:ascii="Arial" w:eastAsia="Arial" w:hAnsi="Arial" w:cs="Arial"/>
                <w:i/>
                <w:color w:val="000000"/>
                <w:sz w:val="18"/>
                <w:szCs w:val="18"/>
              </w:rPr>
              <w:t>Diagnostic protocols for regulated pests</w:t>
            </w:r>
            <w:r w:rsidRPr="005C3D8E">
              <w:rPr>
                <w:rFonts w:ascii="Arial" w:eastAsia="Arial" w:hAnsi="Arial" w:cs="Arial"/>
                <w:color w:val="000000"/>
                <w:sz w:val="18"/>
                <w:szCs w:val="18"/>
              </w:rPr>
              <w:t xml:space="preserve">) </w:t>
            </w:r>
          </w:p>
        </w:tc>
      </w:tr>
      <w:tr w:rsidR="005C3D8E" w:rsidRPr="005C3D8E" w14:paraId="3BA4AE5E" w14:textId="77777777" w:rsidTr="005C3D8E">
        <w:tc>
          <w:tcPr>
            <w:tcW w:w="2740" w:type="dxa"/>
            <w:tcBorders>
              <w:top w:val="single" w:sz="6" w:space="0" w:color="00000A"/>
              <w:bottom w:val="single" w:sz="6" w:space="0" w:color="00000A"/>
              <w:right w:val="single" w:sz="6" w:space="0" w:color="00000A"/>
            </w:tcBorders>
          </w:tcPr>
          <w:p w14:paraId="747E2682" w14:textId="77777777" w:rsidR="005C3D8E" w:rsidRPr="005C3D8E" w:rsidRDefault="005C3D8E" w:rsidP="005C3D8E">
            <w:pPr>
              <w:pBdr>
                <w:top w:val="nil"/>
                <w:left w:val="nil"/>
                <w:bottom w:val="nil"/>
                <w:right w:val="nil"/>
                <w:between w:val="nil"/>
              </w:pBdr>
              <w:spacing w:before="29"/>
              <w:rPr>
                <w:rFonts w:ascii="Arial" w:eastAsia="Arial" w:hAnsi="Arial" w:cs="Arial"/>
                <w:color w:val="000000"/>
                <w:sz w:val="18"/>
                <w:szCs w:val="18"/>
              </w:rPr>
            </w:pPr>
            <w:r w:rsidRPr="005C3D8E">
              <w:rPr>
                <w:rFonts w:ascii="Arial" w:eastAsia="Arial" w:hAnsi="Arial" w:cs="Arial"/>
                <w:b/>
                <w:color w:val="000000"/>
                <w:sz w:val="18"/>
                <w:szCs w:val="18"/>
              </w:rPr>
              <w:t>Current document stage</w:t>
            </w:r>
            <w:r w:rsidRPr="005C3D8E">
              <w:rPr>
                <w:rFonts w:ascii="Arial" w:eastAsia="Arial" w:hAnsi="Arial" w:cs="Arial"/>
                <w:color w:val="000000"/>
                <w:sz w:val="18"/>
                <w:szCs w:val="18"/>
              </w:rPr>
              <w:t xml:space="preserve"> </w:t>
            </w:r>
          </w:p>
        </w:tc>
        <w:tc>
          <w:tcPr>
            <w:tcW w:w="6314" w:type="dxa"/>
            <w:tcBorders>
              <w:top w:val="single" w:sz="6" w:space="0" w:color="00000A"/>
              <w:left w:val="single" w:sz="6" w:space="0" w:color="00000A"/>
              <w:bottom w:val="single" w:sz="6" w:space="0" w:color="00000A"/>
            </w:tcBorders>
          </w:tcPr>
          <w:p w14:paraId="26984BE7" w14:textId="77777777" w:rsidR="005C3D8E" w:rsidRPr="005C3D8E" w:rsidRDefault="005C3D8E" w:rsidP="005C3D8E">
            <w:pPr>
              <w:pBdr>
                <w:top w:val="nil"/>
                <w:left w:val="nil"/>
                <w:bottom w:val="nil"/>
                <w:right w:val="nil"/>
                <w:between w:val="nil"/>
              </w:pBdr>
              <w:spacing w:before="29"/>
              <w:rPr>
                <w:rFonts w:ascii="Arial" w:eastAsia="Arial" w:hAnsi="Arial" w:cs="Arial"/>
                <w:color w:val="000000"/>
                <w:sz w:val="18"/>
                <w:szCs w:val="18"/>
              </w:rPr>
            </w:pPr>
            <w:r w:rsidRPr="005C3D8E">
              <w:rPr>
                <w:rFonts w:ascii="Arial" w:eastAsia="Arial" w:hAnsi="Arial" w:cs="Arial"/>
                <w:sz w:val="18"/>
                <w:szCs w:val="18"/>
              </w:rPr>
              <w:t>To IPPC Diagnostic Protocol Expert Consultation</w:t>
            </w:r>
          </w:p>
        </w:tc>
      </w:tr>
      <w:tr w:rsidR="005C3D8E" w:rsidRPr="005C3D8E" w14:paraId="77AF46AD" w14:textId="77777777" w:rsidTr="005C3D8E">
        <w:tc>
          <w:tcPr>
            <w:tcW w:w="2740" w:type="dxa"/>
            <w:tcBorders>
              <w:top w:val="single" w:sz="6" w:space="0" w:color="00000A"/>
              <w:bottom w:val="single" w:sz="6" w:space="0" w:color="00000A"/>
              <w:right w:val="single" w:sz="6" w:space="0" w:color="00000A"/>
            </w:tcBorders>
          </w:tcPr>
          <w:p w14:paraId="37C210A2" w14:textId="77777777" w:rsidR="005C3D8E" w:rsidRPr="005C3D8E" w:rsidRDefault="005C3D8E" w:rsidP="005C3D8E">
            <w:pPr>
              <w:pBdr>
                <w:top w:val="nil"/>
                <w:left w:val="nil"/>
                <w:bottom w:val="nil"/>
                <w:right w:val="nil"/>
                <w:between w:val="nil"/>
              </w:pBdr>
              <w:spacing w:before="29"/>
              <w:rPr>
                <w:rFonts w:ascii="Arial" w:eastAsia="Arial" w:hAnsi="Arial" w:cs="Arial"/>
                <w:b/>
                <w:sz w:val="18"/>
                <w:szCs w:val="18"/>
              </w:rPr>
            </w:pPr>
            <w:r w:rsidRPr="005C3D8E">
              <w:rPr>
                <w:rFonts w:ascii="Arial" w:eastAsia="Arial" w:hAnsi="Arial" w:cs="Arial"/>
                <w:b/>
                <w:sz w:val="18"/>
                <w:szCs w:val="18"/>
              </w:rPr>
              <w:t>Origin</w:t>
            </w:r>
          </w:p>
        </w:tc>
        <w:tc>
          <w:tcPr>
            <w:tcW w:w="6314" w:type="dxa"/>
            <w:tcBorders>
              <w:top w:val="single" w:sz="6" w:space="0" w:color="00000A"/>
              <w:left w:val="single" w:sz="6" w:space="0" w:color="00000A"/>
              <w:bottom w:val="single" w:sz="6" w:space="0" w:color="00000A"/>
            </w:tcBorders>
          </w:tcPr>
          <w:p w14:paraId="2B04F171" w14:textId="28B8FA4F" w:rsidR="005C3D8E" w:rsidRPr="005C3D8E" w:rsidRDefault="005C3D8E" w:rsidP="005C3D8E">
            <w:pPr>
              <w:pBdr>
                <w:top w:val="nil"/>
                <w:left w:val="nil"/>
                <w:bottom w:val="nil"/>
                <w:right w:val="nil"/>
                <w:between w:val="nil"/>
              </w:pBdr>
              <w:spacing w:before="60" w:after="60"/>
              <w:jc w:val="left"/>
              <w:rPr>
                <w:rFonts w:ascii="Arial" w:eastAsia="Arial" w:hAnsi="Arial" w:cs="Arial"/>
                <w:sz w:val="18"/>
                <w:szCs w:val="18"/>
              </w:rPr>
            </w:pPr>
            <w:r w:rsidRPr="005C3D8E">
              <w:rPr>
                <w:rFonts w:ascii="Arial" w:eastAsia="Arial" w:hAnsi="Arial" w:cs="Arial"/>
                <w:sz w:val="18"/>
                <w:szCs w:val="18"/>
              </w:rPr>
              <w:t xml:space="preserve">Original subject: </w:t>
            </w:r>
            <w:r w:rsidRPr="005C3D8E">
              <w:rPr>
                <w:rFonts w:ascii="Arial" w:eastAsia="Arial" w:hAnsi="Arial" w:cs="Arial"/>
                <w:i/>
                <w:sz w:val="18"/>
                <w:szCs w:val="18"/>
              </w:rPr>
              <w:t>Xylella fastidiosa</w:t>
            </w:r>
          </w:p>
        </w:tc>
      </w:tr>
      <w:tr w:rsidR="005C3D8E" w:rsidRPr="005C3D8E" w14:paraId="4CEF2B47" w14:textId="77777777" w:rsidTr="005C3D8E">
        <w:tc>
          <w:tcPr>
            <w:tcW w:w="2740" w:type="dxa"/>
            <w:tcBorders>
              <w:top w:val="single" w:sz="6" w:space="0" w:color="00000A"/>
              <w:bottom w:val="single" w:sz="6" w:space="0" w:color="00000A"/>
              <w:right w:val="single" w:sz="6" w:space="0" w:color="00000A"/>
            </w:tcBorders>
          </w:tcPr>
          <w:p w14:paraId="1A3757C1" w14:textId="77777777" w:rsidR="005C3D8E" w:rsidRPr="005C3D8E" w:rsidRDefault="005C3D8E" w:rsidP="005C3D8E">
            <w:pPr>
              <w:pBdr>
                <w:top w:val="nil"/>
                <w:left w:val="nil"/>
                <w:bottom w:val="nil"/>
                <w:right w:val="nil"/>
                <w:between w:val="nil"/>
              </w:pBdr>
              <w:spacing w:before="29"/>
              <w:rPr>
                <w:rFonts w:ascii="Arial" w:eastAsia="Arial" w:hAnsi="Arial" w:cs="Arial"/>
                <w:color w:val="000000"/>
                <w:sz w:val="18"/>
                <w:szCs w:val="18"/>
              </w:rPr>
            </w:pPr>
            <w:r w:rsidRPr="005C3D8E">
              <w:rPr>
                <w:rFonts w:ascii="Arial" w:eastAsia="Arial" w:hAnsi="Arial" w:cs="Arial"/>
                <w:b/>
                <w:color w:val="000000"/>
                <w:sz w:val="18"/>
                <w:szCs w:val="18"/>
              </w:rPr>
              <w:t xml:space="preserve">Major stages </w:t>
            </w:r>
          </w:p>
        </w:tc>
        <w:tc>
          <w:tcPr>
            <w:tcW w:w="6314" w:type="dxa"/>
            <w:tcBorders>
              <w:top w:val="single" w:sz="6" w:space="0" w:color="00000A"/>
              <w:left w:val="single" w:sz="6" w:space="0" w:color="00000A"/>
              <w:bottom w:val="single" w:sz="6" w:space="0" w:color="00000A"/>
            </w:tcBorders>
          </w:tcPr>
          <w:p w14:paraId="582E5929" w14:textId="7F9BD472" w:rsidR="005C3D8E" w:rsidRPr="005C3D8E" w:rsidRDefault="005C3D8E" w:rsidP="005C3D8E">
            <w:pPr>
              <w:pBdr>
                <w:top w:val="nil"/>
                <w:left w:val="nil"/>
                <w:bottom w:val="nil"/>
                <w:right w:val="nil"/>
                <w:between w:val="nil"/>
              </w:pBdr>
              <w:spacing w:before="60" w:after="60"/>
              <w:jc w:val="left"/>
              <w:rPr>
                <w:rFonts w:ascii="Arial" w:eastAsia="Arial" w:hAnsi="Arial" w:cs="Arial"/>
                <w:color w:val="000000"/>
                <w:sz w:val="18"/>
                <w:szCs w:val="18"/>
              </w:rPr>
            </w:pPr>
            <w:r w:rsidRPr="00B36BC2">
              <w:rPr>
                <w:rFonts w:ascii="Arial" w:eastAsia="Arial" w:hAnsi="Arial" w:cs="Arial"/>
                <w:color w:val="000000"/>
                <w:sz w:val="18"/>
                <w:szCs w:val="18"/>
              </w:rPr>
              <w:t>20</w:t>
            </w:r>
            <w:r w:rsidR="00B36BC2" w:rsidRPr="00B36BC2">
              <w:rPr>
                <w:rFonts w:ascii="Arial" w:eastAsia="Arial" w:hAnsi="Arial" w:cs="Arial"/>
                <w:color w:val="000000"/>
                <w:sz w:val="18"/>
                <w:szCs w:val="18"/>
              </w:rPr>
              <w:t>21</w:t>
            </w:r>
            <w:r w:rsidRPr="00B36BC2">
              <w:rPr>
                <w:rFonts w:ascii="Arial" w:eastAsia="Arial" w:hAnsi="Arial" w:cs="Arial"/>
                <w:color w:val="000000"/>
                <w:sz w:val="18"/>
                <w:szCs w:val="18"/>
              </w:rPr>
              <w:t>-</w:t>
            </w:r>
            <w:r w:rsidR="00B36BC2" w:rsidRPr="00B36BC2">
              <w:rPr>
                <w:rFonts w:ascii="Arial" w:eastAsia="Arial" w:hAnsi="Arial" w:cs="Arial"/>
                <w:color w:val="000000"/>
                <w:sz w:val="18"/>
                <w:szCs w:val="18"/>
              </w:rPr>
              <w:t>03</w:t>
            </w:r>
            <w:r w:rsidRPr="005C3D8E">
              <w:rPr>
                <w:rFonts w:ascii="Arial" w:eastAsia="Arial" w:hAnsi="Arial" w:cs="Arial"/>
                <w:color w:val="000000"/>
                <w:sz w:val="18"/>
                <w:szCs w:val="18"/>
              </w:rPr>
              <w:t xml:space="preserve"> SC added the subject Revision of DP </w:t>
            </w:r>
            <w:r>
              <w:rPr>
                <w:rFonts w:ascii="Arial" w:eastAsia="Arial" w:hAnsi="Arial" w:cs="Arial"/>
                <w:color w:val="000000"/>
                <w:sz w:val="18"/>
                <w:szCs w:val="18"/>
              </w:rPr>
              <w:t>2</w:t>
            </w:r>
            <w:r w:rsidRPr="005C3D8E">
              <w:rPr>
                <w:rFonts w:ascii="Arial" w:eastAsia="Arial" w:hAnsi="Arial" w:cs="Arial"/>
                <w:color w:val="000000"/>
                <w:sz w:val="18"/>
                <w:szCs w:val="18"/>
              </w:rPr>
              <w:t>5 to the TPDP work programme</w:t>
            </w:r>
          </w:p>
          <w:p w14:paraId="051F4FC4" w14:textId="0D387DE2" w:rsidR="005C3D8E" w:rsidRPr="005C3D8E" w:rsidRDefault="005C3D8E" w:rsidP="005C3D8E">
            <w:pPr>
              <w:pBdr>
                <w:top w:val="nil"/>
                <w:left w:val="nil"/>
                <w:bottom w:val="nil"/>
                <w:right w:val="nil"/>
                <w:between w:val="nil"/>
              </w:pBdr>
              <w:spacing w:before="60" w:after="60"/>
              <w:jc w:val="left"/>
              <w:rPr>
                <w:rFonts w:ascii="Arial" w:eastAsia="Arial" w:hAnsi="Arial" w:cs="Arial"/>
                <w:color w:val="000000"/>
                <w:sz w:val="18"/>
                <w:szCs w:val="18"/>
              </w:rPr>
            </w:pPr>
            <w:r w:rsidRPr="005C3D8E">
              <w:rPr>
                <w:rFonts w:ascii="Arial" w:hAnsi="Arial" w:cs="Arial"/>
                <w:color w:val="000000"/>
                <w:sz w:val="18"/>
                <w:szCs w:val="18"/>
                <w:bdr w:val="none" w:sz="0" w:space="0" w:color="auto" w:frame="1"/>
              </w:rPr>
              <w:t>2022-0</w:t>
            </w:r>
            <w:r>
              <w:rPr>
                <w:rFonts w:ascii="Arial" w:hAnsi="Arial" w:cs="Arial"/>
                <w:color w:val="000000"/>
                <w:sz w:val="18"/>
                <w:szCs w:val="18"/>
                <w:bdr w:val="none" w:sz="0" w:space="0" w:color="auto" w:frame="1"/>
              </w:rPr>
              <w:t>9</w:t>
            </w:r>
            <w:r w:rsidRPr="005C3D8E">
              <w:rPr>
                <w:rFonts w:ascii="Arial" w:hAnsi="Arial" w:cs="Arial"/>
                <w:color w:val="000000"/>
                <w:sz w:val="18"/>
                <w:szCs w:val="18"/>
                <w:bdr w:val="none" w:sz="0" w:space="0" w:color="auto" w:frame="1"/>
              </w:rPr>
              <w:t xml:space="preserve"> To Expert consultation</w:t>
            </w:r>
          </w:p>
          <w:p w14:paraId="1D43CBD3" w14:textId="77777777" w:rsidR="005C3D8E" w:rsidRPr="005C3D8E" w:rsidRDefault="005C3D8E" w:rsidP="005C3D8E">
            <w:pPr>
              <w:pBdr>
                <w:top w:val="nil"/>
                <w:left w:val="nil"/>
                <w:bottom w:val="nil"/>
                <w:right w:val="nil"/>
                <w:between w:val="nil"/>
              </w:pBdr>
              <w:spacing w:before="60" w:after="60"/>
              <w:jc w:val="left"/>
              <w:rPr>
                <w:rFonts w:ascii="Arial" w:eastAsia="Arial" w:hAnsi="Arial" w:cs="Arial"/>
                <w:color w:val="000000"/>
                <w:sz w:val="18"/>
                <w:szCs w:val="18"/>
              </w:rPr>
            </w:pPr>
          </w:p>
        </w:tc>
      </w:tr>
      <w:tr w:rsidR="005C3D8E" w:rsidRPr="005C3D8E" w14:paraId="601D22C6" w14:textId="77777777" w:rsidTr="005C3D8E">
        <w:tc>
          <w:tcPr>
            <w:tcW w:w="2740" w:type="dxa"/>
            <w:tcBorders>
              <w:top w:val="single" w:sz="6" w:space="0" w:color="00000A"/>
              <w:bottom w:val="single" w:sz="6" w:space="0" w:color="00000A"/>
              <w:right w:val="single" w:sz="6" w:space="0" w:color="00000A"/>
            </w:tcBorders>
          </w:tcPr>
          <w:p w14:paraId="0E5C2387" w14:textId="77777777" w:rsidR="005C3D8E" w:rsidRPr="005C3D8E" w:rsidRDefault="005C3D8E" w:rsidP="005C3D8E">
            <w:pPr>
              <w:pBdr>
                <w:top w:val="nil"/>
                <w:left w:val="nil"/>
                <w:bottom w:val="nil"/>
                <w:right w:val="nil"/>
                <w:between w:val="nil"/>
              </w:pBdr>
              <w:spacing w:before="29"/>
              <w:rPr>
                <w:rFonts w:ascii="Arial" w:eastAsia="Arial" w:hAnsi="Arial" w:cs="Arial"/>
                <w:color w:val="000000"/>
                <w:sz w:val="18"/>
                <w:szCs w:val="18"/>
              </w:rPr>
            </w:pPr>
            <w:r w:rsidRPr="005C3D8E">
              <w:rPr>
                <w:rFonts w:ascii="Arial" w:eastAsia="Arial" w:hAnsi="Arial" w:cs="Arial"/>
                <w:b/>
                <w:color w:val="000000"/>
                <w:sz w:val="18"/>
                <w:szCs w:val="18"/>
              </w:rPr>
              <w:t>Discipline leads history</w:t>
            </w:r>
            <w:r w:rsidRPr="005C3D8E">
              <w:rPr>
                <w:rFonts w:ascii="Arial" w:eastAsia="Arial" w:hAnsi="Arial" w:cs="Arial"/>
                <w:color w:val="000000"/>
                <w:sz w:val="18"/>
                <w:szCs w:val="18"/>
              </w:rPr>
              <w:t xml:space="preserve"> </w:t>
            </w:r>
          </w:p>
        </w:tc>
        <w:tc>
          <w:tcPr>
            <w:tcW w:w="6314" w:type="dxa"/>
            <w:tcBorders>
              <w:top w:val="single" w:sz="6" w:space="0" w:color="00000A"/>
              <w:left w:val="single" w:sz="6" w:space="0" w:color="00000A"/>
              <w:bottom w:val="single" w:sz="6" w:space="0" w:color="00000A"/>
            </w:tcBorders>
          </w:tcPr>
          <w:p w14:paraId="021DC0B8" w14:textId="772FD950" w:rsidR="00B36BC2" w:rsidRDefault="00B36BC2" w:rsidP="005C3D8E">
            <w:pPr>
              <w:pBdr>
                <w:top w:val="nil"/>
                <w:left w:val="nil"/>
                <w:bottom w:val="nil"/>
                <w:right w:val="nil"/>
                <w:between w:val="nil"/>
              </w:pBdr>
              <w:spacing w:before="60" w:after="60"/>
              <w:jc w:val="left"/>
              <w:rPr>
                <w:rFonts w:ascii="Arial" w:hAnsi="Arial" w:cs="Arial"/>
                <w:color w:val="1B1E24"/>
                <w:sz w:val="19"/>
                <w:szCs w:val="19"/>
                <w:shd w:val="clear" w:color="auto" w:fill="FFFFFF"/>
              </w:rPr>
            </w:pPr>
            <w:r>
              <w:rPr>
                <w:rFonts w:ascii="Arial" w:hAnsi="Arial" w:cs="Arial"/>
                <w:color w:val="1B1E24"/>
                <w:sz w:val="19"/>
                <w:szCs w:val="19"/>
                <w:shd w:val="clear" w:color="auto" w:fill="FFFFFF"/>
              </w:rPr>
              <w:t>2021-04 Robert TAYLOR (NZ, Discipline lead)</w:t>
            </w:r>
          </w:p>
          <w:p w14:paraId="754B2D7E" w14:textId="569F2075" w:rsidR="005C3D8E" w:rsidRPr="005C3D8E" w:rsidRDefault="00B36BC2" w:rsidP="00B36BC2">
            <w:pPr>
              <w:pBdr>
                <w:top w:val="nil"/>
                <w:left w:val="nil"/>
                <w:bottom w:val="nil"/>
                <w:right w:val="nil"/>
                <w:between w:val="nil"/>
              </w:pBdr>
              <w:spacing w:before="60" w:after="60"/>
              <w:jc w:val="left"/>
              <w:rPr>
                <w:rFonts w:ascii="Arial" w:eastAsia="Arial" w:hAnsi="Arial" w:cs="Arial"/>
                <w:color w:val="000000"/>
                <w:sz w:val="18"/>
                <w:szCs w:val="18"/>
                <w:lang w:val="en-US"/>
              </w:rPr>
            </w:pPr>
            <w:r>
              <w:rPr>
                <w:rFonts w:ascii="Arial" w:eastAsia="Arial" w:hAnsi="Arial" w:cs="Arial"/>
                <w:color w:val="000000"/>
                <w:sz w:val="18"/>
                <w:szCs w:val="18"/>
              </w:rPr>
              <w:t xml:space="preserve">2021-04 </w:t>
            </w:r>
            <w:r w:rsidRPr="00B36BC2">
              <w:rPr>
                <w:rFonts w:ascii="Arial" w:eastAsia="Arial" w:hAnsi="Arial" w:cs="Arial"/>
                <w:color w:val="000000"/>
                <w:sz w:val="18"/>
                <w:szCs w:val="18"/>
              </w:rPr>
              <w:t xml:space="preserve">Brendan RODONI (AU, </w:t>
            </w:r>
            <w:r>
              <w:rPr>
                <w:rFonts w:ascii="Arial" w:eastAsia="Arial" w:hAnsi="Arial" w:cs="Arial"/>
                <w:color w:val="000000"/>
                <w:sz w:val="18"/>
                <w:szCs w:val="18"/>
              </w:rPr>
              <w:t>Referee)</w:t>
            </w:r>
          </w:p>
        </w:tc>
      </w:tr>
      <w:tr w:rsidR="005C3D8E" w:rsidRPr="005C3D8E" w14:paraId="27539331" w14:textId="77777777" w:rsidTr="005C3D8E">
        <w:tc>
          <w:tcPr>
            <w:tcW w:w="2740" w:type="dxa"/>
            <w:tcBorders>
              <w:top w:val="single" w:sz="6" w:space="0" w:color="00000A"/>
              <w:bottom w:val="single" w:sz="6" w:space="0" w:color="00000A"/>
              <w:right w:val="single" w:sz="6" w:space="0" w:color="00000A"/>
            </w:tcBorders>
          </w:tcPr>
          <w:p w14:paraId="58CBE443" w14:textId="77777777" w:rsidR="005C3D8E" w:rsidRPr="005C3D8E" w:rsidRDefault="005C3D8E" w:rsidP="005C3D8E">
            <w:pPr>
              <w:pBdr>
                <w:top w:val="nil"/>
                <w:left w:val="nil"/>
                <w:bottom w:val="nil"/>
                <w:right w:val="nil"/>
                <w:between w:val="nil"/>
              </w:pBdr>
              <w:rPr>
                <w:rFonts w:ascii="Arial" w:eastAsia="Arial" w:hAnsi="Arial" w:cs="Arial"/>
                <w:color w:val="000000"/>
                <w:sz w:val="18"/>
                <w:szCs w:val="18"/>
              </w:rPr>
            </w:pPr>
            <w:r w:rsidRPr="005C3D8E">
              <w:rPr>
                <w:rFonts w:ascii="Arial" w:eastAsia="Arial" w:hAnsi="Arial" w:cs="Arial"/>
                <w:b/>
                <w:color w:val="000000"/>
                <w:sz w:val="18"/>
                <w:szCs w:val="18"/>
              </w:rPr>
              <w:t xml:space="preserve">Consultation on technical level </w:t>
            </w:r>
          </w:p>
        </w:tc>
        <w:tc>
          <w:tcPr>
            <w:tcW w:w="6314" w:type="dxa"/>
            <w:tcBorders>
              <w:top w:val="single" w:sz="6" w:space="0" w:color="00000A"/>
              <w:left w:val="single" w:sz="6" w:space="0" w:color="00000A"/>
              <w:bottom w:val="single" w:sz="6" w:space="0" w:color="00000A"/>
            </w:tcBorders>
          </w:tcPr>
          <w:p w14:paraId="2100D27B" w14:textId="1F03DDCB" w:rsidR="005C3D8E" w:rsidRDefault="005C3D8E" w:rsidP="005C3D8E">
            <w:pPr>
              <w:pBdr>
                <w:top w:val="nil"/>
                <w:left w:val="nil"/>
                <w:bottom w:val="nil"/>
                <w:right w:val="nil"/>
                <w:between w:val="nil"/>
              </w:pBdr>
              <w:spacing w:before="60" w:after="60"/>
              <w:jc w:val="left"/>
              <w:rPr>
                <w:rFonts w:ascii="Arial" w:eastAsia="Arial" w:hAnsi="Arial" w:cs="Arial"/>
                <w:color w:val="000000"/>
                <w:sz w:val="18"/>
                <w:szCs w:val="18"/>
              </w:rPr>
            </w:pPr>
            <w:r w:rsidRPr="005C3D8E">
              <w:rPr>
                <w:rFonts w:ascii="Arial" w:eastAsia="Arial" w:hAnsi="Arial" w:cs="Arial"/>
                <w:color w:val="000000"/>
                <w:sz w:val="18"/>
                <w:szCs w:val="18"/>
              </w:rPr>
              <w:t xml:space="preserve">The revised draft of this protocol was written by (lead author and DP drafting group): </w:t>
            </w:r>
          </w:p>
          <w:p w14:paraId="413BE06F" w14:textId="00A08E5F" w:rsidR="00B36BC2" w:rsidRPr="00B36BC2" w:rsidRDefault="00B36BC2" w:rsidP="00B36BC2">
            <w:pPr>
              <w:pStyle w:val="ListParagraph"/>
              <w:numPr>
                <w:ilvl w:val="0"/>
                <w:numId w:val="45"/>
              </w:numPr>
              <w:pBdr>
                <w:top w:val="nil"/>
                <w:left w:val="nil"/>
                <w:bottom w:val="nil"/>
                <w:right w:val="nil"/>
                <w:between w:val="nil"/>
              </w:pBdr>
              <w:spacing w:before="60" w:after="60"/>
              <w:ind w:leftChars="0"/>
              <w:jc w:val="left"/>
              <w:rPr>
                <w:rFonts w:ascii="Arial" w:eastAsia="Arial" w:hAnsi="Arial" w:cs="Arial"/>
                <w:b/>
                <w:bCs/>
                <w:color w:val="000000"/>
                <w:sz w:val="18"/>
                <w:szCs w:val="18"/>
              </w:rPr>
            </w:pPr>
            <w:r w:rsidRPr="00B36BC2">
              <w:rPr>
                <w:rFonts w:ascii="Arial" w:eastAsia="Arial" w:hAnsi="Arial" w:cs="Arial"/>
                <w:color w:val="000000"/>
                <w:sz w:val="18"/>
                <w:szCs w:val="18"/>
              </w:rPr>
              <w:t>Sophie CESBRON (</w:t>
            </w:r>
            <w:r>
              <w:rPr>
                <w:rFonts w:ascii="Arial" w:eastAsia="Arial" w:hAnsi="Arial" w:cs="Arial"/>
                <w:color w:val="000000"/>
                <w:sz w:val="18"/>
                <w:szCs w:val="18"/>
              </w:rPr>
              <w:t>FR</w:t>
            </w:r>
            <w:r w:rsidRPr="00B36BC2">
              <w:rPr>
                <w:rFonts w:ascii="Arial" w:eastAsia="Arial" w:hAnsi="Arial" w:cs="Arial"/>
                <w:color w:val="000000"/>
                <w:sz w:val="18"/>
                <w:szCs w:val="18"/>
              </w:rPr>
              <w:t xml:space="preserve">, </w:t>
            </w:r>
            <w:r>
              <w:rPr>
                <w:rFonts w:ascii="Arial" w:eastAsia="Arial" w:hAnsi="Arial" w:cs="Arial"/>
                <w:color w:val="000000"/>
                <w:sz w:val="18"/>
                <w:szCs w:val="18"/>
              </w:rPr>
              <w:t>lead author</w:t>
            </w:r>
            <w:r w:rsidRPr="00B36BC2">
              <w:rPr>
                <w:rFonts w:ascii="Arial" w:eastAsia="Arial" w:hAnsi="Arial" w:cs="Arial"/>
                <w:color w:val="000000"/>
                <w:sz w:val="18"/>
                <w:szCs w:val="18"/>
              </w:rPr>
              <w:t>)</w:t>
            </w:r>
          </w:p>
          <w:p w14:paraId="423AAF58" w14:textId="75E1A164" w:rsidR="00B36BC2" w:rsidRPr="00B36BC2" w:rsidRDefault="00B36BC2" w:rsidP="00B36BC2">
            <w:pPr>
              <w:pStyle w:val="ListParagraph"/>
              <w:numPr>
                <w:ilvl w:val="0"/>
                <w:numId w:val="45"/>
              </w:numPr>
              <w:pBdr>
                <w:top w:val="nil"/>
                <w:left w:val="nil"/>
                <w:bottom w:val="nil"/>
                <w:right w:val="nil"/>
                <w:between w:val="nil"/>
              </w:pBdr>
              <w:spacing w:before="60" w:after="60"/>
              <w:ind w:leftChars="0"/>
              <w:jc w:val="left"/>
              <w:rPr>
                <w:rFonts w:ascii="Arial" w:eastAsia="Arial" w:hAnsi="Arial" w:cs="Arial"/>
                <w:b/>
                <w:bCs/>
                <w:color w:val="000000"/>
                <w:sz w:val="18"/>
                <w:szCs w:val="18"/>
              </w:rPr>
            </w:pPr>
            <w:r w:rsidRPr="00B36BC2">
              <w:rPr>
                <w:rFonts w:ascii="Arial" w:eastAsia="Arial" w:hAnsi="Arial" w:cs="Arial"/>
                <w:color w:val="000000"/>
                <w:sz w:val="18"/>
                <w:szCs w:val="18"/>
              </w:rPr>
              <w:t>Robert Taylor (</w:t>
            </w:r>
            <w:r>
              <w:rPr>
                <w:rFonts w:ascii="Arial" w:eastAsia="Arial" w:hAnsi="Arial" w:cs="Arial"/>
                <w:color w:val="000000"/>
                <w:sz w:val="18"/>
                <w:szCs w:val="18"/>
              </w:rPr>
              <w:t>NZ</w:t>
            </w:r>
            <w:r w:rsidRPr="00B36BC2">
              <w:rPr>
                <w:rFonts w:ascii="Arial" w:eastAsia="Arial" w:hAnsi="Arial" w:cs="Arial"/>
                <w:color w:val="000000"/>
                <w:sz w:val="18"/>
                <w:szCs w:val="18"/>
              </w:rPr>
              <w:t>,</w:t>
            </w:r>
            <w:r>
              <w:rPr>
                <w:rFonts w:ascii="Arial" w:eastAsia="Arial" w:hAnsi="Arial" w:cs="Arial"/>
                <w:color w:val="000000"/>
                <w:sz w:val="18"/>
                <w:szCs w:val="18"/>
              </w:rPr>
              <w:t xml:space="preserve"> co-author)</w:t>
            </w:r>
            <w:r w:rsidRPr="00B36BC2">
              <w:rPr>
                <w:rFonts w:ascii="Arial" w:eastAsia="Arial" w:hAnsi="Arial" w:cs="Arial"/>
                <w:color w:val="000000"/>
                <w:sz w:val="18"/>
                <w:szCs w:val="18"/>
              </w:rPr>
              <w:t xml:space="preserve"> </w:t>
            </w:r>
          </w:p>
          <w:p w14:paraId="4E47E085" w14:textId="66E9EE66" w:rsidR="00B36BC2" w:rsidRPr="00B36BC2" w:rsidRDefault="00B36BC2" w:rsidP="00B36BC2">
            <w:pPr>
              <w:pStyle w:val="ListParagraph"/>
              <w:numPr>
                <w:ilvl w:val="0"/>
                <w:numId w:val="45"/>
              </w:numPr>
              <w:pBdr>
                <w:top w:val="nil"/>
                <w:left w:val="nil"/>
                <w:bottom w:val="nil"/>
                <w:right w:val="nil"/>
                <w:between w:val="nil"/>
              </w:pBdr>
              <w:spacing w:before="60" w:after="60"/>
              <w:ind w:leftChars="0"/>
              <w:jc w:val="left"/>
              <w:rPr>
                <w:rFonts w:ascii="Arial" w:eastAsia="Arial" w:hAnsi="Arial" w:cs="Arial"/>
                <w:b/>
                <w:bCs/>
                <w:color w:val="000000"/>
                <w:sz w:val="18"/>
                <w:szCs w:val="18"/>
              </w:rPr>
            </w:pPr>
            <w:r w:rsidRPr="00B36BC2">
              <w:rPr>
                <w:rFonts w:ascii="Arial" w:eastAsia="Arial" w:hAnsi="Arial" w:cs="Arial"/>
                <w:color w:val="000000"/>
                <w:sz w:val="18"/>
                <w:szCs w:val="18"/>
              </w:rPr>
              <w:t>Bruno Legendre (</w:t>
            </w:r>
            <w:r>
              <w:rPr>
                <w:rFonts w:ascii="Arial" w:eastAsia="Arial" w:hAnsi="Arial" w:cs="Arial"/>
                <w:color w:val="000000"/>
                <w:sz w:val="18"/>
                <w:szCs w:val="18"/>
              </w:rPr>
              <w:t>FR, co-author</w:t>
            </w:r>
            <w:r w:rsidRPr="00B36BC2">
              <w:rPr>
                <w:rFonts w:ascii="Arial" w:eastAsia="Arial" w:hAnsi="Arial" w:cs="Arial"/>
                <w:color w:val="000000"/>
                <w:sz w:val="18"/>
                <w:szCs w:val="18"/>
              </w:rPr>
              <w:t xml:space="preserve">) </w:t>
            </w:r>
          </w:p>
          <w:p w14:paraId="09020B2C" w14:textId="36E58F0F" w:rsidR="00B36BC2" w:rsidRPr="00B36BC2" w:rsidRDefault="00B36BC2" w:rsidP="00B36BC2">
            <w:pPr>
              <w:pStyle w:val="ListParagraph"/>
              <w:numPr>
                <w:ilvl w:val="0"/>
                <w:numId w:val="45"/>
              </w:numPr>
              <w:pBdr>
                <w:top w:val="nil"/>
                <w:left w:val="nil"/>
                <w:bottom w:val="nil"/>
                <w:right w:val="nil"/>
                <w:between w:val="nil"/>
              </w:pBdr>
              <w:spacing w:before="60" w:after="60"/>
              <w:ind w:leftChars="0"/>
              <w:jc w:val="left"/>
              <w:rPr>
                <w:rFonts w:ascii="Arial" w:eastAsia="Arial" w:hAnsi="Arial" w:cs="Arial"/>
                <w:b/>
                <w:bCs/>
                <w:color w:val="000000"/>
                <w:sz w:val="18"/>
                <w:szCs w:val="18"/>
              </w:rPr>
            </w:pPr>
            <w:r w:rsidRPr="00B36BC2">
              <w:rPr>
                <w:rFonts w:ascii="Arial" w:eastAsia="Arial" w:hAnsi="Arial" w:cs="Arial"/>
                <w:color w:val="000000"/>
                <w:sz w:val="18"/>
                <w:szCs w:val="18"/>
              </w:rPr>
              <w:t>Helvecio Della Coletta Filho (</w:t>
            </w:r>
            <w:r>
              <w:rPr>
                <w:rFonts w:ascii="Arial" w:eastAsia="Arial" w:hAnsi="Arial" w:cs="Arial"/>
                <w:color w:val="000000"/>
                <w:sz w:val="18"/>
                <w:szCs w:val="18"/>
              </w:rPr>
              <w:t xml:space="preserve">BR, co-author) </w:t>
            </w:r>
          </w:p>
          <w:p w14:paraId="149F7364" w14:textId="7CAB1889" w:rsidR="00B36BC2" w:rsidRPr="00B36BC2" w:rsidRDefault="00B36BC2" w:rsidP="00B36BC2">
            <w:pPr>
              <w:pStyle w:val="ListParagraph"/>
              <w:numPr>
                <w:ilvl w:val="0"/>
                <w:numId w:val="45"/>
              </w:numPr>
              <w:pBdr>
                <w:top w:val="nil"/>
                <w:left w:val="nil"/>
                <w:bottom w:val="nil"/>
                <w:right w:val="nil"/>
                <w:between w:val="nil"/>
              </w:pBdr>
              <w:spacing w:before="60" w:after="60"/>
              <w:ind w:leftChars="0"/>
              <w:jc w:val="left"/>
              <w:rPr>
                <w:rFonts w:ascii="Arial" w:eastAsia="Arial" w:hAnsi="Arial" w:cs="Arial"/>
                <w:b/>
                <w:bCs/>
                <w:color w:val="000000"/>
                <w:sz w:val="18"/>
                <w:szCs w:val="18"/>
              </w:rPr>
            </w:pPr>
            <w:r w:rsidRPr="00B36BC2">
              <w:rPr>
                <w:rFonts w:ascii="Arial" w:eastAsia="Arial" w:hAnsi="Arial" w:cs="Arial"/>
                <w:color w:val="000000"/>
                <w:sz w:val="18"/>
                <w:szCs w:val="18"/>
              </w:rPr>
              <w:t>Toni Chapman (A</w:t>
            </w:r>
            <w:r>
              <w:rPr>
                <w:rFonts w:ascii="Arial" w:eastAsia="Arial" w:hAnsi="Arial" w:cs="Arial"/>
                <w:color w:val="000000"/>
                <w:sz w:val="18"/>
                <w:szCs w:val="18"/>
              </w:rPr>
              <w:t>U, co-author</w:t>
            </w:r>
            <w:r w:rsidRPr="00B36BC2">
              <w:rPr>
                <w:rFonts w:ascii="Arial" w:eastAsia="Arial" w:hAnsi="Arial" w:cs="Arial"/>
                <w:color w:val="000000"/>
                <w:sz w:val="18"/>
                <w:szCs w:val="18"/>
              </w:rPr>
              <w:t>)</w:t>
            </w:r>
          </w:p>
          <w:p w14:paraId="3ADF7CAE" w14:textId="77777777" w:rsidR="00B36BC2" w:rsidRDefault="00B36BC2" w:rsidP="005C3D8E">
            <w:pPr>
              <w:pBdr>
                <w:top w:val="nil"/>
                <w:left w:val="nil"/>
                <w:bottom w:val="nil"/>
                <w:right w:val="nil"/>
                <w:between w:val="nil"/>
              </w:pBdr>
              <w:spacing w:before="60" w:after="60"/>
              <w:jc w:val="left"/>
              <w:rPr>
                <w:rFonts w:ascii="Arial" w:eastAsia="Arial" w:hAnsi="Arial" w:cs="Arial"/>
                <w:color w:val="000000"/>
                <w:sz w:val="18"/>
                <w:szCs w:val="18"/>
              </w:rPr>
            </w:pPr>
          </w:p>
          <w:p w14:paraId="13E3DAF5" w14:textId="709262A6" w:rsidR="005C3D8E" w:rsidRPr="005C3D8E" w:rsidRDefault="005C3D8E" w:rsidP="005C3D8E">
            <w:pPr>
              <w:pBdr>
                <w:top w:val="nil"/>
                <w:left w:val="nil"/>
                <w:bottom w:val="nil"/>
                <w:right w:val="nil"/>
                <w:between w:val="nil"/>
              </w:pBdr>
              <w:spacing w:before="60" w:after="60"/>
              <w:jc w:val="left"/>
              <w:rPr>
                <w:rFonts w:ascii="Arial" w:eastAsia="Arial" w:hAnsi="Arial" w:cs="Arial"/>
                <w:color w:val="000000"/>
                <w:sz w:val="18"/>
                <w:szCs w:val="18"/>
              </w:rPr>
            </w:pPr>
            <w:r w:rsidRPr="005C3D8E">
              <w:rPr>
                <w:rFonts w:ascii="Arial" w:eastAsia="Arial" w:hAnsi="Arial" w:cs="Arial"/>
                <w:color w:val="000000"/>
                <w:sz w:val="18"/>
                <w:szCs w:val="18"/>
              </w:rPr>
              <w:t>In addition, the draft has also been subject to expert review and the following international experts submitted comments [to be completed after expert consultation]:</w:t>
            </w:r>
          </w:p>
        </w:tc>
      </w:tr>
      <w:tr w:rsidR="005C3D8E" w:rsidRPr="005C3D8E" w14:paraId="31BFBE7A" w14:textId="77777777" w:rsidTr="005C3D8E">
        <w:tc>
          <w:tcPr>
            <w:tcW w:w="2740" w:type="dxa"/>
            <w:tcBorders>
              <w:top w:val="single" w:sz="6" w:space="0" w:color="00000A"/>
              <w:bottom w:val="single" w:sz="6" w:space="0" w:color="00000A"/>
              <w:right w:val="single" w:sz="6" w:space="0" w:color="00000A"/>
            </w:tcBorders>
          </w:tcPr>
          <w:p w14:paraId="4C427C64" w14:textId="77777777" w:rsidR="005C3D8E" w:rsidRPr="005C3D8E" w:rsidRDefault="005C3D8E" w:rsidP="005C3D8E">
            <w:pPr>
              <w:pBdr>
                <w:top w:val="nil"/>
                <w:left w:val="nil"/>
                <w:bottom w:val="nil"/>
                <w:right w:val="nil"/>
                <w:between w:val="nil"/>
              </w:pBdr>
              <w:spacing w:before="29"/>
              <w:rPr>
                <w:rFonts w:ascii="Arial" w:eastAsia="Arial" w:hAnsi="Arial" w:cs="Arial"/>
                <w:color w:val="000000"/>
                <w:sz w:val="18"/>
                <w:szCs w:val="18"/>
              </w:rPr>
            </w:pPr>
            <w:r w:rsidRPr="005C3D8E">
              <w:rPr>
                <w:rFonts w:ascii="Arial" w:eastAsia="Arial" w:hAnsi="Arial" w:cs="Arial"/>
                <w:b/>
                <w:color w:val="000000"/>
                <w:sz w:val="18"/>
                <w:szCs w:val="18"/>
              </w:rPr>
              <w:t>Main discussion points during development of the diagnostic protocol</w:t>
            </w:r>
            <w:r w:rsidRPr="005C3D8E">
              <w:rPr>
                <w:rFonts w:ascii="Arial" w:eastAsia="Arial" w:hAnsi="Arial" w:cs="Arial"/>
                <w:color w:val="000000"/>
                <w:sz w:val="18"/>
                <w:szCs w:val="18"/>
              </w:rPr>
              <w:t xml:space="preserve"> </w:t>
            </w:r>
          </w:p>
        </w:tc>
        <w:tc>
          <w:tcPr>
            <w:tcW w:w="6314" w:type="dxa"/>
            <w:tcBorders>
              <w:top w:val="single" w:sz="6" w:space="0" w:color="00000A"/>
              <w:left w:val="single" w:sz="6" w:space="0" w:color="00000A"/>
              <w:bottom w:val="single" w:sz="6" w:space="0" w:color="00000A"/>
            </w:tcBorders>
          </w:tcPr>
          <w:p w14:paraId="2DAAEE02" w14:textId="77777777" w:rsidR="005C3D8E" w:rsidRPr="005C3D8E" w:rsidRDefault="005C3D8E" w:rsidP="005C3D8E">
            <w:pPr>
              <w:pBdr>
                <w:top w:val="nil"/>
                <w:left w:val="nil"/>
                <w:bottom w:val="nil"/>
                <w:right w:val="nil"/>
                <w:between w:val="nil"/>
              </w:pBdr>
              <w:spacing w:before="60" w:after="60"/>
              <w:ind w:left="373"/>
              <w:jc w:val="left"/>
              <w:rPr>
                <w:rFonts w:ascii="Arial" w:eastAsia="Arial" w:hAnsi="Arial" w:cs="Arial"/>
                <w:color w:val="000000"/>
                <w:sz w:val="18"/>
                <w:szCs w:val="18"/>
              </w:rPr>
            </w:pPr>
          </w:p>
          <w:p w14:paraId="117988DD" w14:textId="77777777" w:rsidR="005C3D8E" w:rsidRPr="005C3D8E" w:rsidRDefault="005C3D8E" w:rsidP="005C3D8E">
            <w:pPr>
              <w:pBdr>
                <w:top w:val="nil"/>
                <w:left w:val="nil"/>
                <w:bottom w:val="nil"/>
                <w:right w:val="nil"/>
                <w:between w:val="nil"/>
              </w:pBdr>
              <w:spacing w:before="60" w:after="60"/>
              <w:ind w:left="373"/>
              <w:jc w:val="left"/>
              <w:rPr>
                <w:rFonts w:ascii="Arial" w:eastAsia="Arial" w:hAnsi="Arial" w:cs="Arial"/>
                <w:color w:val="000000"/>
                <w:sz w:val="18"/>
                <w:szCs w:val="18"/>
              </w:rPr>
            </w:pPr>
          </w:p>
          <w:p w14:paraId="7E843A5B" w14:textId="77777777" w:rsidR="005C3D8E" w:rsidRPr="005C3D8E" w:rsidRDefault="005C3D8E" w:rsidP="005C3D8E">
            <w:pPr>
              <w:pBdr>
                <w:top w:val="nil"/>
                <w:left w:val="nil"/>
                <w:bottom w:val="nil"/>
                <w:right w:val="nil"/>
                <w:between w:val="nil"/>
              </w:pBdr>
              <w:spacing w:before="60" w:after="60"/>
              <w:ind w:left="373"/>
              <w:jc w:val="left"/>
              <w:rPr>
                <w:rFonts w:ascii="Arial" w:eastAsia="Arial" w:hAnsi="Arial" w:cs="Arial"/>
                <w:sz w:val="18"/>
                <w:szCs w:val="18"/>
              </w:rPr>
            </w:pPr>
          </w:p>
        </w:tc>
      </w:tr>
      <w:tr w:rsidR="005C3D8E" w:rsidRPr="005C3D8E" w14:paraId="27855A44" w14:textId="77777777" w:rsidTr="005C3D8E">
        <w:tc>
          <w:tcPr>
            <w:tcW w:w="2740" w:type="dxa"/>
            <w:tcBorders>
              <w:top w:val="single" w:sz="6" w:space="0" w:color="00000A"/>
              <w:bottom w:val="single" w:sz="6" w:space="0" w:color="00000A"/>
              <w:right w:val="single" w:sz="6" w:space="0" w:color="00000A"/>
            </w:tcBorders>
          </w:tcPr>
          <w:p w14:paraId="23FB2D42" w14:textId="77777777" w:rsidR="005C3D8E" w:rsidRPr="005C3D8E" w:rsidRDefault="005C3D8E" w:rsidP="005C3D8E">
            <w:pPr>
              <w:pBdr>
                <w:top w:val="nil"/>
                <w:left w:val="nil"/>
                <w:bottom w:val="nil"/>
                <w:right w:val="nil"/>
                <w:between w:val="nil"/>
              </w:pBdr>
              <w:spacing w:before="29"/>
              <w:rPr>
                <w:rFonts w:ascii="Arial" w:eastAsia="Arial" w:hAnsi="Arial" w:cs="Arial"/>
                <w:color w:val="000000"/>
                <w:sz w:val="18"/>
                <w:szCs w:val="18"/>
              </w:rPr>
            </w:pPr>
            <w:r w:rsidRPr="005C3D8E">
              <w:rPr>
                <w:rFonts w:ascii="Arial" w:eastAsia="Arial" w:hAnsi="Arial" w:cs="Arial"/>
                <w:b/>
                <w:color w:val="000000"/>
                <w:sz w:val="18"/>
                <w:szCs w:val="18"/>
              </w:rPr>
              <w:t>Notes</w:t>
            </w:r>
            <w:r w:rsidRPr="005C3D8E">
              <w:rPr>
                <w:rFonts w:ascii="Arial" w:eastAsia="Arial" w:hAnsi="Arial" w:cs="Arial"/>
                <w:color w:val="000000"/>
                <w:sz w:val="18"/>
                <w:szCs w:val="18"/>
              </w:rPr>
              <w:t xml:space="preserve"> </w:t>
            </w:r>
          </w:p>
        </w:tc>
        <w:tc>
          <w:tcPr>
            <w:tcW w:w="6314" w:type="dxa"/>
            <w:tcBorders>
              <w:top w:val="single" w:sz="6" w:space="0" w:color="00000A"/>
              <w:left w:val="single" w:sz="6" w:space="0" w:color="00000A"/>
              <w:bottom w:val="single" w:sz="6" w:space="0" w:color="00000A"/>
            </w:tcBorders>
          </w:tcPr>
          <w:p w14:paraId="7603F5C5" w14:textId="77777777" w:rsidR="005C3D8E" w:rsidRPr="005C3D8E" w:rsidRDefault="005C3D8E" w:rsidP="005C3D8E">
            <w:pPr>
              <w:pBdr>
                <w:top w:val="nil"/>
                <w:left w:val="nil"/>
                <w:bottom w:val="nil"/>
                <w:right w:val="nil"/>
                <w:between w:val="nil"/>
              </w:pBdr>
              <w:spacing w:before="60" w:after="60"/>
              <w:jc w:val="left"/>
              <w:rPr>
                <w:rFonts w:ascii="Arial" w:eastAsia="Arial" w:hAnsi="Arial" w:cs="Arial"/>
                <w:color w:val="000000"/>
                <w:sz w:val="18"/>
                <w:szCs w:val="18"/>
              </w:rPr>
            </w:pPr>
            <w:r w:rsidRPr="005C3D8E">
              <w:rPr>
                <w:rFonts w:ascii="Arial" w:eastAsia="Arial" w:hAnsi="Arial" w:cs="Arial"/>
                <w:sz w:val="16"/>
                <w:szCs w:val="16"/>
              </w:rPr>
              <w:t>O</w:t>
            </w:r>
            <w:r w:rsidRPr="005C3D8E">
              <w:rPr>
                <w:rFonts w:ascii="Arial" w:eastAsia="Arial" w:hAnsi="Arial" w:cs="Arial"/>
                <w:color w:val="000000"/>
                <w:sz w:val="18"/>
                <w:szCs w:val="18"/>
              </w:rPr>
              <w:t xml:space="preserve">riginal DP adopted and published in 2018 </w:t>
            </w:r>
          </w:p>
          <w:p w14:paraId="10F87AA2" w14:textId="77777777" w:rsidR="005C3D8E" w:rsidRPr="005C3D8E" w:rsidRDefault="005C3D8E" w:rsidP="005C3D8E">
            <w:pPr>
              <w:pBdr>
                <w:top w:val="nil"/>
                <w:left w:val="nil"/>
                <w:bottom w:val="nil"/>
                <w:right w:val="nil"/>
                <w:between w:val="nil"/>
              </w:pBdr>
              <w:spacing w:before="60" w:after="60"/>
              <w:jc w:val="left"/>
              <w:rPr>
                <w:rFonts w:ascii="Arial" w:eastAsia="Arial" w:hAnsi="Arial" w:cs="Arial"/>
                <w:color w:val="000000"/>
                <w:sz w:val="18"/>
                <w:szCs w:val="18"/>
              </w:rPr>
            </w:pPr>
          </w:p>
        </w:tc>
      </w:tr>
    </w:tbl>
    <w:p w14:paraId="41E4AC22" w14:textId="77777777" w:rsidR="005C3D8E" w:rsidRPr="005C3D8E" w:rsidRDefault="005C3D8E" w:rsidP="005C3D8E">
      <w:pPr>
        <w:keepNext/>
        <w:pBdr>
          <w:top w:val="nil"/>
          <w:left w:val="nil"/>
          <w:bottom w:val="nil"/>
          <w:right w:val="nil"/>
          <w:between w:val="nil"/>
        </w:pBdr>
        <w:spacing w:after="240"/>
        <w:ind w:left="567" w:hanging="567"/>
        <w:jc w:val="left"/>
        <w:rPr>
          <w:color w:val="000000"/>
          <w:sz w:val="24"/>
        </w:rPr>
      </w:pPr>
    </w:p>
    <w:p w14:paraId="4DBC4CF4" w14:textId="77777777" w:rsidR="0004310D" w:rsidRPr="00810564" w:rsidRDefault="0004310D" w:rsidP="0004310D">
      <w:pPr>
        <w:pStyle w:val="IPPParagraphnumbering"/>
        <w:rPr>
          <w:b/>
        </w:rPr>
      </w:pPr>
      <w:r w:rsidRPr="00810564">
        <w:rPr>
          <w:b/>
        </w:rPr>
        <w:t>CONTENTS</w:t>
      </w:r>
    </w:p>
    <w:p w14:paraId="4BE10AFA" w14:textId="77777777" w:rsidR="0004310D" w:rsidRDefault="0004310D" w:rsidP="0004310D">
      <w:pPr>
        <w:pStyle w:val="IPPParagraphnumbering"/>
      </w:pPr>
      <w:r>
        <w:t>[to be added later]</w:t>
      </w:r>
    </w:p>
    <w:p w14:paraId="136EE699" w14:textId="77777777" w:rsidR="0004310D" w:rsidRPr="00810564" w:rsidRDefault="0004310D" w:rsidP="0004310D">
      <w:pPr>
        <w:pStyle w:val="IPPParagraphnumbering"/>
        <w:rPr>
          <w:b/>
        </w:rPr>
      </w:pPr>
      <w:r w:rsidRPr="00810564">
        <w:rPr>
          <w:b/>
        </w:rPr>
        <w:t xml:space="preserve">Adoption </w:t>
      </w:r>
    </w:p>
    <w:p w14:paraId="209143E4" w14:textId="77777777" w:rsidR="0004310D" w:rsidRDefault="0004310D" w:rsidP="0004310D">
      <w:pPr>
        <w:pStyle w:val="IPPParagraphnumbering"/>
      </w:pPr>
      <w:r>
        <w:t xml:space="preserve">The revision of this diagnostic protocol was adopted by the Standards Committee on behalf of the Commission on Phytosanitary Measures in [Month 20--]. [to be completed after adoption] </w:t>
      </w:r>
    </w:p>
    <w:p w14:paraId="7FE6402A" w14:textId="77777777" w:rsidR="0004310D" w:rsidRDefault="0004310D" w:rsidP="0004310D">
      <w:pPr>
        <w:pStyle w:val="IPPParagraphnumbering"/>
      </w:pPr>
      <w:r>
        <w:t>The annex is a prescriptive part of ISPM 27 (</w:t>
      </w:r>
      <w:r>
        <w:rPr>
          <w:i/>
        </w:rPr>
        <w:t>Diagnostic protocols for regulated pests</w:t>
      </w:r>
      <w:r>
        <w:t xml:space="preserve">). </w:t>
      </w:r>
    </w:p>
    <w:p w14:paraId="7CAC6E7D" w14:textId="77777777" w:rsidR="005C3D8E" w:rsidRPr="005C3D8E" w:rsidRDefault="005C3D8E" w:rsidP="005C3D8E">
      <w:pPr>
        <w:rPr>
          <w:color w:val="000000"/>
          <w:sz w:val="24"/>
        </w:rPr>
      </w:pPr>
      <w:r w:rsidRPr="005C3D8E">
        <w:rPr>
          <w:color w:val="000000"/>
          <w:sz w:val="24"/>
        </w:rPr>
        <w:br w:type="page"/>
      </w:r>
    </w:p>
    <w:p w14:paraId="049B5C1F" w14:textId="7802ED70" w:rsidR="008E6998" w:rsidRPr="000860F1" w:rsidRDefault="000330D6">
      <w:pPr>
        <w:pStyle w:val="IPPHeading1"/>
      </w:pPr>
      <w:bookmarkStart w:id="1" w:name="_Toc111710108"/>
      <w:r w:rsidRPr="000860F1">
        <w:lastRenderedPageBreak/>
        <w:t>1.</w:t>
      </w:r>
      <w:r w:rsidRPr="000860F1">
        <w:tab/>
      </w:r>
      <w:bookmarkEnd w:id="0"/>
      <w:r w:rsidRPr="000860F1">
        <w:t>Pest Information</w:t>
      </w:r>
      <w:bookmarkEnd w:id="1"/>
    </w:p>
    <w:p w14:paraId="5729BC0B" w14:textId="7AA828D7" w:rsidR="008E6998" w:rsidRPr="000860F1" w:rsidRDefault="000330D6" w:rsidP="0004310D">
      <w:pPr>
        <w:pStyle w:val="IPPParagraphnumbering"/>
      </w:pPr>
      <w:r w:rsidRPr="000860F1">
        <w:rPr>
          <w:i/>
          <w:iCs/>
        </w:rPr>
        <w:t xml:space="preserve">Xylella fastidiosa </w:t>
      </w:r>
      <w:r w:rsidRPr="000860F1">
        <w:rPr>
          <w:iCs/>
        </w:rPr>
        <w:t xml:space="preserve">Wells </w:t>
      </w:r>
      <w:r w:rsidRPr="000860F1">
        <w:rPr>
          <w:i/>
          <w:iCs/>
        </w:rPr>
        <w:t>et al.</w:t>
      </w:r>
      <w:r w:rsidR="006C088E" w:rsidRPr="000860F1">
        <w:rPr>
          <w:iCs/>
        </w:rPr>
        <w:t>,</w:t>
      </w:r>
      <w:r w:rsidRPr="000860F1">
        <w:rPr>
          <w:iCs/>
        </w:rPr>
        <w:t xml:space="preserve"> 1987 is a xylem-limited bacterium </w:t>
      </w:r>
      <w:r w:rsidR="00E52176" w:rsidRPr="000860F1">
        <w:rPr>
          <w:iCs/>
        </w:rPr>
        <w:t>and</w:t>
      </w:r>
      <w:r w:rsidR="00DC220D" w:rsidRPr="000860F1">
        <w:rPr>
          <w:iCs/>
        </w:rPr>
        <w:t xml:space="preserve"> is </w:t>
      </w:r>
      <w:r w:rsidRPr="000860F1">
        <w:rPr>
          <w:iCs/>
        </w:rPr>
        <w:t xml:space="preserve">the causal agent of </w:t>
      </w:r>
      <w:r w:rsidRPr="000860F1">
        <w:t xml:space="preserve">many economically important plant diseases of agronomic and horticultural crops such as </w:t>
      </w:r>
      <w:r w:rsidRPr="000860F1">
        <w:rPr>
          <w:i/>
        </w:rPr>
        <w:t>Vitis</w:t>
      </w:r>
      <w:r w:rsidRPr="000860F1">
        <w:t xml:space="preserve"> </w:t>
      </w:r>
      <w:r w:rsidRPr="000860F1">
        <w:rPr>
          <w:i/>
        </w:rPr>
        <w:t>vinifera</w:t>
      </w:r>
      <w:r w:rsidRPr="000860F1">
        <w:t xml:space="preserve">, </w:t>
      </w:r>
      <w:r w:rsidRPr="000860F1">
        <w:rPr>
          <w:i/>
        </w:rPr>
        <w:t>Prunus domestica</w:t>
      </w:r>
      <w:r w:rsidRPr="000860F1">
        <w:t xml:space="preserve">, </w:t>
      </w:r>
      <w:r w:rsidRPr="000860F1">
        <w:rPr>
          <w:i/>
        </w:rPr>
        <w:t>Prunus</w:t>
      </w:r>
      <w:r w:rsidRPr="000860F1">
        <w:t xml:space="preserve"> </w:t>
      </w:r>
      <w:r w:rsidRPr="000860F1">
        <w:rPr>
          <w:i/>
        </w:rPr>
        <w:t>dulcis</w:t>
      </w:r>
      <w:r w:rsidRPr="000860F1">
        <w:t xml:space="preserve">, </w:t>
      </w:r>
      <w:r w:rsidRPr="000860F1">
        <w:rPr>
          <w:i/>
        </w:rPr>
        <w:t>Citrus sinensis</w:t>
      </w:r>
      <w:r w:rsidRPr="000860F1">
        <w:t xml:space="preserve">, </w:t>
      </w:r>
      <w:r w:rsidRPr="000860F1">
        <w:rPr>
          <w:i/>
        </w:rPr>
        <w:t>Olea europaea</w:t>
      </w:r>
      <w:r w:rsidRPr="000860F1">
        <w:t xml:space="preserve">, </w:t>
      </w:r>
      <w:r w:rsidRPr="000860F1">
        <w:rPr>
          <w:i/>
        </w:rPr>
        <w:t>Ulmus</w:t>
      </w:r>
      <w:r w:rsidRPr="000860F1">
        <w:t xml:space="preserve"> spp. and </w:t>
      </w:r>
      <w:r w:rsidRPr="000860F1">
        <w:rPr>
          <w:i/>
        </w:rPr>
        <w:t>Quercus</w:t>
      </w:r>
      <w:r w:rsidRPr="000860F1">
        <w:t xml:space="preserve"> spp</w:t>
      </w:r>
      <w:r w:rsidRPr="000860F1">
        <w:rPr>
          <w:i/>
        </w:rPr>
        <w:t>.</w:t>
      </w:r>
      <w:r w:rsidRPr="000860F1">
        <w:t xml:space="preserve"> </w:t>
      </w:r>
      <w:r w:rsidRPr="000860F1">
        <w:rPr>
          <w:i/>
        </w:rPr>
        <w:t>X.</w:t>
      </w:r>
      <w:r w:rsidRPr="000860F1">
        <w:rPr>
          <w:rFonts w:ascii="Arial" w:hAnsi="Arial" w:cs="Arial"/>
          <w:i/>
          <w:sz w:val="18"/>
          <w:szCs w:val="18"/>
          <w:lang w:eastAsia="en-NZ"/>
        </w:rPr>
        <w:t> </w:t>
      </w:r>
      <w:r w:rsidRPr="000860F1">
        <w:rPr>
          <w:i/>
        </w:rPr>
        <w:t>fastidiosa</w:t>
      </w:r>
      <w:r w:rsidRPr="000860F1">
        <w:t xml:space="preserve"> has a wide, expanding host range and comprehensive lists of susceptible hosts are available </w:t>
      </w:r>
      <w:r w:rsidR="000A2624" w:rsidRPr="000860F1">
        <w:t>(</w:t>
      </w:r>
      <w:r w:rsidR="00936489" w:rsidRPr="000860F1">
        <w:t xml:space="preserve">EFSA, </w:t>
      </w:r>
      <w:r w:rsidR="00854362">
        <w:t>2021</w:t>
      </w:r>
      <w:r w:rsidR="00936489">
        <w:t xml:space="preserve">; </w:t>
      </w:r>
      <w:r w:rsidR="000A2624" w:rsidRPr="000860F1">
        <w:t>E</w:t>
      </w:r>
      <w:r w:rsidR="00C04C01" w:rsidRPr="000860F1">
        <w:t xml:space="preserve">uropean </w:t>
      </w:r>
      <w:r w:rsidR="000A2624" w:rsidRPr="000860F1">
        <w:t>C</w:t>
      </w:r>
      <w:r w:rsidR="00C04C01" w:rsidRPr="000860F1">
        <w:t>ommission</w:t>
      </w:r>
      <w:r w:rsidR="000A2624" w:rsidRPr="000860F1">
        <w:t>, 20</w:t>
      </w:r>
      <w:r w:rsidR="00817CC0">
        <w:t>22</w:t>
      </w:r>
      <w:r w:rsidR="00C04C01" w:rsidRPr="000860F1">
        <w:t>)</w:t>
      </w:r>
      <w:r w:rsidRPr="000860F1">
        <w:rPr>
          <w:i/>
        </w:rPr>
        <w:t>.</w:t>
      </w:r>
      <w:r w:rsidR="0061033F" w:rsidRPr="000860F1">
        <w:rPr>
          <w:i/>
        </w:rPr>
        <w:t xml:space="preserve"> X.</w:t>
      </w:r>
      <w:r w:rsidR="001D4DD1" w:rsidRPr="000860F1">
        <w:rPr>
          <w:i/>
        </w:rPr>
        <w:t> </w:t>
      </w:r>
      <w:r w:rsidRPr="000860F1">
        <w:rPr>
          <w:i/>
        </w:rPr>
        <w:t xml:space="preserve">fastidiosa </w:t>
      </w:r>
      <w:r w:rsidRPr="000860F1">
        <w:t>is also expanding its geographical range. Until recently, it was mainly distributed throughout the Americas (Almeida and Nunney, 2015), but there have now been reports of outbreaks in Asia and Europe (EPPO</w:t>
      </w:r>
      <w:r w:rsidR="00BE169B" w:rsidRPr="000860F1">
        <w:t>, 2018</w:t>
      </w:r>
      <w:r w:rsidR="004509DB">
        <w:t>a</w:t>
      </w:r>
      <w:r w:rsidRPr="000860F1">
        <w:t xml:space="preserve">). </w:t>
      </w:r>
    </w:p>
    <w:p w14:paraId="771FE755" w14:textId="09610394" w:rsidR="008E6998" w:rsidRPr="000860F1" w:rsidRDefault="000330D6" w:rsidP="0004310D">
      <w:pPr>
        <w:pStyle w:val="IPPParagraphnumbering"/>
      </w:pPr>
      <w:r w:rsidRPr="000860F1">
        <w:rPr>
          <w:i/>
        </w:rPr>
        <w:t>X</w:t>
      </w:r>
      <w:r w:rsidR="001D4DD1" w:rsidRPr="000860F1">
        <w:rPr>
          <w:i/>
        </w:rPr>
        <w:t>. </w:t>
      </w:r>
      <w:r w:rsidRPr="000860F1">
        <w:rPr>
          <w:i/>
        </w:rPr>
        <w:t>fastidiosa</w:t>
      </w:r>
      <w:r w:rsidRPr="000860F1">
        <w:t xml:space="preserve"> is genetically diverse and consists of s</w:t>
      </w:r>
      <w:r w:rsidR="001F278D" w:rsidRPr="000860F1">
        <w:t>everal</w:t>
      </w:r>
      <w:r w:rsidRPr="000860F1">
        <w:t xml:space="preserve"> subspecies. </w:t>
      </w:r>
      <w:r w:rsidR="0008432F">
        <w:t xml:space="preserve">Three species are widely accepted: </w:t>
      </w:r>
      <w:r w:rsidRPr="000860F1">
        <w:rPr>
          <w:i/>
        </w:rPr>
        <w:t>X</w:t>
      </w:r>
      <w:r w:rsidR="001D4DD1" w:rsidRPr="000860F1">
        <w:rPr>
          <w:i/>
        </w:rPr>
        <w:t>.</w:t>
      </w:r>
      <w:r w:rsidR="00CB5933" w:rsidRPr="000860F1">
        <w:rPr>
          <w:i/>
        </w:rPr>
        <w:t> </w:t>
      </w:r>
      <w:r w:rsidRPr="000860F1">
        <w:rPr>
          <w:i/>
        </w:rPr>
        <w:t xml:space="preserve">fastidiosa </w:t>
      </w:r>
      <w:r w:rsidRPr="000860F1">
        <w:t xml:space="preserve">subsp. </w:t>
      </w:r>
      <w:r w:rsidRPr="000860F1">
        <w:rPr>
          <w:i/>
        </w:rPr>
        <w:t>fastidiosa</w:t>
      </w:r>
      <w:r w:rsidRPr="000860F1">
        <w:t xml:space="preserve"> causes Pierce’s disease and infects a large host range including </w:t>
      </w:r>
      <w:r w:rsidRPr="000860F1">
        <w:rPr>
          <w:i/>
        </w:rPr>
        <w:t>V</w:t>
      </w:r>
      <w:r w:rsidR="000A2624" w:rsidRPr="000860F1">
        <w:rPr>
          <w:i/>
        </w:rPr>
        <w:t>.</w:t>
      </w:r>
      <w:r w:rsidR="009358D5" w:rsidRPr="000860F1">
        <w:rPr>
          <w:i/>
        </w:rPr>
        <w:t> </w:t>
      </w:r>
      <w:r w:rsidRPr="000860F1">
        <w:rPr>
          <w:i/>
        </w:rPr>
        <w:t>vinifera</w:t>
      </w:r>
      <w:r w:rsidRPr="000860F1">
        <w:t xml:space="preserve">, </w:t>
      </w:r>
      <w:r w:rsidR="000A2624" w:rsidRPr="000860F1">
        <w:rPr>
          <w:i/>
        </w:rPr>
        <w:t>P.</w:t>
      </w:r>
      <w:r w:rsidR="009358D5" w:rsidRPr="000860F1">
        <w:rPr>
          <w:i/>
        </w:rPr>
        <w:t> </w:t>
      </w:r>
      <w:r w:rsidRPr="000860F1">
        <w:rPr>
          <w:i/>
        </w:rPr>
        <w:t>dulcis</w:t>
      </w:r>
      <w:r w:rsidRPr="000860F1">
        <w:t xml:space="preserve">, </w:t>
      </w:r>
      <w:r w:rsidRPr="000860F1">
        <w:rPr>
          <w:i/>
        </w:rPr>
        <w:t>Medicago sativa</w:t>
      </w:r>
      <w:r w:rsidRPr="000860F1">
        <w:t xml:space="preserve"> and </w:t>
      </w:r>
      <w:r w:rsidRPr="000860F1">
        <w:rPr>
          <w:i/>
        </w:rPr>
        <w:t xml:space="preserve">Acer </w:t>
      </w:r>
      <w:r w:rsidRPr="000860F1">
        <w:t xml:space="preserve">spp. (Schuenzel </w:t>
      </w:r>
      <w:r w:rsidRPr="000860F1">
        <w:rPr>
          <w:i/>
        </w:rPr>
        <w:t>et al.</w:t>
      </w:r>
      <w:r w:rsidRPr="000860F1">
        <w:t>, 2005)</w:t>
      </w:r>
      <w:r w:rsidR="0008432F">
        <w:t>;</w:t>
      </w:r>
      <w:r w:rsidRPr="000860F1">
        <w:t xml:space="preserve"> </w:t>
      </w:r>
      <w:r w:rsidRPr="000860F1">
        <w:rPr>
          <w:i/>
        </w:rPr>
        <w:t>X</w:t>
      </w:r>
      <w:r w:rsidR="001D4DD1" w:rsidRPr="000860F1">
        <w:rPr>
          <w:i/>
        </w:rPr>
        <w:t>.</w:t>
      </w:r>
      <w:r w:rsidR="00CB5933" w:rsidRPr="000860F1">
        <w:rPr>
          <w:i/>
        </w:rPr>
        <w:t> </w:t>
      </w:r>
      <w:r w:rsidRPr="000860F1">
        <w:rPr>
          <w:i/>
        </w:rPr>
        <w:t xml:space="preserve">fastidiosa </w:t>
      </w:r>
      <w:r w:rsidRPr="000860F1">
        <w:t xml:space="preserve">subsp. </w:t>
      </w:r>
      <w:r w:rsidRPr="000860F1">
        <w:rPr>
          <w:i/>
        </w:rPr>
        <w:t>multiplex</w:t>
      </w:r>
      <w:r w:rsidRPr="000860F1">
        <w:t xml:space="preserve"> is associated with scorch diseases of a range of trees that include </w:t>
      </w:r>
      <w:r w:rsidR="000A2624" w:rsidRPr="000860F1">
        <w:rPr>
          <w:i/>
        </w:rPr>
        <w:t>P.</w:t>
      </w:r>
      <w:r w:rsidR="00CB5933" w:rsidRPr="000860F1">
        <w:rPr>
          <w:i/>
        </w:rPr>
        <w:t> </w:t>
      </w:r>
      <w:r w:rsidRPr="000860F1">
        <w:rPr>
          <w:i/>
        </w:rPr>
        <w:t>dulcis</w:t>
      </w:r>
      <w:r w:rsidRPr="000860F1">
        <w:t xml:space="preserve">, </w:t>
      </w:r>
      <w:r w:rsidRPr="000860F1">
        <w:rPr>
          <w:i/>
        </w:rPr>
        <w:t>Prunus persica</w:t>
      </w:r>
      <w:r w:rsidRPr="000860F1">
        <w:t xml:space="preserve">, </w:t>
      </w:r>
      <w:r w:rsidRPr="000860F1">
        <w:rPr>
          <w:i/>
        </w:rPr>
        <w:t>Quercus</w:t>
      </w:r>
      <w:r w:rsidRPr="000860F1">
        <w:t xml:space="preserve"> spp. and </w:t>
      </w:r>
      <w:r w:rsidRPr="000860F1">
        <w:rPr>
          <w:i/>
        </w:rPr>
        <w:t>Platanus occidentalis</w:t>
      </w:r>
      <w:r w:rsidR="0008432F">
        <w:t>;</w:t>
      </w:r>
      <w:r w:rsidRPr="000860F1">
        <w:t xml:space="preserve"> </w:t>
      </w:r>
      <w:r w:rsidR="0008432F" w:rsidRPr="000860F1">
        <w:rPr>
          <w:i/>
        </w:rPr>
        <w:t xml:space="preserve">X. fastidiosa </w:t>
      </w:r>
      <w:r w:rsidR="0008432F" w:rsidRPr="000860F1">
        <w:t xml:space="preserve">subsp. </w:t>
      </w:r>
      <w:r w:rsidR="0008432F" w:rsidRPr="000860F1">
        <w:rPr>
          <w:i/>
        </w:rPr>
        <w:t>pauca</w:t>
      </w:r>
      <w:r w:rsidR="0008432F" w:rsidRPr="000860F1">
        <w:t xml:space="preserve"> (Schadd </w:t>
      </w:r>
      <w:r w:rsidR="0008432F" w:rsidRPr="000860F1">
        <w:rPr>
          <w:i/>
        </w:rPr>
        <w:t>et al.</w:t>
      </w:r>
      <w:r w:rsidR="0008432F" w:rsidRPr="000860F1">
        <w:t xml:space="preserve">, 2004) infects most </w:t>
      </w:r>
      <w:r w:rsidR="0008432F" w:rsidRPr="000860F1">
        <w:rPr>
          <w:i/>
        </w:rPr>
        <w:t>Citrus</w:t>
      </w:r>
      <w:r w:rsidR="0008432F">
        <w:rPr>
          <w:i/>
        </w:rPr>
        <w:t xml:space="preserve"> species (mainly C. sinensis), </w:t>
      </w:r>
      <w:r w:rsidR="0008432F" w:rsidRPr="000860F1">
        <w:t xml:space="preserve"> </w:t>
      </w:r>
      <w:r w:rsidR="0008432F" w:rsidRPr="000860F1">
        <w:rPr>
          <w:i/>
        </w:rPr>
        <w:t xml:space="preserve">Coffea </w:t>
      </w:r>
      <w:r w:rsidR="0008432F" w:rsidRPr="000860F1">
        <w:t>species,</w:t>
      </w:r>
      <w:r w:rsidR="0008432F" w:rsidRPr="000860F1">
        <w:rPr>
          <w:i/>
        </w:rPr>
        <w:t xml:space="preserve"> </w:t>
      </w:r>
      <w:r w:rsidR="0008432F" w:rsidRPr="000860F1">
        <w:t xml:space="preserve">and </w:t>
      </w:r>
      <w:r w:rsidR="0008432F" w:rsidRPr="000860F1">
        <w:rPr>
          <w:i/>
        </w:rPr>
        <w:t>O. europaea.</w:t>
      </w:r>
      <w:r w:rsidR="0008432F" w:rsidRPr="000860F1">
        <w:t xml:space="preserve"> </w:t>
      </w:r>
      <w:r w:rsidR="0008432F">
        <w:t>Two other subspecies are currently described (</w:t>
      </w:r>
      <w:r w:rsidR="0008432F" w:rsidRPr="00E35152">
        <w:rPr>
          <w:i/>
        </w:rPr>
        <w:t>morus</w:t>
      </w:r>
      <w:r w:rsidR="0008432F">
        <w:t xml:space="preserve"> and </w:t>
      </w:r>
      <w:r w:rsidR="0008432F" w:rsidRPr="00E35152">
        <w:rPr>
          <w:i/>
        </w:rPr>
        <w:t>sandyi</w:t>
      </w:r>
      <w:r w:rsidR="0008432F">
        <w:t xml:space="preserve">). </w:t>
      </w:r>
      <w:r w:rsidR="0008432F" w:rsidRPr="000860F1">
        <w:rPr>
          <w:i/>
        </w:rPr>
        <w:t xml:space="preserve">X. fastidiosa </w:t>
      </w:r>
      <w:r w:rsidR="0008432F" w:rsidRPr="000860F1">
        <w:t xml:space="preserve">subsp. </w:t>
      </w:r>
      <w:r w:rsidR="0008432F" w:rsidRPr="000860F1">
        <w:rPr>
          <w:i/>
        </w:rPr>
        <w:t>sandyi</w:t>
      </w:r>
      <w:r w:rsidR="0008432F" w:rsidRPr="000860F1">
        <w:t xml:space="preserve"> causes oleander leaf scorch in </w:t>
      </w:r>
      <w:r w:rsidR="0008432F" w:rsidRPr="000860F1">
        <w:rPr>
          <w:i/>
        </w:rPr>
        <w:t>Nerium oleander</w:t>
      </w:r>
      <w:r w:rsidR="0008432F" w:rsidRPr="000860F1">
        <w:t xml:space="preserve"> (Schuenzel </w:t>
      </w:r>
      <w:r w:rsidR="0008432F" w:rsidRPr="000860F1">
        <w:rPr>
          <w:i/>
        </w:rPr>
        <w:t>et al.</w:t>
      </w:r>
      <w:r w:rsidR="0008432F" w:rsidRPr="000860F1">
        <w:t>, 2005).</w:t>
      </w:r>
      <w:r w:rsidR="0008432F">
        <w:t xml:space="preserve"> </w:t>
      </w:r>
      <w:r w:rsidR="0008432F" w:rsidRPr="000860F1">
        <w:rPr>
          <w:i/>
        </w:rPr>
        <w:t xml:space="preserve">X. fastidiosa </w:t>
      </w:r>
      <w:r w:rsidR="0008432F" w:rsidRPr="000860F1">
        <w:t xml:space="preserve">subsp. </w:t>
      </w:r>
      <w:r w:rsidR="0008432F" w:rsidRPr="000860F1">
        <w:rPr>
          <w:i/>
        </w:rPr>
        <w:t>morus</w:t>
      </w:r>
      <w:r w:rsidR="0008432F" w:rsidRPr="000860F1">
        <w:t xml:space="preserve"> (Nunney </w:t>
      </w:r>
      <w:r w:rsidR="0008432F" w:rsidRPr="000860F1">
        <w:rPr>
          <w:i/>
          <w:iCs/>
        </w:rPr>
        <w:t>et</w:t>
      </w:r>
      <w:r w:rsidR="0008432F" w:rsidRPr="000860F1">
        <w:rPr>
          <w:i/>
        </w:rPr>
        <w:t> </w:t>
      </w:r>
      <w:r w:rsidR="0008432F" w:rsidRPr="000860F1">
        <w:rPr>
          <w:i/>
          <w:iCs/>
        </w:rPr>
        <w:t>al.</w:t>
      </w:r>
      <w:r w:rsidR="0008432F" w:rsidRPr="000860F1">
        <w:rPr>
          <w:iCs/>
        </w:rPr>
        <w:t>,</w:t>
      </w:r>
      <w:r w:rsidR="0008432F" w:rsidRPr="000860F1">
        <w:t xml:space="preserve"> 2014) infects </w:t>
      </w:r>
      <w:r w:rsidR="0008432F" w:rsidRPr="000860F1">
        <w:rPr>
          <w:i/>
        </w:rPr>
        <w:t>Morus</w:t>
      </w:r>
      <w:r w:rsidR="0008432F" w:rsidRPr="000860F1">
        <w:t xml:space="preserve"> spp. </w:t>
      </w:r>
      <w:r w:rsidR="0008432F">
        <w:t xml:space="preserve"> </w:t>
      </w:r>
      <w:r w:rsidR="0008432F" w:rsidRPr="00E35152">
        <w:rPr>
          <w:color w:val="3E3D40"/>
          <w:szCs w:val="22"/>
          <w:shd w:val="clear" w:color="auto" w:fill="FFFFFF"/>
        </w:rPr>
        <w:t>Based on genome sequence analyses, it was proposed to merge the subspecies</w:t>
      </w:r>
      <w:r w:rsidR="0008432F" w:rsidRPr="0008432F">
        <w:rPr>
          <w:i/>
          <w:iCs/>
          <w:color w:val="3E3D40"/>
          <w:szCs w:val="22"/>
          <w:shd w:val="clear" w:color="auto" w:fill="FFFFFF"/>
        </w:rPr>
        <w:t xml:space="preserve"> </w:t>
      </w:r>
      <w:r w:rsidR="0008432F" w:rsidRPr="00E35152">
        <w:rPr>
          <w:i/>
          <w:iCs/>
          <w:color w:val="3E3D40"/>
          <w:szCs w:val="22"/>
          <w:shd w:val="clear" w:color="auto" w:fill="FFFFFF"/>
        </w:rPr>
        <w:t>morus</w:t>
      </w:r>
      <w:r w:rsidR="0008432F">
        <w:rPr>
          <w:color w:val="3E3D40"/>
          <w:szCs w:val="22"/>
          <w:shd w:val="clear" w:color="auto" w:fill="FFFFFF"/>
        </w:rPr>
        <w:t xml:space="preserve"> and </w:t>
      </w:r>
      <w:r w:rsidR="0008432F" w:rsidRPr="00E35152">
        <w:rPr>
          <w:i/>
          <w:iCs/>
          <w:color w:val="3E3D40"/>
          <w:szCs w:val="22"/>
          <w:shd w:val="clear" w:color="auto" w:fill="FFFFFF"/>
        </w:rPr>
        <w:t>sandyi</w:t>
      </w:r>
      <w:r w:rsidR="0008432F" w:rsidRPr="00E35152">
        <w:rPr>
          <w:color w:val="3E3D40"/>
          <w:szCs w:val="22"/>
          <w:shd w:val="clear" w:color="auto" w:fill="FFFFFF"/>
        </w:rPr>
        <w:t> </w:t>
      </w:r>
      <w:r w:rsidR="0008432F">
        <w:rPr>
          <w:color w:val="3E3D40"/>
          <w:szCs w:val="22"/>
          <w:shd w:val="clear" w:color="auto" w:fill="FFFFFF"/>
        </w:rPr>
        <w:t xml:space="preserve">with </w:t>
      </w:r>
      <w:r w:rsidR="0008432F" w:rsidRPr="00E35152">
        <w:rPr>
          <w:i/>
          <w:color w:val="3E3D40"/>
          <w:szCs w:val="22"/>
          <w:shd w:val="clear" w:color="auto" w:fill="FFFFFF"/>
        </w:rPr>
        <w:t>fastidiosa</w:t>
      </w:r>
      <w:r w:rsidR="0008432F">
        <w:rPr>
          <w:color w:val="3E3D40"/>
          <w:szCs w:val="22"/>
          <w:shd w:val="clear" w:color="auto" w:fill="FFFFFF"/>
        </w:rPr>
        <w:t xml:space="preserve"> </w:t>
      </w:r>
      <w:r w:rsidR="0008432F" w:rsidRPr="00E35152">
        <w:rPr>
          <w:color w:val="3E3D40"/>
          <w:szCs w:val="22"/>
          <w:shd w:val="clear" w:color="auto" w:fill="FFFFFF"/>
        </w:rPr>
        <w:t>in the subspecies </w:t>
      </w:r>
      <w:r w:rsidR="0008432F" w:rsidRPr="00E35152">
        <w:rPr>
          <w:i/>
          <w:iCs/>
          <w:color w:val="3E3D40"/>
          <w:szCs w:val="22"/>
          <w:shd w:val="clear" w:color="auto" w:fill="FFFFFF"/>
        </w:rPr>
        <w:t>fastidiosa sensu lato</w:t>
      </w:r>
      <w:r w:rsidR="0008432F" w:rsidRPr="00E35152">
        <w:rPr>
          <w:color w:val="3E3D40"/>
          <w:szCs w:val="22"/>
          <w:shd w:val="clear" w:color="auto" w:fill="FFFFFF"/>
        </w:rPr>
        <w:t> </w:t>
      </w:r>
      <w:r w:rsidR="0008432F">
        <w:rPr>
          <w:color w:val="3E3D40"/>
          <w:szCs w:val="22"/>
          <w:shd w:val="clear" w:color="auto" w:fill="FFFFFF"/>
        </w:rPr>
        <w:t>(</w:t>
      </w:r>
      <w:r w:rsidR="00D93BFD" w:rsidRPr="000860F1">
        <w:t>Marceletti and Scortichini, 2016</w:t>
      </w:r>
      <w:r w:rsidR="009A0BA4">
        <w:t xml:space="preserve">, </w:t>
      </w:r>
      <w:hyperlink r:id="rId11" w:anchor="B13" w:history="1">
        <w:r w:rsidR="0008432F" w:rsidRPr="00E35152">
          <w:rPr>
            <w:rStyle w:val="Hyperlink"/>
            <w:szCs w:val="22"/>
            <w:shd w:val="clear" w:color="auto" w:fill="FFFFFF"/>
          </w:rPr>
          <w:t>Denancé et al., 2019</w:t>
        </w:r>
      </w:hyperlink>
      <w:r w:rsidR="0008432F" w:rsidRPr="00E35152">
        <w:rPr>
          <w:color w:val="3E3D40"/>
          <w:szCs w:val="22"/>
          <w:shd w:val="clear" w:color="auto" w:fill="FFFFFF"/>
        </w:rPr>
        <w:t>)</w:t>
      </w:r>
      <w:r w:rsidRPr="000860F1">
        <w:t>.</w:t>
      </w:r>
      <w:r w:rsidR="00E35152">
        <w:t xml:space="preserve"> </w:t>
      </w:r>
    </w:p>
    <w:p w14:paraId="1DFA92F4" w14:textId="14E74651" w:rsidR="008E6998" w:rsidRPr="000860F1" w:rsidRDefault="000330D6" w:rsidP="0004310D">
      <w:pPr>
        <w:pStyle w:val="IPPParagraphnumbering"/>
      </w:pPr>
      <w:r w:rsidRPr="000860F1">
        <w:rPr>
          <w:i/>
        </w:rPr>
        <w:t>X</w:t>
      </w:r>
      <w:r w:rsidR="001D4DD1" w:rsidRPr="000860F1">
        <w:rPr>
          <w:i/>
        </w:rPr>
        <w:t>.</w:t>
      </w:r>
      <w:r w:rsidRPr="000860F1">
        <w:rPr>
          <w:i/>
        </w:rPr>
        <w:t xml:space="preserve"> fastidiosa </w:t>
      </w:r>
      <w:r w:rsidRPr="000860F1">
        <w:t xml:space="preserve">is a Gram-negative bacterium with fastidious growth requirements. The bacterial cells are non-motile, non-flagellate, rod-shaped cells, with rounded or tapered ends and numerous irregular ridges or folds on the cell wall surface (Wells </w:t>
      </w:r>
      <w:r w:rsidRPr="000860F1">
        <w:rPr>
          <w:i/>
        </w:rPr>
        <w:t>et al.</w:t>
      </w:r>
      <w:r w:rsidRPr="000860F1">
        <w:t xml:space="preserve">, 1987). The bacterium is inoculated into the water-transporting xylem elements of its host plants by xylem sap-feeding insects. The colonization of the xylem blocks the </w:t>
      </w:r>
      <w:r w:rsidRPr="000860F1">
        <w:rPr>
          <w:color w:val="000000"/>
        </w:rPr>
        <w:t>transport of mineral nutrients and water</w:t>
      </w:r>
      <w:r w:rsidRPr="000860F1">
        <w:t xml:space="preserve"> in the infected plants. Many diseases caused by </w:t>
      </w:r>
      <w:r w:rsidRPr="000860F1">
        <w:rPr>
          <w:i/>
          <w:iCs/>
        </w:rPr>
        <w:t>X. fastidiosa</w:t>
      </w:r>
      <w:r w:rsidRPr="000860F1">
        <w:t xml:space="preserve"> are characterized by leaf scorch, defoliation, foliage wilt and a general decline in vigour, but expression of symptoms is heterogeneous, depending on the host plant species, </w:t>
      </w:r>
      <w:r w:rsidRPr="000860F1">
        <w:rPr>
          <w:i/>
          <w:iCs/>
        </w:rPr>
        <w:t>X. fastidiosa</w:t>
      </w:r>
      <w:r w:rsidRPr="000860F1">
        <w:t xml:space="preserve"> genotype and the climatic conditions. Many host plants infected with </w:t>
      </w:r>
      <w:r w:rsidRPr="000860F1">
        <w:rPr>
          <w:i/>
          <w:iCs/>
        </w:rPr>
        <w:t>X. fastidiosa</w:t>
      </w:r>
      <w:r w:rsidRPr="000860F1">
        <w:t xml:space="preserve"> </w:t>
      </w:r>
      <w:r w:rsidR="006E1DB0" w:rsidRPr="000860F1">
        <w:t>show no</w:t>
      </w:r>
      <w:r w:rsidRPr="000860F1">
        <w:t xml:space="preserve"> symptoms (Almeida and Purcell, 2003). The bacterium proliferates in the xylem of an infected host and</w:t>
      </w:r>
      <w:r w:rsidRPr="000860F1">
        <w:rPr>
          <w:rFonts w:ascii="Arial" w:hAnsi="Arial" w:cs="Arial"/>
          <w:sz w:val="18"/>
          <w:szCs w:val="18"/>
        </w:rPr>
        <w:t xml:space="preserve"> </w:t>
      </w:r>
      <w:r w:rsidRPr="000860F1">
        <w:t>invades the plant</w:t>
      </w:r>
      <w:r w:rsidR="006E1DB0" w:rsidRPr="000860F1">
        <w:t>’s shoot and root system</w:t>
      </w:r>
      <w:r w:rsidRPr="000860F1">
        <w:t xml:space="preserve"> systemically </w:t>
      </w:r>
      <w:r w:rsidRPr="000860F1">
        <w:rPr>
          <w:color w:val="231F20"/>
        </w:rPr>
        <w:t xml:space="preserve">(Aldrich </w:t>
      </w:r>
      <w:r w:rsidRPr="000860F1">
        <w:rPr>
          <w:i/>
          <w:color w:val="231F20"/>
        </w:rPr>
        <w:t>et</w:t>
      </w:r>
      <w:r w:rsidRPr="000860F1">
        <w:rPr>
          <w:i/>
        </w:rPr>
        <w:t> </w:t>
      </w:r>
      <w:r w:rsidRPr="000860F1">
        <w:rPr>
          <w:i/>
          <w:color w:val="231F20"/>
        </w:rPr>
        <w:t>al.</w:t>
      </w:r>
      <w:r w:rsidRPr="000860F1">
        <w:rPr>
          <w:color w:val="231F20"/>
        </w:rPr>
        <w:t xml:space="preserve">, 1992; He </w:t>
      </w:r>
      <w:r w:rsidRPr="000860F1">
        <w:rPr>
          <w:i/>
          <w:color w:val="231F20"/>
        </w:rPr>
        <w:t>et</w:t>
      </w:r>
      <w:r w:rsidRPr="000860F1">
        <w:rPr>
          <w:i/>
        </w:rPr>
        <w:t> </w:t>
      </w:r>
      <w:r w:rsidRPr="000860F1">
        <w:rPr>
          <w:i/>
          <w:color w:val="231F20"/>
        </w:rPr>
        <w:t>al.</w:t>
      </w:r>
      <w:r w:rsidRPr="000860F1">
        <w:rPr>
          <w:color w:val="231F20"/>
        </w:rPr>
        <w:t xml:space="preserve">, 2000; Li </w:t>
      </w:r>
      <w:r w:rsidRPr="000860F1">
        <w:rPr>
          <w:i/>
          <w:color w:val="231F20"/>
        </w:rPr>
        <w:t>et</w:t>
      </w:r>
      <w:r w:rsidRPr="000860F1">
        <w:rPr>
          <w:i/>
        </w:rPr>
        <w:t> </w:t>
      </w:r>
      <w:r w:rsidRPr="000860F1">
        <w:rPr>
          <w:i/>
          <w:color w:val="231F20"/>
        </w:rPr>
        <w:t>al.</w:t>
      </w:r>
      <w:r w:rsidRPr="000860F1">
        <w:rPr>
          <w:color w:val="231F20"/>
        </w:rPr>
        <w:t>, 2003). The pathogen overwinters in the xylem of the host plant.</w:t>
      </w:r>
      <w:r w:rsidRPr="000860F1">
        <w:t xml:space="preserve"> Insect transmission is considered the main factor for </w:t>
      </w:r>
      <w:r w:rsidR="001F278D" w:rsidRPr="000860F1">
        <w:t>local</w:t>
      </w:r>
      <w:r w:rsidR="00EA2D57" w:rsidRPr="000860F1">
        <w:t>ized</w:t>
      </w:r>
      <w:r w:rsidR="001F278D" w:rsidRPr="000860F1">
        <w:t xml:space="preserve"> </w:t>
      </w:r>
      <w:r w:rsidRPr="000860F1">
        <w:t>spread</w:t>
      </w:r>
      <w:r w:rsidR="00EA2D57" w:rsidRPr="000860F1">
        <w:t xml:space="preserve"> of </w:t>
      </w:r>
      <w:r w:rsidR="00EA2D57" w:rsidRPr="000860F1">
        <w:rPr>
          <w:i/>
        </w:rPr>
        <w:t>X. fastidiosa</w:t>
      </w:r>
      <w:r w:rsidRPr="000860F1">
        <w:t>. The vectors belong to the order Hemiptera, sub-order</w:t>
      </w:r>
      <w:r w:rsidRPr="000860F1">
        <w:rPr>
          <w:i/>
        </w:rPr>
        <w:t xml:space="preserve"> </w:t>
      </w:r>
      <w:r w:rsidRPr="000860F1">
        <w:t>Auchenorrhyncha,</w:t>
      </w:r>
      <w:r w:rsidRPr="000860F1">
        <w:rPr>
          <w:i/>
        </w:rPr>
        <w:t xml:space="preserve"> </w:t>
      </w:r>
      <w:r w:rsidRPr="000860F1">
        <w:t>families Cicadellidae (sharpshooter leafhopper),</w:t>
      </w:r>
      <w:r w:rsidRPr="000860F1">
        <w:rPr>
          <w:i/>
        </w:rPr>
        <w:t xml:space="preserve"> </w:t>
      </w:r>
      <w:r w:rsidRPr="000860F1">
        <w:t xml:space="preserve">Cercopidae (spittlebugs) (Redak </w:t>
      </w:r>
      <w:r w:rsidRPr="000860F1">
        <w:rPr>
          <w:i/>
        </w:rPr>
        <w:t>et al</w:t>
      </w:r>
      <w:r w:rsidRPr="000860F1">
        <w:t xml:space="preserve">., 2004; Chatterjee </w:t>
      </w:r>
      <w:r w:rsidRPr="000860F1">
        <w:rPr>
          <w:i/>
        </w:rPr>
        <w:t>et al</w:t>
      </w:r>
      <w:r w:rsidRPr="000860F1">
        <w:t xml:space="preserve">., 2008), Aphrophoridae and Cicadidae. The transmission of </w:t>
      </w:r>
      <w:r w:rsidRPr="000860F1">
        <w:rPr>
          <w:i/>
        </w:rPr>
        <w:t xml:space="preserve">X. fastidiosa </w:t>
      </w:r>
      <w:r w:rsidRPr="000860F1">
        <w:t>by insects is persistent. Nymphs and adults are able to acquire the bacteria by feeding on the xylem fluid of an infected plant</w:t>
      </w:r>
      <w:r w:rsidR="00367529" w:rsidRPr="000860F1">
        <w:t>,</w:t>
      </w:r>
      <w:r w:rsidRPr="000860F1">
        <w:t xml:space="preserve"> and </w:t>
      </w:r>
      <w:r w:rsidR="00EA2D57" w:rsidRPr="000860F1">
        <w:t xml:space="preserve">they </w:t>
      </w:r>
      <w:r w:rsidRPr="000860F1">
        <w:t xml:space="preserve">then transmit the pathogen to </w:t>
      </w:r>
      <w:r w:rsidR="006E1DB0" w:rsidRPr="000860F1">
        <w:t xml:space="preserve">other </w:t>
      </w:r>
      <w:r w:rsidRPr="000860F1">
        <w:t xml:space="preserve">healthy </w:t>
      </w:r>
      <w:r w:rsidR="006E1DB0" w:rsidRPr="000860F1">
        <w:t xml:space="preserve">plant </w:t>
      </w:r>
      <w:r w:rsidRPr="000860F1">
        <w:t>host</w:t>
      </w:r>
      <w:r w:rsidR="006E1DB0" w:rsidRPr="000860F1">
        <w:t>s</w:t>
      </w:r>
      <w:r w:rsidRPr="000860F1">
        <w:t xml:space="preserve">. </w:t>
      </w:r>
      <w:r w:rsidR="00C57244" w:rsidRPr="000860F1">
        <w:t xml:space="preserve">While nymphs are able to acquire (and transmit) the bacterium, they lose it at each moult, so </w:t>
      </w:r>
      <w:r w:rsidR="00EA2D57" w:rsidRPr="000860F1">
        <w:t>only continue to be infected if they</w:t>
      </w:r>
      <w:r w:rsidR="00C57244" w:rsidRPr="000860F1">
        <w:t xml:space="preserve"> reacquire </w:t>
      </w:r>
      <w:r w:rsidR="00650733" w:rsidRPr="000860F1">
        <w:t>the bacterium</w:t>
      </w:r>
      <w:r w:rsidR="00C57244" w:rsidRPr="000860F1">
        <w:t xml:space="preserve"> by feeding on infected plants after moulting (Almeida </w:t>
      </w:r>
      <w:r w:rsidR="00C57244" w:rsidRPr="000860F1">
        <w:rPr>
          <w:i/>
          <w:iCs/>
        </w:rPr>
        <w:t>et</w:t>
      </w:r>
      <w:r w:rsidR="00C45684" w:rsidRPr="000860F1">
        <w:rPr>
          <w:i/>
          <w:iCs/>
        </w:rPr>
        <w:t> </w:t>
      </w:r>
      <w:r w:rsidR="00C57244" w:rsidRPr="000860F1">
        <w:rPr>
          <w:i/>
          <w:iCs/>
        </w:rPr>
        <w:t>al.</w:t>
      </w:r>
      <w:r w:rsidR="00C57244" w:rsidRPr="000860F1">
        <w:rPr>
          <w:iCs/>
        </w:rPr>
        <w:t>,</w:t>
      </w:r>
      <w:r w:rsidR="00C57244" w:rsidRPr="000860F1">
        <w:t xml:space="preserve"> 2014). Once adults acquire the bacterium</w:t>
      </w:r>
      <w:r w:rsidR="00650733" w:rsidRPr="000860F1">
        <w:t>,</w:t>
      </w:r>
      <w:r w:rsidR="00C57244" w:rsidRPr="000860F1">
        <w:t xml:space="preserve"> they have it for life (as they do</w:t>
      </w:r>
      <w:r w:rsidR="003501CE" w:rsidRPr="000860F1">
        <w:t xml:space="preserve"> </w:t>
      </w:r>
      <w:r w:rsidR="00C57244" w:rsidRPr="000860F1">
        <w:t>n</w:t>
      </w:r>
      <w:r w:rsidR="003501CE" w:rsidRPr="000860F1">
        <w:t>o</w:t>
      </w:r>
      <w:r w:rsidR="00C57244" w:rsidRPr="000860F1">
        <w:t xml:space="preserve">t moult). </w:t>
      </w:r>
      <w:r w:rsidRPr="000860F1">
        <w:t xml:space="preserve">Once infected, adults can transmit throughout their whole lifetime, as the bacterium multiplies and persists in the vector foregut (cibarium and precibarium) (Brlansky </w:t>
      </w:r>
      <w:r w:rsidRPr="000860F1">
        <w:rPr>
          <w:i/>
        </w:rPr>
        <w:t>et al.</w:t>
      </w:r>
      <w:r w:rsidRPr="000860F1">
        <w:t xml:space="preserve">, 1983; Almeida </w:t>
      </w:r>
      <w:r w:rsidRPr="000860F1">
        <w:rPr>
          <w:i/>
        </w:rPr>
        <w:t>et al.</w:t>
      </w:r>
      <w:r w:rsidRPr="000860F1">
        <w:t xml:space="preserve">, 2005). </w:t>
      </w:r>
      <w:r w:rsidR="00C57244" w:rsidRPr="000860F1">
        <w:t xml:space="preserve">There is no evidence of transovarial transmission (transmission from a female to her eggs) (Redak </w:t>
      </w:r>
      <w:r w:rsidR="00C57244" w:rsidRPr="000860F1">
        <w:rPr>
          <w:i/>
          <w:iCs/>
        </w:rPr>
        <w:t>et</w:t>
      </w:r>
      <w:r w:rsidR="00E35F2A" w:rsidRPr="000860F1">
        <w:rPr>
          <w:i/>
          <w:iCs/>
        </w:rPr>
        <w:t> </w:t>
      </w:r>
      <w:r w:rsidR="00C57244" w:rsidRPr="000860F1">
        <w:rPr>
          <w:i/>
          <w:iCs/>
        </w:rPr>
        <w:t>al.</w:t>
      </w:r>
      <w:r w:rsidR="00087899" w:rsidRPr="000860F1">
        <w:rPr>
          <w:iCs/>
        </w:rPr>
        <w:t>,</w:t>
      </w:r>
      <w:r w:rsidR="00C57244" w:rsidRPr="000860F1">
        <w:t xml:space="preserve"> 2004).</w:t>
      </w:r>
      <w:r w:rsidR="003501CE" w:rsidRPr="000860F1">
        <w:t xml:space="preserve"> </w:t>
      </w:r>
      <w:r w:rsidRPr="000860F1">
        <w:t>The movement of infected plants and planting material (e.g</w:t>
      </w:r>
      <w:r w:rsidR="003501CE" w:rsidRPr="000860F1">
        <w:t>.</w:t>
      </w:r>
      <w:r w:rsidRPr="000860F1">
        <w:t xml:space="preserve"> budwood, seedlings) is assumed to be responsible for the long distance spread of the disease and its entry into new areas.</w:t>
      </w:r>
    </w:p>
    <w:p w14:paraId="30E463D9" w14:textId="07814EF2" w:rsidR="008E6998" w:rsidRPr="000860F1" w:rsidRDefault="000330D6">
      <w:pPr>
        <w:pStyle w:val="IPPHeading1"/>
      </w:pPr>
      <w:bookmarkStart w:id="2" w:name="_Toc384635714"/>
      <w:bookmarkStart w:id="3" w:name="_Toc111710109"/>
      <w:r w:rsidRPr="000860F1">
        <w:t>2.</w:t>
      </w:r>
      <w:r w:rsidRPr="000860F1">
        <w:tab/>
      </w:r>
      <w:bookmarkEnd w:id="2"/>
      <w:r w:rsidRPr="000860F1">
        <w:t>Taxonomic Information</w:t>
      </w:r>
      <w:bookmarkEnd w:id="3"/>
    </w:p>
    <w:p w14:paraId="44D74111" w14:textId="1882A10E" w:rsidR="008E6998" w:rsidRPr="00A66AEE" w:rsidRDefault="000330D6" w:rsidP="0004310D">
      <w:pPr>
        <w:pStyle w:val="IPPParagraphnumbering"/>
      </w:pPr>
      <w:r w:rsidRPr="00A66AEE">
        <w:rPr>
          <w:b/>
        </w:rPr>
        <w:t>Name:</w:t>
      </w:r>
      <w:r w:rsidR="001E6E25">
        <w:rPr>
          <w:b/>
        </w:rPr>
        <w:tab/>
      </w:r>
      <w:r w:rsidRPr="00A66AEE">
        <w:t>Xylella fastidiosa</w:t>
      </w:r>
      <w:r w:rsidRPr="00A66AEE">
        <w:rPr>
          <w:iCs/>
        </w:rPr>
        <w:t xml:space="preserve"> </w:t>
      </w:r>
      <w:r w:rsidRPr="00A66AEE">
        <w:t>Wells et al., 1987</w:t>
      </w:r>
    </w:p>
    <w:p w14:paraId="10E7FCB9" w14:textId="7060292C" w:rsidR="008E6998" w:rsidRPr="000860F1" w:rsidRDefault="000330D6" w:rsidP="0004310D">
      <w:pPr>
        <w:pStyle w:val="IPPParagraphnumbering"/>
      </w:pPr>
      <w:r w:rsidRPr="000860F1">
        <w:rPr>
          <w:b/>
          <w:bCs/>
        </w:rPr>
        <w:t>Synonyms:</w:t>
      </w:r>
      <w:r w:rsidR="001E6E25">
        <w:rPr>
          <w:b/>
          <w:bCs/>
        </w:rPr>
        <w:tab/>
      </w:r>
      <w:r w:rsidRPr="000860F1">
        <w:t>None</w:t>
      </w:r>
    </w:p>
    <w:p w14:paraId="2ED70CFD" w14:textId="4D98A7CE" w:rsidR="008E6998" w:rsidRPr="000860F1" w:rsidRDefault="000330D6" w:rsidP="0004310D">
      <w:pPr>
        <w:pStyle w:val="IPPParagraphnumbering"/>
      </w:pPr>
      <w:r w:rsidRPr="000860F1">
        <w:rPr>
          <w:b/>
        </w:rPr>
        <w:t>Taxonomic position:</w:t>
      </w:r>
      <w:r w:rsidR="001E6E25">
        <w:rPr>
          <w:b/>
        </w:rPr>
        <w:tab/>
      </w:r>
      <w:r w:rsidRPr="000860F1">
        <w:t xml:space="preserve">Bacteria, Proteobacteria, Gammaproteobacteria, </w:t>
      </w:r>
      <w:r w:rsidR="005B457F" w:rsidRPr="00315473">
        <w:t>Lysobacterales</w:t>
      </w:r>
      <w:r w:rsidR="005B457F" w:rsidRPr="000860F1">
        <w:t xml:space="preserve"> </w:t>
      </w:r>
      <w:r w:rsidR="005B457F">
        <w:t>(ex-</w:t>
      </w:r>
      <w:r w:rsidRPr="000860F1">
        <w:t>Xanthomonadales</w:t>
      </w:r>
      <w:r w:rsidR="005B457F">
        <w:t>)</w:t>
      </w:r>
      <w:r w:rsidRPr="000860F1">
        <w:t xml:space="preserve">, </w:t>
      </w:r>
      <w:r w:rsidR="008F41B5" w:rsidRPr="00ED5772">
        <w:rPr>
          <w:iCs/>
          <w:color w:val="000000"/>
          <w:szCs w:val="22"/>
          <w:bdr w:val="none" w:sz="0" w:space="0" w:color="auto" w:frame="1"/>
        </w:rPr>
        <w:t>Lysobacteraceae (ex-</w:t>
      </w:r>
      <w:r w:rsidRPr="000860F1">
        <w:t>Xanthomonadaceae</w:t>
      </w:r>
      <w:r w:rsidR="008F41B5">
        <w:t>)</w:t>
      </w:r>
    </w:p>
    <w:p w14:paraId="0B1A2034" w14:textId="48F91C0C" w:rsidR="008E6998" w:rsidRPr="000860F1" w:rsidRDefault="000330D6" w:rsidP="0004310D">
      <w:pPr>
        <w:pStyle w:val="IPPParagraphnumbering"/>
        <w:rPr>
          <w:lang w:eastAsia="en-NZ"/>
        </w:rPr>
      </w:pPr>
      <w:r w:rsidRPr="000860F1">
        <w:rPr>
          <w:b/>
        </w:rPr>
        <w:t>Common names:</w:t>
      </w:r>
      <w:r w:rsidR="0004310D">
        <w:rPr>
          <w:b/>
        </w:rPr>
        <w:t xml:space="preserve"> </w:t>
      </w:r>
      <w:r w:rsidR="00A1340E" w:rsidRPr="000860F1">
        <w:rPr>
          <w:lang w:eastAsia="en-NZ"/>
        </w:rPr>
        <w:t>A</w:t>
      </w:r>
      <w:r w:rsidR="00FF3BBB" w:rsidRPr="000860F1">
        <w:rPr>
          <w:lang w:eastAsia="en-NZ"/>
        </w:rPr>
        <w:t xml:space="preserve">lfalfa dwarf, bacterial leaf scorch disease, dwarf lucerne, </w:t>
      </w:r>
      <w:r w:rsidRPr="000860F1">
        <w:rPr>
          <w:lang w:eastAsia="en-NZ"/>
        </w:rPr>
        <w:t xml:space="preserve">citrus variegated chlorosis, olive quick decline syndrome, </w:t>
      </w:r>
      <w:r w:rsidR="00FF3BBB" w:rsidRPr="000860F1">
        <w:rPr>
          <w:lang w:eastAsia="en-NZ"/>
        </w:rPr>
        <w:t>periwinkle wilt</w:t>
      </w:r>
      <w:r w:rsidR="009F5739">
        <w:rPr>
          <w:lang w:eastAsia="en-NZ"/>
        </w:rPr>
        <w:t>,</w:t>
      </w:r>
      <w:r w:rsidR="00FF3BBB" w:rsidRPr="000860F1">
        <w:rPr>
          <w:lang w:eastAsia="en-NZ"/>
        </w:rPr>
        <w:t xml:space="preserve"> </w:t>
      </w:r>
      <w:r w:rsidRPr="000860F1">
        <w:rPr>
          <w:lang w:eastAsia="en-NZ"/>
        </w:rPr>
        <w:t xml:space="preserve">phony peach disease, </w:t>
      </w:r>
      <w:r w:rsidR="00FF3BBB" w:rsidRPr="000860F1">
        <w:rPr>
          <w:lang w:eastAsia="en-NZ"/>
        </w:rPr>
        <w:t>Pierce’s disease of grapevines</w:t>
      </w:r>
      <w:r w:rsidR="002F4805" w:rsidRPr="000860F1">
        <w:rPr>
          <w:lang w:eastAsia="en-NZ"/>
        </w:rPr>
        <w:t>,</w:t>
      </w:r>
      <w:r w:rsidR="00FF3BBB" w:rsidRPr="000860F1">
        <w:rPr>
          <w:lang w:eastAsia="en-NZ"/>
        </w:rPr>
        <w:t xml:space="preserve"> </w:t>
      </w:r>
      <w:r w:rsidRPr="000860F1">
        <w:rPr>
          <w:lang w:eastAsia="en-NZ"/>
        </w:rPr>
        <w:t>plum leaf scald. The leaf scorch diseases are named in relation to their host plants; for example, almond leaf scorch, oleander leaf scorch, olive leaf scorch, pear leaf scorch.</w:t>
      </w:r>
    </w:p>
    <w:p w14:paraId="045219A6" w14:textId="7AF105EC" w:rsidR="008E6998" w:rsidRPr="000860F1" w:rsidRDefault="000330D6" w:rsidP="0004310D">
      <w:pPr>
        <w:pStyle w:val="IPPParagraphnumbering"/>
      </w:pPr>
      <w:r w:rsidRPr="000860F1">
        <w:t xml:space="preserve">Recent studies have split </w:t>
      </w:r>
      <w:r w:rsidRPr="000860F1">
        <w:rPr>
          <w:i/>
        </w:rPr>
        <w:t>X. fastidiosa</w:t>
      </w:r>
      <w:r w:rsidRPr="000860F1">
        <w:t xml:space="preserve"> into several subspecies (Schaad </w:t>
      </w:r>
      <w:r w:rsidRPr="000860F1">
        <w:rPr>
          <w:i/>
          <w:iCs/>
        </w:rPr>
        <w:t>et</w:t>
      </w:r>
      <w:r w:rsidRPr="000860F1">
        <w:rPr>
          <w:i/>
        </w:rPr>
        <w:t> </w:t>
      </w:r>
      <w:r w:rsidRPr="000860F1">
        <w:rPr>
          <w:i/>
          <w:iCs/>
        </w:rPr>
        <w:t>al.</w:t>
      </w:r>
      <w:r w:rsidRPr="000860F1">
        <w:rPr>
          <w:iCs/>
        </w:rPr>
        <w:t>,</w:t>
      </w:r>
      <w:r w:rsidRPr="000860F1">
        <w:t xml:space="preserve"> 2004; Scally </w:t>
      </w:r>
      <w:r w:rsidRPr="000860F1">
        <w:rPr>
          <w:i/>
          <w:iCs/>
        </w:rPr>
        <w:t>et</w:t>
      </w:r>
      <w:r w:rsidRPr="000860F1">
        <w:rPr>
          <w:i/>
        </w:rPr>
        <w:t> </w:t>
      </w:r>
      <w:r w:rsidRPr="000860F1">
        <w:rPr>
          <w:i/>
          <w:iCs/>
        </w:rPr>
        <w:t>al.</w:t>
      </w:r>
      <w:r w:rsidRPr="000860F1">
        <w:rPr>
          <w:iCs/>
        </w:rPr>
        <w:t>,</w:t>
      </w:r>
      <w:r w:rsidRPr="000860F1">
        <w:t xml:space="preserve"> 2005; Schuenzel </w:t>
      </w:r>
      <w:r w:rsidRPr="000860F1">
        <w:rPr>
          <w:i/>
          <w:iCs/>
        </w:rPr>
        <w:t>et</w:t>
      </w:r>
      <w:r w:rsidRPr="000860F1">
        <w:rPr>
          <w:i/>
        </w:rPr>
        <w:t> </w:t>
      </w:r>
      <w:r w:rsidRPr="000860F1">
        <w:rPr>
          <w:i/>
          <w:iCs/>
        </w:rPr>
        <w:t>al.</w:t>
      </w:r>
      <w:r w:rsidRPr="000860F1">
        <w:rPr>
          <w:iCs/>
        </w:rPr>
        <w:t>,</w:t>
      </w:r>
      <w:r w:rsidRPr="000860F1">
        <w:t xml:space="preserve"> 2005; Randall </w:t>
      </w:r>
      <w:r w:rsidRPr="000860F1">
        <w:rPr>
          <w:i/>
          <w:iCs/>
        </w:rPr>
        <w:t>et</w:t>
      </w:r>
      <w:r w:rsidRPr="000860F1">
        <w:rPr>
          <w:i/>
        </w:rPr>
        <w:t> </w:t>
      </w:r>
      <w:r w:rsidRPr="000860F1">
        <w:rPr>
          <w:i/>
          <w:iCs/>
        </w:rPr>
        <w:t>al.</w:t>
      </w:r>
      <w:r w:rsidRPr="000860F1">
        <w:rPr>
          <w:iCs/>
        </w:rPr>
        <w:t>,</w:t>
      </w:r>
      <w:r w:rsidRPr="000860F1">
        <w:t xml:space="preserve"> 2009; Yuan </w:t>
      </w:r>
      <w:r w:rsidRPr="000860F1">
        <w:rPr>
          <w:i/>
          <w:iCs/>
        </w:rPr>
        <w:t>et</w:t>
      </w:r>
      <w:r w:rsidRPr="000860F1">
        <w:rPr>
          <w:i/>
        </w:rPr>
        <w:t> </w:t>
      </w:r>
      <w:r w:rsidRPr="000860F1">
        <w:rPr>
          <w:i/>
          <w:iCs/>
        </w:rPr>
        <w:t>al.</w:t>
      </w:r>
      <w:r w:rsidRPr="000860F1">
        <w:rPr>
          <w:iCs/>
        </w:rPr>
        <w:t>,</w:t>
      </w:r>
      <w:r w:rsidRPr="000860F1">
        <w:t xml:space="preserve"> 2010; Nunney </w:t>
      </w:r>
      <w:r w:rsidRPr="000860F1">
        <w:rPr>
          <w:i/>
          <w:iCs/>
        </w:rPr>
        <w:t>et</w:t>
      </w:r>
      <w:r w:rsidRPr="000860F1">
        <w:rPr>
          <w:i/>
        </w:rPr>
        <w:t> </w:t>
      </w:r>
      <w:r w:rsidRPr="000860F1">
        <w:rPr>
          <w:i/>
          <w:iCs/>
        </w:rPr>
        <w:t>al.</w:t>
      </w:r>
      <w:r w:rsidRPr="000860F1">
        <w:rPr>
          <w:iCs/>
        </w:rPr>
        <w:t>,</w:t>
      </w:r>
      <w:r w:rsidRPr="000860F1">
        <w:t xml:space="preserve"> 2014). Currently, only the subspecies </w:t>
      </w:r>
      <w:r w:rsidRPr="000860F1">
        <w:rPr>
          <w:i/>
          <w:iCs/>
        </w:rPr>
        <w:t xml:space="preserve">fastidiosa </w:t>
      </w:r>
      <w:r w:rsidRPr="000860F1">
        <w:t xml:space="preserve">and </w:t>
      </w:r>
      <w:r w:rsidRPr="000860F1">
        <w:rPr>
          <w:i/>
          <w:iCs/>
        </w:rPr>
        <w:t>multiplex</w:t>
      </w:r>
      <w:r w:rsidRPr="000860F1">
        <w:t xml:space="preserve"> are considered valid names by the International Society of Plant Pathology Committee on the Taxonomy of Plant Pathogenic Bacteria (Bull </w:t>
      </w:r>
      <w:r w:rsidRPr="000860F1">
        <w:rPr>
          <w:i/>
          <w:iCs/>
        </w:rPr>
        <w:t>et</w:t>
      </w:r>
      <w:r w:rsidRPr="000860F1">
        <w:rPr>
          <w:i/>
        </w:rPr>
        <w:t> </w:t>
      </w:r>
      <w:r w:rsidRPr="000860F1">
        <w:rPr>
          <w:i/>
          <w:iCs/>
        </w:rPr>
        <w:t>al.</w:t>
      </w:r>
      <w:r w:rsidRPr="000860F1">
        <w:rPr>
          <w:iCs/>
        </w:rPr>
        <w:t>,</w:t>
      </w:r>
      <w:r w:rsidRPr="000860F1">
        <w:t xml:space="preserve"> 2012). Other additional </w:t>
      </w:r>
      <w:r w:rsidRPr="000860F1">
        <w:rPr>
          <w:i/>
          <w:iCs/>
        </w:rPr>
        <w:t xml:space="preserve">X. fastidiosa </w:t>
      </w:r>
      <w:r w:rsidRPr="000860F1">
        <w:t>subspecies proposed are “</w:t>
      </w:r>
      <w:r w:rsidRPr="00ED5772">
        <w:rPr>
          <w:i/>
        </w:rPr>
        <w:t>pauca</w:t>
      </w:r>
      <w:r w:rsidRPr="000860F1">
        <w:t xml:space="preserve">” (Schaad </w:t>
      </w:r>
      <w:r w:rsidRPr="000860F1">
        <w:rPr>
          <w:i/>
        </w:rPr>
        <w:t>et al.</w:t>
      </w:r>
      <w:r w:rsidRPr="000860F1">
        <w:t>, 2004), “</w:t>
      </w:r>
      <w:r w:rsidRPr="00ED5772">
        <w:rPr>
          <w:i/>
          <w:iCs/>
        </w:rPr>
        <w:t>sandyi</w:t>
      </w:r>
      <w:r w:rsidRPr="000860F1">
        <w:rPr>
          <w:iCs/>
        </w:rPr>
        <w:t>”</w:t>
      </w:r>
      <w:r w:rsidRPr="000860F1">
        <w:rPr>
          <w:i/>
          <w:iCs/>
        </w:rPr>
        <w:t xml:space="preserve"> </w:t>
      </w:r>
      <w:r w:rsidRPr="000860F1">
        <w:t xml:space="preserve">(Schuenzel </w:t>
      </w:r>
      <w:r w:rsidRPr="000860F1">
        <w:rPr>
          <w:i/>
          <w:iCs/>
        </w:rPr>
        <w:t>et</w:t>
      </w:r>
      <w:r w:rsidRPr="000860F1">
        <w:rPr>
          <w:i/>
        </w:rPr>
        <w:t> </w:t>
      </w:r>
      <w:r w:rsidRPr="000860F1">
        <w:rPr>
          <w:i/>
          <w:iCs/>
        </w:rPr>
        <w:t>al.</w:t>
      </w:r>
      <w:r w:rsidRPr="000860F1">
        <w:rPr>
          <w:iCs/>
        </w:rPr>
        <w:t>,</w:t>
      </w:r>
      <w:r w:rsidRPr="000860F1">
        <w:t xml:space="preserve"> 2005), “</w:t>
      </w:r>
      <w:r w:rsidRPr="00ED5772">
        <w:rPr>
          <w:i/>
          <w:iCs/>
        </w:rPr>
        <w:t>morus</w:t>
      </w:r>
      <w:r w:rsidRPr="000860F1">
        <w:rPr>
          <w:iCs/>
        </w:rPr>
        <w:t>”</w:t>
      </w:r>
      <w:r w:rsidRPr="000860F1">
        <w:rPr>
          <w:i/>
          <w:iCs/>
        </w:rPr>
        <w:t xml:space="preserve"> </w:t>
      </w:r>
      <w:r w:rsidRPr="000860F1">
        <w:t xml:space="preserve">(Nunney </w:t>
      </w:r>
      <w:r w:rsidRPr="000860F1">
        <w:rPr>
          <w:i/>
          <w:iCs/>
        </w:rPr>
        <w:t>et</w:t>
      </w:r>
      <w:r w:rsidRPr="000860F1">
        <w:rPr>
          <w:i/>
        </w:rPr>
        <w:t> </w:t>
      </w:r>
      <w:r w:rsidRPr="000860F1">
        <w:rPr>
          <w:i/>
          <w:iCs/>
        </w:rPr>
        <w:t>al.</w:t>
      </w:r>
      <w:r w:rsidRPr="000860F1">
        <w:rPr>
          <w:iCs/>
        </w:rPr>
        <w:t>,</w:t>
      </w:r>
      <w:r w:rsidRPr="000860F1">
        <w:t xml:space="preserve"> 2014). The </w:t>
      </w:r>
      <w:r w:rsidRPr="000860F1">
        <w:rPr>
          <w:i/>
        </w:rPr>
        <w:t>Xylella</w:t>
      </w:r>
      <w:r w:rsidRPr="000860F1">
        <w:t xml:space="preserve"> species associated with pear leaf scorch in Taiwan Province of China (</w:t>
      </w:r>
      <w:r w:rsidRPr="000860F1">
        <w:rPr>
          <w:iCs/>
        </w:rPr>
        <w:t xml:space="preserve">Leu and </w:t>
      </w:r>
      <w:r w:rsidRPr="000860F1">
        <w:t>Su</w:t>
      </w:r>
      <w:r w:rsidR="00465685" w:rsidRPr="000860F1">
        <w:t>,</w:t>
      </w:r>
      <w:r w:rsidRPr="000860F1">
        <w:t xml:space="preserve"> 1993) is a new species, </w:t>
      </w:r>
      <w:r w:rsidRPr="000860F1">
        <w:rPr>
          <w:i/>
        </w:rPr>
        <w:t xml:space="preserve">X. taiwanensis </w:t>
      </w:r>
      <w:r w:rsidRPr="000860F1">
        <w:t xml:space="preserve">(Su </w:t>
      </w:r>
      <w:r w:rsidRPr="000860F1">
        <w:rPr>
          <w:i/>
        </w:rPr>
        <w:t>et al</w:t>
      </w:r>
      <w:r w:rsidRPr="000860F1">
        <w:t xml:space="preserve">., 2016). Recently, a revision of the </w:t>
      </w:r>
      <w:r w:rsidRPr="000860F1">
        <w:rPr>
          <w:i/>
        </w:rPr>
        <w:t>X. fastidiosa</w:t>
      </w:r>
      <w:r w:rsidRPr="000860F1">
        <w:t xml:space="preserve"> subspecies has been proposed (Marceletti and Scortichini, 2016</w:t>
      </w:r>
      <w:r w:rsidR="00AB7E47">
        <w:t xml:space="preserve">, Denancé </w:t>
      </w:r>
      <w:r w:rsidR="00AB7E47" w:rsidRPr="00AB7E47">
        <w:rPr>
          <w:i/>
        </w:rPr>
        <w:t>et al</w:t>
      </w:r>
      <w:r w:rsidR="00AB7E47">
        <w:t>., 2019</w:t>
      </w:r>
      <w:r w:rsidRPr="000860F1">
        <w:t>) based on comparative genomic analysis</w:t>
      </w:r>
      <w:r w:rsidR="005B457F">
        <w:t xml:space="preserve"> and </w:t>
      </w:r>
      <w:r w:rsidR="008970AD">
        <w:t xml:space="preserve">the subspecies </w:t>
      </w:r>
      <w:r w:rsidR="005B457F" w:rsidRPr="000505B3">
        <w:rPr>
          <w:i/>
          <w:iCs/>
          <w:color w:val="3E3D40"/>
          <w:szCs w:val="22"/>
          <w:shd w:val="clear" w:color="auto" w:fill="FFFFFF"/>
        </w:rPr>
        <w:t>morus</w:t>
      </w:r>
      <w:r w:rsidR="008970AD">
        <w:rPr>
          <w:color w:val="3E3D40"/>
          <w:szCs w:val="22"/>
          <w:shd w:val="clear" w:color="auto" w:fill="FFFFFF"/>
        </w:rPr>
        <w:t xml:space="preserve">, </w:t>
      </w:r>
      <w:r w:rsidR="005B457F" w:rsidRPr="000505B3">
        <w:rPr>
          <w:i/>
          <w:iCs/>
          <w:color w:val="3E3D40"/>
          <w:szCs w:val="22"/>
          <w:shd w:val="clear" w:color="auto" w:fill="FFFFFF"/>
        </w:rPr>
        <w:t>sandyi</w:t>
      </w:r>
      <w:r w:rsidR="005B457F" w:rsidRPr="000505B3">
        <w:rPr>
          <w:color w:val="3E3D40"/>
          <w:szCs w:val="22"/>
          <w:shd w:val="clear" w:color="auto" w:fill="FFFFFF"/>
        </w:rPr>
        <w:t> </w:t>
      </w:r>
      <w:r w:rsidR="008970AD">
        <w:rPr>
          <w:color w:val="3E3D40"/>
          <w:szCs w:val="22"/>
          <w:shd w:val="clear" w:color="auto" w:fill="FFFFFF"/>
        </w:rPr>
        <w:t>and</w:t>
      </w:r>
      <w:r w:rsidR="005B457F">
        <w:rPr>
          <w:color w:val="3E3D40"/>
          <w:szCs w:val="22"/>
          <w:shd w:val="clear" w:color="auto" w:fill="FFFFFF"/>
        </w:rPr>
        <w:t xml:space="preserve"> </w:t>
      </w:r>
      <w:r w:rsidR="005B457F" w:rsidRPr="000505B3">
        <w:rPr>
          <w:i/>
          <w:color w:val="3E3D40"/>
          <w:szCs w:val="22"/>
          <w:shd w:val="clear" w:color="auto" w:fill="FFFFFF"/>
        </w:rPr>
        <w:t>fastidiosa</w:t>
      </w:r>
      <w:r w:rsidR="005B457F">
        <w:rPr>
          <w:color w:val="3E3D40"/>
          <w:szCs w:val="22"/>
          <w:shd w:val="clear" w:color="auto" w:fill="FFFFFF"/>
        </w:rPr>
        <w:t xml:space="preserve"> were merged </w:t>
      </w:r>
      <w:r w:rsidR="005B457F" w:rsidRPr="000505B3">
        <w:rPr>
          <w:color w:val="3E3D40"/>
          <w:szCs w:val="22"/>
          <w:shd w:val="clear" w:color="auto" w:fill="FFFFFF"/>
        </w:rPr>
        <w:t>in the subspecies </w:t>
      </w:r>
      <w:r w:rsidR="005B457F" w:rsidRPr="000505B3">
        <w:rPr>
          <w:i/>
          <w:iCs/>
          <w:color w:val="3E3D40"/>
          <w:szCs w:val="22"/>
          <w:shd w:val="clear" w:color="auto" w:fill="FFFFFF"/>
        </w:rPr>
        <w:t>fastidiosa sensu lato</w:t>
      </w:r>
      <w:r w:rsidR="005B457F" w:rsidRPr="000505B3">
        <w:rPr>
          <w:color w:val="3E3D40"/>
          <w:szCs w:val="22"/>
          <w:shd w:val="clear" w:color="auto" w:fill="FFFFFF"/>
        </w:rPr>
        <w:t> </w:t>
      </w:r>
      <w:r w:rsidRPr="000860F1">
        <w:t>.</w:t>
      </w:r>
    </w:p>
    <w:p w14:paraId="5CAEB5F7" w14:textId="5B631269" w:rsidR="008E6998" w:rsidRPr="000860F1" w:rsidRDefault="000330D6">
      <w:pPr>
        <w:pStyle w:val="IPPHeading1"/>
      </w:pPr>
      <w:bookmarkStart w:id="4" w:name="_Toc137983542"/>
      <w:bookmarkStart w:id="5" w:name="_Toc111710110"/>
      <w:r w:rsidRPr="000860F1">
        <w:t>3.</w:t>
      </w:r>
      <w:r w:rsidRPr="000860F1">
        <w:tab/>
      </w:r>
      <w:bookmarkEnd w:id="4"/>
      <w:r w:rsidRPr="000860F1">
        <w:t>Detection</w:t>
      </w:r>
      <w:bookmarkEnd w:id="5"/>
    </w:p>
    <w:p w14:paraId="36077695" w14:textId="4FD7E1E8" w:rsidR="00965156" w:rsidRPr="000860F1" w:rsidRDefault="000330D6" w:rsidP="0004310D">
      <w:pPr>
        <w:pStyle w:val="IPPParagraphnumbering"/>
      </w:pPr>
      <w:r w:rsidRPr="000860F1">
        <w:t xml:space="preserve">Plants infected with </w:t>
      </w:r>
      <w:r w:rsidRPr="000860F1">
        <w:rPr>
          <w:i/>
        </w:rPr>
        <w:t>X. fastidiosa</w:t>
      </w:r>
      <w:r w:rsidRPr="000860F1">
        <w:t xml:space="preserve"> may be asymptomatic (Almeida and Purcell, 2003) or the symptoms may be similar to those associated with water stress or physiological disorders. </w:t>
      </w:r>
      <w:r w:rsidR="00965156" w:rsidRPr="000860F1">
        <w:t xml:space="preserve">Isolation methods are not recommended for detection due to the difficulty in isolating </w:t>
      </w:r>
      <w:r w:rsidR="00965156" w:rsidRPr="000860F1">
        <w:rPr>
          <w:i/>
        </w:rPr>
        <w:t>X.</w:t>
      </w:r>
      <w:r w:rsidR="00537830" w:rsidRPr="000860F1">
        <w:rPr>
          <w:i/>
        </w:rPr>
        <w:t> </w:t>
      </w:r>
      <w:r w:rsidR="00965156" w:rsidRPr="000860F1">
        <w:rPr>
          <w:i/>
        </w:rPr>
        <w:t>fastidiosa</w:t>
      </w:r>
      <w:r w:rsidR="00965156" w:rsidRPr="000860F1">
        <w:t xml:space="preserve"> from plant tissue. </w:t>
      </w:r>
      <w:r w:rsidR="00732479" w:rsidRPr="000860F1">
        <w:t>Therefore, d</w:t>
      </w:r>
      <w:r w:rsidRPr="000860F1">
        <w:t>etection is based on inspection for symptoms and the use of specific serological and molecular tests</w:t>
      </w:r>
      <w:r w:rsidR="00965156" w:rsidRPr="000860F1">
        <w:t xml:space="preserve"> on symptomatic plant material</w:t>
      </w:r>
      <w:r w:rsidRPr="000860F1">
        <w:t>.</w:t>
      </w:r>
      <w:r w:rsidR="00965156" w:rsidRPr="000860F1">
        <w:t xml:space="preserve"> There is limited information available on testing asymptomatic plants and the concentration of </w:t>
      </w:r>
      <w:r w:rsidR="00965156" w:rsidRPr="000860F1">
        <w:rPr>
          <w:i/>
        </w:rPr>
        <w:t>X.</w:t>
      </w:r>
      <w:r w:rsidR="00537830" w:rsidRPr="000860F1">
        <w:rPr>
          <w:i/>
        </w:rPr>
        <w:t> </w:t>
      </w:r>
      <w:r w:rsidR="00965156" w:rsidRPr="000860F1">
        <w:rPr>
          <w:i/>
        </w:rPr>
        <w:t>fastidiosa</w:t>
      </w:r>
      <w:r w:rsidR="00965156" w:rsidRPr="000860F1">
        <w:t xml:space="preserve"> is likely to be lower than in symptomatic plants (Almeida &amp; Nunney, 2015). Therefore, it</w:t>
      </w:r>
      <w:r w:rsidR="00453283" w:rsidRPr="000860F1">
        <w:t xml:space="preserve"> </w:t>
      </w:r>
      <w:r w:rsidR="00965156" w:rsidRPr="000860F1">
        <w:t>is advis</w:t>
      </w:r>
      <w:r w:rsidR="00136A10">
        <w:t>able</w:t>
      </w:r>
      <w:r w:rsidR="00965156" w:rsidRPr="000860F1">
        <w:t xml:space="preserve"> to include molecular methods for testing asymptomatic plant material.</w:t>
      </w:r>
    </w:p>
    <w:p w14:paraId="4806B126" w14:textId="1B6335FE" w:rsidR="00425CF7" w:rsidRPr="000860F1" w:rsidRDefault="00425CF7" w:rsidP="0004310D">
      <w:pPr>
        <w:pStyle w:val="IPPParagraphnumbering"/>
      </w:pPr>
      <w:r w:rsidRPr="000860F1">
        <w:t>In this diagnostic protocol, methods (including reference to brand names) are described as published, as these define the original level of sensitivity, specificity and reproducibility achieved. Laboratory procedures presented in the protocols may be adjusted to the standards of individual laboratories, provided that they are adequately validated.</w:t>
      </w:r>
    </w:p>
    <w:p w14:paraId="333386AA" w14:textId="2802659D" w:rsidR="008E6998" w:rsidRPr="000860F1" w:rsidRDefault="000330D6">
      <w:pPr>
        <w:pStyle w:val="IPPHeading2"/>
      </w:pPr>
      <w:bookmarkStart w:id="6" w:name="_Toc384635716"/>
      <w:bookmarkStart w:id="7" w:name="_Toc111710111"/>
      <w:r w:rsidRPr="000860F1">
        <w:t>3.1</w:t>
      </w:r>
      <w:r w:rsidR="00A97A7B" w:rsidRPr="000860F1">
        <w:tab/>
      </w:r>
      <w:r w:rsidRPr="000860F1">
        <w:t>Symptoms</w:t>
      </w:r>
      <w:bookmarkEnd w:id="6"/>
      <w:bookmarkEnd w:id="7"/>
      <w:r w:rsidRPr="000860F1">
        <w:t xml:space="preserve"> </w:t>
      </w:r>
    </w:p>
    <w:p w14:paraId="5AC1EB31" w14:textId="5DC07073" w:rsidR="008E6998" w:rsidRPr="000860F1" w:rsidRDefault="000330D6" w:rsidP="0004310D">
      <w:pPr>
        <w:pStyle w:val="IPPParagraphnumbering"/>
      </w:pPr>
      <w:r w:rsidRPr="000860F1">
        <w:t xml:space="preserve">The presence of </w:t>
      </w:r>
      <w:r w:rsidRPr="000860F1">
        <w:rPr>
          <w:i/>
        </w:rPr>
        <w:t>X. fastidiosa</w:t>
      </w:r>
      <w:r w:rsidRPr="000860F1">
        <w:t xml:space="preserve"> can have a broad impact on its host: from sympto</w:t>
      </w:r>
      <w:r w:rsidR="00D415AF">
        <w:t>mL</w:t>
      </w:r>
      <w:r w:rsidR="00732479" w:rsidRPr="000860F1">
        <w:t>es</w:t>
      </w:r>
      <w:r w:rsidRPr="000860F1">
        <w:t xml:space="preserve">s to plant death. Most host plants infected with </w:t>
      </w:r>
      <w:r w:rsidRPr="000860F1">
        <w:rPr>
          <w:i/>
        </w:rPr>
        <w:t>X. fastidiosa</w:t>
      </w:r>
      <w:r w:rsidRPr="000860F1">
        <w:t xml:space="preserve"> do not </w:t>
      </w:r>
      <w:r w:rsidR="00732479" w:rsidRPr="000860F1">
        <w:t xml:space="preserve">show </w:t>
      </w:r>
      <w:r w:rsidRPr="000860F1">
        <w:t xml:space="preserve">any symptoms, while some display symptoms that include leaf scorching, defoliation, chlorosis or bronzing along the leaf margin, and dwarfing. The bronzing may intensify before browning and drying. Symptoms are usually more pronounced in stressed plants (e.g. stressed by high temperature, or by drought) and they can vary according to </w:t>
      </w:r>
      <w:r w:rsidR="00A1340E" w:rsidRPr="000860F1">
        <w:t xml:space="preserve">the </w:t>
      </w:r>
      <w:r w:rsidRPr="000860F1">
        <w:t xml:space="preserve">plant species </w:t>
      </w:r>
      <w:r w:rsidR="00A1340E" w:rsidRPr="000860F1">
        <w:t>or</w:t>
      </w:r>
      <w:r w:rsidRPr="000860F1">
        <w:t xml:space="preserve"> cultivar and environmental conditions (Janse and Obradovic, 2010; CABI, 2016).</w:t>
      </w:r>
    </w:p>
    <w:p w14:paraId="5C68A2EC" w14:textId="75F3A0B3" w:rsidR="008E6998" w:rsidRPr="000860F1" w:rsidRDefault="000330D6" w:rsidP="0004310D">
      <w:pPr>
        <w:pStyle w:val="IPPParagraphnumbering"/>
      </w:pPr>
      <w:r w:rsidRPr="000860F1">
        <w:t xml:space="preserve">Symptoms can be confused with other biotic (e.g. several fungal diseases) or abiotic causes (environmental stresses, water deficiency, salt, air pollutants, nutritional problems, etc.). </w:t>
      </w:r>
      <w:r w:rsidR="0003262D" w:rsidRPr="000860F1">
        <w:t>Pictures of s</w:t>
      </w:r>
      <w:r w:rsidRPr="000860F1">
        <w:t xml:space="preserve">ymptoms on various hosts can be </w:t>
      </w:r>
      <w:r w:rsidR="0003262D" w:rsidRPr="000860F1">
        <w:t xml:space="preserve">found </w:t>
      </w:r>
      <w:r w:rsidRPr="000860F1">
        <w:t xml:space="preserve">at </w:t>
      </w:r>
      <w:hyperlink r:id="rId12" w:history="1">
        <w:r w:rsidRPr="000860F1">
          <w:rPr>
            <w:rStyle w:val="Hyperlink"/>
          </w:rPr>
          <w:t>https://gd.eppo.int/taxon/XYLEFA/photos</w:t>
        </w:r>
      </w:hyperlink>
      <w:r w:rsidRPr="000860F1">
        <w:rPr>
          <w:color w:val="316D9E"/>
        </w:rPr>
        <w:t xml:space="preserve"> </w:t>
      </w:r>
      <w:r w:rsidRPr="000860F1">
        <w:t xml:space="preserve">and </w:t>
      </w:r>
      <w:hyperlink r:id="rId13" w:history="1">
        <w:r w:rsidRPr="000860F1">
          <w:rPr>
            <w:rStyle w:val="Hyperlink"/>
          </w:rPr>
          <w:t>https://nature.berkeley.edu/xylella</w:t>
        </w:r>
      </w:hyperlink>
      <w:r w:rsidRPr="000860F1">
        <w:t xml:space="preserve">. Symptoms may vary depending on the host and </w:t>
      </w:r>
      <w:r w:rsidRPr="000860F1">
        <w:rPr>
          <w:i/>
        </w:rPr>
        <w:t>X. fastidiosa</w:t>
      </w:r>
      <w:r w:rsidRPr="000860F1">
        <w:t xml:space="preserve"> subspecies combination. </w:t>
      </w:r>
      <w:r w:rsidR="00DE779D" w:rsidRPr="000860F1">
        <w:t>The h</w:t>
      </w:r>
      <w:r w:rsidRPr="000860F1">
        <w:t xml:space="preserve">ost range can be markedly different between subspecies; however, there is some uncertainty with regards to the potential host range for each subspecies. Each subspecies can be found in multiple host plants. For example, </w:t>
      </w:r>
      <w:r w:rsidRPr="000860F1">
        <w:rPr>
          <w:i/>
        </w:rPr>
        <w:t>X.</w:t>
      </w:r>
      <w:r w:rsidR="00971626" w:rsidRPr="000860F1">
        <w:rPr>
          <w:i/>
        </w:rPr>
        <w:t> </w:t>
      </w:r>
      <w:r w:rsidRPr="000860F1">
        <w:rPr>
          <w:i/>
        </w:rPr>
        <w:t>fastidiosa</w:t>
      </w:r>
      <w:r w:rsidRPr="000860F1">
        <w:t xml:space="preserve"> subspecies </w:t>
      </w:r>
      <w:r w:rsidRPr="000860F1">
        <w:rPr>
          <w:i/>
        </w:rPr>
        <w:t>fastidiosa</w:t>
      </w:r>
      <w:r w:rsidRPr="000860F1">
        <w:t xml:space="preserve"> not only infects grapes </w:t>
      </w:r>
      <w:r w:rsidR="00732479" w:rsidRPr="000860F1">
        <w:t xml:space="preserve">but </w:t>
      </w:r>
      <w:r w:rsidRPr="000860F1">
        <w:t xml:space="preserve">it also causes alfalfa dwarf and overlaps with </w:t>
      </w:r>
      <w:r w:rsidRPr="000860F1">
        <w:rPr>
          <w:i/>
        </w:rPr>
        <w:t>X.</w:t>
      </w:r>
      <w:r w:rsidR="009B12D4" w:rsidRPr="000860F1">
        <w:rPr>
          <w:i/>
        </w:rPr>
        <w:t> </w:t>
      </w:r>
      <w:r w:rsidR="00732479" w:rsidRPr="000860F1">
        <w:rPr>
          <w:i/>
        </w:rPr>
        <w:t>fastidiosa</w:t>
      </w:r>
      <w:r w:rsidRPr="000860F1">
        <w:t xml:space="preserve"> subsp. </w:t>
      </w:r>
      <w:r w:rsidRPr="000860F1">
        <w:rPr>
          <w:i/>
        </w:rPr>
        <w:t>multiplex</w:t>
      </w:r>
      <w:r w:rsidRPr="000860F1">
        <w:t xml:space="preserve"> in causing almond leaf scorch (Yuan </w:t>
      </w:r>
      <w:r w:rsidRPr="000860F1">
        <w:rPr>
          <w:i/>
        </w:rPr>
        <w:t>et</w:t>
      </w:r>
      <w:r w:rsidR="00E35F2A" w:rsidRPr="000860F1">
        <w:rPr>
          <w:i/>
          <w:iCs/>
        </w:rPr>
        <w:t> </w:t>
      </w:r>
      <w:r w:rsidRPr="000860F1">
        <w:rPr>
          <w:i/>
        </w:rPr>
        <w:t>al.</w:t>
      </w:r>
      <w:r w:rsidR="009B4ED1" w:rsidRPr="000860F1">
        <w:t>,</w:t>
      </w:r>
      <w:r w:rsidRPr="000860F1">
        <w:t xml:space="preserve"> 2010). </w:t>
      </w:r>
      <w:r w:rsidR="00505AEC" w:rsidRPr="000860F1">
        <w:t xml:space="preserve">The following descriptions provide examples of the more characteristic symptoms observed on some key hosts, and </w:t>
      </w:r>
      <w:r w:rsidRPr="000860F1">
        <w:t>the</w:t>
      </w:r>
      <w:r w:rsidRPr="000860F1">
        <w:rPr>
          <w:szCs w:val="22"/>
        </w:rPr>
        <w:t xml:space="preserve"> </w:t>
      </w:r>
      <w:r w:rsidR="00505AEC" w:rsidRPr="000860F1">
        <w:rPr>
          <w:szCs w:val="22"/>
        </w:rPr>
        <w:t xml:space="preserve">associated </w:t>
      </w:r>
      <w:r w:rsidRPr="000860F1">
        <w:rPr>
          <w:szCs w:val="22"/>
        </w:rPr>
        <w:t xml:space="preserve">subspecies of </w:t>
      </w:r>
      <w:r w:rsidRPr="000860F1">
        <w:rPr>
          <w:i/>
          <w:szCs w:val="22"/>
        </w:rPr>
        <w:t>X.</w:t>
      </w:r>
      <w:r w:rsidR="009B12D4" w:rsidRPr="000860F1">
        <w:rPr>
          <w:i/>
          <w:szCs w:val="22"/>
        </w:rPr>
        <w:t> </w:t>
      </w:r>
      <w:r w:rsidRPr="000860F1">
        <w:rPr>
          <w:i/>
          <w:szCs w:val="22"/>
        </w:rPr>
        <w:t>fastidiosa</w:t>
      </w:r>
      <w:r w:rsidR="00505AEC" w:rsidRPr="000860F1">
        <w:rPr>
          <w:szCs w:val="22"/>
        </w:rPr>
        <w:t>,</w:t>
      </w:r>
      <w:r w:rsidRPr="000860F1">
        <w:rPr>
          <w:szCs w:val="22"/>
        </w:rPr>
        <w:t xml:space="preserve"> that are widely acknowledged in the current literature.</w:t>
      </w:r>
    </w:p>
    <w:p w14:paraId="353F15B2" w14:textId="1E68E944" w:rsidR="008E6998" w:rsidRPr="000860F1" w:rsidRDefault="000330D6">
      <w:pPr>
        <w:pStyle w:val="IPPHeading2"/>
      </w:pPr>
      <w:bookmarkStart w:id="8" w:name="_Toc111710112"/>
      <w:r w:rsidRPr="000860F1">
        <w:t>3.1.1</w:t>
      </w:r>
      <w:r w:rsidRPr="000860F1">
        <w:tab/>
        <w:t>Pierce’s disease of grapevines</w:t>
      </w:r>
      <w:bookmarkEnd w:id="8"/>
    </w:p>
    <w:p w14:paraId="50301EF6" w14:textId="76A26A2B" w:rsidR="008E6998" w:rsidRPr="000860F1" w:rsidRDefault="000330D6" w:rsidP="0004310D">
      <w:pPr>
        <w:pStyle w:val="IPPParagraphnumbering"/>
      </w:pPr>
      <w:r w:rsidRPr="000860F1">
        <w:t xml:space="preserve">Symptoms of Pierce’s disease vary depending on the </w:t>
      </w:r>
      <w:r w:rsidRPr="000860F1">
        <w:rPr>
          <w:i/>
        </w:rPr>
        <w:t>Vitis</w:t>
      </w:r>
      <w:r w:rsidRPr="000860F1">
        <w:t xml:space="preserve"> species, cultivar and local climatic conditions. </w:t>
      </w:r>
      <w:r w:rsidRPr="000860F1">
        <w:rPr>
          <w:i/>
        </w:rPr>
        <w:t>X.</w:t>
      </w:r>
      <w:r w:rsidR="009B12D4" w:rsidRPr="000860F1">
        <w:rPr>
          <w:i/>
        </w:rPr>
        <w:t> </w:t>
      </w:r>
      <w:r w:rsidRPr="000860F1">
        <w:rPr>
          <w:i/>
        </w:rPr>
        <w:t>fastidiosa</w:t>
      </w:r>
      <w:r w:rsidRPr="000860F1">
        <w:t xml:space="preserve"> subsp. </w:t>
      </w:r>
      <w:r w:rsidRPr="000860F1">
        <w:rPr>
          <w:i/>
        </w:rPr>
        <w:t xml:space="preserve">fastidiosa </w:t>
      </w:r>
      <w:r w:rsidRPr="000860F1">
        <w:t xml:space="preserve">has been the only subspecies reported to cause disease in grapevines (Nunney </w:t>
      </w:r>
      <w:r w:rsidRPr="000860F1">
        <w:rPr>
          <w:i/>
        </w:rPr>
        <w:t>et</w:t>
      </w:r>
      <w:r w:rsidR="00E35F2A" w:rsidRPr="000860F1">
        <w:rPr>
          <w:i/>
          <w:iCs/>
        </w:rPr>
        <w:t> </w:t>
      </w:r>
      <w:r w:rsidRPr="000860F1">
        <w:rPr>
          <w:i/>
        </w:rPr>
        <w:t>al.</w:t>
      </w:r>
      <w:r w:rsidR="00FE3B96" w:rsidRPr="000860F1">
        <w:t>,</w:t>
      </w:r>
      <w:r w:rsidRPr="000860F1">
        <w:t xml:space="preserve"> 2010). Muscadinia and native American cultivars display milder symptoms than those of </w:t>
      </w:r>
      <w:r w:rsidRPr="000860F1">
        <w:rPr>
          <w:i/>
        </w:rPr>
        <w:t>V</w:t>
      </w:r>
      <w:r w:rsidR="001E6D83">
        <w:rPr>
          <w:i/>
        </w:rPr>
        <w:t>. </w:t>
      </w:r>
      <w:r w:rsidRPr="000860F1">
        <w:rPr>
          <w:i/>
        </w:rPr>
        <w:t>vinifera</w:t>
      </w:r>
      <w:r w:rsidRPr="000860F1">
        <w:t xml:space="preserve">. On </w:t>
      </w:r>
      <w:r w:rsidRPr="000860F1">
        <w:rPr>
          <w:i/>
        </w:rPr>
        <w:t>V. vinifera</w:t>
      </w:r>
      <w:r w:rsidRPr="000860F1">
        <w:t>, the initial symptoms are chlorotic spots on areas of the leaf lamina, in particular along the margins, with a sudden drying of leaf edges often surrounded by a yellowish or a reddish halo (Hopkins and Purcell, 2002). In late summer and autumn, the necrotic leaf edges coalesce to form concentric rings that extend from the outer edge towards the centre. Subsequently, the leaf turns dry on the edges, but the leaf remains turgid and the whole lamina may shrivel and drop; the petiole remains attached to the branch (as so-called “match sticks”). The latter is a characteristic symptom of Pierce’s disease late in the season. Fruit clusters shrivel or turn into raisins; branches and twigs usually start wilting from the tip; and infected stems mature irregularly showing patches of green tissue called “green islands”. Buds on infected plants sprout later than those on healthy plants, and the new shoots grow slowly and are stunted. Severely affected plants may die within one or two years, although in several species and cultivars they may continue to live considerably longer. Symptoms are rarely seen in one-year-old plants. Symptoms on the twigs can be confused with those of fungal diseases such as</w:t>
      </w:r>
      <w:r w:rsidRPr="000860F1">
        <w:rPr>
          <w:i/>
          <w:iCs/>
        </w:rPr>
        <w:t xml:space="preserve"> </w:t>
      </w:r>
      <w:r w:rsidR="00CA642F" w:rsidRPr="000860F1">
        <w:rPr>
          <w:iCs/>
        </w:rPr>
        <w:t>r</w:t>
      </w:r>
      <w:r w:rsidRPr="000860F1">
        <w:rPr>
          <w:iCs/>
        </w:rPr>
        <w:t xml:space="preserve">otbrenner and </w:t>
      </w:r>
      <w:r w:rsidR="00CA642F" w:rsidRPr="000860F1">
        <w:rPr>
          <w:iCs/>
        </w:rPr>
        <w:t>e</w:t>
      </w:r>
      <w:r w:rsidRPr="000860F1">
        <w:rPr>
          <w:iCs/>
        </w:rPr>
        <w:t>sca (EPPO, 201</w:t>
      </w:r>
      <w:r w:rsidR="00EE16FD" w:rsidRPr="000860F1">
        <w:rPr>
          <w:iCs/>
        </w:rPr>
        <w:t>8</w:t>
      </w:r>
      <w:r w:rsidR="004509DB">
        <w:rPr>
          <w:iCs/>
        </w:rPr>
        <w:t>b</w:t>
      </w:r>
      <w:r w:rsidRPr="000860F1">
        <w:rPr>
          <w:iCs/>
        </w:rPr>
        <w:t>).</w:t>
      </w:r>
    </w:p>
    <w:p w14:paraId="6120A047" w14:textId="4FCFDEB1" w:rsidR="008E6998" w:rsidRPr="000860F1" w:rsidRDefault="000330D6">
      <w:pPr>
        <w:pStyle w:val="IPPHeading2"/>
      </w:pPr>
      <w:bookmarkStart w:id="9" w:name="_Toc111710113"/>
      <w:r w:rsidRPr="000860F1">
        <w:t>3.1.2</w:t>
      </w:r>
      <w:r w:rsidRPr="000860F1">
        <w:tab/>
        <w:t>Citrus variegated chlorosis</w:t>
      </w:r>
      <w:bookmarkEnd w:id="9"/>
    </w:p>
    <w:p w14:paraId="3BB1A6A0" w14:textId="160006DB" w:rsidR="008E6998" w:rsidRPr="000860F1" w:rsidRDefault="000330D6" w:rsidP="0004310D">
      <w:pPr>
        <w:pStyle w:val="IPPParagraphnumbering"/>
      </w:pPr>
      <w:r w:rsidRPr="000860F1">
        <w:t xml:space="preserve">The first symptoms of citrus variegated chlorosis (CVC) to appear on leaves are mottled variegations, with small chlorotic spots on the upper surface that correspond to small gummy brown spots on the underside of the leaf. Isolates within the </w:t>
      </w:r>
      <w:r w:rsidRPr="000860F1">
        <w:rPr>
          <w:i/>
        </w:rPr>
        <w:t>X.</w:t>
      </w:r>
      <w:r w:rsidR="009B12D4" w:rsidRPr="000860F1">
        <w:rPr>
          <w:i/>
        </w:rPr>
        <w:t> </w:t>
      </w:r>
      <w:r w:rsidRPr="000860F1">
        <w:rPr>
          <w:i/>
        </w:rPr>
        <w:t>fastidiosa</w:t>
      </w:r>
      <w:r w:rsidRPr="000860F1">
        <w:t xml:space="preserve"> subsp. </w:t>
      </w:r>
      <w:r w:rsidRPr="000860F1">
        <w:rPr>
          <w:i/>
        </w:rPr>
        <w:t>pauca</w:t>
      </w:r>
      <w:r w:rsidRPr="000860F1">
        <w:t xml:space="preserve"> complex have been reported to cause </w:t>
      </w:r>
      <w:r w:rsidR="006F6EE2" w:rsidRPr="000860F1">
        <w:t>CVC</w:t>
      </w:r>
      <w:r w:rsidRPr="000860F1">
        <w:t xml:space="preserve"> (Schaad </w:t>
      </w:r>
      <w:r w:rsidRPr="000860F1">
        <w:rPr>
          <w:i/>
        </w:rPr>
        <w:t>et</w:t>
      </w:r>
      <w:r w:rsidR="00E35F2A" w:rsidRPr="000860F1">
        <w:rPr>
          <w:i/>
          <w:iCs/>
        </w:rPr>
        <w:t> </w:t>
      </w:r>
      <w:r w:rsidRPr="000860F1">
        <w:rPr>
          <w:i/>
        </w:rPr>
        <w:t>al.</w:t>
      </w:r>
      <w:r w:rsidR="00FE3B96" w:rsidRPr="000860F1">
        <w:t>,</w:t>
      </w:r>
      <w:r w:rsidRPr="000860F1">
        <w:t xml:space="preserve"> 2004; Almeida </w:t>
      </w:r>
      <w:r w:rsidRPr="000860F1">
        <w:rPr>
          <w:i/>
        </w:rPr>
        <w:t>et</w:t>
      </w:r>
      <w:r w:rsidR="00E35F2A" w:rsidRPr="000860F1">
        <w:rPr>
          <w:i/>
          <w:iCs/>
        </w:rPr>
        <w:t> </w:t>
      </w:r>
      <w:r w:rsidRPr="000860F1">
        <w:rPr>
          <w:i/>
        </w:rPr>
        <w:t>al.</w:t>
      </w:r>
      <w:r w:rsidR="00FE3B96" w:rsidRPr="000860F1">
        <w:t>,</w:t>
      </w:r>
      <w:r w:rsidRPr="000860F1">
        <w:t xml:space="preserve"> 2008). Symptoms are most obvious on three- to six-year-old trees and mainly on </w:t>
      </w:r>
      <w:r w:rsidRPr="000860F1">
        <w:rPr>
          <w:i/>
        </w:rPr>
        <w:t>C</w:t>
      </w:r>
      <w:r w:rsidR="004D334D">
        <w:rPr>
          <w:i/>
        </w:rPr>
        <w:t>. </w:t>
      </w:r>
      <w:r w:rsidRPr="000860F1">
        <w:rPr>
          <w:i/>
        </w:rPr>
        <w:t>sinensis</w:t>
      </w:r>
      <w:r w:rsidRPr="000860F1">
        <w:t xml:space="preserve"> cultivars. Affected trees show foliar interveinal chlorosis resembling zinc deficiency, but the symptoms are not symmetrical on opposite sides of the leaf. Symptoms of CVC can also be distinguished from zinc chlorosis by the presence of the gummy, brown necrotic regions on the underside of the leaf, which coincide with the chlorosis on the upper leaf surface (CABI, 2016). Sectoring of symptoms in the canopy occurs on newly affected trees. However, the CVC syndrome generally develops throughout the entire canopy on older infected trees. Affected trees are stunted and the canopy has a thin appearance because of defoliation and dieback of twigs and branches. Flowering is abnormal; fruits ripen earlier and do not fill, being much smaller than normal and very firm. The growth rate of affected trees is greatly reduced and twigs and branches may wilt. The plants do not usually die, but the yield and quality of the fruit are severely reduced (Donadio and Moreira, 1998).</w:t>
      </w:r>
    </w:p>
    <w:p w14:paraId="29521202" w14:textId="1A13AAA5" w:rsidR="008E6998" w:rsidRPr="000860F1" w:rsidRDefault="000330D6">
      <w:pPr>
        <w:pStyle w:val="IPPHeading2"/>
      </w:pPr>
      <w:bookmarkStart w:id="10" w:name="_Toc111710114"/>
      <w:r w:rsidRPr="000860F1">
        <w:t>3.1.3</w:t>
      </w:r>
      <w:r w:rsidRPr="000860F1">
        <w:tab/>
        <w:t>Coffee leaf scorch</w:t>
      </w:r>
      <w:bookmarkEnd w:id="10"/>
    </w:p>
    <w:p w14:paraId="4C898DF3" w14:textId="3AA6CAF0" w:rsidR="008E6998" w:rsidRPr="00182950" w:rsidRDefault="000330D6" w:rsidP="0004310D">
      <w:pPr>
        <w:pStyle w:val="IPPParagraphnumbering"/>
        <w:rPr>
          <w:color w:val="231F20"/>
          <w:lang w:val="fr-FR"/>
        </w:rPr>
      </w:pPr>
      <w:r w:rsidRPr="000860F1">
        <w:t>Symptoms of coffee leaf scorch appear on young flushes of field plants as large marginal and apical scorched zones on recently matured leaves (</w:t>
      </w:r>
      <w:r w:rsidR="00EE16FD" w:rsidRPr="000860F1">
        <w:t>EPPO, 2018</w:t>
      </w:r>
      <w:r w:rsidR="004509DB">
        <w:t>b</w:t>
      </w:r>
      <w:r w:rsidRPr="000860F1">
        <w:t xml:space="preserve">). Affected leaves drop prematurely, shoot growth is stunted, and apical leaves are small and chlorotic. Symptoms may progress to shoot dieback and overall plant stunting. Fruit size and yield are generally reduced (De Lima </w:t>
      </w:r>
      <w:r w:rsidRPr="000860F1">
        <w:rPr>
          <w:i/>
        </w:rPr>
        <w:t>et al.</w:t>
      </w:r>
      <w:r w:rsidRPr="000860F1">
        <w:t xml:space="preserve">, 1998). Side branches have no leaves and fruit except for a tuft of leaves at the branch tip. </w:t>
      </w:r>
      <w:r w:rsidRPr="000860F1">
        <w:rPr>
          <w:color w:val="231F20"/>
        </w:rPr>
        <w:t xml:space="preserve">Infection of coffee plants by </w:t>
      </w:r>
      <w:r w:rsidRPr="000860F1">
        <w:rPr>
          <w:i/>
          <w:iCs/>
          <w:color w:val="231F20"/>
        </w:rPr>
        <w:t xml:space="preserve">X. fastidiosa </w:t>
      </w:r>
      <w:r w:rsidRPr="000860F1">
        <w:rPr>
          <w:iCs/>
          <w:color w:val="231F20"/>
        </w:rPr>
        <w:t>c</w:t>
      </w:r>
      <w:r w:rsidRPr="000860F1">
        <w:rPr>
          <w:color w:val="231F20"/>
        </w:rPr>
        <w:t xml:space="preserve">an also lead to the “crespera” disease, which has been reported from Costa Rica (Montero-Astúa </w:t>
      </w:r>
      <w:r w:rsidRPr="000860F1">
        <w:rPr>
          <w:i/>
          <w:iCs/>
          <w:color w:val="231F20"/>
        </w:rPr>
        <w:t>et</w:t>
      </w:r>
      <w:r w:rsidRPr="000860F1">
        <w:rPr>
          <w:i/>
        </w:rPr>
        <w:t> </w:t>
      </w:r>
      <w:r w:rsidRPr="000860F1">
        <w:rPr>
          <w:i/>
          <w:iCs/>
          <w:color w:val="231F20"/>
        </w:rPr>
        <w:t>al.</w:t>
      </w:r>
      <w:r w:rsidRPr="000860F1">
        <w:rPr>
          <w:iCs/>
          <w:color w:val="231F20"/>
        </w:rPr>
        <w:t xml:space="preserve">, </w:t>
      </w:r>
      <w:r w:rsidRPr="000860F1">
        <w:rPr>
          <w:color w:val="231F20"/>
        </w:rPr>
        <w:t xml:space="preserve">2008). Symptoms range from </w:t>
      </w:r>
      <w:r w:rsidRPr="000860F1">
        <w:rPr>
          <w:color w:val="000000"/>
        </w:rPr>
        <w:t xml:space="preserve">mild to severe curling of leaf margins, chlorosis and deformation of leaves, asymmetry (Bergsma-Vlami </w:t>
      </w:r>
      <w:r w:rsidRPr="000860F1">
        <w:rPr>
          <w:i/>
          <w:color w:val="000000"/>
        </w:rPr>
        <w:t>et</w:t>
      </w:r>
      <w:r w:rsidRPr="000860F1">
        <w:rPr>
          <w:i/>
        </w:rPr>
        <w:t> </w:t>
      </w:r>
      <w:r w:rsidRPr="000860F1">
        <w:rPr>
          <w:i/>
          <w:color w:val="000000"/>
        </w:rPr>
        <w:t>al</w:t>
      </w:r>
      <w:r w:rsidRPr="000860F1">
        <w:rPr>
          <w:color w:val="000000"/>
        </w:rPr>
        <w:t xml:space="preserve">., 2015), stunting of plants, shortening of internodes and dieback of branches </w:t>
      </w:r>
      <w:r w:rsidRPr="000860F1">
        <w:rPr>
          <w:color w:val="231F20"/>
        </w:rPr>
        <w:t xml:space="preserve">(Montero-Astúa </w:t>
      </w:r>
      <w:r w:rsidRPr="000860F1">
        <w:rPr>
          <w:i/>
          <w:iCs/>
          <w:color w:val="231F20"/>
        </w:rPr>
        <w:t>et</w:t>
      </w:r>
      <w:r w:rsidRPr="000860F1">
        <w:rPr>
          <w:i/>
        </w:rPr>
        <w:t> </w:t>
      </w:r>
      <w:r w:rsidRPr="000860F1">
        <w:rPr>
          <w:i/>
          <w:iCs/>
          <w:color w:val="231F20"/>
        </w:rPr>
        <w:t>al.</w:t>
      </w:r>
      <w:r w:rsidRPr="000860F1">
        <w:rPr>
          <w:iCs/>
          <w:color w:val="231F20"/>
        </w:rPr>
        <w:t xml:space="preserve">, </w:t>
      </w:r>
      <w:r w:rsidRPr="000860F1">
        <w:rPr>
          <w:color w:val="231F20"/>
        </w:rPr>
        <w:t xml:space="preserve">2008). </w:t>
      </w:r>
      <w:r w:rsidRPr="00182950">
        <w:rPr>
          <w:i/>
          <w:color w:val="231F20"/>
          <w:lang w:val="fr-FR"/>
        </w:rPr>
        <w:t>Coffea</w:t>
      </w:r>
      <w:r w:rsidRPr="00182950">
        <w:rPr>
          <w:color w:val="231F20"/>
          <w:lang w:val="fr-FR"/>
        </w:rPr>
        <w:t xml:space="preserve"> plants may remain asymptomatic (De Lima </w:t>
      </w:r>
      <w:r w:rsidRPr="00182950">
        <w:rPr>
          <w:i/>
          <w:color w:val="231F20"/>
          <w:lang w:val="fr-FR"/>
        </w:rPr>
        <w:t>et</w:t>
      </w:r>
      <w:r w:rsidRPr="00182950">
        <w:rPr>
          <w:i/>
          <w:lang w:val="fr-FR"/>
        </w:rPr>
        <w:t> </w:t>
      </w:r>
      <w:r w:rsidRPr="00182950">
        <w:rPr>
          <w:i/>
          <w:color w:val="231F20"/>
          <w:lang w:val="fr-FR"/>
        </w:rPr>
        <w:t>al.</w:t>
      </w:r>
      <w:r w:rsidRPr="00182950">
        <w:rPr>
          <w:color w:val="231F20"/>
          <w:lang w:val="fr-FR"/>
        </w:rPr>
        <w:t xml:space="preserve">, 1998; Montero-Astúa </w:t>
      </w:r>
      <w:r w:rsidRPr="00182950">
        <w:rPr>
          <w:i/>
          <w:iCs/>
          <w:color w:val="231F20"/>
          <w:lang w:val="fr-FR"/>
        </w:rPr>
        <w:t>et</w:t>
      </w:r>
      <w:r w:rsidRPr="00182950">
        <w:rPr>
          <w:i/>
          <w:lang w:val="fr-FR"/>
        </w:rPr>
        <w:t> </w:t>
      </w:r>
      <w:r w:rsidRPr="00182950">
        <w:rPr>
          <w:i/>
          <w:iCs/>
          <w:color w:val="231F20"/>
          <w:lang w:val="fr-FR"/>
        </w:rPr>
        <w:t>al.</w:t>
      </w:r>
      <w:r w:rsidRPr="00182950">
        <w:rPr>
          <w:iCs/>
          <w:color w:val="231F20"/>
          <w:lang w:val="fr-FR"/>
        </w:rPr>
        <w:t xml:space="preserve">, </w:t>
      </w:r>
      <w:r w:rsidRPr="00182950">
        <w:rPr>
          <w:color w:val="231F20"/>
          <w:lang w:val="fr-FR"/>
        </w:rPr>
        <w:t>2008).</w:t>
      </w:r>
    </w:p>
    <w:p w14:paraId="54177818" w14:textId="6860AEA2" w:rsidR="008E6998" w:rsidRPr="000860F1" w:rsidRDefault="000330D6">
      <w:pPr>
        <w:pStyle w:val="IPPHeading2"/>
      </w:pPr>
      <w:bookmarkStart w:id="11" w:name="_Toc111710115"/>
      <w:r w:rsidRPr="000860F1">
        <w:t>3.1.4</w:t>
      </w:r>
      <w:r w:rsidRPr="000860F1">
        <w:tab/>
        <w:t>Olive leaf scorching and quick decline</w:t>
      </w:r>
      <w:bookmarkEnd w:id="11"/>
    </w:p>
    <w:p w14:paraId="2367223D" w14:textId="6A4805C4" w:rsidR="008E6998" w:rsidRPr="000860F1" w:rsidRDefault="000330D6" w:rsidP="0004310D">
      <w:pPr>
        <w:pStyle w:val="IPPParagraphnumbering"/>
      </w:pPr>
      <w:r w:rsidRPr="00ED5772">
        <w:t>In three different distant regions around the world (the southern region of Italy, Argentin</w:t>
      </w:r>
      <w:r w:rsidR="00FC0201" w:rsidRPr="00ED5772">
        <w:t>a</w:t>
      </w:r>
      <w:r w:rsidRPr="00ED5772">
        <w:t xml:space="preserve"> and Brazil), leaf scorching symptoms on </w:t>
      </w:r>
      <w:r w:rsidRPr="007B0248">
        <w:rPr>
          <w:i/>
        </w:rPr>
        <w:t>O</w:t>
      </w:r>
      <w:r w:rsidR="004D334D" w:rsidRPr="007B0248">
        <w:rPr>
          <w:i/>
        </w:rPr>
        <w:t>. </w:t>
      </w:r>
      <w:r w:rsidRPr="007B0248">
        <w:rPr>
          <w:i/>
        </w:rPr>
        <w:t>europaea</w:t>
      </w:r>
      <w:r w:rsidRPr="007B0248">
        <w:t xml:space="preserve"> trees have been associated with</w:t>
      </w:r>
      <w:r w:rsidRPr="007B0248">
        <w:rPr>
          <w:i/>
          <w:iCs/>
        </w:rPr>
        <w:t xml:space="preserve"> X. fastidiosa </w:t>
      </w:r>
      <w:r w:rsidRPr="00703471">
        <w:t xml:space="preserve">(Saponari </w:t>
      </w:r>
      <w:r w:rsidRPr="00703471">
        <w:rPr>
          <w:i/>
          <w:iCs/>
        </w:rPr>
        <w:t>et</w:t>
      </w:r>
      <w:r w:rsidRPr="00CB1BA7">
        <w:rPr>
          <w:i/>
        </w:rPr>
        <w:t> </w:t>
      </w:r>
      <w:r w:rsidRPr="00CB1BA7">
        <w:rPr>
          <w:i/>
          <w:iCs/>
        </w:rPr>
        <w:t>al.</w:t>
      </w:r>
      <w:r w:rsidRPr="00CB1BA7">
        <w:rPr>
          <w:iCs/>
        </w:rPr>
        <w:t>,</w:t>
      </w:r>
      <w:r w:rsidRPr="00CB1BA7">
        <w:t xml:space="preserve"> 2013; Haelterman </w:t>
      </w:r>
      <w:r w:rsidRPr="00CB1BA7">
        <w:rPr>
          <w:i/>
          <w:iCs/>
        </w:rPr>
        <w:t>et</w:t>
      </w:r>
      <w:r w:rsidRPr="00CB1BA7">
        <w:rPr>
          <w:i/>
        </w:rPr>
        <w:t> </w:t>
      </w:r>
      <w:r w:rsidRPr="00CB1BA7">
        <w:rPr>
          <w:i/>
          <w:iCs/>
        </w:rPr>
        <w:t>al.</w:t>
      </w:r>
      <w:r w:rsidRPr="00CB1BA7">
        <w:rPr>
          <w:iCs/>
        </w:rPr>
        <w:t>,</w:t>
      </w:r>
      <w:r w:rsidRPr="00CB1BA7">
        <w:t xml:space="preserve"> 2015; Coletta-Filho </w:t>
      </w:r>
      <w:r w:rsidRPr="00CB1BA7">
        <w:rPr>
          <w:i/>
          <w:iCs/>
        </w:rPr>
        <w:t>et</w:t>
      </w:r>
      <w:r w:rsidRPr="006D77C7">
        <w:rPr>
          <w:i/>
        </w:rPr>
        <w:t> </w:t>
      </w:r>
      <w:r w:rsidRPr="006D77C7">
        <w:rPr>
          <w:i/>
          <w:iCs/>
        </w:rPr>
        <w:t>al.</w:t>
      </w:r>
      <w:r w:rsidRPr="006D77C7">
        <w:rPr>
          <w:iCs/>
        </w:rPr>
        <w:t xml:space="preserve">, </w:t>
      </w:r>
      <w:r w:rsidRPr="006D77C7">
        <w:t>2016</w:t>
      </w:r>
      <w:r w:rsidR="00ED5772" w:rsidRPr="006D77C7">
        <w:t xml:space="preserve">; </w:t>
      </w:r>
      <w:r w:rsidR="00ED5772" w:rsidRPr="00ED5772">
        <w:rPr>
          <w:rFonts w:eastAsia="Times New Roman"/>
          <w:lang w:val="nl-NL" w:eastAsia="nl-NL"/>
        </w:rPr>
        <w:t xml:space="preserve">Safady et al., 2019; Loconsole </w:t>
      </w:r>
      <w:r w:rsidR="00ED5772" w:rsidRPr="00ED5772">
        <w:rPr>
          <w:rFonts w:eastAsia="Times New Roman"/>
          <w:i/>
          <w:iCs/>
          <w:lang w:val="nl-NL" w:eastAsia="nl-NL"/>
        </w:rPr>
        <w:t>et al.</w:t>
      </w:r>
      <w:r w:rsidR="00ED5772" w:rsidRPr="00ED5772">
        <w:rPr>
          <w:rFonts w:eastAsia="Times New Roman"/>
          <w:lang w:val="nl-NL" w:eastAsia="nl-NL"/>
        </w:rPr>
        <w:t>, 2014</w:t>
      </w:r>
      <w:r w:rsidRPr="00ED5772">
        <w:t xml:space="preserve">). </w:t>
      </w:r>
      <w:r w:rsidR="008970AD" w:rsidRPr="00ED5772">
        <w:rPr>
          <w:rFonts w:eastAsia="Times New Roman"/>
          <w:lang w:val="nl-NL" w:eastAsia="nl-NL"/>
        </w:rPr>
        <w:t>The strains associated with this disease in Italy</w:t>
      </w:r>
      <w:r w:rsidR="00243F33" w:rsidRPr="00ED5772">
        <w:rPr>
          <w:rFonts w:eastAsia="Times New Roman"/>
          <w:lang w:val="nl-NL" w:eastAsia="nl-NL"/>
        </w:rPr>
        <w:t xml:space="preserve"> (ST53)</w:t>
      </w:r>
      <w:r w:rsidR="008970AD" w:rsidRPr="00ED5772">
        <w:rPr>
          <w:rFonts w:eastAsia="Times New Roman"/>
          <w:lang w:val="nl-NL" w:eastAsia="nl-NL"/>
        </w:rPr>
        <w:t>, Brazil</w:t>
      </w:r>
      <w:r w:rsidR="00243F33" w:rsidRPr="00ED5772">
        <w:rPr>
          <w:rFonts w:eastAsia="Times New Roman"/>
          <w:lang w:val="nl-NL" w:eastAsia="nl-NL"/>
        </w:rPr>
        <w:t xml:space="preserve"> (ST16)</w:t>
      </w:r>
      <w:r w:rsidR="008970AD" w:rsidRPr="00ED5772">
        <w:rPr>
          <w:rFonts w:eastAsia="Times New Roman"/>
          <w:lang w:val="nl-NL" w:eastAsia="nl-NL"/>
        </w:rPr>
        <w:t xml:space="preserve"> and Argentin</w:t>
      </w:r>
      <w:r w:rsidR="00243F33" w:rsidRPr="00ED5772">
        <w:rPr>
          <w:rFonts w:eastAsia="Times New Roman"/>
          <w:lang w:val="nl-NL" w:eastAsia="nl-NL"/>
        </w:rPr>
        <w:t>a (ST69)</w:t>
      </w:r>
      <w:r w:rsidR="008970AD" w:rsidRPr="00ED5772">
        <w:rPr>
          <w:rFonts w:eastAsia="Times New Roman"/>
          <w:lang w:val="nl-NL" w:eastAsia="nl-NL"/>
        </w:rPr>
        <w:t xml:space="preserve"> were consistently belong</w:t>
      </w:r>
      <w:r w:rsidR="00DC7AD6" w:rsidRPr="00ED5772">
        <w:rPr>
          <w:rFonts w:eastAsia="Times New Roman"/>
          <w:lang w:val="nl-NL" w:eastAsia="nl-NL"/>
        </w:rPr>
        <w:t>ed</w:t>
      </w:r>
      <w:r w:rsidR="008970AD" w:rsidRPr="00ED5772">
        <w:rPr>
          <w:rFonts w:eastAsia="Times New Roman"/>
          <w:lang w:val="nl-NL" w:eastAsia="nl-NL"/>
        </w:rPr>
        <w:t xml:space="preserve"> to </w:t>
      </w:r>
      <w:r w:rsidR="008970AD" w:rsidRPr="00ED5772">
        <w:rPr>
          <w:rFonts w:eastAsia="Times New Roman"/>
          <w:i/>
          <w:iCs/>
          <w:lang w:val="nl-NL" w:eastAsia="nl-NL"/>
        </w:rPr>
        <w:t>X. fastidiosa</w:t>
      </w:r>
      <w:r w:rsidR="008970AD" w:rsidRPr="00ED5772">
        <w:rPr>
          <w:rFonts w:eastAsia="Times New Roman"/>
          <w:lang w:val="nl-NL" w:eastAsia="nl-NL"/>
        </w:rPr>
        <w:t xml:space="preserve"> subsp. </w:t>
      </w:r>
      <w:r w:rsidR="00243F33" w:rsidRPr="00ED5772">
        <w:rPr>
          <w:rFonts w:eastAsia="Times New Roman"/>
          <w:i/>
          <w:iCs/>
          <w:lang w:val="nl-NL" w:eastAsia="nl-NL"/>
        </w:rPr>
        <w:t>p</w:t>
      </w:r>
      <w:r w:rsidR="008970AD" w:rsidRPr="00ED5772">
        <w:rPr>
          <w:rFonts w:eastAsia="Times New Roman"/>
          <w:i/>
          <w:iCs/>
          <w:lang w:val="nl-NL" w:eastAsia="nl-NL"/>
        </w:rPr>
        <w:t>auca</w:t>
      </w:r>
      <w:r w:rsidR="00243F33" w:rsidRPr="00ED5772">
        <w:rPr>
          <w:rFonts w:eastAsia="Times New Roman"/>
          <w:i/>
          <w:iCs/>
          <w:lang w:val="nl-NL" w:eastAsia="nl-NL"/>
        </w:rPr>
        <w:t>.</w:t>
      </w:r>
      <w:r w:rsidR="008970AD" w:rsidRPr="00ED5772">
        <w:rPr>
          <w:rFonts w:eastAsia="Times New Roman"/>
          <w:i/>
          <w:iCs/>
          <w:lang w:val="nl-NL" w:eastAsia="nl-NL"/>
        </w:rPr>
        <w:t xml:space="preserve"> </w:t>
      </w:r>
      <w:r w:rsidRPr="00ED5772">
        <w:t xml:space="preserve">The strains associated with </w:t>
      </w:r>
      <w:r w:rsidR="005B3F4F" w:rsidRPr="00ED5772">
        <w:t xml:space="preserve">the </w:t>
      </w:r>
      <w:r w:rsidRPr="00ED5772">
        <w:t xml:space="preserve">disease in Italy </w:t>
      </w:r>
      <w:r w:rsidR="005B3F4F" w:rsidRPr="00ED5772">
        <w:t>formed a separate clade associated with subsp. pauca (</w:t>
      </w:r>
      <w:r w:rsidR="00ED5772" w:rsidRPr="00ED5772">
        <w:rPr>
          <w:color w:val="222222"/>
          <w:shd w:val="clear" w:color="auto" w:fill="FFFFFF"/>
        </w:rPr>
        <w:t>Giampetruzzi</w:t>
      </w:r>
      <w:r w:rsidRPr="00ED5772">
        <w:t xml:space="preserve"> </w:t>
      </w:r>
      <w:r w:rsidRPr="00ED5772">
        <w:rPr>
          <w:i/>
        </w:rPr>
        <w:t>et</w:t>
      </w:r>
      <w:r w:rsidR="00E35F2A" w:rsidRPr="00ED5772">
        <w:rPr>
          <w:i/>
          <w:iCs/>
        </w:rPr>
        <w:t> </w:t>
      </w:r>
      <w:r w:rsidRPr="00ED5772">
        <w:rPr>
          <w:i/>
        </w:rPr>
        <w:t>al.</w:t>
      </w:r>
      <w:r w:rsidR="00E91E08" w:rsidRPr="00ED5772">
        <w:t>,</w:t>
      </w:r>
      <w:r w:rsidRPr="00ED5772">
        <w:t xml:space="preserve"> </w:t>
      </w:r>
      <w:r w:rsidR="00ED5772" w:rsidRPr="00ED5772">
        <w:t>2017</w:t>
      </w:r>
      <w:r w:rsidRPr="00ED5772">
        <w:t>). The olive quick decline syndrome is characterized by leaf scorching and rando</w:t>
      </w:r>
      <w:r w:rsidR="00D415AF" w:rsidRPr="00ED5772">
        <w:t>m</w:t>
      </w:r>
      <w:r w:rsidR="00E70E19" w:rsidRPr="00ED5772">
        <w:t>l</w:t>
      </w:r>
      <w:r w:rsidRPr="00ED5772">
        <w:t>y</w:t>
      </w:r>
      <w:r w:rsidRPr="000860F1">
        <w:t xml:space="preserve"> distributed desiccation of twigs and small branches, which, in the early stages of the infection, are mainly observed in the upper part of the canopy. Leaf tips and margins turn dark yellow to brown, eventually leading to desiccation. Over time, symptoms become increasingly severe and extend to the rest of the crown, which acquires a blighted appearance. Desiccated leaves and mummified drupes remain attached to the shoots. Trunks, branches and twigs viewed in cross-section show irregular discoloration of the vascular elements, sapwood and vascular cambium (Nigro </w:t>
      </w:r>
      <w:r w:rsidRPr="000860F1">
        <w:rPr>
          <w:i/>
          <w:iCs/>
        </w:rPr>
        <w:t>et</w:t>
      </w:r>
      <w:r w:rsidRPr="000860F1">
        <w:rPr>
          <w:i/>
        </w:rPr>
        <w:t> </w:t>
      </w:r>
      <w:r w:rsidRPr="000860F1">
        <w:rPr>
          <w:i/>
          <w:iCs/>
        </w:rPr>
        <w:t>al.</w:t>
      </w:r>
      <w:r w:rsidRPr="000860F1">
        <w:rPr>
          <w:iCs/>
        </w:rPr>
        <w:t xml:space="preserve">, </w:t>
      </w:r>
      <w:r w:rsidRPr="000860F1">
        <w:t xml:space="preserve">2013). Rapid dieback of shoots, twigs and branches may be followed by death of the entire tree. </w:t>
      </w:r>
      <w:r w:rsidRPr="000860F1">
        <w:rPr>
          <w:i/>
          <w:iCs/>
        </w:rPr>
        <w:t xml:space="preserve">X. fastidiosa </w:t>
      </w:r>
      <w:r w:rsidRPr="000860F1">
        <w:t>has also been detected in young olive trees with leaf scorching and quick decline (</w:t>
      </w:r>
      <w:r w:rsidR="00EE16FD" w:rsidRPr="000860F1">
        <w:t>EPPO, 2018</w:t>
      </w:r>
      <w:r w:rsidR="004509DB">
        <w:t>b</w:t>
      </w:r>
      <w:r w:rsidRPr="000860F1">
        <w:t xml:space="preserve">). </w:t>
      </w:r>
    </w:p>
    <w:p w14:paraId="469938C1" w14:textId="148DB875" w:rsidR="008E6998" w:rsidRPr="000860F1" w:rsidRDefault="000330D6">
      <w:pPr>
        <w:pStyle w:val="IPPHeading2"/>
      </w:pPr>
      <w:bookmarkStart w:id="12" w:name="_Toc111710116"/>
      <w:r w:rsidRPr="000860F1">
        <w:t>3.1.5</w:t>
      </w:r>
      <w:r w:rsidRPr="000860F1">
        <w:tab/>
        <w:t>Almond leaf scorch disease</w:t>
      </w:r>
      <w:bookmarkEnd w:id="12"/>
    </w:p>
    <w:p w14:paraId="7F231F99" w14:textId="1CEAA244" w:rsidR="008E6998" w:rsidRPr="000860F1" w:rsidRDefault="000330D6" w:rsidP="0004310D">
      <w:pPr>
        <w:pStyle w:val="IPPParagraphnumbering"/>
      </w:pPr>
      <w:r w:rsidRPr="000860F1">
        <w:t xml:space="preserve">The most characteristic symptoms of almond leaf scorching disease are leaf scorching followed by decreased productivity and general decline. Strains of </w:t>
      </w:r>
      <w:r w:rsidRPr="000860F1">
        <w:rPr>
          <w:i/>
        </w:rPr>
        <w:t>X.</w:t>
      </w:r>
      <w:r w:rsidR="001D4DD1" w:rsidRPr="000860F1">
        <w:rPr>
          <w:i/>
        </w:rPr>
        <w:t> </w:t>
      </w:r>
      <w:r w:rsidRPr="000860F1">
        <w:rPr>
          <w:i/>
        </w:rPr>
        <w:t>fastidiosa</w:t>
      </w:r>
      <w:r w:rsidRPr="000860F1">
        <w:t xml:space="preserve"> subsp. </w:t>
      </w:r>
      <w:r w:rsidR="00AF0799" w:rsidRPr="000860F1">
        <w:rPr>
          <w:i/>
        </w:rPr>
        <w:t>fastidiosa</w:t>
      </w:r>
      <w:r w:rsidRPr="000860F1">
        <w:t xml:space="preserve"> and subsp. </w:t>
      </w:r>
      <w:r w:rsidRPr="000860F1">
        <w:rPr>
          <w:i/>
        </w:rPr>
        <w:t>multiplex</w:t>
      </w:r>
      <w:r w:rsidRPr="000860F1">
        <w:t xml:space="preserve"> have been reported to cause almond leaf scorch disease (Yuan </w:t>
      </w:r>
      <w:r w:rsidRPr="000860F1">
        <w:rPr>
          <w:i/>
        </w:rPr>
        <w:t>et</w:t>
      </w:r>
      <w:r w:rsidR="00E35F2A" w:rsidRPr="000860F1">
        <w:rPr>
          <w:i/>
          <w:iCs/>
        </w:rPr>
        <w:t> </w:t>
      </w:r>
      <w:r w:rsidRPr="000860F1">
        <w:rPr>
          <w:i/>
        </w:rPr>
        <w:t>al.</w:t>
      </w:r>
      <w:r w:rsidR="00B14030" w:rsidRPr="000860F1">
        <w:t>,</w:t>
      </w:r>
      <w:r w:rsidRPr="000860F1">
        <w:t xml:space="preserve"> 2010). In early summer, leaves appear with marginal leaf scorch (brown, necrotic (dead) leaf tissue). Usually, a narrow band of yellow (chlorotic) tissue occurs between the dead tissue and the part of the leaf that is still green, but when the sudden appearance of leaf scorch symptoms is prompted by hot weather the narrow chlorotic band may not develop. As the disease progresses, affected twigs on limbs die back from the tip (Mircetich </w:t>
      </w:r>
      <w:r w:rsidRPr="000860F1">
        <w:rPr>
          <w:i/>
        </w:rPr>
        <w:t>et al.</w:t>
      </w:r>
      <w:r w:rsidRPr="000860F1">
        <w:t xml:space="preserve">, 1976). Even highly susceptible varieties take many years to die completely, but nut production is severely reduced within a few years in most varieties. </w:t>
      </w:r>
    </w:p>
    <w:p w14:paraId="01802879" w14:textId="705FCA2A" w:rsidR="008E6998" w:rsidRPr="000860F1" w:rsidRDefault="000330D6">
      <w:pPr>
        <w:pStyle w:val="IPPHeading2"/>
      </w:pPr>
      <w:bookmarkStart w:id="13" w:name="_Toc111710117"/>
      <w:r w:rsidRPr="000860F1">
        <w:t>3.1.6</w:t>
      </w:r>
      <w:r w:rsidRPr="000860F1">
        <w:tab/>
        <w:t>Bacterial leaf scorch of shade trees</w:t>
      </w:r>
      <w:bookmarkEnd w:id="13"/>
    </w:p>
    <w:p w14:paraId="2C9D4F0C" w14:textId="3C5E95F9" w:rsidR="008E6998" w:rsidRPr="000860F1" w:rsidRDefault="000330D6" w:rsidP="0004310D">
      <w:pPr>
        <w:pStyle w:val="IPPParagraphnumbering"/>
      </w:pPr>
      <w:r w:rsidRPr="000860F1">
        <w:t xml:space="preserve">Symptoms of bacterial leaf scorch of shade trees are similar on different shade tree hosts (e.g. </w:t>
      </w:r>
      <w:r w:rsidRPr="000860F1">
        <w:rPr>
          <w:i/>
        </w:rPr>
        <w:t>Acer</w:t>
      </w:r>
      <w:r w:rsidRPr="000860F1">
        <w:t xml:space="preserve"> spp., </w:t>
      </w:r>
      <w:r w:rsidRPr="000860F1">
        <w:rPr>
          <w:i/>
        </w:rPr>
        <w:t>Platanus</w:t>
      </w:r>
      <w:r w:rsidRPr="000860F1">
        <w:t xml:space="preserve"> spp., </w:t>
      </w:r>
      <w:r w:rsidRPr="000860F1">
        <w:rPr>
          <w:i/>
        </w:rPr>
        <w:t>Quercus</w:t>
      </w:r>
      <w:r w:rsidRPr="000860F1">
        <w:t xml:space="preserve"> spp., </w:t>
      </w:r>
      <w:r w:rsidRPr="000860F1">
        <w:rPr>
          <w:i/>
        </w:rPr>
        <w:t>Ulmus americana</w:t>
      </w:r>
      <w:r w:rsidRPr="000860F1">
        <w:t xml:space="preserve"> (Gould and Lashomb, 2007)). In most cases, the disease is identified by a characteristic marginal leaf scorch. Symptoms first appear in late summer to early autumn. Affected leaves have marginal necrosis, which may be surrounded by a chlorotic (yellow) or red halo. Generally, symptoms progress from older to younger leaves as the diseased branches die and the tree declines. </w:t>
      </w:r>
    </w:p>
    <w:p w14:paraId="29EE55D4" w14:textId="4FC344B7" w:rsidR="008E6998" w:rsidRPr="000860F1" w:rsidRDefault="000330D6">
      <w:pPr>
        <w:pStyle w:val="IPPHeading2"/>
      </w:pPr>
      <w:bookmarkStart w:id="14" w:name="_Toc111710118"/>
      <w:r w:rsidRPr="000860F1">
        <w:t>3.1.7</w:t>
      </w:r>
      <w:r w:rsidRPr="000860F1">
        <w:tab/>
        <w:t>Bacterial leaf scorch of blueberry</w:t>
      </w:r>
      <w:bookmarkEnd w:id="14"/>
    </w:p>
    <w:p w14:paraId="375F7C85" w14:textId="1D0015A5" w:rsidR="008E6998" w:rsidRPr="000860F1" w:rsidRDefault="000330D6" w:rsidP="0004310D">
      <w:pPr>
        <w:pStyle w:val="IPPParagraphnumbering"/>
      </w:pPr>
      <w:r w:rsidRPr="000860F1">
        <w:t xml:space="preserve">The first symptom of bacterial leaf scorch of blueberry is a marginal leaf scorching, and the scorched leaf zone may be bordered by a darker band (Brannen </w:t>
      </w:r>
      <w:r w:rsidRPr="000860F1">
        <w:rPr>
          <w:i/>
          <w:iCs/>
        </w:rPr>
        <w:t>et</w:t>
      </w:r>
      <w:r w:rsidRPr="000860F1">
        <w:rPr>
          <w:i/>
        </w:rPr>
        <w:t> al</w:t>
      </w:r>
      <w:r w:rsidRPr="000860F1">
        <w:rPr>
          <w:i/>
          <w:iCs/>
        </w:rPr>
        <w:t>.</w:t>
      </w:r>
      <w:r w:rsidRPr="000860F1">
        <w:rPr>
          <w:iCs/>
        </w:rPr>
        <w:t xml:space="preserve">, </w:t>
      </w:r>
      <w:r w:rsidRPr="000860F1">
        <w:t>20</w:t>
      </w:r>
      <w:r w:rsidR="00AC152F" w:rsidRPr="000860F1">
        <w:t>16</w:t>
      </w:r>
      <w:r w:rsidRPr="000860F1">
        <w:t xml:space="preserve">; </w:t>
      </w:r>
      <w:r w:rsidR="00EE16FD" w:rsidRPr="000860F1">
        <w:t>EPPO, 2018</w:t>
      </w:r>
      <w:r w:rsidR="004509DB">
        <w:t>b</w:t>
      </w:r>
      <w:r w:rsidRPr="000860F1">
        <w:t>). In the early stages of disease progression, symptoms may be localized, but over time, symptoms can become unifor</w:t>
      </w:r>
      <w:r w:rsidR="00D415AF">
        <w:t>m</w:t>
      </w:r>
      <w:r w:rsidR="00E70E19">
        <w:t>l</w:t>
      </w:r>
      <w:r w:rsidRPr="000860F1">
        <w:t xml:space="preserve">y distributed throughout the foliage. Newly developed shoots can be abnormally thin with a reduced number of flower buds. Leaf drop occurs, and twigs and stems have a distinct “skeletal” yellow appearance. Following leaf drop, the plant dies, this typically occurring during the second year after symptoms are observed (Chang </w:t>
      </w:r>
      <w:r w:rsidRPr="000860F1">
        <w:rPr>
          <w:i/>
          <w:iCs/>
        </w:rPr>
        <w:t>et</w:t>
      </w:r>
      <w:r w:rsidRPr="000860F1">
        <w:rPr>
          <w:i/>
        </w:rPr>
        <w:t> </w:t>
      </w:r>
      <w:r w:rsidRPr="000860F1">
        <w:rPr>
          <w:i/>
          <w:iCs/>
        </w:rPr>
        <w:t>al.</w:t>
      </w:r>
      <w:r w:rsidRPr="000860F1">
        <w:rPr>
          <w:iCs/>
        </w:rPr>
        <w:t>,</w:t>
      </w:r>
      <w:r w:rsidRPr="000860F1">
        <w:t xml:space="preserve"> 2009).</w:t>
      </w:r>
    </w:p>
    <w:p w14:paraId="6538DBFC" w14:textId="5920FFA5" w:rsidR="008E6998" w:rsidRPr="000860F1" w:rsidRDefault="000330D6">
      <w:pPr>
        <w:pStyle w:val="IPPHeading2"/>
      </w:pPr>
      <w:bookmarkStart w:id="15" w:name="_Toc111710119"/>
      <w:r w:rsidRPr="000860F1">
        <w:t>3.1.8</w:t>
      </w:r>
      <w:r w:rsidRPr="000860F1">
        <w:tab/>
        <w:t>Phony peach disease and plum leaf scald</w:t>
      </w:r>
      <w:bookmarkEnd w:id="15"/>
    </w:p>
    <w:p w14:paraId="515C36A6" w14:textId="2486600E" w:rsidR="008E6998" w:rsidRPr="000860F1" w:rsidRDefault="000330D6" w:rsidP="0004310D">
      <w:pPr>
        <w:pStyle w:val="IPPParagraphnumbering"/>
      </w:pPr>
      <w:r w:rsidRPr="000860F1">
        <w:t xml:space="preserve">In phony peach disease and plum leaf scald, young shoots are stunted and bear greener, denser foliage than those on healthy trees. Strains associated with </w:t>
      </w:r>
      <w:r w:rsidRPr="000860F1">
        <w:rPr>
          <w:i/>
        </w:rPr>
        <w:t>X.</w:t>
      </w:r>
      <w:r w:rsidR="001D4DD1" w:rsidRPr="000860F1">
        <w:rPr>
          <w:i/>
        </w:rPr>
        <w:t> </w:t>
      </w:r>
      <w:r w:rsidRPr="000860F1">
        <w:rPr>
          <w:i/>
        </w:rPr>
        <w:t>fastidiosa</w:t>
      </w:r>
      <w:r w:rsidRPr="000860F1">
        <w:t xml:space="preserve"> subsp. </w:t>
      </w:r>
      <w:r w:rsidRPr="000860F1">
        <w:rPr>
          <w:i/>
        </w:rPr>
        <w:t>multiplex</w:t>
      </w:r>
      <w:r w:rsidRPr="000860F1">
        <w:t xml:space="preserve"> have been associated with phony peach disease. Lateral branches grow horizontally or droop, so that the tree seems uniform, compact and rounded. Leaves and flowers appear early, and remain on the tree longer than on healthy trees. Affected trees yield increasingly fewer and smaller fruits, becoming economically worthless after three to five years (Mizell </w:t>
      </w:r>
      <w:r w:rsidRPr="000860F1">
        <w:rPr>
          <w:i/>
        </w:rPr>
        <w:t>et al.</w:t>
      </w:r>
      <w:r w:rsidRPr="000860F1">
        <w:t>, 2015).</w:t>
      </w:r>
    </w:p>
    <w:p w14:paraId="59A971EB" w14:textId="521FB0E8" w:rsidR="008E6998" w:rsidRPr="000860F1" w:rsidRDefault="000330D6">
      <w:pPr>
        <w:pStyle w:val="IPPHeading2"/>
      </w:pPr>
      <w:bookmarkStart w:id="16" w:name="_Toc111710120"/>
      <w:r w:rsidRPr="000860F1">
        <w:t>3.1.9</w:t>
      </w:r>
      <w:r w:rsidRPr="000860F1">
        <w:tab/>
        <w:t>Alfalfa dwarf</w:t>
      </w:r>
      <w:bookmarkEnd w:id="16"/>
    </w:p>
    <w:p w14:paraId="548428A0" w14:textId="3656F2C2" w:rsidR="008E6998" w:rsidRPr="000860F1" w:rsidRDefault="000330D6" w:rsidP="0004310D">
      <w:pPr>
        <w:pStyle w:val="IPPParagraphnumbering"/>
      </w:pPr>
      <w:r w:rsidRPr="000860F1">
        <w:t>The main symptom of alfalfa dwarf is stunted regrowth after cutting. This stunting may not be apparent until many months after initial infection. Leaflets on affected plants are smaller and often slightly darker in colour than those on uninfected plants, but not distorted, cupped, mottled or yellow. The tap-root is of a normal size, but the lignified tissue has an abnormally yellowish colour, with fine dark steaks of dead tissue scattered throughout. In recently infected plants, the yellowing is mostly in a ring beginning under the bark, with a normal white-coloured cylinder of tissue inside the yellowed outer layer of wood (</w:t>
      </w:r>
      <w:r w:rsidR="00EE16FD" w:rsidRPr="000860F1">
        <w:t>EPPO, 2018</w:t>
      </w:r>
      <w:r w:rsidR="004509DB">
        <w:t>b</w:t>
      </w:r>
      <w:r w:rsidRPr="000860F1">
        <w:t xml:space="preserve">). The inner bark is not discoloured, nor do large brown or yellow patches appear as in bacterial wilt (caused by </w:t>
      </w:r>
      <w:r w:rsidRPr="000860F1">
        <w:rPr>
          <w:i/>
        </w:rPr>
        <w:t xml:space="preserve">Clavibacter michiganensis </w:t>
      </w:r>
      <w:r w:rsidRPr="000860F1">
        <w:t>subsp.</w:t>
      </w:r>
      <w:r w:rsidRPr="000860F1">
        <w:rPr>
          <w:i/>
        </w:rPr>
        <w:t xml:space="preserve"> insidiosus</w:t>
      </w:r>
      <w:r w:rsidRPr="000860F1">
        <w:t xml:space="preserve">). Alfalfa dwarf progressively worsens over the first one to two years after the symptoms appear, and eventually kills infected plants. </w:t>
      </w:r>
    </w:p>
    <w:p w14:paraId="1F7EED34" w14:textId="5BE68DC9" w:rsidR="00F90B10" w:rsidRPr="000860F1" w:rsidRDefault="00F90B10" w:rsidP="007B4290">
      <w:pPr>
        <w:pStyle w:val="IPPHeading2"/>
      </w:pPr>
      <w:bookmarkStart w:id="17" w:name="_Toc111710121"/>
      <w:r w:rsidRPr="000860F1">
        <w:t>3.1.10</w:t>
      </w:r>
      <w:r w:rsidRPr="000860F1">
        <w:tab/>
        <w:t>Other hosts</w:t>
      </w:r>
      <w:bookmarkEnd w:id="17"/>
    </w:p>
    <w:p w14:paraId="07CEAB01" w14:textId="638FEC41" w:rsidR="00F90B10" w:rsidRPr="000860F1" w:rsidRDefault="00F90B10" w:rsidP="0004310D">
      <w:pPr>
        <w:pStyle w:val="IPPParagraphnumbering"/>
      </w:pPr>
      <w:r w:rsidRPr="000860F1">
        <w:rPr>
          <w:i/>
        </w:rPr>
        <w:t>X</w:t>
      </w:r>
      <w:r w:rsidR="0010357C" w:rsidRPr="000860F1">
        <w:rPr>
          <w:i/>
        </w:rPr>
        <w:t>. </w:t>
      </w:r>
      <w:r w:rsidRPr="000860F1">
        <w:rPr>
          <w:i/>
        </w:rPr>
        <w:t>fastidiosa</w:t>
      </w:r>
      <w:r w:rsidRPr="000860F1">
        <w:t xml:space="preserve"> has been detected on a number of different hosts in the </w:t>
      </w:r>
      <w:r w:rsidR="002E5940" w:rsidRPr="000860F1">
        <w:t>recent</w:t>
      </w:r>
      <w:r w:rsidRPr="000860F1">
        <w:t xml:space="preserve"> European outbreaks. Most symptomatic plants display typical leaf scorching symptoms. On</w:t>
      </w:r>
      <w:r w:rsidR="0061033F" w:rsidRPr="000860F1">
        <w:t xml:space="preserve"> </w:t>
      </w:r>
      <w:r w:rsidR="0061033F" w:rsidRPr="000860F1">
        <w:rPr>
          <w:i/>
        </w:rPr>
        <w:t>N.</w:t>
      </w:r>
      <w:r w:rsidR="00537830" w:rsidRPr="000860F1">
        <w:rPr>
          <w:i/>
        </w:rPr>
        <w:t> </w:t>
      </w:r>
      <w:r w:rsidR="0061033F" w:rsidRPr="000860F1">
        <w:rPr>
          <w:i/>
        </w:rPr>
        <w:t>oleander</w:t>
      </w:r>
      <w:r w:rsidRPr="000860F1">
        <w:t>, necrosis develops on the leaf margin and infection may lead to death of entire plants (</w:t>
      </w:r>
      <w:r w:rsidR="00EE16FD" w:rsidRPr="000860F1">
        <w:t>EPPO, 2018</w:t>
      </w:r>
      <w:r w:rsidR="004509DB">
        <w:t>b</w:t>
      </w:r>
      <w:r w:rsidRPr="000860F1">
        <w:t xml:space="preserve">). </w:t>
      </w:r>
      <w:r w:rsidRPr="000860F1">
        <w:rPr>
          <w:rStyle w:val="IPPnormalitalics"/>
          <w:lang w:val="en-GB"/>
        </w:rPr>
        <w:t>Polygal</w:t>
      </w:r>
      <w:r w:rsidR="00053F11">
        <w:rPr>
          <w:rStyle w:val="IPPnormalitalics"/>
          <w:lang w:val="en-GB"/>
        </w:rPr>
        <w:t>a</w:t>
      </w:r>
      <w:r w:rsidRPr="000860F1">
        <w:rPr>
          <w:rStyle w:val="IPPnormalitalics"/>
          <w:lang w:val="en-GB"/>
        </w:rPr>
        <w:t xml:space="preserve"> myrtifolia</w:t>
      </w:r>
      <w:r w:rsidRPr="000860F1">
        <w:t xml:space="preserve"> </w:t>
      </w:r>
      <w:r w:rsidR="00050F43" w:rsidRPr="000860F1">
        <w:t>has been found to be</w:t>
      </w:r>
      <w:r w:rsidRPr="000860F1">
        <w:t xml:space="preserve"> one of the most susceptible hosts in the </w:t>
      </w:r>
      <w:r w:rsidR="00050F43" w:rsidRPr="000860F1">
        <w:t>recent</w:t>
      </w:r>
      <w:r w:rsidRPr="000860F1">
        <w:t xml:space="preserve"> European outbreaks. Infected plants show scorched leaves, with desiccation starting from the tip and progressing to the entire blade (</w:t>
      </w:r>
      <w:r w:rsidR="00EE16FD" w:rsidRPr="000860F1">
        <w:t>EPPO, 2018</w:t>
      </w:r>
      <w:r w:rsidR="004509DB">
        <w:t>b</w:t>
      </w:r>
      <w:r w:rsidRPr="000860F1">
        <w:t xml:space="preserve">). Symptoms can be seen at </w:t>
      </w:r>
      <w:hyperlink r:id="rId14" w:history="1">
        <w:r w:rsidRPr="000860F1">
          <w:rPr>
            <w:rStyle w:val="Hyperlink"/>
          </w:rPr>
          <w:t>https://gd.eppo.int/taxon/XYLEFA/photos</w:t>
        </w:r>
      </w:hyperlink>
      <w:r w:rsidRPr="000860F1">
        <w:rPr>
          <w:rStyle w:val="Hyperlink"/>
        </w:rPr>
        <w:t>.</w:t>
      </w:r>
    </w:p>
    <w:p w14:paraId="6D175D4F" w14:textId="23676091" w:rsidR="008E6998" w:rsidRPr="000860F1" w:rsidRDefault="000330D6">
      <w:pPr>
        <w:pStyle w:val="IPPHeading2"/>
      </w:pPr>
      <w:bookmarkStart w:id="18" w:name="_Toc384635717"/>
      <w:bookmarkStart w:id="19" w:name="_Toc111710122"/>
      <w:r w:rsidRPr="000860F1">
        <w:t>3.2</w:t>
      </w:r>
      <w:r w:rsidRPr="000860F1">
        <w:tab/>
      </w:r>
      <w:r w:rsidRPr="00054E1F">
        <w:t>Sampling</w:t>
      </w:r>
      <w:r w:rsidRPr="000860F1">
        <w:t xml:space="preserve"> and sample preparation for symptomatic and asymptomatic material</w:t>
      </w:r>
      <w:bookmarkEnd w:id="18"/>
      <w:bookmarkEnd w:id="19"/>
    </w:p>
    <w:p w14:paraId="3463A213" w14:textId="7D52E739" w:rsidR="008E6998" w:rsidRPr="000860F1" w:rsidRDefault="000330D6" w:rsidP="0004310D">
      <w:pPr>
        <w:pStyle w:val="IPPParagraphnumbering"/>
      </w:pPr>
      <w:r w:rsidRPr="000860F1">
        <w:t xml:space="preserve">Samples of necrotic and dead tissue or sections of the plant at an advanced stage of infection are unsuitable for </w:t>
      </w:r>
      <w:r w:rsidRPr="000860F1">
        <w:rPr>
          <w:i/>
        </w:rPr>
        <w:t>X. fastidiosa</w:t>
      </w:r>
      <w:r w:rsidRPr="000860F1">
        <w:t xml:space="preserve"> diagnosis as saprophytes quickly colonize necrotic or dead tissue, interfering with the isolation or detection of the pathogen. Samples should be taken from close to the symptoms and preferably consist of stems that have mature symptomatic leaves with petioles and woody twigs. Individual leaves with petioles can also be sampled. </w:t>
      </w:r>
      <w:r w:rsidR="00AC4F37" w:rsidRPr="000860F1">
        <w:t>G</w:t>
      </w:r>
      <w:r w:rsidR="003F439C" w:rsidRPr="000860F1">
        <w:t>uidance on the number of leaves (including their petioles)</w:t>
      </w:r>
      <w:r w:rsidR="009F3C06">
        <w:t>/twigs/stems</w:t>
      </w:r>
      <w:r w:rsidR="003F439C" w:rsidRPr="000860F1">
        <w:t xml:space="preserve"> and approximate weights to be used in the laboratory sample </w:t>
      </w:r>
      <w:r w:rsidR="0080110C" w:rsidRPr="000860F1">
        <w:t xml:space="preserve">is provided </w:t>
      </w:r>
      <w:r w:rsidR="003F439C" w:rsidRPr="000860F1">
        <w:t>in Table</w:t>
      </w:r>
      <w:r w:rsidR="0080110C" w:rsidRPr="000860F1">
        <w:t> </w:t>
      </w:r>
      <w:r w:rsidR="003F439C" w:rsidRPr="000860F1">
        <w:t>1</w:t>
      </w:r>
      <w:r w:rsidR="00146FA2" w:rsidRPr="000860F1">
        <w:t xml:space="preserve"> </w:t>
      </w:r>
      <w:r w:rsidR="009F3C06">
        <w:t>when testing individual plants or in Table 2 and 3 when testing many plants</w:t>
      </w:r>
      <w:r w:rsidR="00984C5E">
        <w:t xml:space="preserve"> </w:t>
      </w:r>
      <w:r w:rsidR="00984C5E" w:rsidRPr="000860F1">
        <w:t xml:space="preserve">(EPPO, </w:t>
      </w:r>
      <w:r w:rsidR="00984C5E">
        <w:t>20</w:t>
      </w:r>
      <w:r w:rsidR="00145A65">
        <w:t>18b</w:t>
      </w:r>
      <w:r w:rsidR="00984C5E" w:rsidRPr="000860F1">
        <w:t>)</w:t>
      </w:r>
      <w:r w:rsidR="00B10059">
        <w:t xml:space="preserve"> For a detailed sampling on composite samples, see </w:t>
      </w:r>
      <w:r w:rsidR="00984C5E">
        <w:t xml:space="preserve">also </w:t>
      </w:r>
      <w:r w:rsidR="00B10059" w:rsidRPr="00315473">
        <w:t xml:space="preserve">Loconsole </w:t>
      </w:r>
      <w:r w:rsidR="00B10059" w:rsidRPr="00315473">
        <w:rPr>
          <w:i/>
          <w:iCs/>
        </w:rPr>
        <w:t>et al</w:t>
      </w:r>
      <w:r w:rsidR="00B10059" w:rsidRPr="00315473">
        <w:t>., 2021</w:t>
      </w:r>
      <w:r w:rsidR="00B10059">
        <w:t>.</w:t>
      </w:r>
    </w:p>
    <w:p w14:paraId="417A545E" w14:textId="77777777" w:rsidR="0004310D" w:rsidRDefault="0004310D" w:rsidP="007B4290">
      <w:pPr>
        <w:pStyle w:val="IPPArial"/>
        <w:keepNext/>
        <w:spacing w:after="120"/>
        <w:rPr>
          <w:rFonts w:ascii="Times New Roman" w:hAnsi="Times New Roman"/>
          <w:b/>
          <w:sz w:val="22"/>
          <w:szCs w:val="22"/>
        </w:rPr>
      </w:pPr>
    </w:p>
    <w:p w14:paraId="0972BDB1" w14:textId="21BBECDB" w:rsidR="008E40CC" w:rsidRPr="00133D6E" w:rsidRDefault="008E40CC" w:rsidP="007B4290">
      <w:pPr>
        <w:pStyle w:val="IPPArial"/>
        <w:keepNext/>
        <w:spacing w:after="120"/>
        <w:rPr>
          <w:rFonts w:cs="Arial"/>
          <w:szCs w:val="18"/>
        </w:rPr>
      </w:pPr>
      <w:r w:rsidRPr="00133D6E">
        <w:rPr>
          <w:rFonts w:cs="Arial"/>
          <w:b/>
          <w:szCs w:val="18"/>
        </w:rPr>
        <w:t>Table</w:t>
      </w:r>
      <w:r w:rsidR="0080110C" w:rsidRPr="00133D6E">
        <w:rPr>
          <w:rFonts w:cs="Arial"/>
          <w:b/>
          <w:szCs w:val="18"/>
        </w:rPr>
        <w:t> </w:t>
      </w:r>
      <w:r w:rsidRPr="00133D6E">
        <w:rPr>
          <w:rFonts w:cs="Arial"/>
          <w:b/>
          <w:szCs w:val="18"/>
        </w:rPr>
        <w:t xml:space="preserve">1. </w:t>
      </w:r>
      <w:r w:rsidRPr="00133D6E">
        <w:rPr>
          <w:rFonts w:cs="Arial"/>
          <w:szCs w:val="18"/>
        </w:rPr>
        <w:t>Number of leaves (including their petioles)</w:t>
      </w:r>
      <w:r w:rsidR="00BC3520" w:rsidRPr="00133D6E">
        <w:rPr>
          <w:rFonts w:cs="Arial"/>
          <w:szCs w:val="18"/>
        </w:rPr>
        <w:t xml:space="preserve"> or other plant material</w:t>
      </w:r>
      <w:r w:rsidRPr="00133D6E">
        <w:rPr>
          <w:rFonts w:cs="Arial"/>
          <w:szCs w:val="18"/>
        </w:rPr>
        <w:t xml:space="preserve"> to be used and approximate weight of the laboratory sample</w:t>
      </w:r>
      <w:r w:rsidR="0080110C" w:rsidRPr="00133D6E">
        <w:rPr>
          <w:rFonts w:cs="Arial"/>
          <w:szCs w:val="18"/>
        </w:rPr>
        <w:t>. Data from EPPO (</w:t>
      </w:r>
      <w:r w:rsidR="009C0802" w:rsidRPr="00133D6E">
        <w:rPr>
          <w:rFonts w:cs="Arial"/>
          <w:szCs w:val="18"/>
        </w:rPr>
        <w:t>2018</w:t>
      </w:r>
      <w:r w:rsidR="004509DB" w:rsidRPr="00133D6E">
        <w:rPr>
          <w:rFonts w:cs="Arial"/>
          <w:szCs w:val="18"/>
        </w:rPr>
        <w:t>b</w:t>
      </w:r>
      <w:r w:rsidR="0080110C" w:rsidRPr="00133D6E">
        <w:rPr>
          <w:rFonts w:cs="Arial"/>
          <w:szCs w:val="18"/>
        </w:rPr>
        <w:t>)</w:t>
      </w:r>
      <w:r w:rsidR="00A50C11" w:rsidRPr="00133D6E">
        <w:rPr>
          <w:rFonts w:cs="Arial"/>
          <w:szCs w:val="18"/>
        </w:rPr>
        <w:t xml:space="preserve"> </w:t>
      </w:r>
      <w:r w:rsidR="009F3C06" w:rsidRPr="00133D6E">
        <w:rPr>
          <w:rFonts w:cs="Arial"/>
          <w:szCs w:val="18"/>
        </w:rPr>
        <w:t>when testing individual plants</w:t>
      </w:r>
      <w:r w:rsidR="00D15514" w:rsidRPr="00133D6E">
        <w:rPr>
          <w:rFonts w:cs="Arial"/>
          <w:szCs w:val="18"/>
        </w:rPr>
        <w:t>.</w:t>
      </w:r>
    </w:p>
    <w:tbl>
      <w:tblPr>
        <w:tblStyle w:val="TableGrid"/>
        <w:tblW w:w="0" w:type="auto"/>
        <w:tblLook w:val="04A0" w:firstRow="1" w:lastRow="0" w:firstColumn="1" w:lastColumn="0" w:noHBand="0" w:noVBand="1"/>
      </w:tblPr>
      <w:tblGrid>
        <w:gridCol w:w="2254"/>
        <w:gridCol w:w="2254"/>
        <w:gridCol w:w="2457"/>
        <w:gridCol w:w="2051"/>
      </w:tblGrid>
      <w:tr w:rsidR="003F439C" w:rsidRPr="000860F1" w14:paraId="538D86D6" w14:textId="77777777" w:rsidTr="00D1016B">
        <w:tc>
          <w:tcPr>
            <w:tcW w:w="2254" w:type="dxa"/>
            <w:tcBorders>
              <w:bottom w:val="single" w:sz="4" w:space="0" w:color="auto"/>
              <w:right w:val="nil"/>
            </w:tcBorders>
            <w:shd w:val="clear" w:color="auto" w:fill="BFBFBF" w:themeFill="background1" w:themeFillShade="BF"/>
          </w:tcPr>
          <w:p w14:paraId="627E5053" w14:textId="53B50C9E" w:rsidR="003F439C" w:rsidRPr="000860F1" w:rsidRDefault="003F439C" w:rsidP="00D1016B">
            <w:pPr>
              <w:pStyle w:val="IPPArialTable"/>
              <w:rPr>
                <w:b/>
                <w:szCs w:val="18"/>
              </w:rPr>
            </w:pPr>
            <w:r w:rsidRPr="000860F1">
              <w:rPr>
                <w:b/>
                <w:szCs w:val="18"/>
              </w:rPr>
              <w:t>Type of sample</w:t>
            </w:r>
          </w:p>
        </w:tc>
        <w:tc>
          <w:tcPr>
            <w:tcW w:w="2254" w:type="dxa"/>
            <w:tcBorders>
              <w:left w:val="nil"/>
              <w:bottom w:val="single" w:sz="4" w:space="0" w:color="auto"/>
              <w:right w:val="nil"/>
            </w:tcBorders>
            <w:shd w:val="clear" w:color="auto" w:fill="BFBFBF" w:themeFill="background1" w:themeFillShade="BF"/>
          </w:tcPr>
          <w:p w14:paraId="22DC5D5E" w14:textId="5C76BF99" w:rsidR="003F439C" w:rsidRPr="000860F1" w:rsidRDefault="003F439C" w:rsidP="00D1016B">
            <w:pPr>
              <w:pStyle w:val="IPPArialTable"/>
              <w:rPr>
                <w:b/>
                <w:szCs w:val="18"/>
              </w:rPr>
            </w:pPr>
            <w:r w:rsidRPr="000860F1">
              <w:rPr>
                <w:b/>
                <w:szCs w:val="18"/>
              </w:rPr>
              <w:t>Host plants</w:t>
            </w:r>
            <w:r w:rsidR="00135318" w:rsidRPr="000860F1">
              <w:rPr>
                <w:b/>
                <w:szCs w:val="18"/>
              </w:rPr>
              <w:t xml:space="preserve"> and </w:t>
            </w:r>
            <w:r w:rsidRPr="000860F1">
              <w:rPr>
                <w:b/>
                <w:szCs w:val="18"/>
              </w:rPr>
              <w:t>type of tissue</w:t>
            </w:r>
          </w:p>
        </w:tc>
        <w:tc>
          <w:tcPr>
            <w:tcW w:w="2457" w:type="dxa"/>
            <w:tcBorders>
              <w:left w:val="nil"/>
              <w:bottom w:val="single" w:sz="4" w:space="0" w:color="auto"/>
              <w:right w:val="nil"/>
            </w:tcBorders>
            <w:shd w:val="clear" w:color="auto" w:fill="BFBFBF" w:themeFill="background1" w:themeFillShade="BF"/>
          </w:tcPr>
          <w:p w14:paraId="7AF6911F" w14:textId="3AF7265E" w:rsidR="003F439C" w:rsidRPr="000860F1" w:rsidRDefault="003F439C" w:rsidP="00D1016B">
            <w:pPr>
              <w:pStyle w:val="IPPArialTable"/>
              <w:rPr>
                <w:b/>
                <w:szCs w:val="18"/>
              </w:rPr>
            </w:pPr>
            <w:r w:rsidRPr="000860F1">
              <w:rPr>
                <w:b/>
                <w:szCs w:val="18"/>
              </w:rPr>
              <w:t>Minimum number of leaves per laboratory sample</w:t>
            </w:r>
          </w:p>
        </w:tc>
        <w:tc>
          <w:tcPr>
            <w:tcW w:w="2051" w:type="dxa"/>
            <w:tcBorders>
              <w:left w:val="nil"/>
              <w:bottom w:val="single" w:sz="4" w:space="0" w:color="auto"/>
            </w:tcBorders>
            <w:shd w:val="clear" w:color="auto" w:fill="BFBFBF" w:themeFill="background1" w:themeFillShade="BF"/>
          </w:tcPr>
          <w:p w14:paraId="602A5862" w14:textId="52A14B50" w:rsidR="003F439C" w:rsidRPr="000860F1" w:rsidRDefault="003F439C" w:rsidP="00D1016B">
            <w:pPr>
              <w:pStyle w:val="IPPArialTable"/>
              <w:rPr>
                <w:b/>
                <w:szCs w:val="18"/>
              </w:rPr>
            </w:pPr>
            <w:r w:rsidRPr="000860F1">
              <w:rPr>
                <w:b/>
                <w:szCs w:val="18"/>
              </w:rPr>
              <w:t>Approximate weight of laboratory sample</w:t>
            </w:r>
          </w:p>
        </w:tc>
      </w:tr>
      <w:tr w:rsidR="003F439C" w:rsidRPr="000860F1" w14:paraId="194301C6" w14:textId="77777777" w:rsidTr="00D1016B">
        <w:tc>
          <w:tcPr>
            <w:tcW w:w="2254" w:type="dxa"/>
            <w:tcBorders>
              <w:bottom w:val="nil"/>
              <w:right w:val="single" w:sz="4" w:space="0" w:color="auto"/>
            </w:tcBorders>
          </w:tcPr>
          <w:p w14:paraId="777A9468" w14:textId="10042DAD" w:rsidR="003F439C" w:rsidRPr="000860F1" w:rsidRDefault="003F439C" w:rsidP="00D1016B">
            <w:pPr>
              <w:pStyle w:val="IPPArialTable"/>
            </w:pPr>
            <w:r w:rsidRPr="000860F1">
              <w:t>Sample from individual</w:t>
            </w:r>
            <w:r w:rsidR="00B05FF9" w:rsidRPr="000860F1">
              <w:t xml:space="preserve"> </w:t>
            </w:r>
            <w:r w:rsidRPr="000860F1">
              <w:t>plant with leaves</w:t>
            </w:r>
          </w:p>
        </w:tc>
        <w:tc>
          <w:tcPr>
            <w:tcW w:w="2254" w:type="dxa"/>
            <w:tcBorders>
              <w:left w:val="single" w:sz="4" w:space="0" w:color="auto"/>
              <w:bottom w:val="single" w:sz="4" w:space="0" w:color="auto"/>
              <w:right w:val="nil"/>
            </w:tcBorders>
          </w:tcPr>
          <w:p w14:paraId="349C63BA" w14:textId="3AB91C85" w:rsidR="003F439C" w:rsidRPr="000860F1" w:rsidRDefault="003F439C" w:rsidP="00D1016B">
            <w:pPr>
              <w:pStyle w:val="IPPArialTable"/>
            </w:pPr>
            <w:r w:rsidRPr="000860F1">
              <w:t>Petioles or midribs</w:t>
            </w:r>
            <w:r w:rsidR="00AF1E6C" w:rsidRPr="000860F1">
              <w:t>, or both,</w:t>
            </w:r>
            <w:r w:rsidRPr="000860F1">
              <w:t xml:space="preserve"> o</w:t>
            </w:r>
            <w:r w:rsidR="00AF1E6C" w:rsidRPr="000860F1">
              <w:t>f</w:t>
            </w:r>
            <w:r w:rsidRPr="000860F1">
              <w:t xml:space="preserve"> leaves of large size</w:t>
            </w:r>
            <w:r w:rsidR="00AF1E6C" w:rsidRPr="000860F1">
              <w:t xml:space="preserve"> (e.g. from </w:t>
            </w:r>
            <w:r w:rsidRPr="000860F1">
              <w:rPr>
                <w:i/>
              </w:rPr>
              <w:t>Coffea</w:t>
            </w:r>
            <w:r w:rsidRPr="000860F1">
              <w:t xml:space="preserve"> sp</w:t>
            </w:r>
            <w:r w:rsidR="00146FA2" w:rsidRPr="000860F1">
              <w:t>p</w:t>
            </w:r>
            <w:r w:rsidRPr="000860F1">
              <w:t xml:space="preserve">., </w:t>
            </w:r>
            <w:r w:rsidRPr="000860F1">
              <w:rPr>
                <w:i/>
              </w:rPr>
              <w:t>Ficus</w:t>
            </w:r>
            <w:r w:rsidRPr="000860F1">
              <w:t xml:space="preserve"> sp</w:t>
            </w:r>
            <w:r w:rsidR="00533D8F" w:rsidRPr="000860F1">
              <w:t>p</w:t>
            </w:r>
            <w:r w:rsidRPr="000860F1">
              <w:t xml:space="preserve">., </w:t>
            </w:r>
            <w:r w:rsidRPr="000860F1">
              <w:rPr>
                <w:i/>
              </w:rPr>
              <w:t>Vitis</w:t>
            </w:r>
            <w:r w:rsidRPr="000860F1">
              <w:t xml:space="preserve"> sp</w:t>
            </w:r>
            <w:r w:rsidR="00146FA2" w:rsidRPr="000860F1">
              <w:t>p</w:t>
            </w:r>
            <w:r w:rsidRPr="000860F1">
              <w:t>.,</w:t>
            </w:r>
            <w:r w:rsidR="00AF1E6C" w:rsidRPr="000860F1">
              <w:rPr>
                <w:i/>
              </w:rPr>
              <w:t xml:space="preserve"> </w:t>
            </w:r>
            <w:r w:rsidRPr="000860F1">
              <w:rPr>
                <w:i/>
              </w:rPr>
              <w:t>Nerium</w:t>
            </w:r>
            <w:r w:rsidRPr="000860F1">
              <w:t xml:space="preserve"> </w:t>
            </w:r>
            <w:r w:rsidR="00B05FF9" w:rsidRPr="000860F1">
              <w:t>sp</w:t>
            </w:r>
            <w:r w:rsidR="00146FA2" w:rsidRPr="000860F1">
              <w:t>p</w:t>
            </w:r>
            <w:r w:rsidR="00B05FF9" w:rsidRPr="000860F1">
              <w:t>.</w:t>
            </w:r>
            <w:r w:rsidR="00D15514">
              <w:t xml:space="preserve">, </w:t>
            </w:r>
            <w:r w:rsidR="00D15514" w:rsidRPr="00620AE6">
              <w:rPr>
                <w:i/>
                <w:iCs/>
              </w:rPr>
              <w:t>Citrus</w:t>
            </w:r>
            <w:r w:rsidR="00D15514">
              <w:t xml:space="preserve"> spp</w:t>
            </w:r>
            <w:r w:rsidR="00AF1E6C" w:rsidRPr="000860F1">
              <w:t>)</w:t>
            </w:r>
          </w:p>
        </w:tc>
        <w:tc>
          <w:tcPr>
            <w:tcW w:w="2457" w:type="dxa"/>
            <w:tcBorders>
              <w:left w:val="nil"/>
              <w:bottom w:val="single" w:sz="4" w:space="0" w:color="auto"/>
              <w:right w:val="nil"/>
            </w:tcBorders>
          </w:tcPr>
          <w:p w14:paraId="6EAA997B" w14:textId="5EA35159" w:rsidR="003F439C" w:rsidRPr="000860F1" w:rsidRDefault="008672E0" w:rsidP="00D1016B">
            <w:pPr>
              <w:pStyle w:val="IPPArialTable"/>
              <w:jc w:val="center"/>
            </w:pPr>
            <w:r w:rsidRPr="000860F1">
              <w:t>5</w:t>
            </w:r>
          </w:p>
        </w:tc>
        <w:tc>
          <w:tcPr>
            <w:tcW w:w="2051" w:type="dxa"/>
            <w:tcBorders>
              <w:left w:val="nil"/>
              <w:bottom w:val="single" w:sz="4" w:space="0" w:color="auto"/>
            </w:tcBorders>
          </w:tcPr>
          <w:p w14:paraId="21CEE564" w14:textId="63B7AE25" w:rsidR="003F439C" w:rsidRPr="000860F1" w:rsidRDefault="008672E0" w:rsidP="00D1016B">
            <w:pPr>
              <w:pStyle w:val="IPPArialTable"/>
              <w:jc w:val="center"/>
            </w:pPr>
            <w:r w:rsidRPr="000860F1">
              <w:t>0.5–1</w:t>
            </w:r>
            <w:r w:rsidR="000D6582" w:rsidRPr="000860F1">
              <w:t> </w:t>
            </w:r>
            <w:r w:rsidRPr="000860F1">
              <w:t>g</w:t>
            </w:r>
          </w:p>
        </w:tc>
      </w:tr>
      <w:tr w:rsidR="003F439C" w:rsidRPr="000860F1" w14:paraId="67245A8C" w14:textId="77777777" w:rsidTr="00D1016B">
        <w:tc>
          <w:tcPr>
            <w:tcW w:w="2254" w:type="dxa"/>
            <w:tcBorders>
              <w:top w:val="nil"/>
              <w:bottom w:val="nil"/>
              <w:right w:val="single" w:sz="4" w:space="0" w:color="auto"/>
            </w:tcBorders>
          </w:tcPr>
          <w:p w14:paraId="3AA7D79B" w14:textId="77777777" w:rsidR="003F439C" w:rsidRPr="000860F1" w:rsidRDefault="003F439C" w:rsidP="00D1016B">
            <w:pPr>
              <w:pStyle w:val="IPPArialTable"/>
            </w:pPr>
          </w:p>
        </w:tc>
        <w:tc>
          <w:tcPr>
            <w:tcW w:w="2254" w:type="dxa"/>
            <w:tcBorders>
              <w:left w:val="single" w:sz="4" w:space="0" w:color="auto"/>
              <w:bottom w:val="single" w:sz="4" w:space="0" w:color="auto"/>
              <w:right w:val="nil"/>
            </w:tcBorders>
          </w:tcPr>
          <w:p w14:paraId="54072482" w14:textId="71A29299" w:rsidR="003F439C" w:rsidRPr="000860F1" w:rsidRDefault="003F439C" w:rsidP="00D1016B">
            <w:pPr>
              <w:pStyle w:val="IPPArialTable"/>
            </w:pPr>
            <w:r w:rsidRPr="000860F1">
              <w:t>Petioles or midribs</w:t>
            </w:r>
            <w:r w:rsidR="00AF1E6C" w:rsidRPr="000860F1">
              <w:t>,</w:t>
            </w:r>
            <w:r w:rsidRPr="000860F1">
              <w:t xml:space="preserve"> </w:t>
            </w:r>
            <w:r w:rsidR="00AF1E6C" w:rsidRPr="000860F1">
              <w:t xml:space="preserve">or both, </w:t>
            </w:r>
            <w:r w:rsidRPr="000860F1">
              <w:t>of leaves of</w:t>
            </w:r>
            <w:r w:rsidR="000D6582" w:rsidRPr="000860F1">
              <w:t xml:space="preserve"> </w:t>
            </w:r>
            <w:r w:rsidRPr="000860F1">
              <w:t>small size</w:t>
            </w:r>
            <w:r w:rsidR="000D6582" w:rsidRPr="000860F1">
              <w:t xml:space="preserve"> (</w:t>
            </w:r>
            <w:r w:rsidR="009B12CC" w:rsidRPr="000860F1">
              <w:t xml:space="preserve">e.g. </w:t>
            </w:r>
            <w:r w:rsidRPr="000860F1">
              <w:rPr>
                <w:i/>
              </w:rPr>
              <w:t>Polygala</w:t>
            </w:r>
            <w:r w:rsidR="00B05FF9" w:rsidRPr="000860F1">
              <w:rPr>
                <w:i/>
              </w:rPr>
              <w:t xml:space="preserve"> </w:t>
            </w:r>
            <w:r w:rsidRPr="000860F1">
              <w:rPr>
                <w:i/>
              </w:rPr>
              <w:t>myrtifolia</w:t>
            </w:r>
            <w:r w:rsidRPr="000860F1">
              <w:t xml:space="preserve"> and </w:t>
            </w:r>
            <w:r w:rsidRPr="000860F1">
              <w:rPr>
                <w:i/>
              </w:rPr>
              <w:t>Olea</w:t>
            </w:r>
            <w:r w:rsidRPr="000860F1">
              <w:t xml:space="preserve"> sp</w:t>
            </w:r>
            <w:r w:rsidR="00146FA2" w:rsidRPr="000860F1">
              <w:t>p</w:t>
            </w:r>
            <w:r w:rsidRPr="000860F1">
              <w:t>.</w:t>
            </w:r>
            <w:r w:rsidR="000D6582" w:rsidRPr="000860F1">
              <w:t>)</w:t>
            </w:r>
          </w:p>
        </w:tc>
        <w:tc>
          <w:tcPr>
            <w:tcW w:w="2457" w:type="dxa"/>
            <w:tcBorders>
              <w:left w:val="nil"/>
              <w:bottom w:val="single" w:sz="4" w:space="0" w:color="auto"/>
              <w:right w:val="nil"/>
            </w:tcBorders>
          </w:tcPr>
          <w:p w14:paraId="311068D8" w14:textId="3A74B0A7" w:rsidR="003F439C" w:rsidRPr="000860F1" w:rsidRDefault="008672E0" w:rsidP="00D1016B">
            <w:pPr>
              <w:pStyle w:val="IPPArialTable"/>
              <w:jc w:val="center"/>
            </w:pPr>
            <w:r w:rsidRPr="000860F1">
              <w:t>25</w:t>
            </w:r>
          </w:p>
        </w:tc>
        <w:tc>
          <w:tcPr>
            <w:tcW w:w="2051" w:type="dxa"/>
            <w:tcBorders>
              <w:left w:val="nil"/>
              <w:bottom w:val="single" w:sz="4" w:space="0" w:color="auto"/>
            </w:tcBorders>
          </w:tcPr>
          <w:p w14:paraId="5D92E33C" w14:textId="139F46CC" w:rsidR="003F439C" w:rsidRPr="000860F1" w:rsidRDefault="008672E0" w:rsidP="00D1016B">
            <w:pPr>
              <w:pStyle w:val="IPPArialTable"/>
              <w:jc w:val="center"/>
            </w:pPr>
            <w:r w:rsidRPr="000860F1">
              <w:t>0.5</w:t>
            </w:r>
            <w:r w:rsidR="000D6582" w:rsidRPr="000860F1">
              <w:t>–</w:t>
            </w:r>
            <w:r w:rsidRPr="000860F1">
              <w:t>1</w:t>
            </w:r>
            <w:r w:rsidR="000D6582" w:rsidRPr="000860F1">
              <w:t> </w:t>
            </w:r>
            <w:r w:rsidRPr="000860F1">
              <w:t>g</w:t>
            </w:r>
          </w:p>
        </w:tc>
      </w:tr>
      <w:tr w:rsidR="003F439C" w:rsidRPr="000860F1" w14:paraId="5108E3E7" w14:textId="77777777" w:rsidTr="00D1016B">
        <w:tc>
          <w:tcPr>
            <w:tcW w:w="2254" w:type="dxa"/>
            <w:tcBorders>
              <w:top w:val="nil"/>
              <w:bottom w:val="single" w:sz="4" w:space="0" w:color="auto"/>
              <w:right w:val="single" w:sz="4" w:space="0" w:color="auto"/>
            </w:tcBorders>
          </w:tcPr>
          <w:p w14:paraId="78B2A052" w14:textId="77777777" w:rsidR="003F439C" w:rsidRPr="000860F1" w:rsidRDefault="003F439C" w:rsidP="00D1016B">
            <w:pPr>
              <w:pStyle w:val="IPPArialTable"/>
            </w:pPr>
          </w:p>
        </w:tc>
        <w:tc>
          <w:tcPr>
            <w:tcW w:w="2254" w:type="dxa"/>
            <w:tcBorders>
              <w:left w:val="single" w:sz="4" w:space="0" w:color="auto"/>
              <w:bottom w:val="single" w:sz="4" w:space="0" w:color="auto"/>
              <w:right w:val="nil"/>
            </w:tcBorders>
          </w:tcPr>
          <w:p w14:paraId="77BD6677" w14:textId="55520252" w:rsidR="003F439C" w:rsidRPr="000860F1" w:rsidRDefault="003F439C" w:rsidP="00D1016B">
            <w:pPr>
              <w:pStyle w:val="IPPArialTable"/>
            </w:pPr>
            <w:r w:rsidRPr="000860F1">
              <w:t>Plant species without petioles or with</w:t>
            </w:r>
            <w:r w:rsidR="000D6582" w:rsidRPr="000860F1">
              <w:t xml:space="preserve"> s</w:t>
            </w:r>
            <w:r w:rsidR="00B05FF9" w:rsidRPr="000860F1">
              <w:t xml:space="preserve">mall </w:t>
            </w:r>
            <w:r w:rsidRPr="000860F1">
              <w:t>petiole and midrib</w:t>
            </w:r>
          </w:p>
        </w:tc>
        <w:tc>
          <w:tcPr>
            <w:tcW w:w="2457" w:type="dxa"/>
            <w:tcBorders>
              <w:left w:val="nil"/>
              <w:bottom w:val="single" w:sz="4" w:space="0" w:color="auto"/>
              <w:right w:val="nil"/>
            </w:tcBorders>
          </w:tcPr>
          <w:p w14:paraId="3810ED06" w14:textId="29A9D108" w:rsidR="003F439C" w:rsidRPr="000860F1" w:rsidRDefault="008672E0" w:rsidP="00D1016B">
            <w:pPr>
              <w:pStyle w:val="IPPArialTable"/>
              <w:jc w:val="center"/>
            </w:pPr>
            <w:r w:rsidRPr="000860F1">
              <w:t>25</w:t>
            </w:r>
          </w:p>
        </w:tc>
        <w:tc>
          <w:tcPr>
            <w:tcW w:w="2051" w:type="dxa"/>
            <w:tcBorders>
              <w:left w:val="nil"/>
              <w:bottom w:val="single" w:sz="4" w:space="0" w:color="auto"/>
            </w:tcBorders>
          </w:tcPr>
          <w:p w14:paraId="7C61DA84" w14:textId="4447021E" w:rsidR="003F439C" w:rsidRPr="000860F1" w:rsidRDefault="008672E0" w:rsidP="00D1016B">
            <w:pPr>
              <w:pStyle w:val="IPPArialTable"/>
              <w:jc w:val="center"/>
            </w:pPr>
            <w:r w:rsidRPr="000860F1">
              <w:t>0.5–1</w:t>
            </w:r>
            <w:r w:rsidR="00146FA2" w:rsidRPr="000860F1">
              <w:t xml:space="preserve"> </w:t>
            </w:r>
            <w:r w:rsidRPr="000860F1">
              <w:t>g</w:t>
            </w:r>
          </w:p>
        </w:tc>
      </w:tr>
      <w:tr w:rsidR="003F439C" w:rsidRPr="000860F1" w14:paraId="382EFB90" w14:textId="77777777" w:rsidTr="00D1016B">
        <w:tc>
          <w:tcPr>
            <w:tcW w:w="2254" w:type="dxa"/>
            <w:tcBorders>
              <w:bottom w:val="single" w:sz="4" w:space="0" w:color="auto"/>
              <w:right w:val="single" w:sz="4" w:space="0" w:color="auto"/>
            </w:tcBorders>
          </w:tcPr>
          <w:p w14:paraId="5D1BE8C3" w14:textId="239DBC3F" w:rsidR="003F439C" w:rsidRPr="000860F1" w:rsidRDefault="00645C16" w:rsidP="00D1016B">
            <w:pPr>
              <w:pStyle w:val="IPPArialTable"/>
            </w:pPr>
            <w:r w:rsidRPr="000860F1">
              <w:t>Dormant plant or cuttings</w:t>
            </w:r>
          </w:p>
        </w:tc>
        <w:tc>
          <w:tcPr>
            <w:tcW w:w="2254" w:type="dxa"/>
            <w:tcBorders>
              <w:left w:val="single" w:sz="4" w:space="0" w:color="auto"/>
              <w:bottom w:val="single" w:sz="4" w:space="0" w:color="auto"/>
              <w:right w:val="nil"/>
            </w:tcBorders>
          </w:tcPr>
          <w:p w14:paraId="12BD647F" w14:textId="049A648F" w:rsidR="003F439C" w:rsidRPr="000860F1" w:rsidRDefault="003F439C" w:rsidP="00D1016B">
            <w:pPr>
              <w:pStyle w:val="IPPArialTable"/>
            </w:pPr>
            <w:r w:rsidRPr="000860F1">
              <w:t>Xylem tissue</w:t>
            </w:r>
            <w:r w:rsidR="009F3C06">
              <w:t xml:space="preserve"> *</w:t>
            </w:r>
          </w:p>
        </w:tc>
        <w:tc>
          <w:tcPr>
            <w:tcW w:w="2457" w:type="dxa"/>
            <w:tcBorders>
              <w:left w:val="nil"/>
              <w:bottom w:val="single" w:sz="4" w:space="0" w:color="auto"/>
              <w:right w:val="nil"/>
            </w:tcBorders>
          </w:tcPr>
          <w:p w14:paraId="06C525F2" w14:textId="754B748E" w:rsidR="003F439C" w:rsidRPr="000860F1" w:rsidRDefault="00A67513" w:rsidP="00D1016B">
            <w:pPr>
              <w:pStyle w:val="IPPArialTable"/>
              <w:jc w:val="center"/>
            </w:pPr>
            <w:r w:rsidRPr="000860F1">
              <w:t>n/a</w:t>
            </w:r>
            <w:r w:rsidR="005D20ED" w:rsidRPr="000860F1">
              <w:rPr>
                <w:rFonts w:cs="Arial"/>
                <w:vertAlign w:val="superscript"/>
              </w:rPr>
              <w:t>†</w:t>
            </w:r>
          </w:p>
        </w:tc>
        <w:tc>
          <w:tcPr>
            <w:tcW w:w="2051" w:type="dxa"/>
            <w:tcBorders>
              <w:left w:val="nil"/>
              <w:bottom w:val="single" w:sz="4" w:space="0" w:color="auto"/>
            </w:tcBorders>
          </w:tcPr>
          <w:p w14:paraId="544D652B" w14:textId="41CD6083" w:rsidR="003F439C" w:rsidRPr="000860F1" w:rsidRDefault="008672E0" w:rsidP="00D1016B">
            <w:pPr>
              <w:pStyle w:val="IPPArialTable"/>
              <w:jc w:val="center"/>
            </w:pPr>
            <w:r w:rsidRPr="000860F1">
              <w:t>0.5–1</w:t>
            </w:r>
            <w:r w:rsidR="000D6582" w:rsidRPr="000860F1">
              <w:t> </w:t>
            </w:r>
            <w:r w:rsidRPr="000860F1">
              <w:t>g</w:t>
            </w:r>
          </w:p>
        </w:tc>
      </w:tr>
      <w:tr w:rsidR="00A50C11" w:rsidRPr="000860F1" w14:paraId="59474E9A" w14:textId="77777777" w:rsidTr="00D1016B">
        <w:tc>
          <w:tcPr>
            <w:tcW w:w="2254" w:type="dxa"/>
            <w:tcBorders>
              <w:right w:val="single" w:sz="4" w:space="0" w:color="auto"/>
            </w:tcBorders>
          </w:tcPr>
          <w:p w14:paraId="1BEF4273" w14:textId="33905829" w:rsidR="00A50C11" w:rsidRPr="000860F1" w:rsidRDefault="00A50C11" w:rsidP="00D1016B">
            <w:pPr>
              <w:pStyle w:val="IPPArialTable"/>
            </w:pPr>
            <w:r>
              <w:t>Other cuttings</w:t>
            </w:r>
          </w:p>
        </w:tc>
        <w:tc>
          <w:tcPr>
            <w:tcW w:w="2254" w:type="dxa"/>
            <w:tcBorders>
              <w:left w:val="single" w:sz="4" w:space="0" w:color="auto"/>
              <w:right w:val="nil"/>
            </w:tcBorders>
          </w:tcPr>
          <w:p w14:paraId="44D4E8BB" w14:textId="5DADED7E" w:rsidR="00A50C11" w:rsidRPr="000860F1" w:rsidRDefault="00A50C11" w:rsidP="00D1016B">
            <w:pPr>
              <w:pStyle w:val="IPPArialTable"/>
            </w:pPr>
            <w:r>
              <w:t>stems</w:t>
            </w:r>
          </w:p>
        </w:tc>
        <w:tc>
          <w:tcPr>
            <w:tcW w:w="2457" w:type="dxa"/>
            <w:tcBorders>
              <w:left w:val="nil"/>
              <w:right w:val="nil"/>
            </w:tcBorders>
          </w:tcPr>
          <w:p w14:paraId="36F120B1" w14:textId="1F821B13" w:rsidR="00A50C11" w:rsidRPr="000860F1" w:rsidRDefault="00A50C11" w:rsidP="00D1016B">
            <w:pPr>
              <w:pStyle w:val="IPPArialTable"/>
              <w:jc w:val="center"/>
            </w:pPr>
            <w:r w:rsidRPr="000860F1">
              <w:t>n/a</w:t>
            </w:r>
          </w:p>
        </w:tc>
        <w:tc>
          <w:tcPr>
            <w:tcW w:w="2051" w:type="dxa"/>
            <w:tcBorders>
              <w:left w:val="nil"/>
            </w:tcBorders>
          </w:tcPr>
          <w:p w14:paraId="5B8004DC" w14:textId="4028F441" w:rsidR="00A50C11" w:rsidRPr="000860F1" w:rsidDel="001C5A98" w:rsidRDefault="00A50C11" w:rsidP="00D1016B">
            <w:pPr>
              <w:pStyle w:val="IPPArialTable"/>
              <w:jc w:val="center"/>
            </w:pPr>
            <w:r>
              <w:t>1g</w:t>
            </w:r>
          </w:p>
        </w:tc>
      </w:tr>
    </w:tbl>
    <w:p w14:paraId="7CE5AF2B" w14:textId="5E23B161" w:rsidR="003F439C" w:rsidRDefault="005D20ED" w:rsidP="00D1016B">
      <w:pPr>
        <w:pStyle w:val="IPPArialFootnote"/>
        <w:spacing w:after="180"/>
      </w:pPr>
      <w:r w:rsidRPr="000860F1">
        <w:rPr>
          <w:vertAlign w:val="superscript"/>
        </w:rPr>
        <w:t>†</w:t>
      </w:r>
      <w:r w:rsidRPr="000860F1">
        <w:t xml:space="preserve"> </w:t>
      </w:r>
      <w:r w:rsidR="0082451C" w:rsidRPr="000860F1">
        <w:t>n/a, n</w:t>
      </w:r>
      <w:r w:rsidRPr="000860F1">
        <w:t>ot applicable.</w:t>
      </w:r>
    </w:p>
    <w:p w14:paraId="1A58BC5E" w14:textId="7E2F4A5C" w:rsidR="006E02D0" w:rsidRDefault="006E02D0" w:rsidP="00D1016B">
      <w:pPr>
        <w:pStyle w:val="IPPArialFootnote"/>
        <w:spacing w:after="180"/>
        <w:rPr>
          <w:rFonts w:ascii="Times New Roman" w:hAnsi="Times New Roman"/>
        </w:rPr>
      </w:pPr>
      <w:r>
        <w:rPr>
          <w:rFonts w:ascii="Times New Roman" w:hAnsi="Times New Roman"/>
        </w:rPr>
        <w:t xml:space="preserve">* </w:t>
      </w:r>
      <w:r w:rsidRPr="00315473">
        <w:rPr>
          <w:rFonts w:ascii="Times New Roman" w:hAnsi="Times New Roman"/>
        </w:rPr>
        <w:t>The superficial bark should be removed, and scraping taken from the active tissues (youngest external ring).</w:t>
      </w:r>
    </w:p>
    <w:p w14:paraId="7744A913" w14:textId="77777777" w:rsidR="00A50C11" w:rsidRPr="000860F1" w:rsidRDefault="00A50C11" w:rsidP="00D1016B">
      <w:pPr>
        <w:pStyle w:val="IPPArialFootnote"/>
        <w:spacing w:after="180"/>
      </w:pPr>
    </w:p>
    <w:p w14:paraId="6D4D8ED6" w14:textId="7575CE99" w:rsidR="008E6998" w:rsidRPr="000860F1" w:rsidRDefault="000330D6" w:rsidP="00054E1F">
      <w:pPr>
        <w:pStyle w:val="IPPHeading2"/>
        <w:numPr>
          <w:ilvl w:val="2"/>
          <w:numId w:val="34"/>
        </w:numPr>
      </w:pPr>
      <w:bookmarkStart w:id="20" w:name="_Toc111710123"/>
      <w:r w:rsidRPr="000860F1">
        <w:t>Sampling period for symptomatic or asymptomatic plants</w:t>
      </w:r>
      <w:bookmarkEnd w:id="20"/>
    </w:p>
    <w:p w14:paraId="3981083F" w14:textId="77777777" w:rsidR="00853B44" w:rsidRDefault="000330D6" w:rsidP="0004310D">
      <w:pPr>
        <w:pStyle w:val="IPPParagraphnumbering"/>
      </w:pPr>
      <w:r w:rsidRPr="000860F1">
        <w:t xml:space="preserve">The distribution and concentration of </w:t>
      </w:r>
      <w:r w:rsidRPr="000860F1">
        <w:rPr>
          <w:i/>
        </w:rPr>
        <w:t>X. fastidiosa</w:t>
      </w:r>
      <w:r w:rsidRPr="000860F1">
        <w:t xml:space="preserve"> within the plant can be variable and is dependent upon plant species type, seasonal and environmental factors. To maximize the likelihood of detection, sampling should </w:t>
      </w:r>
      <w:r w:rsidR="00413F22">
        <w:t xml:space="preserve">preferably </w:t>
      </w:r>
      <w:r w:rsidRPr="000860F1">
        <w:t>be performed during the period of active growth of the plants (Hopkins, 1981).</w:t>
      </w:r>
      <w:r w:rsidR="00413F22">
        <w:t xml:space="preserve"> </w:t>
      </w:r>
      <w:r w:rsidR="006E02D0" w:rsidRPr="000860F1">
        <w:t>For tropical plant species grown indoors such as coffee plants, sampling may be performed all year round when plants are exhibiting periods of active growth (EPPO, 2018</w:t>
      </w:r>
      <w:r w:rsidR="006E02D0">
        <w:t>b</w:t>
      </w:r>
      <w:r w:rsidR="006E02D0" w:rsidRPr="000860F1">
        <w:t>).</w:t>
      </w:r>
      <w:r w:rsidR="00D15514">
        <w:t xml:space="preserve"> </w:t>
      </w:r>
    </w:p>
    <w:p w14:paraId="7B7C2635" w14:textId="30654E7E" w:rsidR="00A50C11" w:rsidRDefault="006E02D0" w:rsidP="0004310D">
      <w:pPr>
        <w:pStyle w:val="IPPParagraphnumbering"/>
      </w:pPr>
      <w:r>
        <w:t xml:space="preserve">According to experience collected in </w:t>
      </w:r>
      <w:r w:rsidR="00145A65">
        <w:t>Europe:</w:t>
      </w:r>
    </w:p>
    <w:p w14:paraId="02ABECFA" w14:textId="0FB7844B" w:rsidR="00A50C11" w:rsidRDefault="00413F22" w:rsidP="00054E1F">
      <w:pPr>
        <w:pStyle w:val="IPPNormal"/>
        <w:numPr>
          <w:ilvl w:val="0"/>
          <w:numId w:val="35"/>
        </w:numPr>
      </w:pPr>
      <w:r>
        <w:rPr>
          <w:i/>
          <w:iCs/>
        </w:rPr>
        <w:t>O. europaea</w:t>
      </w:r>
      <w:r>
        <w:t xml:space="preserve"> and </w:t>
      </w:r>
      <w:r>
        <w:rPr>
          <w:i/>
          <w:iCs/>
        </w:rPr>
        <w:t>N. oleander</w:t>
      </w:r>
      <w:r w:rsidRPr="00413F22">
        <w:t xml:space="preserve"> </w:t>
      </w:r>
      <w:r>
        <w:t>sampling can be performed all year around with no decrease in the diagnostic sensitivity during the winter and spring seasons. These observations are considered valid for the areas with mild winter.</w:t>
      </w:r>
    </w:p>
    <w:p w14:paraId="0B12663F" w14:textId="185115EB" w:rsidR="00A50C11" w:rsidRDefault="00413F22" w:rsidP="00A50C11">
      <w:pPr>
        <w:pStyle w:val="IPPNormal"/>
        <w:numPr>
          <w:ilvl w:val="0"/>
          <w:numId w:val="35"/>
        </w:numPr>
      </w:pPr>
      <w:r w:rsidRPr="00B010F8">
        <w:rPr>
          <w:i/>
        </w:rPr>
        <w:t>P</w:t>
      </w:r>
      <w:r w:rsidR="00B010F8" w:rsidRPr="00B010F8">
        <w:rPr>
          <w:i/>
        </w:rPr>
        <w:t>. myrtifolia</w:t>
      </w:r>
      <w:r w:rsidR="00B010F8">
        <w:t xml:space="preserve"> </w:t>
      </w:r>
      <w:r>
        <w:t xml:space="preserve"> sampling can be performed</w:t>
      </w:r>
      <w:r w:rsidR="000330D6" w:rsidRPr="000860F1">
        <w:t xml:space="preserve"> from late spring to autumn</w:t>
      </w:r>
      <w:r w:rsidR="006E02D0">
        <w:t>.</w:t>
      </w:r>
      <w:r w:rsidR="000330D6" w:rsidRPr="000860F1">
        <w:t xml:space="preserve"> </w:t>
      </w:r>
    </w:p>
    <w:p w14:paraId="048CE65B" w14:textId="2159ED9B" w:rsidR="00A50C11" w:rsidRDefault="007D1CAF" w:rsidP="00A50C11">
      <w:pPr>
        <w:pStyle w:val="IPPNormal"/>
        <w:numPr>
          <w:ilvl w:val="0"/>
          <w:numId w:val="35"/>
        </w:numPr>
      </w:pPr>
      <w:r>
        <w:t xml:space="preserve">For deciduous plant species (e.g. </w:t>
      </w:r>
      <w:r>
        <w:rPr>
          <w:i/>
          <w:iCs/>
        </w:rPr>
        <w:t>Prunus</w:t>
      </w:r>
      <w:r>
        <w:t xml:space="preserve"> spp.) in Italy (Apulia region) symptoms were consistently recorded, together with a detectable bacterium concentration, in leaves collected during summer. Asymptomatic leaves collected earlier in the vegetative period from the same trees tested negative whereas, as also shown in Spain (Alicante province) and more rece</w:t>
      </w:r>
      <w:r w:rsidR="006E02D0">
        <w:t>n</w:t>
      </w:r>
      <w:r>
        <w:t>t</w:t>
      </w:r>
      <w:r w:rsidR="006E02D0">
        <w:t>l</w:t>
      </w:r>
      <w:r>
        <w:t xml:space="preserve">y in Israel, in the same period detection has been possible on 1‐year twigs of almond trees as well as during dormancy (Roselló, pers. comm. 2019; </w:t>
      </w:r>
      <w:bookmarkStart w:id="21" w:name="_Hlk90579714"/>
      <w:r>
        <w:t xml:space="preserve">Zecharia </w:t>
      </w:r>
      <w:bookmarkEnd w:id="21"/>
      <w:r>
        <w:rPr>
          <w:i/>
          <w:iCs/>
        </w:rPr>
        <w:t>et al</w:t>
      </w:r>
      <w:r>
        <w:t xml:space="preserve">., 2021). These observations are considered valid for the areas with mild winter. </w:t>
      </w:r>
    </w:p>
    <w:p w14:paraId="513EAD68" w14:textId="40D3165B" w:rsidR="006E02D0" w:rsidRDefault="006E02D0" w:rsidP="00054E1F">
      <w:pPr>
        <w:pStyle w:val="IPPNormal"/>
        <w:numPr>
          <w:ilvl w:val="0"/>
          <w:numId w:val="35"/>
        </w:numPr>
      </w:pPr>
      <w:r w:rsidRPr="00315473">
        <w:t>If necessary, dormant plants can be sampled by taking mature branches (e.g. woody cuttings), from which the xylem tissue is recovered and processed.</w:t>
      </w:r>
    </w:p>
    <w:p w14:paraId="4C0C0742" w14:textId="2175B565" w:rsidR="007D1CAF" w:rsidRDefault="007D1CAF" w:rsidP="007D1CAF">
      <w:pPr>
        <w:rPr>
          <w:rFonts w:eastAsiaTheme="minorHAnsi"/>
          <w:szCs w:val="22"/>
        </w:rPr>
      </w:pPr>
    </w:p>
    <w:p w14:paraId="09CBF8AB" w14:textId="1F14BA2B" w:rsidR="00853B44" w:rsidRPr="00315473" w:rsidRDefault="000330D6" w:rsidP="0004310D">
      <w:pPr>
        <w:pStyle w:val="IPPParagraphnumbering"/>
      </w:pPr>
      <w:r w:rsidRPr="000860F1">
        <w:t xml:space="preserve">In temperate zones of the world where </w:t>
      </w:r>
      <w:r w:rsidRPr="000860F1">
        <w:rPr>
          <w:i/>
        </w:rPr>
        <w:t>V</w:t>
      </w:r>
      <w:r w:rsidR="001E6D83">
        <w:rPr>
          <w:i/>
        </w:rPr>
        <w:t>. </w:t>
      </w:r>
      <w:r w:rsidRPr="000860F1">
        <w:rPr>
          <w:i/>
        </w:rPr>
        <w:t>vinifera</w:t>
      </w:r>
      <w:r w:rsidRPr="000860F1">
        <w:t xml:space="preserve"> or deciduous trees (e.g. </w:t>
      </w:r>
      <w:r w:rsidRPr="000860F1">
        <w:rPr>
          <w:i/>
        </w:rPr>
        <w:t>Prunus cerasus</w:t>
      </w:r>
      <w:r w:rsidRPr="000860F1">
        <w:t xml:space="preserve">, </w:t>
      </w:r>
      <w:r w:rsidRPr="000860F1">
        <w:rPr>
          <w:i/>
        </w:rPr>
        <w:t>P</w:t>
      </w:r>
      <w:r w:rsidR="009122E5">
        <w:rPr>
          <w:i/>
        </w:rPr>
        <w:t>. </w:t>
      </w:r>
      <w:r w:rsidRPr="000860F1">
        <w:rPr>
          <w:i/>
        </w:rPr>
        <w:t>dulcis</w:t>
      </w:r>
      <w:r w:rsidRPr="000860F1">
        <w:t xml:space="preserve">) have been infected for some time, the bacteria do not move into the new season’s growth until the middle of summer, when symptoms may also become visible. For example, the most suitable time for searching for symptoms in grapevine is late summer to early autumn when weather conditions are predominately hot and dry or when grape plants are exposed to drought stress (Galvez </w:t>
      </w:r>
      <w:r w:rsidRPr="000860F1">
        <w:rPr>
          <w:i/>
          <w:iCs/>
        </w:rPr>
        <w:t>et</w:t>
      </w:r>
      <w:r w:rsidRPr="000860F1">
        <w:rPr>
          <w:i/>
        </w:rPr>
        <w:t> </w:t>
      </w:r>
      <w:r w:rsidRPr="000860F1">
        <w:rPr>
          <w:i/>
          <w:iCs/>
        </w:rPr>
        <w:t>al.</w:t>
      </w:r>
      <w:r w:rsidRPr="000860F1">
        <w:rPr>
          <w:iCs/>
        </w:rPr>
        <w:t xml:space="preserve">, </w:t>
      </w:r>
      <w:r w:rsidRPr="000860F1">
        <w:t xml:space="preserve">2010). </w:t>
      </w:r>
      <w:r w:rsidR="00853B44">
        <w:t xml:space="preserve">In tropical clime, such as Brazil, the </w:t>
      </w:r>
      <w:r w:rsidR="00853B44" w:rsidRPr="00853B44">
        <w:rPr>
          <w:i/>
          <w:iCs/>
        </w:rPr>
        <w:t>X. fastidiosa</w:t>
      </w:r>
      <w:r w:rsidR="00853B44">
        <w:t xml:space="preserve"> associated symptoms and bacteria diagnosis are easily to be observed on early autumn. During the summer, with periods of rain and high temperatures the vigorous sprout growth </w:t>
      </w:r>
      <w:r w:rsidR="00853B44" w:rsidRPr="00145A65">
        <w:t>can make it difficult to identify symptoms</w:t>
      </w:r>
      <w:r w:rsidR="00853B44">
        <w:t xml:space="preserve">.     </w:t>
      </w:r>
    </w:p>
    <w:p w14:paraId="539DF0BB" w14:textId="2FA4D012" w:rsidR="008E6998" w:rsidRPr="000860F1" w:rsidRDefault="000330D6">
      <w:pPr>
        <w:pStyle w:val="IPPHeading2"/>
      </w:pPr>
      <w:bookmarkStart w:id="22" w:name="_Toc111710124"/>
      <w:r w:rsidRPr="000860F1">
        <w:t>3.2.2</w:t>
      </w:r>
      <w:r w:rsidRPr="000860F1">
        <w:tab/>
      </w:r>
      <w:r w:rsidR="00964F99" w:rsidRPr="000860F1">
        <w:t>Plant s</w:t>
      </w:r>
      <w:r w:rsidRPr="000860F1">
        <w:t>ample collection</w:t>
      </w:r>
      <w:bookmarkEnd w:id="22"/>
    </w:p>
    <w:p w14:paraId="6D2909ED" w14:textId="332E6E5E" w:rsidR="008E6998" w:rsidRPr="000860F1" w:rsidRDefault="000330D6" w:rsidP="0004310D">
      <w:pPr>
        <w:pStyle w:val="IPPParagraphnumbering"/>
      </w:pPr>
      <w:r w:rsidRPr="000860F1">
        <w:rPr>
          <w:i/>
          <w:iCs/>
        </w:rPr>
        <w:t>X</w:t>
      </w:r>
      <w:r w:rsidR="0010357C" w:rsidRPr="000860F1">
        <w:rPr>
          <w:i/>
          <w:iCs/>
        </w:rPr>
        <w:t>.</w:t>
      </w:r>
      <w:r w:rsidRPr="000860F1">
        <w:rPr>
          <w:i/>
          <w:iCs/>
        </w:rPr>
        <w:t xml:space="preserve"> fastidiosa </w:t>
      </w:r>
      <w:r w:rsidRPr="000860F1">
        <w:t xml:space="preserve">is confined to the xylem tissue of its hosts. The petiole and the midrib recovered from leaf samples are therefore </w:t>
      </w:r>
      <w:r w:rsidR="00917B92">
        <w:t>a good</w:t>
      </w:r>
      <w:r w:rsidRPr="000860F1">
        <w:t xml:space="preserve"> sources for diagnosis, as they contain a greater number of xylem vessels (Hopkins, 1981). Other sources of tissue can include small twigs and roots of </w:t>
      </w:r>
      <w:r w:rsidRPr="000860F1">
        <w:rPr>
          <w:i/>
        </w:rPr>
        <w:t>P</w:t>
      </w:r>
      <w:r w:rsidR="001E6D83">
        <w:rPr>
          <w:i/>
        </w:rPr>
        <w:t>. </w:t>
      </w:r>
      <w:r w:rsidRPr="000860F1">
        <w:rPr>
          <w:i/>
        </w:rPr>
        <w:t>persica</w:t>
      </w:r>
      <w:r w:rsidRPr="000860F1">
        <w:t xml:space="preserve"> (Aldrich </w:t>
      </w:r>
      <w:r w:rsidRPr="000860F1">
        <w:rPr>
          <w:i/>
          <w:iCs/>
        </w:rPr>
        <w:t>et</w:t>
      </w:r>
      <w:r w:rsidRPr="000860F1">
        <w:rPr>
          <w:i/>
        </w:rPr>
        <w:t> </w:t>
      </w:r>
      <w:r w:rsidRPr="000860F1">
        <w:rPr>
          <w:i/>
          <w:iCs/>
        </w:rPr>
        <w:t>al.</w:t>
      </w:r>
      <w:r w:rsidRPr="000860F1">
        <w:rPr>
          <w:iCs/>
        </w:rPr>
        <w:t xml:space="preserve">, </w:t>
      </w:r>
      <w:r w:rsidRPr="000860F1">
        <w:t xml:space="preserve">1992), stem and roots of </w:t>
      </w:r>
      <w:r w:rsidRPr="000860F1">
        <w:rPr>
          <w:i/>
        </w:rPr>
        <w:t>Vaccinium</w:t>
      </w:r>
      <w:r w:rsidRPr="000860F1">
        <w:t xml:space="preserve"> (Holland </w:t>
      </w:r>
      <w:r w:rsidRPr="000860F1">
        <w:rPr>
          <w:i/>
          <w:iCs/>
        </w:rPr>
        <w:t>et</w:t>
      </w:r>
      <w:r w:rsidRPr="000860F1">
        <w:rPr>
          <w:i/>
        </w:rPr>
        <w:t> </w:t>
      </w:r>
      <w:r w:rsidRPr="000860F1">
        <w:rPr>
          <w:i/>
          <w:iCs/>
        </w:rPr>
        <w:t>al.</w:t>
      </w:r>
      <w:r w:rsidRPr="000860F1">
        <w:rPr>
          <w:iCs/>
        </w:rPr>
        <w:t xml:space="preserve">, </w:t>
      </w:r>
      <w:r w:rsidRPr="000860F1">
        <w:t xml:space="preserve">2014) and </w:t>
      </w:r>
      <w:r w:rsidRPr="000860F1">
        <w:rPr>
          <w:i/>
          <w:iCs/>
        </w:rPr>
        <w:t xml:space="preserve">Citrus </w:t>
      </w:r>
      <w:r w:rsidRPr="000860F1">
        <w:t xml:space="preserve">fruit petioles (Rossetti </w:t>
      </w:r>
      <w:r w:rsidRPr="000860F1">
        <w:rPr>
          <w:i/>
          <w:iCs/>
        </w:rPr>
        <w:t>et</w:t>
      </w:r>
      <w:r w:rsidRPr="000860F1">
        <w:rPr>
          <w:i/>
        </w:rPr>
        <w:t> </w:t>
      </w:r>
      <w:r w:rsidRPr="000860F1">
        <w:rPr>
          <w:i/>
          <w:iCs/>
        </w:rPr>
        <w:t>al.</w:t>
      </w:r>
      <w:r w:rsidRPr="000860F1">
        <w:rPr>
          <w:iCs/>
        </w:rPr>
        <w:t xml:space="preserve">, </w:t>
      </w:r>
      <w:r w:rsidRPr="000860F1">
        <w:t>1990). Samples of branches or canes with attached leaves that include mature leaves generally provide the most reliable results. Young growing shoots should be avoided. For small plants, the entire plant can be sent to the laboratory.</w:t>
      </w:r>
      <w:r w:rsidR="00856751">
        <w:t xml:space="preserve"> Studies conducted in the EU funded project XF-ACTORS in infected olive trees,</w:t>
      </w:r>
      <w:r w:rsidR="00A50C11" w:rsidRPr="00A50C11">
        <w:t xml:space="preserve"> </w:t>
      </w:r>
      <w:r w:rsidR="00A50C11">
        <w:t>showed that</w:t>
      </w:r>
      <w:r w:rsidR="00856751">
        <w:t xml:space="preserve"> the bacterium was more consistently detected in twigs than in leaves, especially when samples are collected from resistant olive cultivars (i.e. with low bacterial population).</w:t>
      </w:r>
    </w:p>
    <w:p w14:paraId="5A6EBAB0" w14:textId="600D9756" w:rsidR="008E6998" w:rsidRPr="000860F1" w:rsidRDefault="000330D6">
      <w:pPr>
        <w:pStyle w:val="IPPHeading2"/>
      </w:pPr>
      <w:bookmarkStart w:id="23" w:name="_Toc111710125"/>
      <w:r w:rsidRPr="000860F1">
        <w:t>3.2.3</w:t>
      </w:r>
      <w:r w:rsidRPr="000860F1">
        <w:tab/>
      </w:r>
      <w:r w:rsidRPr="00DD7435">
        <w:t>Sampling of symptomatic plants</w:t>
      </w:r>
      <w:bookmarkEnd w:id="23"/>
    </w:p>
    <w:p w14:paraId="64FCD9DC" w14:textId="047DCF43" w:rsidR="008E6998" w:rsidRPr="000860F1" w:rsidRDefault="000330D6" w:rsidP="0004310D">
      <w:pPr>
        <w:pStyle w:val="IPPParagraphnumbering"/>
      </w:pPr>
      <w:r w:rsidRPr="000860F1">
        <w:t>The sample should consist of branches or cuttings representative of the symptoms seen on the plant or plants and containing at least 10 to 25 leaves depending on leaf size. The approximate weight needed for laboratory samples is between 0.5 g and 1 g leaf petioles</w:t>
      </w:r>
      <w:r w:rsidR="007E3307">
        <w:t>,</w:t>
      </w:r>
      <w:r w:rsidRPr="000860F1">
        <w:t xml:space="preserve"> midribs</w:t>
      </w:r>
      <w:r w:rsidR="007E3307" w:rsidRPr="007E3307">
        <w:t xml:space="preserve"> </w:t>
      </w:r>
      <w:r w:rsidR="007E3307" w:rsidRPr="00BC3520">
        <w:t>or other plant material</w:t>
      </w:r>
      <w:r w:rsidRPr="000860F1">
        <w:t xml:space="preserve"> from each individual plant (</w:t>
      </w:r>
      <w:r w:rsidR="00EE16FD" w:rsidRPr="000860F1">
        <w:t xml:space="preserve">EPPO, </w:t>
      </w:r>
      <w:r w:rsidR="00853B44" w:rsidRPr="000860F1">
        <w:t>20</w:t>
      </w:r>
      <w:r w:rsidR="00853B44">
        <w:t xml:space="preserve">xx) (Table </w:t>
      </w:r>
      <w:r w:rsidR="00B77510">
        <w:t>1</w:t>
      </w:r>
      <w:r w:rsidRPr="000860F1">
        <w:t>). Symptomatic plant material should preferably be collected from a single plant; however, a pooled sample may also be collected. It is recommended that, when testing pooled samples, the limit of detection for each detection test should be confirmed.</w:t>
      </w:r>
    </w:p>
    <w:p w14:paraId="533ECAA7" w14:textId="7E562C6C" w:rsidR="008E6998" w:rsidRPr="000860F1" w:rsidRDefault="000330D6">
      <w:pPr>
        <w:pStyle w:val="IPPHeading2"/>
      </w:pPr>
      <w:bookmarkStart w:id="24" w:name="_Toc111710126"/>
      <w:r w:rsidRPr="000860F1">
        <w:t>3.2.4</w:t>
      </w:r>
      <w:r w:rsidRPr="000860F1">
        <w:tab/>
        <w:t>Sampling of asymptomatic plants</w:t>
      </w:r>
      <w:bookmarkEnd w:id="24"/>
    </w:p>
    <w:p w14:paraId="5A31A360" w14:textId="3912CF13" w:rsidR="00B10059" w:rsidRPr="00315473" w:rsidRDefault="000330D6" w:rsidP="0004310D">
      <w:pPr>
        <w:pStyle w:val="IPPParagraphnumbering"/>
      </w:pPr>
      <w:r w:rsidRPr="000860F1">
        <w:t xml:space="preserve">For asymptomatic plants, the sample should be representative of the entire aerial part of the plant. Recent experimental data on detection of </w:t>
      </w:r>
      <w:r w:rsidRPr="000860F1">
        <w:rPr>
          <w:i/>
          <w:iCs/>
        </w:rPr>
        <w:t xml:space="preserve">X. fastidiosa </w:t>
      </w:r>
      <w:r w:rsidRPr="000860F1">
        <w:t xml:space="preserve">in monumental and ancient </w:t>
      </w:r>
      <w:r w:rsidRPr="000860F1">
        <w:rPr>
          <w:i/>
        </w:rPr>
        <w:t>O</w:t>
      </w:r>
      <w:r w:rsidR="004D334D">
        <w:rPr>
          <w:i/>
        </w:rPr>
        <w:t>. </w:t>
      </w:r>
      <w:r w:rsidRPr="000860F1">
        <w:rPr>
          <w:i/>
        </w:rPr>
        <w:t>europaea</w:t>
      </w:r>
      <w:r w:rsidRPr="000860F1">
        <w:t xml:space="preserve"> trees showed that detection was more reliable when sampling the medium–upper part of the canopy (Valentini and Porcelli, 2016). </w:t>
      </w:r>
      <w:r w:rsidR="00B77510">
        <w:t xml:space="preserve">Studies conducted in the EU funded project XF-ACTORS showed that sampling plants along the first two boundary rows of a field is an effective method for detecting </w:t>
      </w:r>
      <w:r w:rsidR="00B77510">
        <w:rPr>
          <w:i/>
          <w:iCs/>
        </w:rPr>
        <w:t>X. fastidiosa</w:t>
      </w:r>
      <w:r w:rsidR="00B77510">
        <w:t xml:space="preserve"> even in conditions of low prevalence of infection. As mentioned in 3.2.2 twigs were a better matrix than leaves for the detection of the bacterium.</w:t>
      </w:r>
      <w:r w:rsidR="00A50C11">
        <w:t xml:space="preserve"> </w:t>
      </w:r>
      <w:r w:rsidRPr="000860F1">
        <w:t xml:space="preserve">For testing individual asymptomatic plants, the number of branches to be collected is at least four to ten, depending on the host and plant size. </w:t>
      </w:r>
      <w:r w:rsidR="00B10059" w:rsidRPr="00315473">
        <w:t xml:space="preserve">Evaluations performed in the framework of XF‐ACTORS, aiming at verifying the minimum amount of tissues to be collected from a plant to get consistent and reliable detection, have provided detailed information regarding sampling procedures for many plants (Loconsole </w:t>
      </w:r>
      <w:r w:rsidR="00B10059" w:rsidRPr="00315473">
        <w:rPr>
          <w:i/>
          <w:iCs/>
        </w:rPr>
        <w:t>et al</w:t>
      </w:r>
      <w:r w:rsidR="00B10059" w:rsidRPr="00315473">
        <w:t>., 2021)</w:t>
      </w:r>
      <w:r w:rsidR="00B10059">
        <w:t>.</w:t>
      </w:r>
    </w:p>
    <w:p w14:paraId="2AF13A91" w14:textId="0964B3B8" w:rsidR="008E6998" w:rsidRDefault="000330D6" w:rsidP="0004310D">
      <w:pPr>
        <w:pStyle w:val="IPPParagraphnumbering"/>
      </w:pPr>
      <w:r w:rsidRPr="000860F1">
        <w:t xml:space="preserve">Further information on </w:t>
      </w:r>
      <w:r w:rsidR="006C3196">
        <w:t xml:space="preserve">the </w:t>
      </w:r>
      <w:r w:rsidRPr="000860F1">
        <w:t>number of samples to be collected per lot can be found in ISPM 31 (</w:t>
      </w:r>
      <w:r w:rsidRPr="000860F1">
        <w:rPr>
          <w:i/>
        </w:rPr>
        <w:t>Methodologies for sampling of consignments</w:t>
      </w:r>
      <w:r w:rsidRPr="000860F1">
        <w:t>).</w:t>
      </w:r>
    </w:p>
    <w:p w14:paraId="03F99FAC" w14:textId="1D004C8E" w:rsidR="001440CC" w:rsidRPr="00315473" w:rsidRDefault="001440CC" w:rsidP="0004310D">
      <w:pPr>
        <w:pStyle w:val="IPPParagraphnumbering"/>
      </w:pPr>
      <w:r w:rsidRPr="00315473">
        <w:t xml:space="preserve">Details on sampling for testing samples composed of small amount of tissue is presented in Table </w:t>
      </w:r>
      <w:r>
        <w:t>2</w:t>
      </w:r>
      <w:r w:rsidR="00B53030">
        <w:t xml:space="preserve"> (</w:t>
      </w:r>
      <w:r w:rsidR="00FC246F" w:rsidRPr="00315473">
        <w:t xml:space="preserve">Loconsole </w:t>
      </w:r>
      <w:r w:rsidR="00FC246F" w:rsidRPr="00315473">
        <w:rPr>
          <w:i/>
          <w:iCs/>
        </w:rPr>
        <w:t>et al</w:t>
      </w:r>
      <w:r w:rsidR="00FC246F" w:rsidRPr="00315473">
        <w:t>., 2021</w:t>
      </w:r>
      <w:r w:rsidR="00B53030">
        <w:t>)</w:t>
      </w:r>
      <w:r w:rsidR="004A4F1A">
        <w:t xml:space="preserve"> :</w:t>
      </w:r>
    </w:p>
    <w:p w14:paraId="0D02FCE9" w14:textId="5128C0C6" w:rsidR="001440CC" w:rsidRPr="00133D6E" w:rsidRDefault="001440CC" w:rsidP="001440CC">
      <w:pPr>
        <w:rPr>
          <w:rFonts w:ascii="Arial" w:hAnsi="Arial" w:cs="Arial"/>
          <w:sz w:val="18"/>
          <w:szCs w:val="18"/>
        </w:rPr>
      </w:pPr>
      <w:r w:rsidRPr="00133D6E">
        <w:rPr>
          <w:rFonts w:ascii="Arial" w:hAnsi="Arial" w:cs="Arial"/>
          <w:b/>
          <w:sz w:val="18"/>
          <w:szCs w:val="18"/>
        </w:rPr>
        <w:t>Table 2</w:t>
      </w:r>
      <w:r w:rsidRPr="00133D6E">
        <w:rPr>
          <w:rFonts w:ascii="Arial" w:hAnsi="Arial" w:cs="Arial"/>
          <w:sz w:val="18"/>
          <w:szCs w:val="18"/>
        </w:rPr>
        <w:t xml:space="preserve">. </w:t>
      </w:r>
      <w:r w:rsidR="0038623C" w:rsidRPr="00133D6E">
        <w:rPr>
          <w:rFonts w:ascii="Arial" w:hAnsi="Arial" w:cs="Arial"/>
          <w:sz w:val="18"/>
          <w:szCs w:val="18"/>
        </w:rPr>
        <w:t xml:space="preserve">Guidance for both sampling and laboratory testing of </w:t>
      </w:r>
      <w:r w:rsidR="00C61CA8" w:rsidRPr="00133D6E">
        <w:rPr>
          <w:rFonts w:ascii="Arial" w:hAnsi="Arial" w:cs="Arial"/>
          <w:sz w:val="18"/>
          <w:szCs w:val="18"/>
        </w:rPr>
        <w:t xml:space="preserve">composite </w:t>
      </w:r>
      <w:r w:rsidR="0038623C" w:rsidRPr="00133D6E">
        <w:rPr>
          <w:rFonts w:ascii="Arial" w:hAnsi="Arial" w:cs="Arial"/>
          <w:sz w:val="18"/>
          <w:szCs w:val="18"/>
        </w:rPr>
        <w:t xml:space="preserve">samples </w:t>
      </w:r>
      <w:r w:rsidR="00523237" w:rsidRPr="00133D6E">
        <w:rPr>
          <w:rFonts w:ascii="Arial" w:hAnsi="Arial" w:cs="Arial"/>
          <w:sz w:val="18"/>
          <w:szCs w:val="18"/>
        </w:rPr>
        <w:t>composed of small amount of tissues</w:t>
      </w:r>
      <w:r w:rsidR="00131619" w:rsidRPr="00133D6E">
        <w:rPr>
          <w:rFonts w:ascii="Arial" w:hAnsi="Arial" w:cs="Arial"/>
          <w:sz w:val="18"/>
          <w:szCs w:val="18"/>
        </w:rPr>
        <w:t xml:space="preserve">. </w:t>
      </w:r>
      <w:r w:rsidR="009835B3" w:rsidRPr="00133D6E">
        <w:rPr>
          <w:rFonts w:ascii="Arial" w:hAnsi="Arial" w:cs="Arial"/>
          <w:sz w:val="18"/>
          <w:szCs w:val="18"/>
        </w:rPr>
        <w:t>The e</w:t>
      </w:r>
      <w:r w:rsidRPr="00133D6E">
        <w:rPr>
          <w:rFonts w:ascii="Arial" w:hAnsi="Arial" w:cs="Arial"/>
          <w:sz w:val="18"/>
          <w:szCs w:val="18"/>
        </w:rPr>
        <w:t xml:space="preserve">xtraction procedure </w:t>
      </w:r>
      <w:r w:rsidR="009835B3" w:rsidRPr="00133D6E">
        <w:rPr>
          <w:rFonts w:ascii="Arial" w:hAnsi="Arial" w:cs="Arial"/>
          <w:sz w:val="18"/>
          <w:szCs w:val="18"/>
        </w:rPr>
        <w:t>does not include a</w:t>
      </w:r>
      <w:r w:rsidRPr="00133D6E">
        <w:rPr>
          <w:rFonts w:ascii="Arial" w:hAnsi="Arial" w:cs="Arial"/>
          <w:sz w:val="18"/>
          <w:szCs w:val="18"/>
        </w:rPr>
        <w:t xml:space="preserve"> bacterial concentration step</w:t>
      </w:r>
      <w:r w:rsidR="00262336" w:rsidRPr="00133D6E">
        <w:rPr>
          <w:rFonts w:ascii="Arial" w:hAnsi="Arial" w:cs="Arial"/>
          <w:sz w:val="18"/>
          <w:szCs w:val="18"/>
        </w:rPr>
        <w:t xml:space="preserve"> </w:t>
      </w:r>
      <w:commentRangeStart w:id="25"/>
      <w:r w:rsidR="00262336" w:rsidRPr="00133D6E">
        <w:rPr>
          <w:rFonts w:ascii="Arial" w:hAnsi="Arial" w:cs="Arial"/>
          <w:sz w:val="18"/>
          <w:szCs w:val="18"/>
        </w:rPr>
        <w:t>(EPPO, 20xx)</w:t>
      </w:r>
      <w:r w:rsidRPr="00133D6E">
        <w:rPr>
          <w:rFonts w:ascii="Arial" w:hAnsi="Arial" w:cs="Arial"/>
          <w:sz w:val="18"/>
          <w:szCs w:val="18"/>
        </w:rPr>
        <w:t xml:space="preserve">: </w:t>
      </w:r>
      <w:commentRangeEnd w:id="25"/>
      <w:r w:rsidR="00262336" w:rsidRPr="00133D6E">
        <w:rPr>
          <w:rStyle w:val="CommentReference"/>
          <w:rFonts w:ascii="Arial" w:eastAsia="Times New Roman" w:hAnsi="Arial" w:cs="Arial"/>
          <w:sz w:val="18"/>
          <w:szCs w:val="18"/>
          <w:lang w:val="nl-NL" w:eastAsia="nl-NL"/>
        </w:rPr>
        <w:commentReference w:id="25"/>
      </w:r>
    </w:p>
    <w:p w14:paraId="23784B3E" w14:textId="77777777" w:rsidR="00262336" w:rsidRPr="00315473" w:rsidRDefault="00262336" w:rsidP="001440CC"/>
    <w:tbl>
      <w:tblPr>
        <w:tblStyle w:val="TableGrid"/>
        <w:tblW w:w="9091" w:type="dxa"/>
        <w:tblLook w:val="04A0" w:firstRow="1" w:lastRow="0" w:firstColumn="1" w:lastColumn="0" w:noHBand="0" w:noVBand="1"/>
      </w:tblPr>
      <w:tblGrid>
        <w:gridCol w:w="3100"/>
        <w:gridCol w:w="3577"/>
        <w:gridCol w:w="2414"/>
      </w:tblGrid>
      <w:tr w:rsidR="00772BFD" w:rsidRPr="00315473" w14:paraId="51514022" w14:textId="77777777" w:rsidTr="00262336">
        <w:trPr>
          <w:trHeight w:val="915"/>
        </w:trPr>
        <w:tc>
          <w:tcPr>
            <w:tcW w:w="0" w:type="auto"/>
            <w:hideMark/>
          </w:tcPr>
          <w:p w14:paraId="0BF762FB" w14:textId="77777777" w:rsidR="00772BFD" w:rsidRPr="005F4BDD" w:rsidRDefault="00772BFD" w:rsidP="000D559F">
            <w:pPr>
              <w:rPr>
                <w:sz w:val="22"/>
                <w:szCs w:val="22"/>
              </w:rPr>
            </w:pPr>
            <w:r w:rsidRPr="005F4BDD">
              <w:rPr>
                <w:sz w:val="22"/>
                <w:szCs w:val="22"/>
              </w:rPr>
              <w:t>Host species</w:t>
            </w:r>
          </w:p>
        </w:tc>
        <w:tc>
          <w:tcPr>
            <w:tcW w:w="3577" w:type="dxa"/>
            <w:hideMark/>
          </w:tcPr>
          <w:p w14:paraId="2C9CFDD8" w14:textId="3F024C35" w:rsidR="00772BFD" w:rsidRPr="00096ED7" w:rsidRDefault="00772BFD" w:rsidP="000D559F">
            <w:pPr>
              <w:rPr>
                <w:sz w:val="22"/>
                <w:szCs w:val="22"/>
              </w:rPr>
            </w:pPr>
            <w:r w:rsidRPr="00096ED7">
              <w:rPr>
                <w:sz w:val="22"/>
                <w:szCs w:val="22"/>
              </w:rPr>
              <w:t xml:space="preserve">Minimum nb of </w:t>
            </w:r>
            <w:r>
              <w:rPr>
                <w:sz w:val="22"/>
                <w:szCs w:val="22"/>
              </w:rPr>
              <w:t>portions</w:t>
            </w:r>
            <w:r w:rsidRPr="00096ED7">
              <w:rPr>
                <w:sz w:val="22"/>
                <w:szCs w:val="22"/>
              </w:rPr>
              <w:t xml:space="preserve"> per plant to be collected</w:t>
            </w:r>
          </w:p>
        </w:tc>
        <w:tc>
          <w:tcPr>
            <w:tcW w:w="2414" w:type="dxa"/>
            <w:hideMark/>
          </w:tcPr>
          <w:p w14:paraId="1DC305F6" w14:textId="77777777" w:rsidR="00772BFD" w:rsidRPr="005F4BDD" w:rsidRDefault="00772BFD" w:rsidP="000D559F">
            <w:pPr>
              <w:rPr>
                <w:sz w:val="22"/>
                <w:szCs w:val="22"/>
              </w:rPr>
            </w:pPr>
            <w:r w:rsidRPr="005F4BDD">
              <w:rPr>
                <w:szCs w:val="22"/>
              </w:rPr>
              <w:t>Nb Plants that can be pooled</w:t>
            </w:r>
          </w:p>
        </w:tc>
      </w:tr>
      <w:tr w:rsidR="00772BFD" w:rsidRPr="00315473" w14:paraId="3AD539A2" w14:textId="77777777" w:rsidTr="00262336">
        <w:trPr>
          <w:trHeight w:val="439"/>
        </w:trPr>
        <w:tc>
          <w:tcPr>
            <w:tcW w:w="0" w:type="auto"/>
            <w:hideMark/>
          </w:tcPr>
          <w:p w14:paraId="35163796" w14:textId="6D792BEF" w:rsidR="00772BFD" w:rsidRPr="005F4BDD" w:rsidRDefault="00772BFD" w:rsidP="005F4BDD">
            <w:pPr>
              <w:rPr>
                <w:sz w:val="22"/>
                <w:szCs w:val="22"/>
              </w:rPr>
            </w:pPr>
            <w:r w:rsidRPr="005F4BDD">
              <w:rPr>
                <w:i/>
                <w:sz w:val="22"/>
                <w:szCs w:val="22"/>
              </w:rPr>
              <w:t>O</w:t>
            </w:r>
            <w:r>
              <w:rPr>
                <w:i/>
                <w:sz w:val="22"/>
                <w:szCs w:val="22"/>
              </w:rPr>
              <w:t>lea</w:t>
            </w:r>
            <w:r w:rsidRPr="005F4BDD">
              <w:rPr>
                <w:i/>
                <w:sz w:val="22"/>
                <w:szCs w:val="22"/>
              </w:rPr>
              <w:t xml:space="preserve"> europaea</w:t>
            </w:r>
            <w:r w:rsidRPr="005F4BDD">
              <w:rPr>
                <w:sz w:val="22"/>
                <w:szCs w:val="22"/>
              </w:rPr>
              <w:t xml:space="preserve"> (small-size plants, i.e. in nurseries/consignement)</w:t>
            </w:r>
          </w:p>
        </w:tc>
        <w:tc>
          <w:tcPr>
            <w:tcW w:w="3577" w:type="dxa"/>
            <w:hideMark/>
          </w:tcPr>
          <w:p w14:paraId="305F4A2A" w14:textId="6F9CE49D" w:rsidR="00772BFD" w:rsidRPr="00C21FDF" w:rsidRDefault="00772BFD" w:rsidP="00262336">
            <w:pPr>
              <w:jc w:val="center"/>
              <w:rPr>
                <w:sz w:val="22"/>
                <w:szCs w:val="22"/>
              </w:rPr>
            </w:pPr>
            <w:r w:rsidRPr="00096ED7">
              <w:rPr>
                <w:sz w:val="22"/>
                <w:szCs w:val="22"/>
              </w:rPr>
              <w:t>4 (</w:t>
            </w:r>
            <w:r>
              <w:rPr>
                <w:sz w:val="22"/>
                <w:szCs w:val="22"/>
              </w:rPr>
              <w:t>petioles</w:t>
            </w:r>
            <w:r w:rsidRPr="00096ED7">
              <w:rPr>
                <w:sz w:val="22"/>
                <w:szCs w:val="22"/>
              </w:rPr>
              <w:t>)</w:t>
            </w:r>
          </w:p>
        </w:tc>
        <w:tc>
          <w:tcPr>
            <w:tcW w:w="2414" w:type="dxa"/>
            <w:hideMark/>
          </w:tcPr>
          <w:p w14:paraId="52ACEA79" w14:textId="4BCE9B05" w:rsidR="00772BFD" w:rsidRPr="005F4BDD" w:rsidRDefault="00772BFD" w:rsidP="00262336">
            <w:pPr>
              <w:jc w:val="center"/>
              <w:rPr>
                <w:sz w:val="22"/>
                <w:szCs w:val="22"/>
              </w:rPr>
            </w:pPr>
            <w:r w:rsidRPr="005F4BDD">
              <w:rPr>
                <w:szCs w:val="22"/>
              </w:rPr>
              <w:t>5</w:t>
            </w:r>
          </w:p>
        </w:tc>
      </w:tr>
      <w:tr w:rsidR="00772BFD" w:rsidRPr="00315473" w14:paraId="78A98646" w14:textId="77777777" w:rsidTr="00262336">
        <w:trPr>
          <w:trHeight w:val="439"/>
        </w:trPr>
        <w:tc>
          <w:tcPr>
            <w:tcW w:w="0" w:type="auto"/>
          </w:tcPr>
          <w:p w14:paraId="2110CA27" w14:textId="0FFD36B5" w:rsidR="00772BFD" w:rsidRPr="005F4BDD" w:rsidRDefault="00772BFD" w:rsidP="005F4BDD">
            <w:pPr>
              <w:rPr>
                <w:sz w:val="22"/>
                <w:szCs w:val="22"/>
              </w:rPr>
            </w:pPr>
            <w:r w:rsidRPr="005F4BDD">
              <w:rPr>
                <w:i/>
                <w:sz w:val="22"/>
                <w:szCs w:val="22"/>
              </w:rPr>
              <w:t>O</w:t>
            </w:r>
            <w:r>
              <w:rPr>
                <w:i/>
                <w:sz w:val="22"/>
                <w:szCs w:val="22"/>
              </w:rPr>
              <w:t>lea</w:t>
            </w:r>
            <w:r w:rsidRPr="005F4BDD">
              <w:rPr>
                <w:i/>
                <w:sz w:val="22"/>
                <w:szCs w:val="22"/>
              </w:rPr>
              <w:t xml:space="preserve"> europaea</w:t>
            </w:r>
            <w:r>
              <w:rPr>
                <w:i/>
                <w:sz w:val="22"/>
                <w:szCs w:val="22"/>
              </w:rPr>
              <w:t xml:space="preserve"> </w:t>
            </w:r>
            <w:r w:rsidRPr="005F4BDD">
              <w:rPr>
                <w:sz w:val="22"/>
                <w:szCs w:val="22"/>
              </w:rPr>
              <w:t xml:space="preserve"> (trees of large size, i.e. orchards)</w:t>
            </w:r>
            <w:r w:rsidRPr="005F4BDD">
              <w:rPr>
                <w:rFonts w:cs="Arial"/>
                <w:sz w:val="22"/>
                <w:szCs w:val="22"/>
              </w:rPr>
              <w:t xml:space="preserve"> </w:t>
            </w:r>
          </w:p>
        </w:tc>
        <w:tc>
          <w:tcPr>
            <w:tcW w:w="3577" w:type="dxa"/>
          </w:tcPr>
          <w:p w14:paraId="1C280CE4" w14:textId="05E6D450" w:rsidR="00772BFD" w:rsidRPr="005F4BDD" w:rsidRDefault="00772BFD" w:rsidP="00262336">
            <w:pPr>
              <w:jc w:val="center"/>
              <w:rPr>
                <w:sz w:val="22"/>
                <w:szCs w:val="22"/>
              </w:rPr>
            </w:pPr>
            <w:r w:rsidRPr="005F4BDD">
              <w:rPr>
                <w:sz w:val="22"/>
                <w:szCs w:val="22"/>
              </w:rPr>
              <w:t>4 (</w:t>
            </w:r>
            <w:r>
              <w:rPr>
                <w:sz w:val="22"/>
                <w:szCs w:val="22"/>
              </w:rPr>
              <w:t>pieces of shoots</w:t>
            </w:r>
            <w:r w:rsidRPr="005F4BDD">
              <w:rPr>
                <w:sz w:val="22"/>
                <w:szCs w:val="22"/>
              </w:rPr>
              <w:t>)</w:t>
            </w:r>
          </w:p>
        </w:tc>
        <w:tc>
          <w:tcPr>
            <w:tcW w:w="2414" w:type="dxa"/>
          </w:tcPr>
          <w:p w14:paraId="47834EAF" w14:textId="77777777" w:rsidR="00772BFD" w:rsidRPr="005F4BDD" w:rsidRDefault="00772BFD" w:rsidP="00262336">
            <w:pPr>
              <w:jc w:val="center"/>
              <w:rPr>
                <w:sz w:val="22"/>
                <w:szCs w:val="22"/>
              </w:rPr>
            </w:pPr>
            <w:r w:rsidRPr="005F4BDD">
              <w:rPr>
                <w:sz w:val="22"/>
                <w:szCs w:val="22"/>
              </w:rPr>
              <w:t>7</w:t>
            </w:r>
          </w:p>
        </w:tc>
      </w:tr>
      <w:tr w:rsidR="00772BFD" w:rsidRPr="00315473" w14:paraId="3DD71550" w14:textId="77777777" w:rsidTr="00262336">
        <w:trPr>
          <w:trHeight w:val="417"/>
        </w:trPr>
        <w:tc>
          <w:tcPr>
            <w:tcW w:w="0" w:type="auto"/>
            <w:hideMark/>
          </w:tcPr>
          <w:p w14:paraId="1A911EBF" w14:textId="77777777" w:rsidR="00772BFD" w:rsidRPr="005F4BDD" w:rsidRDefault="00772BFD" w:rsidP="000D559F">
            <w:pPr>
              <w:rPr>
                <w:i/>
                <w:sz w:val="22"/>
                <w:szCs w:val="22"/>
              </w:rPr>
            </w:pPr>
            <w:r w:rsidRPr="005F4BDD">
              <w:rPr>
                <w:i/>
                <w:sz w:val="22"/>
                <w:szCs w:val="22"/>
              </w:rPr>
              <w:t>Nerium oleander</w:t>
            </w:r>
          </w:p>
        </w:tc>
        <w:tc>
          <w:tcPr>
            <w:tcW w:w="3577" w:type="dxa"/>
            <w:hideMark/>
          </w:tcPr>
          <w:p w14:paraId="4C554DD8" w14:textId="03B5ABBF" w:rsidR="00772BFD" w:rsidRPr="00096ED7" w:rsidRDefault="00772BFD" w:rsidP="00262336">
            <w:pPr>
              <w:jc w:val="center"/>
              <w:rPr>
                <w:sz w:val="22"/>
                <w:szCs w:val="22"/>
              </w:rPr>
            </w:pPr>
            <w:r>
              <w:rPr>
                <w:sz w:val="22"/>
                <w:szCs w:val="22"/>
              </w:rPr>
              <w:t>2</w:t>
            </w:r>
            <w:r w:rsidRPr="00096ED7">
              <w:rPr>
                <w:sz w:val="22"/>
                <w:szCs w:val="22"/>
              </w:rPr>
              <w:t xml:space="preserve"> (lea</w:t>
            </w:r>
            <w:r>
              <w:rPr>
                <w:sz w:val="22"/>
                <w:szCs w:val="22"/>
              </w:rPr>
              <w:t>f basal part</w:t>
            </w:r>
            <w:r w:rsidRPr="00096ED7">
              <w:rPr>
                <w:sz w:val="22"/>
                <w:szCs w:val="22"/>
              </w:rPr>
              <w:t>)</w:t>
            </w:r>
          </w:p>
        </w:tc>
        <w:tc>
          <w:tcPr>
            <w:tcW w:w="2414" w:type="dxa"/>
            <w:hideMark/>
          </w:tcPr>
          <w:p w14:paraId="7F9823BE" w14:textId="501DF851" w:rsidR="00772BFD" w:rsidRPr="005F4BDD" w:rsidRDefault="00772BFD" w:rsidP="00262336">
            <w:pPr>
              <w:jc w:val="center"/>
              <w:rPr>
                <w:sz w:val="22"/>
                <w:szCs w:val="22"/>
              </w:rPr>
            </w:pPr>
            <w:r w:rsidRPr="005F4BDD">
              <w:rPr>
                <w:szCs w:val="22"/>
              </w:rPr>
              <w:t>8</w:t>
            </w:r>
          </w:p>
        </w:tc>
      </w:tr>
      <w:tr w:rsidR="00772BFD" w:rsidRPr="00315473" w14:paraId="009B0B89" w14:textId="77777777" w:rsidTr="00262336">
        <w:trPr>
          <w:trHeight w:val="530"/>
        </w:trPr>
        <w:tc>
          <w:tcPr>
            <w:tcW w:w="0" w:type="auto"/>
            <w:hideMark/>
          </w:tcPr>
          <w:p w14:paraId="7F597D4B" w14:textId="77777777" w:rsidR="00772BFD" w:rsidRPr="005F4BDD" w:rsidRDefault="00772BFD" w:rsidP="000D559F">
            <w:pPr>
              <w:rPr>
                <w:i/>
                <w:sz w:val="22"/>
                <w:szCs w:val="22"/>
              </w:rPr>
            </w:pPr>
            <w:r w:rsidRPr="005F4BDD">
              <w:rPr>
                <w:i/>
                <w:sz w:val="22"/>
                <w:szCs w:val="22"/>
              </w:rPr>
              <w:t>Polygala myrtifolia</w:t>
            </w:r>
          </w:p>
        </w:tc>
        <w:tc>
          <w:tcPr>
            <w:tcW w:w="3577" w:type="dxa"/>
            <w:hideMark/>
          </w:tcPr>
          <w:p w14:paraId="2728A148" w14:textId="2D01FAE4" w:rsidR="00772BFD" w:rsidRPr="00096ED7" w:rsidRDefault="00772BFD" w:rsidP="00262336">
            <w:pPr>
              <w:jc w:val="center"/>
              <w:rPr>
                <w:sz w:val="22"/>
                <w:szCs w:val="22"/>
              </w:rPr>
            </w:pPr>
            <w:r w:rsidRPr="00096ED7">
              <w:rPr>
                <w:sz w:val="22"/>
                <w:szCs w:val="22"/>
              </w:rPr>
              <w:t>6 (lea</w:t>
            </w:r>
            <w:r>
              <w:rPr>
                <w:sz w:val="22"/>
                <w:szCs w:val="22"/>
              </w:rPr>
              <w:t>f basal part</w:t>
            </w:r>
            <w:r w:rsidRPr="00096ED7">
              <w:rPr>
                <w:sz w:val="22"/>
                <w:szCs w:val="22"/>
              </w:rPr>
              <w:t>)</w:t>
            </w:r>
          </w:p>
        </w:tc>
        <w:tc>
          <w:tcPr>
            <w:tcW w:w="2414" w:type="dxa"/>
            <w:hideMark/>
          </w:tcPr>
          <w:p w14:paraId="5CC00485" w14:textId="28CC0BAD" w:rsidR="00772BFD" w:rsidRPr="005F4BDD" w:rsidRDefault="00772BFD" w:rsidP="00262336">
            <w:pPr>
              <w:jc w:val="center"/>
              <w:rPr>
                <w:sz w:val="22"/>
                <w:szCs w:val="22"/>
              </w:rPr>
            </w:pPr>
            <w:r w:rsidRPr="005F4BDD">
              <w:rPr>
                <w:szCs w:val="22"/>
              </w:rPr>
              <w:t>8</w:t>
            </w:r>
          </w:p>
        </w:tc>
      </w:tr>
      <w:tr w:rsidR="00772BFD" w:rsidRPr="00315473" w14:paraId="3B16236D" w14:textId="77777777" w:rsidTr="00262336">
        <w:trPr>
          <w:trHeight w:val="420"/>
        </w:trPr>
        <w:tc>
          <w:tcPr>
            <w:tcW w:w="0" w:type="auto"/>
            <w:hideMark/>
          </w:tcPr>
          <w:p w14:paraId="571627A9" w14:textId="00287056" w:rsidR="00772BFD" w:rsidRPr="005F4BDD" w:rsidRDefault="00772BFD" w:rsidP="000D559F">
            <w:pPr>
              <w:rPr>
                <w:i/>
                <w:sz w:val="22"/>
                <w:szCs w:val="22"/>
              </w:rPr>
            </w:pPr>
            <w:r w:rsidRPr="005F4BDD">
              <w:rPr>
                <w:i/>
                <w:sz w:val="22"/>
                <w:szCs w:val="22"/>
              </w:rPr>
              <w:t>Prunus avium</w:t>
            </w:r>
          </w:p>
        </w:tc>
        <w:tc>
          <w:tcPr>
            <w:tcW w:w="3577" w:type="dxa"/>
            <w:hideMark/>
          </w:tcPr>
          <w:p w14:paraId="07FC74A3" w14:textId="77F86ECD" w:rsidR="00772BFD" w:rsidRPr="00096ED7" w:rsidRDefault="00772BFD" w:rsidP="00262336">
            <w:pPr>
              <w:jc w:val="center"/>
              <w:rPr>
                <w:sz w:val="22"/>
                <w:szCs w:val="22"/>
              </w:rPr>
            </w:pPr>
            <w:r w:rsidRPr="00096ED7">
              <w:rPr>
                <w:sz w:val="22"/>
                <w:szCs w:val="22"/>
              </w:rPr>
              <w:t>4 (</w:t>
            </w:r>
            <w:r>
              <w:rPr>
                <w:sz w:val="22"/>
                <w:szCs w:val="22"/>
              </w:rPr>
              <w:t>woody chips</w:t>
            </w:r>
            <w:r w:rsidRPr="00096ED7">
              <w:rPr>
                <w:sz w:val="22"/>
                <w:szCs w:val="22"/>
              </w:rPr>
              <w:t>)</w:t>
            </w:r>
          </w:p>
        </w:tc>
        <w:tc>
          <w:tcPr>
            <w:tcW w:w="2414" w:type="dxa"/>
            <w:hideMark/>
          </w:tcPr>
          <w:p w14:paraId="7B1341EA" w14:textId="36E8B3EE" w:rsidR="00772BFD" w:rsidRPr="005F4BDD" w:rsidRDefault="00772BFD" w:rsidP="00262336">
            <w:pPr>
              <w:jc w:val="center"/>
              <w:rPr>
                <w:sz w:val="22"/>
                <w:szCs w:val="22"/>
              </w:rPr>
            </w:pPr>
            <w:r w:rsidRPr="005F4BDD">
              <w:rPr>
                <w:szCs w:val="22"/>
              </w:rPr>
              <w:t>5</w:t>
            </w:r>
          </w:p>
        </w:tc>
      </w:tr>
    </w:tbl>
    <w:p w14:paraId="59181C50" w14:textId="22772D89" w:rsidR="001440CC" w:rsidRDefault="001440CC">
      <w:pPr>
        <w:pStyle w:val="IPPNormal"/>
      </w:pPr>
    </w:p>
    <w:p w14:paraId="1F054ACA" w14:textId="2948FB2E" w:rsidR="001440CC" w:rsidRDefault="001440CC" w:rsidP="0004310D">
      <w:pPr>
        <w:pStyle w:val="IPPParagraphnumbering"/>
      </w:pPr>
      <w:r w:rsidRPr="00315473">
        <w:t xml:space="preserve">Details on sampling for testing samples composed of large amount of tissue is presented in Table </w:t>
      </w:r>
      <w:r>
        <w:t>3</w:t>
      </w:r>
      <w:r w:rsidR="00C61CA8">
        <w:t xml:space="preserve"> (</w:t>
      </w:r>
      <w:r w:rsidR="00C61CA8" w:rsidRPr="000860F1">
        <w:t>EPPO, 20</w:t>
      </w:r>
      <w:r w:rsidR="00C61CA8">
        <w:t>xx</w:t>
      </w:r>
      <w:r w:rsidR="00FC246F">
        <w:t xml:space="preserve">; </w:t>
      </w:r>
      <w:r w:rsidR="00FC246F" w:rsidRPr="00315473">
        <w:t xml:space="preserve">Loconsole </w:t>
      </w:r>
      <w:r w:rsidR="00FC246F" w:rsidRPr="00315473">
        <w:rPr>
          <w:i/>
          <w:iCs/>
        </w:rPr>
        <w:t>et al</w:t>
      </w:r>
      <w:r w:rsidR="00FC246F" w:rsidRPr="00315473">
        <w:t>., 2021</w:t>
      </w:r>
      <w:r w:rsidR="00772BFD">
        <w:t xml:space="preserve">; Bergsma‐Vlami </w:t>
      </w:r>
      <w:r w:rsidR="00772BFD">
        <w:rPr>
          <w:i/>
          <w:iCs/>
        </w:rPr>
        <w:t>et al</w:t>
      </w:r>
      <w:r w:rsidR="00772BFD">
        <w:t>. 2017</w:t>
      </w:r>
      <w:r w:rsidR="00C61CA8">
        <w:t>)</w:t>
      </w:r>
      <w:r w:rsidR="004A4F1A">
        <w:t>:</w:t>
      </w:r>
    </w:p>
    <w:p w14:paraId="673470AF" w14:textId="77777777" w:rsidR="001440CC" w:rsidRDefault="001440CC" w:rsidP="001440CC"/>
    <w:p w14:paraId="61D3E7D4" w14:textId="09BD7694" w:rsidR="001440CC" w:rsidRPr="00133D6E" w:rsidRDefault="001440CC" w:rsidP="001440CC">
      <w:pPr>
        <w:rPr>
          <w:rFonts w:ascii="Arial" w:hAnsi="Arial" w:cs="Arial"/>
          <w:sz w:val="18"/>
          <w:szCs w:val="18"/>
        </w:rPr>
      </w:pPr>
      <w:bookmarkStart w:id="26" w:name="_Hlk88500350"/>
      <w:r w:rsidRPr="00133D6E">
        <w:rPr>
          <w:rFonts w:ascii="Arial" w:hAnsi="Arial" w:cs="Arial"/>
          <w:b/>
          <w:bCs/>
          <w:sz w:val="18"/>
          <w:szCs w:val="18"/>
        </w:rPr>
        <w:t xml:space="preserve">Table 3. </w:t>
      </w:r>
      <w:r w:rsidRPr="00133D6E">
        <w:rPr>
          <w:rFonts w:ascii="Arial" w:hAnsi="Arial" w:cs="Arial"/>
          <w:sz w:val="18"/>
          <w:szCs w:val="18"/>
        </w:rPr>
        <w:t xml:space="preserve">Guidance </w:t>
      </w:r>
      <w:r w:rsidR="00C61CA8" w:rsidRPr="00133D6E">
        <w:rPr>
          <w:rFonts w:ascii="Arial" w:hAnsi="Arial" w:cs="Arial"/>
          <w:sz w:val="18"/>
          <w:szCs w:val="18"/>
        </w:rPr>
        <w:t>on</w:t>
      </w:r>
      <w:r w:rsidRPr="00133D6E">
        <w:rPr>
          <w:rFonts w:ascii="Arial" w:hAnsi="Arial" w:cs="Arial"/>
          <w:sz w:val="18"/>
          <w:szCs w:val="18"/>
        </w:rPr>
        <w:t xml:space="preserve"> sampling for lots of </w:t>
      </w:r>
      <w:r w:rsidR="004A4F1A" w:rsidRPr="00133D6E">
        <w:rPr>
          <w:rFonts w:ascii="Arial" w:hAnsi="Arial" w:cs="Arial"/>
          <w:sz w:val="18"/>
          <w:szCs w:val="18"/>
        </w:rPr>
        <w:t xml:space="preserve">large composite </w:t>
      </w:r>
      <w:r w:rsidRPr="00133D6E">
        <w:rPr>
          <w:rFonts w:ascii="Arial" w:hAnsi="Arial" w:cs="Arial"/>
          <w:sz w:val="18"/>
          <w:szCs w:val="18"/>
        </w:rPr>
        <w:t>plant</w:t>
      </w:r>
      <w:r w:rsidR="004A4F1A" w:rsidRPr="00133D6E">
        <w:rPr>
          <w:rFonts w:ascii="Arial" w:hAnsi="Arial" w:cs="Arial"/>
          <w:sz w:val="18"/>
          <w:szCs w:val="18"/>
        </w:rPr>
        <w:t xml:space="preserve"> samples</w:t>
      </w:r>
      <w:r w:rsidRPr="00133D6E">
        <w:rPr>
          <w:rFonts w:ascii="Arial" w:hAnsi="Arial" w:cs="Arial"/>
          <w:sz w:val="18"/>
          <w:szCs w:val="18"/>
        </w:rPr>
        <w:t xml:space="preserve"> (e.g. composite samples from consignment/places of production of plants for planting). </w:t>
      </w:r>
      <w:r w:rsidRPr="00133D6E">
        <w:rPr>
          <w:rFonts w:ascii="Arial" w:hAnsi="Arial" w:cs="Arial"/>
          <w:bCs/>
          <w:sz w:val="18"/>
          <w:szCs w:val="18"/>
        </w:rPr>
        <w:t>The extraction procedure performed includes a bacterial concentration step</w:t>
      </w:r>
      <w:r w:rsidRPr="00133D6E">
        <w:rPr>
          <w:rFonts w:ascii="Arial" w:hAnsi="Arial" w:cs="Arial"/>
          <w:sz w:val="18"/>
          <w:szCs w:val="18"/>
        </w:rPr>
        <w:t xml:space="preserve">. </w:t>
      </w:r>
    </w:p>
    <w:bookmarkEnd w:id="26"/>
    <w:p w14:paraId="0559B3AE" w14:textId="656ED028" w:rsidR="001440CC" w:rsidRPr="00315473" w:rsidRDefault="001440CC" w:rsidP="001440CC">
      <w:r w:rsidRPr="00315473">
        <w:t xml:space="preserve"> </w:t>
      </w:r>
    </w:p>
    <w:tbl>
      <w:tblPr>
        <w:tblStyle w:val="TableGrid"/>
        <w:tblW w:w="9126" w:type="dxa"/>
        <w:tblLook w:val="04A0" w:firstRow="1" w:lastRow="0" w:firstColumn="1" w:lastColumn="0" w:noHBand="0" w:noVBand="1"/>
      </w:tblPr>
      <w:tblGrid>
        <w:gridCol w:w="3083"/>
        <w:gridCol w:w="3620"/>
        <w:gridCol w:w="2423"/>
      </w:tblGrid>
      <w:tr w:rsidR="00772BFD" w:rsidRPr="00315473" w14:paraId="4533136E" w14:textId="77777777" w:rsidTr="00262336">
        <w:trPr>
          <w:trHeight w:val="510"/>
        </w:trPr>
        <w:tc>
          <w:tcPr>
            <w:tcW w:w="3083" w:type="dxa"/>
            <w:hideMark/>
          </w:tcPr>
          <w:p w14:paraId="780928FA" w14:textId="22F5EDA4" w:rsidR="00772BFD" w:rsidRPr="00315473" w:rsidRDefault="00772BFD" w:rsidP="000D559F">
            <w:pPr>
              <w:rPr>
                <w:sz w:val="22"/>
                <w:szCs w:val="22"/>
              </w:rPr>
            </w:pPr>
            <w:r w:rsidRPr="00315473">
              <w:rPr>
                <w:sz w:val="22"/>
                <w:szCs w:val="22"/>
              </w:rPr>
              <w:t>Host</w:t>
            </w:r>
            <w:r>
              <w:rPr>
                <w:sz w:val="22"/>
                <w:szCs w:val="22"/>
              </w:rPr>
              <w:t xml:space="preserve"> species</w:t>
            </w:r>
          </w:p>
        </w:tc>
        <w:tc>
          <w:tcPr>
            <w:tcW w:w="3620" w:type="dxa"/>
            <w:hideMark/>
          </w:tcPr>
          <w:p w14:paraId="1275F0F0" w14:textId="125F14D7" w:rsidR="00772BFD" w:rsidRPr="00315473" w:rsidRDefault="00772BFD" w:rsidP="000D559F">
            <w:pPr>
              <w:rPr>
                <w:sz w:val="22"/>
                <w:szCs w:val="22"/>
              </w:rPr>
            </w:pPr>
            <w:r>
              <w:rPr>
                <w:sz w:val="22"/>
                <w:szCs w:val="22"/>
              </w:rPr>
              <w:t>Maximum size of the composite sample</w:t>
            </w:r>
          </w:p>
        </w:tc>
        <w:tc>
          <w:tcPr>
            <w:tcW w:w="2423" w:type="dxa"/>
            <w:hideMark/>
          </w:tcPr>
          <w:p w14:paraId="51A8F33D" w14:textId="67ED7274" w:rsidR="00772BFD" w:rsidRPr="00315473" w:rsidRDefault="00262336" w:rsidP="000D559F">
            <w:pPr>
              <w:rPr>
                <w:sz w:val="22"/>
                <w:szCs w:val="22"/>
              </w:rPr>
            </w:pPr>
            <w:r>
              <w:rPr>
                <w:sz w:val="22"/>
                <w:szCs w:val="22"/>
              </w:rPr>
              <w:t>Maximum nb</w:t>
            </w:r>
            <w:r w:rsidR="00772BFD" w:rsidRPr="00315473">
              <w:rPr>
                <w:sz w:val="22"/>
                <w:szCs w:val="22"/>
              </w:rPr>
              <w:t>. of plants that can be pooled</w:t>
            </w:r>
          </w:p>
        </w:tc>
      </w:tr>
      <w:tr w:rsidR="00772BFD" w:rsidRPr="00315473" w14:paraId="7FD2059D" w14:textId="77777777" w:rsidTr="00262336">
        <w:trPr>
          <w:trHeight w:val="510"/>
        </w:trPr>
        <w:tc>
          <w:tcPr>
            <w:tcW w:w="3083" w:type="dxa"/>
            <w:hideMark/>
          </w:tcPr>
          <w:p w14:paraId="537D2A84" w14:textId="4B5884CF" w:rsidR="00772BFD" w:rsidRPr="00315473" w:rsidRDefault="00772BFD" w:rsidP="005F4BDD">
            <w:pPr>
              <w:rPr>
                <w:sz w:val="22"/>
                <w:szCs w:val="22"/>
              </w:rPr>
            </w:pPr>
            <w:r w:rsidRPr="005F4BDD">
              <w:rPr>
                <w:i/>
                <w:sz w:val="22"/>
                <w:szCs w:val="22"/>
              </w:rPr>
              <w:t xml:space="preserve"> O</w:t>
            </w:r>
            <w:r>
              <w:rPr>
                <w:i/>
                <w:sz w:val="22"/>
                <w:szCs w:val="22"/>
              </w:rPr>
              <w:t>lea</w:t>
            </w:r>
            <w:r w:rsidRPr="005F4BDD">
              <w:rPr>
                <w:i/>
                <w:sz w:val="22"/>
                <w:szCs w:val="22"/>
              </w:rPr>
              <w:t xml:space="preserve"> europaea</w:t>
            </w:r>
            <w:r w:rsidRPr="00315473">
              <w:rPr>
                <w:sz w:val="22"/>
                <w:szCs w:val="22"/>
              </w:rPr>
              <w:t xml:space="preserve"> †</w:t>
            </w:r>
          </w:p>
        </w:tc>
        <w:tc>
          <w:tcPr>
            <w:tcW w:w="3620" w:type="dxa"/>
            <w:hideMark/>
          </w:tcPr>
          <w:p w14:paraId="03D4F5B4" w14:textId="6B7FEEB0" w:rsidR="00772BFD" w:rsidRPr="00315473" w:rsidRDefault="00772BFD" w:rsidP="00262336">
            <w:pPr>
              <w:jc w:val="center"/>
              <w:rPr>
                <w:sz w:val="22"/>
                <w:szCs w:val="22"/>
              </w:rPr>
            </w:pPr>
            <w:r>
              <w:rPr>
                <w:sz w:val="22"/>
                <w:szCs w:val="22"/>
              </w:rPr>
              <w:t>800-900 leaf basal parts (20g)</w:t>
            </w:r>
          </w:p>
        </w:tc>
        <w:tc>
          <w:tcPr>
            <w:tcW w:w="2423" w:type="dxa"/>
            <w:hideMark/>
          </w:tcPr>
          <w:p w14:paraId="1BE2B583" w14:textId="48DDC334" w:rsidR="00772BFD" w:rsidRPr="00315473" w:rsidRDefault="00772BFD" w:rsidP="00262336">
            <w:pPr>
              <w:jc w:val="center"/>
              <w:rPr>
                <w:sz w:val="22"/>
                <w:szCs w:val="22"/>
              </w:rPr>
            </w:pPr>
            <w:r>
              <w:rPr>
                <w:sz w:val="22"/>
                <w:szCs w:val="22"/>
              </w:rPr>
              <w:t>200</w:t>
            </w:r>
            <w:r w:rsidRPr="00315473">
              <w:rPr>
                <w:sz w:val="22"/>
                <w:szCs w:val="22"/>
              </w:rPr>
              <w:t xml:space="preserve"> to 225</w:t>
            </w:r>
          </w:p>
        </w:tc>
      </w:tr>
      <w:tr w:rsidR="00772BFD" w:rsidRPr="00315473" w14:paraId="004759F0" w14:textId="77777777" w:rsidTr="00262336">
        <w:trPr>
          <w:trHeight w:val="243"/>
        </w:trPr>
        <w:tc>
          <w:tcPr>
            <w:tcW w:w="3083" w:type="dxa"/>
            <w:hideMark/>
          </w:tcPr>
          <w:p w14:paraId="372E6294" w14:textId="77777777" w:rsidR="00772BFD" w:rsidRPr="00315473" w:rsidRDefault="00772BFD" w:rsidP="000D559F">
            <w:pPr>
              <w:rPr>
                <w:sz w:val="22"/>
                <w:szCs w:val="22"/>
              </w:rPr>
            </w:pPr>
            <w:r w:rsidRPr="00315473">
              <w:rPr>
                <w:i/>
                <w:iCs/>
                <w:sz w:val="22"/>
                <w:szCs w:val="22"/>
              </w:rPr>
              <w:t>Nerium oleander</w:t>
            </w:r>
          </w:p>
        </w:tc>
        <w:tc>
          <w:tcPr>
            <w:tcW w:w="3620" w:type="dxa"/>
            <w:hideMark/>
          </w:tcPr>
          <w:p w14:paraId="09889C10" w14:textId="784E3890" w:rsidR="00772BFD" w:rsidRPr="00315473" w:rsidRDefault="00772BFD" w:rsidP="00262336">
            <w:pPr>
              <w:jc w:val="center"/>
              <w:rPr>
                <w:sz w:val="22"/>
                <w:szCs w:val="22"/>
              </w:rPr>
            </w:pPr>
            <w:r>
              <w:rPr>
                <w:sz w:val="22"/>
                <w:szCs w:val="22"/>
              </w:rPr>
              <w:t>200 leaf petioles (20g)</w:t>
            </w:r>
          </w:p>
        </w:tc>
        <w:tc>
          <w:tcPr>
            <w:tcW w:w="2423" w:type="dxa"/>
            <w:hideMark/>
          </w:tcPr>
          <w:p w14:paraId="58D7D28D" w14:textId="74F26220" w:rsidR="00772BFD" w:rsidRPr="00315473" w:rsidRDefault="00772BFD" w:rsidP="00262336">
            <w:pPr>
              <w:jc w:val="center"/>
              <w:rPr>
                <w:sz w:val="22"/>
                <w:szCs w:val="22"/>
              </w:rPr>
            </w:pPr>
            <w:r w:rsidRPr="00315473">
              <w:rPr>
                <w:sz w:val="22"/>
                <w:szCs w:val="22"/>
              </w:rPr>
              <w:t>100</w:t>
            </w:r>
          </w:p>
        </w:tc>
      </w:tr>
      <w:tr w:rsidR="00772BFD" w:rsidRPr="00315473" w14:paraId="5FF2992F" w14:textId="77777777" w:rsidTr="00262336">
        <w:trPr>
          <w:trHeight w:val="254"/>
        </w:trPr>
        <w:tc>
          <w:tcPr>
            <w:tcW w:w="3083" w:type="dxa"/>
            <w:hideMark/>
          </w:tcPr>
          <w:p w14:paraId="4C520E6C" w14:textId="77777777" w:rsidR="00772BFD" w:rsidRPr="00315473" w:rsidRDefault="00772BFD" w:rsidP="000D559F">
            <w:pPr>
              <w:rPr>
                <w:sz w:val="22"/>
                <w:szCs w:val="22"/>
              </w:rPr>
            </w:pPr>
            <w:r w:rsidRPr="00315473">
              <w:rPr>
                <w:sz w:val="22"/>
                <w:szCs w:val="22"/>
              </w:rPr>
              <w:t>Herbaceous plantlets</w:t>
            </w:r>
          </w:p>
        </w:tc>
        <w:tc>
          <w:tcPr>
            <w:tcW w:w="3620" w:type="dxa"/>
            <w:hideMark/>
          </w:tcPr>
          <w:p w14:paraId="030034F5" w14:textId="09909025" w:rsidR="00772BFD" w:rsidRPr="00315473" w:rsidRDefault="00772BFD" w:rsidP="00262336">
            <w:pPr>
              <w:jc w:val="center"/>
              <w:rPr>
                <w:sz w:val="22"/>
                <w:szCs w:val="22"/>
              </w:rPr>
            </w:pPr>
            <w:r>
              <w:rPr>
                <w:sz w:val="22"/>
                <w:szCs w:val="22"/>
              </w:rPr>
              <w:t>200 stems (40g)</w:t>
            </w:r>
          </w:p>
        </w:tc>
        <w:tc>
          <w:tcPr>
            <w:tcW w:w="2423" w:type="dxa"/>
            <w:hideMark/>
          </w:tcPr>
          <w:p w14:paraId="39FC5633" w14:textId="09F68182" w:rsidR="00772BFD" w:rsidRPr="00315473" w:rsidRDefault="00772BFD" w:rsidP="00262336">
            <w:pPr>
              <w:jc w:val="center"/>
              <w:rPr>
                <w:sz w:val="22"/>
                <w:szCs w:val="22"/>
              </w:rPr>
            </w:pPr>
            <w:r w:rsidRPr="00315473">
              <w:rPr>
                <w:sz w:val="22"/>
                <w:szCs w:val="22"/>
              </w:rPr>
              <w:t>200</w:t>
            </w:r>
          </w:p>
        </w:tc>
      </w:tr>
      <w:tr w:rsidR="00772BFD" w:rsidRPr="00315473" w14:paraId="625CC326" w14:textId="77777777" w:rsidTr="00262336">
        <w:trPr>
          <w:trHeight w:val="254"/>
        </w:trPr>
        <w:tc>
          <w:tcPr>
            <w:tcW w:w="3083" w:type="dxa"/>
            <w:hideMark/>
          </w:tcPr>
          <w:p w14:paraId="78EB81B4" w14:textId="0739F5ED" w:rsidR="00772BFD" w:rsidRPr="00315473" w:rsidRDefault="00772BFD" w:rsidP="000D559F">
            <w:pPr>
              <w:rPr>
                <w:sz w:val="22"/>
                <w:szCs w:val="22"/>
              </w:rPr>
            </w:pPr>
            <w:r w:rsidRPr="00315473">
              <w:rPr>
                <w:i/>
                <w:iCs/>
                <w:sz w:val="22"/>
                <w:szCs w:val="22"/>
              </w:rPr>
              <w:t>Polygala myrtifolia</w:t>
            </w:r>
            <w:r w:rsidRPr="00315473">
              <w:rPr>
                <w:sz w:val="22"/>
                <w:szCs w:val="22"/>
              </w:rPr>
              <w:t xml:space="preserve"> </w:t>
            </w:r>
            <w:r w:rsidR="00291857" w:rsidRPr="00315473">
              <w:rPr>
                <w:sz w:val="22"/>
                <w:szCs w:val="22"/>
              </w:rPr>
              <w:t>††</w:t>
            </w:r>
          </w:p>
        </w:tc>
        <w:tc>
          <w:tcPr>
            <w:tcW w:w="3620" w:type="dxa"/>
            <w:hideMark/>
          </w:tcPr>
          <w:p w14:paraId="7DDBCA3A" w14:textId="7EF536FA" w:rsidR="00772BFD" w:rsidRPr="00315473" w:rsidRDefault="00772BFD" w:rsidP="00262336">
            <w:pPr>
              <w:jc w:val="center"/>
              <w:rPr>
                <w:sz w:val="22"/>
                <w:szCs w:val="22"/>
              </w:rPr>
            </w:pPr>
            <w:r>
              <w:rPr>
                <w:sz w:val="22"/>
                <w:szCs w:val="22"/>
              </w:rPr>
              <w:t>250 shoot pieces of 1.5-2cm (20g)</w:t>
            </w:r>
          </w:p>
        </w:tc>
        <w:tc>
          <w:tcPr>
            <w:tcW w:w="2423" w:type="dxa"/>
            <w:hideMark/>
          </w:tcPr>
          <w:p w14:paraId="73EA0C60" w14:textId="7D79B995" w:rsidR="00772BFD" w:rsidRPr="00315473" w:rsidRDefault="00772BFD" w:rsidP="00262336">
            <w:pPr>
              <w:jc w:val="center"/>
              <w:rPr>
                <w:sz w:val="22"/>
                <w:szCs w:val="22"/>
              </w:rPr>
            </w:pPr>
            <w:r w:rsidRPr="00315473">
              <w:rPr>
                <w:sz w:val="22"/>
                <w:szCs w:val="22"/>
              </w:rPr>
              <w:t>125</w:t>
            </w:r>
          </w:p>
        </w:tc>
      </w:tr>
      <w:tr w:rsidR="00772BFD" w:rsidRPr="00315473" w14:paraId="1CE124FF" w14:textId="77777777" w:rsidTr="00262336">
        <w:trPr>
          <w:trHeight w:val="254"/>
        </w:trPr>
        <w:tc>
          <w:tcPr>
            <w:tcW w:w="3083" w:type="dxa"/>
            <w:hideMark/>
          </w:tcPr>
          <w:p w14:paraId="1BB768DE" w14:textId="6D6A7CF7" w:rsidR="00772BFD" w:rsidRPr="00315473" w:rsidRDefault="00772BFD" w:rsidP="000D559F">
            <w:pPr>
              <w:rPr>
                <w:sz w:val="22"/>
                <w:szCs w:val="22"/>
              </w:rPr>
            </w:pPr>
            <w:r w:rsidRPr="00315473">
              <w:rPr>
                <w:i/>
                <w:iCs/>
                <w:sz w:val="22"/>
                <w:szCs w:val="22"/>
              </w:rPr>
              <w:t>Lavandula</w:t>
            </w:r>
            <w:r w:rsidRPr="00315473">
              <w:rPr>
                <w:sz w:val="22"/>
                <w:szCs w:val="22"/>
              </w:rPr>
              <w:t xml:space="preserve"> spp</w:t>
            </w:r>
            <w:r w:rsidR="00291857">
              <w:rPr>
                <w:sz w:val="22"/>
                <w:szCs w:val="22"/>
              </w:rPr>
              <w:t xml:space="preserve">. </w:t>
            </w:r>
            <w:r w:rsidR="00291857" w:rsidRPr="00315473">
              <w:t>†††</w:t>
            </w:r>
          </w:p>
        </w:tc>
        <w:tc>
          <w:tcPr>
            <w:tcW w:w="3620" w:type="dxa"/>
            <w:hideMark/>
          </w:tcPr>
          <w:p w14:paraId="663EBAE1" w14:textId="7F4A1621" w:rsidR="00772BFD" w:rsidRPr="00315473" w:rsidRDefault="00772BFD" w:rsidP="00262336">
            <w:pPr>
              <w:jc w:val="center"/>
              <w:rPr>
                <w:sz w:val="22"/>
                <w:szCs w:val="22"/>
              </w:rPr>
            </w:pPr>
            <w:r>
              <w:rPr>
                <w:sz w:val="22"/>
                <w:szCs w:val="22"/>
              </w:rPr>
              <w:t>180-200 shoot pieces of 2.5-3cm (20g)</w:t>
            </w:r>
          </w:p>
        </w:tc>
        <w:tc>
          <w:tcPr>
            <w:tcW w:w="2423" w:type="dxa"/>
            <w:hideMark/>
          </w:tcPr>
          <w:p w14:paraId="0F94265A" w14:textId="1356715A" w:rsidR="00772BFD" w:rsidRPr="00315473" w:rsidRDefault="00772BFD" w:rsidP="00262336">
            <w:pPr>
              <w:jc w:val="center"/>
              <w:rPr>
                <w:sz w:val="22"/>
                <w:szCs w:val="22"/>
              </w:rPr>
            </w:pPr>
            <w:r>
              <w:rPr>
                <w:sz w:val="22"/>
                <w:szCs w:val="22"/>
              </w:rPr>
              <w:t>90</w:t>
            </w:r>
            <w:r w:rsidRPr="00315473">
              <w:rPr>
                <w:sz w:val="22"/>
                <w:szCs w:val="22"/>
              </w:rPr>
              <w:t xml:space="preserve"> to 100</w:t>
            </w:r>
          </w:p>
        </w:tc>
      </w:tr>
      <w:tr w:rsidR="00772BFD" w:rsidRPr="00315473" w14:paraId="17B42189" w14:textId="77777777" w:rsidTr="00262336">
        <w:trPr>
          <w:trHeight w:val="510"/>
        </w:trPr>
        <w:tc>
          <w:tcPr>
            <w:tcW w:w="3083" w:type="dxa"/>
            <w:hideMark/>
          </w:tcPr>
          <w:p w14:paraId="0455072F" w14:textId="1F75735C" w:rsidR="00772BFD" w:rsidRPr="00315473" w:rsidRDefault="00772BFD" w:rsidP="000D559F">
            <w:pPr>
              <w:rPr>
                <w:sz w:val="22"/>
                <w:szCs w:val="22"/>
              </w:rPr>
            </w:pPr>
            <w:r w:rsidRPr="00315473">
              <w:rPr>
                <w:i/>
                <w:iCs/>
                <w:sz w:val="22"/>
                <w:szCs w:val="22"/>
              </w:rPr>
              <w:t>Prunus avium</w:t>
            </w:r>
          </w:p>
        </w:tc>
        <w:tc>
          <w:tcPr>
            <w:tcW w:w="3620" w:type="dxa"/>
            <w:hideMark/>
          </w:tcPr>
          <w:p w14:paraId="4D01408F" w14:textId="10311110" w:rsidR="00772BFD" w:rsidRPr="00315473" w:rsidRDefault="00772BFD" w:rsidP="00262336">
            <w:pPr>
              <w:jc w:val="center"/>
              <w:rPr>
                <w:sz w:val="22"/>
                <w:szCs w:val="22"/>
              </w:rPr>
            </w:pPr>
            <w:r>
              <w:rPr>
                <w:sz w:val="22"/>
                <w:szCs w:val="22"/>
              </w:rPr>
              <w:t>200 wood chips</w:t>
            </w:r>
            <w:r w:rsidR="00291857">
              <w:rPr>
                <w:sz w:val="22"/>
                <w:szCs w:val="22"/>
              </w:rPr>
              <w:t xml:space="preserve"> (20g)</w:t>
            </w:r>
          </w:p>
        </w:tc>
        <w:tc>
          <w:tcPr>
            <w:tcW w:w="2423" w:type="dxa"/>
            <w:hideMark/>
          </w:tcPr>
          <w:p w14:paraId="4416876A" w14:textId="3A4DF327" w:rsidR="00772BFD" w:rsidRPr="00315473" w:rsidRDefault="00772BFD" w:rsidP="00262336">
            <w:pPr>
              <w:jc w:val="center"/>
              <w:rPr>
                <w:sz w:val="22"/>
                <w:szCs w:val="22"/>
              </w:rPr>
            </w:pPr>
            <w:r w:rsidRPr="00315473">
              <w:rPr>
                <w:sz w:val="22"/>
                <w:szCs w:val="22"/>
              </w:rPr>
              <w:t>100</w:t>
            </w:r>
          </w:p>
        </w:tc>
      </w:tr>
      <w:tr w:rsidR="00772BFD" w:rsidRPr="00315473" w14:paraId="44EDE422" w14:textId="77777777" w:rsidTr="00262336">
        <w:trPr>
          <w:trHeight w:val="254"/>
        </w:trPr>
        <w:tc>
          <w:tcPr>
            <w:tcW w:w="3083" w:type="dxa"/>
            <w:hideMark/>
          </w:tcPr>
          <w:p w14:paraId="74773BC4" w14:textId="6F76FAA9" w:rsidR="00772BFD" w:rsidRPr="00315473" w:rsidRDefault="00772BFD" w:rsidP="000D559F">
            <w:pPr>
              <w:rPr>
                <w:sz w:val="22"/>
                <w:szCs w:val="22"/>
              </w:rPr>
            </w:pPr>
            <w:r w:rsidRPr="00315473">
              <w:rPr>
                <w:i/>
                <w:iCs/>
                <w:sz w:val="22"/>
                <w:szCs w:val="22"/>
              </w:rPr>
              <w:t>Coffea</w:t>
            </w:r>
            <w:r>
              <w:rPr>
                <w:i/>
                <w:iCs/>
                <w:sz w:val="22"/>
                <w:szCs w:val="22"/>
              </w:rPr>
              <w:t xml:space="preserve"> </w:t>
            </w:r>
            <w:r w:rsidRPr="005F4BDD">
              <w:rPr>
                <w:iCs/>
                <w:sz w:val="22"/>
                <w:szCs w:val="22"/>
              </w:rPr>
              <w:t>spp.</w:t>
            </w:r>
          </w:p>
        </w:tc>
        <w:tc>
          <w:tcPr>
            <w:tcW w:w="3620" w:type="dxa"/>
            <w:hideMark/>
          </w:tcPr>
          <w:p w14:paraId="1D3CB47C" w14:textId="033030AE" w:rsidR="00772BFD" w:rsidRPr="00315473" w:rsidRDefault="00772BFD" w:rsidP="00262336">
            <w:pPr>
              <w:jc w:val="center"/>
              <w:rPr>
                <w:sz w:val="22"/>
                <w:szCs w:val="22"/>
              </w:rPr>
            </w:pPr>
            <w:r>
              <w:rPr>
                <w:sz w:val="22"/>
                <w:szCs w:val="22"/>
              </w:rPr>
              <w:t>100 petioles and midribs</w:t>
            </w:r>
            <w:r w:rsidR="00291857">
              <w:rPr>
                <w:sz w:val="22"/>
                <w:szCs w:val="22"/>
              </w:rPr>
              <w:t xml:space="preserve"> (10g)</w:t>
            </w:r>
          </w:p>
        </w:tc>
        <w:tc>
          <w:tcPr>
            <w:tcW w:w="2423" w:type="dxa"/>
            <w:hideMark/>
          </w:tcPr>
          <w:p w14:paraId="3CE4AA46" w14:textId="158BC3BC" w:rsidR="00772BFD" w:rsidRPr="00315473" w:rsidRDefault="00772BFD" w:rsidP="00262336">
            <w:pPr>
              <w:jc w:val="center"/>
              <w:rPr>
                <w:sz w:val="22"/>
                <w:szCs w:val="22"/>
              </w:rPr>
            </w:pPr>
            <w:r w:rsidRPr="00315473">
              <w:rPr>
                <w:sz w:val="22"/>
                <w:szCs w:val="22"/>
              </w:rPr>
              <w:t>50</w:t>
            </w:r>
          </w:p>
        </w:tc>
      </w:tr>
      <w:tr w:rsidR="00772BFD" w:rsidRPr="00315473" w14:paraId="0EFC95BD" w14:textId="77777777" w:rsidTr="00262336">
        <w:trPr>
          <w:trHeight w:val="243"/>
        </w:trPr>
        <w:tc>
          <w:tcPr>
            <w:tcW w:w="3083" w:type="dxa"/>
          </w:tcPr>
          <w:p w14:paraId="7555D506" w14:textId="54503692" w:rsidR="00772BFD" w:rsidRPr="00315473" w:rsidRDefault="00772BFD" w:rsidP="000D559F">
            <w:pPr>
              <w:rPr>
                <w:i/>
                <w:iCs/>
                <w:sz w:val="22"/>
                <w:szCs w:val="22"/>
              </w:rPr>
            </w:pPr>
            <w:bookmarkStart w:id="27" w:name="_Hlk94523563"/>
            <w:r w:rsidRPr="00315473">
              <w:rPr>
                <w:i/>
                <w:iCs/>
                <w:sz w:val="22"/>
                <w:szCs w:val="22"/>
              </w:rPr>
              <w:t>Helichrysum italicum</w:t>
            </w:r>
            <w:bookmarkEnd w:id="27"/>
            <w:r w:rsidR="00291857" w:rsidRPr="00315473">
              <w:t>*</w:t>
            </w:r>
          </w:p>
        </w:tc>
        <w:tc>
          <w:tcPr>
            <w:tcW w:w="3620" w:type="dxa"/>
          </w:tcPr>
          <w:p w14:paraId="78DA3DDD" w14:textId="70C309BB" w:rsidR="00772BFD" w:rsidRPr="00315473" w:rsidRDefault="00262336" w:rsidP="00291857">
            <w:pPr>
              <w:jc w:val="center"/>
              <w:rPr>
                <w:sz w:val="22"/>
                <w:szCs w:val="22"/>
              </w:rPr>
            </w:pPr>
            <w:r>
              <w:rPr>
                <w:sz w:val="22"/>
                <w:szCs w:val="22"/>
              </w:rPr>
              <w:t xml:space="preserve">100 </w:t>
            </w:r>
            <w:r w:rsidR="00291857">
              <w:rPr>
                <w:sz w:val="22"/>
                <w:szCs w:val="22"/>
              </w:rPr>
              <w:t xml:space="preserve">pieces of </w:t>
            </w:r>
            <w:r>
              <w:rPr>
                <w:sz w:val="22"/>
                <w:szCs w:val="22"/>
              </w:rPr>
              <w:t>stems</w:t>
            </w:r>
            <w:r w:rsidR="00291857">
              <w:rPr>
                <w:sz w:val="22"/>
                <w:szCs w:val="22"/>
              </w:rPr>
              <w:t xml:space="preserve"> of 2-3cm (5g)</w:t>
            </w:r>
          </w:p>
        </w:tc>
        <w:tc>
          <w:tcPr>
            <w:tcW w:w="2423" w:type="dxa"/>
          </w:tcPr>
          <w:p w14:paraId="67843CB2" w14:textId="2DE0D32C" w:rsidR="00772BFD" w:rsidRPr="00315473" w:rsidRDefault="00772BFD" w:rsidP="00291857">
            <w:pPr>
              <w:jc w:val="center"/>
              <w:rPr>
                <w:sz w:val="22"/>
                <w:szCs w:val="22"/>
              </w:rPr>
            </w:pPr>
            <w:r w:rsidRPr="00315473">
              <w:rPr>
                <w:sz w:val="22"/>
                <w:szCs w:val="22"/>
              </w:rPr>
              <w:t>50</w:t>
            </w:r>
          </w:p>
        </w:tc>
      </w:tr>
    </w:tbl>
    <w:p w14:paraId="3F05B39A" w14:textId="743712C2" w:rsidR="001440CC" w:rsidRPr="00315473" w:rsidRDefault="001440CC" w:rsidP="001440CC">
      <w:r w:rsidRPr="00315473">
        <w:t>† When sampling plants from a lot, at least four leaves per plant should be collected.</w:t>
      </w:r>
    </w:p>
    <w:p w14:paraId="58C80378" w14:textId="6316C963" w:rsidR="001440CC" w:rsidRPr="00315473" w:rsidRDefault="00291857" w:rsidP="001440CC">
      <w:r w:rsidRPr="00315473">
        <w:rPr>
          <w:szCs w:val="22"/>
        </w:rPr>
        <w:t>††</w:t>
      </w:r>
      <w:r w:rsidR="001440CC" w:rsidRPr="00315473">
        <w:t xml:space="preserve"> Tests performed on leaves repeatedly failed to detect the bacterium.</w:t>
      </w:r>
    </w:p>
    <w:p w14:paraId="0C39FB59" w14:textId="7FD79F99" w:rsidR="001440CC" w:rsidRDefault="001440CC" w:rsidP="001440CC">
      <w:r w:rsidRPr="00315473">
        <w:t>††</w:t>
      </w:r>
      <w:r w:rsidR="00291857" w:rsidRPr="00315473">
        <w:t>†</w:t>
      </w:r>
      <w:r w:rsidRPr="00315473">
        <w:t xml:space="preserve"> Leaves should be removed either by detaching them from the stem or by cutting out the leaf blade.</w:t>
      </w:r>
    </w:p>
    <w:p w14:paraId="7D5CE90A" w14:textId="77777777" w:rsidR="00291857" w:rsidRPr="00315473" w:rsidRDefault="00291857" w:rsidP="00291857">
      <w:r w:rsidRPr="00315473">
        <w:t xml:space="preserve">* The indications are based on the data </w:t>
      </w:r>
      <w:r>
        <w:t>from</w:t>
      </w:r>
      <w:r w:rsidRPr="00315473">
        <w:t xml:space="preserve"> Anses, FR </w:t>
      </w:r>
    </w:p>
    <w:p w14:paraId="0E12ABFE" w14:textId="77777777" w:rsidR="00291857" w:rsidRPr="00315473" w:rsidRDefault="00291857" w:rsidP="001440CC"/>
    <w:p w14:paraId="07924B47" w14:textId="5EA682A7" w:rsidR="008E6998" w:rsidRPr="000860F1" w:rsidRDefault="000330D6">
      <w:pPr>
        <w:pStyle w:val="IPPHeading2"/>
      </w:pPr>
      <w:bookmarkStart w:id="28" w:name="_Toc111710127"/>
      <w:r w:rsidRPr="000860F1">
        <w:t>3.2.</w:t>
      </w:r>
      <w:r w:rsidR="00821B18" w:rsidRPr="000860F1">
        <w:t>5</w:t>
      </w:r>
      <w:r w:rsidRPr="000860F1">
        <w:tab/>
      </w:r>
      <w:r w:rsidR="0080491A" w:rsidRPr="000860F1">
        <w:t>Plant s</w:t>
      </w:r>
      <w:r w:rsidRPr="000860F1">
        <w:t xml:space="preserve">ample </w:t>
      </w:r>
      <w:r w:rsidR="0080491A" w:rsidRPr="000860F1">
        <w:t xml:space="preserve">transport and </w:t>
      </w:r>
      <w:r w:rsidRPr="000860F1">
        <w:t>storage in the laboratory</w:t>
      </w:r>
      <w:bookmarkEnd w:id="28"/>
    </w:p>
    <w:p w14:paraId="1B5A407F" w14:textId="250DF68D" w:rsidR="001440CC" w:rsidRPr="00315473" w:rsidRDefault="00433918" w:rsidP="0004310D">
      <w:pPr>
        <w:pStyle w:val="IPPParagraphnumbering"/>
      </w:pPr>
      <w:r w:rsidRPr="000860F1">
        <w:t>Once samples are collected, they should be kept cool (e.g. 4–15</w:t>
      </w:r>
      <w:r w:rsidR="00E60C48" w:rsidRPr="000860F1">
        <w:t> °</w:t>
      </w:r>
      <w:r w:rsidRPr="000860F1">
        <w:t xml:space="preserve">C) and transported to the laboratory as </w:t>
      </w:r>
      <w:r w:rsidR="00146FA2" w:rsidRPr="000860F1">
        <w:t xml:space="preserve">quickly </w:t>
      </w:r>
      <w:r w:rsidRPr="000860F1">
        <w:t xml:space="preserve">as possible. Lower temperatures can reduce sample deterioration. However, </w:t>
      </w:r>
      <w:r w:rsidRPr="000860F1">
        <w:rPr>
          <w:i/>
        </w:rPr>
        <w:t>X. fastidiosa</w:t>
      </w:r>
      <w:r w:rsidRPr="000860F1">
        <w:t xml:space="preserve"> does not survive well in cold temperatures and for culture isolation work it is better to process samples immediately rather than refrigerate. </w:t>
      </w:r>
      <w:r w:rsidR="000330D6" w:rsidRPr="000860F1">
        <w:t>Samples should be processed as soon as possible after arrival</w:t>
      </w:r>
      <w:r w:rsidR="0080491A" w:rsidRPr="000860F1">
        <w:t xml:space="preserve"> at the laboratory</w:t>
      </w:r>
      <w:r w:rsidR="000330D6" w:rsidRPr="000860F1">
        <w:t xml:space="preserve">. </w:t>
      </w:r>
      <w:r w:rsidR="001440CC" w:rsidRPr="00315473">
        <w:t>If the plant samples originate from areas where infected vectors may occur, it is recommended to check whether insects are present in the sample before opening the bags. If any insects are present, samples should be stored in the refrigerator for approximately 12 h.</w:t>
      </w:r>
    </w:p>
    <w:p w14:paraId="3FBADBC9" w14:textId="4F527A63" w:rsidR="001440CC" w:rsidRPr="00315473" w:rsidRDefault="00EE05A3" w:rsidP="0004310D">
      <w:pPr>
        <w:pStyle w:val="IPPParagraphnumbering"/>
      </w:pPr>
      <w:r w:rsidRPr="000860F1">
        <w:t>If necessary, h</w:t>
      </w:r>
      <w:r w:rsidR="0080491A" w:rsidRPr="000860F1">
        <w:t xml:space="preserve">owever, </w:t>
      </w:r>
      <w:r w:rsidRPr="000860F1">
        <w:t xml:space="preserve">samples </w:t>
      </w:r>
      <w:r w:rsidR="0080491A" w:rsidRPr="000860F1">
        <w:t>f</w:t>
      </w:r>
      <w:r w:rsidR="000330D6" w:rsidRPr="000860F1">
        <w:t>or isolation (see section 4.1) may be kept refrigerated</w:t>
      </w:r>
      <w:r w:rsidR="00E230FA" w:rsidRPr="000860F1">
        <w:t xml:space="preserve"> (e.g. 4</w:t>
      </w:r>
      <w:r w:rsidR="005D71CA" w:rsidRPr="000860F1">
        <w:t> °</w:t>
      </w:r>
      <w:r w:rsidR="00E230FA" w:rsidRPr="000860F1">
        <w:t>C)</w:t>
      </w:r>
      <w:r w:rsidR="000330D6" w:rsidRPr="000860F1">
        <w:t xml:space="preserve"> for up to three days. </w:t>
      </w:r>
      <w:r w:rsidR="009F3C06" w:rsidRPr="00315473">
        <w:t>For isolation, samples should be surface disinfected</w:t>
      </w:r>
      <w:r w:rsidR="009F3C06">
        <w:t xml:space="preserve">. </w:t>
      </w:r>
      <w:r w:rsidR="000330D6" w:rsidRPr="000860F1">
        <w:t>For other tests, samples may be refrigerated for up to one week.</w:t>
      </w:r>
      <w:r w:rsidR="00821B18" w:rsidRPr="000860F1">
        <w:t xml:space="preserve"> </w:t>
      </w:r>
      <w:r w:rsidR="00751B3D" w:rsidRPr="000860F1">
        <w:t>For longer term storage</w:t>
      </w:r>
      <w:r w:rsidR="00B26424" w:rsidRPr="000860F1">
        <w:t>,</w:t>
      </w:r>
      <w:r w:rsidR="00751B3D" w:rsidRPr="000860F1">
        <w:t xml:space="preserve"> samples </w:t>
      </w:r>
      <w:r w:rsidR="00B26424" w:rsidRPr="000860F1">
        <w:t>may</w:t>
      </w:r>
      <w:r w:rsidR="00751B3D" w:rsidRPr="000860F1">
        <w:t xml:space="preserve"> be stored at </w:t>
      </w:r>
      <w:r w:rsidR="005D71CA" w:rsidRPr="000860F1">
        <w:t>−</w:t>
      </w:r>
      <w:r w:rsidR="00751B3D" w:rsidRPr="000860F1">
        <w:t>20</w:t>
      </w:r>
      <w:r w:rsidR="005D71CA" w:rsidRPr="000860F1">
        <w:t> °</w:t>
      </w:r>
      <w:r w:rsidR="00751B3D" w:rsidRPr="000860F1">
        <w:t xml:space="preserve">C or </w:t>
      </w:r>
      <w:r w:rsidR="005D71CA" w:rsidRPr="000860F1">
        <w:t>−</w:t>
      </w:r>
      <w:r w:rsidR="00751B3D" w:rsidRPr="000860F1">
        <w:t>80</w:t>
      </w:r>
      <w:r w:rsidR="005D71CA" w:rsidRPr="000860F1">
        <w:t> °</w:t>
      </w:r>
      <w:r w:rsidR="00751B3D" w:rsidRPr="000860F1">
        <w:t xml:space="preserve">C for molecular </w:t>
      </w:r>
      <w:r w:rsidR="004B494A" w:rsidRPr="000860F1">
        <w:t xml:space="preserve">or serological </w:t>
      </w:r>
      <w:r w:rsidR="00751B3D" w:rsidRPr="000860F1">
        <w:t>detection.</w:t>
      </w:r>
      <w:r w:rsidR="001440CC">
        <w:t xml:space="preserve"> </w:t>
      </w:r>
      <w:r w:rsidR="001440CC" w:rsidRPr="00315473">
        <w:t>Samples should be inspected for symptoms and, if present, symptomatic leaves (including their petioles) should be selected and processed (removing the necrotic and dead tissue). If no symptoms are noted, leaves should be representative of the entire sample received in the laboratory.</w:t>
      </w:r>
    </w:p>
    <w:p w14:paraId="7E8E950B" w14:textId="6A9353C9" w:rsidR="001440CC" w:rsidRPr="00315473" w:rsidRDefault="001440CC" w:rsidP="0004310D">
      <w:pPr>
        <w:pStyle w:val="IPPParagraphnumbering"/>
      </w:pPr>
      <w:r w:rsidRPr="00315473">
        <w:t>Dirty samples should be cleaned</w:t>
      </w:r>
      <w:r w:rsidR="00AE164C">
        <w:t>, for example wit tap water.</w:t>
      </w:r>
    </w:p>
    <w:p w14:paraId="51C32638" w14:textId="3EBED4FE" w:rsidR="00821B18" w:rsidRPr="000860F1" w:rsidRDefault="00821B18" w:rsidP="00821B18">
      <w:pPr>
        <w:pStyle w:val="IPPHeading2"/>
      </w:pPr>
      <w:bookmarkStart w:id="29" w:name="_Toc111710128"/>
      <w:r w:rsidRPr="000860F1">
        <w:t>3.2.6</w:t>
      </w:r>
      <w:r w:rsidRPr="000860F1">
        <w:tab/>
      </w:r>
      <w:r w:rsidR="0080491A" w:rsidRPr="000860F1">
        <w:t>Sampling of v</w:t>
      </w:r>
      <w:r w:rsidRPr="000860F1">
        <w:t>ectors</w:t>
      </w:r>
      <w:bookmarkEnd w:id="29"/>
    </w:p>
    <w:p w14:paraId="469E219D" w14:textId="31022AB9" w:rsidR="00821B18" w:rsidRPr="000860F1" w:rsidRDefault="0080491A" w:rsidP="0004310D">
      <w:pPr>
        <w:pStyle w:val="IPPParagraphnumbering"/>
      </w:pPr>
      <w:r w:rsidRPr="000860F1">
        <w:t>V</w:t>
      </w:r>
      <w:r w:rsidR="00821B18" w:rsidRPr="000860F1">
        <w:t xml:space="preserve">ectors should preferably be collected with sweeping nets (adults) or aspirators. Sticky traps are usually not effective for xylem feeders (Purcell </w:t>
      </w:r>
      <w:r w:rsidR="00821B18" w:rsidRPr="000860F1">
        <w:rPr>
          <w:i/>
          <w:iCs/>
        </w:rPr>
        <w:t>et</w:t>
      </w:r>
      <w:r w:rsidR="00821B18" w:rsidRPr="000860F1">
        <w:rPr>
          <w:i/>
        </w:rPr>
        <w:t> </w:t>
      </w:r>
      <w:r w:rsidR="00821B18" w:rsidRPr="000860F1">
        <w:rPr>
          <w:i/>
          <w:iCs/>
        </w:rPr>
        <w:t>al.</w:t>
      </w:r>
      <w:r w:rsidR="00821B18" w:rsidRPr="000860F1">
        <w:rPr>
          <w:iCs/>
        </w:rPr>
        <w:t xml:space="preserve">, </w:t>
      </w:r>
      <w:r w:rsidR="00821B18" w:rsidRPr="000860F1">
        <w:t xml:space="preserve">2014), but insects may be trapped accidentally and specimens collected from sticky traps can be used for testing. Vectors can be removed from the traps using small forceps (pincers) and a suitable solvent. After removal from the traps, insects should be rinsed in ethanol or acetone. Sampling for insects should preferably be </w:t>
      </w:r>
      <w:r w:rsidR="004B36C5" w:rsidRPr="000860F1">
        <w:t>carried out</w:t>
      </w:r>
      <w:r w:rsidR="00821B18" w:rsidRPr="000860F1">
        <w:t xml:space="preserve"> from late spring until autumn to maximize the likelihood of detecting the bacterium. If insects cannot be processed immediately, they should be stored in 95–99%</w:t>
      </w:r>
      <w:r w:rsidR="00413BD2">
        <w:t>vol</w:t>
      </w:r>
      <w:r w:rsidR="00821B18" w:rsidRPr="000860F1">
        <w:t xml:space="preserve"> ethanol, </w:t>
      </w:r>
      <w:r w:rsidRPr="000860F1">
        <w:t>or</w:t>
      </w:r>
      <w:r w:rsidR="00821B18" w:rsidRPr="000860F1">
        <w:t xml:space="preserve"> at −20 °C or −80 °C</w:t>
      </w:r>
      <w:r w:rsidR="00BC218E" w:rsidRPr="000860F1">
        <w:t xml:space="preserve"> with or without ethanol</w:t>
      </w:r>
      <w:r w:rsidR="00821B18" w:rsidRPr="000860F1">
        <w:t xml:space="preserve">. Sticky traps </w:t>
      </w:r>
      <w:r w:rsidRPr="000860F1">
        <w:t xml:space="preserve">with captured insects </w:t>
      </w:r>
      <w:r w:rsidR="00821B18" w:rsidRPr="000860F1">
        <w:t xml:space="preserve">can also be stored at −20 °C. </w:t>
      </w:r>
      <w:r w:rsidR="00984C5E" w:rsidRPr="00315473">
        <w:t xml:space="preserve">A video on insect collection has been published by EFSA and is available at https://www.youtube.com/watch?v=Rjh7FFQCtg8. Identification keys with pictures to distinguish suborder Cercopoidea from Delphacidae and Cicadellidae are available online (Purcell </w:t>
      </w:r>
      <w:r w:rsidR="00984C5E" w:rsidRPr="00315473">
        <w:rPr>
          <w:i/>
          <w:iCs/>
        </w:rPr>
        <w:t>et al</w:t>
      </w:r>
      <w:r w:rsidR="00984C5E" w:rsidRPr="00315473">
        <w:t>., 2014).</w:t>
      </w:r>
    </w:p>
    <w:p w14:paraId="2BA61D82" w14:textId="24AF790D" w:rsidR="00821B18" w:rsidRPr="000860F1" w:rsidRDefault="00821B18" w:rsidP="0004310D">
      <w:pPr>
        <w:pStyle w:val="IPPParagraphnumbering"/>
      </w:pPr>
      <w:r w:rsidRPr="000860F1">
        <w:t xml:space="preserve">Insects collected from the field or from the wild can be analysed by polymerase chain reaction (PCR) to detect </w:t>
      </w:r>
      <w:r w:rsidRPr="000860F1">
        <w:rPr>
          <w:i/>
          <w:iCs/>
        </w:rPr>
        <w:t>X. fastidiosa</w:t>
      </w:r>
      <w:r w:rsidRPr="000860F1">
        <w:t xml:space="preserve">. Enzyme-linked immunosorbent assay (ELISA: see section 3.3) is not sensitive enough, as the bacterium only colonizes the insect foregut where, in spite of its multiplication, it is generally present at low levels (Purcell </w:t>
      </w:r>
      <w:r w:rsidRPr="000860F1">
        <w:rPr>
          <w:i/>
          <w:iCs/>
        </w:rPr>
        <w:t>et</w:t>
      </w:r>
      <w:r w:rsidRPr="000860F1">
        <w:rPr>
          <w:i/>
        </w:rPr>
        <w:t> </w:t>
      </w:r>
      <w:r w:rsidRPr="000860F1">
        <w:rPr>
          <w:i/>
          <w:iCs/>
        </w:rPr>
        <w:t>al.</w:t>
      </w:r>
      <w:r w:rsidRPr="000860F1">
        <w:rPr>
          <w:iCs/>
        </w:rPr>
        <w:t xml:space="preserve">, </w:t>
      </w:r>
      <w:r w:rsidRPr="000860F1">
        <w:t xml:space="preserve">2014). </w:t>
      </w:r>
      <w:r w:rsidR="001A72EC" w:rsidRPr="001A72EC">
        <w:rPr>
          <w:szCs w:val="22"/>
        </w:rPr>
        <w:t xml:space="preserve">According to Cornara </w:t>
      </w:r>
      <w:r w:rsidR="001A72EC" w:rsidRPr="000058B8">
        <w:rPr>
          <w:i/>
          <w:szCs w:val="22"/>
        </w:rPr>
        <w:t>et al</w:t>
      </w:r>
      <w:r w:rsidR="001A72EC" w:rsidRPr="001A72EC">
        <w:rPr>
          <w:szCs w:val="22"/>
        </w:rPr>
        <w:t xml:space="preserve"> (2016), there is a saturation point for the number of cells detected in the mouthparts </w:t>
      </w:r>
      <w:r w:rsidR="001A72EC">
        <w:rPr>
          <w:szCs w:val="22"/>
        </w:rPr>
        <w:t xml:space="preserve">of </w:t>
      </w:r>
      <w:r w:rsidR="00FC27F4">
        <w:rPr>
          <w:szCs w:val="22"/>
        </w:rPr>
        <w:t>spittlebug</w:t>
      </w:r>
      <w:r w:rsidR="001A72EC" w:rsidRPr="000860F1">
        <w:t xml:space="preserve"> </w:t>
      </w:r>
      <w:r w:rsidR="001A72EC" w:rsidRPr="000860F1">
        <w:rPr>
          <w:i/>
        </w:rPr>
        <w:t>Philaenus spumarius</w:t>
      </w:r>
      <w:r w:rsidR="001A72EC" w:rsidRPr="001A72EC">
        <w:rPr>
          <w:szCs w:val="22"/>
        </w:rPr>
        <w:t xml:space="preserve"> </w:t>
      </w:r>
      <w:r w:rsidR="001A72EC" w:rsidRPr="00FC27F4">
        <w:rPr>
          <w:szCs w:val="22"/>
        </w:rPr>
        <w:t xml:space="preserve">and the the population size of </w:t>
      </w:r>
      <w:r w:rsidR="001A72EC" w:rsidRPr="00FC27F4">
        <w:rPr>
          <w:i/>
          <w:szCs w:val="22"/>
        </w:rPr>
        <w:t>X. fastidiosa</w:t>
      </w:r>
      <w:r w:rsidR="001A72EC" w:rsidRPr="00FC27F4">
        <w:rPr>
          <w:szCs w:val="22"/>
        </w:rPr>
        <w:t xml:space="preserve"> may be limited to fewer than 10</w:t>
      </w:r>
      <w:r w:rsidR="001A72EC" w:rsidRPr="00FC27F4">
        <w:rPr>
          <w:szCs w:val="22"/>
          <w:vertAlign w:val="superscript"/>
        </w:rPr>
        <w:t>3</w:t>
      </w:r>
      <w:r w:rsidR="001A72EC" w:rsidRPr="00FC27F4">
        <w:rPr>
          <w:szCs w:val="22"/>
        </w:rPr>
        <w:t xml:space="preserve"> cells. For Cunty </w:t>
      </w:r>
      <w:r w:rsidR="001A72EC" w:rsidRPr="000058B8">
        <w:rPr>
          <w:i/>
          <w:szCs w:val="22"/>
        </w:rPr>
        <w:t>et al</w:t>
      </w:r>
      <w:r w:rsidR="001A72EC" w:rsidRPr="00FC27F4">
        <w:rPr>
          <w:szCs w:val="22"/>
        </w:rPr>
        <w:t xml:space="preserve"> (2020), the bacterial load </w:t>
      </w:r>
      <w:r w:rsidR="001A72EC" w:rsidRPr="000058B8">
        <w:rPr>
          <w:color w:val="1C1D1E"/>
          <w:szCs w:val="22"/>
          <w:shd w:val="clear" w:color="auto" w:fill="FFFFFF"/>
        </w:rPr>
        <w:t>ranged from 10</w:t>
      </w:r>
      <w:r w:rsidR="001A72EC" w:rsidRPr="000058B8">
        <w:rPr>
          <w:color w:val="1C1D1E"/>
          <w:szCs w:val="22"/>
          <w:shd w:val="clear" w:color="auto" w:fill="FFFFFF"/>
          <w:vertAlign w:val="superscript"/>
        </w:rPr>
        <w:t>3</w:t>
      </w:r>
      <w:r w:rsidR="001A72EC" w:rsidRPr="000058B8">
        <w:rPr>
          <w:color w:val="1C1D1E"/>
          <w:szCs w:val="22"/>
          <w:shd w:val="clear" w:color="auto" w:fill="FFFFFF"/>
        </w:rPr>
        <w:t> to 10</w:t>
      </w:r>
      <w:r w:rsidR="001A72EC" w:rsidRPr="000058B8">
        <w:rPr>
          <w:color w:val="1C1D1E"/>
          <w:szCs w:val="22"/>
          <w:shd w:val="clear" w:color="auto" w:fill="FFFFFF"/>
          <w:vertAlign w:val="superscript"/>
        </w:rPr>
        <w:t>4</w:t>
      </w:r>
      <w:r w:rsidR="001A72EC" w:rsidRPr="000058B8">
        <w:rPr>
          <w:color w:val="1C1D1E"/>
          <w:szCs w:val="22"/>
          <w:shd w:val="clear" w:color="auto" w:fill="FFFFFF"/>
        </w:rPr>
        <w:t> cells per insect</w:t>
      </w:r>
      <w:r w:rsidR="001A72EC" w:rsidRPr="001A72EC">
        <w:rPr>
          <w:szCs w:val="22"/>
        </w:rPr>
        <w:t xml:space="preserve"> but could be higher in (</w:t>
      </w:r>
      <w:r w:rsidR="001A72EC" w:rsidRPr="000058B8">
        <w:rPr>
          <w:color w:val="1C1D1E"/>
          <w:szCs w:val="22"/>
          <w:shd w:val="clear" w:color="auto" w:fill="FFFFFF"/>
        </w:rPr>
        <w:t>10</w:t>
      </w:r>
      <w:r w:rsidR="001A72EC" w:rsidRPr="000058B8">
        <w:rPr>
          <w:color w:val="1C1D1E"/>
          <w:szCs w:val="22"/>
          <w:shd w:val="clear" w:color="auto" w:fill="FFFFFF"/>
          <w:vertAlign w:val="superscript"/>
        </w:rPr>
        <w:t xml:space="preserve">5 </w:t>
      </w:r>
      <w:r w:rsidR="001A72EC" w:rsidRPr="001A72EC">
        <w:rPr>
          <w:szCs w:val="22"/>
        </w:rPr>
        <w:t xml:space="preserve">to </w:t>
      </w:r>
      <w:r w:rsidR="001A72EC" w:rsidRPr="000058B8">
        <w:rPr>
          <w:color w:val="1C1D1E"/>
          <w:szCs w:val="22"/>
          <w:shd w:val="clear" w:color="auto" w:fill="FFFFFF"/>
        </w:rPr>
        <w:t>10</w:t>
      </w:r>
      <w:r w:rsidR="001A72EC" w:rsidRPr="000058B8">
        <w:rPr>
          <w:color w:val="1C1D1E"/>
          <w:szCs w:val="22"/>
          <w:shd w:val="clear" w:color="auto" w:fill="FFFFFF"/>
          <w:vertAlign w:val="superscript"/>
        </w:rPr>
        <w:t>6</w:t>
      </w:r>
      <w:r w:rsidR="001A72EC" w:rsidRPr="001A72EC">
        <w:rPr>
          <w:szCs w:val="22"/>
        </w:rPr>
        <w:t xml:space="preserve">) for </w:t>
      </w:r>
      <w:r w:rsidR="000058B8">
        <w:rPr>
          <w:szCs w:val="22"/>
        </w:rPr>
        <w:t>13% of</w:t>
      </w:r>
      <w:r w:rsidR="001A72EC" w:rsidRPr="001A72EC">
        <w:rPr>
          <w:szCs w:val="22"/>
        </w:rPr>
        <w:t xml:space="preserve"> individuals.</w:t>
      </w:r>
      <w:r w:rsidR="00FC27F4" w:rsidRPr="000860F1" w:rsidDel="00FC27F4">
        <w:t xml:space="preserve"> </w:t>
      </w:r>
      <w:r w:rsidR="00FC27F4">
        <w:t xml:space="preserve"> The number of cells can be higher in sharpshooter vectors </w:t>
      </w:r>
      <w:r w:rsidR="00FC27F4" w:rsidRPr="00FC27F4">
        <w:rPr>
          <w:szCs w:val="22"/>
        </w:rPr>
        <w:t>(</w:t>
      </w:r>
      <w:r w:rsidR="00FC27F4" w:rsidRPr="000058B8">
        <w:rPr>
          <w:szCs w:val="22"/>
          <w:shd w:val="clear" w:color="auto" w:fill="FFFFFF"/>
        </w:rPr>
        <w:t xml:space="preserve">Retchless </w:t>
      </w:r>
      <w:r w:rsidR="00FC27F4" w:rsidRPr="000058B8">
        <w:rPr>
          <w:i/>
          <w:szCs w:val="22"/>
          <w:shd w:val="clear" w:color="auto" w:fill="FFFFFF"/>
        </w:rPr>
        <w:t>et al</w:t>
      </w:r>
      <w:r w:rsidR="00FC27F4" w:rsidRPr="000058B8">
        <w:rPr>
          <w:szCs w:val="22"/>
          <w:shd w:val="clear" w:color="auto" w:fill="FFFFFF"/>
        </w:rPr>
        <w:t>. 2014).</w:t>
      </w:r>
    </w:p>
    <w:p w14:paraId="44C21503" w14:textId="53211193" w:rsidR="008E6998" w:rsidRPr="000860F1" w:rsidRDefault="000330D6">
      <w:pPr>
        <w:pStyle w:val="IPPHeading2"/>
      </w:pPr>
      <w:bookmarkStart w:id="30" w:name="_Toc384635720"/>
      <w:bookmarkStart w:id="31" w:name="_Toc111710129"/>
      <w:r w:rsidRPr="000860F1">
        <w:t>3.3</w:t>
      </w:r>
      <w:r w:rsidRPr="000860F1">
        <w:tab/>
        <w:t>Serological detection</w:t>
      </w:r>
      <w:bookmarkEnd w:id="30"/>
      <w:bookmarkEnd w:id="31"/>
    </w:p>
    <w:p w14:paraId="38B85630" w14:textId="194226B9" w:rsidR="00660882" w:rsidRPr="000860F1" w:rsidRDefault="00660882" w:rsidP="0004310D">
      <w:pPr>
        <w:pStyle w:val="IPPParagraphnumbering"/>
      </w:pPr>
      <w:r w:rsidRPr="000860F1">
        <w:t>In this diagnostic protocol, methods (including reference to brand names) are described as published, as these define the original level of sensitivity, specificity and reproducibility achieved. Laboratory procedures presented in the protocols may be adjusted to the standards of individual laboratories, provided that they are adequately validated.</w:t>
      </w:r>
    </w:p>
    <w:p w14:paraId="56D7D029" w14:textId="00741F60" w:rsidR="008E6998" w:rsidRPr="000860F1" w:rsidRDefault="000330D6" w:rsidP="0004310D">
      <w:pPr>
        <w:pStyle w:val="IPPParagraphnumbering"/>
      </w:pPr>
      <w:r w:rsidRPr="000860F1">
        <w:t xml:space="preserve">A number of serological </w:t>
      </w:r>
      <w:r w:rsidR="00FB4095" w:rsidRPr="000860F1">
        <w:t>methods</w:t>
      </w:r>
      <w:r w:rsidRPr="000860F1">
        <w:t xml:space="preserve"> have been developed for the detection of </w:t>
      </w:r>
      <w:r w:rsidRPr="000860F1">
        <w:rPr>
          <w:i/>
        </w:rPr>
        <w:t>X. fastidiosa</w:t>
      </w:r>
      <w:r w:rsidRPr="000860F1">
        <w:t xml:space="preserve">, including </w:t>
      </w:r>
      <w:r w:rsidR="00C93939" w:rsidRPr="000860F1">
        <w:t>methods</w:t>
      </w:r>
      <w:r w:rsidRPr="000860F1">
        <w:t xml:space="preserve"> using ELISA (Sherald and Lei, 1991), membrane entrapment immunofluorescence (Hartung </w:t>
      </w:r>
      <w:r w:rsidRPr="000860F1">
        <w:rPr>
          <w:i/>
        </w:rPr>
        <w:t>et al.</w:t>
      </w:r>
      <w:r w:rsidRPr="000860F1">
        <w:t xml:space="preserve">, 1994), dot immunobinding assay (Lee </w:t>
      </w:r>
      <w:r w:rsidRPr="000860F1">
        <w:rPr>
          <w:i/>
        </w:rPr>
        <w:t>et</w:t>
      </w:r>
      <w:r w:rsidR="00E35F2A" w:rsidRPr="000860F1">
        <w:rPr>
          <w:i/>
          <w:iCs/>
        </w:rPr>
        <w:t> </w:t>
      </w:r>
      <w:r w:rsidRPr="000860F1">
        <w:rPr>
          <w:i/>
        </w:rPr>
        <w:t>al.,</w:t>
      </w:r>
      <w:r w:rsidRPr="000860F1">
        <w:t xml:space="preserve"> 1992), western blotting (Chang </w:t>
      </w:r>
      <w:r w:rsidRPr="000860F1">
        <w:rPr>
          <w:i/>
        </w:rPr>
        <w:t>et al.</w:t>
      </w:r>
      <w:r w:rsidRPr="000860F1">
        <w:t xml:space="preserve">, 1993) and immunofluorescence (Carbajal </w:t>
      </w:r>
      <w:r w:rsidRPr="000860F1">
        <w:rPr>
          <w:i/>
        </w:rPr>
        <w:t>et al</w:t>
      </w:r>
      <w:r w:rsidRPr="000860F1">
        <w:t xml:space="preserve">., 2004). More recently, direct tissue blot immunoassay has been reported as an alternative means of rapidly screening </w:t>
      </w:r>
      <w:r w:rsidRPr="000860F1">
        <w:rPr>
          <w:i/>
        </w:rPr>
        <w:t>O</w:t>
      </w:r>
      <w:r w:rsidR="004D334D">
        <w:rPr>
          <w:i/>
        </w:rPr>
        <w:t>. </w:t>
      </w:r>
      <w:r w:rsidRPr="000860F1">
        <w:rPr>
          <w:i/>
        </w:rPr>
        <w:t>europaea</w:t>
      </w:r>
      <w:r w:rsidRPr="000860F1">
        <w:t xml:space="preserve"> samples for </w:t>
      </w:r>
      <w:r w:rsidRPr="000860F1">
        <w:rPr>
          <w:i/>
        </w:rPr>
        <w:t>X. fastidiosa</w:t>
      </w:r>
      <w:r w:rsidRPr="000860F1">
        <w:t xml:space="preserve"> (Djelouah </w:t>
      </w:r>
      <w:r w:rsidRPr="000860F1">
        <w:rPr>
          <w:i/>
        </w:rPr>
        <w:t>et al</w:t>
      </w:r>
      <w:r w:rsidRPr="000860F1">
        <w:t>., 2014).</w:t>
      </w:r>
      <w:r w:rsidR="00BD7E28" w:rsidRPr="000860F1">
        <w:t xml:space="preserve"> Instructions for performing an ELISA (including tissue print, squash or dot ELISA) or an immunofluorescence test can </w:t>
      </w:r>
      <w:r w:rsidR="003179F0" w:rsidRPr="000860F1">
        <w:t xml:space="preserve">be </w:t>
      </w:r>
      <w:r w:rsidR="00BD7E28" w:rsidRPr="000860F1">
        <w:t>found in EPPO</w:t>
      </w:r>
      <w:r w:rsidR="00EA3F64" w:rsidRPr="000860F1">
        <w:t xml:space="preserve"> (2009, </w:t>
      </w:r>
      <w:r w:rsidR="00BD7E28" w:rsidRPr="000860F1">
        <w:t>2010).</w:t>
      </w:r>
      <w:r w:rsidR="00DF5977" w:rsidRPr="000860F1">
        <w:t xml:space="preserve"> </w:t>
      </w:r>
      <w:r w:rsidR="00453283" w:rsidRPr="000860F1">
        <w:t>Serological methods are not sensitive enough for use early in the growing season, when no symptoms of the disease are observed, due to the low concentration of bacteria likely to be present in young asymptomatic tissue.</w:t>
      </w:r>
    </w:p>
    <w:p w14:paraId="30599F98" w14:textId="01E46006" w:rsidR="008E6998" w:rsidRPr="000860F1" w:rsidRDefault="000330D6">
      <w:pPr>
        <w:pStyle w:val="IPPHeading2"/>
        <w:rPr>
          <w:i/>
        </w:rPr>
      </w:pPr>
      <w:bookmarkStart w:id="32" w:name="_Toc111710130"/>
      <w:r w:rsidRPr="000860F1">
        <w:t>3.3.1</w:t>
      </w:r>
      <w:r w:rsidRPr="000860F1">
        <w:tab/>
        <w:t>Preparation of material</w:t>
      </w:r>
      <w:bookmarkEnd w:id="32"/>
    </w:p>
    <w:p w14:paraId="794C56DE" w14:textId="56A0149B" w:rsidR="008E6998" w:rsidRPr="000860F1" w:rsidRDefault="000330D6" w:rsidP="0004310D">
      <w:pPr>
        <w:pStyle w:val="IPPParagraphnumbering"/>
      </w:pPr>
      <w:r w:rsidRPr="000860F1">
        <w:t xml:space="preserve">ELISA works well for samples with symptoms and tissue that contains high concentrations of </w:t>
      </w:r>
      <w:r w:rsidRPr="000860F1">
        <w:rPr>
          <w:i/>
        </w:rPr>
        <w:t>X. fastidiosa</w:t>
      </w:r>
      <w:r w:rsidRPr="000860F1">
        <w:t xml:space="preserve">. The leaf petiole and mid-veins of symptomatic leaves are the best sources of tissue for ELISA. </w:t>
      </w:r>
      <w:r w:rsidR="008121AF" w:rsidRPr="000860F1">
        <w:t xml:space="preserve">The </w:t>
      </w:r>
      <w:r w:rsidR="0057013A" w:rsidRPr="000860F1">
        <w:t>technique</w:t>
      </w:r>
      <w:r w:rsidR="008121AF" w:rsidRPr="000860F1">
        <w:t xml:space="preserve"> </w:t>
      </w:r>
      <w:r w:rsidRPr="000860F1">
        <w:t>can also be used on twigs and canes but is unsuitable for use on necrotic or dead tissue.</w:t>
      </w:r>
    </w:p>
    <w:p w14:paraId="00AD7BE3" w14:textId="564372BF" w:rsidR="008E6998" w:rsidRPr="000860F1" w:rsidRDefault="000330D6">
      <w:pPr>
        <w:pStyle w:val="IPPHeading2"/>
        <w:rPr>
          <w:i/>
        </w:rPr>
      </w:pPr>
      <w:bookmarkStart w:id="33" w:name="_Toc111710131"/>
      <w:r w:rsidRPr="000860F1">
        <w:t>3.3.2</w:t>
      </w:r>
      <w:r w:rsidRPr="000860F1">
        <w:tab/>
        <w:t>Double</w:t>
      </w:r>
      <w:r w:rsidR="006E4424" w:rsidRPr="000860F1">
        <w:t>-</w:t>
      </w:r>
      <w:r w:rsidRPr="000860F1">
        <w:t xml:space="preserve">antibody sandwich ELISA </w:t>
      </w:r>
      <w:r w:rsidR="008121AF" w:rsidRPr="000860F1">
        <w:t>(DAS-ELISA)</w:t>
      </w:r>
      <w:bookmarkEnd w:id="33"/>
    </w:p>
    <w:p w14:paraId="1A76630C" w14:textId="1189FADE" w:rsidR="008E6998" w:rsidRPr="000860F1" w:rsidRDefault="000330D6" w:rsidP="0004310D">
      <w:pPr>
        <w:pStyle w:val="IPPParagraphnumbering"/>
      </w:pPr>
      <w:r w:rsidRPr="000860F1">
        <w:t xml:space="preserve">Positive and negative controls should be included in each test and these are normally provided in commercial kits. Positive controls </w:t>
      </w:r>
      <w:r w:rsidR="008B15E9" w:rsidRPr="000860F1">
        <w:t>should</w:t>
      </w:r>
      <w:r w:rsidRPr="000860F1">
        <w:t xml:space="preserve"> consist of a reference </w:t>
      </w:r>
      <w:r w:rsidRPr="000860F1">
        <w:rPr>
          <w:i/>
          <w:iCs/>
        </w:rPr>
        <w:t xml:space="preserve">X. fastidiosa </w:t>
      </w:r>
      <w:r w:rsidRPr="000860F1">
        <w:t>strain resuspended in healthy host plant extract (for detection in plant material) or in phosphate-buffered saline (PBS) (for identification of bacterial cultures). Negative controls should consist of healthy host plant extract (for detection in plant material) or a suspension of a non-target bacterial species (for identification of bacterial cultures). For plant materials, the healthy plant extract control should be of the same species</w:t>
      </w:r>
      <w:r w:rsidR="00AA0BE6" w:rsidRPr="000860F1">
        <w:t>,</w:t>
      </w:r>
      <w:r w:rsidRPr="000860F1">
        <w:t xml:space="preserve"> variety </w:t>
      </w:r>
      <w:r w:rsidR="00AA0BE6" w:rsidRPr="000860F1">
        <w:t xml:space="preserve">or cultivar </w:t>
      </w:r>
      <w:r w:rsidRPr="000860F1">
        <w:t>to allow for comparison with the test samples and to check for potential background- or cross-reactions.</w:t>
      </w:r>
    </w:p>
    <w:p w14:paraId="4AC283F3" w14:textId="19FC09E0" w:rsidR="008E6998" w:rsidRPr="000860F1" w:rsidRDefault="000330D6" w:rsidP="0004310D">
      <w:pPr>
        <w:pStyle w:val="IPPParagraphnumbering"/>
      </w:pPr>
      <w:r w:rsidRPr="000860F1">
        <w:t xml:space="preserve">Samples should be processed following the general procedure recommended for the specific serological </w:t>
      </w:r>
      <w:r w:rsidR="00C93939" w:rsidRPr="000860F1">
        <w:t>method</w:t>
      </w:r>
      <w:r w:rsidRPr="000860F1">
        <w:t xml:space="preserve"> being used. In general, plant tissue is macerated in extraction buffer (polyvinylpyrrolidone (PVP)-10, 20 g; mannitol, 10 g; ascorbic acid, 1.76 g; reduced glutathione, 3 g; PBS, 10 mM, 1 litre; pH 7.2) or in PBS (NaCl, 8 g; KCl, 0.2 g; Na</w:t>
      </w:r>
      <w:r w:rsidRPr="000860F1">
        <w:rPr>
          <w:vertAlign w:val="subscript"/>
        </w:rPr>
        <w:t>2</w:t>
      </w:r>
      <w:r w:rsidRPr="000860F1">
        <w:t>HPO</w:t>
      </w:r>
      <w:r w:rsidRPr="000860F1">
        <w:rPr>
          <w:vertAlign w:val="subscript"/>
        </w:rPr>
        <w:t>4</w:t>
      </w:r>
      <w:r w:rsidRPr="000860F1">
        <w:t>·12</w:t>
      </w:r>
      <w:r w:rsidR="007E00A7" w:rsidRPr="000860F1">
        <w:t> </w:t>
      </w:r>
      <w:r w:rsidRPr="000860F1">
        <w:t>H</w:t>
      </w:r>
      <w:r w:rsidRPr="000860F1">
        <w:rPr>
          <w:vertAlign w:val="subscript"/>
        </w:rPr>
        <w:t>2</w:t>
      </w:r>
      <w:r w:rsidRPr="000860F1">
        <w:t>O, 2.9 g; KH</w:t>
      </w:r>
      <w:r w:rsidRPr="000860F1">
        <w:rPr>
          <w:vertAlign w:val="subscript"/>
        </w:rPr>
        <w:t>2</w:t>
      </w:r>
      <w:r w:rsidRPr="000860F1">
        <w:t>PO</w:t>
      </w:r>
      <w:r w:rsidRPr="000860F1">
        <w:rPr>
          <w:vertAlign w:val="subscript"/>
        </w:rPr>
        <w:t>4</w:t>
      </w:r>
      <w:r w:rsidRPr="000860F1">
        <w:t>, 0.2 g; distilled water to 1 litre; pH</w:t>
      </w:r>
      <w:r w:rsidR="0035112B" w:rsidRPr="000860F1">
        <w:t> </w:t>
      </w:r>
      <w:r w:rsidRPr="000860F1">
        <w:t>7.2) (1:10 w/v) using either a mortar and pestle or a tissue homogenizer (e.g. Polytron</w:t>
      </w:r>
      <w:r w:rsidRPr="000860F1">
        <w:rPr>
          <w:rStyle w:val="FootnoteReference"/>
          <w:color w:val="231F20"/>
        </w:rPr>
        <w:footnoteReference w:id="2"/>
      </w:r>
      <w:r w:rsidRPr="000860F1">
        <w:t>, Homex</w:t>
      </w:r>
      <w:r w:rsidRPr="000860F1">
        <w:rPr>
          <w:rStyle w:val="FootnoteReference"/>
          <w:color w:val="231F20"/>
        </w:rPr>
        <w:t>1</w:t>
      </w:r>
      <w:r w:rsidRPr="000860F1">
        <w:t>) or</w:t>
      </w:r>
      <w:r w:rsidR="00E86E2C" w:rsidRPr="000860F1">
        <w:t xml:space="preserve"> is </w:t>
      </w:r>
      <w:r w:rsidR="00843385" w:rsidRPr="000860F1">
        <w:t xml:space="preserve">pulverized </w:t>
      </w:r>
      <w:r w:rsidRPr="000860F1">
        <w:t xml:space="preserve">in liquid nitrogen (Loconsole </w:t>
      </w:r>
      <w:r w:rsidRPr="000860F1">
        <w:rPr>
          <w:i/>
        </w:rPr>
        <w:t>et al</w:t>
      </w:r>
      <w:r w:rsidRPr="000860F1">
        <w:t>., 2014</w:t>
      </w:r>
      <w:r w:rsidR="00F07FA6">
        <w:t xml:space="preserve">; </w:t>
      </w:r>
      <w:r w:rsidR="00F07FA6" w:rsidRPr="000860F1">
        <w:t>EPPO, 2018a</w:t>
      </w:r>
      <w:r w:rsidRPr="000860F1">
        <w:t xml:space="preserve">). Further information on using </w:t>
      </w:r>
      <w:r w:rsidR="008121AF" w:rsidRPr="000860F1">
        <w:t>DAS-</w:t>
      </w:r>
      <w:r w:rsidRPr="000860F1">
        <w:t>ELISA to detect plant pathogenic bacteria is available in EPPO (2010).</w:t>
      </w:r>
    </w:p>
    <w:p w14:paraId="234CD649" w14:textId="3FFFE45A" w:rsidR="008E6998" w:rsidRPr="000860F1" w:rsidRDefault="000330D6" w:rsidP="0004310D">
      <w:pPr>
        <w:pStyle w:val="IPPParagraphnumbering"/>
      </w:pPr>
      <w:r w:rsidRPr="000860F1">
        <w:rPr>
          <w:color w:val="231F20"/>
        </w:rPr>
        <w:t xml:space="preserve">Kits for the serological detection of </w:t>
      </w:r>
      <w:r w:rsidRPr="000860F1">
        <w:rPr>
          <w:i/>
          <w:iCs/>
          <w:color w:val="231F20"/>
        </w:rPr>
        <w:t>X. fastidiosa</w:t>
      </w:r>
      <w:r w:rsidRPr="000860F1">
        <w:rPr>
          <w:iCs/>
          <w:color w:val="231F20"/>
        </w:rPr>
        <w:t xml:space="preserve"> </w:t>
      </w:r>
      <w:r w:rsidRPr="000860F1">
        <w:rPr>
          <w:color w:val="231F20"/>
        </w:rPr>
        <w:t>are commercially available from Agritest</w:t>
      </w:r>
      <w:r w:rsidRPr="000860F1">
        <w:rPr>
          <w:rStyle w:val="FootnoteReference"/>
          <w:color w:val="231F20"/>
        </w:rPr>
        <w:t>1</w:t>
      </w:r>
      <w:r w:rsidRPr="000860F1">
        <w:rPr>
          <w:color w:val="231F20"/>
        </w:rPr>
        <w:t>, Agdi</w:t>
      </w:r>
      <w:r w:rsidR="008121AF" w:rsidRPr="000860F1">
        <w:rPr>
          <w:color w:val="231F20"/>
        </w:rPr>
        <w:t>a</w:t>
      </w:r>
      <w:r w:rsidRPr="000860F1">
        <w:rPr>
          <w:rStyle w:val="FootnoteReference"/>
          <w:color w:val="231F20"/>
        </w:rPr>
        <w:t>1</w:t>
      </w:r>
      <w:r w:rsidRPr="000860F1">
        <w:rPr>
          <w:color w:val="231F20"/>
        </w:rPr>
        <w:t xml:space="preserve"> and Loewe Biochemica</w:t>
      </w:r>
      <w:r w:rsidRPr="000860F1">
        <w:rPr>
          <w:rStyle w:val="FootnoteReference"/>
          <w:color w:val="231F20"/>
        </w:rPr>
        <w:t>1</w:t>
      </w:r>
      <w:r w:rsidRPr="000860F1">
        <w:rPr>
          <w:color w:val="231F20"/>
        </w:rPr>
        <w:t>.</w:t>
      </w:r>
      <w:r w:rsidRPr="000860F1">
        <w:t xml:space="preserve"> These kits detect a wide range of </w:t>
      </w:r>
      <w:r w:rsidRPr="000860F1">
        <w:rPr>
          <w:i/>
        </w:rPr>
        <w:t>X. fastidiosa</w:t>
      </w:r>
      <w:r w:rsidRPr="000860F1">
        <w:t xml:space="preserve"> strains isolated from different hosts. When using them, the manufacturer’s instructions should be followed. The sensitivity of detection when using </w:t>
      </w:r>
      <w:r w:rsidR="004841A5" w:rsidRPr="000860F1">
        <w:t>DAS-</w:t>
      </w:r>
      <w:r w:rsidRPr="000860F1">
        <w:t>ELISA is approximately 10</w:t>
      </w:r>
      <w:r w:rsidRPr="000860F1">
        <w:rPr>
          <w:vertAlign w:val="superscript"/>
        </w:rPr>
        <w:t>4</w:t>
      </w:r>
      <w:r w:rsidRPr="000860F1">
        <w:t> colony-forming units (cfu)/</w:t>
      </w:r>
      <w:r w:rsidR="00D415AF">
        <w:t>mL</w:t>
      </w:r>
      <w:r w:rsidR="002A3DBC" w:rsidRPr="000860F1">
        <w:t xml:space="preserve">; however, test sensitivity can </w:t>
      </w:r>
      <w:r w:rsidR="001B134D" w:rsidRPr="000860F1">
        <w:t xml:space="preserve">vary </w:t>
      </w:r>
      <w:r w:rsidR="003F3E57" w:rsidRPr="000860F1">
        <w:t xml:space="preserve">depending on the </w:t>
      </w:r>
      <w:r w:rsidR="002A3DBC" w:rsidRPr="000860F1">
        <w:t xml:space="preserve">plant species </w:t>
      </w:r>
      <w:r w:rsidR="004841A5" w:rsidRPr="000860F1">
        <w:t>matri</w:t>
      </w:r>
      <w:r w:rsidR="003F3E57" w:rsidRPr="000860F1">
        <w:t>x being tested</w:t>
      </w:r>
      <w:r w:rsidR="004841A5" w:rsidRPr="000860F1">
        <w:t xml:space="preserve"> </w:t>
      </w:r>
      <w:r w:rsidRPr="000860F1">
        <w:t xml:space="preserve">(Loconsole </w:t>
      </w:r>
      <w:r w:rsidRPr="000860F1">
        <w:rPr>
          <w:i/>
        </w:rPr>
        <w:t>et al.</w:t>
      </w:r>
      <w:r w:rsidRPr="000860F1">
        <w:t xml:space="preserve">, 2014; </w:t>
      </w:r>
      <w:r w:rsidR="00EE16FD" w:rsidRPr="000860F1">
        <w:t>EPPO, 2018</w:t>
      </w:r>
      <w:r w:rsidR="004509DB">
        <w:t>b</w:t>
      </w:r>
      <w:r w:rsidRPr="000860F1">
        <w:t xml:space="preserve">). </w:t>
      </w:r>
    </w:p>
    <w:p w14:paraId="20A31AD5" w14:textId="22C6D795" w:rsidR="00B60196" w:rsidRPr="000860F1" w:rsidRDefault="000330D6" w:rsidP="0004310D">
      <w:pPr>
        <w:pStyle w:val="IPPParagraphnumbering"/>
      </w:pPr>
      <w:r w:rsidRPr="000860F1">
        <w:t xml:space="preserve">The specificity and sensitivity of </w:t>
      </w:r>
      <w:r w:rsidR="004841A5" w:rsidRPr="000860F1">
        <w:t>DAS-</w:t>
      </w:r>
      <w:r w:rsidRPr="000860F1">
        <w:t xml:space="preserve">ELISA to detect </w:t>
      </w:r>
      <w:r w:rsidRPr="000860F1">
        <w:rPr>
          <w:i/>
        </w:rPr>
        <w:t>X. fastidiosa</w:t>
      </w:r>
      <w:r w:rsidRPr="000860F1">
        <w:t xml:space="preserve"> on </w:t>
      </w:r>
      <w:r w:rsidRPr="000860F1">
        <w:rPr>
          <w:i/>
        </w:rPr>
        <w:t>O</w:t>
      </w:r>
      <w:r w:rsidR="004D334D">
        <w:rPr>
          <w:i/>
        </w:rPr>
        <w:t>. </w:t>
      </w:r>
      <w:r w:rsidRPr="000860F1">
        <w:rPr>
          <w:i/>
        </w:rPr>
        <w:t>europaea</w:t>
      </w:r>
      <w:r w:rsidRPr="000860F1">
        <w:t>, using a kit from Loewe</w:t>
      </w:r>
      <w:r w:rsidRPr="000860F1">
        <w:rPr>
          <w:rStyle w:val="FootnoteReference"/>
        </w:rPr>
        <w:t>1</w:t>
      </w:r>
      <w:r w:rsidRPr="000860F1">
        <w:rPr>
          <w:rStyle w:val="FootnoteReference"/>
          <w:vertAlign w:val="baseline"/>
        </w:rPr>
        <w:t>,</w:t>
      </w:r>
      <w:r w:rsidRPr="000860F1">
        <w:t xml:space="preserve"> were evaluated by Loconsole </w:t>
      </w:r>
      <w:r w:rsidRPr="000860F1">
        <w:rPr>
          <w:i/>
        </w:rPr>
        <w:t>et al.</w:t>
      </w:r>
      <w:r w:rsidRPr="000860F1">
        <w:t xml:space="preserve"> (2014). Additionally, a test performance study performed at the Institute for Sustainable Plant Protection (Bari, Italy) was conducted on serological kits from Agritest</w:t>
      </w:r>
      <w:r w:rsidRPr="000860F1">
        <w:rPr>
          <w:rStyle w:val="FootnoteReference"/>
        </w:rPr>
        <w:t>1</w:t>
      </w:r>
      <w:r w:rsidRPr="000860F1">
        <w:t>, Agdia</w:t>
      </w:r>
      <w:r w:rsidRPr="000860F1">
        <w:rPr>
          <w:rStyle w:val="FootnoteReference"/>
        </w:rPr>
        <w:t>1</w:t>
      </w:r>
      <w:r w:rsidRPr="000860F1">
        <w:t xml:space="preserve"> and Loewe</w:t>
      </w:r>
      <w:r w:rsidRPr="000860F1">
        <w:rPr>
          <w:rStyle w:val="FootnoteReference"/>
        </w:rPr>
        <w:t>1</w:t>
      </w:r>
      <w:r w:rsidRPr="000860F1">
        <w:t>. These studies showed that these kits achieved 100% diagnostic sensitivity and specificity when testing naturally infected samples. The data on the test performance study are available</w:t>
      </w:r>
      <w:r w:rsidR="00B60196" w:rsidRPr="000860F1">
        <w:t xml:space="preserve"> in the EPPO database </w:t>
      </w:r>
      <w:r w:rsidR="00445360">
        <w:t>on</w:t>
      </w:r>
      <w:r w:rsidR="00B60196" w:rsidRPr="000860F1">
        <w:t xml:space="preserve"> diagnostic expertise (</w:t>
      </w:r>
      <w:r w:rsidR="0026488F" w:rsidRPr="000860F1">
        <w:t xml:space="preserve">EPPO, </w:t>
      </w:r>
      <w:r w:rsidR="00B60196" w:rsidRPr="000860F1">
        <w:t>2018</w:t>
      </w:r>
      <w:r w:rsidR="004509DB">
        <w:t>c</w:t>
      </w:r>
      <w:r w:rsidR="00B60196" w:rsidRPr="000860F1">
        <w:t>).</w:t>
      </w:r>
    </w:p>
    <w:p w14:paraId="13977F6B" w14:textId="327B8F89" w:rsidR="008E6998" w:rsidRPr="000860F1" w:rsidRDefault="000330D6">
      <w:pPr>
        <w:pStyle w:val="IPPHeading2"/>
        <w:rPr>
          <w:i/>
        </w:rPr>
      </w:pPr>
      <w:bookmarkStart w:id="34" w:name="_Toc111710132"/>
      <w:r w:rsidRPr="000860F1">
        <w:t>3.3.3</w:t>
      </w:r>
      <w:r w:rsidRPr="000860F1">
        <w:tab/>
        <w:t>Interpretation of ELISA results</w:t>
      </w:r>
      <w:bookmarkEnd w:id="34"/>
    </w:p>
    <w:p w14:paraId="35FFF30E" w14:textId="50DD9A27" w:rsidR="008E6998" w:rsidRPr="000860F1" w:rsidRDefault="000330D6" w:rsidP="0004310D">
      <w:pPr>
        <w:pStyle w:val="IPPParagraphnumbering"/>
      </w:pPr>
      <w:r w:rsidRPr="000860F1">
        <w:t>The reaction</w:t>
      </w:r>
      <w:r w:rsidR="00B60196" w:rsidRPr="000860F1">
        <w:t>s</w:t>
      </w:r>
      <w:r w:rsidRPr="000860F1">
        <w:t xml:space="preserve"> of the controls should be verified. Negative ELISA readings in positive control wells indicate that the test has not been performed correctly or that it has been inhibited. Positive ELISA readings in negative control wells indicate that cross-contamination or non-specific antibody binding has occurred. In these cases, the test should be performed again. </w:t>
      </w:r>
    </w:p>
    <w:p w14:paraId="371C28FE" w14:textId="606F9B3D" w:rsidR="008E6998" w:rsidRPr="000860F1" w:rsidRDefault="000330D6" w:rsidP="0004310D">
      <w:pPr>
        <w:pStyle w:val="IPPParagraphnumbering"/>
      </w:pPr>
      <w:r w:rsidRPr="000860F1">
        <w:t>Once the reaction</w:t>
      </w:r>
      <w:r w:rsidR="00B60196" w:rsidRPr="000860F1">
        <w:t>s</w:t>
      </w:r>
      <w:r w:rsidRPr="000860F1">
        <w:t xml:space="preserve"> of the controls </w:t>
      </w:r>
      <w:r w:rsidR="00B60196" w:rsidRPr="000860F1">
        <w:t xml:space="preserve">have </w:t>
      </w:r>
      <w:r w:rsidRPr="000860F1">
        <w:t>been verified, the results for each sample are interpreted as follows:</w:t>
      </w:r>
    </w:p>
    <w:p w14:paraId="4E5D67FF" w14:textId="34A36188" w:rsidR="008E6998" w:rsidRPr="000860F1" w:rsidRDefault="000330D6" w:rsidP="00067B2E">
      <w:pPr>
        <w:pStyle w:val="IPPBullet1"/>
        <w:rPr>
          <w:i/>
        </w:rPr>
      </w:pPr>
      <w:r w:rsidRPr="000860F1">
        <w:t>The ELISA is negative if the average absorbance readings of duplicate wells containing tissue macerate is &lt;2× the average absorbance of the negative control wells containing healthy host tissue macerate.</w:t>
      </w:r>
    </w:p>
    <w:p w14:paraId="2FF8A0C9" w14:textId="7AE1673C" w:rsidR="004B494A" w:rsidRPr="000860F1" w:rsidRDefault="000330D6" w:rsidP="00067B2E">
      <w:pPr>
        <w:pStyle w:val="IPPBullet1"/>
      </w:pPr>
      <w:r w:rsidRPr="000860F1">
        <w:t>The ELISA is positive if the average absorbance readings of duplicate sample wells is ≥2× the average absorbance readings of the negative control wells containing healthy host tissue macerate.</w:t>
      </w:r>
    </w:p>
    <w:p w14:paraId="382D1A41" w14:textId="0EAA6088" w:rsidR="004B494A" w:rsidRPr="000860F1" w:rsidRDefault="004B494A" w:rsidP="00067B2E">
      <w:pPr>
        <w:pStyle w:val="IPPBullet1Last"/>
      </w:pPr>
      <w:r w:rsidRPr="000860F1">
        <w:rPr>
          <w:rStyle w:val="PleaseReviewParagraphId"/>
          <w:rFonts w:ascii="Times New Roman" w:hAnsi="Times New Roman"/>
          <w:color w:val="auto"/>
          <w:sz w:val="22"/>
        </w:rPr>
        <w:t xml:space="preserve">It is also recommended that the manufacturer’s instructions </w:t>
      </w:r>
      <w:r w:rsidR="00C14FA8" w:rsidRPr="000860F1">
        <w:rPr>
          <w:rStyle w:val="PleaseReviewParagraphId"/>
          <w:rFonts w:ascii="Times New Roman" w:hAnsi="Times New Roman"/>
          <w:color w:val="auto"/>
          <w:sz w:val="22"/>
        </w:rPr>
        <w:t>be</w:t>
      </w:r>
      <w:r w:rsidRPr="000860F1">
        <w:rPr>
          <w:rStyle w:val="PleaseReviewParagraphId"/>
          <w:rFonts w:ascii="Times New Roman" w:hAnsi="Times New Roman"/>
          <w:color w:val="auto"/>
          <w:sz w:val="22"/>
        </w:rPr>
        <w:t xml:space="preserve"> checked for interpretation</w:t>
      </w:r>
      <w:r w:rsidR="00D337AE" w:rsidRPr="000860F1">
        <w:rPr>
          <w:rStyle w:val="PleaseReviewParagraphId"/>
          <w:rFonts w:ascii="Times New Roman" w:hAnsi="Times New Roman"/>
          <w:color w:val="auto"/>
          <w:sz w:val="22"/>
        </w:rPr>
        <w:t xml:space="preserve"> of test results</w:t>
      </w:r>
      <w:r w:rsidRPr="000860F1">
        <w:rPr>
          <w:rStyle w:val="PleaseReviewParagraphId"/>
          <w:rFonts w:ascii="Times New Roman" w:hAnsi="Times New Roman"/>
          <w:color w:val="auto"/>
          <w:sz w:val="22"/>
        </w:rPr>
        <w:t>.</w:t>
      </w:r>
    </w:p>
    <w:p w14:paraId="67F3B767" w14:textId="344257EB" w:rsidR="008E6998" w:rsidRPr="000860F1" w:rsidRDefault="000330D6">
      <w:pPr>
        <w:pStyle w:val="IPPHeading2"/>
      </w:pPr>
      <w:bookmarkStart w:id="35" w:name="_Toc384635721"/>
      <w:bookmarkStart w:id="36" w:name="_Toc111710133"/>
      <w:r w:rsidRPr="000860F1">
        <w:t>3.4</w:t>
      </w:r>
      <w:r w:rsidRPr="000860F1">
        <w:tab/>
      </w:r>
      <w:r w:rsidRPr="0046133B">
        <w:t>Molecular detection</w:t>
      </w:r>
      <w:bookmarkEnd w:id="35"/>
      <w:bookmarkEnd w:id="36"/>
    </w:p>
    <w:p w14:paraId="0BCFD2F2" w14:textId="690AF6C1" w:rsidR="008E6998" w:rsidRPr="000860F1" w:rsidRDefault="000330D6" w:rsidP="0004310D">
      <w:pPr>
        <w:pStyle w:val="IPPParagraphnumbering"/>
      </w:pPr>
      <w:r w:rsidRPr="000860F1">
        <w:t xml:space="preserve">Various molecular methods have been developed for the detection and identification of </w:t>
      </w:r>
      <w:r w:rsidRPr="000860F1">
        <w:rPr>
          <w:i/>
        </w:rPr>
        <w:t>X. fastidiosa</w:t>
      </w:r>
      <w:r w:rsidRPr="000860F1">
        <w:t xml:space="preserve"> directly on pure cultures, plant tissue and insect vectors (Firraro and Bazzi</w:t>
      </w:r>
      <w:r w:rsidRPr="000860F1">
        <w:rPr>
          <w:i/>
        </w:rPr>
        <w:t>.</w:t>
      </w:r>
      <w:r w:rsidRPr="000860F1">
        <w:t>,</w:t>
      </w:r>
      <w:r w:rsidRPr="000860F1">
        <w:rPr>
          <w:i/>
        </w:rPr>
        <w:t xml:space="preserve"> </w:t>
      </w:r>
      <w:r w:rsidRPr="000860F1">
        <w:t xml:space="preserve">1994; Minsavage </w:t>
      </w:r>
      <w:r w:rsidRPr="000860F1">
        <w:rPr>
          <w:i/>
        </w:rPr>
        <w:t>et al</w:t>
      </w:r>
      <w:r w:rsidRPr="000860F1">
        <w:t>., 1994; Pooler and Hartung</w:t>
      </w:r>
      <w:r w:rsidR="00897931">
        <w:t>,</w:t>
      </w:r>
      <w:r w:rsidRPr="000860F1">
        <w:t xml:space="preserve"> 1995;</w:t>
      </w:r>
      <w:r w:rsidR="001C08B6">
        <w:t xml:space="preserve"> Oliveira </w:t>
      </w:r>
      <w:r w:rsidR="001C08B6" w:rsidRPr="0046133B">
        <w:rPr>
          <w:i/>
        </w:rPr>
        <w:t>et al</w:t>
      </w:r>
      <w:r w:rsidR="001C08B6">
        <w:t>. 2002;</w:t>
      </w:r>
      <w:r w:rsidRPr="000860F1">
        <w:t xml:space="preserve"> Schaad </w:t>
      </w:r>
      <w:r w:rsidRPr="000860F1">
        <w:rPr>
          <w:i/>
        </w:rPr>
        <w:t>et al.</w:t>
      </w:r>
      <w:r w:rsidRPr="000860F1">
        <w:t xml:space="preserve">, 2002; Rodrigues </w:t>
      </w:r>
      <w:r w:rsidRPr="000860F1">
        <w:rPr>
          <w:i/>
        </w:rPr>
        <w:t>et al.</w:t>
      </w:r>
      <w:r w:rsidRPr="000860F1">
        <w:t xml:space="preserve">, 2003; Francis </w:t>
      </w:r>
      <w:r w:rsidRPr="000860F1">
        <w:rPr>
          <w:i/>
        </w:rPr>
        <w:t>et al.</w:t>
      </w:r>
      <w:r w:rsidRPr="000860F1">
        <w:t xml:space="preserve">, 2006; Harper </w:t>
      </w:r>
      <w:r w:rsidRPr="000860F1">
        <w:rPr>
          <w:i/>
        </w:rPr>
        <w:t>et al.</w:t>
      </w:r>
      <w:r w:rsidRPr="000860F1">
        <w:t xml:space="preserve">, 2010, erratum 2013; Li </w:t>
      </w:r>
      <w:r w:rsidRPr="000860F1">
        <w:rPr>
          <w:i/>
        </w:rPr>
        <w:t>et al.</w:t>
      </w:r>
      <w:r w:rsidRPr="000860F1">
        <w:t xml:space="preserve">, 2013; Ouyang </w:t>
      </w:r>
      <w:r w:rsidRPr="000860F1">
        <w:rPr>
          <w:i/>
        </w:rPr>
        <w:t>et al.</w:t>
      </w:r>
      <w:r w:rsidRPr="000860F1">
        <w:t>, 2013</w:t>
      </w:r>
      <w:r w:rsidR="00B9695E">
        <w:t xml:space="preserve">, Bonants </w:t>
      </w:r>
      <w:r w:rsidR="00B9695E" w:rsidRPr="0046133B">
        <w:rPr>
          <w:i/>
        </w:rPr>
        <w:t>et al</w:t>
      </w:r>
      <w:r w:rsidR="00B9695E">
        <w:t>., 2019</w:t>
      </w:r>
      <w:r w:rsidR="00F36A58">
        <w:t xml:space="preserve">, Dupas </w:t>
      </w:r>
      <w:r w:rsidR="00F36A58" w:rsidRPr="0046133B">
        <w:rPr>
          <w:i/>
        </w:rPr>
        <w:t>et al</w:t>
      </w:r>
      <w:r w:rsidR="00F36A58">
        <w:t xml:space="preserve">., 2019, Hodgetts </w:t>
      </w:r>
      <w:r w:rsidR="00F36A58" w:rsidRPr="0046133B">
        <w:rPr>
          <w:i/>
        </w:rPr>
        <w:t>et al</w:t>
      </w:r>
      <w:r w:rsidR="00F36A58">
        <w:t>., 2021</w:t>
      </w:r>
      <w:r w:rsidRPr="000860F1">
        <w:t xml:space="preserve">). </w:t>
      </w:r>
      <w:r w:rsidR="00F36A58">
        <w:t>The two last tests</w:t>
      </w:r>
      <w:r w:rsidR="00B9695E">
        <w:t xml:space="preserve"> allow sub-species assignment</w:t>
      </w:r>
      <w:r w:rsidR="00F36A58">
        <w:t xml:space="preserve">. A digital PCR (Dupas </w:t>
      </w:r>
      <w:r w:rsidR="00F36A58" w:rsidRPr="0046133B">
        <w:rPr>
          <w:i/>
        </w:rPr>
        <w:t>et al</w:t>
      </w:r>
      <w:r w:rsidR="00F36A58">
        <w:t xml:space="preserve">. 2019a) and isothermal amplifications for use in the field </w:t>
      </w:r>
      <w:r w:rsidR="00143FC7">
        <w:t xml:space="preserve">without prior extraction steps </w:t>
      </w:r>
      <w:r w:rsidR="00F36A58">
        <w:t xml:space="preserve">[LAMP (Yaseen </w:t>
      </w:r>
      <w:r w:rsidR="00F36A58" w:rsidRPr="0046133B">
        <w:rPr>
          <w:i/>
        </w:rPr>
        <w:t>et al</w:t>
      </w:r>
      <w:r w:rsidR="00F36A58">
        <w:t xml:space="preserve">., 2015) or RPA (Cesbron </w:t>
      </w:r>
      <w:r w:rsidR="00F36A58" w:rsidRPr="0046133B">
        <w:rPr>
          <w:i/>
        </w:rPr>
        <w:t>et al</w:t>
      </w:r>
      <w:r w:rsidR="00F36A58">
        <w:t xml:space="preserve">, 2022)] have also been developed. </w:t>
      </w:r>
      <w:r w:rsidRPr="000860F1">
        <w:t xml:space="preserve">The conventional PCR developed by Minsavage </w:t>
      </w:r>
      <w:r w:rsidRPr="000860F1">
        <w:rPr>
          <w:i/>
        </w:rPr>
        <w:t>et al.</w:t>
      </w:r>
      <w:r w:rsidRPr="000860F1">
        <w:t xml:space="preserve"> (1994) and Rodrigues </w:t>
      </w:r>
      <w:r w:rsidRPr="000860F1">
        <w:rPr>
          <w:i/>
        </w:rPr>
        <w:t>et al</w:t>
      </w:r>
      <w:r w:rsidRPr="000860F1">
        <w:t xml:space="preserve">. (2003), two real-time PCRs (Harper </w:t>
      </w:r>
      <w:r w:rsidRPr="000860F1">
        <w:rPr>
          <w:i/>
        </w:rPr>
        <w:t>et al.</w:t>
      </w:r>
      <w:r w:rsidRPr="000860F1">
        <w:t xml:space="preserve">, 2010, </w:t>
      </w:r>
      <w:r w:rsidR="001B4E29">
        <w:t>err</w:t>
      </w:r>
      <w:r w:rsidR="00E26D57">
        <w:t xml:space="preserve">atum 2013, </w:t>
      </w:r>
      <w:r w:rsidRPr="000860F1">
        <w:t xml:space="preserve">and Li </w:t>
      </w:r>
      <w:r w:rsidRPr="000860F1">
        <w:rPr>
          <w:i/>
        </w:rPr>
        <w:t>et</w:t>
      </w:r>
      <w:r w:rsidR="00E35F2A" w:rsidRPr="000860F1">
        <w:rPr>
          <w:i/>
          <w:iCs/>
        </w:rPr>
        <w:t> </w:t>
      </w:r>
      <w:r w:rsidRPr="000860F1">
        <w:rPr>
          <w:i/>
        </w:rPr>
        <w:t>al.</w:t>
      </w:r>
      <w:r w:rsidRPr="000860F1">
        <w:t>, 2013)</w:t>
      </w:r>
      <w:r w:rsidR="00F36A58">
        <w:t>, and the two</w:t>
      </w:r>
      <w:r w:rsidRPr="000860F1">
        <w:t xml:space="preserve"> </w:t>
      </w:r>
      <w:r w:rsidR="00F36A58" w:rsidRPr="000860F1">
        <w:t>real-time PCRs</w:t>
      </w:r>
      <w:r w:rsidR="00F36A58">
        <w:t xml:space="preserve"> allowing sub-species assignment</w:t>
      </w:r>
      <w:r w:rsidR="00F36A58" w:rsidRPr="000860F1">
        <w:t xml:space="preserve"> </w:t>
      </w:r>
      <w:r w:rsidR="00F36A58">
        <w:t xml:space="preserve">(Dupas et al., 2019, Hodgetts </w:t>
      </w:r>
      <w:r w:rsidR="00F36A58" w:rsidRPr="0046133B">
        <w:rPr>
          <w:i/>
        </w:rPr>
        <w:t>et al.,</w:t>
      </w:r>
      <w:r w:rsidR="00F36A58">
        <w:t xml:space="preserve"> 2021) </w:t>
      </w:r>
      <w:r w:rsidRPr="000860F1">
        <w:t xml:space="preserve">are described in this protocol for the detection and identification of </w:t>
      </w:r>
      <w:r w:rsidRPr="000860F1">
        <w:rPr>
          <w:i/>
        </w:rPr>
        <w:t>X. fastidiosa</w:t>
      </w:r>
      <w:r w:rsidRPr="000860F1">
        <w:t>.</w:t>
      </w:r>
      <w:r w:rsidR="00E26BC1" w:rsidRPr="000860F1">
        <w:t xml:space="preserve"> </w:t>
      </w:r>
      <w:r w:rsidR="00C17B85">
        <w:t xml:space="preserve">The real-time methods using isothermal amplification such as LAMP are described in this protocol. </w:t>
      </w:r>
      <w:r w:rsidR="00E26BC1" w:rsidRPr="000860F1">
        <w:t xml:space="preserve">The PCR </w:t>
      </w:r>
      <w:r w:rsidR="00772CC5" w:rsidRPr="000860F1">
        <w:t>methods</w:t>
      </w:r>
      <w:r w:rsidR="00E26BC1" w:rsidRPr="000860F1">
        <w:t xml:space="preserve"> described hereafter are as </w:t>
      </w:r>
      <w:r w:rsidR="00460E88" w:rsidRPr="000860F1">
        <w:t xml:space="preserve">described </w:t>
      </w:r>
      <w:r w:rsidR="00E26BC1" w:rsidRPr="000860F1">
        <w:t>in the original publication</w:t>
      </w:r>
      <w:r w:rsidR="00460E88" w:rsidRPr="000860F1">
        <w:t>s</w:t>
      </w:r>
      <w:r w:rsidR="00E26BC1" w:rsidRPr="000860F1">
        <w:t xml:space="preserve">; however, </w:t>
      </w:r>
      <w:r w:rsidR="004B494A" w:rsidRPr="000860F1">
        <w:t>some</w:t>
      </w:r>
      <w:r w:rsidR="00E26BC1" w:rsidRPr="000860F1">
        <w:t xml:space="preserve"> modifications </w:t>
      </w:r>
      <w:r w:rsidR="005D71CA" w:rsidRPr="000860F1">
        <w:t>(</w:t>
      </w:r>
      <w:r w:rsidR="00E26BC1" w:rsidRPr="000860F1">
        <w:t xml:space="preserve">e.g. variations in </w:t>
      </w:r>
      <w:r w:rsidR="00C90B73" w:rsidRPr="000860F1">
        <w:t>PCR conditions or the use of other mixes</w:t>
      </w:r>
      <w:r w:rsidR="005D71CA" w:rsidRPr="000860F1">
        <w:t>)</w:t>
      </w:r>
      <w:r w:rsidR="002C634A" w:rsidRPr="000860F1">
        <w:t xml:space="preserve"> can be applied for optimization purposes</w:t>
      </w:r>
      <w:r w:rsidR="00E26BC1" w:rsidRPr="000860F1">
        <w:t>.</w:t>
      </w:r>
    </w:p>
    <w:p w14:paraId="3EDC504D" w14:textId="53F1E94E" w:rsidR="008E6998" w:rsidRPr="000860F1" w:rsidRDefault="000330D6">
      <w:pPr>
        <w:pStyle w:val="IPPHeading2"/>
        <w:rPr>
          <w:i/>
        </w:rPr>
      </w:pPr>
      <w:bookmarkStart w:id="37" w:name="_Toc111710134"/>
      <w:r w:rsidRPr="000860F1">
        <w:t>3.4.1</w:t>
      </w:r>
      <w:r w:rsidRPr="000860F1">
        <w:tab/>
      </w:r>
      <w:r w:rsidR="00F30C90" w:rsidRPr="000860F1">
        <w:t>DNA</w:t>
      </w:r>
      <w:r w:rsidRPr="000860F1">
        <w:t xml:space="preserve"> extraction </w:t>
      </w:r>
      <w:r w:rsidR="00F30C90" w:rsidRPr="000860F1">
        <w:t>from</w:t>
      </w:r>
      <w:r w:rsidRPr="000860F1">
        <w:t xml:space="preserve"> plant material</w:t>
      </w:r>
      <w:bookmarkEnd w:id="37"/>
    </w:p>
    <w:p w14:paraId="582B18FC" w14:textId="6B6CFF12" w:rsidR="005A781A" w:rsidRDefault="000330D6" w:rsidP="0004310D">
      <w:pPr>
        <w:pStyle w:val="IPPParagraphnumbering"/>
      </w:pPr>
      <w:r w:rsidRPr="000860F1">
        <w:t xml:space="preserve">A number of methods have been described for the extraction of the DNA of </w:t>
      </w:r>
      <w:r w:rsidRPr="000860F1">
        <w:rPr>
          <w:i/>
        </w:rPr>
        <w:t>X. fastidiosa</w:t>
      </w:r>
      <w:r w:rsidRPr="000860F1">
        <w:t xml:space="preserve"> from bacterial colonies and from plant tissue (Minsavage </w:t>
      </w:r>
      <w:r w:rsidRPr="000860F1">
        <w:rPr>
          <w:i/>
        </w:rPr>
        <w:t>et al.</w:t>
      </w:r>
      <w:r w:rsidRPr="000860F1">
        <w:t xml:space="preserve">, 1994; Pooler and Hartung, 1995; Francis </w:t>
      </w:r>
      <w:r w:rsidRPr="000860F1">
        <w:rPr>
          <w:i/>
        </w:rPr>
        <w:t>et al.</w:t>
      </w:r>
      <w:r w:rsidRPr="000860F1">
        <w:t xml:space="preserve">, 2006; Huang </w:t>
      </w:r>
      <w:r w:rsidRPr="000860F1">
        <w:rPr>
          <w:i/>
        </w:rPr>
        <w:t>et al.</w:t>
      </w:r>
      <w:r w:rsidRPr="000860F1">
        <w:t xml:space="preserve">, 2006; Harper </w:t>
      </w:r>
      <w:r w:rsidRPr="000860F1">
        <w:rPr>
          <w:i/>
        </w:rPr>
        <w:t>et al.</w:t>
      </w:r>
      <w:r w:rsidRPr="000860F1">
        <w:t>, 2010</w:t>
      </w:r>
      <w:r w:rsidR="00B60196" w:rsidRPr="000860F1">
        <w:t>, erratum 2013</w:t>
      </w:r>
      <w:r w:rsidRPr="000860F1">
        <w:t xml:space="preserve">; Li </w:t>
      </w:r>
      <w:r w:rsidRPr="000860F1">
        <w:rPr>
          <w:i/>
        </w:rPr>
        <w:t>et al.</w:t>
      </w:r>
      <w:r w:rsidRPr="000860F1">
        <w:t>, 2013). Extraction can be achieved using a number of standard commercial kits (e.g. Bextine and Child, 2007; Huang, 200</w:t>
      </w:r>
      <w:r w:rsidR="0022350D">
        <w:t>6</w:t>
      </w:r>
      <w:r w:rsidRPr="000860F1">
        <w:t xml:space="preserve">). The following methods are a selection of those widely used in several laboratories. </w:t>
      </w:r>
      <w:r w:rsidR="00B43458" w:rsidRPr="000860F1">
        <w:t xml:space="preserve">There are many other similar DNA extraction kits that will also readily extract </w:t>
      </w:r>
      <w:r w:rsidR="00B43458" w:rsidRPr="000860F1">
        <w:rPr>
          <w:i/>
        </w:rPr>
        <w:t>Xylella</w:t>
      </w:r>
      <w:r w:rsidR="00B43458" w:rsidRPr="000860F1">
        <w:t xml:space="preserve"> DNA from plant material. </w:t>
      </w:r>
      <w:r w:rsidRPr="000860F1">
        <w:t xml:space="preserve">Validation data on the sensitivities associated with the different nucleic acid extraction methods can be found </w:t>
      </w:r>
      <w:r w:rsidR="00B60196" w:rsidRPr="000860F1">
        <w:t xml:space="preserve">in the EPPO database </w:t>
      </w:r>
      <w:r w:rsidR="00445360">
        <w:t>on</w:t>
      </w:r>
      <w:r w:rsidR="00B60196" w:rsidRPr="000860F1">
        <w:t xml:space="preserve"> diagnostic expertise (</w:t>
      </w:r>
      <w:r w:rsidR="0026488F" w:rsidRPr="000860F1">
        <w:t xml:space="preserve">EPPO, </w:t>
      </w:r>
      <w:r w:rsidR="00B60196" w:rsidRPr="000860F1">
        <w:t>2018</w:t>
      </w:r>
      <w:r w:rsidR="004509DB">
        <w:t>c</w:t>
      </w:r>
      <w:r w:rsidR="00B60196" w:rsidRPr="000860F1">
        <w:t>).</w:t>
      </w:r>
      <w:r w:rsidRPr="000860F1">
        <w:t xml:space="preserve"> A PCR can be readily conducted on boiled or heated preparations (e.g. suspensions of 10</w:t>
      </w:r>
      <w:r w:rsidRPr="000860F1">
        <w:rPr>
          <w:vertAlign w:val="superscript"/>
        </w:rPr>
        <w:t>8</w:t>
      </w:r>
      <w:r w:rsidRPr="000860F1">
        <w:t> cfu/</w:t>
      </w:r>
      <w:r w:rsidR="00D415AF">
        <w:t>mL</w:t>
      </w:r>
      <w:r w:rsidRPr="000860F1">
        <w:t xml:space="preserve"> heated at 95 °C for 15 min</w:t>
      </w:r>
      <w:r w:rsidR="00E05763" w:rsidRPr="000860F1">
        <w:t xml:space="preserve"> or 100</w:t>
      </w:r>
      <w:r w:rsidR="005D71CA" w:rsidRPr="000860F1">
        <w:t> °</w:t>
      </w:r>
      <w:r w:rsidR="00E05763" w:rsidRPr="000860F1">
        <w:t>C for 5</w:t>
      </w:r>
      <w:r w:rsidR="005D71CA" w:rsidRPr="000860F1">
        <w:t> </w:t>
      </w:r>
      <w:r w:rsidR="00E05763" w:rsidRPr="000860F1">
        <w:t>min</w:t>
      </w:r>
      <w:r w:rsidRPr="000860F1">
        <w:t>) of bacterial colonies, or on DNA extracts purified using the methods below.</w:t>
      </w:r>
      <w:r w:rsidR="005A781A" w:rsidRPr="005A781A">
        <w:t xml:space="preserve"> </w:t>
      </w:r>
    </w:p>
    <w:p w14:paraId="25017144" w14:textId="5FE68017" w:rsidR="008E6998" w:rsidRPr="005A781A" w:rsidRDefault="005A781A" w:rsidP="0004310D">
      <w:pPr>
        <w:pStyle w:val="IPPParagraphnumbering"/>
        <w:rPr>
          <w:i/>
          <w:lang w:val="nl-NL"/>
        </w:rPr>
      </w:pPr>
      <w:r w:rsidRPr="00315473">
        <w:t xml:space="preserve">Experiments conducted </w:t>
      </w:r>
      <w:r w:rsidR="0046133B">
        <w:t xml:space="preserve">by </w:t>
      </w:r>
      <w:r w:rsidR="0046133B" w:rsidRPr="00315473">
        <w:t xml:space="preserve">INRAe (FR) </w:t>
      </w:r>
      <w:r w:rsidRPr="00315473">
        <w:t>in the framework of the EU funded projects XF-ACTORS and POnTE have shown that the analytical sensitivity of PCR tests was improved when an additional ultrasonication (1 min at 35–40 kHz) is performed on the plant extract prior to DNA extraction (CTAB‐based extraction or QuickPick™ S</w:t>
      </w:r>
      <w:r w:rsidR="00D415AF">
        <w:t>ML</w:t>
      </w:r>
      <w:r w:rsidRPr="00315473">
        <w:t xml:space="preserve"> Plant DNA Kit‐based extraction, Bio‐Nobile). This has improved the release of bacteria from biofilms, in particular with difficult matrices such as </w:t>
      </w:r>
      <w:r w:rsidRPr="00315473">
        <w:rPr>
          <w:i/>
          <w:iCs/>
        </w:rPr>
        <w:t>Olea</w:t>
      </w:r>
      <w:r w:rsidR="00D415AF">
        <w:t xml:space="preserve"> </w:t>
      </w:r>
      <w:r w:rsidR="00D415AF" w:rsidRPr="00D415AF">
        <w:rPr>
          <w:i/>
        </w:rPr>
        <w:t>europaea</w:t>
      </w:r>
      <w:r w:rsidRPr="00315473">
        <w:t xml:space="preserve">. and </w:t>
      </w:r>
      <w:r w:rsidRPr="00315473">
        <w:rPr>
          <w:i/>
          <w:iCs/>
        </w:rPr>
        <w:t>Quercus</w:t>
      </w:r>
      <w:r w:rsidRPr="00315473">
        <w:t xml:space="preserve"> spp. Validation data from Anses is available on the EPPO Database on Diagnostic Expertise (</w:t>
      </w:r>
      <w:hyperlink r:id="rId17" w:history="1">
        <w:r w:rsidRPr="00315473">
          <w:rPr>
            <w:rStyle w:val="Hyperlink"/>
          </w:rPr>
          <w:t>http://dc.eppo.int/validationlist.php</w:t>
        </w:r>
      </w:hyperlink>
      <w:r w:rsidRPr="00315473">
        <w:t xml:space="preserve">). </w:t>
      </w:r>
    </w:p>
    <w:p w14:paraId="01B42AFA" w14:textId="0FA9AD70" w:rsidR="005A781A" w:rsidRPr="00315473" w:rsidRDefault="000330D6" w:rsidP="0004310D">
      <w:pPr>
        <w:pStyle w:val="IPPParagraphnumbering"/>
      </w:pPr>
      <w:r w:rsidRPr="005C3D8E">
        <w:rPr>
          <w:rStyle w:val="IPPNormalbold"/>
          <w:lang w:val="nl-NL"/>
        </w:rPr>
        <w:t>CTAB-based extraction</w:t>
      </w:r>
      <w:r w:rsidR="00FC27F4" w:rsidRPr="005C3D8E">
        <w:rPr>
          <w:rStyle w:val="IPPNormalbold"/>
          <w:lang w:val="nl-NL"/>
        </w:rPr>
        <w:t xml:space="preserve"> (</w:t>
      </w:r>
      <w:r w:rsidR="003B1E35" w:rsidRPr="005C3D8E">
        <w:rPr>
          <w:rStyle w:val="IPPNormalbold"/>
          <w:lang w:val="nl-NL"/>
        </w:rPr>
        <w:t>EPPO, 2022</w:t>
      </w:r>
      <w:r w:rsidR="00FC27F4" w:rsidRPr="005C3D8E">
        <w:rPr>
          <w:rStyle w:val="IPPNormalbold"/>
          <w:lang w:val="nl-NL"/>
        </w:rPr>
        <w:t>)</w:t>
      </w:r>
      <w:r w:rsidRPr="005C3D8E">
        <w:rPr>
          <w:rStyle w:val="IPPNormalbold"/>
          <w:b w:val="0"/>
          <w:lang w:val="nl-NL"/>
        </w:rPr>
        <w:t>.</w:t>
      </w:r>
      <w:r w:rsidRPr="000D78FD">
        <w:rPr>
          <w:lang w:val="nl-NL"/>
        </w:rPr>
        <w:t xml:space="preserve"> </w:t>
      </w:r>
      <w:r w:rsidR="003B1E35" w:rsidRPr="000D78FD">
        <w:rPr>
          <w:lang w:val="nl-NL"/>
        </w:rPr>
        <w:t xml:space="preserve">Briefly, </w:t>
      </w:r>
      <w:r w:rsidR="001B1683" w:rsidRPr="000D78FD">
        <w:rPr>
          <w:lang w:val="nl-NL"/>
        </w:rPr>
        <w:t>0.5–1</w:t>
      </w:r>
      <w:r w:rsidR="005D71CA" w:rsidRPr="000D78FD">
        <w:rPr>
          <w:lang w:val="nl-NL"/>
        </w:rPr>
        <w:t> </w:t>
      </w:r>
      <w:r w:rsidR="001B1683" w:rsidRPr="000D78FD">
        <w:rPr>
          <w:lang w:val="nl-NL"/>
        </w:rPr>
        <w:t xml:space="preserve">g </w:t>
      </w:r>
      <w:r w:rsidRPr="000D78FD">
        <w:rPr>
          <w:lang w:val="nl-NL"/>
        </w:rPr>
        <w:t>midrib, petiole or twig tissue is placed into an extraction bag with 5 </w:t>
      </w:r>
      <w:r w:rsidR="00D415AF" w:rsidRPr="000D78FD">
        <w:rPr>
          <w:lang w:val="nl-NL"/>
        </w:rPr>
        <w:t>mL</w:t>
      </w:r>
      <w:r w:rsidRPr="000D78FD">
        <w:rPr>
          <w:lang w:val="nl-NL"/>
        </w:rPr>
        <w:t xml:space="preserve"> </w:t>
      </w:r>
      <w:r w:rsidR="00FC27F4" w:rsidRPr="000D78FD">
        <w:rPr>
          <w:lang w:val="nl-NL"/>
        </w:rPr>
        <w:t>extraction buffer (</w:t>
      </w:r>
      <w:r w:rsidRPr="000D78FD">
        <w:rPr>
          <w:lang w:val="nl-NL"/>
        </w:rPr>
        <w:t xml:space="preserve">CTAB buffer </w:t>
      </w:r>
      <w:r w:rsidR="00FC27F4" w:rsidRPr="000D78FD">
        <w:rPr>
          <w:lang w:val="nl-NL"/>
        </w:rPr>
        <w:t xml:space="preserve">: </w:t>
      </w:r>
      <w:r w:rsidRPr="000D78FD">
        <w:rPr>
          <w:lang w:val="nl-NL"/>
        </w:rPr>
        <w:t xml:space="preserve">100 mM Tris-HCl, pH 8.0; 1.4 M NaCl; 10 mM ethylenediaminetetraacetic </w:t>
      </w:r>
      <w:r w:rsidR="00B60196" w:rsidRPr="000D78FD">
        <w:rPr>
          <w:lang w:val="nl-NL"/>
        </w:rPr>
        <w:t xml:space="preserve">acid </w:t>
      </w:r>
      <w:r w:rsidRPr="000D78FD">
        <w:rPr>
          <w:lang w:val="nl-NL"/>
        </w:rPr>
        <w:t>(EDTA); 2% hexadecyltrimethylammonium bromide (CTAB); 3% polyvinylpyrrolidone (PVP</w:t>
      </w:r>
      <w:r w:rsidR="00E86964" w:rsidRPr="000D78FD">
        <w:rPr>
          <w:lang w:val="nl-NL"/>
        </w:rPr>
        <w:t>)</w:t>
      </w:r>
      <w:r w:rsidRPr="000D78FD">
        <w:rPr>
          <w:lang w:val="nl-NL"/>
        </w:rPr>
        <w:t>-40) and homogenized using a homogenizer (e.g. Homex</w:t>
      </w:r>
      <w:r w:rsidRPr="000D78FD">
        <w:rPr>
          <w:vertAlign w:val="superscript"/>
          <w:lang w:val="nl-NL"/>
        </w:rPr>
        <w:t>1</w:t>
      </w:r>
      <w:r w:rsidRPr="000D78FD">
        <w:rPr>
          <w:lang w:val="nl-NL"/>
        </w:rPr>
        <w:t>, Polytron</w:t>
      </w:r>
      <w:r w:rsidRPr="000D78FD">
        <w:rPr>
          <w:vertAlign w:val="superscript"/>
          <w:lang w:val="nl-NL"/>
        </w:rPr>
        <w:t>1</w:t>
      </w:r>
      <w:r w:rsidRPr="000D78FD">
        <w:rPr>
          <w:lang w:val="nl-NL"/>
        </w:rPr>
        <w:t xml:space="preserve">). </w:t>
      </w:r>
      <w:r w:rsidRPr="000860F1">
        <w:t>The homogenate (1 </w:t>
      </w:r>
      <w:r w:rsidR="00D415AF">
        <w:t>mL</w:t>
      </w:r>
      <w:r w:rsidRPr="000860F1">
        <w:t>) is transferred to a microcentrifuge tube and incubated at 65 °C for 30 min. After cooling, the tube is centrifuged at 16 000 </w:t>
      </w:r>
      <w:r w:rsidRPr="000860F1">
        <w:rPr>
          <w:i/>
        </w:rPr>
        <w:t>g</w:t>
      </w:r>
      <w:r w:rsidRPr="000860F1">
        <w:t xml:space="preserve"> for 5 min. The supernatant (1 </w:t>
      </w:r>
      <w:r w:rsidR="00D415AF">
        <w:t>mL</w:t>
      </w:r>
      <w:r w:rsidRPr="000860F1">
        <w:t>) is transferred to a new tube and mixed with the same volume of chloroform:isoamylalcohol (24:1, v/v), vortexed and then centrifuged at 3000 </w:t>
      </w:r>
      <w:r w:rsidRPr="000860F1">
        <w:rPr>
          <w:i/>
        </w:rPr>
        <w:t>g</w:t>
      </w:r>
      <w:r w:rsidRPr="000860F1">
        <w:t xml:space="preserve"> for 15 min. The aqueous layer (</w:t>
      </w:r>
      <w:r w:rsidR="00637D8B" w:rsidRPr="000860F1">
        <w:t xml:space="preserve">the upper layer </w:t>
      </w:r>
      <w:r w:rsidR="005731D0" w:rsidRPr="000860F1">
        <w:t>–</w:t>
      </w:r>
      <w:r w:rsidR="00637D8B" w:rsidRPr="000860F1">
        <w:t xml:space="preserve"> </w:t>
      </w:r>
      <w:r w:rsidR="00B60196" w:rsidRPr="000860F1">
        <w:t>approximately</w:t>
      </w:r>
      <w:r w:rsidR="0062259F" w:rsidRPr="000860F1">
        <w:t xml:space="preserve"> </w:t>
      </w:r>
      <w:r w:rsidR="00223C3C" w:rsidRPr="000860F1">
        <w:t>700 </w:t>
      </w:r>
      <w:r w:rsidR="00E53109" w:rsidRPr="000860F1">
        <w:t>µ</w:t>
      </w:r>
      <w:r w:rsidR="00E53109">
        <w:t>L</w:t>
      </w:r>
      <w:r w:rsidRPr="000860F1">
        <w:t xml:space="preserve">) is carefully transferred to a new tube and mixed with </w:t>
      </w:r>
      <w:r w:rsidR="00223C3C" w:rsidRPr="000860F1">
        <w:t>490</w:t>
      </w:r>
      <w:r w:rsidR="005D71CA" w:rsidRPr="000860F1">
        <w:t> </w:t>
      </w:r>
      <w:r w:rsidR="00E53109" w:rsidRPr="000860F1">
        <w:t>µ</w:t>
      </w:r>
      <w:r w:rsidR="00E53109">
        <w:t>L</w:t>
      </w:r>
      <w:r w:rsidR="00E53109" w:rsidRPr="000860F1">
        <w:t xml:space="preserve"> </w:t>
      </w:r>
      <w:r w:rsidRPr="000860F1">
        <w:t>ice-cold isopropanol. The suspension is mixed gently and incubated for at least 30 min at −20 °C.</w:t>
      </w:r>
      <w:r w:rsidRPr="000860F1">
        <w:rPr>
          <w:i/>
        </w:rPr>
        <w:t xml:space="preserve"> </w:t>
      </w:r>
      <w:r w:rsidRPr="000860F1">
        <w:t>After this DNA precipitation step, the suspension is centrifuged at 16 000 </w:t>
      </w:r>
      <w:r w:rsidRPr="000860F1">
        <w:rPr>
          <w:i/>
        </w:rPr>
        <w:t>g</w:t>
      </w:r>
      <w:r w:rsidRPr="000860F1">
        <w:t xml:space="preserve"> for 15 min and the supernatant is then discarded, taking care not to disturb the pellet. The pellet is washed with 1 </w:t>
      </w:r>
      <w:r w:rsidR="00D415AF">
        <w:t>mL</w:t>
      </w:r>
      <w:r w:rsidR="003E06C5">
        <w:t>L</w:t>
      </w:r>
      <w:r w:rsidRPr="000860F1">
        <w:t xml:space="preserve"> ethanol (70%</w:t>
      </w:r>
      <w:r w:rsidR="004B2FC2">
        <w:t>vol</w:t>
      </w:r>
      <w:r w:rsidRPr="000860F1">
        <w:t>) by repeating the</w:t>
      </w:r>
      <w:r w:rsidR="003D7334" w:rsidRPr="000860F1">
        <w:t xml:space="preserve"> last</w:t>
      </w:r>
      <w:r w:rsidRPr="000860F1">
        <w:t xml:space="preserve"> centrifugation step. After washing and decanting the supernatant, the pellet is air dried and suspended in 100 </w:t>
      </w:r>
      <w:r w:rsidR="00E53109" w:rsidRPr="000860F1">
        <w:t>µ</w:t>
      </w:r>
      <w:r w:rsidR="00E53109">
        <w:t>L</w:t>
      </w:r>
      <w:r w:rsidR="00E53109" w:rsidRPr="000860F1">
        <w:t xml:space="preserve"> </w:t>
      </w:r>
      <w:r w:rsidRPr="000860F1">
        <w:t>deoxyribonuclease-free water.</w:t>
      </w:r>
    </w:p>
    <w:p w14:paraId="494EFAE7" w14:textId="160EB084" w:rsidR="008E6998" w:rsidRDefault="000330D6" w:rsidP="0004310D">
      <w:pPr>
        <w:pStyle w:val="IPPParagraphnumbering"/>
      </w:pPr>
      <w:r w:rsidRPr="000860F1">
        <w:rPr>
          <w:rStyle w:val="IPPNormalbold"/>
          <w:lang w:val="en-GB"/>
        </w:rPr>
        <w:t>DNeasy</w:t>
      </w:r>
      <w:r w:rsidR="003E06C5">
        <w:rPr>
          <w:rStyle w:val="IPPNormalbold"/>
          <w:lang w:val="en-GB"/>
        </w:rPr>
        <w:t>®</w:t>
      </w:r>
      <w:r w:rsidRPr="000860F1">
        <w:rPr>
          <w:rStyle w:val="IPPNormalbold"/>
          <w:lang w:val="en-GB"/>
        </w:rPr>
        <w:t xml:space="preserve"> Plant Mini Kit</w:t>
      </w:r>
      <w:r w:rsidRPr="000860F1">
        <w:t xml:space="preserve"> (Qiagen)</w:t>
      </w:r>
      <w:r w:rsidRPr="000860F1">
        <w:rPr>
          <w:rStyle w:val="FootnoteReference"/>
        </w:rPr>
        <w:t>1</w:t>
      </w:r>
      <w:r w:rsidRPr="000860F1">
        <w:t xml:space="preserve">. DNA is extracted from </w:t>
      </w:r>
      <w:r w:rsidR="001B1683" w:rsidRPr="000860F1">
        <w:t>0.5–1.0</w:t>
      </w:r>
      <w:r w:rsidR="005D71CA" w:rsidRPr="000860F1">
        <w:t> </w:t>
      </w:r>
      <w:r w:rsidR="001B1683" w:rsidRPr="000860F1">
        <w:t xml:space="preserve">g </w:t>
      </w:r>
      <w:r w:rsidRPr="000860F1">
        <w:t>plant tissue (leaf midrib, petiole or twig tissue) and macerated in lysis buffer using homogenizing equipment (e.g. Homex</w:t>
      </w:r>
      <w:r w:rsidRPr="000860F1">
        <w:rPr>
          <w:vertAlign w:val="superscript"/>
        </w:rPr>
        <w:t>1</w:t>
      </w:r>
      <w:r w:rsidRPr="000860F1">
        <w:t>, Polytron</w:t>
      </w:r>
      <w:r w:rsidRPr="000860F1">
        <w:rPr>
          <w:vertAlign w:val="superscript"/>
        </w:rPr>
        <w:t>1</w:t>
      </w:r>
      <w:r w:rsidRPr="000860F1">
        <w:t>). Alternatively, plant tissue can be ground to a fine powder in liquid nitrogen prior to extraction. These extracts are then treated according to the manufacturer’s instructions.</w:t>
      </w:r>
    </w:p>
    <w:p w14:paraId="202ACADF" w14:textId="77777777" w:rsidR="00B32A59" w:rsidRDefault="00B32A59" w:rsidP="0004310D">
      <w:pPr>
        <w:pStyle w:val="IPPParagraphnumbering"/>
        <w:rPr>
          <w:b/>
        </w:rPr>
      </w:pPr>
      <w:r>
        <w:rPr>
          <w:b/>
        </w:rPr>
        <w:t xml:space="preserve">Other kits are available : </w:t>
      </w:r>
    </w:p>
    <w:p w14:paraId="478F8AD1" w14:textId="5C551E3E" w:rsidR="00B32A59" w:rsidRPr="00953C82" w:rsidRDefault="00143FC7" w:rsidP="0004310D">
      <w:pPr>
        <w:pStyle w:val="IPPParagraphnumbering"/>
      </w:pPr>
      <w:r w:rsidRPr="00B32A59">
        <w:t>DNeasy® Mericon™ Food Standard Protocol (Qiagen)</w:t>
      </w:r>
      <w:r w:rsidR="00B32A59" w:rsidRPr="00953C82">
        <w:t xml:space="preserve"> which was adapted </w:t>
      </w:r>
      <w:r w:rsidR="00B32A59" w:rsidRPr="00B32A59">
        <w:t>to recover high‐quality DNA from a wide range of plant species</w:t>
      </w:r>
      <w:r w:rsidR="00B32A59" w:rsidRPr="00953C82">
        <w:t xml:space="preserve"> and Maxwell® RSC PureFood GMO and Authentication Kit. The evaluation showed they both </w:t>
      </w:r>
      <w:r w:rsidR="00B32A59" w:rsidRPr="00B32A59">
        <w:t>performed well with DNA extracts from large amount of tissue (EPPO, 20</w:t>
      </w:r>
      <w:r w:rsidR="00B32A59">
        <w:t>22</w:t>
      </w:r>
      <w:r w:rsidR="00B32A59" w:rsidRPr="00B32A59">
        <w:t>)</w:t>
      </w:r>
    </w:p>
    <w:p w14:paraId="75FC57C4" w14:textId="760D7041" w:rsidR="008E6998" w:rsidRPr="000860F1" w:rsidRDefault="000330D6" w:rsidP="0004310D">
      <w:pPr>
        <w:pStyle w:val="IPPParagraphnumbering"/>
        <w:rPr>
          <w:i/>
        </w:rPr>
      </w:pPr>
      <w:r w:rsidRPr="000860F1">
        <w:rPr>
          <w:rStyle w:val="IPPNormalbold"/>
          <w:lang w:val="en-GB"/>
        </w:rPr>
        <w:t>QuickPick</w:t>
      </w:r>
      <w:r w:rsidR="003E06C5">
        <w:rPr>
          <w:rStyle w:val="IPPNormalbold"/>
          <w:lang w:val="en-GB"/>
        </w:rPr>
        <w:t>™</w:t>
      </w:r>
      <w:r w:rsidRPr="000860F1">
        <w:rPr>
          <w:rStyle w:val="IPPNormalbold"/>
          <w:lang w:val="en-GB"/>
        </w:rPr>
        <w:t xml:space="preserve"> S</w:t>
      </w:r>
      <w:r w:rsidR="00D415AF">
        <w:rPr>
          <w:rStyle w:val="IPPNormalbold"/>
          <w:lang w:val="en-GB"/>
        </w:rPr>
        <w:t>ML</w:t>
      </w:r>
      <w:r w:rsidRPr="000860F1">
        <w:rPr>
          <w:rStyle w:val="IPPNormalbold"/>
          <w:lang w:val="en-GB"/>
        </w:rPr>
        <w:t xml:space="preserve"> Plant DNA Kit</w:t>
      </w:r>
      <w:r w:rsidRPr="000860F1">
        <w:t xml:space="preserve"> (Bio-Nobile)</w:t>
      </w:r>
      <w:r w:rsidRPr="000860F1">
        <w:rPr>
          <w:rStyle w:val="FootnoteReference"/>
        </w:rPr>
        <w:t>1</w:t>
      </w:r>
      <w:r w:rsidRPr="000860F1">
        <w:t>. Plant tissue (200 </w:t>
      </w:r>
      <w:r w:rsidRPr="000860F1">
        <w:rPr>
          <w:rFonts w:eastAsia="Times New Roman"/>
          <w:lang w:eastAsia="fr-FR"/>
        </w:rPr>
        <w:t xml:space="preserve">mg </w:t>
      </w:r>
      <w:r w:rsidRPr="000860F1">
        <w:t xml:space="preserve">leaf midrib, petiole or twig tissue) is homogenized using any of the available methods (e.g. mechanical grinding with bead mills or with liquid nitrogen, tissue grinder). The plant material should be sufficiently homogenized before starting the purification procedure. Appropriate volumes of </w:t>
      </w:r>
      <w:r w:rsidR="004C3ED3" w:rsidRPr="000860F1">
        <w:t>p</w:t>
      </w:r>
      <w:r w:rsidRPr="000860F1">
        <w:t xml:space="preserve">lant DNA </w:t>
      </w:r>
      <w:r w:rsidR="004C3ED3" w:rsidRPr="000860F1">
        <w:t>l</w:t>
      </w:r>
      <w:r w:rsidRPr="000860F1">
        <w:t xml:space="preserve">ysis </w:t>
      </w:r>
      <w:r w:rsidR="004C3ED3" w:rsidRPr="000860F1">
        <w:t>b</w:t>
      </w:r>
      <w:r w:rsidRPr="000860F1">
        <w:t>uffer and proteinase</w:t>
      </w:r>
      <w:r w:rsidR="00EE56E8" w:rsidRPr="000860F1">
        <w:t> </w:t>
      </w:r>
      <w:r w:rsidRPr="000860F1">
        <w:t>K solution, as specified in the manufacturer’s instructions, are added to the plant tissue. The sample is thoroughly vortex-mixed and then incubated at 65 C for 15–30 min. After the lysis step, DNA purification is performed according to the manufacturer’s instructions. Alternatively, a larger sample size can be processed by crushing 0.5–1 g fresh small pieces of midribs, petioles, basal leaf part</w:t>
      </w:r>
      <w:r w:rsidR="00EE56E8" w:rsidRPr="000860F1">
        <w:t>s</w:t>
      </w:r>
      <w:r w:rsidRPr="000860F1">
        <w:t xml:space="preserve"> or twigs in 5 </w:t>
      </w:r>
      <w:r w:rsidR="00D415AF">
        <w:t>mL</w:t>
      </w:r>
      <w:r w:rsidRPr="000860F1">
        <w:t xml:space="preserve"> sterile water and leaving to soak for 15 min with gentle shaking. The plant extract (250 </w:t>
      </w:r>
      <w:r w:rsidR="00E53109" w:rsidRPr="000860F1">
        <w:t>µ</w:t>
      </w:r>
      <w:r w:rsidR="00E53109">
        <w:t>L</w:t>
      </w:r>
      <w:r w:rsidRPr="000860F1">
        <w:t>) is centrifuged for 20 min at 20 000 </w:t>
      </w:r>
      <w:r w:rsidRPr="000860F1">
        <w:rPr>
          <w:i/>
        </w:rPr>
        <w:t>g</w:t>
      </w:r>
      <w:r w:rsidRPr="000860F1">
        <w:t>. The pellet is then suspended in 75 </w:t>
      </w:r>
      <w:r w:rsidR="00E53109" w:rsidRPr="000860F1">
        <w:t>µ</w:t>
      </w:r>
      <w:r w:rsidR="00E53109">
        <w:t>L</w:t>
      </w:r>
      <w:r w:rsidR="00E53109" w:rsidRPr="000860F1">
        <w:t xml:space="preserve"> </w:t>
      </w:r>
      <w:r w:rsidRPr="000860F1">
        <w:t>lysis buffer with 5 </w:t>
      </w:r>
      <w:r w:rsidR="00E53109" w:rsidRPr="000860F1">
        <w:t>µ</w:t>
      </w:r>
      <w:r w:rsidR="00E53109">
        <w:t>L</w:t>
      </w:r>
      <w:r w:rsidR="00E53109" w:rsidRPr="000860F1">
        <w:t xml:space="preserve"> </w:t>
      </w:r>
      <w:r w:rsidRPr="000860F1">
        <w:t>proteinase</w:t>
      </w:r>
      <w:r w:rsidR="00EE56E8" w:rsidRPr="000860F1">
        <w:t> </w:t>
      </w:r>
      <w:r w:rsidRPr="000860F1">
        <w:t>K and the manufacturer’s instructions followed. This method can be performed either manually or with the KingFisher</w:t>
      </w:r>
      <w:r w:rsidR="000C2AA0">
        <w:t>™</w:t>
      </w:r>
      <w:r w:rsidRPr="000860F1">
        <w:t xml:space="preserve"> </w:t>
      </w:r>
      <w:r w:rsidR="00D415AF">
        <w:t>mL</w:t>
      </w:r>
      <w:r w:rsidRPr="000860F1">
        <w:rPr>
          <w:vertAlign w:val="superscript"/>
        </w:rPr>
        <w:t>1</w:t>
      </w:r>
      <w:r w:rsidRPr="000860F1">
        <w:t xml:space="preserve"> (15 samples) or KingFisher</w:t>
      </w:r>
      <w:r w:rsidR="000C2AA0">
        <w:t>™</w:t>
      </w:r>
      <w:r w:rsidRPr="000860F1">
        <w:t xml:space="preserve"> Flex</w:t>
      </w:r>
      <w:r w:rsidRPr="000860F1">
        <w:rPr>
          <w:vertAlign w:val="superscript"/>
        </w:rPr>
        <w:t>1</w:t>
      </w:r>
      <w:r w:rsidRPr="000860F1">
        <w:t xml:space="preserve"> (96 samples) purification system (Thermo Scientific)</w:t>
      </w:r>
      <w:r w:rsidRPr="000860F1">
        <w:rPr>
          <w:vertAlign w:val="superscript"/>
        </w:rPr>
        <w:t>1</w:t>
      </w:r>
      <w:r w:rsidR="00651AF0" w:rsidRPr="000860F1">
        <w:t>. V</w:t>
      </w:r>
      <w:r w:rsidRPr="000860F1">
        <w:t xml:space="preserve">alidation data </w:t>
      </w:r>
      <w:r w:rsidR="002D48B0" w:rsidRPr="000860F1">
        <w:t xml:space="preserve">are </w:t>
      </w:r>
      <w:r w:rsidRPr="000860F1">
        <w:t xml:space="preserve">available </w:t>
      </w:r>
      <w:r w:rsidR="00651AF0" w:rsidRPr="000860F1">
        <w:t xml:space="preserve">in the EPPO database </w:t>
      </w:r>
      <w:r w:rsidR="00445360">
        <w:t>on</w:t>
      </w:r>
      <w:r w:rsidR="00651AF0" w:rsidRPr="000860F1">
        <w:t xml:space="preserve"> diagnostic expertise (EPPO, 2018</w:t>
      </w:r>
      <w:r w:rsidR="004509DB">
        <w:t>c</w:t>
      </w:r>
      <w:r w:rsidRPr="000860F1">
        <w:t>).</w:t>
      </w:r>
      <w:r w:rsidR="00DF02CF" w:rsidRPr="000860F1">
        <w:t xml:space="preserve"> Caution is needed for users who are not familiar with this method</w:t>
      </w:r>
      <w:r w:rsidR="00177EE9" w:rsidRPr="000860F1">
        <w:t>,</w:t>
      </w:r>
      <w:r w:rsidR="00DF02CF" w:rsidRPr="000860F1">
        <w:t xml:space="preserve"> if performing manually</w:t>
      </w:r>
      <w:r w:rsidR="00177EE9" w:rsidRPr="000860F1">
        <w:t>,</w:t>
      </w:r>
      <w:r w:rsidR="00DF02CF" w:rsidRPr="000860F1">
        <w:t xml:space="preserve"> because the risk of cross-contamination between samples is high.</w:t>
      </w:r>
    </w:p>
    <w:p w14:paraId="6CBFF0F6" w14:textId="7AE621E9" w:rsidR="008E6998" w:rsidRPr="000860F1" w:rsidRDefault="000330D6" w:rsidP="0004310D">
      <w:pPr>
        <w:pStyle w:val="IPPParagraphnumbering"/>
      </w:pPr>
      <w:r w:rsidRPr="000860F1">
        <w:rPr>
          <w:rStyle w:val="IPPNormalbold"/>
          <w:lang w:val="en-GB"/>
        </w:rPr>
        <w:t xml:space="preserve"> InviMAG Plant DNA Kit</w:t>
      </w:r>
      <w:r w:rsidR="00E004BE" w:rsidRPr="000860F1">
        <w:rPr>
          <w:rStyle w:val="IPPNormalbold"/>
          <w:lang w:val="en-GB"/>
        </w:rPr>
        <w:t xml:space="preserve"> </w:t>
      </w:r>
      <w:r w:rsidR="00E004BE" w:rsidRPr="000860F1">
        <w:t>(Stratec Molecular)</w:t>
      </w:r>
      <w:r w:rsidRPr="000860F1">
        <w:rPr>
          <w:rStyle w:val="FootnoteReference"/>
        </w:rPr>
        <w:t>1</w:t>
      </w:r>
      <w:r w:rsidR="004B2FC2">
        <w:t xml:space="preserve"> using </w:t>
      </w:r>
      <w:r w:rsidR="004B2FC2" w:rsidRPr="000860F1">
        <w:rPr>
          <w:rStyle w:val="IPPNormalbold"/>
          <w:lang w:val="en-GB"/>
        </w:rPr>
        <w:t>KingFisher</w:t>
      </w:r>
      <w:r w:rsidR="004B2FC2">
        <w:rPr>
          <w:rStyle w:val="IPPNormalbold"/>
          <w:lang w:val="en-GB"/>
        </w:rPr>
        <w:t>™</w:t>
      </w:r>
      <w:r w:rsidR="004B2FC2" w:rsidRPr="000860F1">
        <w:t xml:space="preserve"> (Thermo Scientific)</w:t>
      </w:r>
      <w:r w:rsidR="004B2FC2" w:rsidRPr="000860F1">
        <w:rPr>
          <w:rStyle w:val="FootnoteReference"/>
        </w:rPr>
        <w:t>1</w:t>
      </w:r>
      <w:r w:rsidRPr="000860F1">
        <w:t>. This automated magnetic bead extraction procedure is ideal for high-throughput testing and uses the InviMAG Plant DNA Mini Kit (Stratec Molecular)</w:t>
      </w:r>
      <w:r w:rsidRPr="000860F1">
        <w:rPr>
          <w:rStyle w:val="FootnoteReference"/>
        </w:rPr>
        <w:t>1</w:t>
      </w:r>
      <w:r w:rsidRPr="000860F1">
        <w:t xml:space="preserve"> with the KingFisher</w:t>
      </w:r>
      <w:r w:rsidR="000C2AA0">
        <w:t>™</w:t>
      </w:r>
      <w:r w:rsidRPr="000860F1">
        <w:t xml:space="preserve"> 96 system (Thermo Scientific)</w:t>
      </w:r>
      <w:r w:rsidRPr="000860F1">
        <w:rPr>
          <w:rStyle w:val="FootnoteReference"/>
        </w:rPr>
        <w:t>1</w:t>
      </w:r>
      <w:r w:rsidRPr="000860F1">
        <w:t>. Samples are homogenized in the lysis kit buffer (or CTAB buffer) at a</w:t>
      </w:r>
      <w:r w:rsidR="00E004BE" w:rsidRPr="000860F1">
        <w:t xml:space="preserve"> tissue to buffer</w:t>
      </w:r>
      <w:r w:rsidRPr="000860F1">
        <w:t xml:space="preserve"> ratio of 1:5. The plant extracts are incubated at 60 C for 30 min and then treated according to the manufacturer’s instructions.</w:t>
      </w:r>
    </w:p>
    <w:p w14:paraId="1A8C09D3" w14:textId="052C678E" w:rsidR="008E6998" w:rsidRPr="000860F1" w:rsidRDefault="000330D6">
      <w:pPr>
        <w:pStyle w:val="IPPHeading2"/>
        <w:rPr>
          <w:i/>
        </w:rPr>
      </w:pPr>
      <w:bookmarkStart w:id="38" w:name="_Toc111710135"/>
      <w:r w:rsidRPr="000860F1">
        <w:t>3.4.2</w:t>
      </w:r>
      <w:r w:rsidRPr="000860F1">
        <w:tab/>
      </w:r>
      <w:r w:rsidR="00F30C90" w:rsidRPr="000860F1">
        <w:t>DNA extraction from</w:t>
      </w:r>
      <w:r w:rsidRPr="000860F1">
        <w:t xml:space="preserve"> insect vectors</w:t>
      </w:r>
      <w:bookmarkEnd w:id="38"/>
    </w:p>
    <w:p w14:paraId="0961B241" w14:textId="0B54CCF0" w:rsidR="008E6998" w:rsidRPr="000860F1" w:rsidRDefault="000330D6" w:rsidP="0004310D">
      <w:pPr>
        <w:pStyle w:val="IPPParagraphnumbering"/>
      </w:pPr>
      <w:r w:rsidRPr="000860F1">
        <w:t xml:space="preserve">DNA may be extracted from a single insect head or a pool of </w:t>
      </w:r>
      <w:r w:rsidR="005B11B0">
        <w:t xml:space="preserve"> ten head </w:t>
      </w:r>
      <w:commentRangeStart w:id="39"/>
      <w:r w:rsidR="005B11B0">
        <w:t>(EPPO, 20</w:t>
      </w:r>
      <w:r w:rsidR="005246C1">
        <w:t>xx</w:t>
      </w:r>
      <w:r w:rsidR="005B11B0">
        <w:t>)</w:t>
      </w:r>
      <w:r w:rsidRPr="000860F1">
        <w:t xml:space="preserve">. </w:t>
      </w:r>
      <w:commentRangeEnd w:id="39"/>
      <w:r w:rsidR="005B11B0">
        <w:rPr>
          <w:rStyle w:val="CommentReference"/>
          <w:rFonts w:eastAsia="Times New Roman"/>
          <w:lang w:val="nl-NL" w:eastAsia="nl-NL"/>
        </w:rPr>
        <w:commentReference w:id="39"/>
      </w:r>
      <w:r w:rsidRPr="000860F1">
        <w:t xml:space="preserve">Only </w:t>
      </w:r>
      <w:r w:rsidR="00746512" w:rsidRPr="000860F1">
        <w:t>the</w:t>
      </w:r>
      <w:r w:rsidRPr="000860F1">
        <w:t xml:space="preserve"> heads </w:t>
      </w:r>
      <w:r w:rsidR="00746512" w:rsidRPr="000860F1">
        <w:t xml:space="preserve">of insects </w:t>
      </w:r>
      <w:r w:rsidRPr="000860F1">
        <w:t xml:space="preserve">are used because they contain the foregut and mouthparts where </w:t>
      </w:r>
      <w:r w:rsidRPr="000860F1">
        <w:rPr>
          <w:i/>
          <w:iCs/>
        </w:rPr>
        <w:t>X. fastidiosa</w:t>
      </w:r>
      <w:r w:rsidRPr="000860F1">
        <w:rPr>
          <w:iCs/>
        </w:rPr>
        <w:t xml:space="preserve"> </w:t>
      </w:r>
      <w:r w:rsidRPr="000860F1">
        <w:t xml:space="preserve">resides (Bextine </w:t>
      </w:r>
      <w:r w:rsidRPr="000860F1">
        <w:rPr>
          <w:i/>
        </w:rPr>
        <w:t>et al.</w:t>
      </w:r>
      <w:r w:rsidRPr="000860F1">
        <w:t xml:space="preserve">, 2004). </w:t>
      </w:r>
      <w:r w:rsidRPr="000860F1">
        <w:rPr>
          <w:iCs/>
        </w:rPr>
        <w:t>For DNA extraction from insects with big heads (e.g</w:t>
      </w:r>
      <w:r w:rsidRPr="000860F1">
        <w:rPr>
          <w:i/>
          <w:iCs/>
        </w:rPr>
        <w:t xml:space="preserve">. </w:t>
      </w:r>
      <w:r w:rsidRPr="000860F1">
        <w:rPr>
          <w:i/>
        </w:rPr>
        <w:t>Cicadella viridis</w:t>
      </w:r>
      <w:r w:rsidRPr="000860F1">
        <w:t>,</w:t>
      </w:r>
      <w:r w:rsidRPr="000860F1">
        <w:rPr>
          <w:i/>
        </w:rPr>
        <w:t xml:space="preserve"> Cicada orni</w:t>
      </w:r>
      <w:r w:rsidRPr="000860F1">
        <w:t>), only a single head should be used. The removal of the eye tissue, a potential source of PCR inhibitors, is recommended as it has been reported that this increases</w:t>
      </w:r>
      <w:r w:rsidRPr="000860F1">
        <w:rPr>
          <w:i/>
        </w:rPr>
        <w:t xml:space="preserve"> </w:t>
      </w:r>
      <w:r w:rsidRPr="000860F1">
        <w:t xml:space="preserve">sensitivity (Bextine </w:t>
      </w:r>
      <w:r w:rsidRPr="000860F1">
        <w:rPr>
          <w:i/>
        </w:rPr>
        <w:t>et al.</w:t>
      </w:r>
      <w:r w:rsidRPr="000860F1">
        <w:t xml:space="preserve">, 2004; Purcell </w:t>
      </w:r>
      <w:r w:rsidRPr="000860F1">
        <w:rPr>
          <w:i/>
        </w:rPr>
        <w:t>et</w:t>
      </w:r>
      <w:r w:rsidR="00E35F2A" w:rsidRPr="000860F1">
        <w:rPr>
          <w:i/>
          <w:iCs/>
        </w:rPr>
        <w:t> </w:t>
      </w:r>
      <w:r w:rsidRPr="000860F1">
        <w:rPr>
          <w:i/>
        </w:rPr>
        <w:t>al</w:t>
      </w:r>
      <w:r w:rsidRPr="000860F1">
        <w:t>., 2014). Insect tissue can be ground in lysis buffer, or homogenized using a bead-beater system such as MagNA Lyser (Roche)</w:t>
      </w:r>
      <w:r w:rsidRPr="000860F1">
        <w:rPr>
          <w:rStyle w:val="FootnoteReference"/>
        </w:rPr>
        <w:t>1</w:t>
      </w:r>
      <w:r w:rsidRPr="000860F1">
        <w:t xml:space="preserve"> or by vacuum application and release (Bextine </w:t>
      </w:r>
      <w:r w:rsidRPr="000860F1">
        <w:rPr>
          <w:i/>
        </w:rPr>
        <w:t>et</w:t>
      </w:r>
      <w:r w:rsidR="00E35F2A" w:rsidRPr="000860F1">
        <w:rPr>
          <w:i/>
          <w:iCs/>
        </w:rPr>
        <w:t> </w:t>
      </w:r>
      <w:r w:rsidRPr="000860F1">
        <w:rPr>
          <w:i/>
        </w:rPr>
        <w:t>al.</w:t>
      </w:r>
      <w:r w:rsidRPr="000860F1">
        <w:t xml:space="preserve">, 2004, 2005; Huang </w:t>
      </w:r>
      <w:r w:rsidRPr="000860F1">
        <w:rPr>
          <w:i/>
        </w:rPr>
        <w:t>et al.</w:t>
      </w:r>
      <w:r w:rsidRPr="000860F1">
        <w:t xml:space="preserve">, 2006). A number of DNA extraction methods have been evaluated for the detection of </w:t>
      </w:r>
      <w:r w:rsidRPr="000860F1">
        <w:rPr>
          <w:i/>
        </w:rPr>
        <w:t>X. fastidiosa</w:t>
      </w:r>
      <w:r w:rsidRPr="000860F1">
        <w:t xml:space="preserve"> in insect vectors. The following methods are a selection of those widely used in several laboratories.</w:t>
      </w:r>
    </w:p>
    <w:p w14:paraId="29CE38CB" w14:textId="64A9284C" w:rsidR="00B32A59" w:rsidRPr="000860F1" w:rsidRDefault="00B32A59" w:rsidP="0004310D">
      <w:pPr>
        <w:pStyle w:val="IPPParagraphnumbering"/>
      </w:pPr>
      <w:r w:rsidRPr="000860F1">
        <w:rPr>
          <w:rStyle w:val="IPPNormalbold"/>
          <w:lang w:val="en-GB"/>
        </w:rPr>
        <w:t>CTAB-based extraction for insects</w:t>
      </w:r>
      <w:r w:rsidRPr="00A66AEE">
        <w:rPr>
          <w:iCs/>
        </w:rPr>
        <w:t xml:space="preserve">. </w:t>
      </w:r>
      <w:r w:rsidRPr="000860F1">
        <w:t>The homogenization of the insect heads can be performed in a microcentrifuge tube using a microhomogenizer or tungsten carbide beads. For the DNA extraction of insect samples, 500 µ</w:t>
      </w:r>
      <w:r w:rsidR="00E53109">
        <w:t>L</w:t>
      </w:r>
      <w:r w:rsidRPr="000860F1">
        <w:t xml:space="preserve"> CTAB buffer is used. The incubation and centrifugation steps are similar to those used for plant samples (see section 3.4.1), but with adapted volumes.</w:t>
      </w:r>
    </w:p>
    <w:p w14:paraId="04002FD9" w14:textId="4F70E777" w:rsidR="008E6998" w:rsidRPr="000860F1" w:rsidRDefault="000330D6" w:rsidP="0004310D">
      <w:pPr>
        <w:pStyle w:val="IPPParagraphnumbering"/>
      </w:pPr>
      <w:r w:rsidRPr="000860F1">
        <w:rPr>
          <w:rStyle w:val="IPPNormalbold"/>
          <w:lang w:val="en-GB"/>
        </w:rPr>
        <w:t>DNeasy</w:t>
      </w:r>
      <w:r w:rsidR="003C72C8">
        <w:rPr>
          <w:rStyle w:val="IPPNormalbold"/>
          <w:lang w:val="en-GB"/>
        </w:rPr>
        <w:t>®</w:t>
      </w:r>
      <w:r w:rsidRPr="000860F1">
        <w:rPr>
          <w:rStyle w:val="IPPNormalbold"/>
          <w:lang w:val="en-GB"/>
        </w:rPr>
        <w:t xml:space="preserve"> Tissue Kit</w:t>
      </w:r>
      <w:r w:rsidR="00E004BE" w:rsidRPr="000860F1">
        <w:rPr>
          <w:rStyle w:val="IPPNormalbold"/>
          <w:lang w:val="en-GB"/>
        </w:rPr>
        <w:t xml:space="preserve"> </w:t>
      </w:r>
      <w:r w:rsidR="00E004BE" w:rsidRPr="000860F1">
        <w:rPr>
          <w:rStyle w:val="IPPNormalbold"/>
          <w:b w:val="0"/>
          <w:lang w:val="en-GB"/>
        </w:rPr>
        <w:t>(Qiagen)</w:t>
      </w:r>
      <w:r w:rsidRPr="000860F1">
        <w:rPr>
          <w:rStyle w:val="FootnoteReference"/>
        </w:rPr>
        <w:t>1</w:t>
      </w:r>
      <w:r w:rsidRPr="000860F1">
        <w:rPr>
          <w:rStyle w:val="FootnoteReference"/>
          <w:vertAlign w:val="baseline"/>
        </w:rPr>
        <w:t>.</w:t>
      </w:r>
      <w:r w:rsidRPr="000860F1">
        <w:t xml:space="preserve"> A DNA extraction method using this kit has been shown to reliably detect 50–500 </w:t>
      </w:r>
      <w:r w:rsidRPr="000860F1">
        <w:rPr>
          <w:i/>
        </w:rPr>
        <w:t>X. fastidiosa</w:t>
      </w:r>
      <w:r w:rsidRPr="000860F1">
        <w:t xml:space="preserve"> cells in </w:t>
      </w:r>
      <w:r w:rsidRPr="000860F1">
        <w:rPr>
          <w:i/>
        </w:rPr>
        <w:t>Homal</w:t>
      </w:r>
      <w:r w:rsidR="00C07C30">
        <w:rPr>
          <w:i/>
        </w:rPr>
        <w:t>o</w:t>
      </w:r>
      <w:r w:rsidRPr="000860F1">
        <w:rPr>
          <w:i/>
        </w:rPr>
        <w:t>disca coagulata</w:t>
      </w:r>
      <w:r w:rsidRPr="000860F1">
        <w:t xml:space="preserve"> (Bextine </w:t>
      </w:r>
      <w:r w:rsidRPr="000860F1">
        <w:rPr>
          <w:i/>
        </w:rPr>
        <w:t>et al.</w:t>
      </w:r>
      <w:r w:rsidRPr="000860F1">
        <w:t xml:space="preserve">, 2004, 2005; Huang </w:t>
      </w:r>
      <w:r w:rsidRPr="000860F1">
        <w:rPr>
          <w:i/>
        </w:rPr>
        <w:t>et al.</w:t>
      </w:r>
      <w:r w:rsidRPr="000860F1">
        <w:t>, 2006).</w:t>
      </w:r>
    </w:p>
    <w:p w14:paraId="16384F35" w14:textId="6226C241" w:rsidR="008E6998" w:rsidRPr="000860F1" w:rsidRDefault="000330D6" w:rsidP="0004310D">
      <w:pPr>
        <w:pStyle w:val="IPPParagraphnumbering"/>
      </w:pPr>
      <w:r w:rsidRPr="000860F1">
        <w:rPr>
          <w:rStyle w:val="IPPNormalbold"/>
          <w:lang w:val="en-GB"/>
        </w:rPr>
        <w:t>QuickPick</w:t>
      </w:r>
      <w:r w:rsidR="003C72C8">
        <w:rPr>
          <w:rStyle w:val="IPPNormalbold"/>
          <w:lang w:val="en-GB"/>
        </w:rPr>
        <w:t>™</w:t>
      </w:r>
      <w:r w:rsidRPr="000860F1">
        <w:rPr>
          <w:rStyle w:val="IPPNormalbold"/>
          <w:lang w:val="en-GB"/>
        </w:rPr>
        <w:t xml:space="preserve"> S</w:t>
      </w:r>
      <w:r w:rsidR="00D415AF">
        <w:rPr>
          <w:rStyle w:val="IPPNormalbold"/>
          <w:lang w:val="en-GB"/>
        </w:rPr>
        <w:t>ML</w:t>
      </w:r>
      <w:r w:rsidRPr="000860F1">
        <w:rPr>
          <w:rStyle w:val="IPPNormalbold"/>
          <w:lang w:val="en-GB"/>
        </w:rPr>
        <w:t xml:space="preserve"> Plant DNA Kit</w:t>
      </w:r>
      <w:r w:rsidRPr="000860F1">
        <w:rPr>
          <w:i/>
        </w:rPr>
        <w:t xml:space="preserve"> </w:t>
      </w:r>
      <w:r w:rsidRPr="000860F1">
        <w:t>(Bio-Nobile)</w:t>
      </w:r>
      <w:r w:rsidRPr="000860F1">
        <w:rPr>
          <w:vertAlign w:val="superscript"/>
        </w:rPr>
        <w:t>1</w:t>
      </w:r>
      <w:r w:rsidRPr="000860F1">
        <w:t xml:space="preserve">. The homogenization of individual insect heads </w:t>
      </w:r>
      <w:r w:rsidR="003C72C8">
        <w:t xml:space="preserve">or groups till </w:t>
      </w:r>
      <w:r w:rsidR="00C92AA4">
        <w:t xml:space="preserve">ten </w:t>
      </w:r>
      <w:r w:rsidR="003C72C8">
        <w:t xml:space="preserve">heads </w:t>
      </w:r>
      <w:r w:rsidRPr="000860F1">
        <w:t>can be performed in 200 µl sterile distilled water using a bead-beater system such as the Retsch MM400</w:t>
      </w:r>
      <w:r w:rsidRPr="000860F1">
        <w:rPr>
          <w:vertAlign w:val="superscript"/>
        </w:rPr>
        <w:t>1</w:t>
      </w:r>
      <w:r w:rsidRPr="000860F1">
        <w:t xml:space="preserve">. Samples are homogenized for </w:t>
      </w:r>
      <w:r w:rsidR="00D2119A" w:rsidRPr="000860F1">
        <w:t>2 min</w:t>
      </w:r>
      <w:r w:rsidRPr="000860F1">
        <w:t xml:space="preserve"> at 30</w:t>
      </w:r>
      <w:r w:rsidR="0062259F" w:rsidRPr="000860F1">
        <w:t> </w:t>
      </w:r>
      <w:r w:rsidRPr="000860F1">
        <w:t>Hertz using ten stainless steel beads (diameter 3 mm) per 2 </w:t>
      </w:r>
      <w:r w:rsidR="00D415AF">
        <w:t>mL</w:t>
      </w:r>
      <w:r w:rsidR="00E53109" w:rsidRPr="000860F1">
        <w:t xml:space="preserve"> </w:t>
      </w:r>
      <w:r w:rsidRPr="000860F1">
        <w:t>microtube. The microtube is placed on a magnet and the supernatant is transferred to a new microtube. The extract is centrifuged for 20 min at 20 000 </w:t>
      </w:r>
      <w:r w:rsidRPr="000860F1">
        <w:rPr>
          <w:i/>
        </w:rPr>
        <w:t>g</w:t>
      </w:r>
      <w:r w:rsidRPr="000860F1">
        <w:t>. The pellet is then suspended in 37.5 µl lysis buffer with 2.5 µl proteinase</w:t>
      </w:r>
      <w:r w:rsidR="00EE56E8" w:rsidRPr="000860F1">
        <w:t> </w:t>
      </w:r>
      <w:r w:rsidRPr="000860F1">
        <w:t>K, and the manufacturer’s instructions followed. This kit can be used either manually or with the KingFisher</w:t>
      </w:r>
      <w:r w:rsidR="003C72C8">
        <w:t>™</w:t>
      </w:r>
      <w:r w:rsidRPr="000860F1">
        <w:t xml:space="preserve"> </w:t>
      </w:r>
      <w:r w:rsidR="00D415AF">
        <w:t>mL</w:t>
      </w:r>
      <w:r w:rsidRPr="000860F1">
        <w:t xml:space="preserve"> (15 samples) or KingFisher</w:t>
      </w:r>
      <w:r w:rsidR="003C72C8">
        <w:t>™</w:t>
      </w:r>
      <w:r w:rsidRPr="000860F1">
        <w:t xml:space="preserve"> Flex (96 samples) system (Thermo Scientific).</w:t>
      </w:r>
    </w:p>
    <w:p w14:paraId="78DF8336" w14:textId="5EAC2411" w:rsidR="008E6998" w:rsidRPr="000860F1" w:rsidRDefault="000330D6">
      <w:pPr>
        <w:pStyle w:val="IPPHeading2"/>
        <w:rPr>
          <w:i/>
        </w:rPr>
      </w:pPr>
      <w:bookmarkStart w:id="40" w:name="_Toc111710136"/>
      <w:r w:rsidRPr="000860F1">
        <w:t>3.4.3</w:t>
      </w:r>
      <w:r w:rsidRPr="000860F1">
        <w:tab/>
        <w:t xml:space="preserve">Conventional polymerase chain reaction (PCR) using the primers of Minsavage </w:t>
      </w:r>
      <w:r w:rsidRPr="000860F1">
        <w:rPr>
          <w:i/>
        </w:rPr>
        <w:t>et al</w:t>
      </w:r>
      <w:r w:rsidRPr="000860F1">
        <w:t>. (1994)</w:t>
      </w:r>
      <w:bookmarkEnd w:id="40"/>
    </w:p>
    <w:p w14:paraId="31B9B6B0" w14:textId="3D931CEB" w:rsidR="008E6998" w:rsidRPr="000860F1" w:rsidRDefault="000330D6" w:rsidP="0004310D">
      <w:pPr>
        <w:pStyle w:val="IPPParagraphnumbering"/>
      </w:pPr>
      <w:r w:rsidRPr="000860F1">
        <w:t xml:space="preserve">This PCR was designed by Minsavage </w:t>
      </w:r>
      <w:r w:rsidRPr="000860F1">
        <w:rPr>
          <w:i/>
          <w:iCs/>
        </w:rPr>
        <w:t>et</w:t>
      </w:r>
      <w:r w:rsidRPr="000860F1">
        <w:rPr>
          <w:i/>
        </w:rPr>
        <w:t> </w:t>
      </w:r>
      <w:r w:rsidRPr="000860F1">
        <w:rPr>
          <w:i/>
          <w:iCs/>
        </w:rPr>
        <w:t>al.</w:t>
      </w:r>
      <w:r w:rsidRPr="000860F1">
        <w:rPr>
          <w:iCs/>
        </w:rPr>
        <w:t xml:space="preserve"> </w:t>
      </w:r>
      <w:r w:rsidRPr="000860F1">
        <w:t xml:space="preserve">(1994) to target part of the </w:t>
      </w:r>
      <w:r w:rsidRPr="000860F1">
        <w:rPr>
          <w:i/>
        </w:rPr>
        <w:t>rpoD</w:t>
      </w:r>
      <w:r w:rsidRPr="000860F1">
        <w:t xml:space="preserve"> gene, producing an amplicon of 733 base pairs (bp). It is widely used in many laboratories for the detection of </w:t>
      </w:r>
      <w:r w:rsidRPr="000860F1">
        <w:rPr>
          <w:i/>
        </w:rPr>
        <w:t xml:space="preserve">X. fastidiosa </w:t>
      </w:r>
      <w:r w:rsidRPr="000860F1">
        <w:t xml:space="preserve">in different host plants and vectors. Analytical specificity was validated </w:t>
      </w:r>
      <w:r w:rsidR="005A618C">
        <w:t xml:space="preserve">later </w:t>
      </w:r>
      <w:r w:rsidRPr="000860F1">
        <w:t xml:space="preserve">by Harper </w:t>
      </w:r>
      <w:r w:rsidRPr="000860F1">
        <w:rPr>
          <w:i/>
        </w:rPr>
        <w:t xml:space="preserve">et al. </w:t>
      </w:r>
      <w:r w:rsidRPr="000860F1">
        <w:t>(2010</w:t>
      </w:r>
      <w:r w:rsidR="00B60196" w:rsidRPr="000860F1">
        <w:t>, erratum 2013</w:t>
      </w:r>
      <w:r w:rsidRPr="000860F1">
        <w:t xml:space="preserve">) with 22 different </w:t>
      </w:r>
      <w:r w:rsidRPr="000860F1">
        <w:rPr>
          <w:i/>
          <w:iCs/>
        </w:rPr>
        <w:t xml:space="preserve">X. fastidiosa </w:t>
      </w:r>
      <w:r w:rsidRPr="000860F1">
        <w:t xml:space="preserve">strains from 11 different hosts and 12 closely related or host related non-target bacterial strains. In their study, American </w:t>
      </w:r>
      <w:r w:rsidRPr="000860F1">
        <w:rPr>
          <w:i/>
        </w:rPr>
        <w:t xml:space="preserve">X. fastidiosa </w:t>
      </w:r>
      <w:r w:rsidRPr="000860F1">
        <w:t xml:space="preserve">strains from red oak and turkey oak and several strains from grapevines were not detected with this PCR. The analytical sensitivity of the </w:t>
      </w:r>
      <w:r w:rsidR="00C93939" w:rsidRPr="000860F1">
        <w:t>method</w:t>
      </w:r>
      <w:r w:rsidRPr="000860F1">
        <w:t xml:space="preserve"> </w:t>
      </w:r>
      <w:r w:rsidR="00A97834" w:rsidRPr="000860F1">
        <w:t xml:space="preserve">as stated by Minsavage </w:t>
      </w:r>
      <w:r w:rsidR="00A97834" w:rsidRPr="000860F1">
        <w:rPr>
          <w:i/>
        </w:rPr>
        <w:t>et</w:t>
      </w:r>
      <w:r w:rsidR="000019EF" w:rsidRPr="000860F1">
        <w:rPr>
          <w:i/>
        </w:rPr>
        <w:t> </w:t>
      </w:r>
      <w:r w:rsidR="00A97834" w:rsidRPr="000860F1">
        <w:rPr>
          <w:i/>
        </w:rPr>
        <w:t>al.</w:t>
      </w:r>
      <w:r w:rsidR="00A97834" w:rsidRPr="000860F1">
        <w:t xml:space="preserve"> (1994) </w:t>
      </w:r>
      <w:r w:rsidRPr="000860F1">
        <w:t>is 1</w:t>
      </w:r>
      <w:r w:rsidR="008F4F22" w:rsidRPr="000860F1">
        <w:t> </w:t>
      </w:r>
      <w:r w:rsidRPr="000860F1">
        <w:t>×</w:t>
      </w:r>
      <w:r w:rsidR="008F4F22" w:rsidRPr="000860F1">
        <w:t> </w:t>
      </w:r>
      <w:r w:rsidRPr="000860F1">
        <w:t>10</w:t>
      </w:r>
      <w:r w:rsidRPr="000860F1">
        <w:rPr>
          <w:vertAlign w:val="superscript"/>
        </w:rPr>
        <w:t>2</w:t>
      </w:r>
      <w:r w:rsidR="008F4F22" w:rsidRPr="000860F1">
        <w:t> </w:t>
      </w:r>
      <w:r w:rsidRPr="000860F1">
        <w:t>cfu/</w:t>
      </w:r>
      <w:r w:rsidR="00D415AF">
        <w:t>mL</w:t>
      </w:r>
      <w:r w:rsidR="0075067D" w:rsidRPr="000860F1">
        <w:t xml:space="preserve"> </w:t>
      </w:r>
      <w:r w:rsidR="00A97834" w:rsidRPr="000860F1">
        <w:t xml:space="preserve">on </w:t>
      </w:r>
      <w:r w:rsidR="00D76312" w:rsidRPr="000860F1">
        <w:rPr>
          <w:i/>
        </w:rPr>
        <w:t>V</w:t>
      </w:r>
      <w:r w:rsidR="001E6D83">
        <w:rPr>
          <w:i/>
        </w:rPr>
        <w:t>. </w:t>
      </w:r>
      <w:r w:rsidR="00D76312" w:rsidRPr="000860F1">
        <w:rPr>
          <w:i/>
        </w:rPr>
        <w:t>vinifera</w:t>
      </w:r>
      <w:r w:rsidR="00D76312" w:rsidRPr="000860F1">
        <w:t xml:space="preserve"> and </w:t>
      </w:r>
      <w:r w:rsidR="00D76312" w:rsidRPr="000860F1">
        <w:rPr>
          <w:i/>
        </w:rPr>
        <w:t>P</w:t>
      </w:r>
      <w:r w:rsidR="001E6D83">
        <w:rPr>
          <w:i/>
        </w:rPr>
        <w:t>. </w:t>
      </w:r>
      <w:r w:rsidR="00D76312" w:rsidRPr="000860F1">
        <w:rPr>
          <w:i/>
        </w:rPr>
        <w:t>persica</w:t>
      </w:r>
      <w:r w:rsidRPr="000860F1">
        <w:t xml:space="preserve">. Further validation data </w:t>
      </w:r>
      <w:r w:rsidR="00A97834" w:rsidRPr="000860F1">
        <w:t xml:space="preserve">on other hosts </w:t>
      </w:r>
      <w:r w:rsidRPr="000860F1">
        <w:t xml:space="preserve">are available </w:t>
      </w:r>
      <w:r w:rsidR="000B7797" w:rsidRPr="000860F1">
        <w:t xml:space="preserve">in the EPPO database </w:t>
      </w:r>
      <w:r w:rsidR="00445360">
        <w:t>on</w:t>
      </w:r>
      <w:r w:rsidR="000B7797" w:rsidRPr="000860F1">
        <w:t xml:space="preserve"> diagnostic expertise (EPPO, 2018</w:t>
      </w:r>
      <w:r w:rsidR="004509DB">
        <w:t>c</w:t>
      </w:r>
      <w:r w:rsidR="000B7797" w:rsidRPr="000860F1">
        <w:t>).</w:t>
      </w:r>
    </w:p>
    <w:p w14:paraId="3CA25262" w14:textId="6F6BAA18" w:rsidR="008E6998" w:rsidRPr="000860F1" w:rsidRDefault="000330D6" w:rsidP="0004310D">
      <w:pPr>
        <w:pStyle w:val="IPPParagraphnumbering"/>
      </w:pPr>
      <w:r w:rsidRPr="000860F1">
        <w:t>The oligonucleotide primers used are:</w:t>
      </w:r>
    </w:p>
    <w:p w14:paraId="3A3F4847" w14:textId="10695D66" w:rsidR="008E6998" w:rsidRPr="000860F1" w:rsidRDefault="000330D6" w:rsidP="00D1016B">
      <w:pPr>
        <w:pStyle w:val="IPPIndentClose"/>
      </w:pPr>
      <w:r w:rsidRPr="000860F1">
        <w:t>RST31 (forward): 5′-GCG TTA ATT TTC GAA GTG ATT CGA TTG C-3′</w:t>
      </w:r>
    </w:p>
    <w:p w14:paraId="28C49AFE" w14:textId="3530BD24" w:rsidR="008E6998" w:rsidRPr="000860F1" w:rsidRDefault="000330D6" w:rsidP="00D1016B">
      <w:pPr>
        <w:pStyle w:val="IPPIndent"/>
      </w:pPr>
      <w:r w:rsidRPr="000860F1">
        <w:t>RST33 (reverse): 5′-CAC CAT TCG TAT CCC GGT G-3′</w:t>
      </w:r>
    </w:p>
    <w:p w14:paraId="197ADBE4" w14:textId="35AD98AC" w:rsidR="008E6998" w:rsidRPr="000860F1" w:rsidRDefault="000330D6" w:rsidP="0004310D">
      <w:pPr>
        <w:pStyle w:val="IPPParagraphnumbering"/>
        <w:rPr>
          <w:rFonts w:eastAsiaTheme="minorHAnsi"/>
          <w:i/>
        </w:rPr>
      </w:pPr>
      <w:r w:rsidRPr="000860F1">
        <w:t xml:space="preserve">The master mix used for this PCR developed by Minsavage </w:t>
      </w:r>
      <w:r w:rsidRPr="000860F1">
        <w:rPr>
          <w:i/>
        </w:rPr>
        <w:t>et al.</w:t>
      </w:r>
      <w:r w:rsidRPr="000860F1">
        <w:t xml:space="preserve"> (1994) is described in Table </w:t>
      </w:r>
      <w:r w:rsidR="008D3BD9">
        <w:t>4</w:t>
      </w:r>
      <w:r w:rsidRPr="000860F1">
        <w:t>.</w:t>
      </w:r>
    </w:p>
    <w:p w14:paraId="19527699" w14:textId="3EDD41DB" w:rsidR="008E6998" w:rsidRPr="00133D6E" w:rsidRDefault="000330D6" w:rsidP="00D1016B">
      <w:pPr>
        <w:pStyle w:val="IPPArial"/>
        <w:keepNext/>
        <w:spacing w:after="120"/>
        <w:rPr>
          <w:rFonts w:cs="Arial"/>
          <w:szCs w:val="18"/>
        </w:rPr>
      </w:pPr>
      <w:r w:rsidRPr="00133D6E">
        <w:rPr>
          <w:rFonts w:cs="Arial"/>
          <w:b/>
          <w:szCs w:val="18"/>
        </w:rPr>
        <w:t>Table </w:t>
      </w:r>
      <w:r w:rsidR="00EF03FA" w:rsidRPr="00133D6E">
        <w:rPr>
          <w:rFonts w:cs="Arial"/>
          <w:b/>
          <w:szCs w:val="18"/>
        </w:rPr>
        <w:t>4</w:t>
      </w:r>
      <w:r w:rsidRPr="00133D6E">
        <w:rPr>
          <w:rFonts w:cs="Arial"/>
          <w:b/>
          <w:szCs w:val="18"/>
        </w:rPr>
        <w:t>.</w:t>
      </w:r>
      <w:r w:rsidRPr="00133D6E">
        <w:rPr>
          <w:rFonts w:cs="Arial"/>
          <w:szCs w:val="18"/>
        </w:rPr>
        <w:t xml:space="preserve"> Master mix composition</w:t>
      </w:r>
      <w:r w:rsidR="00A50C1E" w:rsidRPr="00133D6E">
        <w:rPr>
          <w:rFonts w:cs="Arial"/>
          <w:szCs w:val="18"/>
        </w:rPr>
        <w:t>,</w:t>
      </w:r>
      <w:r w:rsidRPr="00133D6E">
        <w:rPr>
          <w:rFonts w:cs="Arial"/>
          <w:szCs w:val="18"/>
        </w:rPr>
        <w:t xml:space="preserve"> cycling </w:t>
      </w:r>
      <w:r w:rsidR="0016758B" w:rsidRPr="00133D6E">
        <w:rPr>
          <w:rFonts w:cs="Arial"/>
          <w:szCs w:val="18"/>
        </w:rPr>
        <w:t xml:space="preserve">parameters </w:t>
      </w:r>
      <w:r w:rsidR="00A50C1E" w:rsidRPr="00133D6E">
        <w:rPr>
          <w:rFonts w:cs="Arial"/>
          <w:szCs w:val="18"/>
        </w:rPr>
        <w:t xml:space="preserve">and amplicons </w:t>
      </w:r>
      <w:r w:rsidR="0016758B" w:rsidRPr="00133D6E">
        <w:rPr>
          <w:rFonts w:cs="Arial"/>
          <w:szCs w:val="18"/>
        </w:rPr>
        <w:t xml:space="preserve">for conventional PCR using the primers of Minsavage </w:t>
      </w:r>
      <w:r w:rsidR="0016758B" w:rsidRPr="00133D6E">
        <w:rPr>
          <w:rFonts w:cs="Arial"/>
          <w:i/>
          <w:szCs w:val="18"/>
        </w:rPr>
        <w:t>et</w:t>
      </w:r>
      <w:r w:rsidR="000019EF" w:rsidRPr="00133D6E">
        <w:rPr>
          <w:rFonts w:cs="Arial"/>
          <w:i/>
          <w:szCs w:val="18"/>
        </w:rPr>
        <w:t> </w:t>
      </w:r>
      <w:r w:rsidR="0016758B" w:rsidRPr="00133D6E">
        <w:rPr>
          <w:rFonts w:cs="Arial"/>
          <w:i/>
          <w:szCs w:val="18"/>
        </w:rPr>
        <w:t>al.</w:t>
      </w:r>
      <w:r w:rsidR="0016758B" w:rsidRPr="00133D6E">
        <w:rPr>
          <w:rFonts w:cs="Arial"/>
          <w:szCs w:val="18"/>
        </w:rPr>
        <w:t xml:space="preserve"> (1994)</w:t>
      </w:r>
    </w:p>
    <w:tbl>
      <w:tblPr>
        <w:tblW w:w="8931" w:type="dxa"/>
        <w:tblLayout w:type="fixed"/>
        <w:tblLook w:val="0000" w:firstRow="0" w:lastRow="0" w:firstColumn="0" w:lastColumn="0" w:noHBand="0" w:noVBand="0"/>
      </w:tblPr>
      <w:tblGrid>
        <w:gridCol w:w="5103"/>
        <w:gridCol w:w="3828"/>
      </w:tblGrid>
      <w:tr w:rsidR="008E6998" w:rsidRPr="000860F1" w14:paraId="126F2745" w14:textId="77777777">
        <w:tc>
          <w:tcPr>
            <w:tcW w:w="5103" w:type="dxa"/>
            <w:tcBorders>
              <w:top w:val="single" w:sz="4" w:space="0" w:color="000000"/>
              <w:bottom w:val="single" w:sz="4" w:space="0" w:color="000000"/>
            </w:tcBorders>
            <w:shd w:val="clear" w:color="auto" w:fill="BFBFBF"/>
          </w:tcPr>
          <w:p w14:paraId="0B9C8AFA" w14:textId="7B411166" w:rsidR="008E6998" w:rsidRPr="000860F1" w:rsidRDefault="000330D6">
            <w:pPr>
              <w:pStyle w:val="IPPArialTable"/>
              <w:rPr>
                <w:b/>
              </w:rPr>
            </w:pPr>
            <w:r w:rsidRPr="000860F1">
              <w:rPr>
                <w:b/>
              </w:rPr>
              <w:t xml:space="preserve">Reagents </w:t>
            </w:r>
          </w:p>
        </w:tc>
        <w:tc>
          <w:tcPr>
            <w:tcW w:w="3828" w:type="dxa"/>
            <w:tcBorders>
              <w:top w:val="single" w:sz="4" w:space="0" w:color="000000"/>
              <w:bottom w:val="single" w:sz="4" w:space="0" w:color="000000"/>
            </w:tcBorders>
            <w:shd w:val="clear" w:color="auto" w:fill="BFBFBF"/>
          </w:tcPr>
          <w:p w14:paraId="0F8C3F90" w14:textId="0A456E65" w:rsidR="008E6998" w:rsidRPr="000860F1" w:rsidRDefault="000330D6">
            <w:pPr>
              <w:pStyle w:val="IPPArialTable"/>
              <w:rPr>
                <w:b/>
              </w:rPr>
            </w:pPr>
            <w:r w:rsidRPr="000860F1">
              <w:rPr>
                <w:b/>
              </w:rPr>
              <w:t>Final concentration</w:t>
            </w:r>
          </w:p>
        </w:tc>
      </w:tr>
      <w:tr w:rsidR="008E6998" w:rsidRPr="000860F1" w14:paraId="2D422804" w14:textId="77777777">
        <w:tc>
          <w:tcPr>
            <w:tcW w:w="5103" w:type="dxa"/>
            <w:tcBorders>
              <w:top w:val="single" w:sz="4" w:space="0" w:color="000000"/>
            </w:tcBorders>
            <w:shd w:val="clear" w:color="auto" w:fill="auto"/>
          </w:tcPr>
          <w:p w14:paraId="4D423F22" w14:textId="24A8C161" w:rsidR="008E6998" w:rsidRPr="000860F1" w:rsidRDefault="000330D6">
            <w:pPr>
              <w:pStyle w:val="IPPArialTable"/>
            </w:pPr>
            <w:r w:rsidRPr="000860F1">
              <w:t>PCR grade</w:t>
            </w:r>
            <w:r w:rsidRPr="000860F1">
              <w:rPr>
                <w:vertAlign w:val="superscript"/>
              </w:rPr>
              <w:t xml:space="preserve"> </w:t>
            </w:r>
            <w:r w:rsidRPr="000860F1">
              <w:t xml:space="preserve">water </w:t>
            </w:r>
          </w:p>
        </w:tc>
        <w:tc>
          <w:tcPr>
            <w:tcW w:w="3828" w:type="dxa"/>
            <w:tcBorders>
              <w:top w:val="single" w:sz="4" w:space="0" w:color="000000"/>
            </w:tcBorders>
            <w:shd w:val="clear" w:color="auto" w:fill="FFFFFF"/>
          </w:tcPr>
          <w:p w14:paraId="017CD69E" w14:textId="790F71EA" w:rsidR="008E6998" w:rsidRPr="000860F1" w:rsidRDefault="00162658">
            <w:pPr>
              <w:pStyle w:val="IPPArialTable"/>
              <w:rPr>
                <w:shd w:val="clear" w:color="auto" w:fill="C0C0C0"/>
              </w:rPr>
            </w:pPr>
            <w:r w:rsidRPr="000860F1">
              <w:rPr>
                <w:rStyle w:val="PleaseReviewParagraphId"/>
              </w:rPr>
              <w:t>–</w:t>
            </w:r>
            <w:r w:rsidRPr="000860F1">
              <w:rPr>
                <w:vertAlign w:val="superscript"/>
              </w:rPr>
              <w:t>†</w:t>
            </w:r>
          </w:p>
        </w:tc>
      </w:tr>
      <w:tr w:rsidR="008E6998" w:rsidRPr="000860F1" w14:paraId="674E4AE6" w14:textId="77777777">
        <w:tc>
          <w:tcPr>
            <w:tcW w:w="5103" w:type="dxa"/>
            <w:shd w:val="clear" w:color="auto" w:fill="auto"/>
          </w:tcPr>
          <w:p w14:paraId="5E05F945" w14:textId="60920961" w:rsidR="008E6998" w:rsidRPr="000860F1" w:rsidRDefault="000330D6">
            <w:pPr>
              <w:pStyle w:val="IPPArialTable"/>
            </w:pPr>
            <w:r w:rsidRPr="000860F1">
              <w:t>PCR buffer (Invitrogen)</w:t>
            </w:r>
            <w:r w:rsidRPr="000860F1">
              <w:rPr>
                <w:rStyle w:val="FootnoteReference"/>
              </w:rPr>
              <w:t>1</w:t>
            </w:r>
            <w:r w:rsidRPr="000860F1">
              <w:t xml:space="preserve"> </w:t>
            </w:r>
          </w:p>
        </w:tc>
        <w:tc>
          <w:tcPr>
            <w:tcW w:w="3828" w:type="dxa"/>
            <w:shd w:val="clear" w:color="auto" w:fill="auto"/>
          </w:tcPr>
          <w:p w14:paraId="2638ACEA" w14:textId="5D7EB351" w:rsidR="008E6998" w:rsidRPr="000860F1" w:rsidRDefault="000330D6">
            <w:pPr>
              <w:pStyle w:val="IPPArialTable"/>
            </w:pPr>
            <w:r w:rsidRPr="000860F1">
              <w:t>1×</w:t>
            </w:r>
          </w:p>
        </w:tc>
      </w:tr>
      <w:tr w:rsidR="008E6998" w:rsidRPr="000860F1" w14:paraId="3DB8EA35" w14:textId="77777777">
        <w:tc>
          <w:tcPr>
            <w:tcW w:w="5103" w:type="dxa"/>
            <w:shd w:val="clear" w:color="auto" w:fill="auto"/>
          </w:tcPr>
          <w:p w14:paraId="419C34BE" w14:textId="60B20589" w:rsidR="008E6998" w:rsidRPr="000860F1" w:rsidRDefault="000330D6">
            <w:pPr>
              <w:pStyle w:val="IPPArialTable"/>
            </w:pPr>
            <w:r w:rsidRPr="000860F1">
              <w:t xml:space="preserve">dNTPs </w:t>
            </w:r>
          </w:p>
        </w:tc>
        <w:tc>
          <w:tcPr>
            <w:tcW w:w="3828" w:type="dxa"/>
            <w:shd w:val="clear" w:color="auto" w:fill="auto"/>
          </w:tcPr>
          <w:p w14:paraId="20A0390A" w14:textId="288B542E" w:rsidR="008E6998" w:rsidRPr="000860F1" w:rsidRDefault="000330D6">
            <w:pPr>
              <w:pStyle w:val="IPPArialTable"/>
            </w:pPr>
            <w:r w:rsidRPr="000860F1">
              <w:t xml:space="preserve">200 µM </w:t>
            </w:r>
          </w:p>
        </w:tc>
      </w:tr>
      <w:tr w:rsidR="008E6998" w:rsidRPr="000860F1" w14:paraId="7B8C69E5" w14:textId="77777777">
        <w:tc>
          <w:tcPr>
            <w:tcW w:w="5103" w:type="dxa"/>
            <w:shd w:val="clear" w:color="auto" w:fill="auto"/>
          </w:tcPr>
          <w:p w14:paraId="79FDC838" w14:textId="04292269" w:rsidR="008E6998" w:rsidRPr="000860F1" w:rsidRDefault="000330D6">
            <w:pPr>
              <w:pStyle w:val="IPPArialTable"/>
            </w:pPr>
            <w:r w:rsidRPr="000860F1">
              <w:t>MgCl</w:t>
            </w:r>
            <w:r w:rsidRPr="000860F1">
              <w:rPr>
                <w:vertAlign w:val="subscript"/>
              </w:rPr>
              <w:t>2</w:t>
            </w:r>
          </w:p>
        </w:tc>
        <w:tc>
          <w:tcPr>
            <w:tcW w:w="3828" w:type="dxa"/>
            <w:shd w:val="clear" w:color="auto" w:fill="auto"/>
          </w:tcPr>
          <w:p w14:paraId="17F70BCD" w14:textId="3919C460" w:rsidR="008E6998" w:rsidRPr="000860F1" w:rsidRDefault="000330D6">
            <w:pPr>
              <w:pStyle w:val="IPPArialTable"/>
            </w:pPr>
            <w:r w:rsidRPr="000860F1">
              <w:t>1.5 mM</w:t>
            </w:r>
          </w:p>
        </w:tc>
      </w:tr>
      <w:tr w:rsidR="008E6998" w:rsidRPr="000860F1" w14:paraId="4F95C782" w14:textId="77777777">
        <w:tc>
          <w:tcPr>
            <w:tcW w:w="5103" w:type="dxa"/>
            <w:shd w:val="clear" w:color="auto" w:fill="auto"/>
          </w:tcPr>
          <w:p w14:paraId="54C77FC2" w14:textId="2C8F737D" w:rsidR="008E6998" w:rsidRPr="000860F1" w:rsidRDefault="000330D6">
            <w:pPr>
              <w:pStyle w:val="IPPArialTable"/>
            </w:pPr>
            <w:r w:rsidRPr="000860F1">
              <w:t>Primer RST31 (forward)</w:t>
            </w:r>
          </w:p>
        </w:tc>
        <w:tc>
          <w:tcPr>
            <w:tcW w:w="3828" w:type="dxa"/>
            <w:shd w:val="clear" w:color="auto" w:fill="auto"/>
          </w:tcPr>
          <w:p w14:paraId="047D2234" w14:textId="164E495F" w:rsidR="008E6998" w:rsidRPr="000860F1" w:rsidRDefault="000330D6">
            <w:pPr>
              <w:pStyle w:val="IPPArialTable"/>
            </w:pPr>
            <w:r w:rsidRPr="000860F1">
              <w:t>0.5 µM</w:t>
            </w:r>
          </w:p>
        </w:tc>
      </w:tr>
      <w:tr w:rsidR="008E6998" w:rsidRPr="000860F1" w14:paraId="4C8B67D0" w14:textId="77777777">
        <w:tc>
          <w:tcPr>
            <w:tcW w:w="5103" w:type="dxa"/>
            <w:shd w:val="clear" w:color="auto" w:fill="auto"/>
          </w:tcPr>
          <w:p w14:paraId="40139CEB" w14:textId="54617583" w:rsidR="008E6998" w:rsidRPr="000860F1" w:rsidRDefault="000330D6">
            <w:pPr>
              <w:pStyle w:val="IPPArialTable"/>
            </w:pPr>
            <w:r w:rsidRPr="000860F1">
              <w:t>Primer RST33 (reverse)</w:t>
            </w:r>
          </w:p>
        </w:tc>
        <w:tc>
          <w:tcPr>
            <w:tcW w:w="3828" w:type="dxa"/>
            <w:shd w:val="clear" w:color="auto" w:fill="auto"/>
          </w:tcPr>
          <w:p w14:paraId="4B77C347" w14:textId="39E5FEAD" w:rsidR="008E6998" w:rsidRPr="000860F1" w:rsidRDefault="000330D6">
            <w:pPr>
              <w:pStyle w:val="IPPArialTable"/>
            </w:pPr>
            <w:r w:rsidRPr="000860F1">
              <w:t>0.5 µM</w:t>
            </w:r>
          </w:p>
        </w:tc>
      </w:tr>
      <w:tr w:rsidR="008E6998" w:rsidRPr="000860F1" w14:paraId="54DAA6AC" w14:textId="77777777">
        <w:tc>
          <w:tcPr>
            <w:tcW w:w="5103" w:type="dxa"/>
            <w:shd w:val="clear" w:color="auto" w:fill="auto"/>
          </w:tcPr>
          <w:p w14:paraId="1B1A7B6B" w14:textId="476815C1" w:rsidR="008E6998" w:rsidRPr="000860F1" w:rsidRDefault="000330D6">
            <w:pPr>
              <w:pStyle w:val="IPPArialTable"/>
            </w:pPr>
            <w:r w:rsidRPr="000860F1">
              <w:t>Taq DNA polymerase (Invitrogen)</w:t>
            </w:r>
            <w:r w:rsidR="00314F55" w:rsidRPr="000860F1">
              <w:rPr>
                <w:rStyle w:val="FootnoteReference"/>
              </w:rPr>
              <w:t>1</w:t>
            </w:r>
          </w:p>
        </w:tc>
        <w:tc>
          <w:tcPr>
            <w:tcW w:w="3828" w:type="dxa"/>
            <w:shd w:val="clear" w:color="auto" w:fill="auto"/>
          </w:tcPr>
          <w:p w14:paraId="61FD7E14" w14:textId="7F175DF5" w:rsidR="008E6998" w:rsidRPr="000860F1" w:rsidRDefault="000330D6" w:rsidP="00C90B73">
            <w:pPr>
              <w:pStyle w:val="IPPArialTable"/>
            </w:pPr>
            <w:r w:rsidRPr="000860F1">
              <w:t>1.</w:t>
            </w:r>
            <w:r w:rsidR="00C90B73" w:rsidRPr="000860F1">
              <w:t>25</w:t>
            </w:r>
            <w:r w:rsidRPr="000860F1">
              <w:t> U</w:t>
            </w:r>
          </w:p>
        </w:tc>
      </w:tr>
      <w:tr w:rsidR="008E6998" w:rsidRPr="000860F1" w14:paraId="7F1C139A" w14:textId="77777777">
        <w:tc>
          <w:tcPr>
            <w:tcW w:w="5103" w:type="dxa"/>
            <w:tcBorders>
              <w:top w:val="single" w:sz="4" w:space="0" w:color="000000"/>
              <w:bottom w:val="single" w:sz="4" w:space="0" w:color="000000"/>
            </w:tcBorders>
            <w:shd w:val="clear" w:color="auto" w:fill="auto"/>
          </w:tcPr>
          <w:p w14:paraId="6338F36B" w14:textId="3E7C7FD5" w:rsidR="008E6998" w:rsidRPr="000860F1" w:rsidRDefault="000330D6">
            <w:pPr>
              <w:pStyle w:val="IPPArialTable"/>
            </w:pPr>
            <w:r w:rsidRPr="000860F1">
              <w:t>DNA volume</w:t>
            </w:r>
          </w:p>
        </w:tc>
        <w:tc>
          <w:tcPr>
            <w:tcW w:w="3828" w:type="dxa"/>
            <w:tcBorders>
              <w:top w:val="single" w:sz="4" w:space="0" w:color="000000"/>
              <w:bottom w:val="single" w:sz="4" w:space="0" w:color="000000"/>
            </w:tcBorders>
            <w:shd w:val="clear" w:color="auto" w:fill="auto"/>
          </w:tcPr>
          <w:p w14:paraId="1ADF2F08" w14:textId="4FC9400F" w:rsidR="008E6998" w:rsidRPr="000860F1" w:rsidRDefault="000330D6">
            <w:pPr>
              <w:pStyle w:val="IPPArialTable"/>
            </w:pPr>
            <w:r w:rsidRPr="000860F1">
              <w:t>2 </w:t>
            </w:r>
            <w:r w:rsidR="0075067D" w:rsidRPr="000860F1">
              <w:t>µ</w:t>
            </w:r>
            <w:r w:rsidR="0075067D">
              <w:t>L</w:t>
            </w:r>
            <w:r w:rsidR="0075067D" w:rsidRPr="000860F1">
              <w:t xml:space="preserve"> </w:t>
            </w:r>
            <w:r w:rsidRPr="000860F1">
              <w:t>bacterial suspension or DNA extract</w:t>
            </w:r>
          </w:p>
        </w:tc>
      </w:tr>
      <w:tr w:rsidR="008E6998" w:rsidRPr="000860F1" w14:paraId="52A9518E" w14:textId="77777777">
        <w:tc>
          <w:tcPr>
            <w:tcW w:w="5103" w:type="dxa"/>
            <w:tcBorders>
              <w:top w:val="single" w:sz="4" w:space="0" w:color="000000"/>
              <w:bottom w:val="single" w:sz="4" w:space="0" w:color="000000"/>
            </w:tcBorders>
            <w:shd w:val="clear" w:color="auto" w:fill="BFBFBF" w:themeFill="background1" w:themeFillShade="BF"/>
          </w:tcPr>
          <w:p w14:paraId="73290902" w14:textId="596D05C6" w:rsidR="008E6998" w:rsidRPr="000860F1" w:rsidRDefault="000330D6">
            <w:pPr>
              <w:pStyle w:val="IPPArialTable"/>
              <w:rPr>
                <w:b/>
              </w:rPr>
            </w:pPr>
            <w:r w:rsidRPr="000860F1">
              <w:rPr>
                <w:b/>
              </w:rPr>
              <w:t>Cycling parameters</w:t>
            </w:r>
          </w:p>
        </w:tc>
        <w:tc>
          <w:tcPr>
            <w:tcW w:w="3828" w:type="dxa"/>
            <w:tcBorders>
              <w:top w:val="single" w:sz="4" w:space="0" w:color="000000"/>
              <w:bottom w:val="single" w:sz="4" w:space="0" w:color="000000"/>
            </w:tcBorders>
            <w:shd w:val="clear" w:color="auto" w:fill="BFBFBF" w:themeFill="background1" w:themeFillShade="BF"/>
          </w:tcPr>
          <w:p w14:paraId="084B7A8E" w14:textId="46836767" w:rsidR="008E6998" w:rsidRPr="000860F1" w:rsidRDefault="008E6998">
            <w:pPr>
              <w:pStyle w:val="IPPArialTable"/>
            </w:pPr>
          </w:p>
        </w:tc>
      </w:tr>
      <w:tr w:rsidR="008E6998" w:rsidRPr="000860F1" w14:paraId="41C30914" w14:textId="77777777" w:rsidTr="00D1016B">
        <w:tc>
          <w:tcPr>
            <w:tcW w:w="5103" w:type="dxa"/>
            <w:tcBorders>
              <w:top w:val="single" w:sz="4" w:space="0" w:color="000000"/>
            </w:tcBorders>
            <w:shd w:val="clear" w:color="auto" w:fill="auto"/>
          </w:tcPr>
          <w:p w14:paraId="44AAA8BA" w14:textId="3A22B887" w:rsidR="008E6998" w:rsidRPr="000860F1" w:rsidRDefault="000330D6">
            <w:pPr>
              <w:pStyle w:val="IPPArialTable"/>
            </w:pPr>
            <w:r w:rsidRPr="000860F1">
              <w:t>Initial denaturation</w:t>
            </w:r>
          </w:p>
        </w:tc>
        <w:tc>
          <w:tcPr>
            <w:tcW w:w="3828" w:type="dxa"/>
            <w:tcBorders>
              <w:top w:val="single" w:sz="4" w:space="0" w:color="000000"/>
            </w:tcBorders>
            <w:shd w:val="clear" w:color="auto" w:fill="auto"/>
          </w:tcPr>
          <w:p w14:paraId="6217AFE0" w14:textId="610DF246" w:rsidR="008E6998" w:rsidRPr="000860F1" w:rsidRDefault="000330D6">
            <w:pPr>
              <w:pStyle w:val="IPPArialTable"/>
            </w:pPr>
            <w:r w:rsidRPr="000860F1">
              <w:t>95 °C for 1 min</w:t>
            </w:r>
          </w:p>
        </w:tc>
      </w:tr>
      <w:tr w:rsidR="008E6998" w:rsidRPr="000860F1" w14:paraId="6F259839" w14:textId="77777777" w:rsidTr="00D1016B">
        <w:tc>
          <w:tcPr>
            <w:tcW w:w="5103" w:type="dxa"/>
            <w:shd w:val="clear" w:color="auto" w:fill="auto"/>
          </w:tcPr>
          <w:p w14:paraId="724022E6" w14:textId="6F146276" w:rsidR="008E6998" w:rsidRPr="000860F1" w:rsidRDefault="000330D6">
            <w:pPr>
              <w:pStyle w:val="IPPArialTable"/>
            </w:pPr>
            <w:r w:rsidRPr="000860F1">
              <w:t>Number of cycles</w:t>
            </w:r>
          </w:p>
        </w:tc>
        <w:tc>
          <w:tcPr>
            <w:tcW w:w="3828" w:type="dxa"/>
            <w:shd w:val="clear" w:color="auto" w:fill="auto"/>
          </w:tcPr>
          <w:p w14:paraId="2187BB35" w14:textId="7C122C72" w:rsidR="008E6998" w:rsidRPr="000860F1" w:rsidRDefault="000330D6">
            <w:pPr>
              <w:pStyle w:val="IPPArialTable"/>
            </w:pPr>
            <w:r w:rsidRPr="000860F1">
              <w:t>40</w:t>
            </w:r>
          </w:p>
        </w:tc>
      </w:tr>
      <w:tr w:rsidR="008E6998" w:rsidRPr="000860F1" w14:paraId="2A5CC229" w14:textId="77777777">
        <w:tc>
          <w:tcPr>
            <w:tcW w:w="5103" w:type="dxa"/>
            <w:shd w:val="clear" w:color="auto" w:fill="auto"/>
          </w:tcPr>
          <w:p w14:paraId="104DB6D9" w14:textId="603FFAB0" w:rsidR="008E6998" w:rsidRPr="000860F1" w:rsidRDefault="000330D6" w:rsidP="00A66AEE">
            <w:pPr>
              <w:pStyle w:val="IPPArialTable"/>
              <w:numPr>
                <w:ilvl w:val="0"/>
                <w:numId w:val="12"/>
              </w:numPr>
              <w:ind w:left="284" w:hanging="142"/>
            </w:pPr>
            <w:r w:rsidRPr="000860F1">
              <w:t>Denaturation</w:t>
            </w:r>
          </w:p>
        </w:tc>
        <w:tc>
          <w:tcPr>
            <w:tcW w:w="3828" w:type="dxa"/>
            <w:shd w:val="clear" w:color="auto" w:fill="auto"/>
          </w:tcPr>
          <w:p w14:paraId="106C6B4A" w14:textId="118113B9" w:rsidR="008E6998" w:rsidRPr="000860F1" w:rsidRDefault="000330D6">
            <w:pPr>
              <w:pStyle w:val="IPPArialTable"/>
            </w:pPr>
            <w:r w:rsidRPr="000860F1">
              <w:t>95 °C for 30 s</w:t>
            </w:r>
          </w:p>
        </w:tc>
      </w:tr>
      <w:tr w:rsidR="008E6998" w:rsidRPr="000860F1" w14:paraId="38CC1D83" w14:textId="77777777">
        <w:tc>
          <w:tcPr>
            <w:tcW w:w="5103" w:type="dxa"/>
            <w:shd w:val="clear" w:color="auto" w:fill="auto"/>
          </w:tcPr>
          <w:p w14:paraId="43917549" w14:textId="1FDE5542" w:rsidR="008E6998" w:rsidRPr="000860F1" w:rsidRDefault="000330D6" w:rsidP="00A66AEE">
            <w:pPr>
              <w:pStyle w:val="IPPArialTable"/>
              <w:numPr>
                <w:ilvl w:val="0"/>
                <w:numId w:val="12"/>
              </w:numPr>
              <w:ind w:left="284" w:hanging="142"/>
            </w:pPr>
            <w:r w:rsidRPr="000860F1">
              <w:t>Annealing</w:t>
            </w:r>
          </w:p>
        </w:tc>
        <w:tc>
          <w:tcPr>
            <w:tcW w:w="3828" w:type="dxa"/>
            <w:shd w:val="clear" w:color="auto" w:fill="auto"/>
          </w:tcPr>
          <w:p w14:paraId="3E4D5BEB" w14:textId="2F798F88" w:rsidR="008E6998" w:rsidRPr="000860F1" w:rsidRDefault="000330D6">
            <w:pPr>
              <w:pStyle w:val="IPPArialTable"/>
            </w:pPr>
            <w:r w:rsidRPr="000860F1">
              <w:t>55 °C for 30 s</w:t>
            </w:r>
          </w:p>
        </w:tc>
      </w:tr>
      <w:tr w:rsidR="008E6998" w:rsidRPr="000860F1" w14:paraId="091AC55C" w14:textId="77777777" w:rsidTr="00D1016B">
        <w:tc>
          <w:tcPr>
            <w:tcW w:w="5103" w:type="dxa"/>
            <w:shd w:val="clear" w:color="auto" w:fill="auto"/>
          </w:tcPr>
          <w:p w14:paraId="09950DF3" w14:textId="658423FA" w:rsidR="008E6998" w:rsidRPr="000860F1" w:rsidRDefault="000330D6" w:rsidP="00A66AEE">
            <w:pPr>
              <w:pStyle w:val="IPPArialTable"/>
              <w:numPr>
                <w:ilvl w:val="0"/>
                <w:numId w:val="12"/>
              </w:numPr>
              <w:ind w:left="284" w:hanging="142"/>
            </w:pPr>
            <w:r w:rsidRPr="000860F1">
              <w:t>Elongation</w:t>
            </w:r>
          </w:p>
        </w:tc>
        <w:tc>
          <w:tcPr>
            <w:tcW w:w="3828" w:type="dxa"/>
            <w:shd w:val="clear" w:color="auto" w:fill="auto"/>
          </w:tcPr>
          <w:p w14:paraId="3644D136" w14:textId="19652A47" w:rsidR="008E6998" w:rsidRPr="000860F1" w:rsidRDefault="000330D6">
            <w:pPr>
              <w:pStyle w:val="IPPArialTable"/>
            </w:pPr>
            <w:r w:rsidRPr="000860F1">
              <w:t>72 °C for 45 s</w:t>
            </w:r>
          </w:p>
        </w:tc>
      </w:tr>
      <w:tr w:rsidR="008E6998" w:rsidRPr="000860F1" w14:paraId="071107F6" w14:textId="77777777" w:rsidTr="00D1016B">
        <w:tc>
          <w:tcPr>
            <w:tcW w:w="5103" w:type="dxa"/>
            <w:tcBorders>
              <w:bottom w:val="single" w:sz="4" w:space="0" w:color="000000"/>
            </w:tcBorders>
            <w:shd w:val="clear" w:color="auto" w:fill="auto"/>
          </w:tcPr>
          <w:p w14:paraId="63120B80" w14:textId="5913B451" w:rsidR="008E6998" w:rsidRPr="000860F1" w:rsidRDefault="000330D6">
            <w:pPr>
              <w:pStyle w:val="IPPArialTable"/>
            </w:pPr>
            <w:r w:rsidRPr="000860F1">
              <w:t>Final elongation</w:t>
            </w:r>
          </w:p>
        </w:tc>
        <w:tc>
          <w:tcPr>
            <w:tcW w:w="3828" w:type="dxa"/>
            <w:tcBorders>
              <w:bottom w:val="single" w:sz="4" w:space="0" w:color="000000"/>
            </w:tcBorders>
            <w:shd w:val="clear" w:color="auto" w:fill="auto"/>
          </w:tcPr>
          <w:p w14:paraId="4650065D" w14:textId="63F96F0D" w:rsidR="008E6998" w:rsidRPr="000860F1" w:rsidRDefault="000330D6">
            <w:pPr>
              <w:pStyle w:val="IPPArialTable"/>
            </w:pPr>
            <w:r w:rsidRPr="000860F1">
              <w:t>72 °C for 5 min</w:t>
            </w:r>
          </w:p>
        </w:tc>
      </w:tr>
      <w:tr w:rsidR="008E6998" w:rsidRPr="000860F1" w14:paraId="22D35DEE" w14:textId="77777777">
        <w:tc>
          <w:tcPr>
            <w:tcW w:w="5103" w:type="dxa"/>
            <w:tcBorders>
              <w:top w:val="single" w:sz="4" w:space="0" w:color="000000"/>
              <w:bottom w:val="single" w:sz="4" w:space="0" w:color="000000"/>
            </w:tcBorders>
            <w:shd w:val="clear" w:color="auto" w:fill="BFBFBF" w:themeFill="background1" w:themeFillShade="BF"/>
          </w:tcPr>
          <w:p w14:paraId="336B2A9B" w14:textId="73262794" w:rsidR="008E6998" w:rsidRPr="000860F1" w:rsidRDefault="000330D6">
            <w:pPr>
              <w:pStyle w:val="IPPArialTable"/>
              <w:rPr>
                <w:b/>
              </w:rPr>
            </w:pPr>
            <w:r w:rsidRPr="000860F1">
              <w:rPr>
                <w:b/>
              </w:rPr>
              <w:t>Expected amplicons</w:t>
            </w:r>
          </w:p>
        </w:tc>
        <w:tc>
          <w:tcPr>
            <w:tcW w:w="3828" w:type="dxa"/>
            <w:tcBorders>
              <w:top w:val="single" w:sz="4" w:space="0" w:color="000000"/>
              <w:bottom w:val="single" w:sz="4" w:space="0" w:color="000000"/>
            </w:tcBorders>
            <w:shd w:val="clear" w:color="auto" w:fill="BFBFBF" w:themeFill="background1" w:themeFillShade="BF"/>
          </w:tcPr>
          <w:p w14:paraId="314E45AA" w14:textId="19C93B26" w:rsidR="008E6998" w:rsidRPr="000860F1" w:rsidRDefault="008E6998">
            <w:pPr>
              <w:pStyle w:val="IPPArialTable"/>
            </w:pPr>
          </w:p>
        </w:tc>
      </w:tr>
      <w:tr w:rsidR="008E6998" w:rsidRPr="000860F1" w14:paraId="1B78D88B" w14:textId="77777777">
        <w:tc>
          <w:tcPr>
            <w:tcW w:w="5103" w:type="dxa"/>
            <w:tcBorders>
              <w:top w:val="single" w:sz="4" w:space="0" w:color="000000"/>
              <w:bottom w:val="single" w:sz="4" w:space="0" w:color="000000"/>
            </w:tcBorders>
            <w:shd w:val="clear" w:color="auto" w:fill="auto"/>
          </w:tcPr>
          <w:p w14:paraId="21C73EC4" w14:textId="57EEE750" w:rsidR="008E6998" w:rsidRPr="000860F1" w:rsidRDefault="000330D6">
            <w:pPr>
              <w:pStyle w:val="IPPArialTable"/>
            </w:pPr>
            <w:r w:rsidRPr="000860F1">
              <w:t>Size</w:t>
            </w:r>
          </w:p>
        </w:tc>
        <w:tc>
          <w:tcPr>
            <w:tcW w:w="3828" w:type="dxa"/>
            <w:tcBorders>
              <w:top w:val="single" w:sz="4" w:space="0" w:color="000000"/>
              <w:bottom w:val="single" w:sz="4" w:space="0" w:color="000000"/>
            </w:tcBorders>
            <w:shd w:val="clear" w:color="auto" w:fill="auto"/>
          </w:tcPr>
          <w:p w14:paraId="73BFADBB" w14:textId="032CBEFC" w:rsidR="008E6998" w:rsidRPr="000860F1" w:rsidRDefault="000330D6">
            <w:pPr>
              <w:pStyle w:val="IPPArialTable"/>
            </w:pPr>
            <w:r w:rsidRPr="000860F1">
              <w:t>733 bp</w:t>
            </w:r>
          </w:p>
        </w:tc>
      </w:tr>
    </w:tbl>
    <w:p w14:paraId="5864A9FF" w14:textId="77041F83" w:rsidR="00162658" w:rsidRPr="000860F1" w:rsidRDefault="00162658" w:rsidP="00D1016B">
      <w:pPr>
        <w:pStyle w:val="IPPArialFootnote"/>
        <w:rPr>
          <w:rStyle w:val="PleaseReviewParagraphId"/>
          <w:rFonts w:eastAsia="MS Mincho"/>
        </w:rPr>
      </w:pPr>
      <w:r w:rsidRPr="000860F1">
        <w:rPr>
          <w:vertAlign w:val="superscript"/>
        </w:rPr>
        <w:t>†</w:t>
      </w:r>
      <w:r w:rsidRPr="000860F1">
        <w:t xml:space="preserve"> For a final reaction volume of 20 </w:t>
      </w:r>
      <w:r w:rsidRPr="000860F1">
        <w:rPr>
          <w:rFonts w:cs="Arial"/>
        </w:rPr>
        <w:t>µ</w:t>
      </w:r>
      <w:r w:rsidRPr="000860F1">
        <w:t>l.</w:t>
      </w:r>
    </w:p>
    <w:p w14:paraId="06181ED9" w14:textId="66A771A2" w:rsidR="008E6998" w:rsidRPr="000860F1" w:rsidRDefault="000330D6" w:rsidP="00D1016B">
      <w:pPr>
        <w:pStyle w:val="IPPArialFootnote"/>
        <w:spacing w:after="180"/>
        <w:rPr>
          <w:rStyle w:val="PleaseReviewParagraphId"/>
          <w:rFonts w:eastAsia="MS Mincho"/>
          <w:color w:val="auto"/>
          <w:sz w:val="18"/>
          <w:szCs w:val="18"/>
        </w:rPr>
      </w:pPr>
      <w:r w:rsidRPr="000860F1">
        <w:t xml:space="preserve">bp, base pairs; </w:t>
      </w:r>
      <w:r w:rsidR="00FE6BC2" w:rsidRPr="000860F1">
        <w:rPr>
          <w:rStyle w:val="PleaseReviewParagraphId"/>
          <w:color w:val="auto"/>
        </w:rPr>
        <w:t>PCR, polymerase chain reaction</w:t>
      </w:r>
      <w:r w:rsidRPr="000860F1">
        <w:t>.</w:t>
      </w:r>
    </w:p>
    <w:p w14:paraId="724D8DDF" w14:textId="77777777" w:rsidR="00FC5F0F" w:rsidRPr="000860F1" w:rsidRDefault="00FC5F0F">
      <w:pPr>
        <w:pStyle w:val="IPPArialFootnote"/>
        <w:rPr>
          <w:rStyle w:val="PleaseReviewParagraphId"/>
          <w:rFonts w:eastAsia="MS Mincho"/>
          <w:sz w:val="18"/>
          <w:szCs w:val="18"/>
        </w:rPr>
      </w:pPr>
    </w:p>
    <w:p w14:paraId="0DC0128C" w14:textId="45C66CAB" w:rsidR="00FC5F0F" w:rsidRPr="000860F1" w:rsidRDefault="00FC5F0F" w:rsidP="00FC5F0F">
      <w:pPr>
        <w:pStyle w:val="IPPHeading2"/>
        <w:rPr>
          <w:i/>
        </w:rPr>
      </w:pPr>
      <w:bookmarkStart w:id="41" w:name="_Toc111710137"/>
      <w:r w:rsidRPr="000860F1">
        <w:t>3.4.</w:t>
      </w:r>
      <w:r w:rsidR="00E004BE" w:rsidRPr="000860F1">
        <w:t>4</w:t>
      </w:r>
      <w:r w:rsidRPr="000860F1">
        <w:tab/>
        <w:t>Conventional polymerase chain reaction (PCR) using the primers of Pooler and Hartung (1995)</w:t>
      </w:r>
      <w:bookmarkEnd w:id="41"/>
    </w:p>
    <w:p w14:paraId="1C943A83" w14:textId="5FE4D30C" w:rsidR="00FC5F0F" w:rsidRPr="000860F1" w:rsidRDefault="00FC5F0F" w:rsidP="0004310D">
      <w:pPr>
        <w:pStyle w:val="IPPParagraphnumbering"/>
      </w:pPr>
      <w:r w:rsidRPr="000860F1">
        <w:t xml:space="preserve">This PCR was designed by Pooler and Hartung (1995) by developing PCR primers that target a specific </w:t>
      </w:r>
      <w:r w:rsidR="005246C1" w:rsidRPr="000860F1">
        <w:t>rando</w:t>
      </w:r>
      <w:r w:rsidR="005246C1">
        <w:t>ml</w:t>
      </w:r>
      <w:r w:rsidR="005246C1" w:rsidRPr="000860F1">
        <w:t xml:space="preserve">y </w:t>
      </w:r>
      <w:r w:rsidRPr="000860F1">
        <w:t xml:space="preserve">amplified polymorphic DNA </w:t>
      </w:r>
      <w:r w:rsidR="00912118" w:rsidRPr="000860F1">
        <w:t xml:space="preserve">fragment </w:t>
      </w:r>
      <w:r w:rsidRPr="000860F1">
        <w:t xml:space="preserve">present </w:t>
      </w:r>
      <w:r w:rsidR="00912118" w:rsidRPr="000860F1">
        <w:t xml:space="preserve">in </w:t>
      </w:r>
      <w:r w:rsidR="00912118" w:rsidRPr="000860F1">
        <w:rPr>
          <w:i/>
        </w:rPr>
        <w:t>X.</w:t>
      </w:r>
      <w:r w:rsidR="001D4DD1" w:rsidRPr="000860F1">
        <w:rPr>
          <w:i/>
        </w:rPr>
        <w:t> </w:t>
      </w:r>
      <w:r w:rsidR="00912118" w:rsidRPr="000860F1">
        <w:rPr>
          <w:i/>
        </w:rPr>
        <w:t>fastidiosa</w:t>
      </w:r>
      <w:r w:rsidR="00912118" w:rsidRPr="000860F1">
        <w:t>. The primers 272-1</w:t>
      </w:r>
      <w:r w:rsidR="00F86962" w:rsidRPr="000860F1">
        <w:t>-int</w:t>
      </w:r>
      <w:r w:rsidR="00912118" w:rsidRPr="000860F1">
        <w:t xml:space="preserve"> and 272-2</w:t>
      </w:r>
      <w:r w:rsidR="00F86962" w:rsidRPr="000860F1">
        <w:t>-int</w:t>
      </w:r>
      <w:r w:rsidR="00912118" w:rsidRPr="000860F1">
        <w:t xml:space="preserve"> are known to detect all known strains of </w:t>
      </w:r>
      <w:r w:rsidR="00912118" w:rsidRPr="000860F1">
        <w:rPr>
          <w:i/>
        </w:rPr>
        <w:t>X</w:t>
      </w:r>
      <w:r w:rsidR="00912118" w:rsidRPr="000860F1">
        <w:t>.</w:t>
      </w:r>
      <w:r w:rsidR="001D4DD1" w:rsidRPr="000860F1">
        <w:t> </w:t>
      </w:r>
      <w:r w:rsidR="00912118" w:rsidRPr="000860F1">
        <w:rPr>
          <w:i/>
        </w:rPr>
        <w:t>fastidiosa</w:t>
      </w:r>
      <w:r w:rsidR="00912118" w:rsidRPr="000860F1">
        <w:t xml:space="preserve">. </w:t>
      </w:r>
      <w:r w:rsidRPr="000860F1">
        <w:t xml:space="preserve">Analytical specificity </w:t>
      </w:r>
      <w:r w:rsidR="00990F4B" w:rsidRPr="000860F1">
        <w:t xml:space="preserve">has been </w:t>
      </w:r>
      <w:r w:rsidRPr="000860F1">
        <w:t xml:space="preserve">validated with </w:t>
      </w:r>
      <w:r w:rsidR="00990F4B" w:rsidRPr="000860F1">
        <w:t xml:space="preserve">57 </w:t>
      </w:r>
      <w:r w:rsidRPr="000860F1">
        <w:t xml:space="preserve">different </w:t>
      </w:r>
      <w:r w:rsidRPr="000860F1">
        <w:rPr>
          <w:i/>
          <w:iCs/>
        </w:rPr>
        <w:t xml:space="preserve">X. fastidiosa </w:t>
      </w:r>
      <w:r w:rsidRPr="000860F1">
        <w:t xml:space="preserve">strains </w:t>
      </w:r>
      <w:r w:rsidR="006A4C8C" w:rsidRPr="000860F1">
        <w:t xml:space="preserve">collected </w:t>
      </w:r>
      <w:r w:rsidR="00F86962" w:rsidRPr="000860F1">
        <w:t>from</w:t>
      </w:r>
      <w:r w:rsidR="006A4C8C" w:rsidRPr="000860F1">
        <w:t xml:space="preserve"> different regions of Brazil and </w:t>
      </w:r>
      <w:r w:rsidR="00E31BBD" w:rsidRPr="000860F1">
        <w:t xml:space="preserve">the </w:t>
      </w:r>
      <w:r w:rsidR="006A4C8C" w:rsidRPr="000860F1">
        <w:t>U</w:t>
      </w:r>
      <w:r w:rsidR="00E31BBD" w:rsidRPr="000860F1">
        <w:t xml:space="preserve">nited </w:t>
      </w:r>
      <w:r w:rsidR="006A4C8C" w:rsidRPr="000860F1">
        <w:t>S</w:t>
      </w:r>
      <w:r w:rsidR="00E31BBD" w:rsidRPr="000860F1">
        <w:t xml:space="preserve">tates of </w:t>
      </w:r>
      <w:r w:rsidR="006A4C8C" w:rsidRPr="000860F1">
        <w:t>A</w:t>
      </w:r>
      <w:r w:rsidR="00E31BBD" w:rsidRPr="000860F1">
        <w:t>merica</w:t>
      </w:r>
      <w:r w:rsidR="00990F4B" w:rsidRPr="000860F1">
        <w:t xml:space="preserve"> (Huang, 2009; Reisenzein, 2017)</w:t>
      </w:r>
      <w:r w:rsidR="006A4C8C" w:rsidRPr="000860F1">
        <w:t xml:space="preserve">. </w:t>
      </w:r>
    </w:p>
    <w:p w14:paraId="7D956929" w14:textId="024E5C36" w:rsidR="00FC5F0F" w:rsidRPr="000860F1" w:rsidRDefault="00FC5F0F" w:rsidP="0004310D">
      <w:pPr>
        <w:pStyle w:val="IPPParagraphnumbering"/>
      </w:pPr>
      <w:r w:rsidRPr="000860F1">
        <w:t>The oligonucleotide primers used are:</w:t>
      </w:r>
    </w:p>
    <w:p w14:paraId="67F04539" w14:textId="13343632" w:rsidR="00FC5F0F" w:rsidRPr="000860F1" w:rsidRDefault="00912118" w:rsidP="004C1B1F">
      <w:pPr>
        <w:spacing w:line="276" w:lineRule="auto"/>
        <w:ind w:left="720"/>
      </w:pPr>
      <w:r w:rsidRPr="000860F1">
        <w:t>272-1-int</w:t>
      </w:r>
      <w:r w:rsidR="00FC5F0F" w:rsidRPr="000860F1">
        <w:t xml:space="preserve"> (forward): 5′-</w:t>
      </w:r>
      <w:r w:rsidRPr="000860F1">
        <w:t>CTG</w:t>
      </w:r>
      <w:r w:rsidR="007520CE" w:rsidRPr="000860F1">
        <w:t xml:space="preserve"> </w:t>
      </w:r>
      <w:r w:rsidRPr="000860F1">
        <w:t>CAC</w:t>
      </w:r>
      <w:r w:rsidR="007520CE" w:rsidRPr="000860F1">
        <w:t xml:space="preserve"> </w:t>
      </w:r>
      <w:r w:rsidRPr="000860F1">
        <w:t>TTA</w:t>
      </w:r>
      <w:r w:rsidR="007520CE" w:rsidRPr="000860F1">
        <w:t xml:space="preserve"> </w:t>
      </w:r>
      <w:r w:rsidRPr="000860F1">
        <w:t>CCC</w:t>
      </w:r>
      <w:r w:rsidR="007520CE" w:rsidRPr="000860F1">
        <w:t xml:space="preserve"> </w:t>
      </w:r>
      <w:r w:rsidRPr="000860F1">
        <w:t>AAT</w:t>
      </w:r>
      <w:r w:rsidR="007520CE" w:rsidRPr="000860F1">
        <w:t xml:space="preserve"> </w:t>
      </w:r>
      <w:r w:rsidRPr="000860F1">
        <w:t>GCA</w:t>
      </w:r>
      <w:r w:rsidR="007520CE" w:rsidRPr="000860F1">
        <w:t xml:space="preserve"> </w:t>
      </w:r>
      <w:r w:rsidRPr="000860F1">
        <w:t>TCG</w:t>
      </w:r>
      <w:r w:rsidR="00FC5F0F" w:rsidRPr="000860F1">
        <w:t>-3′</w:t>
      </w:r>
    </w:p>
    <w:p w14:paraId="079C9B50" w14:textId="4E55F42D" w:rsidR="00FC5F0F" w:rsidRPr="000860F1" w:rsidRDefault="00912118" w:rsidP="004C1B1F">
      <w:pPr>
        <w:spacing w:line="276" w:lineRule="auto"/>
        <w:ind w:left="720"/>
      </w:pPr>
      <w:r w:rsidRPr="000860F1">
        <w:t>272-2-int</w:t>
      </w:r>
      <w:r w:rsidR="00FC5F0F" w:rsidRPr="000860F1">
        <w:t xml:space="preserve"> (reverse): 5′-</w:t>
      </w:r>
      <w:r w:rsidR="00471DF0" w:rsidRPr="000860F1">
        <w:t>GCC</w:t>
      </w:r>
      <w:r w:rsidR="007520CE" w:rsidRPr="000860F1">
        <w:t xml:space="preserve"> </w:t>
      </w:r>
      <w:r w:rsidR="00471DF0" w:rsidRPr="000860F1">
        <w:t>GCT</w:t>
      </w:r>
      <w:r w:rsidR="007520CE" w:rsidRPr="000860F1">
        <w:t xml:space="preserve"> </w:t>
      </w:r>
      <w:r w:rsidR="00471DF0" w:rsidRPr="000860F1">
        <w:t>TCG</w:t>
      </w:r>
      <w:r w:rsidR="007520CE" w:rsidRPr="000860F1">
        <w:t xml:space="preserve"> </w:t>
      </w:r>
      <w:r w:rsidR="00471DF0" w:rsidRPr="000860F1">
        <w:t>GAG</w:t>
      </w:r>
      <w:r w:rsidR="007520CE" w:rsidRPr="000860F1">
        <w:t xml:space="preserve"> </w:t>
      </w:r>
      <w:r w:rsidR="00471DF0" w:rsidRPr="000860F1">
        <w:t>AGC</w:t>
      </w:r>
      <w:r w:rsidR="007520CE" w:rsidRPr="000860F1">
        <w:t xml:space="preserve"> </w:t>
      </w:r>
      <w:r w:rsidR="00471DF0" w:rsidRPr="000860F1">
        <w:t>ATT</w:t>
      </w:r>
      <w:r w:rsidR="007520CE" w:rsidRPr="000860F1">
        <w:t xml:space="preserve"> </w:t>
      </w:r>
      <w:r w:rsidR="00471DF0" w:rsidRPr="000860F1">
        <w:t>CCT</w:t>
      </w:r>
      <w:r w:rsidR="00FC5F0F" w:rsidRPr="000860F1">
        <w:t>-3′</w:t>
      </w:r>
    </w:p>
    <w:p w14:paraId="3BAA4DB2" w14:textId="77777777" w:rsidR="004C1B1F" w:rsidRPr="004C1B1F" w:rsidRDefault="004C1B1F" w:rsidP="004C1B1F">
      <w:pPr>
        <w:pStyle w:val="IPPParagraphnumbering"/>
        <w:numPr>
          <w:ilvl w:val="0"/>
          <w:numId w:val="0"/>
        </w:numPr>
        <w:rPr>
          <w:rFonts w:eastAsiaTheme="minorHAnsi"/>
          <w:i/>
        </w:rPr>
      </w:pPr>
    </w:p>
    <w:p w14:paraId="1DFF0C5A" w14:textId="04D6B354" w:rsidR="00FC5F0F" w:rsidRPr="000860F1" w:rsidRDefault="00FC5F0F" w:rsidP="004C1B1F">
      <w:pPr>
        <w:pStyle w:val="IPPParagraphnumbering"/>
        <w:rPr>
          <w:rFonts w:eastAsiaTheme="minorHAnsi"/>
          <w:i/>
        </w:rPr>
      </w:pPr>
      <w:r w:rsidRPr="000860F1">
        <w:t>The master mix used for this PCR is described in Table </w:t>
      </w:r>
      <w:r w:rsidR="008D3BD9">
        <w:t>5</w:t>
      </w:r>
      <w:r w:rsidRPr="000860F1">
        <w:t>.</w:t>
      </w:r>
    </w:p>
    <w:p w14:paraId="5C89ACB0" w14:textId="75124B00" w:rsidR="00FC5F0F" w:rsidRPr="00133D6E" w:rsidRDefault="00FC5F0F" w:rsidP="00D1016B">
      <w:pPr>
        <w:pStyle w:val="IPPArial"/>
        <w:keepNext/>
        <w:spacing w:after="120"/>
        <w:rPr>
          <w:rFonts w:cs="Arial"/>
          <w:szCs w:val="18"/>
        </w:rPr>
      </w:pPr>
      <w:r w:rsidRPr="00133D6E">
        <w:rPr>
          <w:rFonts w:cs="Arial"/>
          <w:b/>
          <w:szCs w:val="18"/>
        </w:rPr>
        <w:t>Table </w:t>
      </w:r>
      <w:r w:rsidR="00EF03FA" w:rsidRPr="00133D6E">
        <w:rPr>
          <w:rFonts w:cs="Arial"/>
          <w:b/>
          <w:szCs w:val="18"/>
        </w:rPr>
        <w:t>5</w:t>
      </w:r>
      <w:r w:rsidRPr="00133D6E">
        <w:rPr>
          <w:rFonts w:cs="Arial"/>
          <w:b/>
          <w:szCs w:val="18"/>
        </w:rPr>
        <w:t>.</w:t>
      </w:r>
      <w:r w:rsidRPr="00133D6E">
        <w:rPr>
          <w:rFonts w:cs="Arial"/>
          <w:szCs w:val="18"/>
        </w:rPr>
        <w:t xml:space="preserve"> Master mix composition</w:t>
      </w:r>
      <w:r w:rsidR="00A50C1E" w:rsidRPr="00133D6E">
        <w:rPr>
          <w:rFonts w:cs="Arial"/>
          <w:szCs w:val="18"/>
        </w:rPr>
        <w:t>,</w:t>
      </w:r>
      <w:r w:rsidRPr="00133D6E">
        <w:rPr>
          <w:rFonts w:cs="Arial"/>
          <w:szCs w:val="18"/>
        </w:rPr>
        <w:t xml:space="preserve"> cycling </w:t>
      </w:r>
      <w:r w:rsidR="0016758B" w:rsidRPr="00133D6E">
        <w:rPr>
          <w:rFonts w:cs="Arial"/>
          <w:szCs w:val="18"/>
        </w:rPr>
        <w:t>parameters</w:t>
      </w:r>
      <w:r w:rsidRPr="00133D6E">
        <w:rPr>
          <w:rFonts w:cs="Arial"/>
          <w:szCs w:val="18"/>
        </w:rPr>
        <w:t xml:space="preserve"> </w:t>
      </w:r>
      <w:r w:rsidR="00A50C1E" w:rsidRPr="00133D6E">
        <w:rPr>
          <w:rFonts w:cs="Arial"/>
          <w:szCs w:val="18"/>
        </w:rPr>
        <w:t xml:space="preserve">and amplicons </w:t>
      </w:r>
      <w:r w:rsidRPr="00133D6E">
        <w:rPr>
          <w:rFonts w:cs="Arial"/>
          <w:szCs w:val="18"/>
        </w:rPr>
        <w:t xml:space="preserve">for </w:t>
      </w:r>
      <w:r w:rsidR="0016758B" w:rsidRPr="00133D6E">
        <w:rPr>
          <w:rFonts w:cs="Arial"/>
          <w:szCs w:val="18"/>
        </w:rPr>
        <w:t>conventional PCR using the primers of Pooler and Hartung (1995)</w:t>
      </w:r>
    </w:p>
    <w:tbl>
      <w:tblPr>
        <w:tblW w:w="8931" w:type="dxa"/>
        <w:tblLayout w:type="fixed"/>
        <w:tblLook w:val="0000" w:firstRow="0" w:lastRow="0" w:firstColumn="0" w:lastColumn="0" w:noHBand="0" w:noVBand="0"/>
      </w:tblPr>
      <w:tblGrid>
        <w:gridCol w:w="5103"/>
        <w:gridCol w:w="3828"/>
      </w:tblGrid>
      <w:tr w:rsidR="00FC5F0F" w:rsidRPr="000860F1" w14:paraId="4A035076" w14:textId="77777777" w:rsidTr="00FC5F0F">
        <w:tc>
          <w:tcPr>
            <w:tcW w:w="5103" w:type="dxa"/>
            <w:tcBorders>
              <w:top w:val="single" w:sz="4" w:space="0" w:color="000000"/>
              <w:bottom w:val="single" w:sz="4" w:space="0" w:color="000000"/>
            </w:tcBorders>
            <w:shd w:val="clear" w:color="auto" w:fill="BFBFBF"/>
          </w:tcPr>
          <w:p w14:paraId="28B2CD88" w14:textId="6E06D54B" w:rsidR="00FC5F0F" w:rsidRPr="000860F1" w:rsidRDefault="00FC5F0F" w:rsidP="00FC5F0F">
            <w:pPr>
              <w:pStyle w:val="IPPArialTable"/>
              <w:rPr>
                <w:b/>
              </w:rPr>
            </w:pPr>
            <w:r w:rsidRPr="000860F1">
              <w:rPr>
                <w:b/>
              </w:rPr>
              <w:t xml:space="preserve">Reagents </w:t>
            </w:r>
          </w:p>
        </w:tc>
        <w:tc>
          <w:tcPr>
            <w:tcW w:w="3828" w:type="dxa"/>
            <w:tcBorders>
              <w:top w:val="single" w:sz="4" w:space="0" w:color="000000"/>
              <w:bottom w:val="single" w:sz="4" w:space="0" w:color="000000"/>
            </w:tcBorders>
            <w:shd w:val="clear" w:color="auto" w:fill="BFBFBF"/>
          </w:tcPr>
          <w:p w14:paraId="6E839BF7" w14:textId="1731A199" w:rsidR="00FC5F0F" w:rsidRPr="000860F1" w:rsidRDefault="00FC5F0F" w:rsidP="00FC5F0F">
            <w:pPr>
              <w:pStyle w:val="IPPArialTable"/>
              <w:rPr>
                <w:b/>
              </w:rPr>
            </w:pPr>
            <w:r w:rsidRPr="000860F1">
              <w:rPr>
                <w:b/>
              </w:rPr>
              <w:t>Final concentration</w:t>
            </w:r>
          </w:p>
        </w:tc>
      </w:tr>
      <w:tr w:rsidR="00FC5F0F" w:rsidRPr="000860F1" w14:paraId="5FBC0F82" w14:textId="77777777" w:rsidTr="00FC5F0F">
        <w:tc>
          <w:tcPr>
            <w:tcW w:w="5103" w:type="dxa"/>
            <w:tcBorders>
              <w:top w:val="single" w:sz="4" w:space="0" w:color="000000"/>
            </w:tcBorders>
            <w:shd w:val="clear" w:color="auto" w:fill="auto"/>
          </w:tcPr>
          <w:p w14:paraId="7C3290E9" w14:textId="66112E17" w:rsidR="00FC5F0F" w:rsidRPr="000860F1" w:rsidRDefault="00FC5F0F" w:rsidP="00FC5F0F">
            <w:pPr>
              <w:pStyle w:val="IPPArialTable"/>
            </w:pPr>
            <w:r w:rsidRPr="000860F1">
              <w:t>PCR grade</w:t>
            </w:r>
            <w:r w:rsidRPr="000860F1">
              <w:rPr>
                <w:vertAlign w:val="superscript"/>
              </w:rPr>
              <w:t xml:space="preserve"> </w:t>
            </w:r>
            <w:r w:rsidRPr="000860F1">
              <w:t xml:space="preserve">water </w:t>
            </w:r>
          </w:p>
        </w:tc>
        <w:tc>
          <w:tcPr>
            <w:tcW w:w="3828" w:type="dxa"/>
            <w:tcBorders>
              <w:top w:val="single" w:sz="4" w:space="0" w:color="000000"/>
            </w:tcBorders>
            <w:shd w:val="clear" w:color="auto" w:fill="FFFFFF"/>
          </w:tcPr>
          <w:p w14:paraId="3AEE36E0" w14:textId="3C221B72" w:rsidR="00FC5F0F" w:rsidRPr="000860F1" w:rsidRDefault="00162658" w:rsidP="00FC5F0F">
            <w:pPr>
              <w:pStyle w:val="IPPArialTable"/>
              <w:rPr>
                <w:shd w:val="clear" w:color="auto" w:fill="C0C0C0"/>
              </w:rPr>
            </w:pPr>
            <w:r w:rsidRPr="000860F1">
              <w:t>–</w:t>
            </w:r>
            <w:r w:rsidRPr="000860F1">
              <w:rPr>
                <w:vertAlign w:val="superscript"/>
              </w:rPr>
              <w:t>†</w:t>
            </w:r>
          </w:p>
        </w:tc>
      </w:tr>
      <w:tr w:rsidR="00FC5F0F" w:rsidRPr="000860F1" w14:paraId="5D6BB2B5" w14:textId="77777777" w:rsidTr="00FC5F0F">
        <w:tc>
          <w:tcPr>
            <w:tcW w:w="5103" w:type="dxa"/>
            <w:shd w:val="clear" w:color="auto" w:fill="auto"/>
          </w:tcPr>
          <w:p w14:paraId="4CABC9CA" w14:textId="0383BE42" w:rsidR="00FC5F0F" w:rsidRPr="000860F1" w:rsidRDefault="00FC5F0F" w:rsidP="00FC5F0F">
            <w:pPr>
              <w:pStyle w:val="IPPArialTable"/>
            </w:pPr>
            <w:r w:rsidRPr="000860F1">
              <w:t>PCR buffer (Invitrogen)</w:t>
            </w:r>
            <w:r w:rsidRPr="000860F1">
              <w:rPr>
                <w:rStyle w:val="FootnoteReference"/>
              </w:rPr>
              <w:t>1</w:t>
            </w:r>
            <w:r w:rsidRPr="000860F1">
              <w:t xml:space="preserve"> </w:t>
            </w:r>
          </w:p>
        </w:tc>
        <w:tc>
          <w:tcPr>
            <w:tcW w:w="3828" w:type="dxa"/>
            <w:shd w:val="clear" w:color="auto" w:fill="auto"/>
          </w:tcPr>
          <w:p w14:paraId="756922DF" w14:textId="70269548" w:rsidR="00FC5F0F" w:rsidRPr="000860F1" w:rsidRDefault="00FC5F0F" w:rsidP="00FC5F0F">
            <w:pPr>
              <w:pStyle w:val="IPPArialTable"/>
            </w:pPr>
            <w:r w:rsidRPr="000860F1">
              <w:t>1×</w:t>
            </w:r>
          </w:p>
        </w:tc>
      </w:tr>
      <w:tr w:rsidR="00FC5F0F" w:rsidRPr="000860F1" w14:paraId="4D0EAB97" w14:textId="77777777" w:rsidTr="00FC5F0F">
        <w:tc>
          <w:tcPr>
            <w:tcW w:w="5103" w:type="dxa"/>
            <w:shd w:val="clear" w:color="auto" w:fill="auto"/>
          </w:tcPr>
          <w:p w14:paraId="07B3A099" w14:textId="1339EAE9" w:rsidR="00FC5F0F" w:rsidRPr="000860F1" w:rsidRDefault="00FC5F0F" w:rsidP="00FC5F0F">
            <w:pPr>
              <w:pStyle w:val="IPPArialTable"/>
            </w:pPr>
            <w:r w:rsidRPr="000860F1">
              <w:t xml:space="preserve">dNTPs </w:t>
            </w:r>
          </w:p>
        </w:tc>
        <w:tc>
          <w:tcPr>
            <w:tcW w:w="3828" w:type="dxa"/>
            <w:shd w:val="clear" w:color="auto" w:fill="auto"/>
          </w:tcPr>
          <w:p w14:paraId="1124D511" w14:textId="2FF5BAF2" w:rsidR="00FC5F0F" w:rsidRPr="000860F1" w:rsidRDefault="00FC5F0F" w:rsidP="00FC5F0F">
            <w:pPr>
              <w:pStyle w:val="IPPArialTable"/>
            </w:pPr>
            <w:r w:rsidRPr="000860F1">
              <w:t xml:space="preserve">200 µM </w:t>
            </w:r>
          </w:p>
        </w:tc>
      </w:tr>
      <w:tr w:rsidR="00FC5F0F" w:rsidRPr="000860F1" w14:paraId="64239477" w14:textId="77777777" w:rsidTr="00FC5F0F">
        <w:tc>
          <w:tcPr>
            <w:tcW w:w="5103" w:type="dxa"/>
            <w:shd w:val="clear" w:color="auto" w:fill="auto"/>
          </w:tcPr>
          <w:p w14:paraId="46D9A575" w14:textId="0111A8A4" w:rsidR="00FC5F0F" w:rsidRPr="000860F1" w:rsidRDefault="00FC5F0F" w:rsidP="00FC5F0F">
            <w:pPr>
              <w:pStyle w:val="IPPArialTable"/>
            </w:pPr>
            <w:r w:rsidRPr="000860F1">
              <w:t>MgCl</w:t>
            </w:r>
            <w:r w:rsidRPr="000860F1">
              <w:rPr>
                <w:vertAlign w:val="subscript"/>
              </w:rPr>
              <w:t>2</w:t>
            </w:r>
          </w:p>
        </w:tc>
        <w:tc>
          <w:tcPr>
            <w:tcW w:w="3828" w:type="dxa"/>
            <w:shd w:val="clear" w:color="auto" w:fill="auto"/>
          </w:tcPr>
          <w:p w14:paraId="26AD5F09" w14:textId="1D7F3D13" w:rsidR="00FC5F0F" w:rsidRPr="000860F1" w:rsidRDefault="00FC5F0F" w:rsidP="00FC5F0F">
            <w:pPr>
              <w:pStyle w:val="IPPArialTable"/>
            </w:pPr>
            <w:r w:rsidRPr="000860F1">
              <w:t>1.5 mM</w:t>
            </w:r>
          </w:p>
        </w:tc>
      </w:tr>
      <w:tr w:rsidR="00FC5F0F" w:rsidRPr="000860F1" w14:paraId="5160FF1B" w14:textId="77777777" w:rsidTr="00FC5F0F">
        <w:tc>
          <w:tcPr>
            <w:tcW w:w="5103" w:type="dxa"/>
            <w:shd w:val="clear" w:color="auto" w:fill="auto"/>
          </w:tcPr>
          <w:p w14:paraId="44037BE9" w14:textId="3556BCCC" w:rsidR="00FC5F0F" w:rsidRPr="000860F1" w:rsidRDefault="00FC5F0F" w:rsidP="00471DF0">
            <w:pPr>
              <w:pStyle w:val="IPPArialTable"/>
            </w:pPr>
            <w:r w:rsidRPr="000860F1">
              <w:t xml:space="preserve">Primer </w:t>
            </w:r>
            <w:r w:rsidR="00471DF0" w:rsidRPr="000860F1">
              <w:t xml:space="preserve">272-1-int </w:t>
            </w:r>
            <w:r w:rsidRPr="000860F1">
              <w:t>(forward)</w:t>
            </w:r>
          </w:p>
        </w:tc>
        <w:tc>
          <w:tcPr>
            <w:tcW w:w="3828" w:type="dxa"/>
            <w:shd w:val="clear" w:color="auto" w:fill="auto"/>
          </w:tcPr>
          <w:p w14:paraId="54B57BF3" w14:textId="5B95BA9B" w:rsidR="00FC5F0F" w:rsidRPr="000860F1" w:rsidRDefault="00FC5F0F" w:rsidP="00DD7145">
            <w:pPr>
              <w:pStyle w:val="IPPArialTable"/>
            </w:pPr>
            <w:r w:rsidRPr="000860F1">
              <w:t>0.</w:t>
            </w:r>
            <w:r w:rsidR="00DD7145" w:rsidRPr="000860F1">
              <w:t>4</w:t>
            </w:r>
            <w:r w:rsidRPr="000860F1">
              <w:t> µM</w:t>
            </w:r>
          </w:p>
        </w:tc>
      </w:tr>
      <w:tr w:rsidR="00FC5F0F" w:rsidRPr="000860F1" w14:paraId="046D8BA2" w14:textId="77777777" w:rsidTr="00FC5F0F">
        <w:tc>
          <w:tcPr>
            <w:tcW w:w="5103" w:type="dxa"/>
            <w:shd w:val="clear" w:color="auto" w:fill="auto"/>
          </w:tcPr>
          <w:p w14:paraId="112782E2" w14:textId="1A24C25C" w:rsidR="00FC5F0F" w:rsidRPr="000860F1" w:rsidRDefault="00FC5F0F" w:rsidP="00471DF0">
            <w:pPr>
              <w:pStyle w:val="IPPArialTable"/>
            </w:pPr>
            <w:r w:rsidRPr="000860F1">
              <w:t xml:space="preserve">Primer </w:t>
            </w:r>
            <w:r w:rsidR="00471DF0" w:rsidRPr="000860F1">
              <w:t>272-</w:t>
            </w:r>
            <w:r w:rsidR="007520CE" w:rsidRPr="000860F1">
              <w:t>2</w:t>
            </w:r>
            <w:r w:rsidR="00471DF0" w:rsidRPr="000860F1">
              <w:t>-int</w:t>
            </w:r>
            <w:r w:rsidRPr="000860F1">
              <w:t xml:space="preserve"> (reverse)</w:t>
            </w:r>
          </w:p>
        </w:tc>
        <w:tc>
          <w:tcPr>
            <w:tcW w:w="3828" w:type="dxa"/>
            <w:shd w:val="clear" w:color="auto" w:fill="auto"/>
          </w:tcPr>
          <w:p w14:paraId="33D4C3F0" w14:textId="0F4110C0" w:rsidR="00FC5F0F" w:rsidRPr="000860F1" w:rsidRDefault="00FC5F0F" w:rsidP="00DD7145">
            <w:pPr>
              <w:pStyle w:val="IPPArialTable"/>
            </w:pPr>
            <w:r w:rsidRPr="000860F1">
              <w:t>0.</w:t>
            </w:r>
            <w:r w:rsidR="00DD7145" w:rsidRPr="000860F1">
              <w:t>4</w:t>
            </w:r>
            <w:r w:rsidRPr="000860F1">
              <w:t> µM</w:t>
            </w:r>
          </w:p>
        </w:tc>
      </w:tr>
      <w:tr w:rsidR="00FC5F0F" w:rsidRPr="000860F1" w14:paraId="07613F0B" w14:textId="77777777" w:rsidTr="00FC5F0F">
        <w:tc>
          <w:tcPr>
            <w:tcW w:w="5103" w:type="dxa"/>
            <w:shd w:val="clear" w:color="auto" w:fill="auto"/>
          </w:tcPr>
          <w:p w14:paraId="7992773A" w14:textId="4E2C5A9C" w:rsidR="00FC5F0F" w:rsidRPr="000860F1" w:rsidRDefault="00FC5F0F" w:rsidP="00FC5F0F">
            <w:pPr>
              <w:pStyle w:val="IPPArialTable"/>
            </w:pPr>
            <w:r w:rsidRPr="000860F1">
              <w:t>Taq DNA polymerase (Invitrogen)</w:t>
            </w:r>
            <w:r w:rsidR="00314F55" w:rsidRPr="000860F1">
              <w:rPr>
                <w:rStyle w:val="FootnoteReference"/>
              </w:rPr>
              <w:t>1</w:t>
            </w:r>
          </w:p>
        </w:tc>
        <w:tc>
          <w:tcPr>
            <w:tcW w:w="3828" w:type="dxa"/>
            <w:shd w:val="clear" w:color="auto" w:fill="auto"/>
          </w:tcPr>
          <w:p w14:paraId="02F4E0D0" w14:textId="169CE9BE" w:rsidR="00FC5F0F" w:rsidRPr="000860F1" w:rsidRDefault="00FC5F0F" w:rsidP="00FC5F0F">
            <w:pPr>
              <w:pStyle w:val="IPPArialTable"/>
            </w:pPr>
            <w:r w:rsidRPr="000860F1">
              <w:t>1.0 U</w:t>
            </w:r>
          </w:p>
        </w:tc>
      </w:tr>
      <w:tr w:rsidR="00FC5F0F" w:rsidRPr="000860F1" w14:paraId="65036314" w14:textId="77777777" w:rsidTr="00FC5F0F">
        <w:tc>
          <w:tcPr>
            <w:tcW w:w="5103" w:type="dxa"/>
            <w:tcBorders>
              <w:top w:val="single" w:sz="4" w:space="0" w:color="000000"/>
              <w:bottom w:val="single" w:sz="4" w:space="0" w:color="000000"/>
            </w:tcBorders>
            <w:shd w:val="clear" w:color="auto" w:fill="auto"/>
          </w:tcPr>
          <w:p w14:paraId="38BC344F" w14:textId="1CBFD40D" w:rsidR="00FC5F0F" w:rsidRPr="000860F1" w:rsidRDefault="00FC5F0F" w:rsidP="00FC5F0F">
            <w:pPr>
              <w:pStyle w:val="IPPArialTable"/>
            </w:pPr>
            <w:r w:rsidRPr="000860F1">
              <w:t>DNA volume</w:t>
            </w:r>
          </w:p>
        </w:tc>
        <w:tc>
          <w:tcPr>
            <w:tcW w:w="3828" w:type="dxa"/>
            <w:tcBorders>
              <w:top w:val="single" w:sz="4" w:space="0" w:color="000000"/>
              <w:bottom w:val="single" w:sz="4" w:space="0" w:color="000000"/>
            </w:tcBorders>
            <w:shd w:val="clear" w:color="auto" w:fill="auto"/>
          </w:tcPr>
          <w:p w14:paraId="272F84B9" w14:textId="487BD1D0" w:rsidR="00FC5F0F" w:rsidRPr="000860F1" w:rsidRDefault="00FC5F0F" w:rsidP="00FC5F0F">
            <w:pPr>
              <w:pStyle w:val="IPPArialTable"/>
            </w:pPr>
            <w:r w:rsidRPr="000860F1">
              <w:t>2 </w:t>
            </w:r>
            <w:r w:rsidR="0075067D" w:rsidRPr="000860F1">
              <w:t>µ</w:t>
            </w:r>
            <w:r w:rsidR="0075067D">
              <w:t>L</w:t>
            </w:r>
            <w:r w:rsidR="0075067D" w:rsidRPr="000860F1">
              <w:t xml:space="preserve"> </w:t>
            </w:r>
            <w:r w:rsidRPr="000860F1">
              <w:t>bacterial suspension or DNA extract</w:t>
            </w:r>
          </w:p>
        </w:tc>
      </w:tr>
      <w:tr w:rsidR="00FC5F0F" w:rsidRPr="000860F1" w14:paraId="408DDD82" w14:textId="77777777" w:rsidTr="00FC5F0F">
        <w:tc>
          <w:tcPr>
            <w:tcW w:w="5103" w:type="dxa"/>
            <w:tcBorders>
              <w:top w:val="single" w:sz="4" w:space="0" w:color="000000"/>
              <w:bottom w:val="single" w:sz="4" w:space="0" w:color="000000"/>
            </w:tcBorders>
            <w:shd w:val="clear" w:color="auto" w:fill="BFBFBF" w:themeFill="background1" w:themeFillShade="BF"/>
          </w:tcPr>
          <w:p w14:paraId="4DFCE71B" w14:textId="79F59AA7" w:rsidR="00FC5F0F" w:rsidRPr="000860F1" w:rsidRDefault="00FC5F0F" w:rsidP="00FC5F0F">
            <w:pPr>
              <w:pStyle w:val="IPPArialTable"/>
              <w:rPr>
                <w:b/>
              </w:rPr>
            </w:pPr>
            <w:r w:rsidRPr="000860F1">
              <w:rPr>
                <w:b/>
              </w:rPr>
              <w:t>Cycling parameters</w:t>
            </w:r>
          </w:p>
        </w:tc>
        <w:tc>
          <w:tcPr>
            <w:tcW w:w="3828" w:type="dxa"/>
            <w:tcBorders>
              <w:top w:val="single" w:sz="4" w:space="0" w:color="000000"/>
              <w:bottom w:val="single" w:sz="4" w:space="0" w:color="000000"/>
            </w:tcBorders>
            <w:shd w:val="clear" w:color="auto" w:fill="BFBFBF" w:themeFill="background1" w:themeFillShade="BF"/>
          </w:tcPr>
          <w:p w14:paraId="7A3AE5C6" w14:textId="5E3AF9FE" w:rsidR="00FC5F0F" w:rsidRPr="000860F1" w:rsidRDefault="00FC5F0F" w:rsidP="00FC5F0F">
            <w:pPr>
              <w:pStyle w:val="IPPArialTable"/>
            </w:pPr>
          </w:p>
        </w:tc>
      </w:tr>
      <w:tr w:rsidR="00FC5F0F" w:rsidRPr="000860F1" w14:paraId="5938AE47" w14:textId="77777777" w:rsidTr="00D1016B">
        <w:tc>
          <w:tcPr>
            <w:tcW w:w="5103" w:type="dxa"/>
            <w:tcBorders>
              <w:top w:val="single" w:sz="4" w:space="0" w:color="000000"/>
            </w:tcBorders>
            <w:shd w:val="clear" w:color="auto" w:fill="auto"/>
          </w:tcPr>
          <w:p w14:paraId="1D779261" w14:textId="179572E5" w:rsidR="00FC5F0F" w:rsidRPr="000860F1" w:rsidRDefault="00FC5F0F" w:rsidP="00FC5F0F">
            <w:pPr>
              <w:pStyle w:val="IPPArialTable"/>
            </w:pPr>
            <w:r w:rsidRPr="000860F1">
              <w:t>Initial denaturation</w:t>
            </w:r>
          </w:p>
        </w:tc>
        <w:tc>
          <w:tcPr>
            <w:tcW w:w="3828" w:type="dxa"/>
            <w:tcBorders>
              <w:top w:val="single" w:sz="4" w:space="0" w:color="000000"/>
            </w:tcBorders>
            <w:shd w:val="clear" w:color="auto" w:fill="auto"/>
          </w:tcPr>
          <w:p w14:paraId="0F375807" w14:textId="5B658B10" w:rsidR="00FC5F0F" w:rsidRPr="000860F1" w:rsidRDefault="00FC5F0F" w:rsidP="00DD7145">
            <w:pPr>
              <w:pStyle w:val="IPPArialTable"/>
            </w:pPr>
            <w:r w:rsidRPr="000860F1">
              <w:t>9</w:t>
            </w:r>
            <w:r w:rsidR="00DD7145" w:rsidRPr="000860F1">
              <w:t>4</w:t>
            </w:r>
            <w:r w:rsidRPr="000860F1">
              <w:t> °C for 1 min</w:t>
            </w:r>
          </w:p>
        </w:tc>
      </w:tr>
      <w:tr w:rsidR="00FC5F0F" w:rsidRPr="000860F1" w14:paraId="1F6B016A" w14:textId="77777777" w:rsidTr="00D1016B">
        <w:tc>
          <w:tcPr>
            <w:tcW w:w="5103" w:type="dxa"/>
            <w:shd w:val="clear" w:color="auto" w:fill="auto"/>
          </w:tcPr>
          <w:p w14:paraId="6E82BA4C" w14:textId="6194D6C7" w:rsidR="00FC5F0F" w:rsidRPr="000860F1" w:rsidRDefault="00FC5F0F" w:rsidP="00FC5F0F">
            <w:pPr>
              <w:pStyle w:val="IPPArialTable"/>
            </w:pPr>
            <w:r w:rsidRPr="000860F1">
              <w:t>Number of cycles</w:t>
            </w:r>
          </w:p>
        </w:tc>
        <w:tc>
          <w:tcPr>
            <w:tcW w:w="3828" w:type="dxa"/>
            <w:shd w:val="clear" w:color="auto" w:fill="auto"/>
          </w:tcPr>
          <w:p w14:paraId="2831F404" w14:textId="260074B3" w:rsidR="00FC5F0F" w:rsidRPr="000860F1" w:rsidRDefault="00FC5F0F" w:rsidP="00FC5F0F">
            <w:pPr>
              <w:pStyle w:val="IPPArialTable"/>
            </w:pPr>
            <w:r w:rsidRPr="000860F1">
              <w:t>40</w:t>
            </w:r>
          </w:p>
        </w:tc>
      </w:tr>
      <w:tr w:rsidR="00FC5F0F" w:rsidRPr="000860F1" w14:paraId="113CCCDC" w14:textId="77777777" w:rsidTr="00FC5F0F">
        <w:tc>
          <w:tcPr>
            <w:tcW w:w="5103" w:type="dxa"/>
            <w:shd w:val="clear" w:color="auto" w:fill="auto"/>
          </w:tcPr>
          <w:p w14:paraId="67220FAE" w14:textId="7A89B9C9" w:rsidR="00FC5F0F" w:rsidRPr="000860F1" w:rsidRDefault="00FC5F0F" w:rsidP="00A66AEE">
            <w:pPr>
              <w:pStyle w:val="IPPArialTable"/>
              <w:numPr>
                <w:ilvl w:val="0"/>
                <w:numId w:val="13"/>
              </w:numPr>
              <w:ind w:left="284" w:hanging="142"/>
            </w:pPr>
            <w:r w:rsidRPr="000860F1">
              <w:t>Denaturation</w:t>
            </w:r>
          </w:p>
        </w:tc>
        <w:tc>
          <w:tcPr>
            <w:tcW w:w="3828" w:type="dxa"/>
            <w:shd w:val="clear" w:color="auto" w:fill="auto"/>
          </w:tcPr>
          <w:p w14:paraId="20C06DB0" w14:textId="10A94E28" w:rsidR="00FC5F0F" w:rsidRPr="000860F1" w:rsidRDefault="00FC5F0F" w:rsidP="00DD7145">
            <w:pPr>
              <w:pStyle w:val="IPPArialTable"/>
            </w:pPr>
            <w:r w:rsidRPr="000860F1">
              <w:t>9</w:t>
            </w:r>
            <w:r w:rsidR="00DD7145" w:rsidRPr="000860F1">
              <w:t>4</w:t>
            </w:r>
            <w:r w:rsidRPr="000860F1">
              <w:t xml:space="preserve"> °C for </w:t>
            </w:r>
            <w:r w:rsidR="00DD7145" w:rsidRPr="000860F1">
              <w:t>1</w:t>
            </w:r>
            <w:r w:rsidR="008F4F22" w:rsidRPr="000860F1">
              <w:t> </w:t>
            </w:r>
            <w:r w:rsidR="00DD7145" w:rsidRPr="000860F1">
              <w:t>min</w:t>
            </w:r>
          </w:p>
        </w:tc>
      </w:tr>
      <w:tr w:rsidR="00FC5F0F" w:rsidRPr="000860F1" w14:paraId="3A811178" w14:textId="77777777" w:rsidTr="00FC5F0F">
        <w:tc>
          <w:tcPr>
            <w:tcW w:w="5103" w:type="dxa"/>
            <w:shd w:val="clear" w:color="auto" w:fill="auto"/>
          </w:tcPr>
          <w:p w14:paraId="648BD82E" w14:textId="4A280B01" w:rsidR="00FC5F0F" w:rsidRPr="000860F1" w:rsidRDefault="00FC5F0F" w:rsidP="00A66AEE">
            <w:pPr>
              <w:pStyle w:val="IPPArialTable"/>
              <w:numPr>
                <w:ilvl w:val="0"/>
                <w:numId w:val="13"/>
              </w:numPr>
              <w:ind w:left="284" w:hanging="142"/>
            </w:pPr>
            <w:r w:rsidRPr="000860F1">
              <w:t>Annealing</w:t>
            </w:r>
          </w:p>
        </w:tc>
        <w:tc>
          <w:tcPr>
            <w:tcW w:w="3828" w:type="dxa"/>
            <w:shd w:val="clear" w:color="auto" w:fill="auto"/>
          </w:tcPr>
          <w:p w14:paraId="63F148C1" w14:textId="7D3B0139" w:rsidR="00FC5F0F" w:rsidRPr="000860F1" w:rsidRDefault="00471DF0" w:rsidP="00DD7145">
            <w:pPr>
              <w:pStyle w:val="IPPArialTable"/>
            </w:pPr>
            <w:r w:rsidRPr="000860F1">
              <w:t>67</w:t>
            </w:r>
            <w:r w:rsidR="00FC5F0F" w:rsidRPr="000860F1">
              <w:t xml:space="preserve"> °C for </w:t>
            </w:r>
            <w:r w:rsidR="00DD7145" w:rsidRPr="000860F1">
              <w:t>1</w:t>
            </w:r>
            <w:r w:rsidR="008F4F22" w:rsidRPr="000860F1">
              <w:t> </w:t>
            </w:r>
            <w:r w:rsidR="00DD7145" w:rsidRPr="000860F1">
              <w:t>min</w:t>
            </w:r>
          </w:p>
        </w:tc>
      </w:tr>
      <w:tr w:rsidR="00FC5F0F" w:rsidRPr="000860F1" w14:paraId="6001017A" w14:textId="77777777" w:rsidTr="00D1016B">
        <w:tc>
          <w:tcPr>
            <w:tcW w:w="5103" w:type="dxa"/>
            <w:shd w:val="clear" w:color="auto" w:fill="auto"/>
          </w:tcPr>
          <w:p w14:paraId="0487FE04" w14:textId="5BAADC12" w:rsidR="00FC5F0F" w:rsidRPr="000860F1" w:rsidRDefault="00FC5F0F" w:rsidP="00A66AEE">
            <w:pPr>
              <w:pStyle w:val="IPPArialTable"/>
              <w:numPr>
                <w:ilvl w:val="0"/>
                <w:numId w:val="13"/>
              </w:numPr>
              <w:ind w:left="284" w:hanging="142"/>
            </w:pPr>
            <w:r w:rsidRPr="000860F1">
              <w:t>Elongation</w:t>
            </w:r>
          </w:p>
        </w:tc>
        <w:tc>
          <w:tcPr>
            <w:tcW w:w="3828" w:type="dxa"/>
            <w:shd w:val="clear" w:color="auto" w:fill="auto"/>
          </w:tcPr>
          <w:p w14:paraId="702895A0" w14:textId="44C97BD3" w:rsidR="00FC5F0F" w:rsidRPr="000860F1" w:rsidRDefault="00FC5F0F" w:rsidP="00DD7145">
            <w:pPr>
              <w:pStyle w:val="IPPArialTable"/>
            </w:pPr>
            <w:r w:rsidRPr="000860F1">
              <w:t xml:space="preserve">72 °C for </w:t>
            </w:r>
            <w:r w:rsidR="00DD7145" w:rsidRPr="000860F1">
              <w:t>1</w:t>
            </w:r>
            <w:r w:rsidR="008F4F22" w:rsidRPr="000860F1">
              <w:t> </w:t>
            </w:r>
            <w:r w:rsidR="00DD7145" w:rsidRPr="000860F1">
              <w:t>min</w:t>
            </w:r>
          </w:p>
        </w:tc>
      </w:tr>
      <w:tr w:rsidR="00FC5F0F" w:rsidRPr="000860F1" w14:paraId="747D2211" w14:textId="77777777" w:rsidTr="00D1016B">
        <w:tc>
          <w:tcPr>
            <w:tcW w:w="5103" w:type="dxa"/>
            <w:tcBorders>
              <w:bottom w:val="single" w:sz="4" w:space="0" w:color="000000"/>
            </w:tcBorders>
            <w:shd w:val="clear" w:color="auto" w:fill="auto"/>
          </w:tcPr>
          <w:p w14:paraId="21A283F5" w14:textId="00A02CF7" w:rsidR="00FC5F0F" w:rsidRPr="000860F1" w:rsidRDefault="00FC5F0F" w:rsidP="00FC5F0F">
            <w:pPr>
              <w:pStyle w:val="IPPArialTable"/>
            </w:pPr>
            <w:r w:rsidRPr="000860F1">
              <w:t>Final elongation</w:t>
            </w:r>
          </w:p>
        </w:tc>
        <w:tc>
          <w:tcPr>
            <w:tcW w:w="3828" w:type="dxa"/>
            <w:tcBorders>
              <w:bottom w:val="single" w:sz="4" w:space="0" w:color="000000"/>
            </w:tcBorders>
            <w:shd w:val="clear" w:color="auto" w:fill="auto"/>
          </w:tcPr>
          <w:p w14:paraId="72AD1149" w14:textId="1BE9B502" w:rsidR="00FC5F0F" w:rsidRPr="000860F1" w:rsidRDefault="00FC5F0F" w:rsidP="00DD7145">
            <w:pPr>
              <w:pStyle w:val="IPPArialTable"/>
            </w:pPr>
            <w:r w:rsidRPr="000860F1">
              <w:t xml:space="preserve">72 °C for </w:t>
            </w:r>
            <w:r w:rsidR="00DD7145" w:rsidRPr="000860F1">
              <w:t>10</w:t>
            </w:r>
            <w:r w:rsidRPr="000860F1">
              <w:t> min</w:t>
            </w:r>
          </w:p>
        </w:tc>
      </w:tr>
      <w:tr w:rsidR="00FC5F0F" w:rsidRPr="000860F1" w14:paraId="34E5CDD0" w14:textId="77777777" w:rsidTr="00FC5F0F">
        <w:tc>
          <w:tcPr>
            <w:tcW w:w="5103" w:type="dxa"/>
            <w:tcBorders>
              <w:top w:val="single" w:sz="4" w:space="0" w:color="000000"/>
              <w:bottom w:val="single" w:sz="4" w:space="0" w:color="000000"/>
            </w:tcBorders>
            <w:shd w:val="clear" w:color="auto" w:fill="BFBFBF" w:themeFill="background1" w:themeFillShade="BF"/>
          </w:tcPr>
          <w:p w14:paraId="7F90CC73" w14:textId="6FD1C6D2" w:rsidR="00FC5F0F" w:rsidRPr="000860F1" w:rsidRDefault="00FC5F0F" w:rsidP="00FC5F0F">
            <w:pPr>
              <w:pStyle w:val="IPPArialTable"/>
              <w:rPr>
                <w:b/>
              </w:rPr>
            </w:pPr>
            <w:r w:rsidRPr="000860F1">
              <w:rPr>
                <w:b/>
              </w:rPr>
              <w:t>Expected amplicons</w:t>
            </w:r>
          </w:p>
        </w:tc>
        <w:tc>
          <w:tcPr>
            <w:tcW w:w="3828" w:type="dxa"/>
            <w:tcBorders>
              <w:top w:val="single" w:sz="4" w:space="0" w:color="000000"/>
              <w:bottom w:val="single" w:sz="4" w:space="0" w:color="000000"/>
            </w:tcBorders>
            <w:shd w:val="clear" w:color="auto" w:fill="BFBFBF" w:themeFill="background1" w:themeFillShade="BF"/>
          </w:tcPr>
          <w:p w14:paraId="710055BB" w14:textId="5DC55B5D" w:rsidR="00FC5F0F" w:rsidRPr="000860F1" w:rsidRDefault="00FC5F0F" w:rsidP="00FC5F0F">
            <w:pPr>
              <w:pStyle w:val="IPPArialTable"/>
            </w:pPr>
          </w:p>
        </w:tc>
      </w:tr>
      <w:tr w:rsidR="00FC5F0F" w:rsidRPr="000860F1" w14:paraId="349B9CA4" w14:textId="77777777" w:rsidTr="00FC5F0F">
        <w:tc>
          <w:tcPr>
            <w:tcW w:w="5103" w:type="dxa"/>
            <w:tcBorders>
              <w:top w:val="single" w:sz="4" w:space="0" w:color="000000"/>
              <w:bottom w:val="single" w:sz="4" w:space="0" w:color="000000"/>
            </w:tcBorders>
            <w:shd w:val="clear" w:color="auto" w:fill="auto"/>
          </w:tcPr>
          <w:p w14:paraId="6F15672C" w14:textId="774EE4C2" w:rsidR="00FC5F0F" w:rsidRPr="000860F1" w:rsidRDefault="00FC5F0F" w:rsidP="00FC5F0F">
            <w:pPr>
              <w:pStyle w:val="IPPArialTable"/>
            </w:pPr>
            <w:r w:rsidRPr="000860F1">
              <w:t>Size</w:t>
            </w:r>
          </w:p>
        </w:tc>
        <w:tc>
          <w:tcPr>
            <w:tcW w:w="3828" w:type="dxa"/>
            <w:tcBorders>
              <w:top w:val="single" w:sz="4" w:space="0" w:color="000000"/>
              <w:bottom w:val="single" w:sz="4" w:space="0" w:color="000000"/>
            </w:tcBorders>
            <w:shd w:val="clear" w:color="auto" w:fill="auto"/>
          </w:tcPr>
          <w:p w14:paraId="2323EF2F" w14:textId="4099C4C9" w:rsidR="00FC5F0F" w:rsidRPr="000860F1" w:rsidRDefault="002D48B0" w:rsidP="0003262D">
            <w:pPr>
              <w:pStyle w:val="IPPArialTable"/>
            </w:pPr>
            <w:r w:rsidRPr="000860F1">
              <w:t>500</w:t>
            </w:r>
            <w:r w:rsidR="00DA19AC" w:rsidRPr="000860F1">
              <w:t> </w:t>
            </w:r>
            <w:r w:rsidR="00FC5F0F" w:rsidRPr="000860F1">
              <w:t>bp</w:t>
            </w:r>
          </w:p>
        </w:tc>
      </w:tr>
    </w:tbl>
    <w:p w14:paraId="65EE4DEC" w14:textId="42F7BB20" w:rsidR="003F32B9" w:rsidRPr="000860F1" w:rsidRDefault="003F32B9" w:rsidP="003F32B9">
      <w:pPr>
        <w:pStyle w:val="IPPArialFootnote"/>
        <w:rPr>
          <w:rStyle w:val="PleaseReviewParagraphId"/>
        </w:rPr>
      </w:pPr>
      <w:r w:rsidRPr="000860F1">
        <w:rPr>
          <w:vertAlign w:val="superscript"/>
        </w:rPr>
        <w:t>†</w:t>
      </w:r>
      <w:r w:rsidRPr="000860F1">
        <w:t xml:space="preserve"> For a final reaction volume of 20 </w:t>
      </w:r>
      <w:r w:rsidR="0075067D" w:rsidRPr="000860F1">
        <w:rPr>
          <w:rFonts w:cs="Arial"/>
        </w:rPr>
        <w:t>µ</w:t>
      </w:r>
      <w:r w:rsidR="0075067D">
        <w:t>L</w:t>
      </w:r>
      <w:r w:rsidRPr="000860F1">
        <w:t>.</w:t>
      </w:r>
    </w:p>
    <w:p w14:paraId="24488918" w14:textId="56A3D319" w:rsidR="00FC5F0F" w:rsidRPr="00A66AEE" w:rsidRDefault="00FC5F0F" w:rsidP="00A66AEE">
      <w:pPr>
        <w:pStyle w:val="IPPArialFootnote"/>
        <w:spacing w:after="180"/>
        <w:rPr>
          <w:rStyle w:val="PleaseReviewParagraphId"/>
          <w:color w:val="auto"/>
        </w:rPr>
      </w:pPr>
      <w:r w:rsidRPr="00B70439">
        <w:t xml:space="preserve">bp, base pairs; </w:t>
      </w:r>
      <w:r w:rsidR="00E31BBD" w:rsidRPr="00B70439">
        <w:rPr>
          <w:rStyle w:val="PleaseReviewParagraphId"/>
          <w:color w:val="auto"/>
        </w:rPr>
        <w:t>PCR, polymerase chain reaction</w:t>
      </w:r>
      <w:r w:rsidRPr="00256A9A">
        <w:t>.</w:t>
      </w:r>
    </w:p>
    <w:p w14:paraId="66640FD8" w14:textId="65E657F9" w:rsidR="008E6998" w:rsidRPr="000860F1" w:rsidRDefault="000330D6" w:rsidP="00D1016B">
      <w:pPr>
        <w:pStyle w:val="IPPHeading2"/>
        <w:rPr>
          <w:i/>
        </w:rPr>
      </w:pPr>
      <w:bookmarkStart w:id="42" w:name="_Toc111710138"/>
      <w:r w:rsidRPr="000860F1">
        <w:t>3.4.</w:t>
      </w:r>
      <w:r w:rsidR="00E004BE" w:rsidRPr="000860F1">
        <w:t>5</w:t>
      </w:r>
      <w:r w:rsidRPr="000860F1">
        <w:tab/>
        <w:t xml:space="preserve">Conventional PCR using the primers of Rodrigues </w:t>
      </w:r>
      <w:r w:rsidRPr="000860F1">
        <w:rPr>
          <w:i/>
        </w:rPr>
        <w:t>et al.</w:t>
      </w:r>
      <w:r w:rsidRPr="000860F1">
        <w:t xml:space="preserve"> (2003)</w:t>
      </w:r>
      <w:bookmarkEnd w:id="42"/>
    </w:p>
    <w:p w14:paraId="27C0C755" w14:textId="016C8D9A" w:rsidR="008E6998" w:rsidRPr="000860F1" w:rsidRDefault="000330D6" w:rsidP="004C1B1F">
      <w:pPr>
        <w:pStyle w:val="IPPParagraphnumbering"/>
        <w:rPr>
          <w:i/>
        </w:rPr>
      </w:pPr>
      <w:r w:rsidRPr="000860F1">
        <w:t xml:space="preserve">The PCR based on primers for the 16S ribosomal (r)RNA and </w:t>
      </w:r>
      <w:r w:rsidRPr="000860F1">
        <w:rPr>
          <w:i/>
        </w:rPr>
        <w:t>gyrB</w:t>
      </w:r>
      <w:r w:rsidRPr="000860F1">
        <w:t xml:space="preserve"> genes was developed by Rodrigues </w:t>
      </w:r>
      <w:r w:rsidRPr="000860F1">
        <w:rPr>
          <w:i/>
        </w:rPr>
        <w:t>et al.</w:t>
      </w:r>
      <w:r w:rsidRPr="000860F1">
        <w:t xml:space="preserve"> (2003). The 16S rRNA gene-targeted primers (sets A, B, C), the </w:t>
      </w:r>
      <w:r w:rsidRPr="000860F1">
        <w:rPr>
          <w:i/>
        </w:rPr>
        <w:t>gyrB</w:t>
      </w:r>
      <w:r w:rsidRPr="000860F1">
        <w:t xml:space="preserve"> gene-targeted primers (FXYgyr499 and RXYgyr907) and the multiplex PCR (16SrRNA and </w:t>
      </w:r>
      <w:r w:rsidRPr="000860F1">
        <w:rPr>
          <w:i/>
        </w:rPr>
        <w:t>gyrB</w:t>
      </w:r>
      <w:r w:rsidRPr="000860F1">
        <w:t xml:space="preserve"> primers combined) were evaluated using 30 </w:t>
      </w:r>
      <w:r w:rsidRPr="000860F1">
        <w:rPr>
          <w:i/>
        </w:rPr>
        <w:t>X. fastidiosa</w:t>
      </w:r>
      <w:r w:rsidRPr="000860F1">
        <w:t xml:space="preserve"> strains from different plant hosts and 36 closely related or host related non-target bacterial strains. </w:t>
      </w:r>
      <w:r w:rsidR="00545173" w:rsidRPr="000860F1">
        <w:t xml:space="preserve">The specific </w:t>
      </w:r>
      <w:r w:rsidR="002B32D4" w:rsidRPr="000860F1">
        <w:t xml:space="preserve">sets of </w:t>
      </w:r>
      <w:r w:rsidR="00545173" w:rsidRPr="000860F1">
        <w:t xml:space="preserve">primers for the 16S rRNA or </w:t>
      </w:r>
      <w:r w:rsidR="00545173" w:rsidRPr="000860F1">
        <w:rPr>
          <w:i/>
        </w:rPr>
        <w:t>gyrB</w:t>
      </w:r>
      <w:r w:rsidR="00545173" w:rsidRPr="000860F1">
        <w:t xml:space="preserve"> genes can be used as either single or multiplex PCR. </w:t>
      </w:r>
      <w:r w:rsidRPr="000860F1">
        <w:t xml:space="preserve">The analytical sensitivity for the multiplex PCR is </w:t>
      </w:r>
      <w:r w:rsidR="00545173" w:rsidRPr="000860F1">
        <w:t xml:space="preserve">similar to the </w:t>
      </w:r>
      <w:r w:rsidR="008268D5" w:rsidRPr="000860F1">
        <w:t>si</w:t>
      </w:r>
      <w:r w:rsidR="008268D5">
        <w:t>m</w:t>
      </w:r>
      <w:r w:rsidR="008268D5" w:rsidRPr="000860F1">
        <w:t xml:space="preserve">plex </w:t>
      </w:r>
      <w:r w:rsidR="00545173" w:rsidRPr="000860F1">
        <w:t>reactions</w:t>
      </w:r>
      <w:r w:rsidR="00C57F5E">
        <w:t>,</w:t>
      </w:r>
      <w:r w:rsidR="00545173" w:rsidRPr="000860F1">
        <w:t xml:space="preserve"> which is </w:t>
      </w:r>
      <w:r w:rsidRPr="000860F1">
        <w:t>approximately 10</w:t>
      </w:r>
      <w:r w:rsidRPr="000860F1">
        <w:rPr>
          <w:vertAlign w:val="superscript"/>
        </w:rPr>
        <w:t>2</w:t>
      </w:r>
      <w:r w:rsidRPr="000860F1">
        <w:t> cfu/</w:t>
      </w:r>
      <w:r w:rsidR="00D415AF">
        <w:t>mL</w:t>
      </w:r>
      <w:r w:rsidRPr="000860F1">
        <w:t>.</w:t>
      </w:r>
    </w:p>
    <w:p w14:paraId="29ABD701" w14:textId="462E932B" w:rsidR="008E6998" w:rsidRPr="000860F1" w:rsidRDefault="000330D6" w:rsidP="004C1B1F">
      <w:pPr>
        <w:pStyle w:val="IPPParagraphnumbering"/>
        <w:rPr>
          <w:i/>
        </w:rPr>
      </w:pPr>
      <w:r w:rsidRPr="000860F1">
        <w:t>The 16S rRNA gene-targeted primers are as follows.</w:t>
      </w:r>
    </w:p>
    <w:p w14:paraId="40641402" w14:textId="03D0BE3A" w:rsidR="008E6998" w:rsidRPr="000860F1" w:rsidRDefault="000330D6" w:rsidP="004C1B1F">
      <w:pPr>
        <w:pStyle w:val="IPPParagraphnumbering"/>
        <w:rPr>
          <w:i/>
        </w:rPr>
      </w:pPr>
      <w:r w:rsidRPr="000860F1">
        <w:t>Set A:</w:t>
      </w:r>
    </w:p>
    <w:p w14:paraId="5A6077FA" w14:textId="7A1E763B" w:rsidR="008E6998" w:rsidRPr="004C1B1F" w:rsidRDefault="000330D6" w:rsidP="004C1B1F">
      <w:pPr>
        <w:spacing w:line="276" w:lineRule="auto"/>
        <w:ind w:left="720"/>
      </w:pPr>
      <w:r w:rsidRPr="004C1B1F">
        <w:t>S-S-X.fas-0067-a-S-19 (forward): 5′-CGG CAG CAC ATT GGT AGT A-3′</w:t>
      </w:r>
    </w:p>
    <w:p w14:paraId="41E79733" w14:textId="7DAABA5A" w:rsidR="008E6998" w:rsidRPr="004C1B1F" w:rsidRDefault="000330D6" w:rsidP="004C1B1F">
      <w:pPr>
        <w:spacing w:line="276" w:lineRule="auto"/>
        <w:ind w:left="720"/>
      </w:pPr>
      <w:r w:rsidRPr="004C1B1F">
        <w:t>S-S-X.fas-1439-a-A-19 (reverse): 5′-CTC CTC GCG GTT AAG CTA C-3′</w:t>
      </w:r>
    </w:p>
    <w:p w14:paraId="6CA05026" w14:textId="19BC17E4" w:rsidR="008E6998" w:rsidRPr="004C1B1F" w:rsidRDefault="000330D6" w:rsidP="004C1B1F">
      <w:pPr>
        <w:spacing w:line="276" w:lineRule="auto"/>
        <w:ind w:left="720"/>
      </w:pPr>
      <w:r w:rsidRPr="004C1B1F">
        <w:t>Primer set A amplifies a product of 1348 bp.</w:t>
      </w:r>
    </w:p>
    <w:p w14:paraId="5D2FACBA" w14:textId="2F769590" w:rsidR="008E6998" w:rsidRPr="000860F1" w:rsidRDefault="000330D6" w:rsidP="004C1B1F">
      <w:pPr>
        <w:pStyle w:val="IPPParagraphnumbering"/>
        <w:rPr>
          <w:i/>
        </w:rPr>
      </w:pPr>
      <w:r w:rsidRPr="000860F1">
        <w:t>Set B:</w:t>
      </w:r>
    </w:p>
    <w:p w14:paraId="09023D35" w14:textId="2E1A9036" w:rsidR="008E6998" w:rsidRPr="000860F1" w:rsidRDefault="000330D6" w:rsidP="00D1016B">
      <w:pPr>
        <w:pStyle w:val="IPPIndentClose"/>
      </w:pPr>
      <w:r w:rsidRPr="000860F1">
        <w:t>S-S-X.fas-0067-a-S-19 (forward): 5</w:t>
      </w:r>
      <w:r w:rsidRPr="000860F1">
        <w:rPr>
          <w:szCs w:val="22"/>
        </w:rPr>
        <w:t>′</w:t>
      </w:r>
      <w:r w:rsidRPr="000860F1">
        <w:t>-CGG CAG CAC ATT GGT AGT A-3</w:t>
      </w:r>
      <w:r w:rsidRPr="000860F1">
        <w:rPr>
          <w:szCs w:val="22"/>
        </w:rPr>
        <w:t>′</w:t>
      </w:r>
    </w:p>
    <w:p w14:paraId="35F2C15E" w14:textId="4C1B3851" w:rsidR="008E6998" w:rsidRPr="000860F1" w:rsidRDefault="000330D6" w:rsidP="00D1016B">
      <w:pPr>
        <w:pStyle w:val="IPPIndentClose"/>
        <w:rPr>
          <w:i/>
        </w:rPr>
      </w:pPr>
      <w:r w:rsidRPr="000860F1">
        <w:t>S-S-X.fas-0838-a-A-21 (reverse): 5</w:t>
      </w:r>
      <w:r w:rsidRPr="000860F1">
        <w:rPr>
          <w:szCs w:val="22"/>
        </w:rPr>
        <w:t>′</w:t>
      </w:r>
      <w:r w:rsidRPr="000860F1">
        <w:t>-</w:t>
      </w:r>
      <w:r w:rsidRPr="000860F1">
        <w:rPr>
          <w:rFonts w:eastAsiaTheme="minorHAnsi"/>
        </w:rPr>
        <w:t>C</w:t>
      </w:r>
      <w:r w:rsidRPr="000860F1">
        <w:t>GA TAC TGA GTG CCA ATT TGC</w:t>
      </w:r>
      <w:r w:rsidRPr="000860F1">
        <w:rPr>
          <w:rFonts w:eastAsiaTheme="minorHAnsi"/>
        </w:rPr>
        <w:t>-3</w:t>
      </w:r>
      <w:r w:rsidRPr="000860F1">
        <w:rPr>
          <w:szCs w:val="22"/>
        </w:rPr>
        <w:t>′</w:t>
      </w:r>
    </w:p>
    <w:p w14:paraId="3CF105F2" w14:textId="4B4C46F4" w:rsidR="008E6998" w:rsidRPr="000860F1" w:rsidRDefault="000330D6" w:rsidP="00D1016B">
      <w:pPr>
        <w:pStyle w:val="IPPIndent"/>
        <w:rPr>
          <w:i/>
        </w:rPr>
      </w:pPr>
      <w:r w:rsidRPr="000860F1">
        <w:t>Primer set B amplifies a product of 745 bp.</w:t>
      </w:r>
    </w:p>
    <w:p w14:paraId="057DE3BE" w14:textId="484ADC13" w:rsidR="008E6998" w:rsidRPr="000860F1" w:rsidRDefault="000330D6" w:rsidP="004C1B1F">
      <w:pPr>
        <w:pStyle w:val="IPPParagraphnumbering"/>
        <w:rPr>
          <w:i/>
        </w:rPr>
      </w:pPr>
      <w:r w:rsidRPr="000860F1">
        <w:t>Set C:</w:t>
      </w:r>
    </w:p>
    <w:p w14:paraId="4996A6CC" w14:textId="7AE9B225" w:rsidR="008E6998" w:rsidRPr="000860F1" w:rsidRDefault="000330D6" w:rsidP="00D1016B">
      <w:pPr>
        <w:pStyle w:val="IPPIndentClose"/>
        <w:rPr>
          <w:rFonts w:eastAsiaTheme="minorHAnsi"/>
        </w:rPr>
      </w:pPr>
      <w:r w:rsidRPr="000860F1">
        <w:t>S-S-X.fas-0838-a-S-21 (forward): 5</w:t>
      </w:r>
      <w:r w:rsidRPr="000860F1">
        <w:rPr>
          <w:szCs w:val="22"/>
        </w:rPr>
        <w:t>′</w:t>
      </w:r>
      <w:r w:rsidRPr="000860F1">
        <w:t>-GCA AAT TGG CAC TCA GTA TCG</w:t>
      </w:r>
      <w:r w:rsidRPr="000860F1">
        <w:rPr>
          <w:rFonts w:eastAsiaTheme="minorHAnsi"/>
        </w:rPr>
        <w:t>-3</w:t>
      </w:r>
      <w:r w:rsidRPr="000860F1">
        <w:rPr>
          <w:szCs w:val="22"/>
        </w:rPr>
        <w:t>′</w:t>
      </w:r>
    </w:p>
    <w:p w14:paraId="3389B17C" w14:textId="72642F32" w:rsidR="008E6998" w:rsidRPr="000860F1" w:rsidRDefault="000330D6" w:rsidP="00D1016B">
      <w:pPr>
        <w:pStyle w:val="IPPIndentClose"/>
        <w:rPr>
          <w:i/>
        </w:rPr>
      </w:pPr>
      <w:r w:rsidRPr="000860F1">
        <w:t>S-S-X.fas-1439-a-A-19 (reverse): 5</w:t>
      </w:r>
      <w:r w:rsidRPr="000860F1">
        <w:rPr>
          <w:szCs w:val="22"/>
        </w:rPr>
        <w:t>′</w:t>
      </w:r>
      <w:r w:rsidRPr="000860F1">
        <w:t>-CTC CTC GCG GTT AAG CTA C</w:t>
      </w:r>
      <w:r w:rsidRPr="000860F1">
        <w:rPr>
          <w:rFonts w:eastAsiaTheme="minorHAnsi"/>
        </w:rPr>
        <w:t>-3</w:t>
      </w:r>
      <w:r w:rsidRPr="000860F1">
        <w:rPr>
          <w:szCs w:val="22"/>
        </w:rPr>
        <w:t>′</w:t>
      </w:r>
    </w:p>
    <w:p w14:paraId="446A9F90" w14:textId="087397D0" w:rsidR="008E6998" w:rsidRPr="000860F1" w:rsidRDefault="000330D6" w:rsidP="00D1016B">
      <w:pPr>
        <w:pStyle w:val="IPPIndent"/>
      </w:pPr>
      <w:r w:rsidRPr="000860F1">
        <w:t>Primer set C amplifies a product of 603 bp.</w:t>
      </w:r>
    </w:p>
    <w:p w14:paraId="49783606" w14:textId="1E74D46E" w:rsidR="008E6998" w:rsidRPr="000860F1" w:rsidRDefault="000330D6" w:rsidP="004C1B1F">
      <w:pPr>
        <w:pStyle w:val="IPPParagraphnumbering"/>
      </w:pPr>
      <w:r w:rsidRPr="000860F1">
        <w:t xml:space="preserve">The master mix </w:t>
      </w:r>
      <w:r w:rsidR="00511755" w:rsidRPr="000860F1">
        <w:t xml:space="preserve">and PCR conditions </w:t>
      </w:r>
      <w:r w:rsidRPr="000860F1">
        <w:t xml:space="preserve">for </w:t>
      </w:r>
      <w:r w:rsidR="002B32D4" w:rsidRPr="000860F1">
        <w:t xml:space="preserve">the </w:t>
      </w:r>
      <w:r w:rsidRPr="000860F1">
        <w:t xml:space="preserve">Rodrigues </w:t>
      </w:r>
      <w:r w:rsidRPr="000860F1">
        <w:rPr>
          <w:i/>
        </w:rPr>
        <w:t>et al</w:t>
      </w:r>
      <w:r w:rsidRPr="000860F1">
        <w:t xml:space="preserve">. primers (sets A, B, C) </w:t>
      </w:r>
      <w:r w:rsidR="00511755" w:rsidRPr="000860F1">
        <w:t>are</w:t>
      </w:r>
      <w:r w:rsidRPr="000860F1">
        <w:t xml:space="preserve"> described in Table </w:t>
      </w:r>
      <w:r w:rsidR="008D3BD9">
        <w:t>6</w:t>
      </w:r>
      <w:r w:rsidRPr="000860F1">
        <w:t>.</w:t>
      </w:r>
      <w:r w:rsidR="00511755" w:rsidRPr="000860F1">
        <w:t xml:space="preserve"> Multiplex PCR conditions are maintained as described except with 0.2 and 0.4</w:t>
      </w:r>
      <w:r w:rsidR="00BD24C8" w:rsidRPr="000860F1">
        <w:t> </w:t>
      </w:r>
      <w:r w:rsidR="00511755" w:rsidRPr="000860F1">
        <w:t xml:space="preserve">µM concentrations of each 16S rRNA and </w:t>
      </w:r>
      <w:r w:rsidR="00511755" w:rsidRPr="000860F1">
        <w:rPr>
          <w:i/>
        </w:rPr>
        <w:t>gyrB</w:t>
      </w:r>
      <w:r w:rsidR="00511755" w:rsidRPr="000860F1">
        <w:t xml:space="preserve"> primer, respectively.</w:t>
      </w:r>
    </w:p>
    <w:p w14:paraId="23BD4E70" w14:textId="3DC048B1" w:rsidR="008E6998" w:rsidRPr="000860F1" w:rsidRDefault="000330D6" w:rsidP="00D1016B">
      <w:pPr>
        <w:pStyle w:val="IPPArial"/>
        <w:keepNext/>
        <w:spacing w:after="120"/>
      </w:pPr>
      <w:r w:rsidRPr="000860F1">
        <w:rPr>
          <w:b/>
        </w:rPr>
        <w:t>Table </w:t>
      </w:r>
      <w:r w:rsidR="00EF03FA">
        <w:rPr>
          <w:b/>
        </w:rPr>
        <w:t>6</w:t>
      </w:r>
      <w:r w:rsidRPr="000860F1">
        <w:rPr>
          <w:b/>
        </w:rPr>
        <w:t>.</w:t>
      </w:r>
      <w:r w:rsidRPr="000860F1">
        <w:t xml:space="preserve"> Master mix composition</w:t>
      </w:r>
      <w:r w:rsidR="00A50C1E" w:rsidRPr="000860F1">
        <w:t>,</w:t>
      </w:r>
      <w:r w:rsidRPr="000860F1">
        <w:t xml:space="preserve"> cycling </w:t>
      </w:r>
      <w:r w:rsidR="00B50B08" w:rsidRPr="000860F1">
        <w:t>parameters</w:t>
      </w:r>
      <w:r w:rsidRPr="000860F1">
        <w:t xml:space="preserve"> </w:t>
      </w:r>
      <w:r w:rsidR="00A50C1E" w:rsidRPr="000860F1">
        <w:t xml:space="preserve">and amplicons </w:t>
      </w:r>
      <w:r w:rsidRPr="000860F1">
        <w:t xml:space="preserve">for </w:t>
      </w:r>
      <w:r w:rsidR="00B50B08" w:rsidRPr="000860F1">
        <w:t xml:space="preserve">conventional PCR using the </w:t>
      </w:r>
      <w:r w:rsidR="00863E7B" w:rsidRPr="000860F1">
        <w:t xml:space="preserve">16S rRNA gene-targeted </w:t>
      </w:r>
      <w:r w:rsidR="00B50B08" w:rsidRPr="000860F1">
        <w:t xml:space="preserve">primers of Rodrigues </w:t>
      </w:r>
      <w:r w:rsidR="00B50B08" w:rsidRPr="000860F1">
        <w:rPr>
          <w:i/>
        </w:rPr>
        <w:t>et</w:t>
      </w:r>
      <w:r w:rsidR="000019EF" w:rsidRPr="000860F1">
        <w:rPr>
          <w:rFonts w:cs="Arial"/>
          <w:i/>
        </w:rPr>
        <w:t> </w:t>
      </w:r>
      <w:r w:rsidR="00B50B08" w:rsidRPr="000860F1">
        <w:rPr>
          <w:i/>
        </w:rPr>
        <w:t>al.</w:t>
      </w:r>
      <w:r w:rsidR="00B50B08" w:rsidRPr="000860F1">
        <w:t xml:space="preserve"> (2003)</w:t>
      </w:r>
    </w:p>
    <w:tbl>
      <w:tblPr>
        <w:tblW w:w="8931" w:type="dxa"/>
        <w:tblLayout w:type="fixed"/>
        <w:tblLook w:val="0000" w:firstRow="0" w:lastRow="0" w:firstColumn="0" w:lastColumn="0" w:noHBand="0" w:noVBand="0"/>
      </w:tblPr>
      <w:tblGrid>
        <w:gridCol w:w="5103"/>
        <w:gridCol w:w="3828"/>
      </w:tblGrid>
      <w:tr w:rsidR="008E6998" w:rsidRPr="000860F1" w14:paraId="0671CF87" w14:textId="77777777">
        <w:tc>
          <w:tcPr>
            <w:tcW w:w="5103" w:type="dxa"/>
            <w:tcBorders>
              <w:top w:val="single" w:sz="4" w:space="0" w:color="000000"/>
              <w:bottom w:val="single" w:sz="4" w:space="0" w:color="000000"/>
            </w:tcBorders>
            <w:shd w:val="clear" w:color="auto" w:fill="BFBFBF"/>
          </w:tcPr>
          <w:p w14:paraId="3076D264" w14:textId="6E3F7860" w:rsidR="008E6998" w:rsidRPr="000860F1" w:rsidRDefault="000330D6">
            <w:pPr>
              <w:pStyle w:val="IPPArialTable"/>
              <w:rPr>
                <w:b/>
              </w:rPr>
            </w:pPr>
            <w:r w:rsidRPr="000860F1">
              <w:rPr>
                <w:b/>
              </w:rPr>
              <w:t>Reagents</w:t>
            </w:r>
          </w:p>
        </w:tc>
        <w:tc>
          <w:tcPr>
            <w:tcW w:w="3828" w:type="dxa"/>
            <w:tcBorders>
              <w:top w:val="single" w:sz="4" w:space="0" w:color="000000"/>
              <w:bottom w:val="single" w:sz="4" w:space="0" w:color="000000"/>
            </w:tcBorders>
            <w:shd w:val="clear" w:color="auto" w:fill="BFBFBF"/>
          </w:tcPr>
          <w:p w14:paraId="5972068A" w14:textId="13F9E25B" w:rsidR="008E6998" w:rsidRPr="000860F1" w:rsidRDefault="000330D6">
            <w:pPr>
              <w:pStyle w:val="IPPArialTable"/>
              <w:rPr>
                <w:b/>
              </w:rPr>
            </w:pPr>
            <w:r w:rsidRPr="000860F1">
              <w:rPr>
                <w:b/>
              </w:rPr>
              <w:t>Final concentration</w:t>
            </w:r>
          </w:p>
        </w:tc>
      </w:tr>
      <w:tr w:rsidR="008E6998" w:rsidRPr="000860F1" w14:paraId="5972269B" w14:textId="77777777">
        <w:tc>
          <w:tcPr>
            <w:tcW w:w="5103" w:type="dxa"/>
            <w:tcBorders>
              <w:top w:val="single" w:sz="4" w:space="0" w:color="000000"/>
            </w:tcBorders>
            <w:shd w:val="clear" w:color="auto" w:fill="auto"/>
          </w:tcPr>
          <w:p w14:paraId="57331707" w14:textId="746D6AB0" w:rsidR="008E6998" w:rsidRPr="000860F1" w:rsidRDefault="000330D6">
            <w:pPr>
              <w:pStyle w:val="IPPArialTable"/>
            </w:pPr>
            <w:r w:rsidRPr="000860F1">
              <w:t>PCR grade</w:t>
            </w:r>
            <w:r w:rsidRPr="000860F1">
              <w:rPr>
                <w:vertAlign w:val="superscript"/>
              </w:rPr>
              <w:t xml:space="preserve"> </w:t>
            </w:r>
            <w:r w:rsidRPr="000860F1">
              <w:t xml:space="preserve">water </w:t>
            </w:r>
          </w:p>
        </w:tc>
        <w:tc>
          <w:tcPr>
            <w:tcW w:w="3828" w:type="dxa"/>
            <w:tcBorders>
              <w:top w:val="single" w:sz="4" w:space="0" w:color="000000"/>
            </w:tcBorders>
            <w:shd w:val="clear" w:color="auto" w:fill="FFFFFF"/>
          </w:tcPr>
          <w:p w14:paraId="5E074F18" w14:textId="24A2D388" w:rsidR="008E6998" w:rsidRPr="000860F1" w:rsidRDefault="00162658">
            <w:pPr>
              <w:pStyle w:val="IPPArialTable"/>
              <w:rPr>
                <w:shd w:val="clear" w:color="auto" w:fill="C0C0C0"/>
              </w:rPr>
            </w:pPr>
            <w:r w:rsidRPr="000860F1">
              <w:t>–</w:t>
            </w:r>
            <w:r w:rsidRPr="000860F1">
              <w:rPr>
                <w:vertAlign w:val="superscript"/>
              </w:rPr>
              <w:t>†</w:t>
            </w:r>
          </w:p>
        </w:tc>
      </w:tr>
      <w:tr w:rsidR="008E6998" w:rsidRPr="000860F1" w14:paraId="19C9123C" w14:textId="77777777">
        <w:tc>
          <w:tcPr>
            <w:tcW w:w="5103" w:type="dxa"/>
            <w:shd w:val="clear" w:color="auto" w:fill="auto"/>
          </w:tcPr>
          <w:p w14:paraId="0B3FEED0" w14:textId="1599C9F9" w:rsidR="008E6998" w:rsidRPr="000860F1" w:rsidRDefault="000330D6">
            <w:pPr>
              <w:pStyle w:val="IPPArialTable"/>
            </w:pPr>
            <w:r w:rsidRPr="000860F1">
              <w:t xml:space="preserve">PCR </w:t>
            </w:r>
            <w:r w:rsidR="00716DFF" w:rsidRPr="000860F1">
              <w:t>b</w:t>
            </w:r>
            <w:r w:rsidRPr="000860F1">
              <w:t xml:space="preserve">uffer </w:t>
            </w:r>
          </w:p>
        </w:tc>
        <w:tc>
          <w:tcPr>
            <w:tcW w:w="3828" w:type="dxa"/>
            <w:shd w:val="clear" w:color="auto" w:fill="auto"/>
          </w:tcPr>
          <w:p w14:paraId="2EB9679F" w14:textId="47E60676" w:rsidR="008E6998" w:rsidRPr="000860F1" w:rsidRDefault="000330D6">
            <w:pPr>
              <w:pStyle w:val="IPPArialTable"/>
            </w:pPr>
            <w:r w:rsidRPr="000860F1">
              <w:t>1×</w:t>
            </w:r>
          </w:p>
        </w:tc>
      </w:tr>
      <w:tr w:rsidR="008E6998" w:rsidRPr="000860F1" w14:paraId="58EA655F" w14:textId="77777777">
        <w:tc>
          <w:tcPr>
            <w:tcW w:w="5103" w:type="dxa"/>
            <w:shd w:val="clear" w:color="auto" w:fill="auto"/>
          </w:tcPr>
          <w:p w14:paraId="51CD489C" w14:textId="5E92AEC3" w:rsidR="008E6998" w:rsidRPr="000860F1" w:rsidRDefault="000330D6">
            <w:pPr>
              <w:pStyle w:val="IPPArialTable"/>
            </w:pPr>
            <w:r w:rsidRPr="000860F1">
              <w:t xml:space="preserve">dNTPs </w:t>
            </w:r>
          </w:p>
        </w:tc>
        <w:tc>
          <w:tcPr>
            <w:tcW w:w="3828" w:type="dxa"/>
            <w:shd w:val="clear" w:color="auto" w:fill="auto"/>
          </w:tcPr>
          <w:p w14:paraId="4B676715" w14:textId="3C475D23" w:rsidR="008E6998" w:rsidRPr="000860F1" w:rsidRDefault="000330D6">
            <w:pPr>
              <w:pStyle w:val="IPPArialTable"/>
            </w:pPr>
            <w:r w:rsidRPr="000860F1">
              <w:t xml:space="preserve">200 µM </w:t>
            </w:r>
          </w:p>
        </w:tc>
      </w:tr>
      <w:tr w:rsidR="008E6998" w:rsidRPr="000860F1" w14:paraId="3691C228" w14:textId="77777777">
        <w:tc>
          <w:tcPr>
            <w:tcW w:w="5103" w:type="dxa"/>
            <w:shd w:val="clear" w:color="auto" w:fill="auto"/>
          </w:tcPr>
          <w:p w14:paraId="333FD810" w14:textId="18CCC994" w:rsidR="008E6998" w:rsidRPr="000860F1" w:rsidRDefault="000330D6">
            <w:pPr>
              <w:pStyle w:val="IPPArialTable"/>
            </w:pPr>
            <w:r w:rsidRPr="000860F1">
              <w:t>MgCl</w:t>
            </w:r>
            <w:r w:rsidRPr="000860F1">
              <w:rPr>
                <w:vertAlign w:val="subscript"/>
              </w:rPr>
              <w:t>2</w:t>
            </w:r>
          </w:p>
        </w:tc>
        <w:tc>
          <w:tcPr>
            <w:tcW w:w="3828" w:type="dxa"/>
            <w:shd w:val="clear" w:color="auto" w:fill="auto"/>
          </w:tcPr>
          <w:p w14:paraId="33509C87" w14:textId="035DFFA5" w:rsidR="008E6998" w:rsidRPr="000860F1" w:rsidRDefault="000330D6">
            <w:pPr>
              <w:pStyle w:val="IPPArialTable"/>
            </w:pPr>
            <w:r w:rsidRPr="000860F1">
              <w:t>1.5 mM</w:t>
            </w:r>
          </w:p>
        </w:tc>
      </w:tr>
      <w:tr w:rsidR="008E6998" w:rsidRPr="000860F1" w14:paraId="100DE377" w14:textId="77777777">
        <w:tc>
          <w:tcPr>
            <w:tcW w:w="5103" w:type="dxa"/>
            <w:shd w:val="clear" w:color="auto" w:fill="auto"/>
          </w:tcPr>
          <w:p w14:paraId="10D24D94" w14:textId="48251E5B" w:rsidR="008E6998" w:rsidRPr="000860F1" w:rsidRDefault="000330D6">
            <w:pPr>
              <w:pStyle w:val="IPPArialTable"/>
            </w:pPr>
            <w:r w:rsidRPr="000860F1">
              <w:t>Primer (forward set A, or B or C)</w:t>
            </w:r>
          </w:p>
        </w:tc>
        <w:tc>
          <w:tcPr>
            <w:tcW w:w="3828" w:type="dxa"/>
            <w:shd w:val="clear" w:color="auto" w:fill="auto"/>
          </w:tcPr>
          <w:p w14:paraId="6EF6E075" w14:textId="530A527D" w:rsidR="008E6998" w:rsidRPr="000860F1" w:rsidRDefault="000330D6">
            <w:pPr>
              <w:pStyle w:val="IPPArialTable"/>
            </w:pPr>
            <w:r w:rsidRPr="000860F1">
              <w:t>0.2 µM</w:t>
            </w:r>
          </w:p>
        </w:tc>
      </w:tr>
      <w:tr w:rsidR="008E6998" w:rsidRPr="000860F1" w14:paraId="54D7AAD5" w14:textId="77777777">
        <w:tc>
          <w:tcPr>
            <w:tcW w:w="5103" w:type="dxa"/>
            <w:shd w:val="clear" w:color="auto" w:fill="auto"/>
          </w:tcPr>
          <w:p w14:paraId="7FDC028D" w14:textId="4E0B5F8C" w:rsidR="008E6998" w:rsidRPr="000860F1" w:rsidRDefault="000330D6">
            <w:pPr>
              <w:pStyle w:val="IPPArialTable"/>
            </w:pPr>
            <w:r w:rsidRPr="000860F1">
              <w:t>Primer (reverse set A, or B or C)</w:t>
            </w:r>
          </w:p>
        </w:tc>
        <w:tc>
          <w:tcPr>
            <w:tcW w:w="3828" w:type="dxa"/>
            <w:shd w:val="clear" w:color="auto" w:fill="auto"/>
          </w:tcPr>
          <w:p w14:paraId="365ACF83" w14:textId="255D6B68" w:rsidR="008E6998" w:rsidRPr="000860F1" w:rsidRDefault="000330D6">
            <w:pPr>
              <w:pStyle w:val="IPPArialTable"/>
            </w:pPr>
            <w:r w:rsidRPr="000860F1">
              <w:t>0.2 µM</w:t>
            </w:r>
          </w:p>
        </w:tc>
      </w:tr>
      <w:tr w:rsidR="008E6998" w:rsidRPr="000860F1" w14:paraId="4D048A17" w14:textId="77777777">
        <w:tc>
          <w:tcPr>
            <w:tcW w:w="5103" w:type="dxa"/>
            <w:tcBorders>
              <w:bottom w:val="single" w:sz="4" w:space="0" w:color="000000"/>
            </w:tcBorders>
            <w:shd w:val="clear" w:color="auto" w:fill="auto"/>
          </w:tcPr>
          <w:p w14:paraId="70C189D6" w14:textId="0BEE3DB1" w:rsidR="008E6998" w:rsidRPr="000860F1" w:rsidRDefault="000330D6">
            <w:pPr>
              <w:pStyle w:val="IPPArialTable"/>
            </w:pPr>
            <w:r w:rsidRPr="000860F1">
              <w:t>Taq DNA polymerase (Invitrogen)</w:t>
            </w:r>
            <w:r w:rsidR="00314F55" w:rsidRPr="000860F1">
              <w:rPr>
                <w:rStyle w:val="FootnoteReference"/>
              </w:rPr>
              <w:t>1</w:t>
            </w:r>
          </w:p>
        </w:tc>
        <w:tc>
          <w:tcPr>
            <w:tcW w:w="3828" w:type="dxa"/>
            <w:tcBorders>
              <w:bottom w:val="single" w:sz="4" w:space="0" w:color="000000"/>
            </w:tcBorders>
            <w:shd w:val="clear" w:color="auto" w:fill="auto"/>
          </w:tcPr>
          <w:p w14:paraId="4BD1DC7D" w14:textId="4DC158A9" w:rsidR="008E6998" w:rsidRPr="000860F1" w:rsidRDefault="000330D6">
            <w:pPr>
              <w:pStyle w:val="IPPArialTable"/>
            </w:pPr>
            <w:r w:rsidRPr="000860F1">
              <w:t>2.0 U</w:t>
            </w:r>
          </w:p>
        </w:tc>
      </w:tr>
      <w:tr w:rsidR="008E6998" w:rsidRPr="000860F1" w14:paraId="692AB9C6" w14:textId="77777777">
        <w:tc>
          <w:tcPr>
            <w:tcW w:w="5103" w:type="dxa"/>
            <w:tcBorders>
              <w:top w:val="single" w:sz="4" w:space="0" w:color="000000"/>
              <w:bottom w:val="single" w:sz="4" w:space="0" w:color="000000"/>
            </w:tcBorders>
            <w:shd w:val="clear" w:color="auto" w:fill="auto"/>
          </w:tcPr>
          <w:p w14:paraId="423276A9" w14:textId="0D732F6D" w:rsidR="008E6998" w:rsidRPr="000860F1" w:rsidRDefault="000330D6">
            <w:pPr>
              <w:pStyle w:val="IPPArialTable"/>
            </w:pPr>
            <w:r w:rsidRPr="000860F1">
              <w:t>DNA volume</w:t>
            </w:r>
          </w:p>
        </w:tc>
        <w:tc>
          <w:tcPr>
            <w:tcW w:w="3828" w:type="dxa"/>
            <w:tcBorders>
              <w:top w:val="single" w:sz="4" w:space="0" w:color="000000"/>
              <w:bottom w:val="single" w:sz="4" w:space="0" w:color="000000"/>
            </w:tcBorders>
            <w:shd w:val="clear" w:color="auto" w:fill="auto"/>
          </w:tcPr>
          <w:p w14:paraId="24FF1739" w14:textId="26F9DEAC" w:rsidR="008E6998" w:rsidRPr="000860F1" w:rsidRDefault="000330D6">
            <w:pPr>
              <w:pStyle w:val="IPPArialTable"/>
            </w:pPr>
            <w:r w:rsidRPr="000860F1">
              <w:t>2 </w:t>
            </w:r>
            <w:r w:rsidR="0075067D" w:rsidRPr="000860F1">
              <w:t>µ</w:t>
            </w:r>
            <w:r w:rsidR="0075067D">
              <w:t>L</w:t>
            </w:r>
            <w:r w:rsidR="0075067D" w:rsidRPr="000860F1">
              <w:t xml:space="preserve"> </w:t>
            </w:r>
            <w:r w:rsidRPr="000860F1">
              <w:t xml:space="preserve">bacterial suspension or DNA extract </w:t>
            </w:r>
          </w:p>
        </w:tc>
      </w:tr>
      <w:tr w:rsidR="008E6998" w:rsidRPr="000860F1" w14:paraId="3C1839B9" w14:textId="77777777">
        <w:tc>
          <w:tcPr>
            <w:tcW w:w="5103" w:type="dxa"/>
            <w:tcBorders>
              <w:top w:val="single" w:sz="4" w:space="0" w:color="000000"/>
              <w:bottom w:val="single" w:sz="4" w:space="0" w:color="000000"/>
            </w:tcBorders>
            <w:shd w:val="clear" w:color="auto" w:fill="BFBFBF" w:themeFill="background1" w:themeFillShade="BF"/>
          </w:tcPr>
          <w:p w14:paraId="2725D97E" w14:textId="70E6561C" w:rsidR="008E6998" w:rsidRPr="000860F1" w:rsidRDefault="000330D6">
            <w:pPr>
              <w:pStyle w:val="IPPArialTable"/>
              <w:rPr>
                <w:b/>
              </w:rPr>
            </w:pPr>
            <w:r w:rsidRPr="000860F1">
              <w:rPr>
                <w:b/>
              </w:rPr>
              <w:t>Cycling parameters</w:t>
            </w:r>
          </w:p>
        </w:tc>
        <w:tc>
          <w:tcPr>
            <w:tcW w:w="3828" w:type="dxa"/>
            <w:tcBorders>
              <w:top w:val="single" w:sz="4" w:space="0" w:color="000000"/>
              <w:bottom w:val="single" w:sz="4" w:space="0" w:color="000000"/>
            </w:tcBorders>
            <w:shd w:val="clear" w:color="auto" w:fill="BFBFBF" w:themeFill="background1" w:themeFillShade="BF"/>
          </w:tcPr>
          <w:p w14:paraId="72157436" w14:textId="4F827159" w:rsidR="008E6998" w:rsidRPr="000860F1" w:rsidRDefault="008E6998">
            <w:pPr>
              <w:pStyle w:val="IPPArialTable"/>
            </w:pPr>
          </w:p>
        </w:tc>
      </w:tr>
      <w:tr w:rsidR="008E6998" w:rsidRPr="000860F1" w14:paraId="29661AEB" w14:textId="77777777" w:rsidTr="00D1016B">
        <w:tc>
          <w:tcPr>
            <w:tcW w:w="5103" w:type="dxa"/>
            <w:tcBorders>
              <w:top w:val="single" w:sz="4" w:space="0" w:color="000000"/>
            </w:tcBorders>
            <w:shd w:val="clear" w:color="auto" w:fill="auto"/>
          </w:tcPr>
          <w:p w14:paraId="086B3CA9" w14:textId="5A4342DD" w:rsidR="008E6998" w:rsidRPr="000860F1" w:rsidRDefault="000330D6">
            <w:pPr>
              <w:pStyle w:val="IPPArialTable"/>
            </w:pPr>
            <w:r w:rsidRPr="000860F1">
              <w:t>Initial denaturation</w:t>
            </w:r>
          </w:p>
        </w:tc>
        <w:tc>
          <w:tcPr>
            <w:tcW w:w="3828" w:type="dxa"/>
            <w:tcBorders>
              <w:top w:val="single" w:sz="4" w:space="0" w:color="000000"/>
            </w:tcBorders>
            <w:shd w:val="clear" w:color="auto" w:fill="auto"/>
          </w:tcPr>
          <w:p w14:paraId="1502D9B1" w14:textId="616908D3" w:rsidR="008E6998" w:rsidRPr="000860F1" w:rsidRDefault="000330D6">
            <w:pPr>
              <w:pStyle w:val="IPPArialTable"/>
            </w:pPr>
            <w:r w:rsidRPr="000860F1">
              <w:t>94 °C for 3 min</w:t>
            </w:r>
          </w:p>
        </w:tc>
      </w:tr>
      <w:tr w:rsidR="008E6998" w:rsidRPr="000860F1" w14:paraId="7906BE55" w14:textId="77777777" w:rsidTr="00D1016B">
        <w:tc>
          <w:tcPr>
            <w:tcW w:w="5103" w:type="dxa"/>
            <w:shd w:val="clear" w:color="auto" w:fill="auto"/>
          </w:tcPr>
          <w:p w14:paraId="4D236503" w14:textId="1584801D" w:rsidR="008E6998" w:rsidRPr="000860F1" w:rsidRDefault="000330D6">
            <w:pPr>
              <w:pStyle w:val="IPPArialTable"/>
            </w:pPr>
            <w:r w:rsidRPr="000860F1">
              <w:t>Number of cycles</w:t>
            </w:r>
          </w:p>
        </w:tc>
        <w:tc>
          <w:tcPr>
            <w:tcW w:w="3828" w:type="dxa"/>
            <w:shd w:val="clear" w:color="auto" w:fill="auto"/>
          </w:tcPr>
          <w:p w14:paraId="61E71468" w14:textId="17339CDF" w:rsidR="008E6998" w:rsidRPr="000860F1" w:rsidRDefault="000330D6">
            <w:pPr>
              <w:pStyle w:val="IPPArialTable"/>
            </w:pPr>
            <w:r w:rsidRPr="000860F1">
              <w:t>30</w:t>
            </w:r>
          </w:p>
        </w:tc>
      </w:tr>
      <w:tr w:rsidR="008E6998" w:rsidRPr="000860F1" w14:paraId="4753A292" w14:textId="77777777">
        <w:tc>
          <w:tcPr>
            <w:tcW w:w="5103" w:type="dxa"/>
            <w:shd w:val="clear" w:color="auto" w:fill="auto"/>
          </w:tcPr>
          <w:p w14:paraId="12C0B9F1" w14:textId="3215E3AA" w:rsidR="008E6998" w:rsidRPr="000860F1" w:rsidRDefault="000330D6" w:rsidP="00A66AEE">
            <w:pPr>
              <w:pStyle w:val="IPPArialTable"/>
              <w:numPr>
                <w:ilvl w:val="0"/>
                <w:numId w:val="14"/>
              </w:numPr>
              <w:ind w:left="284" w:hanging="142"/>
            </w:pPr>
            <w:r w:rsidRPr="000860F1">
              <w:t>Denaturation</w:t>
            </w:r>
          </w:p>
        </w:tc>
        <w:tc>
          <w:tcPr>
            <w:tcW w:w="3828" w:type="dxa"/>
            <w:shd w:val="clear" w:color="auto" w:fill="auto"/>
          </w:tcPr>
          <w:p w14:paraId="06AA1E28" w14:textId="0CCBC3A2" w:rsidR="008E6998" w:rsidRPr="000860F1" w:rsidRDefault="000330D6">
            <w:pPr>
              <w:pStyle w:val="IPPArialTable"/>
            </w:pPr>
            <w:r w:rsidRPr="000860F1">
              <w:t>94 °C for 1 min</w:t>
            </w:r>
          </w:p>
        </w:tc>
      </w:tr>
      <w:tr w:rsidR="008E6998" w:rsidRPr="000860F1" w14:paraId="3C3EF061" w14:textId="77777777">
        <w:tc>
          <w:tcPr>
            <w:tcW w:w="5103" w:type="dxa"/>
            <w:shd w:val="clear" w:color="auto" w:fill="auto"/>
          </w:tcPr>
          <w:p w14:paraId="6E90A429" w14:textId="001CCD49" w:rsidR="008E6998" w:rsidRPr="000860F1" w:rsidRDefault="000330D6" w:rsidP="00A66AEE">
            <w:pPr>
              <w:pStyle w:val="IPPArialTable"/>
              <w:numPr>
                <w:ilvl w:val="0"/>
                <w:numId w:val="14"/>
              </w:numPr>
              <w:ind w:left="284" w:hanging="142"/>
            </w:pPr>
            <w:r w:rsidRPr="000860F1">
              <w:t>Annealing</w:t>
            </w:r>
          </w:p>
        </w:tc>
        <w:tc>
          <w:tcPr>
            <w:tcW w:w="3828" w:type="dxa"/>
            <w:shd w:val="clear" w:color="auto" w:fill="auto"/>
          </w:tcPr>
          <w:p w14:paraId="3DF6B307" w14:textId="6BFC1C2B" w:rsidR="008E6998" w:rsidRPr="000860F1" w:rsidRDefault="000330D6">
            <w:pPr>
              <w:pStyle w:val="IPPArialTable"/>
            </w:pPr>
            <w:r w:rsidRPr="000860F1">
              <w:t>55 °C for 30 s</w:t>
            </w:r>
          </w:p>
        </w:tc>
      </w:tr>
      <w:tr w:rsidR="008E6998" w:rsidRPr="000860F1" w14:paraId="708EF69F" w14:textId="77777777">
        <w:tc>
          <w:tcPr>
            <w:tcW w:w="5103" w:type="dxa"/>
            <w:shd w:val="clear" w:color="auto" w:fill="auto"/>
          </w:tcPr>
          <w:p w14:paraId="55989519" w14:textId="41D195BC" w:rsidR="008E6998" w:rsidRPr="000860F1" w:rsidRDefault="000330D6" w:rsidP="00A66AEE">
            <w:pPr>
              <w:pStyle w:val="IPPArialTable"/>
              <w:numPr>
                <w:ilvl w:val="0"/>
                <w:numId w:val="14"/>
              </w:numPr>
              <w:ind w:left="284" w:hanging="142"/>
            </w:pPr>
            <w:r w:rsidRPr="000860F1">
              <w:t>Elongation</w:t>
            </w:r>
          </w:p>
        </w:tc>
        <w:tc>
          <w:tcPr>
            <w:tcW w:w="3828" w:type="dxa"/>
            <w:shd w:val="clear" w:color="auto" w:fill="auto"/>
          </w:tcPr>
          <w:p w14:paraId="599CD472" w14:textId="206A15C1" w:rsidR="008E6998" w:rsidRPr="000860F1" w:rsidRDefault="000330D6">
            <w:pPr>
              <w:pStyle w:val="IPPArialTable"/>
            </w:pPr>
            <w:r w:rsidRPr="000860F1">
              <w:t>72 °C for 2 min</w:t>
            </w:r>
          </w:p>
        </w:tc>
      </w:tr>
      <w:tr w:rsidR="008E6998" w:rsidRPr="000860F1" w14:paraId="5602BCDD" w14:textId="77777777">
        <w:tc>
          <w:tcPr>
            <w:tcW w:w="5103" w:type="dxa"/>
            <w:tcBorders>
              <w:bottom w:val="single" w:sz="4" w:space="0" w:color="000000"/>
            </w:tcBorders>
            <w:shd w:val="clear" w:color="auto" w:fill="auto"/>
          </w:tcPr>
          <w:p w14:paraId="37983077" w14:textId="20D15964" w:rsidR="008E6998" w:rsidRPr="000860F1" w:rsidRDefault="000330D6">
            <w:pPr>
              <w:pStyle w:val="IPPArialTable"/>
            </w:pPr>
            <w:r w:rsidRPr="000860F1">
              <w:t>Final elongation</w:t>
            </w:r>
          </w:p>
        </w:tc>
        <w:tc>
          <w:tcPr>
            <w:tcW w:w="3828" w:type="dxa"/>
            <w:tcBorders>
              <w:bottom w:val="single" w:sz="4" w:space="0" w:color="000000"/>
            </w:tcBorders>
            <w:shd w:val="clear" w:color="auto" w:fill="auto"/>
          </w:tcPr>
          <w:p w14:paraId="64882510" w14:textId="1A5F27B9" w:rsidR="008E6998" w:rsidRPr="000860F1" w:rsidRDefault="000330D6">
            <w:pPr>
              <w:pStyle w:val="IPPArialTable"/>
            </w:pPr>
            <w:r w:rsidRPr="000860F1">
              <w:t>72 °C for 7 min</w:t>
            </w:r>
          </w:p>
        </w:tc>
      </w:tr>
      <w:tr w:rsidR="008E6998" w:rsidRPr="000860F1" w14:paraId="257937EA" w14:textId="77777777">
        <w:tc>
          <w:tcPr>
            <w:tcW w:w="5103" w:type="dxa"/>
            <w:tcBorders>
              <w:top w:val="single" w:sz="4" w:space="0" w:color="000000"/>
              <w:bottom w:val="single" w:sz="4" w:space="0" w:color="000000"/>
            </w:tcBorders>
            <w:shd w:val="clear" w:color="auto" w:fill="BFBFBF" w:themeFill="background1" w:themeFillShade="BF"/>
          </w:tcPr>
          <w:p w14:paraId="42145343" w14:textId="4F83A83E" w:rsidR="008E6998" w:rsidRPr="000860F1" w:rsidRDefault="000330D6">
            <w:pPr>
              <w:pStyle w:val="IPPArialTable"/>
              <w:rPr>
                <w:b/>
              </w:rPr>
            </w:pPr>
            <w:r w:rsidRPr="000860F1">
              <w:rPr>
                <w:b/>
              </w:rPr>
              <w:t>Expected amplicons</w:t>
            </w:r>
          </w:p>
        </w:tc>
        <w:tc>
          <w:tcPr>
            <w:tcW w:w="3828" w:type="dxa"/>
            <w:tcBorders>
              <w:top w:val="single" w:sz="4" w:space="0" w:color="000000"/>
              <w:bottom w:val="single" w:sz="4" w:space="0" w:color="000000"/>
            </w:tcBorders>
            <w:shd w:val="clear" w:color="auto" w:fill="BFBFBF" w:themeFill="background1" w:themeFillShade="BF"/>
          </w:tcPr>
          <w:p w14:paraId="20CAF72D" w14:textId="08DA29AB" w:rsidR="008E6998" w:rsidRPr="000860F1" w:rsidRDefault="008E6998">
            <w:pPr>
              <w:pStyle w:val="IPPArialTable"/>
            </w:pPr>
          </w:p>
        </w:tc>
      </w:tr>
      <w:tr w:rsidR="008E6998" w:rsidRPr="000860F1" w14:paraId="70FE1692" w14:textId="77777777">
        <w:tc>
          <w:tcPr>
            <w:tcW w:w="5103" w:type="dxa"/>
            <w:tcBorders>
              <w:top w:val="single" w:sz="4" w:space="0" w:color="000000"/>
              <w:bottom w:val="single" w:sz="4" w:space="0" w:color="000000"/>
            </w:tcBorders>
            <w:shd w:val="clear" w:color="auto" w:fill="auto"/>
          </w:tcPr>
          <w:p w14:paraId="3662D92F" w14:textId="347D421D" w:rsidR="008E6998" w:rsidRPr="000860F1" w:rsidRDefault="000330D6">
            <w:pPr>
              <w:pStyle w:val="IPPArialTable"/>
            </w:pPr>
            <w:r w:rsidRPr="000860F1">
              <w:t>Size</w:t>
            </w:r>
          </w:p>
        </w:tc>
        <w:tc>
          <w:tcPr>
            <w:tcW w:w="3828" w:type="dxa"/>
            <w:tcBorders>
              <w:top w:val="single" w:sz="4" w:space="0" w:color="000000"/>
              <w:bottom w:val="single" w:sz="4" w:space="0" w:color="000000"/>
            </w:tcBorders>
            <w:shd w:val="clear" w:color="auto" w:fill="auto"/>
          </w:tcPr>
          <w:p w14:paraId="0932BD5D" w14:textId="445E26D4" w:rsidR="008E6998" w:rsidRPr="000860F1" w:rsidRDefault="000330D6">
            <w:pPr>
              <w:pStyle w:val="IPPArialTable"/>
            </w:pPr>
            <w:r w:rsidRPr="000860F1">
              <w:t>Primer set A: 1348 bp</w:t>
            </w:r>
          </w:p>
          <w:p w14:paraId="7A9751BA" w14:textId="6B047A1D" w:rsidR="008E6998" w:rsidRPr="000860F1" w:rsidRDefault="000330D6">
            <w:pPr>
              <w:pStyle w:val="IPPArialTable"/>
            </w:pPr>
            <w:r w:rsidRPr="000860F1">
              <w:t>Primer set B: 745 bp</w:t>
            </w:r>
          </w:p>
          <w:p w14:paraId="1A274E93" w14:textId="25CDA857" w:rsidR="008E6998" w:rsidRPr="000860F1" w:rsidRDefault="000330D6">
            <w:pPr>
              <w:pStyle w:val="IPPArialTable"/>
            </w:pPr>
            <w:r w:rsidRPr="000860F1">
              <w:t>Primer set C: 603 bp</w:t>
            </w:r>
          </w:p>
        </w:tc>
      </w:tr>
    </w:tbl>
    <w:p w14:paraId="380AD257" w14:textId="665BCDD3" w:rsidR="003F32B9" w:rsidRPr="000860F1" w:rsidRDefault="003F32B9" w:rsidP="003F32B9">
      <w:pPr>
        <w:pStyle w:val="IPPArialFootnote"/>
        <w:rPr>
          <w:rStyle w:val="PleaseReviewParagraphId"/>
        </w:rPr>
      </w:pPr>
      <w:r w:rsidRPr="000860F1">
        <w:rPr>
          <w:vertAlign w:val="superscript"/>
        </w:rPr>
        <w:t>†</w:t>
      </w:r>
      <w:r w:rsidRPr="000860F1">
        <w:t xml:space="preserve"> For a final reaction volume of 20 </w:t>
      </w:r>
      <w:r w:rsidR="0075067D" w:rsidRPr="000860F1">
        <w:rPr>
          <w:rFonts w:cs="Arial"/>
        </w:rPr>
        <w:t>µ</w:t>
      </w:r>
      <w:r w:rsidR="0075067D">
        <w:t>L</w:t>
      </w:r>
      <w:r w:rsidRPr="000860F1">
        <w:t>.</w:t>
      </w:r>
    </w:p>
    <w:p w14:paraId="5EB4CF94" w14:textId="5DBFEA8B" w:rsidR="008E6998" w:rsidRPr="000860F1" w:rsidRDefault="000330D6" w:rsidP="00D1016B">
      <w:pPr>
        <w:pStyle w:val="IPPArialFootnote"/>
        <w:spacing w:after="180"/>
        <w:rPr>
          <w:rStyle w:val="PleaseReviewParagraphId"/>
          <w:rFonts w:eastAsia="MS Mincho"/>
          <w:color w:val="auto"/>
        </w:rPr>
      </w:pPr>
      <w:r w:rsidRPr="000860F1">
        <w:t>bp, base pairs; PCR, polymerase chain reaction.</w:t>
      </w:r>
    </w:p>
    <w:p w14:paraId="598C5A5F" w14:textId="2695C7A4" w:rsidR="008E6998" w:rsidRPr="000860F1" w:rsidRDefault="000330D6" w:rsidP="004C1B1F">
      <w:pPr>
        <w:pStyle w:val="IPPParagraphnumbering"/>
      </w:pPr>
      <w:r w:rsidRPr="000860F1">
        <w:t xml:space="preserve">The </w:t>
      </w:r>
      <w:r w:rsidRPr="000860F1">
        <w:rPr>
          <w:i/>
        </w:rPr>
        <w:t>gyrB</w:t>
      </w:r>
      <w:r w:rsidRPr="000860F1">
        <w:t xml:space="preserve"> primers used are:</w:t>
      </w:r>
    </w:p>
    <w:p w14:paraId="7873E725" w14:textId="5B189CB1" w:rsidR="008E6998" w:rsidRPr="000860F1" w:rsidRDefault="000330D6" w:rsidP="00D1016B">
      <w:pPr>
        <w:pStyle w:val="IPPIndentClose"/>
      </w:pPr>
      <w:r w:rsidRPr="000860F1">
        <w:t>FXYgyr499 (forward): 5</w:t>
      </w:r>
      <w:r w:rsidRPr="000860F1">
        <w:rPr>
          <w:szCs w:val="22"/>
        </w:rPr>
        <w:t>′</w:t>
      </w:r>
      <w:r w:rsidRPr="000860F1">
        <w:t>-CAG TTA GGG GTG TCA GCG</w:t>
      </w:r>
      <w:r w:rsidRPr="000860F1">
        <w:rPr>
          <w:rFonts w:eastAsiaTheme="minorHAnsi"/>
        </w:rPr>
        <w:t>-3</w:t>
      </w:r>
      <w:r w:rsidRPr="000860F1">
        <w:rPr>
          <w:szCs w:val="22"/>
        </w:rPr>
        <w:t>′</w:t>
      </w:r>
    </w:p>
    <w:p w14:paraId="11776138" w14:textId="5A402264" w:rsidR="008E6998" w:rsidRPr="000860F1" w:rsidRDefault="000330D6" w:rsidP="00D1016B">
      <w:pPr>
        <w:pStyle w:val="IPPIndent"/>
      </w:pPr>
      <w:r w:rsidRPr="000860F1">
        <w:t>RXYgyr907 (reverse): 5</w:t>
      </w:r>
      <w:r w:rsidRPr="000860F1">
        <w:rPr>
          <w:szCs w:val="22"/>
        </w:rPr>
        <w:t>′</w:t>
      </w:r>
      <w:r w:rsidRPr="000860F1">
        <w:t>-CTC AAT GTA ATT ACC CAA GGT-3</w:t>
      </w:r>
      <w:r w:rsidRPr="000860F1">
        <w:rPr>
          <w:szCs w:val="22"/>
        </w:rPr>
        <w:t>′</w:t>
      </w:r>
    </w:p>
    <w:p w14:paraId="2BD94EAD" w14:textId="69744C57" w:rsidR="008E6998" w:rsidRPr="000860F1" w:rsidRDefault="000330D6" w:rsidP="004C1B1F">
      <w:pPr>
        <w:pStyle w:val="IPPParagraphnumbering"/>
      </w:pPr>
      <w:r w:rsidRPr="000860F1">
        <w:t xml:space="preserve">The </w:t>
      </w:r>
      <w:r w:rsidRPr="000860F1">
        <w:rPr>
          <w:i/>
        </w:rPr>
        <w:t>gyrB</w:t>
      </w:r>
      <w:r w:rsidRPr="000860F1">
        <w:t xml:space="preserve"> primer set produces an amplicon of 429 bp.</w:t>
      </w:r>
    </w:p>
    <w:p w14:paraId="4AAC1891" w14:textId="23515A6F" w:rsidR="008E6998" w:rsidRPr="000860F1" w:rsidRDefault="000330D6" w:rsidP="004C1B1F">
      <w:pPr>
        <w:pStyle w:val="IPPParagraphnumbering"/>
      </w:pPr>
      <w:r w:rsidRPr="000860F1">
        <w:t xml:space="preserve">The master mix for the </w:t>
      </w:r>
      <w:r w:rsidRPr="000860F1">
        <w:rPr>
          <w:i/>
        </w:rPr>
        <w:t>gyr</w:t>
      </w:r>
      <w:r w:rsidRPr="000860F1">
        <w:t>B gene-targeting primers is described in Table </w:t>
      </w:r>
      <w:r w:rsidR="008D3BD9">
        <w:t>7</w:t>
      </w:r>
      <w:r w:rsidRPr="000860F1">
        <w:t>.</w:t>
      </w:r>
    </w:p>
    <w:p w14:paraId="473744B9" w14:textId="53822E3B" w:rsidR="008E6998" w:rsidRPr="00133D6E" w:rsidRDefault="000330D6" w:rsidP="00D1016B">
      <w:pPr>
        <w:pStyle w:val="IPPArial"/>
        <w:keepNext/>
        <w:spacing w:after="120"/>
        <w:rPr>
          <w:rFonts w:cs="Arial"/>
          <w:szCs w:val="18"/>
        </w:rPr>
      </w:pPr>
      <w:r w:rsidRPr="00133D6E">
        <w:rPr>
          <w:rFonts w:cs="Arial"/>
          <w:b/>
          <w:szCs w:val="18"/>
        </w:rPr>
        <w:t>Table </w:t>
      </w:r>
      <w:r w:rsidR="00EF03FA" w:rsidRPr="00133D6E">
        <w:rPr>
          <w:rFonts w:cs="Arial"/>
          <w:b/>
          <w:szCs w:val="18"/>
        </w:rPr>
        <w:t>7</w:t>
      </w:r>
      <w:r w:rsidRPr="00133D6E">
        <w:rPr>
          <w:rFonts w:cs="Arial"/>
          <w:b/>
          <w:szCs w:val="18"/>
        </w:rPr>
        <w:t>.</w:t>
      </w:r>
      <w:r w:rsidRPr="00133D6E">
        <w:rPr>
          <w:rFonts w:cs="Arial"/>
          <w:szCs w:val="18"/>
        </w:rPr>
        <w:t xml:space="preserve"> Master mix composition</w:t>
      </w:r>
      <w:r w:rsidR="00A50C1E" w:rsidRPr="00133D6E">
        <w:rPr>
          <w:rFonts w:cs="Arial"/>
          <w:szCs w:val="18"/>
        </w:rPr>
        <w:t>,</w:t>
      </w:r>
      <w:r w:rsidRPr="00133D6E">
        <w:rPr>
          <w:rFonts w:cs="Arial"/>
          <w:szCs w:val="18"/>
        </w:rPr>
        <w:t xml:space="preserve"> </w:t>
      </w:r>
      <w:r w:rsidR="00863E7B" w:rsidRPr="00133D6E">
        <w:rPr>
          <w:rFonts w:cs="Arial"/>
          <w:szCs w:val="18"/>
        </w:rPr>
        <w:t xml:space="preserve">cycling parameters </w:t>
      </w:r>
      <w:r w:rsidR="00A50C1E" w:rsidRPr="00133D6E">
        <w:rPr>
          <w:rFonts w:cs="Arial"/>
          <w:szCs w:val="18"/>
        </w:rPr>
        <w:t xml:space="preserve">and amplicons </w:t>
      </w:r>
      <w:r w:rsidRPr="00133D6E">
        <w:rPr>
          <w:rFonts w:cs="Arial"/>
          <w:szCs w:val="18"/>
        </w:rPr>
        <w:t xml:space="preserve">for </w:t>
      </w:r>
      <w:r w:rsidR="00863E7B" w:rsidRPr="00133D6E">
        <w:rPr>
          <w:rFonts w:cs="Arial"/>
          <w:szCs w:val="18"/>
        </w:rPr>
        <w:t xml:space="preserve">conventional </w:t>
      </w:r>
      <w:r w:rsidRPr="00133D6E">
        <w:rPr>
          <w:rFonts w:cs="Arial"/>
          <w:szCs w:val="18"/>
        </w:rPr>
        <w:t xml:space="preserve">PCR </w:t>
      </w:r>
      <w:r w:rsidR="00863E7B" w:rsidRPr="00133D6E">
        <w:rPr>
          <w:rFonts w:cs="Arial"/>
          <w:szCs w:val="18"/>
        </w:rPr>
        <w:t xml:space="preserve">using the </w:t>
      </w:r>
      <w:r w:rsidR="00863E7B" w:rsidRPr="00133D6E">
        <w:rPr>
          <w:rFonts w:cs="Arial"/>
          <w:i/>
          <w:szCs w:val="18"/>
        </w:rPr>
        <w:t>gyr</w:t>
      </w:r>
      <w:r w:rsidR="00863E7B" w:rsidRPr="00133D6E">
        <w:rPr>
          <w:rFonts w:cs="Arial"/>
          <w:szCs w:val="18"/>
        </w:rPr>
        <w:t xml:space="preserve">B gene-targeting primers of Rodrigues </w:t>
      </w:r>
      <w:r w:rsidR="00863E7B" w:rsidRPr="00133D6E">
        <w:rPr>
          <w:rFonts w:cs="Arial"/>
          <w:i/>
          <w:szCs w:val="18"/>
        </w:rPr>
        <w:t>et</w:t>
      </w:r>
      <w:r w:rsidR="00DA19AC" w:rsidRPr="00133D6E">
        <w:rPr>
          <w:rFonts w:cs="Arial"/>
          <w:i/>
          <w:szCs w:val="18"/>
        </w:rPr>
        <w:t> </w:t>
      </w:r>
      <w:r w:rsidR="00863E7B" w:rsidRPr="00133D6E">
        <w:rPr>
          <w:rFonts w:cs="Arial"/>
          <w:i/>
          <w:szCs w:val="18"/>
        </w:rPr>
        <w:t xml:space="preserve">al. </w:t>
      </w:r>
      <w:r w:rsidR="00863E7B" w:rsidRPr="00133D6E">
        <w:rPr>
          <w:rFonts w:cs="Arial"/>
          <w:szCs w:val="18"/>
        </w:rPr>
        <w:t>(2003)</w:t>
      </w:r>
      <w:r w:rsidR="004C1B1F" w:rsidRPr="00133D6E">
        <w:rPr>
          <w:rFonts w:cs="Arial"/>
          <w:szCs w:val="18"/>
        </w:rPr>
        <w:t>.</w:t>
      </w:r>
    </w:p>
    <w:tbl>
      <w:tblPr>
        <w:tblW w:w="9039" w:type="dxa"/>
        <w:tblLayout w:type="fixed"/>
        <w:tblLook w:val="0000" w:firstRow="0" w:lastRow="0" w:firstColumn="0" w:lastColumn="0" w:noHBand="0" w:noVBand="0"/>
      </w:tblPr>
      <w:tblGrid>
        <w:gridCol w:w="3570"/>
        <w:gridCol w:w="1533"/>
        <w:gridCol w:w="3828"/>
        <w:gridCol w:w="108"/>
      </w:tblGrid>
      <w:tr w:rsidR="008E6998" w:rsidRPr="000860F1" w14:paraId="57D44517" w14:textId="77777777">
        <w:tc>
          <w:tcPr>
            <w:tcW w:w="3570" w:type="dxa"/>
            <w:tcBorders>
              <w:top w:val="single" w:sz="4" w:space="0" w:color="000000"/>
              <w:bottom w:val="single" w:sz="4" w:space="0" w:color="000000"/>
            </w:tcBorders>
            <w:shd w:val="clear" w:color="auto" w:fill="BFBFBF"/>
          </w:tcPr>
          <w:p w14:paraId="2E544314" w14:textId="56AD418B" w:rsidR="008E6998" w:rsidRPr="000860F1" w:rsidRDefault="000330D6">
            <w:pPr>
              <w:pStyle w:val="IPPArialTable"/>
              <w:rPr>
                <w:b/>
              </w:rPr>
            </w:pPr>
            <w:r w:rsidRPr="000860F1">
              <w:rPr>
                <w:b/>
              </w:rPr>
              <w:t>Reagents</w:t>
            </w:r>
          </w:p>
        </w:tc>
        <w:tc>
          <w:tcPr>
            <w:tcW w:w="5469" w:type="dxa"/>
            <w:gridSpan w:val="3"/>
            <w:tcBorders>
              <w:top w:val="single" w:sz="4" w:space="0" w:color="000000"/>
              <w:bottom w:val="single" w:sz="4" w:space="0" w:color="000000"/>
            </w:tcBorders>
            <w:shd w:val="clear" w:color="auto" w:fill="BFBFBF"/>
          </w:tcPr>
          <w:p w14:paraId="719E0FE2" w14:textId="4FB865A2" w:rsidR="008E6998" w:rsidRPr="000860F1" w:rsidRDefault="000330D6">
            <w:pPr>
              <w:pStyle w:val="IPPArialTable"/>
              <w:rPr>
                <w:b/>
              </w:rPr>
            </w:pPr>
            <w:r w:rsidRPr="000860F1">
              <w:rPr>
                <w:b/>
              </w:rPr>
              <w:t>Final concentration</w:t>
            </w:r>
          </w:p>
        </w:tc>
      </w:tr>
      <w:tr w:rsidR="008E6998" w:rsidRPr="000860F1" w14:paraId="7E8AB112" w14:textId="77777777">
        <w:tc>
          <w:tcPr>
            <w:tcW w:w="3570" w:type="dxa"/>
            <w:tcBorders>
              <w:top w:val="single" w:sz="4" w:space="0" w:color="000000"/>
            </w:tcBorders>
            <w:shd w:val="clear" w:color="auto" w:fill="auto"/>
          </w:tcPr>
          <w:p w14:paraId="056B6417" w14:textId="701FE685" w:rsidR="008E6998" w:rsidRPr="000860F1" w:rsidRDefault="000330D6">
            <w:pPr>
              <w:pStyle w:val="IPPArialTable"/>
            </w:pPr>
            <w:r w:rsidRPr="000860F1">
              <w:t>PCR grade</w:t>
            </w:r>
            <w:r w:rsidRPr="000860F1">
              <w:rPr>
                <w:vertAlign w:val="superscript"/>
              </w:rPr>
              <w:t xml:space="preserve"> </w:t>
            </w:r>
            <w:r w:rsidRPr="000860F1">
              <w:t xml:space="preserve">water </w:t>
            </w:r>
          </w:p>
        </w:tc>
        <w:tc>
          <w:tcPr>
            <w:tcW w:w="5469" w:type="dxa"/>
            <w:gridSpan w:val="3"/>
            <w:tcBorders>
              <w:top w:val="single" w:sz="4" w:space="0" w:color="000000"/>
            </w:tcBorders>
            <w:shd w:val="clear" w:color="auto" w:fill="FFFFFF"/>
          </w:tcPr>
          <w:p w14:paraId="03EB8CF1" w14:textId="12DB6106" w:rsidR="008E6998" w:rsidRPr="000860F1" w:rsidRDefault="00162658">
            <w:pPr>
              <w:pStyle w:val="IPPArialTable"/>
              <w:rPr>
                <w:shd w:val="clear" w:color="auto" w:fill="C0C0C0"/>
              </w:rPr>
            </w:pPr>
            <w:r w:rsidRPr="000860F1">
              <w:t>–</w:t>
            </w:r>
            <w:r w:rsidRPr="000860F1">
              <w:rPr>
                <w:vertAlign w:val="superscript"/>
              </w:rPr>
              <w:t>†</w:t>
            </w:r>
          </w:p>
        </w:tc>
      </w:tr>
      <w:tr w:rsidR="008E6998" w:rsidRPr="000860F1" w14:paraId="48EDFFB0" w14:textId="77777777">
        <w:tc>
          <w:tcPr>
            <w:tcW w:w="3570" w:type="dxa"/>
            <w:shd w:val="clear" w:color="auto" w:fill="auto"/>
          </w:tcPr>
          <w:p w14:paraId="29B7F03C" w14:textId="0525DB74" w:rsidR="008E6998" w:rsidRPr="000860F1" w:rsidRDefault="000330D6">
            <w:pPr>
              <w:pStyle w:val="IPPArialTable"/>
            </w:pPr>
            <w:r w:rsidRPr="000860F1">
              <w:t xml:space="preserve">PCR </w:t>
            </w:r>
            <w:r w:rsidR="00716DFF" w:rsidRPr="000860F1">
              <w:t>b</w:t>
            </w:r>
            <w:r w:rsidRPr="000860F1">
              <w:t xml:space="preserve">uffer </w:t>
            </w:r>
          </w:p>
        </w:tc>
        <w:tc>
          <w:tcPr>
            <w:tcW w:w="5469" w:type="dxa"/>
            <w:gridSpan w:val="3"/>
            <w:shd w:val="clear" w:color="auto" w:fill="auto"/>
          </w:tcPr>
          <w:p w14:paraId="1087E878" w14:textId="1860B46E" w:rsidR="008E6998" w:rsidRPr="000860F1" w:rsidRDefault="000330D6">
            <w:pPr>
              <w:pStyle w:val="IPPArialTable"/>
            </w:pPr>
            <w:r w:rsidRPr="000860F1">
              <w:t>1×</w:t>
            </w:r>
          </w:p>
        </w:tc>
      </w:tr>
      <w:tr w:rsidR="008E6998" w:rsidRPr="000860F1" w14:paraId="22F72646" w14:textId="77777777">
        <w:tc>
          <w:tcPr>
            <w:tcW w:w="3570" w:type="dxa"/>
            <w:shd w:val="clear" w:color="auto" w:fill="auto"/>
          </w:tcPr>
          <w:p w14:paraId="6D76D056" w14:textId="50F697C8" w:rsidR="008E6998" w:rsidRPr="000860F1" w:rsidRDefault="000330D6">
            <w:pPr>
              <w:pStyle w:val="IPPArialTable"/>
            </w:pPr>
            <w:r w:rsidRPr="000860F1">
              <w:t xml:space="preserve">dNTPs </w:t>
            </w:r>
          </w:p>
        </w:tc>
        <w:tc>
          <w:tcPr>
            <w:tcW w:w="5469" w:type="dxa"/>
            <w:gridSpan w:val="3"/>
            <w:shd w:val="clear" w:color="auto" w:fill="auto"/>
          </w:tcPr>
          <w:p w14:paraId="02236570" w14:textId="1F29B9DC" w:rsidR="008E6998" w:rsidRPr="000860F1" w:rsidRDefault="000330D6">
            <w:pPr>
              <w:pStyle w:val="IPPArialTable"/>
            </w:pPr>
            <w:r w:rsidRPr="000860F1">
              <w:t xml:space="preserve">200 µM </w:t>
            </w:r>
          </w:p>
        </w:tc>
      </w:tr>
      <w:tr w:rsidR="008E6998" w:rsidRPr="000860F1" w14:paraId="25ED9311" w14:textId="77777777">
        <w:tc>
          <w:tcPr>
            <w:tcW w:w="3570" w:type="dxa"/>
            <w:shd w:val="clear" w:color="auto" w:fill="auto"/>
          </w:tcPr>
          <w:p w14:paraId="7E8401D4" w14:textId="1ECBFD79" w:rsidR="008E6998" w:rsidRPr="000860F1" w:rsidRDefault="000330D6">
            <w:pPr>
              <w:pStyle w:val="IPPArialTable"/>
            </w:pPr>
            <w:r w:rsidRPr="000860F1">
              <w:t>MgCl</w:t>
            </w:r>
            <w:r w:rsidRPr="000860F1">
              <w:rPr>
                <w:vertAlign w:val="subscript"/>
              </w:rPr>
              <w:t>2</w:t>
            </w:r>
          </w:p>
        </w:tc>
        <w:tc>
          <w:tcPr>
            <w:tcW w:w="5469" w:type="dxa"/>
            <w:gridSpan w:val="3"/>
            <w:shd w:val="clear" w:color="auto" w:fill="auto"/>
          </w:tcPr>
          <w:p w14:paraId="29470DEA" w14:textId="12C7C88D" w:rsidR="008E6998" w:rsidRPr="000860F1" w:rsidRDefault="000330D6">
            <w:pPr>
              <w:pStyle w:val="IPPArialTable"/>
            </w:pPr>
            <w:r w:rsidRPr="000860F1">
              <w:t>1.5 mM</w:t>
            </w:r>
          </w:p>
        </w:tc>
      </w:tr>
      <w:tr w:rsidR="008E6998" w:rsidRPr="000860F1" w14:paraId="10E7C96C" w14:textId="77777777">
        <w:tc>
          <w:tcPr>
            <w:tcW w:w="3570" w:type="dxa"/>
            <w:shd w:val="clear" w:color="auto" w:fill="auto"/>
          </w:tcPr>
          <w:p w14:paraId="262FAA7A" w14:textId="1565888A" w:rsidR="008E6998" w:rsidRPr="000860F1" w:rsidRDefault="000330D6">
            <w:pPr>
              <w:pStyle w:val="IPPArialTable"/>
            </w:pPr>
            <w:r w:rsidRPr="000860F1">
              <w:t>Primer FXYgyr499 (forward)</w:t>
            </w:r>
          </w:p>
        </w:tc>
        <w:tc>
          <w:tcPr>
            <w:tcW w:w="5469" w:type="dxa"/>
            <w:gridSpan w:val="3"/>
            <w:shd w:val="clear" w:color="auto" w:fill="auto"/>
          </w:tcPr>
          <w:p w14:paraId="0DABBFBF" w14:textId="7333DC43" w:rsidR="008E6998" w:rsidRPr="000860F1" w:rsidRDefault="000330D6">
            <w:pPr>
              <w:pStyle w:val="IPPArialTable"/>
            </w:pPr>
            <w:r w:rsidRPr="000860F1">
              <w:t>0.4 µM</w:t>
            </w:r>
          </w:p>
        </w:tc>
      </w:tr>
      <w:tr w:rsidR="008E6998" w:rsidRPr="000860F1" w14:paraId="4EBD35D7" w14:textId="77777777">
        <w:tc>
          <w:tcPr>
            <w:tcW w:w="3570" w:type="dxa"/>
            <w:shd w:val="clear" w:color="auto" w:fill="auto"/>
          </w:tcPr>
          <w:p w14:paraId="2726EF34" w14:textId="2795F725" w:rsidR="008E6998" w:rsidRPr="000860F1" w:rsidRDefault="000330D6">
            <w:pPr>
              <w:pStyle w:val="IPPArialTable"/>
            </w:pPr>
            <w:r w:rsidRPr="000860F1">
              <w:t>Primer RXYgyr907 (reverse)</w:t>
            </w:r>
          </w:p>
        </w:tc>
        <w:tc>
          <w:tcPr>
            <w:tcW w:w="5469" w:type="dxa"/>
            <w:gridSpan w:val="3"/>
            <w:shd w:val="clear" w:color="auto" w:fill="auto"/>
          </w:tcPr>
          <w:p w14:paraId="1BB375DC" w14:textId="3F370335" w:rsidR="008E6998" w:rsidRPr="000860F1" w:rsidRDefault="000330D6">
            <w:pPr>
              <w:pStyle w:val="IPPArialTable"/>
            </w:pPr>
            <w:r w:rsidRPr="000860F1">
              <w:t>0.4 µM</w:t>
            </w:r>
          </w:p>
        </w:tc>
      </w:tr>
      <w:tr w:rsidR="008E6998" w:rsidRPr="000860F1" w14:paraId="2A304324" w14:textId="77777777">
        <w:tc>
          <w:tcPr>
            <w:tcW w:w="3570" w:type="dxa"/>
            <w:tcBorders>
              <w:bottom w:val="single" w:sz="4" w:space="0" w:color="000000"/>
            </w:tcBorders>
            <w:shd w:val="clear" w:color="auto" w:fill="auto"/>
          </w:tcPr>
          <w:p w14:paraId="4BC7466E" w14:textId="3C82EE02" w:rsidR="008E6998" w:rsidRPr="000860F1" w:rsidRDefault="000330D6">
            <w:pPr>
              <w:pStyle w:val="IPPArialTable"/>
            </w:pPr>
            <w:r w:rsidRPr="000860F1">
              <w:t>Taq DNA polymerase (Invitrogen)</w:t>
            </w:r>
            <w:r w:rsidR="00314F55" w:rsidRPr="000860F1">
              <w:rPr>
                <w:rStyle w:val="FootnoteReference"/>
              </w:rPr>
              <w:t>1</w:t>
            </w:r>
          </w:p>
        </w:tc>
        <w:tc>
          <w:tcPr>
            <w:tcW w:w="5469" w:type="dxa"/>
            <w:gridSpan w:val="3"/>
            <w:tcBorders>
              <w:bottom w:val="single" w:sz="4" w:space="0" w:color="000000"/>
            </w:tcBorders>
            <w:shd w:val="clear" w:color="auto" w:fill="auto"/>
          </w:tcPr>
          <w:p w14:paraId="36E5D52F" w14:textId="05F18FD5" w:rsidR="008E6998" w:rsidRPr="000860F1" w:rsidRDefault="000330D6">
            <w:pPr>
              <w:pStyle w:val="IPPArialTable"/>
            </w:pPr>
            <w:r w:rsidRPr="000860F1">
              <w:t>2.5 U</w:t>
            </w:r>
          </w:p>
        </w:tc>
      </w:tr>
      <w:tr w:rsidR="008E6998" w:rsidRPr="000860F1" w14:paraId="7D93D1AA" w14:textId="77777777">
        <w:tc>
          <w:tcPr>
            <w:tcW w:w="3570" w:type="dxa"/>
            <w:tcBorders>
              <w:top w:val="single" w:sz="4" w:space="0" w:color="000000"/>
              <w:bottom w:val="single" w:sz="4" w:space="0" w:color="000000"/>
            </w:tcBorders>
            <w:shd w:val="clear" w:color="auto" w:fill="auto"/>
          </w:tcPr>
          <w:p w14:paraId="188C9878" w14:textId="1F278E56" w:rsidR="008E6998" w:rsidRPr="000860F1" w:rsidRDefault="000330D6">
            <w:pPr>
              <w:pStyle w:val="IPPArialTable"/>
            </w:pPr>
            <w:r w:rsidRPr="000860F1">
              <w:t>DNA volume</w:t>
            </w:r>
          </w:p>
        </w:tc>
        <w:tc>
          <w:tcPr>
            <w:tcW w:w="5469" w:type="dxa"/>
            <w:gridSpan w:val="3"/>
            <w:tcBorders>
              <w:top w:val="single" w:sz="4" w:space="0" w:color="000000"/>
              <w:bottom w:val="single" w:sz="4" w:space="0" w:color="000000"/>
            </w:tcBorders>
            <w:shd w:val="clear" w:color="auto" w:fill="auto"/>
          </w:tcPr>
          <w:p w14:paraId="64C1E5A5" w14:textId="6AF41468" w:rsidR="008E6998" w:rsidRPr="000860F1" w:rsidRDefault="000330D6">
            <w:pPr>
              <w:pStyle w:val="IPPArialTable"/>
            </w:pPr>
            <w:r w:rsidRPr="000860F1">
              <w:t>2 </w:t>
            </w:r>
            <w:r w:rsidR="0075067D" w:rsidRPr="000860F1">
              <w:t>µ</w:t>
            </w:r>
            <w:r w:rsidR="0075067D">
              <w:t>L</w:t>
            </w:r>
            <w:r w:rsidR="0075067D" w:rsidRPr="000860F1">
              <w:t xml:space="preserve"> </w:t>
            </w:r>
            <w:r w:rsidRPr="000860F1">
              <w:t xml:space="preserve">bacterial suspension or DNA extract </w:t>
            </w:r>
          </w:p>
        </w:tc>
      </w:tr>
      <w:tr w:rsidR="008E6998" w:rsidRPr="000860F1" w14:paraId="03EFF621" w14:textId="77777777">
        <w:trPr>
          <w:gridAfter w:val="1"/>
          <w:wAfter w:w="108" w:type="dxa"/>
        </w:trPr>
        <w:tc>
          <w:tcPr>
            <w:tcW w:w="5103" w:type="dxa"/>
            <w:gridSpan w:val="2"/>
            <w:tcBorders>
              <w:top w:val="single" w:sz="4" w:space="0" w:color="000000"/>
              <w:bottom w:val="single" w:sz="4" w:space="0" w:color="000000"/>
            </w:tcBorders>
            <w:shd w:val="clear" w:color="auto" w:fill="BFBFBF" w:themeFill="background1" w:themeFillShade="BF"/>
          </w:tcPr>
          <w:p w14:paraId="2ADF6816" w14:textId="5D0C4FF6" w:rsidR="008E6998" w:rsidRPr="000860F1" w:rsidRDefault="000330D6">
            <w:pPr>
              <w:pStyle w:val="IPPArialTable"/>
              <w:rPr>
                <w:b/>
              </w:rPr>
            </w:pPr>
            <w:r w:rsidRPr="000860F1">
              <w:rPr>
                <w:b/>
              </w:rPr>
              <w:t>Cycling parameters</w:t>
            </w:r>
          </w:p>
        </w:tc>
        <w:tc>
          <w:tcPr>
            <w:tcW w:w="3828" w:type="dxa"/>
            <w:tcBorders>
              <w:top w:val="single" w:sz="4" w:space="0" w:color="000000"/>
              <w:bottom w:val="single" w:sz="4" w:space="0" w:color="000000"/>
            </w:tcBorders>
            <w:shd w:val="clear" w:color="auto" w:fill="BFBFBF" w:themeFill="background1" w:themeFillShade="BF"/>
          </w:tcPr>
          <w:p w14:paraId="57A8DB3F" w14:textId="3C647359" w:rsidR="008E6998" w:rsidRPr="000860F1" w:rsidRDefault="008E6998">
            <w:pPr>
              <w:pStyle w:val="IPPArialTable"/>
            </w:pPr>
          </w:p>
        </w:tc>
      </w:tr>
      <w:tr w:rsidR="008E6998" w:rsidRPr="000860F1" w14:paraId="5A3E8915" w14:textId="77777777" w:rsidTr="00D1016B">
        <w:trPr>
          <w:gridAfter w:val="1"/>
          <w:wAfter w:w="108" w:type="dxa"/>
        </w:trPr>
        <w:tc>
          <w:tcPr>
            <w:tcW w:w="5103" w:type="dxa"/>
            <w:gridSpan w:val="2"/>
            <w:tcBorders>
              <w:top w:val="single" w:sz="4" w:space="0" w:color="000000"/>
            </w:tcBorders>
            <w:shd w:val="clear" w:color="auto" w:fill="auto"/>
          </w:tcPr>
          <w:p w14:paraId="27C1F53B" w14:textId="74A9F525" w:rsidR="008E6998" w:rsidRPr="000860F1" w:rsidRDefault="000330D6">
            <w:pPr>
              <w:pStyle w:val="IPPArialTable"/>
            </w:pPr>
            <w:r w:rsidRPr="000860F1">
              <w:t>Initial denaturation</w:t>
            </w:r>
          </w:p>
        </w:tc>
        <w:tc>
          <w:tcPr>
            <w:tcW w:w="3828" w:type="dxa"/>
            <w:tcBorders>
              <w:top w:val="single" w:sz="4" w:space="0" w:color="000000"/>
            </w:tcBorders>
            <w:shd w:val="clear" w:color="auto" w:fill="auto"/>
          </w:tcPr>
          <w:p w14:paraId="56E99679" w14:textId="372E8826" w:rsidR="008E6998" w:rsidRPr="000860F1" w:rsidRDefault="000330D6">
            <w:pPr>
              <w:pStyle w:val="IPPArialTable"/>
            </w:pPr>
            <w:r w:rsidRPr="000860F1">
              <w:t>94 °C for 3 min</w:t>
            </w:r>
          </w:p>
        </w:tc>
      </w:tr>
      <w:tr w:rsidR="008E6998" w:rsidRPr="000860F1" w14:paraId="7C80E5F2" w14:textId="77777777" w:rsidTr="00D1016B">
        <w:trPr>
          <w:gridAfter w:val="1"/>
          <w:wAfter w:w="108" w:type="dxa"/>
        </w:trPr>
        <w:tc>
          <w:tcPr>
            <w:tcW w:w="5103" w:type="dxa"/>
            <w:gridSpan w:val="2"/>
            <w:shd w:val="clear" w:color="auto" w:fill="auto"/>
          </w:tcPr>
          <w:p w14:paraId="2C1DBE66" w14:textId="0F29EF73" w:rsidR="008E6998" w:rsidRPr="000860F1" w:rsidRDefault="000330D6">
            <w:pPr>
              <w:pStyle w:val="IPPArialTable"/>
            </w:pPr>
            <w:r w:rsidRPr="000860F1">
              <w:t>Number of cycles</w:t>
            </w:r>
          </w:p>
        </w:tc>
        <w:tc>
          <w:tcPr>
            <w:tcW w:w="3828" w:type="dxa"/>
            <w:shd w:val="clear" w:color="auto" w:fill="auto"/>
          </w:tcPr>
          <w:p w14:paraId="0C1E2BBF" w14:textId="56D3D9DB" w:rsidR="008E6998" w:rsidRPr="000860F1" w:rsidRDefault="000330D6">
            <w:pPr>
              <w:pStyle w:val="IPPArialTable"/>
            </w:pPr>
            <w:r w:rsidRPr="000860F1">
              <w:t>30</w:t>
            </w:r>
          </w:p>
        </w:tc>
      </w:tr>
      <w:tr w:rsidR="008E6998" w:rsidRPr="000860F1" w14:paraId="2A6AACA0" w14:textId="77777777">
        <w:trPr>
          <w:gridAfter w:val="1"/>
          <w:wAfter w:w="108" w:type="dxa"/>
        </w:trPr>
        <w:tc>
          <w:tcPr>
            <w:tcW w:w="5103" w:type="dxa"/>
            <w:gridSpan w:val="2"/>
            <w:shd w:val="clear" w:color="auto" w:fill="auto"/>
          </w:tcPr>
          <w:p w14:paraId="78027184" w14:textId="1859808D" w:rsidR="008E6998" w:rsidRPr="000860F1" w:rsidRDefault="000330D6" w:rsidP="00A66AEE">
            <w:pPr>
              <w:pStyle w:val="IPPArialTable"/>
              <w:numPr>
                <w:ilvl w:val="0"/>
                <w:numId w:val="15"/>
              </w:numPr>
              <w:ind w:left="284" w:hanging="142"/>
            </w:pPr>
            <w:r w:rsidRPr="000860F1">
              <w:t>Denaturation</w:t>
            </w:r>
          </w:p>
        </w:tc>
        <w:tc>
          <w:tcPr>
            <w:tcW w:w="3828" w:type="dxa"/>
            <w:shd w:val="clear" w:color="auto" w:fill="auto"/>
          </w:tcPr>
          <w:p w14:paraId="10C9D7DB" w14:textId="3CA55A78" w:rsidR="008E6998" w:rsidRPr="000860F1" w:rsidRDefault="000330D6">
            <w:pPr>
              <w:pStyle w:val="IPPArialTable"/>
            </w:pPr>
            <w:r w:rsidRPr="000860F1">
              <w:t>94 °C for 1 min</w:t>
            </w:r>
          </w:p>
        </w:tc>
      </w:tr>
      <w:tr w:rsidR="008E6998" w:rsidRPr="000860F1" w14:paraId="74C905D6" w14:textId="77777777">
        <w:trPr>
          <w:gridAfter w:val="1"/>
          <w:wAfter w:w="108" w:type="dxa"/>
        </w:trPr>
        <w:tc>
          <w:tcPr>
            <w:tcW w:w="5103" w:type="dxa"/>
            <w:gridSpan w:val="2"/>
            <w:shd w:val="clear" w:color="auto" w:fill="auto"/>
          </w:tcPr>
          <w:p w14:paraId="596D3537" w14:textId="2E8C7EBE" w:rsidR="008E6998" w:rsidRPr="000860F1" w:rsidRDefault="000330D6" w:rsidP="00A66AEE">
            <w:pPr>
              <w:pStyle w:val="IPPArialTable"/>
              <w:numPr>
                <w:ilvl w:val="0"/>
                <w:numId w:val="15"/>
              </w:numPr>
              <w:ind w:left="284" w:hanging="142"/>
            </w:pPr>
            <w:r w:rsidRPr="000860F1">
              <w:t>Annealing</w:t>
            </w:r>
          </w:p>
        </w:tc>
        <w:tc>
          <w:tcPr>
            <w:tcW w:w="3828" w:type="dxa"/>
            <w:shd w:val="clear" w:color="auto" w:fill="auto"/>
          </w:tcPr>
          <w:p w14:paraId="4D9F5692" w14:textId="5EE70DFF" w:rsidR="008E6998" w:rsidRPr="000860F1" w:rsidRDefault="000330D6">
            <w:pPr>
              <w:pStyle w:val="IPPArialTable"/>
            </w:pPr>
            <w:r w:rsidRPr="000860F1">
              <w:t>60 °C for 1 min</w:t>
            </w:r>
          </w:p>
        </w:tc>
      </w:tr>
      <w:tr w:rsidR="008E6998" w:rsidRPr="000860F1" w14:paraId="0891F2F3" w14:textId="77777777" w:rsidTr="00D1016B">
        <w:trPr>
          <w:gridAfter w:val="1"/>
          <w:wAfter w:w="108" w:type="dxa"/>
        </w:trPr>
        <w:tc>
          <w:tcPr>
            <w:tcW w:w="5103" w:type="dxa"/>
            <w:gridSpan w:val="2"/>
            <w:shd w:val="clear" w:color="auto" w:fill="auto"/>
          </w:tcPr>
          <w:p w14:paraId="5EF1EB09" w14:textId="6110DAB5" w:rsidR="008E6998" w:rsidRPr="000860F1" w:rsidRDefault="000330D6" w:rsidP="00A66AEE">
            <w:pPr>
              <w:pStyle w:val="IPPArialTable"/>
              <w:numPr>
                <w:ilvl w:val="0"/>
                <w:numId w:val="15"/>
              </w:numPr>
              <w:ind w:left="284" w:hanging="142"/>
            </w:pPr>
            <w:r w:rsidRPr="000860F1">
              <w:t>Elongation</w:t>
            </w:r>
          </w:p>
        </w:tc>
        <w:tc>
          <w:tcPr>
            <w:tcW w:w="3828" w:type="dxa"/>
            <w:shd w:val="clear" w:color="auto" w:fill="auto"/>
          </w:tcPr>
          <w:p w14:paraId="01D2A1B3" w14:textId="5EA3413F" w:rsidR="008E6998" w:rsidRPr="000860F1" w:rsidRDefault="000330D6">
            <w:pPr>
              <w:pStyle w:val="IPPArialTable"/>
            </w:pPr>
            <w:r w:rsidRPr="000860F1">
              <w:t>72 °C for 2 min</w:t>
            </w:r>
          </w:p>
        </w:tc>
      </w:tr>
      <w:tr w:rsidR="008E6998" w:rsidRPr="000860F1" w14:paraId="2DA7F498" w14:textId="77777777" w:rsidTr="00D1016B">
        <w:trPr>
          <w:gridAfter w:val="1"/>
          <w:wAfter w:w="108" w:type="dxa"/>
        </w:trPr>
        <w:tc>
          <w:tcPr>
            <w:tcW w:w="5103" w:type="dxa"/>
            <w:gridSpan w:val="2"/>
            <w:tcBorders>
              <w:bottom w:val="single" w:sz="4" w:space="0" w:color="000000"/>
            </w:tcBorders>
            <w:shd w:val="clear" w:color="auto" w:fill="auto"/>
          </w:tcPr>
          <w:p w14:paraId="6221FA1E" w14:textId="380AF284" w:rsidR="008E6998" w:rsidRPr="000860F1" w:rsidRDefault="000330D6">
            <w:pPr>
              <w:pStyle w:val="IPPArialTable"/>
            </w:pPr>
            <w:r w:rsidRPr="000860F1">
              <w:t>Final elongation</w:t>
            </w:r>
          </w:p>
        </w:tc>
        <w:tc>
          <w:tcPr>
            <w:tcW w:w="3828" w:type="dxa"/>
            <w:tcBorders>
              <w:bottom w:val="single" w:sz="4" w:space="0" w:color="000000"/>
            </w:tcBorders>
            <w:shd w:val="clear" w:color="auto" w:fill="auto"/>
          </w:tcPr>
          <w:p w14:paraId="4C853751" w14:textId="1706899F" w:rsidR="008E6998" w:rsidRPr="000860F1" w:rsidRDefault="000330D6">
            <w:pPr>
              <w:pStyle w:val="IPPArialTable"/>
            </w:pPr>
            <w:r w:rsidRPr="000860F1">
              <w:t>72 °C for 7 min</w:t>
            </w:r>
          </w:p>
        </w:tc>
      </w:tr>
      <w:tr w:rsidR="008E6998" w:rsidRPr="000860F1" w14:paraId="22DADAFF" w14:textId="77777777">
        <w:trPr>
          <w:gridAfter w:val="1"/>
          <w:wAfter w:w="108" w:type="dxa"/>
        </w:trPr>
        <w:tc>
          <w:tcPr>
            <w:tcW w:w="5103" w:type="dxa"/>
            <w:gridSpan w:val="2"/>
            <w:tcBorders>
              <w:top w:val="single" w:sz="4" w:space="0" w:color="000000"/>
              <w:bottom w:val="single" w:sz="4" w:space="0" w:color="000000"/>
            </w:tcBorders>
            <w:shd w:val="clear" w:color="auto" w:fill="BFBFBF" w:themeFill="background1" w:themeFillShade="BF"/>
          </w:tcPr>
          <w:p w14:paraId="1F5F40B7" w14:textId="70DA602A" w:rsidR="008E6998" w:rsidRPr="000860F1" w:rsidRDefault="000330D6">
            <w:pPr>
              <w:pStyle w:val="IPPArialTable"/>
              <w:rPr>
                <w:b/>
              </w:rPr>
            </w:pPr>
            <w:r w:rsidRPr="000860F1">
              <w:rPr>
                <w:b/>
              </w:rPr>
              <w:t>Expected amplicons</w:t>
            </w:r>
          </w:p>
        </w:tc>
        <w:tc>
          <w:tcPr>
            <w:tcW w:w="3828" w:type="dxa"/>
            <w:tcBorders>
              <w:top w:val="single" w:sz="4" w:space="0" w:color="000000"/>
              <w:bottom w:val="single" w:sz="4" w:space="0" w:color="000000"/>
            </w:tcBorders>
            <w:shd w:val="clear" w:color="auto" w:fill="BFBFBF" w:themeFill="background1" w:themeFillShade="BF"/>
          </w:tcPr>
          <w:p w14:paraId="244269A0" w14:textId="04A82F6F" w:rsidR="008E6998" w:rsidRPr="000860F1" w:rsidRDefault="008E6998">
            <w:pPr>
              <w:pStyle w:val="IPPArialTable"/>
            </w:pPr>
          </w:p>
        </w:tc>
      </w:tr>
      <w:tr w:rsidR="008E6998" w:rsidRPr="000860F1" w14:paraId="374CBF52" w14:textId="77777777">
        <w:trPr>
          <w:gridAfter w:val="1"/>
          <w:wAfter w:w="108" w:type="dxa"/>
        </w:trPr>
        <w:tc>
          <w:tcPr>
            <w:tcW w:w="5103" w:type="dxa"/>
            <w:gridSpan w:val="2"/>
            <w:tcBorders>
              <w:top w:val="single" w:sz="4" w:space="0" w:color="000000"/>
              <w:bottom w:val="single" w:sz="4" w:space="0" w:color="000000"/>
            </w:tcBorders>
            <w:shd w:val="clear" w:color="auto" w:fill="auto"/>
          </w:tcPr>
          <w:p w14:paraId="41102122" w14:textId="433078AF" w:rsidR="008E6998" w:rsidRPr="000860F1" w:rsidRDefault="000330D6">
            <w:pPr>
              <w:pStyle w:val="IPPArialTable"/>
            </w:pPr>
            <w:r w:rsidRPr="000860F1">
              <w:t>Size</w:t>
            </w:r>
          </w:p>
        </w:tc>
        <w:tc>
          <w:tcPr>
            <w:tcW w:w="3828" w:type="dxa"/>
            <w:tcBorders>
              <w:top w:val="single" w:sz="4" w:space="0" w:color="000000"/>
              <w:bottom w:val="single" w:sz="4" w:space="0" w:color="000000"/>
            </w:tcBorders>
            <w:shd w:val="clear" w:color="auto" w:fill="auto"/>
          </w:tcPr>
          <w:p w14:paraId="22D3ED8B" w14:textId="3592B6BA" w:rsidR="008E6998" w:rsidRPr="000860F1" w:rsidRDefault="000330D6">
            <w:pPr>
              <w:pStyle w:val="IPPArialTable"/>
            </w:pPr>
            <w:r w:rsidRPr="000860F1">
              <w:t>429 bp</w:t>
            </w:r>
          </w:p>
        </w:tc>
      </w:tr>
    </w:tbl>
    <w:p w14:paraId="57B04B40" w14:textId="77777777" w:rsidR="003F32B9" w:rsidRPr="000860F1" w:rsidRDefault="003F32B9" w:rsidP="003F32B9">
      <w:pPr>
        <w:pStyle w:val="IPPArialFootnote"/>
        <w:rPr>
          <w:rStyle w:val="PleaseReviewParagraphId"/>
        </w:rPr>
      </w:pPr>
      <w:r w:rsidRPr="000860F1">
        <w:rPr>
          <w:vertAlign w:val="superscript"/>
        </w:rPr>
        <w:t>†</w:t>
      </w:r>
      <w:r w:rsidRPr="000860F1">
        <w:t xml:space="preserve"> For a final reaction volume of 20 </w:t>
      </w:r>
      <w:r w:rsidRPr="000860F1">
        <w:rPr>
          <w:rFonts w:cs="Arial"/>
        </w:rPr>
        <w:t>µ</w:t>
      </w:r>
      <w:r w:rsidRPr="000860F1">
        <w:t>l.</w:t>
      </w:r>
    </w:p>
    <w:p w14:paraId="16546DC1" w14:textId="4577C5EB" w:rsidR="008E6998" w:rsidRDefault="000330D6" w:rsidP="00D1016B">
      <w:pPr>
        <w:pStyle w:val="IPPArialFootnote"/>
        <w:spacing w:after="180"/>
      </w:pPr>
      <w:r w:rsidRPr="000860F1">
        <w:t>bp, base pairs; PCR, polymerase chain reaction.</w:t>
      </w:r>
    </w:p>
    <w:p w14:paraId="7E9A49A3" w14:textId="33FE7F6C" w:rsidR="0075067D" w:rsidRPr="004C1B1F" w:rsidRDefault="004C1B1F" w:rsidP="004C1B1F">
      <w:pPr>
        <w:pStyle w:val="IPPParagraphnumbering"/>
        <w:rPr>
          <w:rStyle w:val="PleaseReviewParagraphId"/>
          <w:rFonts w:ascii="Times New Roman" w:eastAsia="MS Mincho" w:hAnsi="Times New Roman"/>
          <w:color w:val="auto"/>
          <w:sz w:val="22"/>
          <w:szCs w:val="22"/>
        </w:rPr>
      </w:pPr>
      <w:r>
        <w:t xml:space="preserve"> </w:t>
      </w:r>
      <w:r w:rsidR="002B0231" w:rsidRPr="002B0231">
        <w:t>For the reactions listed above, a kit containing a mixture of all the reagents can be used</w:t>
      </w:r>
      <w:r w:rsidR="00AC2A12" w:rsidRPr="005246C1">
        <w:t xml:space="preserve">.  </w:t>
      </w:r>
    </w:p>
    <w:p w14:paraId="40034B19" w14:textId="3E44D196" w:rsidR="008E6998" w:rsidRPr="000860F1" w:rsidRDefault="000330D6">
      <w:pPr>
        <w:pStyle w:val="IPPHeading2"/>
        <w:rPr>
          <w:i/>
        </w:rPr>
      </w:pPr>
      <w:bookmarkStart w:id="43" w:name="_Toc111710139"/>
      <w:r w:rsidRPr="000860F1">
        <w:t>3.4.</w:t>
      </w:r>
      <w:r w:rsidR="00E004BE" w:rsidRPr="000860F1">
        <w:t>6</w:t>
      </w:r>
      <w:r w:rsidRPr="000860F1">
        <w:tab/>
        <w:t xml:space="preserve">Real-time PCR using the primers and probes of Harper </w:t>
      </w:r>
      <w:r w:rsidRPr="000860F1">
        <w:rPr>
          <w:i/>
        </w:rPr>
        <w:t>et al.</w:t>
      </w:r>
      <w:r w:rsidRPr="000860F1">
        <w:t xml:space="preserve"> (2010, erratum 2013)</w:t>
      </w:r>
      <w:bookmarkEnd w:id="43"/>
    </w:p>
    <w:p w14:paraId="5964CA95" w14:textId="71294A9F" w:rsidR="008E6998" w:rsidRPr="000860F1" w:rsidRDefault="000330D6" w:rsidP="004C1B1F">
      <w:pPr>
        <w:pStyle w:val="IPPParagraphnumbering"/>
      </w:pPr>
      <w:r w:rsidRPr="000860F1">
        <w:t xml:space="preserve">This PCR, developed by Harper </w:t>
      </w:r>
      <w:r w:rsidRPr="000860F1">
        <w:rPr>
          <w:i/>
          <w:iCs/>
        </w:rPr>
        <w:t>et</w:t>
      </w:r>
      <w:r w:rsidRPr="000860F1">
        <w:rPr>
          <w:i/>
        </w:rPr>
        <w:t> </w:t>
      </w:r>
      <w:r w:rsidRPr="000860F1">
        <w:rPr>
          <w:i/>
          <w:iCs/>
        </w:rPr>
        <w:t>al.</w:t>
      </w:r>
      <w:r w:rsidRPr="000860F1">
        <w:rPr>
          <w:iCs/>
        </w:rPr>
        <w:t xml:space="preserve"> </w:t>
      </w:r>
      <w:r w:rsidRPr="000860F1">
        <w:t xml:space="preserve">(2010, erratum 2013), is designed to amplify part of the 16S rRNA processing protein </w:t>
      </w:r>
      <w:r w:rsidRPr="000860F1">
        <w:rPr>
          <w:i/>
          <w:iCs/>
        </w:rPr>
        <w:t xml:space="preserve">rimM </w:t>
      </w:r>
      <w:r w:rsidRPr="000860F1">
        <w:rPr>
          <w:iCs/>
        </w:rPr>
        <w:t>gene</w:t>
      </w:r>
      <w:r w:rsidRPr="000860F1">
        <w:t xml:space="preserve">. DNA can be amplified from bacterial cultures, infected leaves, cane tissue or insect vectors. </w:t>
      </w:r>
    </w:p>
    <w:p w14:paraId="0ABCA16E" w14:textId="39436F03" w:rsidR="008E6998" w:rsidRPr="000860F1" w:rsidRDefault="000330D6" w:rsidP="004C1B1F">
      <w:pPr>
        <w:pStyle w:val="IPPParagraphnumbering"/>
      </w:pPr>
      <w:r w:rsidRPr="000860F1">
        <w:t xml:space="preserve">Harper </w:t>
      </w:r>
      <w:r w:rsidRPr="000860F1">
        <w:rPr>
          <w:i/>
        </w:rPr>
        <w:t>et</w:t>
      </w:r>
      <w:r w:rsidR="00E35F2A" w:rsidRPr="000860F1">
        <w:rPr>
          <w:i/>
          <w:iCs/>
        </w:rPr>
        <w:t> </w:t>
      </w:r>
      <w:r w:rsidRPr="000860F1">
        <w:rPr>
          <w:i/>
        </w:rPr>
        <w:t xml:space="preserve">al. </w:t>
      </w:r>
      <w:r w:rsidRPr="000860F1">
        <w:t xml:space="preserve">(2010, erratum 2013) evaluated analytical specificity with 95 strains of </w:t>
      </w:r>
      <w:r w:rsidRPr="000860F1">
        <w:rPr>
          <w:i/>
        </w:rPr>
        <w:t>X. fastidiosa</w:t>
      </w:r>
      <w:r w:rsidRPr="000860F1">
        <w:t xml:space="preserve"> from 20 different hosts and 26 non-target bacterial strains. Only </w:t>
      </w:r>
      <w:r w:rsidRPr="000860F1">
        <w:rPr>
          <w:i/>
        </w:rPr>
        <w:t>X. fastidiosa</w:t>
      </w:r>
      <w:r w:rsidRPr="000860F1">
        <w:t xml:space="preserve"> was detected. </w:t>
      </w:r>
      <w:r w:rsidRPr="000860F1">
        <w:rPr>
          <w:i/>
        </w:rPr>
        <w:t>Xylella</w:t>
      </w:r>
      <w:r w:rsidRPr="000860F1">
        <w:t xml:space="preserve"> </w:t>
      </w:r>
      <w:r w:rsidRPr="000860F1">
        <w:rPr>
          <w:i/>
        </w:rPr>
        <w:t xml:space="preserve">taiwanensis </w:t>
      </w:r>
      <w:r w:rsidRPr="000860F1">
        <w:t xml:space="preserve">from Taiwan Province of China was not detected. The PCR was further validated by Li </w:t>
      </w:r>
      <w:r w:rsidRPr="000860F1">
        <w:rPr>
          <w:i/>
        </w:rPr>
        <w:t>et al.</w:t>
      </w:r>
      <w:r w:rsidRPr="000860F1">
        <w:t xml:space="preserve"> (2013).</w:t>
      </w:r>
      <w:r w:rsidRPr="000860F1">
        <w:rPr>
          <w:rFonts w:ascii="Arial" w:hAnsi="Arial" w:cs="Arial"/>
          <w:sz w:val="18"/>
          <w:szCs w:val="18"/>
        </w:rPr>
        <w:t xml:space="preserve"> </w:t>
      </w:r>
      <w:r w:rsidRPr="000860F1">
        <w:t>Diagnostic specificity and sensitivity, as determined using citrus and grape hosts, are 100% (</w:t>
      </w:r>
      <w:r w:rsidR="00EE16FD" w:rsidRPr="000860F1">
        <w:t>EPPO, 2018</w:t>
      </w:r>
      <w:r w:rsidR="004509DB">
        <w:t>b</w:t>
      </w:r>
      <w:r w:rsidRPr="000860F1">
        <w:t xml:space="preserve">). For </w:t>
      </w:r>
      <w:r w:rsidRPr="000860F1">
        <w:rPr>
          <w:i/>
        </w:rPr>
        <w:t>O</w:t>
      </w:r>
      <w:r w:rsidR="004D334D">
        <w:rPr>
          <w:i/>
        </w:rPr>
        <w:t>. </w:t>
      </w:r>
      <w:r w:rsidRPr="000860F1">
        <w:rPr>
          <w:i/>
        </w:rPr>
        <w:t>europaea</w:t>
      </w:r>
      <w:r w:rsidRPr="000860F1">
        <w:t xml:space="preserve"> hosts when using CTAB extraction methods, diagnostic specificity is 100% and diagnostic sensitivity is 91% (</w:t>
      </w:r>
      <w:r w:rsidR="00EE16FD" w:rsidRPr="000860F1">
        <w:t>EPPO, 2018</w:t>
      </w:r>
      <w:r w:rsidR="004509DB">
        <w:t>b</w:t>
      </w:r>
      <w:r w:rsidRPr="000860F1">
        <w:t xml:space="preserve">). Further validation data are available </w:t>
      </w:r>
      <w:r w:rsidR="000B7797" w:rsidRPr="000860F1">
        <w:t xml:space="preserve">in the EPPO database </w:t>
      </w:r>
      <w:r w:rsidR="00445360">
        <w:t>on</w:t>
      </w:r>
      <w:r w:rsidR="00445360" w:rsidRPr="000860F1">
        <w:t xml:space="preserve"> </w:t>
      </w:r>
      <w:r w:rsidR="000B7797" w:rsidRPr="000860F1">
        <w:t>diagnostic expertise (EPPO, 2018</w:t>
      </w:r>
      <w:r w:rsidR="004509DB">
        <w:t>c</w:t>
      </w:r>
      <w:r w:rsidR="000B7797" w:rsidRPr="000860F1">
        <w:t>).</w:t>
      </w:r>
      <w:r w:rsidRPr="000860F1">
        <w:t xml:space="preserve"> The analytical sensitivity</w:t>
      </w:r>
      <w:r w:rsidR="00917951" w:rsidRPr="000860F1">
        <w:t xml:space="preserve"> </w:t>
      </w:r>
      <w:r w:rsidR="00503FE9" w:rsidRPr="000860F1">
        <w:t>(</w:t>
      </w:r>
      <w:r w:rsidRPr="000860F1">
        <w:t>detection limit) is between 10</w:t>
      </w:r>
      <w:r w:rsidRPr="000860F1">
        <w:rPr>
          <w:vertAlign w:val="superscript"/>
        </w:rPr>
        <w:t>2</w:t>
      </w:r>
      <w:r w:rsidRPr="000860F1">
        <w:t> cfu/</w:t>
      </w:r>
      <w:r w:rsidR="00D415AF">
        <w:t>mL</w:t>
      </w:r>
      <w:r w:rsidR="00AC2A12" w:rsidRPr="000860F1">
        <w:t xml:space="preserve"> </w:t>
      </w:r>
      <w:r w:rsidRPr="000860F1">
        <w:t xml:space="preserve">for </w:t>
      </w:r>
      <w:r w:rsidRPr="000860F1">
        <w:rPr>
          <w:i/>
        </w:rPr>
        <w:t>Citrus</w:t>
      </w:r>
      <w:r w:rsidRPr="000860F1">
        <w:t xml:space="preserve"> spp. and </w:t>
      </w:r>
      <w:r w:rsidR="00E004BE" w:rsidRPr="000860F1">
        <w:rPr>
          <w:i/>
        </w:rPr>
        <w:t>V.</w:t>
      </w:r>
      <w:r w:rsidR="00296B91" w:rsidRPr="000860F1">
        <w:rPr>
          <w:i/>
        </w:rPr>
        <w:t> </w:t>
      </w:r>
      <w:r w:rsidRPr="000860F1">
        <w:rPr>
          <w:i/>
        </w:rPr>
        <w:t>vinifera</w:t>
      </w:r>
      <w:r w:rsidRPr="000860F1">
        <w:t xml:space="preserve"> </w:t>
      </w:r>
      <w:r w:rsidRPr="002C3C59">
        <w:t>and 10</w:t>
      </w:r>
      <w:r w:rsidR="002C3C59" w:rsidRPr="002C3C59">
        <w:rPr>
          <w:vertAlign w:val="superscript"/>
        </w:rPr>
        <w:t>4</w:t>
      </w:r>
      <w:r w:rsidRPr="002C3C59">
        <w:t> cfu/</w:t>
      </w:r>
      <w:r w:rsidR="00D415AF">
        <w:t>mL</w:t>
      </w:r>
      <w:r w:rsidR="001E287F" w:rsidRPr="002C3C59">
        <w:t xml:space="preserve"> </w:t>
      </w:r>
      <w:r w:rsidRPr="002C3C59">
        <w:t xml:space="preserve">for </w:t>
      </w:r>
      <w:r w:rsidR="00E004BE" w:rsidRPr="002C3C59">
        <w:rPr>
          <w:i/>
        </w:rPr>
        <w:t>O.</w:t>
      </w:r>
      <w:r w:rsidR="00296B91" w:rsidRPr="002C3C59">
        <w:rPr>
          <w:i/>
        </w:rPr>
        <w:t> </w:t>
      </w:r>
      <w:r w:rsidRPr="002C3C59">
        <w:rPr>
          <w:i/>
        </w:rPr>
        <w:t>europaea</w:t>
      </w:r>
      <w:r w:rsidR="002C3C59">
        <w:rPr>
          <w:i/>
        </w:rPr>
        <w:t xml:space="preserve"> </w:t>
      </w:r>
      <w:r w:rsidR="002C3C59" w:rsidRPr="002C3C59">
        <w:t>(EPPO, 2022)</w:t>
      </w:r>
      <w:r w:rsidRPr="002C3C59">
        <w:t>.</w:t>
      </w:r>
      <w:r w:rsidRPr="000860F1">
        <w:t xml:space="preserve"> </w:t>
      </w:r>
    </w:p>
    <w:p w14:paraId="0189B0A3" w14:textId="046A9045" w:rsidR="008E6998" w:rsidRPr="000860F1" w:rsidRDefault="000330D6" w:rsidP="004C1B1F">
      <w:pPr>
        <w:pStyle w:val="IPPParagraphnumbering"/>
      </w:pPr>
      <w:r w:rsidRPr="000860F1">
        <w:t>The oligonucleotide primers and probes used are:</w:t>
      </w:r>
    </w:p>
    <w:p w14:paraId="1A4A0F1F" w14:textId="072D5ED1" w:rsidR="008E6998" w:rsidRPr="000860F1" w:rsidRDefault="000330D6" w:rsidP="00D1016B">
      <w:pPr>
        <w:pStyle w:val="IPPIndentClose"/>
      </w:pPr>
      <w:r w:rsidRPr="000860F1">
        <w:t>XF-F (forward primer): 5</w:t>
      </w:r>
      <w:r w:rsidRPr="000860F1">
        <w:rPr>
          <w:szCs w:val="22"/>
        </w:rPr>
        <w:t>′</w:t>
      </w:r>
      <w:r w:rsidRPr="000860F1">
        <w:t>-CAC GGC TGG TAA CGG AAG A-3</w:t>
      </w:r>
      <w:r w:rsidRPr="000860F1">
        <w:rPr>
          <w:szCs w:val="22"/>
        </w:rPr>
        <w:t>′</w:t>
      </w:r>
    </w:p>
    <w:p w14:paraId="2632CAB1" w14:textId="729B30CB" w:rsidR="008E6998" w:rsidRPr="005C3D8E" w:rsidRDefault="000330D6" w:rsidP="00D1016B">
      <w:pPr>
        <w:pStyle w:val="IPPIndentClose"/>
      </w:pPr>
      <w:r w:rsidRPr="005C3D8E">
        <w:t>XF-R (reverse primer): 5</w:t>
      </w:r>
      <w:r w:rsidRPr="005C3D8E">
        <w:rPr>
          <w:szCs w:val="22"/>
        </w:rPr>
        <w:t>′</w:t>
      </w:r>
      <w:r w:rsidRPr="005C3D8E">
        <w:t>-GGG TTG CGT GGT GAA ATC AAG-3</w:t>
      </w:r>
      <w:r w:rsidRPr="005C3D8E">
        <w:rPr>
          <w:szCs w:val="22"/>
        </w:rPr>
        <w:t>′</w:t>
      </w:r>
    </w:p>
    <w:p w14:paraId="0596B0A6" w14:textId="46ABD6C7" w:rsidR="008E6998" w:rsidRPr="000860F1" w:rsidRDefault="000330D6" w:rsidP="00D1016B">
      <w:pPr>
        <w:pStyle w:val="IPPIndent"/>
      </w:pPr>
      <w:r w:rsidRPr="000860F1">
        <w:t>XF-P (hydrolysis probe): 5</w:t>
      </w:r>
      <w:r w:rsidRPr="000860F1">
        <w:rPr>
          <w:szCs w:val="22"/>
        </w:rPr>
        <w:t>′</w:t>
      </w:r>
      <w:r w:rsidRPr="000860F1">
        <w:t>-6</w:t>
      </w:r>
      <w:r w:rsidRPr="000860F1">
        <w:rPr>
          <w:szCs w:val="22"/>
        </w:rPr>
        <w:t>-</w:t>
      </w:r>
      <w:r w:rsidRPr="000860F1">
        <w:t>FAM-TCG CAT CCC GTG GCT CAG TCC-BHQ-1-3</w:t>
      </w:r>
      <w:r w:rsidRPr="000860F1">
        <w:rPr>
          <w:szCs w:val="22"/>
        </w:rPr>
        <w:t>′</w:t>
      </w:r>
    </w:p>
    <w:p w14:paraId="01037EF4" w14:textId="438620D3" w:rsidR="008E6998" w:rsidRPr="000860F1" w:rsidRDefault="000330D6" w:rsidP="004C1B1F">
      <w:pPr>
        <w:pStyle w:val="IPPParagraphnumbering"/>
      </w:pPr>
      <w:r w:rsidRPr="000860F1">
        <w:t xml:space="preserve">The master mix for the Harper </w:t>
      </w:r>
      <w:r w:rsidRPr="000860F1">
        <w:rPr>
          <w:i/>
        </w:rPr>
        <w:t>et al.</w:t>
      </w:r>
      <w:r w:rsidRPr="000860F1">
        <w:t xml:space="preserve"> (2010, erratum 2013) primers and probes is described in Table </w:t>
      </w:r>
      <w:r w:rsidR="008D3BD9">
        <w:t>8</w:t>
      </w:r>
      <w:r w:rsidRPr="000860F1">
        <w:t>.</w:t>
      </w:r>
    </w:p>
    <w:p w14:paraId="7E29F9AB" w14:textId="49473437" w:rsidR="008E6998" w:rsidRPr="00133D6E" w:rsidRDefault="000330D6" w:rsidP="00D1016B">
      <w:pPr>
        <w:pStyle w:val="IPPArial"/>
        <w:keepNext/>
        <w:spacing w:after="120"/>
        <w:rPr>
          <w:rFonts w:cs="Arial"/>
          <w:szCs w:val="18"/>
        </w:rPr>
      </w:pPr>
      <w:r w:rsidRPr="00133D6E">
        <w:rPr>
          <w:rFonts w:cs="Arial"/>
          <w:b/>
          <w:szCs w:val="18"/>
        </w:rPr>
        <w:t>Table </w:t>
      </w:r>
      <w:r w:rsidR="00EF03FA" w:rsidRPr="00133D6E">
        <w:rPr>
          <w:rFonts w:cs="Arial"/>
          <w:b/>
          <w:szCs w:val="18"/>
        </w:rPr>
        <w:t>8</w:t>
      </w:r>
      <w:r w:rsidRPr="00133D6E">
        <w:rPr>
          <w:rFonts w:cs="Arial"/>
          <w:b/>
          <w:szCs w:val="18"/>
        </w:rPr>
        <w:t>.</w:t>
      </w:r>
      <w:r w:rsidRPr="00133D6E">
        <w:rPr>
          <w:rFonts w:cs="Arial"/>
          <w:szCs w:val="18"/>
        </w:rPr>
        <w:t xml:space="preserve"> Master mix composition </w:t>
      </w:r>
      <w:r w:rsidR="00AC7513" w:rsidRPr="00133D6E">
        <w:rPr>
          <w:rFonts w:cs="Arial"/>
          <w:szCs w:val="18"/>
        </w:rPr>
        <w:t xml:space="preserve">and cycling parameters </w:t>
      </w:r>
      <w:r w:rsidRPr="00133D6E">
        <w:rPr>
          <w:rFonts w:cs="Arial"/>
          <w:szCs w:val="18"/>
        </w:rPr>
        <w:t xml:space="preserve">for real-time PCR </w:t>
      </w:r>
      <w:r w:rsidR="00AC7513" w:rsidRPr="00133D6E">
        <w:rPr>
          <w:rFonts w:cs="Arial"/>
          <w:szCs w:val="18"/>
        </w:rPr>
        <w:t xml:space="preserve">using the primers </w:t>
      </w:r>
      <w:r w:rsidR="006F1BBE" w:rsidRPr="00133D6E">
        <w:rPr>
          <w:rFonts w:cs="Arial"/>
          <w:szCs w:val="18"/>
        </w:rPr>
        <w:t xml:space="preserve">and probes </w:t>
      </w:r>
      <w:r w:rsidR="00AC7513" w:rsidRPr="00133D6E">
        <w:rPr>
          <w:rFonts w:cs="Arial"/>
          <w:szCs w:val="18"/>
        </w:rPr>
        <w:t xml:space="preserve">of Harper </w:t>
      </w:r>
      <w:r w:rsidR="00AC7513" w:rsidRPr="00133D6E">
        <w:rPr>
          <w:rFonts w:cs="Arial"/>
          <w:i/>
          <w:szCs w:val="18"/>
        </w:rPr>
        <w:t>et</w:t>
      </w:r>
      <w:r w:rsidR="002A40E1" w:rsidRPr="00133D6E">
        <w:rPr>
          <w:rFonts w:cs="Arial"/>
          <w:i/>
          <w:szCs w:val="18"/>
        </w:rPr>
        <w:t> </w:t>
      </w:r>
      <w:r w:rsidR="00AC7513" w:rsidRPr="00133D6E">
        <w:rPr>
          <w:rFonts w:cs="Arial"/>
          <w:i/>
          <w:szCs w:val="18"/>
        </w:rPr>
        <w:t xml:space="preserve">al. </w:t>
      </w:r>
      <w:r w:rsidR="00AC7513" w:rsidRPr="00133D6E">
        <w:rPr>
          <w:rFonts w:cs="Arial"/>
          <w:szCs w:val="18"/>
        </w:rPr>
        <w:t>(2010, erratum 2013)</w:t>
      </w:r>
    </w:p>
    <w:tbl>
      <w:tblPr>
        <w:tblW w:w="9072" w:type="dxa"/>
        <w:tblLayout w:type="fixed"/>
        <w:tblLook w:val="0000" w:firstRow="0" w:lastRow="0" w:firstColumn="0" w:lastColumn="0" w:noHBand="0" w:noVBand="0"/>
      </w:tblPr>
      <w:tblGrid>
        <w:gridCol w:w="5103"/>
        <w:gridCol w:w="3969"/>
      </w:tblGrid>
      <w:tr w:rsidR="008E6998" w:rsidRPr="000860F1" w14:paraId="516B55D4" w14:textId="77777777">
        <w:tc>
          <w:tcPr>
            <w:tcW w:w="5103" w:type="dxa"/>
            <w:tcBorders>
              <w:top w:val="single" w:sz="4" w:space="0" w:color="000000"/>
              <w:bottom w:val="single" w:sz="4" w:space="0" w:color="000000"/>
            </w:tcBorders>
            <w:shd w:val="clear" w:color="auto" w:fill="BFBFBF"/>
          </w:tcPr>
          <w:p w14:paraId="2B5BFEF6" w14:textId="75403907" w:rsidR="008E6998" w:rsidRPr="000860F1" w:rsidRDefault="000330D6">
            <w:pPr>
              <w:pStyle w:val="IPPArialTable"/>
              <w:rPr>
                <w:b/>
              </w:rPr>
            </w:pPr>
            <w:r w:rsidRPr="000860F1">
              <w:rPr>
                <w:b/>
              </w:rPr>
              <w:t>Reagents</w:t>
            </w:r>
          </w:p>
        </w:tc>
        <w:tc>
          <w:tcPr>
            <w:tcW w:w="3969" w:type="dxa"/>
            <w:tcBorders>
              <w:top w:val="single" w:sz="4" w:space="0" w:color="000000"/>
              <w:bottom w:val="single" w:sz="4" w:space="0" w:color="000000"/>
            </w:tcBorders>
            <w:shd w:val="clear" w:color="auto" w:fill="BFBFBF"/>
          </w:tcPr>
          <w:p w14:paraId="0350E4EF" w14:textId="3BD8AF2A" w:rsidR="008E6998" w:rsidRPr="000860F1" w:rsidRDefault="000330D6">
            <w:pPr>
              <w:pStyle w:val="IPPArialTable"/>
              <w:rPr>
                <w:b/>
              </w:rPr>
            </w:pPr>
            <w:r w:rsidRPr="000860F1">
              <w:rPr>
                <w:b/>
              </w:rPr>
              <w:t>Final concentration</w:t>
            </w:r>
          </w:p>
        </w:tc>
      </w:tr>
      <w:tr w:rsidR="008E6998" w:rsidRPr="000860F1" w14:paraId="44553EB6" w14:textId="77777777">
        <w:tc>
          <w:tcPr>
            <w:tcW w:w="5103" w:type="dxa"/>
            <w:tcBorders>
              <w:top w:val="single" w:sz="4" w:space="0" w:color="000000"/>
            </w:tcBorders>
            <w:shd w:val="clear" w:color="auto" w:fill="auto"/>
          </w:tcPr>
          <w:p w14:paraId="1DC877EB" w14:textId="02C4AE36" w:rsidR="008E6998" w:rsidRPr="000860F1" w:rsidRDefault="000330D6">
            <w:pPr>
              <w:pStyle w:val="IPPArialTable"/>
            </w:pPr>
            <w:r w:rsidRPr="000860F1">
              <w:t>PCR grade</w:t>
            </w:r>
            <w:r w:rsidRPr="000860F1">
              <w:rPr>
                <w:vertAlign w:val="superscript"/>
              </w:rPr>
              <w:t xml:space="preserve"> </w:t>
            </w:r>
            <w:r w:rsidRPr="000860F1">
              <w:t xml:space="preserve">water </w:t>
            </w:r>
          </w:p>
        </w:tc>
        <w:tc>
          <w:tcPr>
            <w:tcW w:w="3969" w:type="dxa"/>
            <w:tcBorders>
              <w:top w:val="single" w:sz="4" w:space="0" w:color="000000"/>
            </w:tcBorders>
            <w:shd w:val="clear" w:color="auto" w:fill="FFFFFF"/>
          </w:tcPr>
          <w:p w14:paraId="2EAD2AF1" w14:textId="4E5BF9D3" w:rsidR="008E6998" w:rsidRPr="000860F1" w:rsidRDefault="00162658">
            <w:pPr>
              <w:pStyle w:val="IPPArialTable"/>
              <w:rPr>
                <w:shd w:val="clear" w:color="auto" w:fill="C0C0C0"/>
              </w:rPr>
            </w:pPr>
            <w:r w:rsidRPr="000860F1">
              <w:rPr>
                <w:rStyle w:val="PleaseReviewParagraphId"/>
              </w:rPr>
              <w:t>–</w:t>
            </w:r>
            <w:r w:rsidRPr="000860F1">
              <w:rPr>
                <w:vertAlign w:val="superscript"/>
              </w:rPr>
              <w:t>†</w:t>
            </w:r>
          </w:p>
        </w:tc>
      </w:tr>
      <w:tr w:rsidR="008E6998" w:rsidRPr="000860F1" w14:paraId="2843B8F4" w14:textId="77777777">
        <w:tc>
          <w:tcPr>
            <w:tcW w:w="5103" w:type="dxa"/>
            <w:shd w:val="clear" w:color="auto" w:fill="auto"/>
          </w:tcPr>
          <w:p w14:paraId="155399D2" w14:textId="398BF3F0" w:rsidR="008E6998" w:rsidRPr="000860F1" w:rsidRDefault="000330D6">
            <w:pPr>
              <w:pStyle w:val="IPPArialTable"/>
            </w:pPr>
            <w:r w:rsidRPr="000860F1">
              <w:t xml:space="preserve">PCR </w:t>
            </w:r>
            <w:r w:rsidR="00D13B37" w:rsidRPr="000860F1">
              <w:t>m</w:t>
            </w:r>
            <w:r w:rsidRPr="000860F1">
              <w:t>ix (2× Supermix – UDG Invitrogen)</w:t>
            </w:r>
            <w:r w:rsidR="00314F55" w:rsidRPr="000860F1">
              <w:rPr>
                <w:rStyle w:val="FootnoteReference"/>
              </w:rPr>
              <w:t>1</w:t>
            </w:r>
          </w:p>
        </w:tc>
        <w:tc>
          <w:tcPr>
            <w:tcW w:w="3969" w:type="dxa"/>
            <w:shd w:val="clear" w:color="auto" w:fill="auto"/>
          </w:tcPr>
          <w:p w14:paraId="4340CEA0" w14:textId="491A1853" w:rsidR="008E6998" w:rsidRPr="000860F1" w:rsidRDefault="000330D6">
            <w:pPr>
              <w:pStyle w:val="IPPArialTable"/>
            </w:pPr>
            <w:r w:rsidRPr="000860F1">
              <w:t>1×</w:t>
            </w:r>
          </w:p>
        </w:tc>
      </w:tr>
      <w:tr w:rsidR="008E6998" w:rsidRPr="000860F1" w14:paraId="3A7C2DFA" w14:textId="77777777">
        <w:tc>
          <w:tcPr>
            <w:tcW w:w="5103" w:type="dxa"/>
            <w:shd w:val="clear" w:color="auto" w:fill="auto"/>
          </w:tcPr>
          <w:p w14:paraId="491B2089" w14:textId="092415B4" w:rsidR="008E6998" w:rsidRPr="000860F1" w:rsidRDefault="000330D6">
            <w:pPr>
              <w:pStyle w:val="IPPArialTable"/>
            </w:pPr>
            <w:r w:rsidRPr="000860F1">
              <w:t>MgCl</w:t>
            </w:r>
            <w:r w:rsidRPr="000860F1">
              <w:rPr>
                <w:vertAlign w:val="subscript"/>
              </w:rPr>
              <w:t>2</w:t>
            </w:r>
            <w:r w:rsidRPr="000860F1">
              <w:t xml:space="preserve"> (to a final concentration of)</w:t>
            </w:r>
          </w:p>
        </w:tc>
        <w:tc>
          <w:tcPr>
            <w:tcW w:w="3969" w:type="dxa"/>
            <w:shd w:val="clear" w:color="auto" w:fill="auto"/>
          </w:tcPr>
          <w:p w14:paraId="30BC14F1" w14:textId="48613CEF" w:rsidR="008E6998" w:rsidRPr="000860F1" w:rsidRDefault="000330D6">
            <w:pPr>
              <w:pStyle w:val="IPPArialTable"/>
            </w:pPr>
            <w:r w:rsidRPr="000860F1">
              <w:t>4 mM</w:t>
            </w:r>
          </w:p>
        </w:tc>
      </w:tr>
      <w:tr w:rsidR="008E6998" w:rsidRPr="000860F1" w14:paraId="5E107042" w14:textId="77777777">
        <w:tc>
          <w:tcPr>
            <w:tcW w:w="5103" w:type="dxa"/>
            <w:shd w:val="clear" w:color="auto" w:fill="auto"/>
          </w:tcPr>
          <w:p w14:paraId="48FCB426" w14:textId="556B6C8C" w:rsidR="008E6998" w:rsidRPr="000860F1" w:rsidRDefault="000330D6">
            <w:pPr>
              <w:pStyle w:val="IPPArialTable"/>
            </w:pPr>
            <w:r w:rsidRPr="000860F1">
              <w:t>BSA</w:t>
            </w:r>
          </w:p>
        </w:tc>
        <w:tc>
          <w:tcPr>
            <w:tcW w:w="3969" w:type="dxa"/>
            <w:shd w:val="clear" w:color="auto" w:fill="auto"/>
          </w:tcPr>
          <w:p w14:paraId="2197F7F7" w14:textId="15301AE4" w:rsidR="008E6998" w:rsidRPr="000860F1" w:rsidRDefault="000330D6">
            <w:pPr>
              <w:pStyle w:val="IPPArialTable"/>
            </w:pPr>
            <w:r w:rsidRPr="000860F1">
              <w:t>300 ng/µl</w:t>
            </w:r>
          </w:p>
        </w:tc>
      </w:tr>
      <w:tr w:rsidR="008E6998" w:rsidRPr="000860F1" w14:paraId="4DA7B95D" w14:textId="77777777">
        <w:tc>
          <w:tcPr>
            <w:tcW w:w="5103" w:type="dxa"/>
            <w:shd w:val="clear" w:color="auto" w:fill="auto"/>
          </w:tcPr>
          <w:p w14:paraId="37AF704A" w14:textId="7184631C" w:rsidR="008E6998" w:rsidRPr="000860F1" w:rsidRDefault="000330D6">
            <w:pPr>
              <w:pStyle w:val="IPPArialTable"/>
            </w:pPr>
            <w:r w:rsidRPr="000860F1">
              <w:t>Primer XF-F (forward)</w:t>
            </w:r>
          </w:p>
        </w:tc>
        <w:tc>
          <w:tcPr>
            <w:tcW w:w="3969" w:type="dxa"/>
            <w:shd w:val="clear" w:color="auto" w:fill="auto"/>
          </w:tcPr>
          <w:p w14:paraId="60739854" w14:textId="7EDB118B" w:rsidR="008E6998" w:rsidRPr="000860F1" w:rsidRDefault="000330D6">
            <w:pPr>
              <w:pStyle w:val="IPPArialTable"/>
            </w:pPr>
            <w:r w:rsidRPr="000860F1">
              <w:t>0.3 µM</w:t>
            </w:r>
          </w:p>
        </w:tc>
      </w:tr>
      <w:tr w:rsidR="008E6998" w:rsidRPr="000860F1" w14:paraId="49A6BB68" w14:textId="77777777">
        <w:tc>
          <w:tcPr>
            <w:tcW w:w="5103" w:type="dxa"/>
            <w:shd w:val="clear" w:color="auto" w:fill="auto"/>
          </w:tcPr>
          <w:p w14:paraId="367EFF60" w14:textId="353D02C0" w:rsidR="008E6998" w:rsidRPr="000860F1" w:rsidRDefault="000330D6">
            <w:pPr>
              <w:pStyle w:val="IPPArialTable"/>
            </w:pPr>
            <w:r w:rsidRPr="000860F1">
              <w:t>Primer XF-R (reverse)</w:t>
            </w:r>
          </w:p>
        </w:tc>
        <w:tc>
          <w:tcPr>
            <w:tcW w:w="3969" w:type="dxa"/>
            <w:shd w:val="clear" w:color="auto" w:fill="auto"/>
          </w:tcPr>
          <w:p w14:paraId="4117D081" w14:textId="009F3FF8" w:rsidR="008E6998" w:rsidRPr="000860F1" w:rsidRDefault="000330D6">
            <w:pPr>
              <w:pStyle w:val="IPPArialTable"/>
            </w:pPr>
            <w:r w:rsidRPr="000860F1">
              <w:t>0.3 µM</w:t>
            </w:r>
          </w:p>
        </w:tc>
      </w:tr>
      <w:tr w:rsidR="008E6998" w:rsidRPr="000860F1" w14:paraId="18A9CC32" w14:textId="77777777">
        <w:tc>
          <w:tcPr>
            <w:tcW w:w="5103" w:type="dxa"/>
            <w:tcBorders>
              <w:bottom w:val="single" w:sz="4" w:space="0" w:color="000000"/>
            </w:tcBorders>
            <w:shd w:val="clear" w:color="auto" w:fill="auto"/>
          </w:tcPr>
          <w:p w14:paraId="1C7056C1" w14:textId="7865B3C1" w:rsidR="008E6998" w:rsidRPr="000860F1" w:rsidRDefault="000330D6">
            <w:pPr>
              <w:pStyle w:val="IPPArialTable"/>
            </w:pPr>
            <w:r w:rsidRPr="000860F1">
              <w:t>Probe XF-P</w:t>
            </w:r>
          </w:p>
        </w:tc>
        <w:tc>
          <w:tcPr>
            <w:tcW w:w="3969" w:type="dxa"/>
            <w:tcBorders>
              <w:bottom w:val="single" w:sz="4" w:space="0" w:color="000000"/>
            </w:tcBorders>
            <w:shd w:val="clear" w:color="auto" w:fill="auto"/>
          </w:tcPr>
          <w:p w14:paraId="1CBCF904" w14:textId="70ADE8D3" w:rsidR="008E6998" w:rsidRPr="000860F1" w:rsidRDefault="000330D6">
            <w:pPr>
              <w:pStyle w:val="IPPArialTable"/>
            </w:pPr>
            <w:r w:rsidRPr="000860F1">
              <w:t>0.1 µM</w:t>
            </w:r>
          </w:p>
        </w:tc>
      </w:tr>
      <w:tr w:rsidR="008E6998" w:rsidRPr="000860F1" w14:paraId="3400E107" w14:textId="77777777">
        <w:tc>
          <w:tcPr>
            <w:tcW w:w="5103" w:type="dxa"/>
            <w:tcBorders>
              <w:top w:val="single" w:sz="4" w:space="0" w:color="000000"/>
              <w:bottom w:val="single" w:sz="4" w:space="0" w:color="000000"/>
            </w:tcBorders>
            <w:shd w:val="clear" w:color="auto" w:fill="auto"/>
          </w:tcPr>
          <w:p w14:paraId="450B676A" w14:textId="5AC9D9D1" w:rsidR="008E6998" w:rsidRPr="000860F1" w:rsidRDefault="000330D6">
            <w:pPr>
              <w:pStyle w:val="IPPArialTable"/>
            </w:pPr>
            <w:r w:rsidRPr="000860F1">
              <w:t>DNA volume</w:t>
            </w:r>
          </w:p>
        </w:tc>
        <w:tc>
          <w:tcPr>
            <w:tcW w:w="3969" w:type="dxa"/>
            <w:tcBorders>
              <w:top w:val="single" w:sz="4" w:space="0" w:color="000000"/>
              <w:bottom w:val="single" w:sz="4" w:space="0" w:color="000000"/>
            </w:tcBorders>
            <w:shd w:val="clear" w:color="auto" w:fill="auto"/>
          </w:tcPr>
          <w:p w14:paraId="618B31C3" w14:textId="30BFC42E" w:rsidR="008E6998" w:rsidRPr="000860F1" w:rsidRDefault="000330D6">
            <w:pPr>
              <w:pStyle w:val="IPPArialTable"/>
            </w:pPr>
            <w:r w:rsidRPr="000860F1">
              <w:t>2 </w:t>
            </w:r>
            <w:r w:rsidR="001E287F" w:rsidRPr="000860F1">
              <w:t>µ</w:t>
            </w:r>
            <w:r w:rsidR="001E287F">
              <w:t>L</w:t>
            </w:r>
            <w:r w:rsidR="001E287F" w:rsidRPr="000860F1">
              <w:t xml:space="preserve"> </w:t>
            </w:r>
            <w:r w:rsidRPr="000860F1">
              <w:t>bacterial suspension or DNA extract</w:t>
            </w:r>
          </w:p>
        </w:tc>
      </w:tr>
      <w:tr w:rsidR="008E6998" w:rsidRPr="000860F1" w14:paraId="48B92DA6" w14:textId="77777777">
        <w:tc>
          <w:tcPr>
            <w:tcW w:w="5103" w:type="dxa"/>
            <w:tcBorders>
              <w:top w:val="single" w:sz="4" w:space="0" w:color="000000"/>
              <w:bottom w:val="single" w:sz="4" w:space="0" w:color="000000"/>
            </w:tcBorders>
            <w:shd w:val="clear" w:color="auto" w:fill="BFBFBF" w:themeFill="background1" w:themeFillShade="BF"/>
          </w:tcPr>
          <w:p w14:paraId="20C5A58F" w14:textId="3E5664B8" w:rsidR="008E6998" w:rsidRPr="000860F1" w:rsidRDefault="000330D6">
            <w:pPr>
              <w:pStyle w:val="IPPArialTable"/>
              <w:rPr>
                <w:b/>
              </w:rPr>
            </w:pPr>
            <w:r w:rsidRPr="000860F1">
              <w:rPr>
                <w:b/>
              </w:rPr>
              <w:t>Cycling parameters</w:t>
            </w:r>
          </w:p>
        </w:tc>
        <w:tc>
          <w:tcPr>
            <w:tcW w:w="3969" w:type="dxa"/>
            <w:tcBorders>
              <w:top w:val="single" w:sz="4" w:space="0" w:color="000000"/>
              <w:bottom w:val="single" w:sz="4" w:space="0" w:color="000000"/>
            </w:tcBorders>
            <w:shd w:val="clear" w:color="auto" w:fill="BFBFBF" w:themeFill="background1" w:themeFillShade="BF"/>
          </w:tcPr>
          <w:p w14:paraId="596D1486" w14:textId="1362BC7D" w:rsidR="008E6998" w:rsidRPr="000860F1" w:rsidRDefault="008E6998">
            <w:pPr>
              <w:pStyle w:val="IPPArialTable"/>
            </w:pPr>
          </w:p>
        </w:tc>
      </w:tr>
      <w:tr w:rsidR="008E6998" w:rsidRPr="000860F1" w14:paraId="7A81C304" w14:textId="77777777">
        <w:tc>
          <w:tcPr>
            <w:tcW w:w="5103" w:type="dxa"/>
            <w:tcBorders>
              <w:top w:val="single" w:sz="4" w:space="0" w:color="000000"/>
              <w:bottom w:val="single" w:sz="4" w:space="0" w:color="000000"/>
            </w:tcBorders>
            <w:shd w:val="clear" w:color="auto" w:fill="auto"/>
          </w:tcPr>
          <w:p w14:paraId="03191266" w14:textId="4DE5D27D" w:rsidR="008E6998" w:rsidRPr="000860F1" w:rsidRDefault="000330D6">
            <w:pPr>
              <w:pStyle w:val="IPPArialTable"/>
            </w:pPr>
            <w:r w:rsidRPr="000860F1">
              <w:t>Pre-incubation</w:t>
            </w:r>
          </w:p>
        </w:tc>
        <w:tc>
          <w:tcPr>
            <w:tcW w:w="3969" w:type="dxa"/>
            <w:tcBorders>
              <w:top w:val="single" w:sz="4" w:space="0" w:color="000000"/>
              <w:bottom w:val="single" w:sz="4" w:space="0" w:color="000000"/>
            </w:tcBorders>
            <w:shd w:val="clear" w:color="auto" w:fill="auto"/>
          </w:tcPr>
          <w:p w14:paraId="73E38567" w14:textId="04C8DF67" w:rsidR="008E6998" w:rsidRPr="000860F1" w:rsidRDefault="000330D6">
            <w:pPr>
              <w:pStyle w:val="IPPArialTable"/>
            </w:pPr>
            <w:r w:rsidRPr="000860F1">
              <w:t>50 °C for 2 min</w:t>
            </w:r>
          </w:p>
        </w:tc>
      </w:tr>
      <w:tr w:rsidR="008E6998" w:rsidRPr="000860F1" w14:paraId="783D197F" w14:textId="77777777">
        <w:tc>
          <w:tcPr>
            <w:tcW w:w="5103" w:type="dxa"/>
            <w:tcBorders>
              <w:top w:val="single" w:sz="4" w:space="0" w:color="000000"/>
              <w:bottom w:val="single" w:sz="4" w:space="0" w:color="000000"/>
            </w:tcBorders>
            <w:shd w:val="clear" w:color="auto" w:fill="auto"/>
          </w:tcPr>
          <w:p w14:paraId="5F23784C" w14:textId="292F2BAA" w:rsidR="008E6998" w:rsidRPr="000860F1" w:rsidRDefault="000330D6">
            <w:pPr>
              <w:pStyle w:val="IPPArialTable"/>
            </w:pPr>
            <w:r w:rsidRPr="000860F1">
              <w:t>Initial denaturation</w:t>
            </w:r>
          </w:p>
        </w:tc>
        <w:tc>
          <w:tcPr>
            <w:tcW w:w="3969" w:type="dxa"/>
            <w:tcBorders>
              <w:top w:val="single" w:sz="4" w:space="0" w:color="000000"/>
              <w:bottom w:val="single" w:sz="4" w:space="0" w:color="000000"/>
            </w:tcBorders>
            <w:shd w:val="clear" w:color="auto" w:fill="auto"/>
          </w:tcPr>
          <w:p w14:paraId="6ECAE196" w14:textId="11AAE9E9" w:rsidR="008E6998" w:rsidRPr="000860F1" w:rsidRDefault="000330D6">
            <w:pPr>
              <w:pStyle w:val="IPPArialTable"/>
            </w:pPr>
            <w:r w:rsidRPr="000860F1">
              <w:t>94 °C for 2 min</w:t>
            </w:r>
          </w:p>
        </w:tc>
      </w:tr>
      <w:tr w:rsidR="008E6998" w:rsidRPr="000860F1" w14:paraId="1179003C" w14:textId="77777777">
        <w:tc>
          <w:tcPr>
            <w:tcW w:w="5103" w:type="dxa"/>
            <w:tcBorders>
              <w:top w:val="single" w:sz="4" w:space="0" w:color="000000"/>
              <w:bottom w:val="single" w:sz="4" w:space="0" w:color="000000"/>
            </w:tcBorders>
            <w:shd w:val="clear" w:color="auto" w:fill="auto"/>
          </w:tcPr>
          <w:p w14:paraId="5B080D74" w14:textId="64DC3841" w:rsidR="008E6998" w:rsidRPr="000860F1" w:rsidRDefault="000330D6">
            <w:pPr>
              <w:pStyle w:val="IPPArialTable"/>
            </w:pPr>
            <w:r w:rsidRPr="000860F1">
              <w:t>Number of cycles</w:t>
            </w:r>
          </w:p>
        </w:tc>
        <w:tc>
          <w:tcPr>
            <w:tcW w:w="3969" w:type="dxa"/>
            <w:tcBorders>
              <w:top w:val="single" w:sz="4" w:space="0" w:color="000000"/>
              <w:bottom w:val="single" w:sz="4" w:space="0" w:color="000000"/>
            </w:tcBorders>
            <w:shd w:val="clear" w:color="auto" w:fill="auto"/>
          </w:tcPr>
          <w:p w14:paraId="5EF8FFC5" w14:textId="6F6700AF" w:rsidR="008E6998" w:rsidRPr="000860F1" w:rsidRDefault="000330D6">
            <w:pPr>
              <w:pStyle w:val="IPPArialTable"/>
            </w:pPr>
            <w:r w:rsidRPr="000860F1">
              <w:t>40</w:t>
            </w:r>
          </w:p>
        </w:tc>
      </w:tr>
      <w:tr w:rsidR="008E6998" w:rsidRPr="000860F1" w14:paraId="337E71C1" w14:textId="77777777">
        <w:tc>
          <w:tcPr>
            <w:tcW w:w="5103" w:type="dxa"/>
            <w:tcBorders>
              <w:top w:val="single" w:sz="4" w:space="0" w:color="000000"/>
              <w:bottom w:val="single" w:sz="4" w:space="0" w:color="000000"/>
            </w:tcBorders>
            <w:shd w:val="clear" w:color="auto" w:fill="auto"/>
          </w:tcPr>
          <w:p w14:paraId="6A0AC534" w14:textId="5D922911" w:rsidR="008E6998" w:rsidRPr="000860F1" w:rsidRDefault="000330D6">
            <w:pPr>
              <w:pStyle w:val="IPPArialTable"/>
            </w:pPr>
            <w:r w:rsidRPr="000860F1">
              <w:t>Heating ramp speed</w:t>
            </w:r>
          </w:p>
        </w:tc>
        <w:tc>
          <w:tcPr>
            <w:tcW w:w="3969" w:type="dxa"/>
            <w:tcBorders>
              <w:top w:val="single" w:sz="4" w:space="0" w:color="000000"/>
              <w:bottom w:val="single" w:sz="4" w:space="0" w:color="000000"/>
            </w:tcBorders>
            <w:shd w:val="clear" w:color="auto" w:fill="auto"/>
          </w:tcPr>
          <w:p w14:paraId="3A3C39B4" w14:textId="4B3E55CE" w:rsidR="008E6998" w:rsidRPr="000860F1" w:rsidRDefault="000330D6">
            <w:pPr>
              <w:pStyle w:val="IPPArialTable"/>
            </w:pPr>
            <w:r w:rsidRPr="000860F1">
              <w:t>5 °C/s</w:t>
            </w:r>
          </w:p>
        </w:tc>
      </w:tr>
      <w:tr w:rsidR="008E6998" w:rsidRPr="000860F1" w14:paraId="6146FFEC" w14:textId="77777777">
        <w:tc>
          <w:tcPr>
            <w:tcW w:w="5103" w:type="dxa"/>
            <w:tcBorders>
              <w:top w:val="single" w:sz="4" w:space="0" w:color="000000"/>
              <w:bottom w:val="single" w:sz="4" w:space="0" w:color="000000"/>
            </w:tcBorders>
            <w:shd w:val="clear" w:color="auto" w:fill="auto"/>
          </w:tcPr>
          <w:p w14:paraId="14DEB7E8" w14:textId="316E9781" w:rsidR="008E6998" w:rsidRPr="000860F1" w:rsidRDefault="000330D6">
            <w:pPr>
              <w:pStyle w:val="IPPArialTable"/>
            </w:pPr>
            <w:r w:rsidRPr="000860F1">
              <w:t>Denaturation</w:t>
            </w:r>
          </w:p>
        </w:tc>
        <w:tc>
          <w:tcPr>
            <w:tcW w:w="3969" w:type="dxa"/>
            <w:tcBorders>
              <w:top w:val="single" w:sz="4" w:space="0" w:color="000000"/>
              <w:bottom w:val="single" w:sz="4" w:space="0" w:color="000000"/>
            </w:tcBorders>
            <w:shd w:val="clear" w:color="auto" w:fill="auto"/>
          </w:tcPr>
          <w:p w14:paraId="3F41FB00" w14:textId="7AB6F744" w:rsidR="008E6998" w:rsidRPr="000860F1" w:rsidRDefault="000330D6">
            <w:pPr>
              <w:pStyle w:val="IPPArialTable"/>
            </w:pPr>
            <w:r w:rsidRPr="000860F1">
              <w:t>94 °C for 10 s</w:t>
            </w:r>
          </w:p>
        </w:tc>
      </w:tr>
      <w:tr w:rsidR="008E6998" w:rsidRPr="000860F1" w14:paraId="103417D3" w14:textId="77777777">
        <w:tc>
          <w:tcPr>
            <w:tcW w:w="5103" w:type="dxa"/>
            <w:tcBorders>
              <w:top w:val="single" w:sz="4" w:space="0" w:color="000000"/>
              <w:bottom w:val="single" w:sz="4" w:space="0" w:color="000000"/>
            </w:tcBorders>
            <w:shd w:val="clear" w:color="auto" w:fill="auto"/>
          </w:tcPr>
          <w:p w14:paraId="7BD4E12A" w14:textId="5838EFE0" w:rsidR="008E6998" w:rsidRPr="000860F1" w:rsidRDefault="000330D6">
            <w:pPr>
              <w:pStyle w:val="IPPArialTable"/>
            </w:pPr>
            <w:r w:rsidRPr="000860F1">
              <w:t xml:space="preserve">Annealing </w:t>
            </w:r>
            <w:r w:rsidR="00176361" w:rsidRPr="000860F1">
              <w:t>and</w:t>
            </w:r>
            <w:r w:rsidRPr="000860F1">
              <w:t xml:space="preserve"> </w:t>
            </w:r>
            <w:r w:rsidR="00176361" w:rsidRPr="000860F1">
              <w:t>e</w:t>
            </w:r>
            <w:r w:rsidRPr="000860F1">
              <w:t>longation</w:t>
            </w:r>
          </w:p>
        </w:tc>
        <w:tc>
          <w:tcPr>
            <w:tcW w:w="3969" w:type="dxa"/>
            <w:tcBorders>
              <w:top w:val="single" w:sz="4" w:space="0" w:color="000000"/>
              <w:bottom w:val="single" w:sz="4" w:space="0" w:color="000000"/>
            </w:tcBorders>
            <w:shd w:val="clear" w:color="auto" w:fill="auto"/>
          </w:tcPr>
          <w:p w14:paraId="30CEFFB2" w14:textId="1B574E1A" w:rsidR="008E6998" w:rsidRPr="000860F1" w:rsidRDefault="000330D6">
            <w:pPr>
              <w:pStyle w:val="IPPArialTable"/>
            </w:pPr>
            <w:r w:rsidRPr="000860F1">
              <w:t>62 °C for 40 s</w:t>
            </w:r>
          </w:p>
        </w:tc>
      </w:tr>
    </w:tbl>
    <w:p w14:paraId="01E0A003" w14:textId="77777777" w:rsidR="003067B4" w:rsidRPr="000860F1" w:rsidRDefault="003067B4" w:rsidP="003067B4">
      <w:pPr>
        <w:pStyle w:val="IPPArialFootnote"/>
        <w:rPr>
          <w:rStyle w:val="PleaseReviewParagraphId"/>
        </w:rPr>
      </w:pPr>
      <w:r w:rsidRPr="000860F1">
        <w:rPr>
          <w:vertAlign w:val="superscript"/>
        </w:rPr>
        <w:t>†</w:t>
      </w:r>
      <w:r w:rsidRPr="000860F1">
        <w:t xml:space="preserve"> For a final reaction volume of 20 </w:t>
      </w:r>
      <w:r w:rsidRPr="000860F1">
        <w:rPr>
          <w:rFonts w:cs="Arial"/>
        </w:rPr>
        <w:t>µ</w:t>
      </w:r>
      <w:r w:rsidRPr="000860F1">
        <w:t>l.</w:t>
      </w:r>
    </w:p>
    <w:p w14:paraId="64C2C1F6" w14:textId="142B74B3" w:rsidR="008E6998" w:rsidRPr="00A66AEE" w:rsidRDefault="000330D6" w:rsidP="00A66AEE">
      <w:pPr>
        <w:pStyle w:val="IPPArialFootnote"/>
        <w:spacing w:after="180"/>
        <w:rPr>
          <w:rStyle w:val="PleaseReviewParagraphId"/>
          <w:color w:val="auto"/>
        </w:rPr>
      </w:pPr>
      <w:r w:rsidRPr="00743E9C">
        <w:rPr>
          <w:rStyle w:val="PleaseReviewParagraphId"/>
          <w:color w:val="auto"/>
        </w:rPr>
        <w:t xml:space="preserve">BSA, </w:t>
      </w:r>
      <w:r w:rsidRPr="00743E9C">
        <w:t>bovine serum albumin;</w:t>
      </w:r>
      <w:r w:rsidRPr="00743E9C">
        <w:rPr>
          <w:rStyle w:val="PleaseReviewParagraphId"/>
          <w:color w:val="auto"/>
        </w:rPr>
        <w:t xml:space="preserve"> </w:t>
      </w:r>
      <w:r w:rsidR="00102C57" w:rsidRPr="00743E9C">
        <w:rPr>
          <w:rStyle w:val="PleaseReviewParagraphId"/>
          <w:color w:val="auto"/>
        </w:rPr>
        <w:t>PCR, polymerase chain reaction</w:t>
      </w:r>
      <w:r w:rsidRPr="00743E9C">
        <w:rPr>
          <w:rStyle w:val="PleaseReviewParagraphId"/>
          <w:color w:val="auto"/>
        </w:rPr>
        <w:t>.</w:t>
      </w:r>
    </w:p>
    <w:p w14:paraId="33E91828" w14:textId="1050958B" w:rsidR="00B44C17" w:rsidRPr="00054E1F" w:rsidRDefault="000330D6" w:rsidP="00D1700E">
      <w:pPr>
        <w:pStyle w:val="IPPHeading2"/>
        <w:ind w:left="0" w:firstLine="0"/>
      </w:pPr>
      <w:bookmarkStart w:id="44" w:name="_Toc111710140"/>
      <w:r w:rsidRPr="000860F1">
        <w:t>3.4.</w:t>
      </w:r>
      <w:r w:rsidR="003D22F0" w:rsidRPr="000860F1">
        <w:t>7</w:t>
      </w:r>
      <w:r w:rsidRPr="000860F1">
        <w:tab/>
        <w:t xml:space="preserve">Real-time PCR using the primers and probes of Li </w:t>
      </w:r>
      <w:r w:rsidRPr="000860F1">
        <w:rPr>
          <w:i/>
        </w:rPr>
        <w:t>et al</w:t>
      </w:r>
      <w:r w:rsidRPr="000860F1">
        <w:t>. (2013)</w:t>
      </w:r>
      <w:bookmarkEnd w:id="44"/>
    </w:p>
    <w:p w14:paraId="43F68CEE" w14:textId="30FF46EC" w:rsidR="008E6998" w:rsidRPr="000860F1" w:rsidRDefault="000330D6" w:rsidP="004C1B1F">
      <w:pPr>
        <w:pStyle w:val="IPPParagraphnumbering"/>
      </w:pPr>
      <w:r w:rsidRPr="000860F1">
        <w:t xml:space="preserve">This PCR, developed by Li </w:t>
      </w:r>
      <w:r w:rsidRPr="000860F1">
        <w:rPr>
          <w:i/>
          <w:iCs/>
        </w:rPr>
        <w:t>et</w:t>
      </w:r>
      <w:r w:rsidRPr="000860F1">
        <w:rPr>
          <w:i/>
        </w:rPr>
        <w:t> </w:t>
      </w:r>
      <w:r w:rsidRPr="000860F1">
        <w:rPr>
          <w:i/>
          <w:iCs/>
        </w:rPr>
        <w:t xml:space="preserve">al. </w:t>
      </w:r>
      <w:r w:rsidRPr="000860F1">
        <w:t>(2013), is designed to amplify part of the 16S rDNA</w:t>
      </w:r>
      <w:r w:rsidRPr="000860F1">
        <w:rPr>
          <w:i/>
          <w:iCs/>
        </w:rPr>
        <w:t xml:space="preserve"> </w:t>
      </w:r>
      <w:r w:rsidRPr="000860F1">
        <w:rPr>
          <w:iCs/>
        </w:rPr>
        <w:t>gene</w:t>
      </w:r>
      <w:r w:rsidRPr="000860F1">
        <w:t>. DNA can be amplified from bacterial cultures, infected leaves, cane tissue or insect vectors.</w:t>
      </w:r>
    </w:p>
    <w:p w14:paraId="64896F82" w14:textId="4C5090E5" w:rsidR="008E6998" w:rsidRPr="000860F1" w:rsidRDefault="000330D6" w:rsidP="004C1B1F">
      <w:pPr>
        <w:pStyle w:val="IPPParagraphnumbering"/>
      </w:pPr>
      <w:r w:rsidRPr="000860F1">
        <w:t xml:space="preserve">Li </w:t>
      </w:r>
      <w:r w:rsidRPr="000860F1">
        <w:rPr>
          <w:i/>
        </w:rPr>
        <w:t>et</w:t>
      </w:r>
      <w:r w:rsidR="00E35F2A" w:rsidRPr="000860F1">
        <w:rPr>
          <w:i/>
          <w:iCs/>
        </w:rPr>
        <w:t> </w:t>
      </w:r>
      <w:r w:rsidRPr="000860F1">
        <w:rPr>
          <w:i/>
        </w:rPr>
        <w:t>al.</w:t>
      </w:r>
      <w:r w:rsidRPr="000860F1">
        <w:t xml:space="preserve"> (2013) evaluated </w:t>
      </w:r>
      <w:r w:rsidR="000B24EB" w:rsidRPr="000860F1">
        <w:t xml:space="preserve">analytical </w:t>
      </w:r>
      <w:r w:rsidRPr="000860F1">
        <w:t xml:space="preserve">specificity with 77 strains of </w:t>
      </w:r>
      <w:r w:rsidRPr="000860F1">
        <w:rPr>
          <w:i/>
        </w:rPr>
        <w:t>X. fastidiosa</w:t>
      </w:r>
      <w:r w:rsidRPr="000860F1">
        <w:t xml:space="preserve"> from 15 different hosts and 14 non-target bacterial strains. Only </w:t>
      </w:r>
      <w:r w:rsidRPr="000860F1">
        <w:rPr>
          <w:i/>
        </w:rPr>
        <w:t>X. fastidiosa</w:t>
      </w:r>
      <w:r w:rsidRPr="000860F1">
        <w:t xml:space="preserve"> was detected. Diagnostic specificity and sensitivity, as determined using </w:t>
      </w:r>
      <w:r w:rsidRPr="000860F1">
        <w:rPr>
          <w:i/>
        </w:rPr>
        <w:t>Citrus</w:t>
      </w:r>
      <w:r w:rsidRPr="000860F1">
        <w:t xml:space="preserve"> hosts, were both 100%. The </w:t>
      </w:r>
      <w:r w:rsidR="000B24EB" w:rsidRPr="000860F1">
        <w:t xml:space="preserve">analytical </w:t>
      </w:r>
      <w:r w:rsidRPr="000860F1">
        <w:t xml:space="preserve">sensitivity </w:t>
      </w:r>
      <w:r w:rsidR="000B24EB" w:rsidRPr="000860F1">
        <w:t>(</w:t>
      </w:r>
      <w:r w:rsidRPr="000860F1">
        <w:t xml:space="preserve">detection limit) is between 2 and 10 cells of </w:t>
      </w:r>
      <w:r w:rsidRPr="000860F1">
        <w:rPr>
          <w:i/>
        </w:rPr>
        <w:t>X. fastidiosa</w:t>
      </w:r>
      <w:r w:rsidRPr="000860F1">
        <w:t xml:space="preserve"> per reaction for </w:t>
      </w:r>
      <w:r w:rsidRPr="000860F1">
        <w:rPr>
          <w:i/>
        </w:rPr>
        <w:t>Citrus</w:t>
      </w:r>
      <w:r w:rsidRPr="000860F1">
        <w:t xml:space="preserve"> samples.</w:t>
      </w:r>
    </w:p>
    <w:p w14:paraId="0787C165" w14:textId="49D36DC5" w:rsidR="008E6998" w:rsidRPr="000860F1" w:rsidRDefault="000330D6" w:rsidP="004C1B1F">
      <w:pPr>
        <w:pStyle w:val="IPPParagraphnumbering"/>
      </w:pPr>
      <w:r w:rsidRPr="000860F1">
        <w:t>The oligonucleotide primers and probes used are:</w:t>
      </w:r>
    </w:p>
    <w:p w14:paraId="7E12FA22" w14:textId="4F26EA78" w:rsidR="008E6998" w:rsidRPr="000860F1" w:rsidRDefault="000330D6" w:rsidP="00D1016B">
      <w:pPr>
        <w:pStyle w:val="IPPIndentClose"/>
      </w:pPr>
      <w:r w:rsidRPr="000860F1">
        <w:t>XF16Sf (forward primer): 5</w:t>
      </w:r>
      <w:r w:rsidRPr="000860F1">
        <w:rPr>
          <w:szCs w:val="22"/>
        </w:rPr>
        <w:t>′-</w:t>
      </w:r>
      <w:r w:rsidRPr="000860F1">
        <w:t>CGG CAG CAC GTT GGT AGT AA-3</w:t>
      </w:r>
      <w:r w:rsidRPr="000860F1">
        <w:rPr>
          <w:szCs w:val="22"/>
        </w:rPr>
        <w:t>′</w:t>
      </w:r>
    </w:p>
    <w:p w14:paraId="3912DE44" w14:textId="22FDD783" w:rsidR="008E6998" w:rsidRPr="000860F1" w:rsidRDefault="000330D6" w:rsidP="00D1016B">
      <w:pPr>
        <w:pStyle w:val="IPPIndentClose"/>
      </w:pPr>
      <w:r w:rsidRPr="000860F1">
        <w:t>XF16Sr (reverse primer): 5</w:t>
      </w:r>
      <w:r w:rsidRPr="000860F1">
        <w:rPr>
          <w:szCs w:val="22"/>
        </w:rPr>
        <w:t>′</w:t>
      </w:r>
      <w:r w:rsidRPr="000860F1">
        <w:t>-CCG ATG TAT TCC TCA CCC GT-3</w:t>
      </w:r>
      <w:r w:rsidRPr="000860F1">
        <w:rPr>
          <w:szCs w:val="22"/>
        </w:rPr>
        <w:t>′</w:t>
      </w:r>
    </w:p>
    <w:p w14:paraId="23E5B08B" w14:textId="7F416EDD" w:rsidR="008E6998" w:rsidRPr="000860F1" w:rsidRDefault="000330D6" w:rsidP="00D1016B">
      <w:pPr>
        <w:pStyle w:val="IPPIndent"/>
      </w:pPr>
      <w:r w:rsidRPr="000860F1">
        <w:t>XF16Sp (hydrolysis probe): 5</w:t>
      </w:r>
      <w:r w:rsidRPr="000860F1">
        <w:rPr>
          <w:szCs w:val="22"/>
        </w:rPr>
        <w:t>′-</w:t>
      </w:r>
      <w:r w:rsidRPr="000860F1">
        <w:t>6</w:t>
      </w:r>
      <w:r w:rsidRPr="000860F1">
        <w:rPr>
          <w:szCs w:val="22"/>
        </w:rPr>
        <w:t>-</w:t>
      </w:r>
      <w:r w:rsidRPr="000860F1">
        <w:t>FAM-CA TGG GTG GCG AGT GGC-BHQ-1-3</w:t>
      </w:r>
      <w:r w:rsidRPr="000860F1">
        <w:rPr>
          <w:szCs w:val="22"/>
        </w:rPr>
        <w:t>′</w:t>
      </w:r>
    </w:p>
    <w:p w14:paraId="3DB2962B" w14:textId="7CAD91F7" w:rsidR="008E6998" w:rsidRPr="000860F1" w:rsidRDefault="000330D6" w:rsidP="004C1B1F">
      <w:pPr>
        <w:pStyle w:val="IPPParagraphnumbering"/>
      </w:pPr>
      <w:r w:rsidRPr="000860F1">
        <w:t xml:space="preserve">The master mix for the Li </w:t>
      </w:r>
      <w:r w:rsidRPr="000860F1">
        <w:rPr>
          <w:i/>
        </w:rPr>
        <w:t>et al.</w:t>
      </w:r>
      <w:r w:rsidRPr="000860F1">
        <w:t xml:space="preserve"> (2013) real-time PCR is described in Table </w:t>
      </w:r>
      <w:r w:rsidR="008D3BD9">
        <w:t>9</w:t>
      </w:r>
      <w:r w:rsidRPr="000860F1">
        <w:t>.</w:t>
      </w:r>
    </w:p>
    <w:p w14:paraId="610FE229" w14:textId="77777777" w:rsidR="007A6D3C" w:rsidRDefault="007A6D3C">
      <w:pPr>
        <w:spacing w:after="160" w:line="259" w:lineRule="auto"/>
        <w:jc w:val="left"/>
        <w:rPr>
          <w:rStyle w:val="PleaseReviewParagraphId"/>
          <w:rFonts w:eastAsia="Times"/>
        </w:rPr>
      </w:pPr>
      <w:r>
        <w:rPr>
          <w:rStyle w:val="PleaseReviewParagraphId"/>
        </w:rPr>
        <w:br w:type="page"/>
      </w:r>
    </w:p>
    <w:p w14:paraId="0737C904" w14:textId="773593DC" w:rsidR="008E6998" w:rsidRPr="00133D6E" w:rsidRDefault="000330D6" w:rsidP="00D1016B">
      <w:pPr>
        <w:pStyle w:val="IPPArial"/>
        <w:keepNext/>
        <w:spacing w:after="120"/>
        <w:rPr>
          <w:rFonts w:cs="Arial"/>
          <w:szCs w:val="18"/>
        </w:rPr>
      </w:pPr>
      <w:r w:rsidRPr="00133D6E">
        <w:rPr>
          <w:rFonts w:cs="Arial"/>
          <w:b/>
          <w:szCs w:val="18"/>
        </w:rPr>
        <w:t>Table </w:t>
      </w:r>
      <w:r w:rsidR="00EF03FA" w:rsidRPr="00133D6E">
        <w:rPr>
          <w:rFonts w:cs="Arial"/>
          <w:b/>
          <w:szCs w:val="18"/>
        </w:rPr>
        <w:t>9</w:t>
      </w:r>
      <w:r w:rsidRPr="00133D6E">
        <w:rPr>
          <w:rFonts w:cs="Arial"/>
          <w:b/>
          <w:szCs w:val="18"/>
        </w:rPr>
        <w:t>.</w:t>
      </w:r>
      <w:r w:rsidRPr="00133D6E">
        <w:rPr>
          <w:rFonts w:cs="Arial"/>
          <w:szCs w:val="18"/>
        </w:rPr>
        <w:t xml:space="preserve"> Master mix composition </w:t>
      </w:r>
      <w:r w:rsidR="006F1BBE" w:rsidRPr="00133D6E">
        <w:rPr>
          <w:rFonts w:cs="Arial"/>
          <w:szCs w:val="18"/>
        </w:rPr>
        <w:t xml:space="preserve">and cycling parameters </w:t>
      </w:r>
      <w:r w:rsidRPr="00133D6E">
        <w:rPr>
          <w:rFonts w:cs="Arial"/>
          <w:szCs w:val="18"/>
        </w:rPr>
        <w:t xml:space="preserve">for real-time PCR </w:t>
      </w:r>
      <w:r w:rsidR="006F1BBE" w:rsidRPr="00133D6E">
        <w:rPr>
          <w:rFonts w:cs="Arial"/>
          <w:szCs w:val="18"/>
        </w:rPr>
        <w:t xml:space="preserve">using the primers and probes of Li </w:t>
      </w:r>
      <w:r w:rsidR="006F1BBE" w:rsidRPr="00133D6E">
        <w:rPr>
          <w:rFonts w:cs="Arial"/>
          <w:i/>
          <w:szCs w:val="18"/>
        </w:rPr>
        <w:t>et</w:t>
      </w:r>
      <w:r w:rsidR="002A40E1" w:rsidRPr="00133D6E">
        <w:rPr>
          <w:rFonts w:cs="Arial"/>
          <w:i/>
          <w:szCs w:val="18"/>
        </w:rPr>
        <w:t> </w:t>
      </w:r>
      <w:r w:rsidR="006F1BBE" w:rsidRPr="00133D6E">
        <w:rPr>
          <w:rFonts w:cs="Arial"/>
          <w:i/>
          <w:szCs w:val="18"/>
        </w:rPr>
        <w:t xml:space="preserve">al. </w:t>
      </w:r>
      <w:r w:rsidR="006F1BBE" w:rsidRPr="00133D6E">
        <w:rPr>
          <w:rFonts w:cs="Arial"/>
          <w:szCs w:val="18"/>
        </w:rPr>
        <w:t>(2013)</w:t>
      </w:r>
    </w:p>
    <w:tbl>
      <w:tblPr>
        <w:tblW w:w="9097" w:type="dxa"/>
        <w:tblLayout w:type="fixed"/>
        <w:tblLook w:val="0000" w:firstRow="0" w:lastRow="0" w:firstColumn="0" w:lastColumn="0" w:noHBand="0" w:noVBand="0"/>
      </w:tblPr>
      <w:tblGrid>
        <w:gridCol w:w="4962"/>
        <w:gridCol w:w="141"/>
        <w:gridCol w:w="3969"/>
        <w:gridCol w:w="25"/>
      </w:tblGrid>
      <w:tr w:rsidR="008E6998" w:rsidRPr="000860F1" w14:paraId="102079B2" w14:textId="77777777">
        <w:trPr>
          <w:gridAfter w:val="1"/>
          <w:wAfter w:w="25" w:type="dxa"/>
        </w:trPr>
        <w:tc>
          <w:tcPr>
            <w:tcW w:w="4962" w:type="dxa"/>
            <w:tcBorders>
              <w:top w:val="single" w:sz="4" w:space="0" w:color="000000"/>
              <w:bottom w:val="single" w:sz="4" w:space="0" w:color="000000"/>
            </w:tcBorders>
            <w:shd w:val="clear" w:color="auto" w:fill="BFBFBF"/>
          </w:tcPr>
          <w:p w14:paraId="02274652" w14:textId="6DF70174" w:rsidR="008E6998" w:rsidRPr="000860F1" w:rsidRDefault="000330D6">
            <w:pPr>
              <w:pStyle w:val="IPPArialTable"/>
              <w:rPr>
                <w:b/>
              </w:rPr>
            </w:pPr>
            <w:r w:rsidRPr="000860F1">
              <w:rPr>
                <w:b/>
              </w:rPr>
              <w:t>Reagents</w:t>
            </w:r>
          </w:p>
        </w:tc>
        <w:tc>
          <w:tcPr>
            <w:tcW w:w="4110" w:type="dxa"/>
            <w:gridSpan w:val="2"/>
            <w:tcBorders>
              <w:top w:val="single" w:sz="4" w:space="0" w:color="000000"/>
              <w:bottom w:val="single" w:sz="4" w:space="0" w:color="000000"/>
            </w:tcBorders>
            <w:shd w:val="clear" w:color="auto" w:fill="BFBFBF"/>
          </w:tcPr>
          <w:p w14:paraId="37C15D2E" w14:textId="37FFA2A5" w:rsidR="008E6998" w:rsidRPr="000860F1" w:rsidRDefault="000330D6">
            <w:pPr>
              <w:pStyle w:val="IPPArialTable"/>
              <w:rPr>
                <w:b/>
              </w:rPr>
            </w:pPr>
            <w:r w:rsidRPr="000860F1">
              <w:rPr>
                <w:b/>
              </w:rPr>
              <w:t>Final concentration</w:t>
            </w:r>
          </w:p>
        </w:tc>
      </w:tr>
      <w:tr w:rsidR="008E6998" w:rsidRPr="000860F1" w14:paraId="42381047" w14:textId="77777777">
        <w:trPr>
          <w:gridAfter w:val="1"/>
          <w:wAfter w:w="25" w:type="dxa"/>
        </w:trPr>
        <w:tc>
          <w:tcPr>
            <w:tcW w:w="4962" w:type="dxa"/>
            <w:tcBorders>
              <w:top w:val="single" w:sz="4" w:space="0" w:color="000000"/>
            </w:tcBorders>
            <w:shd w:val="clear" w:color="auto" w:fill="auto"/>
          </w:tcPr>
          <w:p w14:paraId="48E94CD3" w14:textId="650F762C" w:rsidR="008E6998" w:rsidRPr="000860F1" w:rsidRDefault="000330D6">
            <w:pPr>
              <w:pStyle w:val="IPPArialTable"/>
            </w:pPr>
            <w:r w:rsidRPr="000860F1">
              <w:t>PCR grade</w:t>
            </w:r>
            <w:r w:rsidRPr="000860F1">
              <w:rPr>
                <w:vertAlign w:val="superscript"/>
              </w:rPr>
              <w:t xml:space="preserve"> </w:t>
            </w:r>
            <w:r w:rsidRPr="000860F1">
              <w:t xml:space="preserve">water </w:t>
            </w:r>
          </w:p>
        </w:tc>
        <w:tc>
          <w:tcPr>
            <w:tcW w:w="4110" w:type="dxa"/>
            <w:gridSpan w:val="2"/>
            <w:tcBorders>
              <w:top w:val="single" w:sz="4" w:space="0" w:color="000000"/>
            </w:tcBorders>
            <w:shd w:val="clear" w:color="auto" w:fill="FFFFFF"/>
          </w:tcPr>
          <w:p w14:paraId="3935061B" w14:textId="1D3554D9" w:rsidR="008E6998" w:rsidRPr="000860F1" w:rsidRDefault="00162658">
            <w:pPr>
              <w:pStyle w:val="IPPArialTable"/>
              <w:rPr>
                <w:shd w:val="clear" w:color="auto" w:fill="C0C0C0"/>
              </w:rPr>
            </w:pPr>
            <w:r w:rsidRPr="000860F1">
              <w:rPr>
                <w:rStyle w:val="PleaseReviewParagraphId"/>
              </w:rPr>
              <w:t>–</w:t>
            </w:r>
            <w:r w:rsidRPr="000860F1">
              <w:rPr>
                <w:vertAlign w:val="superscript"/>
              </w:rPr>
              <w:t>†</w:t>
            </w:r>
          </w:p>
        </w:tc>
      </w:tr>
      <w:tr w:rsidR="008E6998" w:rsidRPr="000860F1" w14:paraId="560734B8" w14:textId="77777777">
        <w:trPr>
          <w:gridAfter w:val="1"/>
          <w:wAfter w:w="25" w:type="dxa"/>
        </w:trPr>
        <w:tc>
          <w:tcPr>
            <w:tcW w:w="4962" w:type="dxa"/>
            <w:shd w:val="clear" w:color="auto" w:fill="auto"/>
          </w:tcPr>
          <w:p w14:paraId="7BD53ECB" w14:textId="2204BAA9" w:rsidR="008E6998" w:rsidRPr="000860F1" w:rsidRDefault="000330D6">
            <w:pPr>
              <w:pStyle w:val="IPPArialTable"/>
            </w:pPr>
            <w:r w:rsidRPr="000860F1">
              <w:t>PCR buffer (Invitrogen)</w:t>
            </w:r>
            <w:r w:rsidR="00314F55" w:rsidRPr="000860F1">
              <w:rPr>
                <w:rStyle w:val="FootnoteReference"/>
              </w:rPr>
              <w:t>1</w:t>
            </w:r>
            <w:r w:rsidRPr="000860F1">
              <w:t xml:space="preserve"> </w:t>
            </w:r>
          </w:p>
        </w:tc>
        <w:tc>
          <w:tcPr>
            <w:tcW w:w="4110" w:type="dxa"/>
            <w:gridSpan w:val="2"/>
            <w:shd w:val="clear" w:color="auto" w:fill="auto"/>
          </w:tcPr>
          <w:p w14:paraId="3ED6EB21" w14:textId="2A79B738" w:rsidR="008E6998" w:rsidRPr="000860F1" w:rsidRDefault="000330D6">
            <w:pPr>
              <w:pStyle w:val="IPPArialTable"/>
            </w:pPr>
            <w:r w:rsidRPr="000860F1">
              <w:t>1×</w:t>
            </w:r>
          </w:p>
        </w:tc>
      </w:tr>
      <w:tr w:rsidR="008E6998" w:rsidRPr="000860F1" w14:paraId="0DDC0C96" w14:textId="77777777">
        <w:trPr>
          <w:gridAfter w:val="1"/>
          <w:wAfter w:w="25" w:type="dxa"/>
        </w:trPr>
        <w:tc>
          <w:tcPr>
            <w:tcW w:w="4962" w:type="dxa"/>
            <w:shd w:val="clear" w:color="auto" w:fill="auto"/>
          </w:tcPr>
          <w:p w14:paraId="6D7E479D" w14:textId="1A76A04F" w:rsidR="008E6998" w:rsidRPr="000860F1" w:rsidRDefault="000330D6">
            <w:pPr>
              <w:pStyle w:val="IPPArialTable"/>
            </w:pPr>
            <w:r w:rsidRPr="000860F1">
              <w:t xml:space="preserve">dNTPs </w:t>
            </w:r>
          </w:p>
        </w:tc>
        <w:tc>
          <w:tcPr>
            <w:tcW w:w="4110" w:type="dxa"/>
            <w:gridSpan w:val="2"/>
            <w:shd w:val="clear" w:color="auto" w:fill="auto"/>
          </w:tcPr>
          <w:p w14:paraId="208E4AE6" w14:textId="53F0BCAE" w:rsidR="008E6998" w:rsidRPr="000860F1" w:rsidRDefault="000330D6">
            <w:pPr>
              <w:pStyle w:val="IPPArialTable"/>
            </w:pPr>
            <w:r w:rsidRPr="000860F1">
              <w:t>240 µM</w:t>
            </w:r>
          </w:p>
        </w:tc>
      </w:tr>
      <w:tr w:rsidR="008E6998" w:rsidRPr="000860F1" w14:paraId="0F75DB8B" w14:textId="77777777">
        <w:trPr>
          <w:gridAfter w:val="1"/>
          <w:wAfter w:w="25" w:type="dxa"/>
        </w:trPr>
        <w:tc>
          <w:tcPr>
            <w:tcW w:w="4962" w:type="dxa"/>
            <w:shd w:val="clear" w:color="auto" w:fill="auto"/>
          </w:tcPr>
          <w:p w14:paraId="4DDB7E5B" w14:textId="55835213" w:rsidR="008E6998" w:rsidRPr="000860F1" w:rsidRDefault="000330D6">
            <w:pPr>
              <w:pStyle w:val="IPPArialTable"/>
            </w:pPr>
            <w:r w:rsidRPr="000860F1">
              <w:t>MgCl</w:t>
            </w:r>
            <w:r w:rsidRPr="000860F1">
              <w:rPr>
                <w:vertAlign w:val="subscript"/>
              </w:rPr>
              <w:t>2</w:t>
            </w:r>
          </w:p>
        </w:tc>
        <w:tc>
          <w:tcPr>
            <w:tcW w:w="4110" w:type="dxa"/>
            <w:gridSpan w:val="2"/>
            <w:shd w:val="clear" w:color="auto" w:fill="auto"/>
          </w:tcPr>
          <w:p w14:paraId="788B34CF" w14:textId="29F08E34" w:rsidR="008E6998" w:rsidRPr="000860F1" w:rsidRDefault="000330D6">
            <w:pPr>
              <w:pStyle w:val="IPPArialTable"/>
            </w:pPr>
            <w:r w:rsidRPr="000860F1">
              <w:t>6 mM</w:t>
            </w:r>
          </w:p>
        </w:tc>
      </w:tr>
      <w:tr w:rsidR="008E6998" w:rsidRPr="000860F1" w14:paraId="701F20E1" w14:textId="77777777">
        <w:trPr>
          <w:gridAfter w:val="1"/>
          <w:wAfter w:w="25" w:type="dxa"/>
        </w:trPr>
        <w:tc>
          <w:tcPr>
            <w:tcW w:w="4962" w:type="dxa"/>
            <w:shd w:val="clear" w:color="auto" w:fill="auto"/>
          </w:tcPr>
          <w:p w14:paraId="37741E2A" w14:textId="0C8C1891" w:rsidR="008E6998" w:rsidRPr="000860F1" w:rsidRDefault="000330D6">
            <w:pPr>
              <w:pStyle w:val="IPPArialTable"/>
            </w:pPr>
            <w:r w:rsidRPr="000860F1">
              <w:t>Primer XF16Sf (forward)</w:t>
            </w:r>
          </w:p>
        </w:tc>
        <w:tc>
          <w:tcPr>
            <w:tcW w:w="4110" w:type="dxa"/>
            <w:gridSpan w:val="2"/>
            <w:shd w:val="clear" w:color="auto" w:fill="auto"/>
          </w:tcPr>
          <w:p w14:paraId="7CB613B6" w14:textId="75972493" w:rsidR="008E6998" w:rsidRPr="000860F1" w:rsidRDefault="000330D6">
            <w:pPr>
              <w:pStyle w:val="IPPArialTable"/>
            </w:pPr>
            <w:r w:rsidRPr="000860F1">
              <w:t>0.240 µM</w:t>
            </w:r>
          </w:p>
        </w:tc>
      </w:tr>
      <w:tr w:rsidR="008E6998" w:rsidRPr="000860F1" w14:paraId="5F947661" w14:textId="77777777">
        <w:trPr>
          <w:gridAfter w:val="1"/>
          <w:wAfter w:w="25" w:type="dxa"/>
        </w:trPr>
        <w:tc>
          <w:tcPr>
            <w:tcW w:w="4962" w:type="dxa"/>
            <w:shd w:val="clear" w:color="auto" w:fill="auto"/>
          </w:tcPr>
          <w:p w14:paraId="753D4A00" w14:textId="42631A8E" w:rsidR="008E6998" w:rsidRPr="000860F1" w:rsidRDefault="000330D6">
            <w:pPr>
              <w:pStyle w:val="IPPArialTable"/>
            </w:pPr>
            <w:r w:rsidRPr="000860F1">
              <w:t>Primer XF16Sr (reverse)</w:t>
            </w:r>
          </w:p>
        </w:tc>
        <w:tc>
          <w:tcPr>
            <w:tcW w:w="4110" w:type="dxa"/>
            <w:gridSpan w:val="2"/>
            <w:shd w:val="clear" w:color="auto" w:fill="auto"/>
          </w:tcPr>
          <w:p w14:paraId="4B4CE25A" w14:textId="6EFE9CDD" w:rsidR="008E6998" w:rsidRPr="000860F1" w:rsidRDefault="000330D6">
            <w:pPr>
              <w:pStyle w:val="IPPArialTable"/>
            </w:pPr>
            <w:r w:rsidRPr="000860F1">
              <w:t>0.240 µM</w:t>
            </w:r>
          </w:p>
        </w:tc>
      </w:tr>
      <w:tr w:rsidR="008E6998" w:rsidRPr="000860F1" w14:paraId="5A29E617" w14:textId="77777777">
        <w:trPr>
          <w:gridAfter w:val="1"/>
          <w:wAfter w:w="25" w:type="dxa"/>
        </w:trPr>
        <w:tc>
          <w:tcPr>
            <w:tcW w:w="4962" w:type="dxa"/>
            <w:shd w:val="clear" w:color="auto" w:fill="auto"/>
          </w:tcPr>
          <w:p w14:paraId="5D8E3F5A" w14:textId="38D4BDFA" w:rsidR="008E6998" w:rsidRPr="000860F1" w:rsidRDefault="000330D6">
            <w:pPr>
              <w:pStyle w:val="IPPArialTable"/>
            </w:pPr>
            <w:r w:rsidRPr="000860F1">
              <w:t>Probe XF16Sp</w:t>
            </w:r>
          </w:p>
        </w:tc>
        <w:tc>
          <w:tcPr>
            <w:tcW w:w="4110" w:type="dxa"/>
            <w:gridSpan w:val="2"/>
            <w:shd w:val="clear" w:color="auto" w:fill="auto"/>
          </w:tcPr>
          <w:p w14:paraId="352150EA" w14:textId="5488E4AE" w:rsidR="008E6998" w:rsidRPr="000860F1" w:rsidRDefault="000330D6">
            <w:pPr>
              <w:pStyle w:val="IPPArialTable"/>
            </w:pPr>
            <w:r w:rsidRPr="000860F1">
              <w:t>0.12 µM</w:t>
            </w:r>
          </w:p>
        </w:tc>
      </w:tr>
      <w:tr w:rsidR="008E6998" w:rsidRPr="000860F1" w14:paraId="4040E1AC" w14:textId="77777777">
        <w:trPr>
          <w:gridAfter w:val="1"/>
          <w:wAfter w:w="25" w:type="dxa"/>
        </w:trPr>
        <w:tc>
          <w:tcPr>
            <w:tcW w:w="4962" w:type="dxa"/>
            <w:tcBorders>
              <w:bottom w:val="single" w:sz="4" w:space="0" w:color="auto"/>
            </w:tcBorders>
            <w:shd w:val="clear" w:color="auto" w:fill="auto"/>
          </w:tcPr>
          <w:p w14:paraId="146CEC55" w14:textId="22B9BE48" w:rsidR="008E6998" w:rsidRPr="000860F1" w:rsidRDefault="000330D6">
            <w:pPr>
              <w:pStyle w:val="IPPArialTable"/>
            </w:pPr>
            <w:r w:rsidRPr="000860F1">
              <w:t>Platinum Taq (Invitrogen)</w:t>
            </w:r>
            <w:r w:rsidR="00314F55" w:rsidRPr="000860F1">
              <w:rPr>
                <w:rStyle w:val="FootnoteReference"/>
              </w:rPr>
              <w:t>1</w:t>
            </w:r>
          </w:p>
        </w:tc>
        <w:tc>
          <w:tcPr>
            <w:tcW w:w="4110" w:type="dxa"/>
            <w:gridSpan w:val="2"/>
            <w:tcBorders>
              <w:bottom w:val="single" w:sz="4" w:space="0" w:color="auto"/>
            </w:tcBorders>
            <w:shd w:val="clear" w:color="auto" w:fill="auto"/>
          </w:tcPr>
          <w:p w14:paraId="31B3228A" w14:textId="4AC5862E" w:rsidR="008E6998" w:rsidRPr="000860F1" w:rsidRDefault="000330D6">
            <w:pPr>
              <w:pStyle w:val="IPPArialTable"/>
            </w:pPr>
            <w:r w:rsidRPr="000860F1">
              <w:t>1 U</w:t>
            </w:r>
          </w:p>
        </w:tc>
      </w:tr>
      <w:tr w:rsidR="008E6998" w:rsidRPr="000860F1" w14:paraId="2705ECA7" w14:textId="77777777">
        <w:trPr>
          <w:gridAfter w:val="1"/>
          <w:wAfter w:w="25" w:type="dxa"/>
        </w:trPr>
        <w:tc>
          <w:tcPr>
            <w:tcW w:w="4962" w:type="dxa"/>
            <w:tcBorders>
              <w:top w:val="single" w:sz="4" w:space="0" w:color="auto"/>
              <w:bottom w:val="single" w:sz="4" w:space="0" w:color="000000"/>
            </w:tcBorders>
            <w:shd w:val="clear" w:color="auto" w:fill="auto"/>
          </w:tcPr>
          <w:p w14:paraId="141E5FA6" w14:textId="16B96B21" w:rsidR="008E6998" w:rsidRPr="000860F1" w:rsidRDefault="000330D6">
            <w:pPr>
              <w:pStyle w:val="IPPArialTable"/>
            </w:pPr>
            <w:r w:rsidRPr="000860F1">
              <w:t>DNA volume</w:t>
            </w:r>
          </w:p>
        </w:tc>
        <w:tc>
          <w:tcPr>
            <w:tcW w:w="4110" w:type="dxa"/>
            <w:gridSpan w:val="2"/>
            <w:tcBorders>
              <w:top w:val="single" w:sz="4" w:space="0" w:color="auto"/>
              <w:bottom w:val="single" w:sz="4" w:space="0" w:color="000000"/>
            </w:tcBorders>
            <w:shd w:val="clear" w:color="auto" w:fill="auto"/>
          </w:tcPr>
          <w:p w14:paraId="6C4826D0" w14:textId="624F915A" w:rsidR="008E6998" w:rsidRPr="000860F1" w:rsidRDefault="000330D6">
            <w:pPr>
              <w:pStyle w:val="IPPArialTable"/>
            </w:pPr>
            <w:r w:rsidRPr="000860F1">
              <w:t xml:space="preserve">2 µl bacterial suspension or DNA extract </w:t>
            </w:r>
          </w:p>
        </w:tc>
      </w:tr>
      <w:tr w:rsidR="008E6998" w:rsidRPr="000860F1" w14:paraId="0FCD68F3" w14:textId="77777777">
        <w:tc>
          <w:tcPr>
            <w:tcW w:w="5103" w:type="dxa"/>
            <w:gridSpan w:val="2"/>
            <w:tcBorders>
              <w:top w:val="single" w:sz="4" w:space="0" w:color="000000"/>
              <w:bottom w:val="single" w:sz="4" w:space="0" w:color="000000"/>
            </w:tcBorders>
            <w:shd w:val="clear" w:color="auto" w:fill="BFBFBF" w:themeFill="background1" w:themeFillShade="BF"/>
          </w:tcPr>
          <w:p w14:paraId="29549C82" w14:textId="218804A9" w:rsidR="008E6998" w:rsidRPr="000860F1" w:rsidRDefault="000330D6">
            <w:pPr>
              <w:pStyle w:val="IPPArialTable"/>
              <w:rPr>
                <w:b/>
              </w:rPr>
            </w:pPr>
            <w:r w:rsidRPr="000860F1">
              <w:rPr>
                <w:b/>
              </w:rPr>
              <w:t>Cycling parameters</w:t>
            </w:r>
          </w:p>
        </w:tc>
        <w:tc>
          <w:tcPr>
            <w:tcW w:w="3994" w:type="dxa"/>
            <w:gridSpan w:val="2"/>
            <w:tcBorders>
              <w:top w:val="single" w:sz="4" w:space="0" w:color="000000"/>
              <w:bottom w:val="single" w:sz="4" w:space="0" w:color="000000"/>
            </w:tcBorders>
            <w:shd w:val="clear" w:color="auto" w:fill="BFBFBF" w:themeFill="background1" w:themeFillShade="BF"/>
          </w:tcPr>
          <w:p w14:paraId="2E04F8E6" w14:textId="7A278E80" w:rsidR="008E6998" w:rsidRPr="000860F1" w:rsidRDefault="008E6998">
            <w:pPr>
              <w:pStyle w:val="IPPArialTable"/>
            </w:pPr>
          </w:p>
        </w:tc>
      </w:tr>
      <w:tr w:rsidR="008E6998" w:rsidRPr="000860F1" w14:paraId="25FC515C" w14:textId="77777777">
        <w:tc>
          <w:tcPr>
            <w:tcW w:w="5103" w:type="dxa"/>
            <w:gridSpan w:val="2"/>
            <w:tcBorders>
              <w:top w:val="single" w:sz="4" w:space="0" w:color="000000"/>
              <w:bottom w:val="single" w:sz="4" w:space="0" w:color="000000"/>
            </w:tcBorders>
            <w:shd w:val="clear" w:color="auto" w:fill="auto"/>
          </w:tcPr>
          <w:p w14:paraId="563FDA23" w14:textId="5A92ACCD" w:rsidR="008E6998" w:rsidRPr="000860F1" w:rsidRDefault="000330D6">
            <w:pPr>
              <w:pStyle w:val="IPPArialTable"/>
            </w:pPr>
            <w:r w:rsidRPr="000860F1">
              <w:t>Initial denaturation</w:t>
            </w:r>
          </w:p>
        </w:tc>
        <w:tc>
          <w:tcPr>
            <w:tcW w:w="3994" w:type="dxa"/>
            <w:gridSpan w:val="2"/>
            <w:tcBorders>
              <w:top w:val="single" w:sz="4" w:space="0" w:color="000000"/>
              <w:bottom w:val="single" w:sz="4" w:space="0" w:color="000000"/>
            </w:tcBorders>
            <w:shd w:val="clear" w:color="auto" w:fill="auto"/>
          </w:tcPr>
          <w:p w14:paraId="6AA062D4" w14:textId="47FC0851" w:rsidR="008E6998" w:rsidRPr="000860F1" w:rsidRDefault="000330D6">
            <w:pPr>
              <w:pStyle w:val="IPPArialTable"/>
            </w:pPr>
            <w:r w:rsidRPr="000860F1">
              <w:t>95 °C for 20 s</w:t>
            </w:r>
          </w:p>
        </w:tc>
      </w:tr>
      <w:tr w:rsidR="008E6998" w:rsidRPr="000860F1" w14:paraId="7780E22E" w14:textId="77777777">
        <w:tc>
          <w:tcPr>
            <w:tcW w:w="5103" w:type="dxa"/>
            <w:gridSpan w:val="2"/>
            <w:tcBorders>
              <w:top w:val="single" w:sz="4" w:space="0" w:color="000000"/>
              <w:bottom w:val="single" w:sz="4" w:space="0" w:color="000000"/>
            </w:tcBorders>
            <w:shd w:val="clear" w:color="auto" w:fill="auto"/>
          </w:tcPr>
          <w:p w14:paraId="5BC9F0F1" w14:textId="2AD7EF15" w:rsidR="008E6998" w:rsidRPr="000860F1" w:rsidRDefault="000330D6">
            <w:pPr>
              <w:pStyle w:val="IPPArialTable"/>
            </w:pPr>
            <w:r w:rsidRPr="000860F1">
              <w:t>Number of cycles</w:t>
            </w:r>
          </w:p>
        </w:tc>
        <w:tc>
          <w:tcPr>
            <w:tcW w:w="3994" w:type="dxa"/>
            <w:gridSpan w:val="2"/>
            <w:tcBorders>
              <w:top w:val="single" w:sz="4" w:space="0" w:color="000000"/>
              <w:bottom w:val="single" w:sz="4" w:space="0" w:color="000000"/>
            </w:tcBorders>
            <w:shd w:val="clear" w:color="auto" w:fill="auto"/>
          </w:tcPr>
          <w:p w14:paraId="6D2D2211" w14:textId="38FBC26F" w:rsidR="008E6998" w:rsidRPr="000860F1" w:rsidRDefault="000330D6">
            <w:pPr>
              <w:pStyle w:val="IPPArialTable"/>
            </w:pPr>
            <w:r w:rsidRPr="000860F1">
              <w:t>40</w:t>
            </w:r>
          </w:p>
        </w:tc>
      </w:tr>
      <w:tr w:rsidR="008E6998" w:rsidRPr="000860F1" w14:paraId="033841E8" w14:textId="77777777">
        <w:tc>
          <w:tcPr>
            <w:tcW w:w="5103" w:type="dxa"/>
            <w:gridSpan w:val="2"/>
            <w:tcBorders>
              <w:top w:val="single" w:sz="4" w:space="0" w:color="000000"/>
              <w:bottom w:val="single" w:sz="4" w:space="0" w:color="000000"/>
            </w:tcBorders>
            <w:shd w:val="clear" w:color="auto" w:fill="auto"/>
          </w:tcPr>
          <w:p w14:paraId="2671F03B" w14:textId="2D5EF2F1" w:rsidR="008E6998" w:rsidRPr="000860F1" w:rsidRDefault="000330D6">
            <w:pPr>
              <w:pStyle w:val="IPPArialTable"/>
            </w:pPr>
            <w:r w:rsidRPr="000860F1">
              <w:t>Heating ramp speed</w:t>
            </w:r>
          </w:p>
        </w:tc>
        <w:tc>
          <w:tcPr>
            <w:tcW w:w="3994" w:type="dxa"/>
            <w:gridSpan w:val="2"/>
            <w:tcBorders>
              <w:top w:val="single" w:sz="4" w:space="0" w:color="000000"/>
              <w:bottom w:val="single" w:sz="4" w:space="0" w:color="000000"/>
            </w:tcBorders>
            <w:shd w:val="clear" w:color="auto" w:fill="auto"/>
          </w:tcPr>
          <w:p w14:paraId="7C19C219" w14:textId="2E9AE07E" w:rsidR="008E6998" w:rsidRPr="000860F1" w:rsidRDefault="000330D6">
            <w:pPr>
              <w:pStyle w:val="IPPArialTable"/>
            </w:pPr>
            <w:r w:rsidRPr="000860F1">
              <w:t>5 °C/s</w:t>
            </w:r>
          </w:p>
        </w:tc>
      </w:tr>
      <w:tr w:rsidR="008E6998" w:rsidRPr="000860F1" w14:paraId="4E075421" w14:textId="77777777">
        <w:tc>
          <w:tcPr>
            <w:tcW w:w="5103" w:type="dxa"/>
            <w:gridSpan w:val="2"/>
            <w:tcBorders>
              <w:top w:val="single" w:sz="4" w:space="0" w:color="000000"/>
              <w:bottom w:val="single" w:sz="4" w:space="0" w:color="000000"/>
            </w:tcBorders>
            <w:shd w:val="clear" w:color="auto" w:fill="auto"/>
          </w:tcPr>
          <w:p w14:paraId="20450879" w14:textId="06A30C8E" w:rsidR="008E6998" w:rsidRPr="000860F1" w:rsidRDefault="000330D6">
            <w:pPr>
              <w:pStyle w:val="IPPArialTable"/>
            </w:pPr>
            <w:r w:rsidRPr="000860F1">
              <w:t>Denaturation</w:t>
            </w:r>
          </w:p>
        </w:tc>
        <w:tc>
          <w:tcPr>
            <w:tcW w:w="3994" w:type="dxa"/>
            <w:gridSpan w:val="2"/>
            <w:tcBorders>
              <w:top w:val="single" w:sz="4" w:space="0" w:color="000000"/>
              <w:bottom w:val="single" w:sz="4" w:space="0" w:color="000000"/>
            </w:tcBorders>
            <w:shd w:val="clear" w:color="auto" w:fill="auto"/>
          </w:tcPr>
          <w:p w14:paraId="1362BD5D" w14:textId="382561B4" w:rsidR="008E6998" w:rsidRPr="000860F1" w:rsidRDefault="000330D6">
            <w:pPr>
              <w:pStyle w:val="IPPArialTable"/>
            </w:pPr>
            <w:r w:rsidRPr="000860F1">
              <w:t>95 °C for 1 s</w:t>
            </w:r>
          </w:p>
        </w:tc>
      </w:tr>
      <w:tr w:rsidR="008E6998" w:rsidRPr="000860F1" w14:paraId="696BF632" w14:textId="77777777">
        <w:tc>
          <w:tcPr>
            <w:tcW w:w="5103" w:type="dxa"/>
            <w:gridSpan w:val="2"/>
            <w:tcBorders>
              <w:top w:val="single" w:sz="4" w:space="0" w:color="000000"/>
              <w:bottom w:val="single" w:sz="4" w:space="0" w:color="000000"/>
            </w:tcBorders>
            <w:shd w:val="clear" w:color="auto" w:fill="auto"/>
          </w:tcPr>
          <w:p w14:paraId="0A334A70" w14:textId="0D220020" w:rsidR="008E6998" w:rsidRPr="000860F1" w:rsidRDefault="000330D6">
            <w:pPr>
              <w:pStyle w:val="IPPArialTable"/>
            </w:pPr>
            <w:r w:rsidRPr="00511295">
              <w:rPr>
                <w:szCs w:val="18"/>
              </w:rPr>
              <w:t>A</w:t>
            </w:r>
            <w:r w:rsidRPr="000860F1">
              <w:t xml:space="preserve">nnealing </w:t>
            </w:r>
            <w:r w:rsidR="00176361" w:rsidRPr="000860F1">
              <w:t>and</w:t>
            </w:r>
            <w:r w:rsidRPr="000860F1">
              <w:t xml:space="preserve"> </w:t>
            </w:r>
            <w:r w:rsidR="00176361" w:rsidRPr="000860F1">
              <w:t>e</w:t>
            </w:r>
            <w:r w:rsidRPr="000860F1">
              <w:t>longation</w:t>
            </w:r>
          </w:p>
        </w:tc>
        <w:tc>
          <w:tcPr>
            <w:tcW w:w="3994" w:type="dxa"/>
            <w:gridSpan w:val="2"/>
            <w:tcBorders>
              <w:top w:val="single" w:sz="4" w:space="0" w:color="000000"/>
              <w:bottom w:val="single" w:sz="4" w:space="0" w:color="000000"/>
            </w:tcBorders>
            <w:shd w:val="clear" w:color="auto" w:fill="auto"/>
          </w:tcPr>
          <w:p w14:paraId="6CBB52FF" w14:textId="6C6B74E8" w:rsidR="008E6998" w:rsidRPr="000860F1" w:rsidRDefault="000330D6">
            <w:pPr>
              <w:pStyle w:val="IPPArialTable"/>
            </w:pPr>
            <w:r w:rsidRPr="000860F1">
              <w:t>60 °C for 40 s</w:t>
            </w:r>
          </w:p>
        </w:tc>
      </w:tr>
    </w:tbl>
    <w:p w14:paraId="5560819E" w14:textId="690E705A" w:rsidR="003067B4" w:rsidRPr="000860F1" w:rsidRDefault="003067B4" w:rsidP="003067B4">
      <w:pPr>
        <w:pStyle w:val="IPPArialFootnote"/>
        <w:rPr>
          <w:rStyle w:val="PleaseReviewParagraphId"/>
        </w:rPr>
      </w:pPr>
      <w:r w:rsidRPr="000860F1">
        <w:rPr>
          <w:vertAlign w:val="superscript"/>
        </w:rPr>
        <w:t>†</w:t>
      </w:r>
      <w:r w:rsidRPr="000860F1">
        <w:t xml:space="preserve"> For a final reaction volume of 25 </w:t>
      </w:r>
      <w:r w:rsidRPr="000860F1">
        <w:rPr>
          <w:rFonts w:cs="Arial"/>
        </w:rPr>
        <w:t>µ</w:t>
      </w:r>
      <w:r w:rsidRPr="000860F1">
        <w:t>l.</w:t>
      </w:r>
    </w:p>
    <w:p w14:paraId="005DB65E" w14:textId="7E85B542" w:rsidR="008E6998" w:rsidRDefault="00102C57" w:rsidP="00A66AEE">
      <w:pPr>
        <w:pStyle w:val="IPPArialFootnote"/>
        <w:spacing w:after="180"/>
      </w:pPr>
      <w:r w:rsidRPr="00271B6B">
        <w:rPr>
          <w:rStyle w:val="PleaseReviewParagraphId"/>
          <w:color w:val="auto"/>
        </w:rPr>
        <w:t>PCR, polymerase chain reaction</w:t>
      </w:r>
      <w:r w:rsidR="000330D6" w:rsidRPr="00271B6B">
        <w:t>.</w:t>
      </w:r>
    </w:p>
    <w:p w14:paraId="6A8794EB" w14:textId="77777777" w:rsidR="00B44C17" w:rsidRPr="00E26D57" w:rsidRDefault="00B44C17" w:rsidP="00A66AEE">
      <w:pPr>
        <w:pStyle w:val="IPPArialFootnote"/>
        <w:spacing w:after="180"/>
      </w:pPr>
    </w:p>
    <w:p w14:paraId="76B5387E" w14:textId="5D7599F6" w:rsidR="00B44C17" w:rsidRDefault="00B44C17" w:rsidP="00B06594">
      <w:pPr>
        <w:pStyle w:val="IPPHeading2"/>
        <w:numPr>
          <w:ilvl w:val="2"/>
          <w:numId w:val="39"/>
        </w:numPr>
      </w:pPr>
      <w:bookmarkStart w:id="45" w:name="_Toc111710141"/>
      <w:r w:rsidRPr="000860F1">
        <w:t xml:space="preserve">Real-time PCR using the primers and probes of </w:t>
      </w:r>
      <w:r>
        <w:t>Dupas</w:t>
      </w:r>
      <w:r w:rsidRPr="000860F1">
        <w:t xml:space="preserve"> </w:t>
      </w:r>
      <w:r w:rsidRPr="000860F1">
        <w:rPr>
          <w:i/>
        </w:rPr>
        <w:t>et al</w:t>
      </w:r>
      <w:r w:rsidRPr="000860F1">
        <w:t>. (20</w:t>
      </w:r>
      <w:r>
        <w:t>19</w:t>
      </w:r>
      <w:r w:rsidRPr="000860F1">
        <w:t>)</w:t>
      </w:r>
      <w:bookmarkEnd w:id="45"/>
    </w:p>
    <w:p w14:paraId="76F8271C" w14:textId="404E66F8" w:rsidR="00B44C17" w:rsidRDefault="00B44C17" w:rsidP="004C1B1F">
      <w:pPr>
        <w:pStyle w:val="IPPParagraphnumbering"/>
      </w:pPr>
      <w:r>
        <w:t xml:space="preserve">This tetraplex real-time PCR is suitable for the detection and the identification of </w:t>
      </w:r>
      <w:r>
        <w:rPr>
          <w:i/>
        </w:rPr>
        <w:t xml:space="preserve">X. fastidiosa </w:t>
      </w:r>
      <w:r>
        <w:rPr>
          <w:iCs/>
        </w:rPr>
        <w:t xml:space="preserve">and assignment of </w:t>
      </w:r>
      <w:r>
        <w:t>subspecies on plant samples and cell cultures</w:t>
      </w:r>
      <w:r>
        <w:rPr>
          <w:rFonts w:eastAsiaTheme="minorHAnsi"/>
          <w:szCs w:val="22"/>
        </w:rPr>
        <w:t xml:space="preserve">. </w:t>
      </w:r>
      <w:r>
        <w:t xml:space="preserve">The target sequences are: a) the gene coding for the Ketol-acid reductoisomerase (WP_004084873) (M23) </w:t>
      </w:r>
      <w:r w:rsidR="005A7D4F">
        <w:t>to identify Xf</w:t>
      </w:r>
      <w:r w:rsidR="00C60B80">
        <w:t xml:space="preserve">, </w:t>
      </w:r>
      <w:r>
        <w:t>b) the restriction modification system (ACB93575) (M23)</w:t>
      </w:r>
      <w:r w:rsidR="00C60B80">
        <w:t xml:space="preserve"> to identify </w:t>
      </w:r>
      <w:r w:rsidR="00C60B80" w:rsidRPr="00054E1F">
        <w:rPr>
          <w:i/>
        </w:rPr>
        <w:t>Xff</w:t>
      </w:r>
      <w:r>
        <w:t>; c) a genome region with unknown function M23)</w:t>
      </w:r>
      <w:r w:rsidR="00C60B80">
        <w:t xml:space="preserve"> to identify </w:t>
      </w:r>
      <w:r w:rsidR="00C60B80" w:rsidRPr="00054E1F">
        <w:rPr>
          <w:i/>
        </w:rPr>
        <w:t>Xfsl</w:t>
      </w:r>
      <w:r>
        <w:t>; d) the gene coding for the DNA adenine methylase (WP_004083560) (M12)</w:t>
      </w:r>
      <w:r w:rsidR="00C60B80">
        <w:t xml:space="preserve"> to identify </w:t>
      </w:r>
      <w:r w:rsidR="00C60B80" w:rsidRPr="00054E1F">
        <w:rPr>
          <w:i/>
        </w:rPr>
        <w:t>Xfm</w:t>
      </w:r>
      <w:r>
        <w:t>; e) the gene coding for the Peptidase S24 (AIC14009) (MUL0034)</w:t>
      </w:r>
      <w:r w:rsidR="00C60B80">
        <w:t xml:space="preserve"> to identify </w:t>
      </w:r>
      <w:r w:rsidR="00C60B80" w:rsidRPr="00054E1F">
        <w:rPr>
          <w:i/>
        </w:rPr>
        <w:t>Xfmo</w:t>
      </w:r>
      <w:r>
        <w:t>; f) the gene coding for the Histidine kinase, ABC transporter substrate-binding (ARO67912, ARO69620) (De Donno)</w:t>
      </w:r>
      <w:r w:rsidR="00C60B80">
        <w:t xml:space="preserve"> to identify </w:t>
      </w:r>
      <w:r w:rsidR="00C60B80" w:rsidRPr="00054E1F">
        <w:rPr>
          <w:i/>
        </w:rPr>
        <w:t>Xfp</w:t>
      </w:r>
      <w:r>
        <w:t>.</w:t>
      </w:r>
    </w:p>
    <w:p w14:paraId="0218EF50" w14:textId="5AB7BF14" w:rsidR="00B44C17" w:rsidRPr="00054E1F" w:rsidRDefault="00B44C17" w:rsidP="004C1B1F">
      <w:pPr>
        <w:pStyle w:val="IPPParagraphnumbering"/>
        <w:rPr>
          <w:rFonts w:eastAsiaTheme="minorHAnsi"/>
          <w:szCs w:val="22"/>
        </w:rPr>
      </w:pPr>
      <w:r>
        <w:t>Dupas</w:t>
      </w:r>
      <w:r w:rsidRPr="000860F1">
        <w:t xml:space="preserve"> </w:t>
      </w:r>
      <w:r w:rsidRPr="000860F1">
        <w:rPr>
          <w:i/>
        </w:rPr>
        <w:t>et</w:t>
      </w:r>
      <w:r w:rsidRPr="000860F1">
        <w:rPr>
          <w:i/>
          <w:iCs/>
        </w:rPr>
        <w:t> </w:t>
      </w:r>
      <w:r w:rsidRPr="000860F1">
        <w:rPr>
          <w:i/>
        </w:rPr>
        <w:t>al.</w:t>
      </w:r>
      <w:r w:rsidRPr="000860F1">
        <w:t xml:space="preserve"> (201</w:t>
      </w:r>
      <w:r>
        <w:t>9</w:t>
      </w:r>
      <w:r w:rsidRPr="000860F1">
        <w:t xml:space="preserve">) evaluated analytical specificity with </w:t>
      </w:r>
      <w:r w:rsidR="00F90C01">
        <w:t>39</w:t>
      </w:r>
      <w:r w:rsidRPr="000860F1">
        <w:t xml:space="preserve"> strains of </w:t>
      </w:r>
      <w:r w:rsidRPr="000860F1">
        <w:rPr>
          <w:i/>
        </w:rPr>
        <w:t>X. fastidiosa</w:t>
      </w:r>
      <w:r w:rsidRPr="000860F1">
        <w:t xml:space="preserve"> </w:t>
      </w:r>
      <w:r w:rsidR="00F90C01">
        <w:t>from different subspecies and 30</w:t>
      </w:r>
      <w:r w:rsidRPr="000860F1">
        <w:t xml:space="preserve"> non-target bacterial strains. Only </w:t>
      </w:r>
      <w:r w:rsidRPr="000860F1">
        <w:rPr>
          <w:i/>
        </w:rPr>
        <w:t>X. fastidiosa</w:t>
      </w:r>
      <w:r w:rsidRPr="000860F1">
        <w:t xml:space="preserve"> was detected. Diagnostic specificity </w:t>
      </w:r>
      <w:r w:rsidR="00F90C01">
        <w:t xml:space="preserve">were 100% </w:t>
      </w:r>
      <w:r w:rsidRPr="000860F1">
        <w:t>and sensitivity</w:t>
      </w:r>
      <w:r w:rsidR="00F90C01" w:rsidRPr="00F90C01">
        <w:rPr>
          <w:bCs/>
        </w:rPr>
        <w:t xml:space="preserve"> </w:t>
      </w:r>
      <w:r w:rsidR="00F90C01">
        <w:rPr>
          <w:bCs/>
        </w:rPr>
        <w:t>92% on pure DNA extract; 100% on 10 fold diluted DNA</w:t>
      </w:r>
      <w:r w:rsidRPr="000860F1">
        <w:t xml:space="preserve">. The analytical sensitivity (detection limit) is </w:t>
      </w:r>
      <w:r w:rsidR="00F90C01">
        <w:t>10</w:t>
      </w:r>
      <w:r w:rsidR="00F90C01">
        <w:rPr>
          <w:vertAlign w:val="superscript"/>
        </w:rPr>
        <w:t>5</w:t>
      </w:r>
      <w:r w:rsidR="00F90C01">
        <w:t xml:space="preserve"> cells </w:t>
      </w:r>
      <w:r w:rsidR="00D415AF">
        <w:t>mL</w:t>
      </w:r>
      <w:r w:rsidR="00F90C01">
        <w:rPr>
          <w:vertAlign w:val="superscript"/>
        </w:rPr>
        <w:t>-1</w:t>
      </w:r>
      <w:r w:rsidRPr="000860F1">
        <w:t>.</w:t>
      </w:r>
    </w:p>
    <w:p w14:paraId="7C0FB829" w14:textId="77777777" w:rsidR="00B44C17" w:rsidRDefault="00B44C17" w:rsidP="00B44C17">
      <w:pPr>
        <w:keepNext/>
        <w:jc w:val="left"/>
      </w:pPr>
    </w:p>
    <w:p w14:paraId="10937B72" w14:textId="4C182724" w:rsidR="00C60B80" w:rsidRDefault="00C60B80" w:rsidP="004C1B1F">
      <w:pPr>
        <w:pStyle w:val="IPPParagraphnumbering"/>
      </w:pPr>
      <w:r w:rsidRPr="000860F1">
        <w:t xml:space="preserve">The oligonucleotide primers and probes </w:t>
      </w:r>
      <w:r w:rsidR="00820572">
        <w:t>are used with the following sets</w:t>
      </w:r>
      <w:r w:rsidRPr="000860F1">
        <w:t>:</w:t>
      </w:r>
    </w:p>
    <w:p w14:paraId="54E57599" w14:textId="77777777" w:rsidR="00820572" w:rsidRDefault="00820572" w:rsidP="004C1B1F">
      <w:pPr>
        <w:spacing w:line="276" w:lineRule="auto"/>
        <w:ind w:firstLine="708"/>
      </w:pPr>
      <w:r w:rsidRPr="007C368C">
        <w:t>Set n°1 : XF–XFFSL–XFM–XFP</w:t>
      </w:r>
    </w:p>
    <w:p w14:paraId="01DD62BA" w14:textId="77777777" w:rsidR="00820572" w:rsidRDefault="00820572" w:rsidP="004C1B1F">
      <w:pPr>
        <w:spacing w:line="276" w:lineRule="auto"/>
        <w:ind w:firstLine="708"/>
      </w:pPr>
      <w:r w:rsidRPr="007C368C">
        <w:t>Set n°2 : XF–XFF–XFM–XFP</w:t>
      </w:r>
    </w:p>
    <w:p w14:paraId="25211B84" w14:textId="77777777" w:rsidR="00820572" w:rsidRPr="005C3D8E" w:rsidRDefault="00820572" w:rsidP="004C1B1F">
      <w:pPr>
        <w:spacing w:line="276" w:lineRule="auto"/>
        <w:ind w:firstLine="708"/>
        <w:rPr>
          <w:lang w:val="pt-BR"/>
        </w:rPr>
      </w:pPr>
      <w:r w:rsidRPr="005C3D8E">
        <w:rPr>
          <w:lang w:val="pt-BR"/>
        </w:rPr>
        <w:t>Set n°3 : XF–XFF–XFM–XMO</w:t>
      </w:r>
    </w:p>
    <w:p w14:paraId="0229554D" w14:textId="77777777" w:rsidR="00820572" w:rsidRPr="005C3D8E" w:rsidRDefault="00820572" w:rsidP="004C1B1F">
      <w:pPr>
        <w:spacing w:line="276" w:lineRule="auto"/>
        <w:ind w:firstLine="708"/>
        <w:rPr>
          <w:lang w:val="pt-BR"/>
        </w:rPr>
      </w:pPr>
      <w:r w:rsidRPr="005C3D8E">
        <w:rPr>
          <w:lang w:val="pt-BR"/>
        </w:rPr>
        <w:t>Set n°4 : XFFSL–XFM–XFP</w:t>
      </w:r>
    </w:p>
    <w:p w14:paraId="44D9DA47" w14:textId="77777777" w:rsidR="004C1B1F" w:rsidRPr="000D78FD" w:rsidRDefault="00820572" w:rsidP="004C1B1F">
      <w:pPr>
        <w:spacing w:line="276" w:lineRule="auto"/>
        <w:ind w:firstLine="708"/>
        <w:rPr>
          <w:lang w:val="pt-BR"/>
        </w:rPr>
      </w:pPr>
      <w:r w:rsidRPr="000D78FD">
        <w:rPr>
          <w:lang w:val="pt-BR"/>
        </w:rPr>
        <w:t>Set n°5 : Harper–XFFSL–XFM–XFP</w:t>
      </w:r>
    </w:p>
    <w:p w14:paraId="55A27814" w14:textId="493657F9" w:rsidR="00820572" w:rsidRDefault="00820572" w:rsidP="004C1B1F">
      <w:pPr>
        <w:spacing w:line="276" w:lineRule="auto"/>
        <w:ind w:firstLine="708"/>
      </w:pPr>
      <w:r w:rsidRPr="007C368C">
        <w:t>Set n°6 : 18S–XFFSL–XFM–XFP</w:t>
      </w:r>
    </w:p>
    <w:p w14:paraId="1FACB354" w14:textId="77777777" w:rsidR="00A474C9" w:rsidRDefault="00A474C9">
      <w:pPr>
        <w:keepNext/>
        <w:jc w:val="left"/>
        <w:rPr>
          <w:rFonts w:ascii="Arial" w:eastAsiaTheme="minorHAnsi" w:hAnsi="Arial" w:cs="Arial"/>
          <w:b/>
          <w:sz w:val="18"/>
          <w:szCs w:val="18"/>
        </w:rPr>
      </w:pPr>
    </w:p>
    <w:p w14:paraId="72DA91EA" w14:textId="3FA7B3E2" w:rsidR="00B44C17" w:rsidRPr="00133D6E" w:rsidRDefault="00D26F06">
      <w:pPr>
        <w:keepNext/>
        <w:jc w:val="left"/>
        <w:rPr>
          <w:rFonts w:ascii="Arial" w:hAnsi="Arial" w:cs="Arial"/>
          <w:sz w:val="18"/>
          <w:szCs w:val="18"/>
        </w:rPr>
      </w:pPr>
      <w:r w:rsidRPr="00133D6E">
        <w:rPr>
          <w:rFonts w:ascii="Arial" w:eastAsiaTheme="minorHAnsi" w:hAnsi="Arial" w:cs="Arial"/>
          <w:b/>
          <w:sz w:val="18"/>
          <w:szCs w:val="18"/>
        </w:rPr>
        <w:t xml:space="preserve">Table </w:t>
      </w:r>
      <w:r w:rsidR="00EF03FA" w:rsidRPr="00133D6E">
        <w:rPr>
          <w:rFonts w:ascii="Arial" w:eastAsiaTheme="minorHAnsi" w:hAnsi="Arial" w:cs="Arial"/>
          <w:b/>
          <w:sz w:val="18"/>
          <w:szCs w:val="18"/>
        </w:rPr>
        <w:t>10</w:t>
      </w:r>
      <w:r w:rsidRPr="00133D6E">
        <w:rPr>
          <w:rFonts w:ascii="Arial" w:eastAsiaTheme="minorHAnsi" w:hAnsi="Arial" w:cs="Arial"/>
          <w:b/>
          <w:sz w:val="18"/>
          <w:szCs w:val="18"/>
        </w:rPr>
        <w:t>.</w:t>
      </w:r>
      <w:r w:rsidRPr="00133D6E">
        <w:rPr>
          <w:rFonts w:ascii="Arial" w:eastAsiaTheme="minorHAnsi" w:hAnsi="Arial" w:cs="Arial"/>
          <w:sz w:val="18"/>
          <w:szCs w:val="18"/>
        </w:rPr>
        <w:t xml:space="preserve"> </w:t>
      </w:r>
      <w:r w:rsidRPr="00133D6E">
        <w:rPr>
          <w:rFonts w:ascii="Arial" w:hAnsi="Arial" w:cs="Arial"/>
          <w:sz w:val="18"/>
          <w:szCs w:val="18"/>
        </w:rPr>
        <w:t>Oligonucleotide primers and probes</w:t>
      </w:r>
      <w:r w:rsidR="00133D6E">
        <w:rPr>
          <w:rFonts w:ascii="Arial" w:hAnsi="Arial" w:cs="Arial"/>
          <w:sz w:val="18"/>
          <w:szCs w:val="18"/>
        </w:rPr>
        <w:t>,</w:t>
      </w:r>
      <w:r w:rsidRPr="00133D6E">
        <w:rPr>
          <w:rFonts w:ascii="Arial" w:hAnsi="Arial" w:cs="Arial"/>
          <w:sz w:val="18"/>
          <w:szCs w:val="18"/>
        </w:rPr>
        <w:t xml:space="preserve"> </w:t>
      </w:r>
    </w:p>
    <w:p w14:paraId="6AAD8773" w14:textId="77777777" w:rsidR="00D26F06" w:rsidRDefault="00D26F06">
      <w:pPr>
        <w:keepNext/>
        <w:jc w:val="left"/>
        <w:rPr>
          <w:rFonts w:eastAsiaTheme="minorHAnsi"/>
          <w:szCs w:val="22"/>
        </w:rPr>
      </w:pPr>
    </w:p>
    <w:tbl>
      <w:tblPr>
        <w:tblStyle w:val="TableGrid"/>
        <w:tblW w:w="8932" w:type="dxa"/>
        <w:jc w:val="center"/>
        <w:tblBorders>
          <w:insideH w:val="none" w:sz="0" w:space="0" w:color="auto"/>
          <w:insideV w:val="none" w:sz="0" w:space="0" w:color="auto"/>
        </w:tblBorders>
        <w:tblLayout w:type="fixed"/>
        <w:tblLook w:val="04A0" w:firstRow="1" w:lastRow="0" w:firstColumn="1" w:lastColumn="0" w:noHBand="0" w:noVBand="1"/>
      </w:tblPr>
      <w:tblGrid>
        <w:gridCol w:w="1986"/>
        <w:gridCol w:w="1275"/>
        <w:gridCol w:w="4111"/>
        <w:gridCol w:w="1560"/>
      </w:tblGrid>
      <w:tr w:rsidR="0033486B" w:rsidRPr="00054E1F" w14:paraId="231A658E" w14:textId="77777777" w:rsidTr="00054E1F">
        <w:trPr>
          <w:jc w:val="center"/>
        </w:trPr>
        <w:tc>
          <w:tcPr>
            <w:tcW w:w="1986" w:type="dxa"/>
            <w:tcBorders>
              <w:bottom w:val="single" w:sz="4" w:space="0" w:color="auto"/>
            </w:tcBorders>
            <w:vAlign w:val="center"/>
          </w:tcPr>
          <w:p w14:paraId="3272E33A" w14:textId="77777777" w:rsidR="0033486B" w:rsidRPr="00054E1F" w:rsidRDefault="0033486B" w:rsidP="005D503A">
            <w:pPr>
              <w:pStyle w:val="NoSpacing"/>
              <w:spacing w:line="276" w:lineRule="auto"/>
              <w:jc w:val="center"/>
              <w:rPr>
                <w:rFonts w:ascii="Arial" w:hAnsi="Arial" w:cs="Arial"/>
                <w:sz w:val="16"/>
                <w:szCs w:val="16"/>
                <w:lang w:val="fr-FR"/>
              </w:rPr>
            </w:pPr>
            <w:bookmarkStart w:id="46" w:name="_Hlk98143934"/>
            <w:r w:rsidRPr="00054E1F">
              <w:rPr>
                <w:rFonts w:ascii="Arial" w:hAnsi="Arial" w:cs="Arial"/>
                <w:sz w:val="16"/>
                <w:szCs w:val="16"/>
                <w:lang w:val="fr-FR"/>
              </w:rPr>
              <w:t>Target</w:t>
            </w:r>
          </w:p>
          <w:p w14:paraId="7C840487" w14:textId="77777777" w:rsidR="0033486B" w:rsidRPr="00054E1F" w:rsidRDefault="0033486B" w:rsidP="005D503A">
            <w:pPr>
              <w:pStyle w:val="NoSpacing"/>
              <w:spacing w:line="276" w:lineRule="auto"/>
              <w:jc w:val="center"/>
              <w:rPr>
                <w:rFonts w:ascii="Arial" w:hAnsi="Arial" w:cs="Arial"/>
                <w:sz w:val="16"/>
                <w:szCs w:val="16"/>
                <w:lang w:val="fr-FR"/>
              </w:rPr>
            </w:pPr>
            <w:r w:rsidRPr="00054E1F">
              <w:rPr>
                <w:rFonts w:ascii="Arial" w:hAnsi="Arial" w:cs="Arial"/>
                <w:sz w:val="16"/>
                <w:szCs w:val="16"/>
                <w:lang w:val="fr-FR"/>
              </w:rPr>
              <w:t>species/subspecies</w:t>
            </w:r>
          </w:p>
        </w:tc>
        <w:tc>
          <w:tcPr>
            <w:tcW w:w="1275" w:type="dxa"/>
            <w:tcBorders>
              <w:bottom w:val="single" w:sz="4" w:space="0" w:color="auto"/>
            </w:tcBorders>
            <w:vAlign w:val="center"/>
          </w:tcPr>
          <w:p w14:paraId="1C5A8C11" w14:textId="7E8EC96A" w:rsidR="0033486B" w:rsidRPr="00054E1F" w:rsidRDefault="0033486B" w:rsidP="005D503A">
            <w:pPr>
              <w:pStyle w:val="NoSpacing"/>
              <w:spacing w:line="276" w:lineRule="auto"/>
              <w:jc w:val="center"/>
              <w:rPr>
                <w:rFonts w:ascii="Arial" w:hAnsi="Arial" w:cs="Arial"/>
                <w:sz w:val="16"/>
                <w:szCs w:val="16"/>
                <w:lang w:val="fr-FR"/>
              </w:rPr>
            </w:pPr>
            <w:r w:rsidRPr="00054E1F">
              <w:rPr>
                <w:rFonts w:ascii="Arial" w:hAnsi="Arial" w:cs="Arial"/>
                <w:sz w:val="16"/>
                <w:szCs w:val="16"/>
                <w:lang w:val="fr-FR"/>
              </w:rPr>
              <w:t>Primer name</w:t>
            </w:r>
          </w:p>
        </w:tc>
        <w:tc>
          <w:tcPr>
            <w:tcW w:w="4111" w:type="dxa"/>
            <w:tcBorders>
              <w:bottom w:val="single" w:sz="4" w:space="0" w:color="auto"/>
            </w:tcBorders>
            <w:vAlign w:val="center"/>
          </w:tcPr>
          <w:p w14:paraId="58BC2431" w14:textId="7EE974E5" w:rsidR="0033486B" w:rsidRPr="00054E1F" w:rsidRDefault="0033486B" w:rsidP="005D503A">
            <w:pPr>
              <w:pStyle w:val="NoSpacing"/>
              <w:spacing w:line="276" w:lineRule="auto"/>
              <w:jc w:val="center"/>
              <w:rPr>
                <w:rFonts w:ascii="Arial" w:hAnsi="Arial" w:cs="Arial"/>
                <w:sz w:val="16"/>
                <w:szCs w:val="16"/>
                <w:lang w:val="fr-FR"/>
              </w:rPr>
            </w:pPr>
            <w:r w:rsidRPr="00054E1F">
              <w:rPr>
                <w:rFonts w:ascii="Arial" w:hAnsi="Arial" w:cs="Arial"/>
                <w:sz w:val="16"/>
                <w:szCs w:val="16"/>
                <w:lang w:val="fr-FR"/>
              </w:rPr>
              <w:t>Sequence (5’ 3’)</w:t>
            </w:r>
          </w:p>
        </w:tc>
        <w:tc>
          <w:tcPr>
            <w:tcW w:w="1560" w:type="dxa"/>
            <w:tcBorders>
              <w:bottom w:val="single" w:sz="4" w:space="0" w:color="auto"/>
            </w:tcBorders>
            <w:vAlign w:val="center"/>
          </w:tcPr>
          <w:p w14:paraId="2D61FC57" w14:textId="2A746467" w:rsidR="0033486B" w:rsidRPr="00054E1F" w:rsidRDefault="0033486B" w:rsidP="005D503A">
            <w:pPr>
              <w:pStyle w:val="NoSpacing"/>
              <w:spacing w:line="276" w:lineRule="auto"/>
              <w:jc w:val="center"/>
              <w:rPr>
                <w:rFonts w:ascii="Arial" w:hAnsi="Arial" w:cs="Arial"/>
                <w:sz w:val="16"/>
                <w:szCs w:val="16"/>
                <w:lang w:val="fr-FR"/>
              </w:rPr>
            </w:pPr>
            <w:r w:rsidRPr="00054E1F">
              <w:rPr>
                <w:rFonts w:ascii="Arial" w:hAnsi="Arial" w:cs="Arial"/>
                <w:sz w:val="16"/>
                <w:szCs w:val="16"/>
                <w:lang w:val="fr-FR"/>
              </w:rPr>
              <w:t>Reference</w:t>
            </w:r>
          </w:p>
        </w:tc>
      </w:tr>
      <w:tr w:rsidR="0033486B" w:rsidRPr="00054E1F" w14:paraId="2A6A55E9" w14:textId="77777777" w:rsidTr="00054E1F">
        <w:trPr>
          <w:cantSplit/>
          <w:trHeight w:val="227"/>
          <w:jc w:val="center"/>
        </w:trPr>
        <w:tc>
          <w:tcPr>
            <w:tcW w:w="1986" w:type="dxa"/>
            <w:vMerge w:val="restart"/>
            <w:tcBorders>
              <w:top w:val="single" w:sz="4" w:space="0" w:color="auto"/>
              <w:bottom w:val="nil"/>
            </w:tcBorders>
            <w:vAlign w:val="center"/>
          </w:tcPr>
          <w:p w14:paraId="46B6CB28" w14:textId="77777777" w:rsidR="0033486B" w:rsidRPr="00054E1F" w:rsidRDefault="0033486B" w:rsidP="005D503A">
            <w:pPr>
              <w:pStyle w:val="NoSpacing"/>
              <w:spacing w:line="276" w:lineRule="auto"/>
              <w:jc w:val="center"/>
              <w:rPr>
                <w:rFonts w:ascii="Arial" w:hAnsi="Arial" w:cs="Arial"/>
                <w:i/>
                <w:sz w:val="16"/>
                <w:szCs w:val="16"/>
                <w:lang w:val="fr-FR"/>
              </w:rPr>
            </w:pPr>
            <w:r w:rsidRPr="00054E1F">
              <w:rPr>
                <w:rFonts w:ascii="Arial" w:hAnsi="Arial" w:cs="Arial"/>
                <w:i/>
                <w:sz w:val="16"/>
                <w:szCs w:val="16"/>
                <w:lang w:val="fr-FR"/>
              </w:rPr>
              <w:t>Xylella fastidiosa</w:t>
            </w:r>
          </w:p>
        </w:tc>
        <w:tc>
          <w:tcPr>
            <w:tcW w:w="1275" w:type="dxa"/>
            <w:tcBorders>
              <w:top w:val="single" w:sz="4" w:space="0" w:color="auto"/>
              <w:bottom w:val="nil"/>
            </w:tcBorders>
            <w:vAlign w:val="center"/>
          </w:tcPr>
          <w:p w14:paraId="6D9C9DD0" w14:textId="77777777" w:rsidR="0033486B" w:rsidRPr="00054E1F" w:rsidRDefault="0033486B" w:rsidP="005D503A">
            <w:pPr>
              <w:pStyle w:val="NoSpacing"/>
              <w:spacing w:line="276" w:lineRule="auto"/>
              <w:jc w:val="center"/>
              <w:rPr>
                <w:rFonts w:ascii="Arial" w:hAnsi="Arial" w:cs="Arial"/>
                <w:sz w:val="16"/>
                <w:szCs w:val="16"/>
                <w:lang w:val="fr-FR"/>
              </w:rPr>
            </w:pPr>
            <w:r w:rsidRPr="00054E1F">
              <w:rPr>
                <w:rFonts w:ascii="Arial" w:hAnsi="Arial" w:cs="Arial"/>
                <w:i/>
                <w:sz w:val="16"/>
                <w:szCs w:val="16"/>
                <w:lang w:val="fr-FR"/>
              </w:rPr>
              <w:t>XF</w:t>
            </w:r>
            <w:r w:rsidRPr="00054E1F">
              <w:rPr>
                <w:rFonts w:ascii="Arial" w:hAnsi="Arial" w:cs="Arial"/>
                <w:sz w:val="16"/>
                <w:szCs w:val="16"/>
                <w:lang w:val="fr-FR"/>
              </w:rPr>
              <w:t>-F</w:t>
            </w:r>
          </w:p>
        </w:tc>
        <w:tc>
          <w:tcPr>
            <w:tcW w:w="4111" w:type="dxa"/>
            <w:tcBorders>
              <w:top w:val="single" w:sz="4" w:space="0" w:color="auto"/>
              <w:bottom w:val="nil"/>
            </w:tcBorders>
            <w:vAlign w:val="center"/>
          </w:tcPr>
          <w:p w14:paraId="2C5F1E10" w14:textId="6AACD317" w:rsidR="0033486B" w:rsidRPr="00054E1F" w:rsidRDefault="0033486B" w:rsidP="005D503A">
            <w:pPr>
              <w:pStyle w:val="NoSpacing"/>
              <w:spacing w:line="276" w:lineRule="auto"/>
              <w:jc w:val="center"/>
              <w:rPr>
                <w:rFonts w:ascii="Arial" w:hAnsi="Arial" w:cs="Arial"/>
                <w:sz w:val="16"/>
                <w:szCs w:val="16"/>
                <w:lang w:val="fr-FR"/>
              </w:rPr>
            </w:pPr>
            <w:r w:rsidRPr="00054E1F">
              <w:rPr>
                <w:rFonts w:ascii="Arial" w:eastAsia="Calibri" w:hAnsi="Arial" w:cs="Arial"/>
                <w:sz w:val="16"/>
                <w:szCs w:val="16"/>
                <w:lang w:val="fr-FR" w:eastAsia="fr-FR"/>
              </w:rPr>
              <w:t>AACCTGCGTGACTCTGGTTT</w:t>
            </w:r>
          </w:p>
        </w:tc>
        <w:tc>
          <w:tcPr>
            <w:tcW w:w="1560" w:type="dxa"/>
            <w:vMerge w:val="restart"/>
            <w:tcBorders>
              <w:top w:val="single" w:sz="4" w:space="0" w:color="auto"/>
              <w:bottom w:val="nil"/>
            </w:tcBorders>
            <w:vAlign w:val="center"/>
          </w:tcPr>
          <w:p w14:paraId="5B7B75FD" w14:textId="77777777" w:rsidR="0033486B" w:rsidRPr="00054E1F" w:rsidRDefault="0033486B" w:rsidP="005D503A">
            <w:pPr>
              <w:pStyle w:val="NoSpacing"/>
              <w:spacing w:line="276" w:lineRule="auto"/>
              <w:jc w:val="center"/>
              <w:rPr>
                <w:rFonts w:ascii="Arial" w:eastAsia="Calibri" w:hAnsi="Arial" w:cs="Arial"/>
                <w:sz w:val="16"/>
                <w:szCs w:val="16"/>
                <w:lang w:val="fr-FR" w:eastAsia="fr-FR"/>
              </w:rPr>
            </w:pPr>
            <w:r w:rsidRPr="00054E1F">
              <w:rPr>
                <w:rFonts w:ascii="Arial" w:eastAsia="Calibri" w:hAnsi="Arial" w:cs="Arial"/>
                <w:sz w:val="16"/>
                <w:szCs w:val="16"/>
                <w:lang w:val="fr-FR" w:eastAsia="fr-FR"/>
              </w:rPr>
              <w:t>Dupas et al., 2020</w:t>
            </w:r>
          </w:p>
        </w:tc>
      </w:tr>
      <w:tr w:rsidR="0033486B" w:rsidRPr="00054E1F" w14:paraId="64E4C08B" w14:textId="77777777" w:rsidTr="00054E1F">
        <w:trPr>
          <w:jc w:val="center"/>
        </w:trPr>
        <w:tc>
          <w:tcPr>
            <w:tcW w:w="1986" w:type="dxa"/>
            <w:vMerge/>
            <w:tcBorders>
              <w:top w:val="nil"/>
            </w:tcBorders>
            <w:vAlign w:val="center"/>
          </w:tcPr>
          <w:p w14:paraId="4C6E8DCE" w14:textId="77777777" w:rsidR="0033486B" w:rsidRPr="00D1700E" w:rsidRDefault="0033486B" w:rsidP="005D503A">
            <w:pPr>
              <w:pStyle w:val="NoSpacing"/>
              <w:spacing w:line="276" w:lineRule="auto"/>
              <w:jc w:val="center"/>
              <w:rPr>
                <w:rFonts w:ascii="Arial" w:hAnsi="Arial" w:cs="Arial"/>
                <w:sz w:val="16"/>
                <w:szCs w:val="16"/>
                <w:lang w:val="fr-FR"/>
              </w:rPr>
            </w:pPr>
          </w:p>
        </w:tc>
        <w:tc>
          <w:tcPr>
            <w:tcW w:w="1275" w:type="dxa"/>
            <w:tcBorders>
              <w:top w:val="nil"/>
            </w:tcBorders>
            <w:vAlign w:val="center"/>
          </w:tcPr>
          <w:p w14:paraId="48430096" w14:textId="77777777" w:rsidR="0033486B" w:rsidRPr="00D1700E" w:rsidRDefault="0033486B" w:rsidP="005D503A">
            <w:pPr>
              <w:pStyle w:val="NoSpacing"/>
              <w:spacing w:line="276" w:lineRule="auto"/>
              <w:jc w:val="center"/>
              <w:rPr>
                <w:rFonts w:ascii="Arial" w:hAnsi="Arial" w:cs="Arial"/>
                <w:sz w:val="16"/>
                <w:szCs w:val="16"/>
                <w:lang w:val="fr-FR"/>
              </w:rPr>
            </w:pPr>
            <w:r w:rsidRPr="00D1700E">
              <w:rPr>
                <w:rFonts w:ascii="Arial" w:hAnsi="Arial" w:cs="Arial"/>
                <w:i/>
                <w:sz w:val="16"/>
                <w:szCs w:val="16"/>
                <w:lang w:val="fr-FR"/>
              </w:rPr>
              <w:t>XF</w:t>
            </w:r>
            <w:r w:rsidRPr="00D1700E">
              <w:rPr>
                <w:rFonts w:ascii="Arial" w:hAnsi="Arial" w:cs="Arial"/>
                <w:sz w:val="16"/>
                <w:szCs w:val="16"/>
                <w:lang w:val="fr-FR"/>
              </w:rPr>
              <w:t>-R</w:t>
            </w:r>
          </w:p>
        </w:tc>
        <w:tc>
          <w:tcPr>
            <w:tcW w:w="4111" w:type="dxa"/>
            <w:tcBorders>
              <w:top w:val="nil"/>
            </w:tcBorders>
            <w:vAlign w:val="center"/>
          </w:tcPr>
          <w:p w14:paraId="4D7A51C8" w14:textId="0EA11744" w:rsidR="0033486B" w:rsidRPr="00D1700E" w:rsidRDefault="0033486B" w:rsidP="005D503A">
            <w:pPr>
              <w:pStyle w:val="NoSpacing"/>
              <w:spacing w:line="276" w:lineRule="auto"/>
              <w:jc w:val="center"/>
              <w:rPr>
                <w:rFonts w:ascii="Arial" w:hAnsi="Arial" w:cs="Arial"/>
                <w:sz w:val="16"/>
                <w:szCs w:val="16"/>
                <w:lang w:val="fr-FR"/>
              </w:rPr>
            </w:pPr>
            <w:r w:rsidRPr="00D1700E">
              <w:rPr>
                <w:rFonts w:ascii="Arial" w:eastAsia="Calibri" w:hAnsi="Arial" w:cs="Arial"/>
                <w:sz w:val="16"/>
                <w:szCs w:val="16"/>
                <w:lang w:val="fr-FR" w:eastAsia="fr-FR"/>
              </w:rPr>
              <w:t>CATGTTTCGCTGCTTGGTCC</w:t>
            </w:r>
          </w:p>
        </w:tc>
        <w:tc>
          <w:tcPr>
            <w:tcW w:w="1560" w:type="dxa"/>
            <w:vMerge/>
            <w:tcBorders>
              <w:top w:val="nil"/>
            </w:tcBorders>
            <w:vAlign w:val="center"/>
          </w:tcPr>
          <w:p w14:paraId="795FA25D" w14:textId="77777777" w:rsidR="0033486B" w:rsidRPr="00D1700E" w:rsidRDefault="0033486B" w:rsidP="005D503A">
            <w:pPr>
              <w:pStyle w:val="NoSpacing"/>
              <w:spacing w:line="276" w:lineRule="auto"/>
              <w:jc w:val="center"/>
              <w:rPr>
                <w:rFonts w:ascii="Arial" w:eastAsia="Calibri" w:hAnsi="Arial" w:cs="Arial"/>
                <w:sz w:val="16"/>
                <w:szCs w:val="16"/>
                <w:lang w:val="fr-FR" w:eastAsia="fr-FR"/>
              </w:rPr>
            </w:pPr>
          </w:p>
        </w:tc>
      </w:tr>
      <w:tr w:rsidR="0033486B" w:rsidRPr="00054E1F" w14:paraId="47E77601" w14:textId="77777777" w:rsidTr="00054E1F">
        <w:trPr>
          <w:jc w:val="center"/>
        </w:trPr>
        <w:tc>
          <w:tcPr>
            <w:tcW w:w="1986" w:type="dxa"/>
            <w:vMerge/>
            <w:tcBorders>
              <w:bottom w:val="dashSmallGap" w:sz="4" w:space="0" w:color="auto"/>
            </w:tcBorders>
            <w:vAlign w:val="center"/>
          </w:tcPr>
          <w:p w14:paraId="36BB90F4" w14:textId="77777777" w:rsidR="0033486B" w:rsidRPr="00D1700E" w:rsidRDefault="0033486B" w:rsidP="005D503A">
            <w:pPr>
              <w:pStyle w:val="NoSpacing"/>
              <w:spacing w:line="276" w:lineRule="auto"/>
              <w:jc w:val="center"/>
              <w:rPr>
                <w:rFonts w:ascii="Arial" w:hAnsi="Arial" w:cs="Arial"/>
                <w:sz w:val="16"/>
                <w:szCs w:val="16"/>
                <w:lang w:val="fr-FR"/>
              </w:rPr>
            </w:pPr>
          </w:p>
        </w:tc>
        <w:tc>
          <w:tcPr>
            <w:tcW w:w="1275" w:type="dxa"/>
            <w:tcBorders>
              <w:bottom w:val="dashSmallGap" w:sz="4" w:space="0" w:color="auto"/>
            </w:tcBorders>
            <w:vAlign w:val="center"/>
          </w:tcPr>
          <w:p w14:paraId="54B4AF2A" w14:textId="77777777" w:rsidR="0033486B" w:rsidRPr="00D1700E" w:rsidRDefault="0033486B" w:rsidP="005D503A">
            <w:pPr>
              <w:pStyle w:val="NoSpacing"/>
              <w:spacing w:line="276" w:lineRule="auto"/>
              <w:jc w:val="center"/>
              <w:rPr>
                <w:rFonts w:ascii="Arial" w:hAnsi="Arial" w:cs="Arial"/>
                <w:sz w:val="16"/>
                <w:szCs w:val="16"/>
                <w:lang w:val="fr-FR"/>
              </w:rPr>
            </w:pPr>
            <w:r w:rsidRPr="00D1700E">
              <w:rPr>
                <w:rFonts w:ascii="Arial" w:hAnsi="Arial" w:cs="Arial"/>
                <w:i/>
                <w:sz w:val="16"/>
                <w:szCs w:val="16"/>
                <w:lang w:val="fr-FR"/>
              </w:rPr>
              <w:t>XF</w:t>
            </w:r>
            <w:r w:rsidRPr="00D1700E">
              <w:rPr>
                <w:rFonts w:ascii="Arial" w:hAnsi="Arial" w:cs="Arial"/>
                <w:sz w:val="16"/>
                <w:szCs w:val="16"/>
                <w:lang w:val="fr-FR"/>
              </w:rPr>
              <w:t>-P</w:t>
            </w:r>
          </w:p>
        </w:tc>
        <w:tc>
          <w:tcPr>
            <w:tcW w:w="4111" w:type="dxa"/>
            <w:tcBorders>
              <w:bottom w:val="dashSmallGap" w:sz="4" w:space="0" w:color="auto"/>
            </w:tcBorders>
            <w:vAlign w:val="center"/>
          </w:tcPr>
          <w:p w14:paraId="32B0C5E3" w14:textId="6BE3772F" w:rsidR="0033486B" w:rsidRPr="00D1700E" w:rsidRDefault="0033486B" w:rsidP="005D503A">
            <w:pPr>
              <w:pStyle w:val="NoSpacing"/>
              <w:spacing w:line="276" w:lineRule="auto"/>
              <w:jc w:val="center"/>
              <w:rPr>
                <w:rFonts w:ascii="Arial" w:hAnsi="Arial" w:cs="Arial"/>
                <w:sz w:val="16"/>
                <w:szCs w:val="16"/>
                <w:lang w:val="fr-FR"/>
              </w:rPr>
            </w:pPr>
            <w:r w:rsidRPr="00D1700E">
              <w:rPr>
                <w:rFonts w:ascii="Arial" w:eastAsia="Calibri" w:hAnsi="Arial" w:cs="Arial"/>
                <w:sz w:val="16"/>
                <w:szCs w:val="16"/>
                <w:lang w:val="fr-FR" w:eastAsia="fr-FR"/>
              </w:rPr>
              <w:t>FAM-GCTCAGGCTGACGGTTTCACAGTGCA-BHQ1</w:t>
            </w:r>
          </w:p>
        </w:tc>
        <w:tc>
          <w:tcPr>
            <w:tcW w:w="1560" w:type="dxa"/>
            <w:vMerge/>
            <w:tcBorders>
              <w:bottom w:val="dashSmallGap" w:sz="4" w:space="0" w:color="auto"/>
            </w:tcBorders>
            <w:vAlign w:val="center"/>
          </w:tcPr>
          <w:p w14:paraId="2AE90166" w14:textId="77777777" w:rsidR="0033486B" w:rsidRPr="00D1700E" w:rsidRDefault="0033486B" w:rsidP="005D503A">
            <w:pPr>
              <w:pStyle w:val="NoSpacing"/>
              <w:spacing w:line="276" w:lineRule="auto"/>
              <w:jc w:val="center"/>
              <w:rPr>
                <w:rFonts w:ascii="Arial" w:eastAsia="Calibri" w:hAnsi="Arial" w:cs="Arial"/>
                <w:sz w:val="16"/>
                <w:szCs w:val="16"/>
                <w:lang w:val="fr-FR" w:eastAsia="fr-FR"/>
              </w:rPr>
            </w:pPr>
          </w:p>
        </w:tc>
      </w:tr>
      <w:tr w:rsidR="0033486B" w:rsidRPr="00054E1F" w14:paraId="1BD5EC16" w14:textId="77777777" w:rsidTr="00054E1F">
        <w:trPr>
          <w:jc w:val="center"/>
        </w:trPr>
        <w:tc>
          <w:tcPr>
            <w:tcW w:w="1986" w:type="dxa"/>
            <w:vMerge w:val="restart"/>
            <w:tcBorders>
              <w:top w:val="dashSmallGap" w:sz="4" w:space="0" w:color="auto"/>
              <w:left w:val="single" w:sz="4" w:space="0" w:color="auto"/>
              <w:bottom w:val="nil"/>
            </w:tcBorders>
            <w:vAlign w:val="center"/>
          </w:tcPr>
          <w:p w14:paraId="15A6D6F0" w14:textId="77777777" w:rsidR="0033486B" w:rsidRPr="00054E1F" w:rsidRDefault="0033486B" w:rsidP="005D503A">
            <w:pPr>
              <w:pStyle w:val="NoSpacing"/>
              <w:spacing w:line="276" w:lineRule="auto"/>
              <w:jc w:val="center"/>
              <w:rPr>
                <w:rFonts w:ascii="Arial" w:hAnsi="Arial" w:cs="Arial"/>
                <w:sz w:val="16"/>
                <w:szCs w:val="16"/>
                <w:lang w:val="fr-FR"/>
              </w:rPr>
            </w:pPr>
            <w:r w:rsidRPr="00054E1F">
              <w:rPr>
                <w:rFonts w:ascii="Arial" w:hAnsi="Arial" w:cs="Arial"/>
                <w:i/>
                <w:sz w:val="16"/>
                <w:szCs w:val="16"/>
                <w:lang w:val="fr-FR"/>
              </w:rPr>
              <w:t>Xylella fastidiosa</w:t>
            </w:r>
          </w:p>
        </w:tc>
        <w:tc>
          <w:tcPr>
            <w:tcW w:w="1275" w:type="dxa"/>
            <w:tcBorders>
              <w:top w:val="dashSmallGap" w:sz="4" w:space="0" w:color="auto"/>
              <w:bottom w:val="nil"/>
            </w:tcBorders>
            <w:vAlign w:val="center"/>
          </w:tcPr>
          <w:p w14:paraId="3C906F1C" w14:textId="77777777" w:rsidR="0033486B" w:rsidRPr="00054E1F" w:rsidRDefault="0033486B" w:rsidP="005D503A">
            <w:pPr>
              <w:pStyle w:val="NoSpacing"/>
              <w:spacing w:line="276" w:lineRule="auto"/>
              <w:jc w:val="center"/>
              <w:rPr>
                <w:rFonts w:ascii="Arial" w:hAnsi="Arial" w:cs="Arial"/>
                <w:sz w:val="16"/>
                <w:szCs w:val="16"/>
                <w:lang w:val="fr-FR"/>
              </w:rPr>
            </w:pPr>
            <w:r w:rsidRPr="00054E1F">
              <w:rPr>
                <w:rFonts w:ascii="Arial" w:hAnsi="Arial" w:cs="Arial"/>
                <w:i/>
                <w:sz w:val="16"/>
                <w:szCs w:val="16"/>
                <w:lang w:val="fr-FR"/>
              </w:rPr>
              <w:t>Harper XF</w:t>
            </w:r>
            <w:r w:rsidRPr="00054E1F">
              <w:rPr>
                <w:rFonts w:ascii="Arial" w:hAnsi="Arial" w:cs="Arial"/>
                <w:sz w:val="16"/>
                <w:szCs w:val="16"/>
                <w:lang w:val="fr-FR"/>
              </w:rPr>
              <w:t>-F</w:t>
            </w:r>
          </w:p>
        </w:tc>
        <w:tc>
          <w:tcPr>
            <w:tcW w:w="4111" w:type="dxa"/>
            <w:tcBorders>
              <w:top w:val="dashSmallGap" w:sz="4" w:space="0" w:color="auto"/>
              <w:bottom w:val="nil"/>
            </w:tcBorders>
            <w:vAlign w:val="center"/>
          </w:tcPr>
          <w:p w14:paraId="0C034850" w14:textId="53A3BB18" w:rsidR="0033486B" w:rsidRPr="00054E1F" w:rsidRDefault="0033486B" w:rsidP="005D503A">
            <w:pPr>
              <w:pStyle w:val="NoSpacing"/>
              <w:spacing w:line="276" w:lineRule="auto"/>
              <w:jc w:val="center"/>
              <w:rPr>
                <w:rFonts w:ascii="Arial" w:eastAsia="Calibri" w:hAnsi="Arial" w:cs="Arial"/>
                <w:sz w:val="16"/>
                <w:szCs w:val="16"/>
                <w:lang w:val="fr-FR" w:eastAsia="fr-FR"/>
              </w:rPr>
            </w:pPr>
            <w:r w:rsidRPr="00054E1F">
              <w:rPr>
                <w:rFonts w:ascii="Arial" w:eastAsia="Calibri" w:hAnsi="Arial" w:cs="Arial"/>
                <w:sz w:val="16"/>
                <w:szCs w:val="16"/>
                <w:lang w:val="fr-FR" w:eastAsia="fr-FR"/>
              </w:rPr>
              <w:t>CACGGCTGGTAACGGAAGA</w:t>
            </w:r>
          </w:p>
        </w:tc>
        <w:tc>
          <w:tcPr>
            <w:tcW w:w="1560" w:type="dxa"/>
            <w:vMerge w:val="restart"/>
            <w:tcBorders>
              <w:top w:val="dashSmallGap" w:sz="4" w:space="0" w:color="auto"/>
              <w:bottom w:val="nil"/>
              <w:right w:val="single" w:sz="4" w:space="0" w:color="auto"/>
            </w:tcBorders>
            <w:vAlign w:val="center"/>
          </w:tcPr>
          <w:p w14:paraId="409E815F" w14:textId="77777777" w:rsidR="0033486B" w:rsidRPr="00054E1F" w:rsidRDefault="0033486B" w:rsidP="005D503A">
            <w:pPr>
              <w:pStyle w:val="NoSpacing"/>
              <w:spacing w:line="276" w:lineRule="auto"/>
              <w:jc w:val="center"/>
              <w:rPr>
                <w:rFonts w:ascii="Arial" w:hAnsi="Arial" w:cs="Arial"/>
                <w:sz w:val="16"/>
                <w:szCs w:val="16"/>
                <w:lang w:val="fr-FR"/>
              </w:rPr>
            </w:pPr>
            <w:r w:rsidRPr="00054E1F">
              <w:rPr>
                <w:rFonts w:ascii="Arial" w:hAnsi="Arial" w:cs="Arial"/>
                <w:sz w:val="16"/>
                <w:szCs w:val="16"/>
                <w:lang w:val="fr-FR"/>
              </w:rPr>
              <w:t xml:space="preserve">Harper </w:t>
            </w:r>
            <w:r w:rsidRPr="00054E1F">
              <w:rPr>
                <w:rFonts w:ascii="Arial" w:hAnsi="Arial" w:cs="Arial"/>
                <w:i/>
                <w:sz w:val="16"/>
                <w:szCs w:val="16"/>
                <w:lang w:val="fr-FR"/>
              </w:rPr>
              <w:t>et al</w:t>
            </w:r>
            <w:r w:rsidRPr="00054E1F">
              <w:rPr>
                <w:rFonts w:ascii="Arial" w:hAnsi="Arial" w:cs="Arial"/>
                <w:sz w:val="16"/>
                <w:szCs w:val="16"/>
                <w:lang w:val="fr-FR"/>
              </w:rPr>
              <w:t>., 2010</w:t>
            </w:r>
          </w:p>
        </w:tc>
      </w:tr>
      <w:tr w:rsidR="0033486B" w:rsidRPr="00054E1F" w14:paraId="4EA8441E" w14:textId="77777777" w:rsidTr="00054E1F">
        <w:trPr>
          <w:jc w:val="center"/>
        </w:trPr>
        <w:tc>
          <w:tcPr>
            <w:tcW w:w="1986" w:type="dxa"/>
            <w:vMerge/>
            <w:tcBorders>
              <w:top w:val="nil"/>
            </w:tcBorders>
            <w:vAlign w:val="center"/>
          </w:tcPr>
          <w:p w14:paraId="78CEC1E9" w14:textId="77777777" w:rsidR="0033486B" w:rsidRPr="00D1700E" w:rsidRDefault="0033486B" w:rsidP="005D503A">
            <w:pPr>
              <w:pStyle w:val="NoSpacing"/>
              <w:spacing w:line="276" w:lineRule="auto"/>
              <w:jc w:val="center"/>
              <w:rPr>
                <w:rFonts w:ascii="Arial" w:hAnsi="Arial" w:cs="Arial"/>
                <w:sz w:val="16"/>
                <w:szCs w:val="16"/>
                <w:lang w:val="fr-FR"/>
              </w:rPr>
            </w:pPr>
          </w:p>
        </w:tc>
        <w:tc>
          <w:tcPr>
            <w:tcW w:w="1275" w:type="dxa"/>
            <w:tcBorders>
              <w:top w:val="nil"/>
            </w:tcBorders>
            <w:vAlign w:val="center"/>
          </w:tcPr>
          <w:p w14:paraId="2EF1F125" w14:textId="77777777" w:rsidR="0033486B" w:rsidRPr="00D1700E" w:rsidRDefault="0033486B" w:rsidP="005D503A">
            <w:pPr>
              <w:pStyle w:val="NoSpacing"/>
              <w:spacing w:line="276" w:lineRule="auto"/>
              <w:jc w:val="center"/>
              <w:rPr>
                <w:rFonts w:ascii="Arial" w:hAnsi="Arial" w:cs="Arial"/>
                <w:sz w:val="16"/>
                <w:szCs w:val="16"/>
                <w:lang w:val="fr-FR"/>
              </w:rPr>
            </w:pPr>
            <w:r w:rsidRPr="00D1700E">
              <w:rPr>
                <w:rFonts w:ascii="Arial" w:hAnsi="Arial" w:cs="Arial"/>
                <w:i/>
                <w:sz w:val="16"/>
                <w:szCs w:val="16"/>
                <w:lang w:val="fr-FR"/>
              </w:rPr>
              <w:t>Harper XF</w:t>
            </w:r>
            <w:r w:rsidRPr="00D1700E">
              <w:rPr>
                <w:rFonts w:ascii="Arial" w:hAnsi="Arial" w:cs="Arial"/>
                <w:sz w:val="16"/>
                <w:szCs w:val="16"/>
                <w:lang w:val="fr-FR"/>
              </w:rPr>
              <w:t>-R</w:t>
            </w:r>
          </w:p>
        </w:tc>
        <w:tc>
          <w:tcPr>
            <w:tcW w:w="4111" w:type="dxa"/>
            <w:tcBorders>
              <w:top w:val="nil"/>
            </w:tcBorders>
            <w:vAlign w:val="center"/>
          </w:tcPr>
          <w:p w14:paraId="12BCE8B1" w14:textId="77777777" w:rsidR="0033486B" w:rsidRPr="00D1700E" w:rsidRDefault="0033486B" w:rsidP="005D503A">
            <w:pPr>
              <w:pStyle w:val="NoSpacing"/>
              <w:spacing w:line="276" w:lineRule="auto"/>
              <w:jc w:val="center"/>
              <w:rPr>
                <w:rFonts w:ascii="Arial" w:eastAsia="Calibri" w:hAnsi="Arial" w:cs="Arial"/>
                <w:sz w:val="16"/>
                <w:szCs w:val="16"/>
                <w:lang w:val="fr-FR" w:eastAsia="fr-FR"/>
              </w:rPr>
            </w:pPr>
            <w:r w:rsidRPr="00D1700E">
              <w:rPr>
                <w:rFonts w:ascii="Arial" w:eastAsia="Calibri" w:hAnsi="Arial" w:cs="Arial"/>
                <w:sz w:val="16"/>
                <w:szCs w:val="16"/>
                <w:lang w:val="fr-FR" w:eastAsia="fr-FR"/>
              </w:rPr>
              <w:t>GGGTTGCGTGGTGAAATCAAG</w:t>
            </w:r>
          </w:p>
        </w:tc>
        <w:tc>
          <w:tcPr>
            <w:tcW w:w="1560" w:type="dxa"/>
            <w:vMerge/>
            <w:tcBorders>
              <w:top w:val="nil"/>
            </w:tcBorders>
            <w:vAlign w:val="center"/>
          </w:tcPr>
          <w:p w14:paraId="3C561D21" w14:textId="77777777" w:rsidR="0033486B" w:rsidRPr="00D1700E" w:rsidRDefault="0033486B" w:rsidP="005D503A">
            <w:pPr>
              <w:pStyle w:val="NoSpacing"/>
              <w:spacing w:line="276" w:lineRule="auto"/>
              <w:jc w:val="center"/>
              <w:rPr>
                <w:rFonts w:ascii="Arial" w:hAnsi="Arial" w:cs="Arial"/>
                <w:sz w:val="16"/>
                <w:szCs w:val="16"/>
                <w:lang w:val="fr-FR"/>
              </w:rPr>
            </w:pPr>
          </w:p>
        </w:tc>
      </w:tr>
      <w:tr w:rsidR="0033486B" w:rsidRPr="00054E1F" w14:paraId="3B44ECF2" w14:textId="77777777" w:rsidTr="00054E1F">
        <w:trPr>
          <w:jc w:val="center"/>
        </w:trPr>
        <w:tc>
          <w:tcPr>
            <w:tcW w:w="1986" w:type="dxa"/>
            <w:vMerge/>
            <w:tcBorders>
              <w:bottom w:val="dashSmallGap" w:sz="4" w:space="0" w:color="auto"/>
            </w:tcBorders>
            <w:vAlign w:val="center"/>
          </w:tcPr>
          <w:p w14:paraId="284A1787" w14:textId="77777777" w:rsidR="0033486B" w:rsidRPr="00D1700E" w:rsidRDefault="0033486B" w:rsidP="005D503A">
            <w:pPr>
              <w:pStyle w:val="NoSpacing"/>
              <w:spacing w:line="276" w:lineRule="auto"/>
              <w:jc w:val="center"/>
              <w:rPr>
                <w:rFonts w:ascii="Arial" w:hAnsi="Arial" w:cs="Arial"/>
                <w:sz w:val="16"/>
                <w:szCs w:val="16"/>
                <w:lang w:val="fr-FR"/>
              </w:rPr>
            </w:pPr>
          </w:p>
        </w:tc>
        <w:tc>
          <w:tcPr>
            <w:tcW w:w="1275" w:type="dxa"/>
            <w:tcBorders>
              <w:bottom w:val="dashSmallGap" w:sz="4" w:space="0" w:color="auto"/>
            </w:tcBorders>
            <w:vAlign w:val="center"/>
          </w:tcPr>
          <w:p w14:paraId="3D756DB6" w14:textId="77777777" w:rsidR="0033486B" w:rsidRPr="00D1700E" w:rsidRDefault="0033486B" w:rsidP="005D503A">
            <w:pPr>
              <w:pStyle w:val="NoSpacing"/>
              <w:spacing w:line="276" w:lineRule="auto"/>
              <w:jc w:val="center"/>
              <w:rPr>
                <w:rFonts w:ascii="Arial" w:hAnsi="Arial" w:cs="Arial"/>
                <w:sz w:val="16"/>
                <w:szCs w:val="16"/>
                <w:lang w:val="fr-FR"/>
              </w:rPr>
            </w:pPr>
            <w:r w:rsidRPr="00D1700E">
              <w:rPr>
                <w:rFonts w:ascii="Arial" w:hAnsi="Arial" w:cs="Arial"/>
                <w:i/>
                <w:sz w:val="16"/>
                <w:szCs w:val="16"/>
                <w:lang w:val="fr-FR"/>
              </w:rPr>
              <w:t>Harper XF</w:t>
            </w:r>
            <w:r w:rsidRPr="00D1700E">
              <w:rPr>
                <w:rFonts w:ascii="Arial" w:hAnsi="Arial" w:cs="Arial"/>
                <w:sz w:val="16"/>
                <w:szCs w:val="16"/>
                <w:lang w:val="fr-FR"/>
              </w:rPr>
              <w:t>-P</w:t>
            </w:r>
          </w:p>
        </w:tc>
        <w:tc>
          <w:tcPr>
            <w:tcW w:w="4111" w:type="dxa"/>
            <w:tcBorders>
              <w:bottom w:val="dashSmallGap" w:sz="4" w:space="0" w:color="auto"/>
            </w:tcBorders>
            <w:vAlign w:val="center"/>
          </w:tcPr>
          <w:p w14:paraId="5CFEA686" w14:textId="75257FC7" w:rsidR="0033486B" w:rsidRPr="00D1700E" w:rsidRDefault="0033486B" w:rsidP="005D503A">
            <w:pPr>
              <w:pStyle w:val="NoSpacing"/>
              <w:spacing w:line="276" w:lineRule="auto"/>
              <w:jc w:val="center"/>
              <w:rPr>
                <w:rFonts w:ascii="Arial" w:eastAsia="Calibri" w:hAnsi="Arial" w:cs="Arial"/>
                <w:sz w:val="16"/>
                <w:szCs w:val="16"/>
                <w:lang w:val="fr-FR" w:eastAsia="fr-FR"/>
              </w:rPr>
            </w:pPr>
            <w:r w:rsidRPr="00D1700E">
              <w:rPr>
                <w:rFonts w:ascii="Arial" w:eastAsia="Calibri" w:hAnsi="Arial" w:cs="Arial"/>
                <w:sz w:val="16"/>
                <w:szCs w:val="16"/>
                <w:lang w:val="fr-FR" w:eastAsia="fr-FR"/>
              </w:rPr>
              <w:t>FAM-TCGCATCCCGTGGCTCAGTCC-BHQ1</w:t>
            </w:r>
          </w:p>
        </w:tc>
        <w:tc>
          <w:tcPr>
            <w:tcW w:w="1560" w:type="dxa"/>
            <w:vMerge/>
            <w:tcBorders>
              <w:bottom w:val="dashSmallGap" w:sz="4" w:space="0" w:color="auto"/>
            </w:tcBorders>
            <w:vAlign w:val="center"/>
          </w:tcPr>
          <w:p w14:paraId="6A402E81" w14:textId="77777777" w:rsidR="0033486B" w:rsidRPr="00D1700E" w:rsidRDefault="0033486B" w:rsidP="005D503A">
            <w:pPr>
              <w:pStyle w:val="NoSpacing"/>
              <w:spacing w:line="276" w:lineRule="auto"/>
              <w:jc w:val="center"/>
              <w:rPr>
                <w:rFonts w:ascii="Arial" w:hAnsi="Arial" w:cs="Arial"/>
                <w:sz w:val="16"/>
                <w:szCs w:val="16"/>
                <w:lang w:val="fr-FR"/>
              </w:rPr>
            </w:pPr>
          </w:p>
        </w:tc>
      </w:tr>
      <w:tr w:rsidR="0033486B" w:rsidRPr="00054E1F" w14:paraId="67E6C9B6" w14:textId="77777777" w:rsidTr="00054E1F">
        <w:trPr>
          <w:jc w:val="center"/>
        </w:trPr>
        <w:tc>
          <w:tcPr>
            <w:tcW w:w="1986" w:type="dxa"/>
            <w:vMerge w:val="restart"/>
            <w:tcBorders>
              <w:top w:val="dashSmallGap" w:sz="4" w:space="0" w:color="auto"/>
              <w:left w:val="single" w:sz="4" w:space="0" w:color="auto"/>
              <w:bottom w:val="nil"/>
            </w:tcBorders>
            <w:vAlign w:val="center"/>
          </w:tcPr>
          <w:p w14:paraId="5E42D0D6" w14:textId="77777777" w:rsidR="0033486B" w:rsidRPr="00054E1F" w:rsidRDefault="0033486B" w:rsidP="005D503A">
            <w:pPr>
              <w:pStyle w:val="NoSpacing"/>
              <w:spacing w:line="276" w:lineRule="auto"/>
              <w:jc w:val="center"/>
              <w:rPr>
                <w:rFonts w:ascii="Arial" w:hAnsi="Arial" w:cs="Arial"/>
                <w:sz w:val="16"/>
                <w:szCs w:val="16"/>
                <w:lang w:val="fr-FR"/>
              </w:rPr>
            </w:pPr>
            <w:r w:rsidRPr="00054E1F">
              <w:rPr>
                <w:rFonts w:ascii="Arial" w:hAnsi="Arial" w:cs="Arial"/>
                <w:i/>
                <w:sz w:val="16"/>
                <w:szCs w:val="16"/>
                <w:lang w:val="fr-FR"/>
              </w:rPr>
              <w:t>X. fastidiosa</w:t>
            </w:r>
            <w:r w:rsidRPr="00054E1F">
              <w:rPr>
                <w:rFonts w:ascii="Arial" w:hAnsi="Arial" w:cs="Arial"/>
                <w:sz w:val="16"/>
                <w:szCs w:val="16"/>
                <w:lang w:val="fr-FR"/>
              </w:rPr>
              <w:t xml:space="preserve"> subsp. </w:t>
            </w:r>
            <w:r w:rsidRPr="00054E1F">
              <w:rPr>
                <w:rFonts w:ascii="Arial" w:hAnsi="Arial" w:cs="Arial"/>
                <w:i/>
                <w:sz w:val="16"/>
                <w:szCs w:val="16"/>
                <w:lang w:val="fr-FR"/>
              </w:rPr>
              <w:t>fastidiosa</w:t>
            </w:r>
          </w:p>
        </w:tc>
        <w:tc>
          <w:tcPr>
            <w:tcW w:w="1275" w:type="dxa"/>
            <w:tcBorders>
              <w:top w:val="dashSmallGap" w:sz="4" w:space="0" w:color="auto"/>
              <w:bottom w:val="nil"/>
            </w:tcBorders>
            <w:vAlign w:val="center"/>
          </w:tcPr>
          <w:p w14:paraId="4452822D" w14:textId="77777777" w:rsidR="0033486B" w:rsidRPr="00054E1F" w:rsidRDefault="0033486B" w:rsidP="005D503A">
            <w:pPr>
              <w:pStyle w:val="NoSpacing"/>
              <w:spacing w:line="276" w:lineRule="auto"/>
              <w:jc w:val="center"/>
              <w:rPr>
                <w:rFonts w:ascii="Arial" w:hAnsi="Arial" w:cs="Arial"/>
                <w:sz w:val="16"/>
                <w:szCs w:val="16"/>
                <w:lang w:val="fr-FR"/>
              </w:rPr>
            </w:pPr>
            <w:r w:rsidRPr="00054E1F">
              <w:rPr>
                <w:rFonts w:ascii="Arial" w:hAnsi="Arial" w:cs="Arial"/>
                <w:i/>
                <w:sz w:val="16"/>
                <w:szCs w:val="16"/>
                <w:lang w:val="fr-FR"/>
              </w:rPr>
              <w:t>XFF</w:t>
            </w:r>
            <w:r w:rsidRPr="00054E1F">
              <w:rPr>
                <w:rFonts w:ascii="Arial" w:hAnsi="Arial" w:cs="Arial"/>
                <w:sz w:val="16"/>
                <w:szCs w:val="16"/>
                <w:lang w:val="fr-FR"/>
              </w:rPr>
              <w:t>-F</w:t>
            </w:r>
          </w:p>
        </w:tc>
        <w:tc>
          <w:tcPr>
            <w:tcW w:w="4111" w:type="dxa"/>
            <w:tcBorders>
              <w:top w:val="dashSmallGap" w:sz="4" w:space="0" w:color="auto"/>
              <w:bottom w:val="nil"/>
            </w:tcBorders>
            <w:vAlign w:val="center"/>
          </w:tcPr>
          <w:p w14:paraId="2C58C96C" w14:textId="77777777" w:rsidR="0033486B" w:rsidRPr="00054E1F" w:rsidRDefault="0033486B" w:rsidP="005D503A">
            <w:pPr>
              <w:pStyle w:val="NoSpacing"/>
              <w:spacing w:line="276" w:lineRule="auto"/>
              <w:jc w:val="center"/>
              <w:rPr>
                <w:rFonts w:ascii="Arial" w:eastAsia="Calibri" w:hAnsi="Arial" w:cs="Arial"/>
                <w:sz w:val="16"/>
                <w:szCs w:val="16"/>
                <w:lang w:val="fr-FR" w:eastAsia="fr-FR"/>
              </w:rPr>
            </w:pPr>
            <w:r w:rsidRPr="00054E1F">
              <w:rPr>
                <w:rFonts w:ascii="Arial" w:eastAsia="Calibri" w:hAnsi="Arial" w:cs="Arial"/>
                <w:sz w:val="16"/>
                <w:szCs w:val="16"/>
                <w:lang w:val="fr-FR" w:eastAsia="fr-FR"/>
              </w:rPr>
              <w:t>TTACATCGTTTTCGCGCACG</w:t>
            </w:r>
          </w:p>
        </w:tc>
        <w:tc>
          <w:tcPr>
            <w:tcW w:w="1560" w:type="dxa"/>
            <w:vMerge w:val="restart"/>
            <w:tcBorders>
              <w:top w:val="dashSmallGap" w:sz="4" w:space="0" w:color="auto"/>
              <w:bottom w:val="nil"/>
              <w:right w:val="single" w:sz="4" w:space="0" w:color="auto"/>
            </w:tcBorders>
            <w:vAlign w:val="center"/>
          </w:tcPr>
          <w:p w14:paraId="13CE2ED1" w14:textId="77777777" w:rsidR="0033486B" w:rsidRPr="00054E1F" w:rsidRDefault="0033486B" w:rsidP="005D503A">
            <w:pPr>
              <w:pStyle w:val="NoSpacing"/>
              <w:spacing w:line="276" w:lineRule="auto"/>
              <w:jc w:val="center"/>
              <w:rPr>
                <w:rFonts w:ascii="Arial" w:eastAsia="Calibri" w:hAnsi="Arial" w:cs="Arial"/>
                <w:sz w:val="16"/>
                <w:szCs w:val="16"/>
                <w:lang w:val="fr-FR" w:eastAsia="fr-FR"/>
              </w:rPr>
            </w:pPr>
            <w:r w:rsidRPr="00054E1F">
              <w:rPr>
                <w:rFonts w:ascii="Arial" w:eastAsia="Calibri" w:hAnsi="Arial" w:cs="Arial"/>
                <w:sz w:val="16"/>
                <w:szCs w:val="16"/>
                <w:lang w:val="fr-FR" w:eastAsia="fr-FR"/>
              </w:rPr>
              <w:t xml:space="preserve">Dupas </w:t>
            </w:r>
            <w:r w:rsidRPr="00054E1F">
              <w:rPr>
                <w:rFonts w:ascii="Arial" w:eastAsia="Calibri" w:hAnsi="Arial" w:cs="Arial"/>
                <w:i/>
                <w:sz w:val="16"/>
                <w:szCs w:val="16"/>
                <w:lang w:val="fr-FR" w:eastAsia="fr-FR"/>
              </w:rPr>
              <w:t>et al</w:t>
            </w:r>
            <w:r w:rsidRPr="00054E1F">
              <w:rPr>
                <w:rFonts w:ascii="Arial" w:eastAsia="Calibri" w:hAnsi="Arial" w:cs="Arial"/>
                <w:sz w:val="16"/>
                <w:szCs w:val="16"/>
                <w:lang w:val="fr-FR" w:eastAsia="fr-FR"/>
              </w:rPr>
              <w:t>., 2020</w:t>
            </w:r>
          </w:p>
        </w:tc>
      </w:tr>
      <w:tr w:rsidR="0033486B" w:rsidRPr="00054E1F" w14:paraId="46E45A2B" w14:textId="77777777" w:rsidTr="00054E1F">
        <w:trPr>
          <w:jc w:val="center"/>
        </w:trPr>
        <w:tc>
          <w:tcPr>
            <w:tcW w:w="1986" w:type="dxa"/>
            <w:vMerge/>
            <w:tcBorders>
              <w:top w:val="nil"/>
            </w:tcBorders>
            <w:vAlign w:val="center"/>
          </w:tcPr>
          <w:p w14:paraId="1BD53764" w14:textId="77777777" w:rsidR="0033486B" w:rsidRPr="00D1700E" w:rsidRDefault="0033486B" w:rsidP="005D503A">
            <w:pPr>
              <w:pStyle w:val="NoSpacing"/>
              <w:spacing w:line="276" w:lineRule="auto"/>
              <w:jc w:val="center"/>
              <w:rPr>
                <w:rFonts w:ascii="Arial" w:hAnsi="Arial" w:cs="Arial"/>
                <w:sz w:val="16"/>
                <w:szCs w:val="16"/>
                <w:lang w:val="fr-FR"/>
              </w:rPr>
            </w:pPr>
          </w:p>
        </w:tc>
        <w:tc>
          <w:tcPr>
            <w:tcW w:w="1275" w:type="dxa"/>
            <w:tcBorders>
              <w:top w:val="nil"/>
            </w:tcBorders>
            <w:vAlign w:val="center"/>
          </w:tcPr>
          <w:p w14:paraId="5DBABCDC" w14:textId="77777777" w:rsidR="0033486B" w:rsidRPr="00D1700E" w:rsidRDefault="0033486B" w:rsidP="005D503A">
            <w:pPr>
              <w:pStyle w:val="NoSpacing"/>
              <w:spacing w:line="276" w:lineRule="auto"/>
              <w:jc w:val="center"/>
              <w:rPr>
                <w:rFonts w:ascii="Arial" w:hAnsi="Arial" w:cs="Arial"/>
                <w:sz w:val="16"/>
                <w:szCs w:val="16"/>
                <w:lang w:val="fr-FR"/>
              </w:rPr>
            </w:pPr>
            <w:r w:rsidRPr="00D1700E">
              <w:rPr>
                <w:rFonts w:ascii="Arial" w:hAnsi="Arial" w:cs="Arial"/>
                <w:i/>
                <w:sz w:val="16"/>
                <w:szCs w:val="16"/>
                <w:lang w:val="fr-FR"/>
              </w:rPr>
              <w:t>XFF</w:t>
            </w:r>
            <w:r w:rsidRPr="00D1700E">
              <w:rPr>
                <w:rFonts w:ascii="Arial" w:hAnsi="Arial" w:cs="Arial"/>
                <w:sz w:val="16"/>
                <w:szCs w:val="16"/>
                <w:lang w:val="fr-FR"/>
              </w:rPr>
              <w:t>-R</w:t>
            </w:r>
          </w:p>
        </w:tc>
        <w:tc>
          <w:tcPr>
            <w:tcW w:w="4111" w:type="dxa"/>
            <w:tcBorders>
              <w:top w:val="nil"/>
            </w:tcBorders>
            <w:vAlign w:val="center"/>
          </w:tcPr>
          <w:p w14:paraId="5FEC3357" w14:textId="77777777" w:rsidR="0033486B" w:rsidRPr="00D1700E" w:rsidRDefault="0033486B" w:rsidP="005D503A">
            <w:pPr>
              <w:pStyle w:val="NoSpacing"/>
              <w:spacing w:line="276" w:lineRule="auto"/>
              <w:jc w:val="center"/>
              <w:rPr>
                <w:rFonts w:ascii="Arial" w:hAnsi="Arial" w:cs="Arial"/>
                <w:sz w:val="16"/>
                <w:szCs w:val="16"/>
                <w:lang w:val="fr-FR"/>
              </w:rPr>
            </w:pPr>
            <w:r w:rsidRPr="00D1700E">
              <w:rPr>
                <w:rFonts w:ascii="Arial" w:eastAsia="Calibri" w:hAnsi="Arial" w:cs="Arial"/>
                <w:sz w:val="16"/>
                <w:szCs w:val="16"/>
                <w:lang w:val="fr-FR" w:eastAsia="fr-FR"/>
              </w:rPr>
              <w:t>TCGGTTGATCGCAATACCCA</w:t>
            </w:r>
          </w:p>
        </w:tc>
        <w:tc>
          <w:tcPr>
            <w:tcW w:w="1560" w:type="dxa"/>
            <w:vMerge/>
            <w:tcBorders>
              <w:top w:val="nil"/>
            </w:tcBorders>
            <w:vAlign w:val="center"/>
          </w:tcPr>
          <w:p w14:paraId="0E9D62CF" w14:textId="77777777" w:rsidR="0033486B" w:rsidRPr="00D1700E" w:rsidRDefault="0033486B" w:rsidP="005D503A">
            <w:pPr>
              <w:pStyle w:val="NoSpacing"/>
              <w:spacing w:line="276" w:lineRule="auto"/>
              <w:jc w:val="center"/>
              <w:rPr>
                <w:rFonts w:ascii="Arial" w:eastAsia="Calibri" w:hAnsi="Arial" w:cs="Arial"/>
                <w:sz w:val="16"/>
                <w:szCs w:val="16"/>
                <w:lang w:val="fr-FR" w:eastAsia="fr-FR"/>
              </w:rPr>
            </w:pPr>
          </w:p>
        </w:tc>
      </w:tr>
      <w:tr w:rsidR="0033486B" w:rsidRPr="00054E1F" w14:paraId="7DCDE4E7" w14:textId="77777777" w:rsidTr="00054E1F">
        <w:trPr>
          <w:jc w:val="center"/>
        </w:trPr>
        <w:tc>
          <w:tcPr>
            <w:tcW w:w="1986" w:type="dxa"/>
            <w:vMerge/>
            <w:tcBorders>
              <w:bottom w:val="dashSmallGap" w:sz="4" w:space="0" w:color="auto"/>
            </w:tcBorders>
            <w:vAlign w:val="center"/>
          </w:tcPr>
          <w:p w14:paraId="4163FB96" w14:textId="77777777" w:rsidR="0033486B" w:rsidRPr="00D1700E" w:rsidRDefault="0033486B" w:rsidP="005D503A">
            <w:pPr>
              <w:pStyle w:val="NoSpacing"/>
              <w:spacing w:line="276" w:lineRule="auto"/>
              <w:jc w:val="center"/>
              <w:rPr>
                <w:rFonts w:ascii="Arial" w:hAnsi="Arial" w:cs="Arial"/>
                <w:sz w:val="16"/>
                <w:szCs w:val="16"/>
                <w:lang w:val="fr-FR"/>
              </w:rPr>
            </w:pPr>
          </w:p>
        </w:tc>
        <w:tc>
          <w:tcPr>
            <w:tcW w:w="1275" w:type="dxa"/>
            <w:tcBorders>
              <w:bottom w:val="dashSmallGap" w:sz="4" w:space="0" w:color="auto"/>
            </w:tcBorders>
            <w:vAlign w:val="center"/>
          </w:tcPr>
          <w:p w14:paraId="33B78CC6" w14:textId="77777777" w:rsidR="0033486B" w:rsidRPr="00D1700E" w:rsidRDefault="0033486B" w:rsidP="005D503A">
            <w:pPr>
              <w:pStyle w:val="NoSpacing"/>
              <w:spacing w:line="276" w:lineRule="auto"/>
              <w:jc w:val="center"/>
              <w:rPr>
                <w:rFonts w:ascii="Arial" w:hAnsi="Arial" w:cs="Arial"/>
                <w:sz w:val="16"/>
                <w:szCs w:val="16"/>
                <w:lang w:val="fr-FR"/>
              </w:rPr>
            </w:pPr>
            <w:r w:rsidRPr="00D1700E">
              <w:rPr>
                <w:rFonts w:ascii="Arial" w:hAnsi="Arial" w:cs="Arial"/>
                <w:i/>
                <w:sz w:val="16"/>
                <w:szCs w:val="16"/>
                <w:lang w:val="fr-FR"/>
              </w:rPr>
              <w:t>XFF</w:t>
            </w:r>
            <w:r w:rsidRPr="00D1700E">
              <w:rPr>
                <w:rFonts w:ascii="Arial" w:hAnsi="Arial" w:cs="Arial"/>
                <w:sz w:val="16"/>
                <w:szCs w:val="16"/>
                <w:lang w:val="fr-FR"/>
              </w:rPr>
              <w:t>-P</w:t>
            </w:r>
          </w:p>
        </w:tc>
        <w:tc>
          <w:tcPr>
            <w:tcW w:w="4111" w:type="dxa"/>
            <w:tcBorders>
              <w:bottom w:val="dashSmallGap" w:sz="4" w:space="0" w:color="auto"/>
            </w:tcBorders>
            <w:vAlign w:val="center"/>
          </w:tcPr>
          <w:p w14:paraId="23A05542" w14:textId="3F3EB89C" w:rsidR="0033486B" w:rsidRPr="00D1700E" w:rsidRDefault="0033486B" w:rsidP="005D503A">
            <w:pPr>
              <w:pStyle w:val="NoSpacing"/>
              <w:spacing w:line="276" w:lineRule="auto"/>
              <w:jc w:val="center"/>
              <w:rPr>
                <w:rFonts w:ascii="Arial" w:hAnsi="Arial" w:cs="Arial"/>
                <w:sz w:val="16"/>
                <w:szCs w:val="16"/>
                <w:lang w:val="fr-FR"/>
              </w:rPr>
            </w:pPr>
            <w:r w:rsidRPr="00D1700E">
              <w:rPr>
                <w:rFonts w:ascii="Arial" w:eastAsia="Calibri" w:hAnsi="Arial" w:cs="Arial"/>
                <w:sz w:val="16"/>
                <w:szCs w:val="16"/>
                <w:lang w:val="fr-FR" w:eastAsia="fr-FR"/>
              </w:rPr>
              <w:t>HEX-CCCGACTCGGCGCGGTTCCA-BHQ1</w:t>
            </w:r>
          </w:p>
        </w:tc>
        <w:tc>
          <w:tcPr>
            <w:tcW w:w="1560" w:type="dxa"/>
            <w:vMerge/>
            <w:tcBorders>
              <w:bottom w:val="dashSmallGap" w:sz="4" w:space="0" w:color="auto"/>
            </w:tcBorders>
            <w:vAlign w:val="center"/>
          </w:tcPr>
          <w:p w14:paraId="7F47BA95" w14:textId="77777777" w:rsidR="0033486B" w:rsidRPr="00D1700E" w:rsidRDefault="0033486B" w:rsidP="005D503A">
            <w:pPr>
              <w:pStyle w:val="NoSpacing"/>
              <w:spacing w:line="276" w:lineRule="auto"/>
              <w:jc w:val="center"/>
              <w:rPr>
                <w:rFonts w:ascii="Arial" w:eastAsia="Calibri" w:hAnsi="Arial" w:cs="Arial"/>
                <w:sz w:val="16"/>
                <w:szCs w:val="16"/>
                <w:lang w:val="fr-FR" w:eastAsia="fr-FR"/>
              </w:rPr>
            </w:pPr>
          </w:p>
        </w:tc>
      </w:tr>
      <w:tr w:rsidR="0033486B" w:rsidRPr="00054E1F" w14:paraId="3A3D5B27" w14:textId="77777777" w:rsidTr="00054E1F">
        <w:trPr>
          <w:jc w:val="center"/>
        </w:trPr>
        <w:tc>
          <w:tcPr>
            <w:tcW w:w="1986" w:type="dxa"/>
            <w:vMerge w:val="restart"/>
            <w:tcBorders>
              <w:top w:val="dashSmallGap" w:sz="4" w:space="0" w:color="auto"/>
              <w:left w:val="single" w:sz="4" w:space="0" w:color="auto"/>
              <w:bottom w:val="nil"/>
            </w:tcBorders>
            <w:vAlign w:val="center"/>
          </w:tcPr>
          <w:p w14:paraId="5ED37F02" w14:textId="77777777" w:rsidR="0033486B" w:rsidRPr="005C3D8E" w:rsidRDefault="0033486B" w:rsidP="005D503A">
            <w:pPr>
              <w:pStyle w:val="NoSpacing"/>
              <w:spacing w:line="276" w:lineRule="auto"/>
              <w:jc w:val="center"/>
              <w:rPr>
                <w:rFonts w:ascii="Arial" w:hAnsi="Arial" w:cs="Arial"/>
                <w:sz w:val="16"/>
                <w:szCs w:val="16"/>
                <w:lang w:val="pt-BR"/>
              </w:rPr>
            </w:pPr>
            <w:r w:rsidRPr="005C3D8E">
              <w:rPr>
                <w:rFonts w:ascii="Arial" w:hAnsi="Arial" w:cs="Arial"/>
                <w:i/>
                <w:sz w:val="16"/>
                <w:szCs w:val="16"/>
                <w:lang w:val="pt-BR"/>
              </w:rPr>
              <w:t>X. fastidiosa</w:t>
            </w:r>
            <w:r w:rsidRPr="005C3D8E">
              <w:rPr>
                <w:rFonts w:ascii="Arial" w:hAnsi="Arial" w:cs="Arial"/>
                <w:sz w:val="16"/>
                <w:szCs w:val="16"/>
                <w:lang w:val="pt-BR"/>
              </w:rPr>
              <w:t xml:space="preserve"> subsp. </w:t>
            </w:r>
            <w:r w:rsidRPr="005C3D8E">
              <w:rPr>
                <w:rFonts w:ascii="Arial" w:hAnsi="Arial" w:cs="Arial"/>
                <w:i/>
                <w:sz w:val="16"/>
                <w:szCs w:val="16"/>
                <w:lang w:val="pt-BR"/>
              </w:rPr>
              <w:t>fastidiosa sensu largo</w:t>
            </w:r>
          </w:p>
        </w:tc>
        <w:tc>
          <w:tcPr>
            <w:tcW w:w="1275" w:type="dxa"/>
            <w:tcBorders>
              <w:top w:val="dashSmallGap" w:sz="4" w:space="0" w:color="auto"/>
              <w:bottom w:val="nil"/>
            </w:tcBorders>
            <w:vAlign w:val="center"/>
          </w:tcPr>
          <w:p w14:paraId="72BC4AC3" w14:textId="77777777" w:rsidR="0033486B" w:rsidRPr="00054E1F" w:rsidRDefault="0033486B" w:rsidP="005D503A">
            <w:pPr>
              <w:pStyle w:val="NoSpacing"/>
              <w:spacing w:line="276" w:lineRule="auto"/>
              <w:jc w:val="center"/>
              <w:rPr>
                <w:rFonts w:ascii="Arial" w:hAnsi="Arial" w:cs="Arial"/>
                <w:sz w:val="16"/>
                <w:szCs w:val="16"/>
                <w:lang w:val="fr-FR"/>
              </w:rPr>
            </w:pPr>
            <w:r w:rsidRPr="00054E1F">
              <w:rPr>
                <w:rFonts w:ascii="Arial" w:hAnsi="Arial" w:cs="Arial"/>
                <w:i/>
                <w:sz w:val="16"/>
                <w:szCs w:val="16"/>
                <w:lang w:val="fr-FR"/>
              </w:rPr>
              <w:t>XFFSL</w:t>
            </w:r>
            <w:r w:rsidRPr="00054E1F">
              <w:rPr>
                <w:rFonts w:ascii="Arial" w:hAnsi="Arial" w:cs="Arial"/>
                <w:sz w:val="16"/>
                <w:szCs w:val="16"/>
                <w:lang w:val="fr-FR"/>
              </w:rPr>
              <w:t>-F</w:t>
            </w:r>
          </w:p>
        </w:tc>
        <w:tc>
          <w:tcPr>
            <w:tcW w:w="4111" w:type="dxa"/>
            <w:tcBorders>
              <w:top w:val="dashSmallGap" w:sz="4" w:space="0" w:color="auto"/>
              <w:bottom w:val="nil"/>
            </w:tcBorders>
            <w:vAlign w:val="center"/>
          </w:tcPr>
          <w:p w14:paraId="3C8D0F47" w14:textId="77777777" w:rsidR="0033486B" w:rsidRPr="00054E1F" w:rsidRDefault="0033486B" w:rsidP="005D503A">
            <w:pPr>
              <w:pStyle w:val="NoSpacing"/>
              <w:spacing w:line="276" w:lineRule="auto"/>
              <w:jc w:val="center"/>
              <w:rPr>
                <w:rFonts w:ascii="Arial" w:hAnsi="Arial" w:cs="Arial"/>
                <w:sz w:val="16"/>
                <w:szCs w:val="16"/>
                <w:lang w:val="fr-FR"/>
              </w:rPr>
            </w:pPr>
            <w:r w:rsidRPr="00054E1F">
              <w:rPr>
                <w:rFonts w:ascii="Arial" w:eastAsia="Calibri" w:hAnsi="Arial" w:cs="Arial"/>
                <w:sz w:val="16"/>
                <w:szCs w:val="16"/>
                <w:lang w:val="fr-FR" w:eastAsia="fr-FR"/>
              </w:rPr>
              <w:t>TAGTATGCGTGCGAGCGAC</w:t>
            </w:r>
          </w:p>
        </w:tc>
        <w:tc>
          <w:tcPr>
            <w:tcW w:w="1560" w:type="dxa"/>
            <w:vMerge w:val="restart"/>
            <w:tcBorders>
              <w:top w:val="dashSmallGap" w:sz="4" w:space="0" w:color="auto"/>
              <w:bottom w:val="nil"/>
              <w:right w:val="single" w:sz="4" w:space="0" w:color="auto"/>
            </w:tcBorders>
            <w:vAlign w:val="center"/>
          </w:tcPr>
          <w:p w14:paraId="66DFFEC3" w14:textId="77777777" w:rsidR="0033486B" w:rsidRPr="00054E1F" w:rsidRDefault="0033486B" w:rsidP="005D503A">
            <w:pPr>
              <w:pStyle w:val="NoSpacing"/>
              <w:spacing w:line="276" w:lineRule="auto"/>
              <w:jc w:val="center"/>
              <w:rPr>
                <w:rFonts w:ascii="Arial" w:eastAsia="Calibri" w:hAnsi="Arial" w:cs="Arial"/>
                <w:sz w:val="16"/>
                <w:szCs w:val="16"/>
                <w:lang w:val="fr-FR" w:eastAsia="fr-FR"/>
              </w:rPr>
            </w:pPr>
            <w:r w:rsidRPr="00054E1F">
              <w:rPr>
                <w:rFonts w:ascii="Arial" w:eastAsia="Calibri" w:hAnsi="Arial" w:cs="Arial"/>
                <w:sz w:val="16"/>
                <w:szCs w:val="16"/>
                <w:lang w:val="fr-FR" w:eastAsia="fr-FR"/>
              </w:rPr>
              <w:t xml:space="preserve">Dupas </w:t>
            </w:r>
            <w:r w:rsidRPr="00054E1F">
              <w:rPr>
                <w:rFonts w:ascii="Arial" w:eastAsia="Calibri" w:hAnsi="Arial" w:cs="Arial"/>
                <w:i/>
                <w:sz w:val="16"/>
                <w:szCs w:val="16"/>
                <w:lang w:val="fr-FR" w:eastAsia="fr-FR"/>
              </w:rPr>
              <w:t>et al</w:t>
            </w:r>
            <w:r w:rsidRPr="00054E1F">
              <w:rPr>
                <w:rFonts w:ascii="Arial" w:eastAsia="Calibri" w:hAnsi="Arial" w:cs="Arial"/>
                <w:sz w:val="16"/>
                <w:szCs w:val="16"/>
                <w:lang w:val="fr-FR" w:eastAsia="fr-FR"/>
              </w:rPr>
              <w:t>., 2020</w:t>
            </w:r>
          </w:p>
        </w:tc>
      </w:tr>
      <w:tr w:rsidR="0033486B" w:rsidRPr="00054E1F" w14:paraId="715E5002" w14:textId="77777777" w:rsidTr="00054E1F">
        <w:trPr>
          <w:jc w:val="center"/>
        </w:trPr>
        <w:tc>
          <w:tcPr>
            <w:tcW w:w="1986" w:type="dxa"/>
            <w:vMerge/>
            <w:tcBorders>
              <w:top w:val="nil"/>
            </w:tcBorders>
            <w:vAlign w:val="center"/>
          </w:tcPr>
          <w:p w14:paraId="5EDEB89D" w14:textId="77777777" w:rsidR="0033486B" w:rsidRPr="00D1700E" w:rsidRDefault="0033486B" w:rsidP="005D503A">
            <w:pPr>
              <w:pStyle w:val="NoSpacing"/>
              <w:spacing w:line="276" w:lineRule="auto"/>
              <w:jc w:val="center"/>
              <w:rPr>
                <w:rFonts w:ascii="Arial" w:hAnsi="Arial" w:cs="Arial"/>
                <w:sz w:val="16"/>
                <w:szCs w:val="16"/>
                <w:lang w:val="fr-FR"/>
              </w:rPr>
            </w:pPr>
          </w:p>
        </w:tc>
        <w:tc>
          <w:tcPr>
            <w:tcW w:w="1275" w:type="dxa"/>
            <w:tcBorders>
              <w:top w:val="nil"/>
            </w:tcBorders>
            <w:vAlign w:val="center"/>
          </w:tcPr>
          <w:p w14:paraId="215D49E3" w14:textId="77777777" w:rsidR="0033486B" w:rsidRPr="00D1700E" w:rsidRDefault="0033486B" w:rsidP="005D503A">
            <w:pPr>
              <w:pStyle w:val="NoSpacing"/>
              <w:spacing w:line="276" w:lineRule="auto"/>
              <w:jc w:val="center"/>
              <w:rPr>
                <w:rFonts w:ascii="Arial" w:hAnsi="Arial" w:cs="Arial"/>
                <w:sz w:val="16"/>
                <w:szCs w:val="16"/>
                <w:lang w:val="fr-FR"/>
              </w:rPr>
            </w:pPr>
            <w:r w:rsidRPr="00D1700E">
              <w:rPr>
                <w:rFonts w:ascii="Arial" w:hAnsi="Arial" w:cs="Arial"/>
                <w:i/>
                <w:sz w:val="16"/>
                <w:szCs w:val="16"/>
                <w:lang w:val="fr-FR"/>
              </w:rPr>
              <w:t>XFFSL</w:t>
            </w:r>
            <w:r w:rsidRPr="00D1700E">
              <w:rPr>
                <w:rFonts w:ascii="Arial" w:hAnsi="Arial" w:cs="Arial"/>
                <w:sz w:val="16"/>
                <w:szCs w:val="16"/>
                <w:lang w:val="fr-FR"/>
              </w:rPr>
              <w:t>-R</w:t>
            </w:r>
          </w:p>
        </w:tc>
        <w:tc>
          <w:tcPr>
            <w:tcW w:w="4111" w:type="dxa"/>
            <w:tcBorders>
              <w:top w:val="nil"/>
            </w:tcBorders>
            <w:vAlign w:val="center"/>
          </w:tcPr>
          <w:p w14:paraId="12E83DB1" w14:textId="16EA9288" w:rsidR="0033486B" w:rsidRPr="00D1700E" w:rsidRDefault="0033486B" w:rsidP="005D503A">
            <w:pPr>
              <w:pStyle w:val="NoSpacing"/>
              <w:spacing w:line="276" w:lineRule="auto"/>
              <w:jc w:val="center"/>
              <w:rPr>
                <w:rFonts w:ascii="Arial" w:hAnsi="Arial" w:cs="Arial"/>
                <w:sz w:val="16"/>
                <w:szCs w:val="16"/>
                <w:lang w:val="fr-FR"/>
              </w:rPr>
            </w:pPr>
            <w:r w:rsidRPr="00D1700E">
              <w:rPr>
                <w:rFonts w:ascii="Arial" w:eastAsia="Calibri" w:hAnsi="Arial" w:cs="Arial"/>
                <w:sz w:val="16"/>
                <w:szCs w:val="16"/>
                <w:lang w:val="fr-FR" w:eastAsia="fr-FR"/>
              </w:rPr>
              <w:t>CGCAATGCACACCTAAGCAA</w:t>
            </w:r>
          </w:p>
        </w:tc>
        <w:tc>
          <w:tcPr>
            <w:tcW w:w="1560" w:type="dxa"/>
            <w:vMerge/>
            <w:tcBorders>
              <w:top w:val="nil"/>
            </w:tcBorders>
            <w:vAlign w:val="center"/>
          </w:tcPr>
          <w:p w14:paraId="4BF0D669" w14:textId="77777777" w:rsidR="0033486B" w:rsidRPr="00D1700E" w:rsidRDefault="0033486B" w:rsidP="005D503A">
            <w:pPr>
              <w:pStyle w:val="NoSpacing"/>
              <w:spacing w:line="276" w:lineRule="auto"/>
              <w:jc w:val="center"/>
              <w:rPr>
                <w:rFonts w:ascii="Arial" w:eastAsia="Calibri" w:hAnsi="Arial" w:cs="Arial"/>
                <w:sz w:val="16"/>
                <w:szCs w:val="16"/>
                <w:lang w:val="fr-FR" w:eastAsia="fr-FR"/>
              </w:rPr>
            </w:pPr>
          </w:p>
        </w:tc>
      </w:tr>
      <w:tr w:rsidR="0033486B" w:rsidRPr="00054E1F" w14:paraId="5ABF4B0F" w14:textId="77777777" w:rsidTr="00054E1F">
        <w:trPr>
          <w:jc w:val="center"/>
        </w:trPr>
        <w:tc>
          <w:tcPr>
            <w:tcW w:w="1986" w:type="dxa"/>
            <w:vMerge/>
            <w:tcBorders>
              <w:bottom w:val="dashSmallGap" w:sz="4" w:space="0" w:color="auto"/>
            </w:tcBorders>
            <w:vAlign w:val="center"/>
          </w:tcPr>
          <w:p w14:paraId="4A306313" w14:textId="77777777" w:rsidR="0033486B" w:rsidRPr="00D1700E" w:rsidRDefault="0033486B" w:rsidP="005D503A">
            <w:pPr>
              <w:pStyle w:val="NoSpacing"/>
              <w:spacing w:line="276" w:lineRule="auto"/>
              <w:jc w:val="center"/>
              <w:rPr>
                <w:rFonts w:ascii="Arial" w:hAnsi="Arial" w:cs="Arial"/>
                <w:sz w:val="16"/>
                <w:szCs w:val="16"/>
                <w:lang w:val="fr-FR"/>
              </w:rPr>
            </w:pPr>
          </w:p>
        </w:tc>
        <w:tc>
          <w:tcPr>
            <w:tcW w:w="1275" w:type="dxa"/>
            <w:tcBorders>
              <w:bottom w:val="dashSmallGap" w:sz="4" w:space="0" w:color="auto"/>
            </w:tcBorders>
            <w:vAlign w:val="center"/>
          </w:tcPr>
          <w:p w14:paraId="3D559D9A" w14:textId="77777777" w:rsidR="0033486B" w:rsidRPr="00D1700E" w:rsidRDefault="0033486B" w:rsidP="005D503A">
            <w:pPr>
              <w:pStyle w:val="NoSpacing"/>
              <w:spacing w:line="276" w:lineRule="auto"/>
              <w:jc w:val="center"/>
              <w:rPr>
                <w:rFonts w:ascii="Arial" w:hAnsi="Arial" w:cs="Arial"/>
                <w:sz w:val="16"/>
                <w:szCs w:val="16"/>
                <w:lang w:val="fr-FR"/>
              </w:rPr>
            </w:pPr>
            <w:r w:rsidRPr="00D1700E">
              <w:rPr>
                <w:rFonts w:ascii="Arial" w:hAnsi="Arial" w:cs="Arial"/>
                <w:i/>
                <w:sz w:val="16"/>
                <w:szCs w:val="16"/>
                <w:lang w:val="fr-FR"/>
              </w:rPr>
              <w:t>XFFSL</w:t>
            </w:r>
            <w:r w:rsidRPr="00D1700E">
              <w:rPr>
                <w:rFonts w:ascii="Arial" w:hAnsi="Arial" w:cs="Arial"/>
                <w:sz w:val="16"/>
                <w:szCs w:val="16"/>
                <w:lang w:val="fr-FR"/>
              </w:rPr>
              <w:t>-P</w:t>
            </w:r>
          </w:p>
        </w:tc>
        <w:tc>
          <w:tcPr>
            <w:tcW w:w="4111" w:type="dxa"/>
            <w:tcBorders>
              <w:bottom w:val="dashSmallGap" w:sz="4" w:space="0" w:color="auto"/>
            </w:tcBorders>
            <w:vAlign w:val="center"/>
          </w:tcPr>
          <w:p w14:paraId="188C04A6" w14:textId="798BF0FC" w:rsidR="0033486B" w:rsidRPr="00D1700E" w:rsidRDefault="0033486B" w:rsidP="005D503A">
            <w:pPr>
              <w:pStyle w:val="NoSpacing"/>
              <w:spacing w:line="276" w:lineRule="auto"/>
              <w:jc w:val="center"/>
              <w:rPr>
                <w:rFonts w:ascii="Arial" w:hAnsi="Arial" w:cs="Arial"/>
                <w:sz w:val="16"/>
                <w:szCs w:val="16"/>
                <w:lang w:val="fr-FR"/>
              </w:rPr>
            </w:pPr>
            <w:r w:rsidRPr="00D1700E">
              <w:rPr>
                <w:rFonts w:ascii="Arial" w:eastAsia="Calibri" w:hAnsi="Arial" w:cs="Arial"/>
                <w:sz w:val="16"/>
                <w:szCs w:val="16"/>
                <w:lang w:val="fr-FR" w:eastAsia="fr-FR"/>
              </w:rPr>
              <w:t>HEX-CGCGTACCCACTCACGCCGC-BHQ1</w:t>
            </w:r>
          </w:p>
        </w:tc>
        <w:tc>
          <w:tcPr>
            <w:tcW w:w="1560" w:type="dxa"/>
            <w:vMerge/>
            <w:tcBorders>
              <w:bottom w:val="dashSmallGap" w:sz="4" w:space="0" w:color="auto"/>
            </w:tcBorders>
            <w:vAlign w:val="center"/>
          </w:tcPr>
          <w:p w14:paraId="5F870B09" w14:textId="77777777" w:rsidR="0033486B" w:rsidRPr="00D1700E" w:rsidRDefault="0033486B" w:rsidP="005D503A">
            <w:pPr>
              <w:pStyle w:val="NoSpacing"/>
              <w:spacing w:line="276" w:lineRule="auto"/>
              <w:jc w:val="center"/>
              <w:rPr>
                <w:rFonts w:ascii="Arial" w:eastAsia="Calibri" w:hAnsi="Arial" w:cs="Arial"/>
                <w:sz w:val="16"/>
                <w:szCs w:val="16"/>
                <w:lang w:val="fr-FR" w:eastAsia="fr-FR"/>
              </w:rPr>
            </w:pPr>
          </w:p>
        </w:tc>
      </w:tr>
      <w:tr w:rsidR="0033486B" w:rsidRPr="00054E1F" w14:paraId="06BB8BD7" w14:textId="77777777" w:rsidTr="00054E1F">
        <w:trPr>
          <w:jc w:val="center"/>
        </w:trPr>
        <w:tc>
          <w:tcPr>
            <w:tcW w:w="1986" w:type="dxa"/>
            <w:vMerge w:val="restart"/>
            <w:tcBorders>
              <w:top w:val="dashSmallGap" w:sz="4" w:space="0" w:color="auto"/>
              <w:left w:val="single" w:sz="4" w:space="0" w:color="auto"/>
              <w:bottom w:val="nil"/>
            </w:tcBorders>
            <w:vAlign w:val="center"/>
          </w:tcPr>
          <w:p w14:paraId="77AF62C6" w14:textId="77777777" w:rsidR="0033486B" w:rsidRPr="00054E1F" w:rsidRDefault="0033486B" w:rsidP="005D503A">
            <w:pPr>
              <w:pStyle w:val="NoSpacing"/>
              <w:spacing w:line="276" w:lineRule="auto"/>
              <w:jc w:val="center"/>
              <w:rPr>
                <w:rFonts w:ascii="Arial" w:hAnsi="Arial" w:cs="Arial"/>
                <w:sz w:val="16"/>
                <w:szCs w:val="16"/>
                <w:lang w:val="fr-FR"/>
              </w:rPr>
            </w:pPr>
            <w:r w:rsidRPr="00054E1F">
              <w:rPr>
                <w:rFonts w:ascii="Arial" w:hAnsi="Arial" w:cs="Arial"/>
                <w:i/>
                <w:sz w:val="16"/>
                <w:szCs w:val="16"/>
                <w:lang w:val="fr-FR"/>
              </w:rPr>
              <w:t>X. fastidiosa</w:t>
            </w:r>
            <w:r w:rsidRPr="00054E1F">
              <w:rPr>
                <w:rFonts w:ascii="Arial" w:hAnsi="Arial" w:cs="Arial"/>
                <w:sz w:val="16"/>
                <w:szCs w:val="16"/>
                <w:lang w:val="fr-FR"/>
              </w:rPr>
              <w:t xml:space="preserve"> subsp. </w:t>
            </w:r>
            <w:r w:rsidRPr="00054E1F">
              <w:rPr>
                <w:rFonts w:ascii="Arial" w:hAnsi="Arial" w:cs="Arial"/>
                <w:i/>
                <w:sz w:val="16"/>
                <w:szCs w:val="16"/>
                <w:lang w:val="fr-FR"/>
              </w:rPr>
              <w:t>multiplex</w:t>
            </w:r>
          </w:p>
        </w:tc>
        <w:tc>
          <w:tcPr>
            <w:tcW w:w="1275" w:type="dxa"/>
            <w:tcBorders>
              <w:top w:val="dashSmallGap" w:sz="4" w:space="0" w:color="auto"/>
              <w:bottom w:val="nil"/>
            </w:tcBorders>
            <w:vAlign w:val="center"/>
          </w:tcPr>
          <w:p w14:paraId="1E6D4E74" w14:textId="77777777" w:rsidR="0033486B" w:rsidRPr="00054E1F" w:rsidRDefault="0033486B" w:rsidP="005D503A">
            <w:pPr>
              <w:pStyle w:val="NoSpacing"/>
              <w:spacing w:line="276" w:lineRule="auto"/>
              <w:jc w:val="center"/>
              <w:rPr>
                <w:rFonts w:ascii="Arial" w:hAnsi="Arial" w:cs="Arial"/>
                <w:sz w:val="16"/>
                <w:szCs w:val="16"/>
                <w:lang w:val="fr-FR"/>
              </w:rPr>
            </w:pPr>
            <w:r w:rsidRPr="00054E1F">
              <w:rPr>
                <w:rFonts w:ascii="Arial" w:hAnsi="Arial" w:cs="Arial"/>
                <w:i/>
                <w:sz w:val="16"/>
                <w:szCs w:val="16"/>
                <w:lang w:val="fr-FR"/>
              </w:rPr>
              <w:t>XFM</w:t>
            </w:r>
            <w:r w:rsidRPr="00054E1F">
              <w:rPr>
                <w:rFonts w:ascii="Arial" w:hAnsi="Arial" w:cs="Arial"/>
                <w:sz w:val="16"/>
                <w:szCs w:val="16"/>
                <w:lang w:val="fr-FR"/>
              </w:rPr>
              <w:t>-F</w:t>
            </w:r>
          </w:p>
        </w:tc>
        <w:tc>
          <w:tcPr>
            <w:tcW w:w="4111" w:type="dxa"/>
            <w:tcBorders>
              <w:top w:val="dashSmallGap" w:sz="4" w:space="0" w:color="auto"/>
              <w:bottom w:val="nil"/>
            </w:tcBorders>
            <w:vAlign w:val="center"/>
          </w:tcPr>
          <w:p w14:paraId="626769D1" w14:textId="77777777" w:rsidR="0033486B" w:rsidRPr="00054E1F" w:rsidRDefault="0033486B" w:rsidP="005D503A">
            <w:pPr>
              <w:pStyle w:val="NoSpacing"/>
              <w:spacing w:line="276" w:lineRule="auto"/>
              <w:jc w:val="center"/>
              <w:rPr>
                <w:rFonts w:ascii="Arial" w:hAnsi="Arial" w:cs="Arial"/>
                <w:sz w:val="16"/>
                <w:szCs w:val="16"/>
                <w:lang w:val="fr-FR"/>
              </w:rPr>
            </w:pPr>
            <w:r w:rsidRPr="00054E1F">
              <w:rPr>
                <w:rFonts w:ascii="Arial" w:hAnsi="Arial" w:cs="Arial"/>
                <w:sz w:val="16"/>
                <w:szCs w:val="16"/>
                <w:lang w:val="fr-FR"/>
              </w:rPr>
              <w:t>ACGATGTTTGAGCCGTTTGC</w:t>
            </w:r>
          </w:p>
        </w:tc>
        <w:tc>
          <w:tcPr>
            <w:tcW w:w="1560" w:type="dxa"/>
            <w:vMerge w:val="restart"/>
            <w:tcBorders>
              <w:top w:val="dashSmallGap" w:sz="4" w:space="0" w:color="auto"/>
              <w:bottom w:val="nil"/>
              <w:right w:val="single" w:sz="4" w:space="0" w:color="auto"/>
            </w:tcBorders>
            <w:vAlign w:val="center"/>
          </w:tcPr>
          <w:p w14:paraId="5A5840D2" w14:textId="77777777" w:rsidR="0033486B" w:rsidRPr="00054E1F" w:rsidRDefault="0033486B" w:rsidP="005D503A">
            <w:pPr>
              <w:pStyle w:val="NoSpacing"/>
              <w:spacing w:line="276" w:lineRule="auto"/>
              <w:jc w:val="center"/>
              <w:rPr>
                <w:rFonts w:ascii="Arial" w:eastAsia="Calibri" w:hAnsi="Arial" w:cs="Arial"/>
                <w:sz w:val="16"/>
                <w:szCs w:val="16"/>
                <w:lang w:val="fr-FR" w:eastAsia="fr-FR"/>
              </w:rPr>
            </w:pPr>
            <w:r w:rsidRPr="00054E1F">
              <w:rPr>
                <w:rFonts w:ascii="Arial" w:eastAsia="Calibri" w:hAnsi="Arial" w:cs="Arial"/>
                <w:sz w:val="16"/>
                <w:szCs w:val="16"/>
                <w:lang w:val="fr-FR" w:eastAsia="fr-FR"/>
              </w:rPr>
              <w:t xml:space="preserve">Dupas </w:t>
            </w:r>
            <w:r w:rsidRPr="00054E1F">
              <w:rPr>
                <w:rFonts w:ascii="Arial" w:eastAsia="Calibri" w:hAnsi="Arial" w:cs="Arial"/>
                <w:i/>
                <w:sz w:val="16"/>
                <w:szCs w:val="16"/>
                <w:lang w:val="fr-FR" w:eastAsia="fr-FR"/>
              </w:rPr>
              <w:t>et al</w:t>
            </w:r>
            <w:r w:rsidRPr="00054E1F">
              <w:rPr>
                <w:rFonts w:ascii="Arial" w:eastAsia="Calibri" w:hAnsi="Arial" w:cs="Arial"/>
                <w:sz w:val="16"/>
                <w:szCs w:val="16"/>
                <w:lang w:val="fr-FR" w:eastAsia="fr-FR"/>
              </w:rPr>
              <w:t>., 2020</w:t>
            </w:r>
          </w:p>
        </w:tc>
      </w:tr>
      <w:tr w:rsidR="0033486B" w:rsidRPr="00054E1F" w14:paraId="01C69B94" w14:textId="77777777" w:rsidTr="00054E1F">
        <w:trPr>
          <w:jc w:val="center"/>
        </w:trPr>
        <w:tc>
          <w:tcPr>
            <w:tcW w:w="1986" w:type="dxa"/>
            <w:vMerge/>
            <w:tcBorders>
              <w:top w:val="nil"/>
            </w:tcBorders>
            <w:vAlign w:val="center"/>
          </w:tcPr>
          <w:p w14:paraId="63F05886" w14:textId="77777777" w:rsidR="0033486B" w:rsidRPr="00D1700E" w:rsidRDefault="0033486B" w:rsidP="005D503A">
            <w:pPr>
              <w:pStyle w:val="NoSpacing"/>
              <w:spacing w:line="276" w:lineRule="auto"/>
              <w:jc w:val="center"/>
              <w:rPr>
                <w:rFonts w:ascii="Arial" w:hAnsi="Arial" w:cs="Arial"/>
                <w:sz w:val="16"/>
                <w:szCs w:val="16"/>
                <w:lang w:val="fr-FR"/>
              </w:rPr>
            </w:pPr>
          </w:p>
        </w:tc>
        <w:tc>
          <w:tcPr>
            <w:tcW w:w="1275" w:type="dxa"/>
            <w:tcBorders>
              <w:top w:val="nil"/>
            </w:tcBorders>
            <w:vAlign w:val="center"/>
          </w:tcPr>
          <w:p w14:paraId="1680E6F9" w14:textId="77777777" w:rsidR="0033486B" w:rsidRPr="00D1700E" w:rsidRDefault="0033486B" w:rsidP="005D503A">
            <w:pPr>
              <w:pStyle w:val="NoSpacing"/>
              <w:spacing w:line="276" w:lineRule="auto"/>
              <w:jc w:val="center"/>
              <w:rPr>
                <w:rFonts w:ascii="Arial" w:hAnsi="Arial" w:cs="Arial"/>
                <w:sz w:val="16"/>
                <w:szCs w:val="16"/>
                <w:lang w:val="fr-FR"/>
              </w:rPr>
            </w:pPr>
            <w:r w:rsidRPr="00D1700E">
              <w:rPr>
                <w:rFonts w:ascii="Arial" w:hAnsi="Arial" w:cs="Arial"/>
                <w:i/>
                <w:sz w:val="16"/>
                <w:szCs w:val="16"/>
                <w:lang w:val="fr-FR"/>
              </w:rPr>
              <w:t>XFM</w:t>
            </w:r>
            <w:r w:rsidRPr="00D1700E">
              <w:rPr>
                <w:rFonts w:ascii="Arial" w:hAnsi="Arial" w:cs="Arial"/>
                <w:sz w:val="16"/>
                <w:szCs w:val="16"/>
                <w:lang w:val="fr-FR"/>
              </w:rPr>
              <w:t>-R</w:t>
            </w:r>
          </w:p>
        </w:tc>
        <w:tc>
          <w:tcPr>
            <w:tcW w:w="4111" w:type="dxa"/>
            <w:tcBorders>
              <w:top w:val="nil"/>
            </w:tcBorders>
            <w:vAlign w:val="center"/>
          </w:tcPr>
          <w:p w14:paraId="6A298D36" w14:textId="54AFFDAA" w:rsidR="0033486B" w:rsidRPr="00D1700E" w:rsidRDefault="0033486B" w:rsidP="005D503A">
            <w:pPr>
              <w:pStyle w:val="NoSpacing"/>
              <w:spacing w:line="276" w:lineRule="auto"/>
              <w:jc w:val="center"/>
              <w:rPr>
                <w:rFonts w:ascii="Arial" w:hAnsi="Arial" w:cs="Arial"/>
                <w:sz w:val="16"/>
                <w:szCs w:val="16"/>
                <w:lang w:val="fr-FR"/>
              </w:rPr>
            </w:pPr>
            <w:r w:rsidRPr="00D1700E">
              <w:rPr>
                <w:rFonts w:ascii="Arial" w:eastAsia="Calibri" w:hAnsi="Arial" w:cs="Arial"/>
                <w:sz w:val="16"/>
                <w:szCs w:val="16"/>
                <w:lang w:val="fr-FR" w:eastAsia="fr-FR"/>
              </w:rPr>
              <w:t>TGTCACCCACTACGAAACGG</w:t>
            </w:r>
          </w:p>
        </w:tc>
        <w:tc>
          <w:tcPr>
            <w:tcW w:w="1560" w:type="dxa"/>
            <w:vMerge/>
            <w:tcBorders>
              <w:top w:val="nil"/>
            </w:tcBorders>
            <w:vAlign w:val="center"/>
          </w:tcPr>
          <w:p w14:paraId="0F35107F" w14:textId="77777777" w:rsidR="0033486B" w:rsidRPr="00D1700E" w:rsidRDefault="0033486B" w:rsidP="005D503A">
            <w:pPr>
              <w:pStyle w:val="NoSpacing"/>
              <w:spacing w:line="276" w:lineRule="auto"/>
              <w:jc w:val="center"/>
              <w:rPr>
                <w:rFonts w:ascii="Arial" w:eastAsia="Calibri" w:hAnsi="Arial" w:cs="Arial"/>
                <w:sz w:val="16"/>
                <w:szCs w:val="16"/>
                <w:lang w:val="fr-FR" w:eastAsia="fr-FR"/>
              </w:rPr>
            </w:pPr>
          </w:p>
        </w:tc>
      </w:tr>
      <w:tr w:rsidR="0033486B" w:rsidRPr="00054E1F" w14:paraId="1EC1FAEE" w14:textId="77777777" w:rsidTr="00054E1F">
        <w:trPr>
          <w:jc w:val="center"/>
        </w:trPr>
        <w:tc>
          <w:tcPr>
            <w:tcW w:w="1986" w:type="dxa"/>
            <w:vMerge/>
            <w:tcBorders>
              <w:bottom w:val="dashSmallGap" w:sz="4" w:space="0" w:color="auto"/>
            </w:tcBorders>
            <w:vAlign w:val="center"/>
          </w:tcPr>
          <w:p w14:paraId="3B4B1C29" w14:textId="77777777" w:rsidR="0033486B" w:rsidRPr="00D1700E" w:rsidRDefault="0033486B" w:rsidP="005D503A">
            <w:pPr>
              <w:pStyle w:val="NoSpacing"/>
              <w:spacing w:line="276" w:lineRule="auto"/>
              <w:jc w:val="center"/>
              <w:rPr>
                <w:rFonts w:ascii="Arial" w:hAnsi="Arial" w:cs="Arial"/>
                <w:sz w:val="16"/>
                <w:szCs w:val="16"/>
                <w:lang w:val="fr-FR"/>
              </w:rPr>
            </w:pPr>
          </w:p>
        </w:tc>
        <w:tc>
          <w:tcPr>
            <w:tcW w:w="1275" w:type="dxa"/>
            <w:tcBorders>
              <w:bottom w:val="dashSmallGap" w:sz="4" w:space="0" w:color="auto"/>
            </w:tcBorders>
            <w:vAlign w:val="center"/>
          </w:tcPr>
          <w:p w14:paraId="4B842EDB" w14:textId="77777777" w:rsidR="0033486B" w:rsidRPr="00D1700E" w:rsidRDefault="0033486B" w:rsidP="005D503A">
            <w:pPr>
              <w:pStyle w:val="NoSpacing"/>
              <w:spacing w:line="276" w:lineRule="auto"/>
              <w:jc w:val="center"/>
              <w:rPr>
                <w:rFonts w:ascii="Arial" w:hAnsi="Arial" w:cs="Arial"/>
                <w:sz w:val="16"/>
                <w:szCs w:val="16"/>
                <w:lang w:val="fr-FR"/>
              </w:rPr>
            </w:pPr>
            <w:r w:rsidRPr="00D1700E">
              <w:rPr>
                <w:rFonts w:ascii="Arial" w:hAnsi="Arial" w:cs="Arial"/>
                <w:i/>
                <w:sz w:val="16"/>
                <w:szCs w:val="16"/>
                <w:lang w:val="fr-FR"/>
              </w:rPr>
              <w:t>XFM</w:t>
            </w:r>
            <w:r w:rsidRPr="00D1700E">
              <w:rPr>
                <w:rFonts w:ascii="Arial" w:hAnsi="Arial" w:cs="Arial"/>
                <w:sz w:val="16"/>
                <w:szCs w:val="16"/>
                <w:lang w:val="fr-FR"/>
              </w:rPr>
              <w:t>-P</w:t>
            </w:r>
          </w:p>
        </w:tc>
        <w:tc>
          <w:tcPr>
            <w:tcW w:w="4111" w:type="dxa"/>
            <w:tcBorders>
              <w:bottom w:val="dashSmallGap" w:sz="4" w:space="0" w:color="auto"/>
            </w:tcBorders>
            <w:vAlign w:val="center"/>
          </w:tcPr>
          <w:p w14:paraId="29066FDC" w14:textId="77777777" w:rsidR="0033486B" w:rsidRPr="00D1700E" w:rsidRDefault="0033486B" w:rsidP="005D503A">
            <w:pPr>
              <w:pStyle w:val="NoSpacing"/>
              <w:spacing w:line="276" w:lineRule="auto"/>
              <w:jc w:val="center"/>
              <w:rPr>
                <w:rFonts w:ascii="Arial" w:hAnsi="Arial" w:cs="Arial"/>
                <w:sz w:val="16"/>
                <w:szCs w:val="16"/>
                <w:lang w:val="fr-FR"/>
              </w:rPr>
            </w:pPr>
            <w:r w:rsidRPr="00D1700E">
              <w:rPr>
                <w:rFonts w:ascii="Arial" w:eastAsia="Calibri" w:hAnsi="Arial" w:cs="Arial"/>
                <w:sz w:val="16"/>
                <w:szCs w:val="16"/>
                <w:lang w:val="fr-FR" w:eastAsia="fr-FR"/>
              </w:rPr>
              <w:t>ROX- ACGCAGCCCACCACGATTTAGCCG-BHQ2</w:t>
            </w:r>
          </w:p>
        </w:tc>
        <w:tc>
          <w:tcPr>
            <w:tcW w:w="1560" w:type="dxa"/>
            <w:vMerge/>
            <w:tcBorders>
              <w:bottom w:val="dashSmallGap" w:sz="4" w:space="0" w:color="auto"/>
            </w:tcBorders>
            <w:vAlign w:val="center"/>
          </w:tcPr>
          <w:p w14:paraId="2AFF49E1" w14:textId="77777777" w:rsidR="0033486B" w:rsidRPr="00D1700E" w:rsidRDefault="0033486B" w:rsidP="005D503A">
            <w:pPr>
              <w:pStyle w:val="NoSpacing"/>
              <w:spacing w:line="276" w:lineRule="auto"/>
              <w:jc w:val="center"/>
              <w:rPr>
                <w:rFonts w:ascii="Arial" w:eastAsia="Calibri" w:hAnsi="Arial" w:cs="Arial"/>
                <w:sz w:val="16"/>
                <w:szCs w:val="16"/>
                <w:lang w:val="fr-FR" w:eastAsia="fr-FR"/>
              </w:rPr>
            </w:pPr>
          </w:p>
        </w:tc>
      </w:tr>
      <w:tr w:rsidR="0033486B" w:rsidRPr="00054E1F" w14:paraId="113B72ED" w14:textId="77777777" w:rsidTr="00054E1F">
        <w:trPr>
          <w:jc w:val="center"/>
        </w:trPr>
        <w:tc>
          <w:tcPr>
            <w:tcW w:w="1986" w:type="dxa"/>
            <w:vMerge w:val="restart"/>
            <w:tcBorders>
              <w:top w:val="dashSmallGap" w:sz="4" w:space="0" w:color="auto"/>
              <w:left w:val="single" w:sz="4" w:space="0" w:color="auto"/>
              <w:bottom w:val="nil"/>
            </w:tcBorders>
            <w:vAlign w:val="center"/>
          </w:tcPr>
          <w:p w14:paraId="12C44D29" w14:textId="77777777" w:rsidR="0033486B" w:rsidRPr="00054E1F" w:rsidRDefault="0033486B" w:rsidP="005D503A">
            <w:pPr>
              <w:pStyle w:val="NoSpacing"/>
              <w:spacing w:line="276" w:lineRule="auto"/>
              <w:jc w:val="center"/>
              <w:rPr>
                <w:rFonts w:ascii="Arial" w:hAnsi="Arial" w:cs="Arial"/>
                <w:sz w:val="16"/>
                <w:szCs w:val="16"/>
                <w:lang w:val="fr-FR"/>
              </w:rPr>
            </w:pPr>
            <w:r w:rsidRPr="00054E1F">
              <w:rPr>
                <w:rFonts w:ascii="Arial" w:hAnsi="Arial" w:cs="Arial"/>
                <w:i/>
                <w:sz w:val="16"/>
                <w:szCs w:val="16"/>
                <w:lang w:val="fr-FR"/>
              </w:rPr>
              <w:t>X. fastidiosa</w:t>
            </w:r>
            <w:r w:rsidRPr="00054E1F">
              <w:rPr>
                <w:rFonts w:ascii="Arial" w:hAnsi="Arial" w:cs="Arial"/>
                <w:sz w:val="16"/>
                <w:szCs w:val="16"/>
                <w:lang w:val="fr-FR"/>
              </w:rPr>
              <w:t xml:space="preserve"> subsp. </w:t>
            </w:r>
            <w:r w:rsidRPr="00054E1F">
              <w:rPr>
                <w:rFonts w:ascii="Arial" w:hAnsi="Arial" w:cs="Arial"/>
                <w:i/>
                <w:sz w:val="16"/>
                <w:szCs w:val="16"/>
                <w:lang w:val="fr-FR"/>
              </w:rPr>
              <w:t>morus</w:t>
            </w:r>
          </w:p>
        </w:tc>
        <w:tc>
          <w:tcPr>
            <w:tcW w:w="1275" w:type="dxa"/>
            <w:tcBorders>
              <w:top w:val="dashSmallGap" w:sz="4" w:space="0" w:color="auto"/>
              <w:bottom w:val="nil"/>
            </w:tcBorders>
            <w:vAlign w:val="center"/>
          </w:tcPr>
          <w:p w14:paraId="0FD0E96D" w14:textId="77777777" w:rsidR="0033486B" w:rsidRPr="00054E1F" w:rsidRDefault="0033486B" w:rsidP="005D503A">
            <w:pPr>
              <w:pStyle w:val="NoSpacing"/>
              <w:spacing w:line="276" w:lineRule="auto"/>
              <w:jc w:val="center"/>
              <w:rPr>
                <w:rFonts w:ascii="Arial" w:hAnsi="Arial" w:cs="Arial"/>
                <w:sz w:val="16"/>
                <w:szCs w:val="16"/>
                <w:lang w:val="fr-FR"/>
              </w:rPr>
            </w:pPr>
            <w:r w:rsidRPr="00054E1F">
              <w:rPr>
                <w:rFonts w:ascii="Arial" w:hAnsi="Arial" w:cs="Arial"/>
                <w:i/>
                <w:sz w:val="16"/>
                <w:szCs w:val="16"/>
                <w:lang w:val="fr-FR"/>
              </w:rPr>
              <w:t>XFMO</w:t>
            </w:r>
            <w:r w:rsidRPr="00054E1F">
              <w:rPr>
                <w:rFonts w:ascii="Arial" w:hAnsi="Arial" w:cs="Arial"/>
                <w:sz w:val="16"/>
                <w:szCs w:val="16"/>
                <w:lang w:val="fr-FR"/>
              </w:rPr>
              <w:t>-F</w:t>
            </w:r>
          </w:p>
        </w:tc>
        <w:tc>
          <w:tcPr>
            <w:tcW w:w="4111" w:type="dxa"/>
            <w:tcBorders>
              <w:top w:val="dashSmallGap" w:sz="4" w:space="0" w:color="auto"/>
              <w:bottom w:val="nil"/>
            </w:tcBorders>
            <w:vAlign w:val="center"/>
          </w:tcPr>
          <w:p w14:paraId="5C97B1AB" w14:textId="6655B846" w:rsidR="0033486B" w:rsidRPr="00054E1F" w:rsidRDefault="0033486B" w:rsidP="005D503A">
            <w:pPr>
              <w:pStyle w:val="NoSpacing"/>
              <w:spacing w:line="276" w:lineRule="auto"/>
              <w:jc w:val="center"/>
              <w:rPr>
                <w:rFonts w:ascii="Arial" w:hAnsi="Arial" w:cs="Arial"/>
                <w:sz w:val="16"/>
                <w:szCs w:val="16"/>
                <w:lang w:val="fr-FR"/>
              </w:rPr>
            </w:pPr>
            <w:r w:rsidRPr="00054E1F">
              <w:rPr>
                <w:rFonts w:ascii="Arial" w:eastAsia="Calibri" w:hAnsi="Arial" w:cs="Arial"/>
                <w:sz w:val="16"/>
                <w:szCs w:val="16"/>
                <w:lang w:val="fr-FR" w:eastAsia="fr-FR"/>
              </w:rPr>
              <w:t>TAACGCTATCGGCAGGTAGC</w:t>
            </w:r>
          </w:p>
        </w:tc>
        <w:tc>
          <w:tcPr>
            <w:tcW w:w="1560" w:type="dxa"/>
            <w:vMerge w:val="restart"/>
            <w:tcBorders>
              <w:top w:val="dashSmallGap" w:sz="4" w:space="0" w:color="auto"/>
              <w:bottom w:val="nil"/>
              <w:right w:val="single" w:sz="4" w:space="0" w:color="auto"/>
            </w:tcBorders>
            <w:vAlign w:val="center"/>
          </w:tcPr>
          <w:p w14:paraId="211A83B5" w14:textId="77777777" w:rsidR="0033486B" w:rsidRPr="00054E1F" w:rsidRDefault="0033486B" w:rsidP="005D503A">
            <w:pPr>
              <w:pStyle w:val="NoSpacing"/>
              <w:spacing w:line="276" w:lineRule="auto"/>
              <w:jc w:val="center"/>
              <w:rPr>
                <w:rFonts w:ascii="Arial" w:eastAsia="Calibri" w:hAnsi="Arial" w:cs="Arial"/>
                <w:sz w:val="16"/>
                <w:szCs w:val="16"/>
                <w:lang w:val="fr-FR" w:eastAsia="fr-FR"/>
              </w:rPr>
            </w:pPr>
            <w:r w:rsidRPr="00054E1F">
              <w:rPr>
                <w:rFonts w:ascii="Arial" w:eastAsia="Calibri" w:hAnsi="Arial" w:cs="Arial"/>
                <w:sz w:val="16"/>
                <w:szCs w:val="16"/>
                <w:lang w:val="fr-FR" w:eastAsia="fr-FR"/>
              </w:rPr>
              <w:t xml:space="preserve">Dupas </w:t>
            </w:r>
            <w:r w:rsidRPr="00054E1F">
              <w:rPr>
                <w:rFonts w:ascii="Arial" w:eastAsia="Calibri" w:hAnsi="Arial" w:cs="Arial"/>
                <w:i/>
                <w:sz w:val="16"/>
                <w:szCs w:val="16"/>
                <w:lang w:val="fr-FR" w:eastAsia="fr-FR"/>
              </w:rPr>
              <w:t>et al</w:t>
            </w:r>
            <w:r w:rsidRPr="00054E1F">
              <w:rPr>
                <w:rFonts w:ascii="Arial" w:eastAsia="Calibri" w:hAnsi="Arial" w:cs="Arial"/>
                <w:sz w:val="16"/>
                <w:szCs w:val="16"/>
                <w:lang w:val="fr-FR" w:eastAsia="fr-FR"/>
              </w:rPr>
              <w:t>., 2020</w:t>
            </w:r>
          </w:p>
        </w:tc>
      </w:tr>
      <w:tr w:rsidR="0033486B" w:rsidRPr="00054E1F" w14:paraId="2D327467" w14:textId="77777777" w:rsidTr="00054E1F">
        <w:trPr>
          <w:jc w:val="center"/>
        </w:trPr>
        <w:tc>
          <w:tcPr>
            <w:tcW w:w="1986" w:type="dxa"/>
            <w:vMerge/>
            <w:tcBorders>
              <w:top w:val="nil"/>
            </w:tcBorders>
            <w:vAlign w:val="center"/>
          </w:tcPr>
          <w:p w14:paraId="30B49C1B" w14:textId="77777777" w:rsidR="0033486B" w:rsidRPr="00D1700E" w:rsidRDefault="0033486B" w:rsidP="005D503A">
            <w:pPr>
              <w:pStyle w:val="NoSpacing"/>
              <w:spacing w:line="276" w:lineRule="auto"/>
              <w:jc w:val="center"/>
              <w:rPr>
                <w:rFonts w:ascii="Arial" w:hAnsi="Arial" w:cs="Arial"/>
                <w:sz w:val="16"/>
                <w:szCs w:val="16"/>
                <w:lang w:val="fr-FR"/>
              </w:rPr>
            </w:pPr>
          </w:p>
        </w:tc>
        <w:tc>
          <w:tcPr>
            <w:tcW w:w="1275" w:type="dxa"/>
            <w:tcBorders>
              <w:top w:val="nil"/>
            </w:tcBorders>
            <w:vAlign w:val="center"/>
          </w:tcPr>
          <w:p w14:paraId="1BD57F84" w14:textId="77777777" w:rsidR="0033486B" w:rsidRPr="00D1700E" w:rsidRDefault="0033486B" w:rsidP="005D503A">
            <w:pPr>
              <w:pStyle w:val="NoSpacing"/>
              <w:spacing w:line="276" w:lineRule="auto"/>
              <w:jc w:val="center"/>
              <w:rPr>
                <w:rFonts w:ascii="Arial" w:hAnsi="Arial" w:cs="Arial"/>
                <w:sz w:val="16"/>
                <w:szCs w:val="16"/>
                <w:lang w:val="fr-FR"/>
              </w:rPr>
            </w:pPr>
            <w:r w:rsidRPr="00D1700E">
              <w:rPr>
                <w:rFonts w:ascii="Arial" w:hAnsi="Arial" w:cs="Arial"/>
                <w:i/>
                <w:sz w:val="16"/>
                <w:szCs w:val="16"/>
                <w:lang w:val="fr-FR"/>
              </w:rPr>
              <w:t>XFMO</w:t>
            </w:r>
            <w:r w:rsidRPr="00D1700E">
              <w:rPr>
                <w:rFonts w:ascii="Arial" w:hAnsi="Arial" w:cs="Arial"/>
                <w:sz w:val="16"/>
                <w:szCs w:val="16"/>
                <w:lang w:val="fr-FR"/>
              </w:rPr>
              <w:t>-R</w:t>
            </w:r>
          </w:p>
        </w:tc>
        <w:tc>
          <w:tcPr>
            <w:tcW w:w="4111" w:type="dxa"/>
            <w:tcBorders>
              <w:top w:val="nil"/>
            </w:tcBorders>
            <w:vAlign w:val="center"/>
          </w:tcPr>
          <w:p w14:paraId="6889BE45" w14:textId="27A8E61F" w:rsidR="0033486B" w:rsidRPr="00D1700E" w:rsidRDefault="0033486B" w:rsidP="005D503A">
            <w:pPr>
              <w:pStyle w:val="NoSpacing"/>
              <w:spacing w:line="276" w:lineRule="auto"/>
              <w:jc w:val="center"/>
              <w:rPr>
                <w:rFonts w:ascii="Arial" w:hAnsi="Arial" w:cs="Arial"/>
                <w:sz w:val="16"/>
                <w:szCs w:val="16"/>
                <w:lang w:val="fr-FR"/>
              </w:rPr>
            </w:pPr>
            <w:r w:rsidRPr="00D1700E">
              <w:rPr>
                <w:rFonts w:ascii="Arial" w:eastAsia="Calibri" w:hAnsi="Arial" w:cs="Arial"/>
                <w:sz w:val="16"/>
                <w:szCs w:val="16"/>
                <w:lang w:val="fr-FR" w:eastAsia="fr-FR"/>
              </w:rPr>
              <w:t>GCATCAGCTTCACGTCTCCT</w:t>
            </w:r>
          </w:p>
        </w:tc>
        <w:tc>
          <w:tcPr>
            <w:tcW w:w="1560" w:type="dxa"/>
            <w:vMerge/>
            <w:tcBorders>
              <w:top w:val="nil"/>
            </w:tcBorders>
            <w:vAlign w:val="center"/>
          </w:tcPr>
          <w:p w14:paraId="1AFE69ED" w14:textId="77777777" w:rsidR="0033486B" w:rsidRPr="00D1700E" w:rsidRDefault="0033486B" w:rsidP="005D503A">
            <w:pPr>
              <w:pStyle w:val="NoSpacing"/>
              <w:spacing w:line="276" w:lineRule="auto"/>
              <w:jc w:val="center"/>
              <w:rPr>
                <w:rFonts w:ascii="Arial" w:eastAsia="Calibri" w:hAnsi="Arial" w:cs="Arial"/>
                <w:sz w:val="16"/>
                <w:szCs w:val="16"/>
                <w:lang w:val="fr-FR" w:eastAsia="fr-FR"/>
              </w:rPr>
            </w:pPr>
          </w:p>
        </w:tc>
      </w:tr>
      <w:tr w:rsidR="0033486B" w:rsidRPr="00054E1F" w14:paraId="3234906B" w14:textId="77777777" w:rsidTr="00054E1F">
        <w:trPr>
          <w:jc w:val="center"/>
        </w:trPr>
        <w:tc>
          <w:tcPr>
            <w:tcW w:w="1986" w:type="dxa"/>
            <w:vMerge/>
            <w:tcBorders>
              <w:bottom w:val="dashSmallGap" w:sz="4" w:space="0" w:color="auto"/>
            </w:tcBorders>
            <w:vAlign w:val="center"/>
          </w:tcPr>
          <w:p w14:paraId="03A85BF4" w14:textId="77777777" w:rsidR="0033486B" w:rsidRPr="00D1700E" w:rsidRDefault="0033486B" w:rsidP="005D503A">
            <w:pPr>
              <w:pStyle w:val="NoSpacing"/>
              <w:spacing w:line="276" w:lineRule="auto"/>
              <w:jc w:val="center"/>
              <w:rPr>
                <w:rFonts w:ascii="Arial" w:hAnsi="Arial" w:cs="Arial"/>
                <w:sz w:val="16"/>
                <w:szCs w:val="16"/>
                <w:lang w:val="fr-FR"/>
              </w:rPr>
            </w:pPr>
          </w:p>
        </w:tc>
        <w:tc>
          <w:tcPr>
            <w:tcW w:w="1275" w:type="dxa"/>
            <w:tcBorders>
              <w:bottom w:val="dashSmallGap" w:sz="4" w:space="0" w:color="auto"/>
            </w:tcBorders>
            <w:vAlign w:val="center"/>
          </w:tcPr>
          <w:p w14:paraId="6CDC4C85" w14:textId="77777777" w:rsidR="0033486B" w:rsidRPr="00D1700E" w:rsidRDefault="0033486B" w:rsidP="005D503A">
            <w:pPr>
              <w:pStyle w:val="NoSpacing"/>
              <w:spacing w:line="276" w:lineRule="auto"/>
              <w:jc w:val="center"/>
              <w:rPr>
                <w:rFonts w:ascii="Arial" w:hAnsi="Arial" w:cs="Arial"/>
                <w:sz w:val="16"/>
                <w:szCs w:val="16"/>
                <w:lang w:val="fr-FR"/>
              </w:rPr>
            </w:pPr>
            <w:r w:rsidRPr="00D1700E">
              <w:rPr>
                <w:rFonts w:ascii="Arial" w:hAnsi="Arial" w:cs="Arial"/>
                <w:i/>
                <w:sz w:val="16"/>
                <w:szCs w:val="16"/>
                <w:lang w:val="fr-FR"/>
              </w:rPr>
              <w:t>XFMO</w:t>
            </w:r>
            <w:r w:rsidRPr="00D1700E">
              <w:rPr>
                <w:rFonts w:ascii="Arial" w:hAnsi="Arial" w:cs="Arial"/>
                <w:sz w:val="16"/>
                <w:szCs w:val="16"/>
                <w:lang w:val="fr-FR"/>
              </w:rPr>
              <w:t>-P</w:t>
            </w:r>
          </w:p>
        </w:tc>
        <w:tc>
          <w:tcPr>
            <w:tcW w:w="4111" w:type="dxa"/>
            <w:tcBorders>
              <w:bottom w:val="dashSmallGap" w:sz="4" w:space="0" w:color="auto"/>
            </w:tcBorders>
            <w:vAlign w:val="center"/>
          </w:tcPr>
          <w:p w14:paraId="5A7082F3" w14:textId="73BCC926" w:rsidR="0033486B" w:rsidRPr="00D1700E" w:rsidRDefault="0033486B" w:rsidP="005D503A">
            <w:pPr>
              <w:pStyle w:val="NoSpacing"/>
              <w:spacing w:line="276" w:lineRule="auto"/>
              <w:jc w:val="center"/>
              <w:rPr>
                <w:rFonts w:ascii="Arial" w:hAnsi="Arial" w:cs="Arial"/>
                <w:sz w:val="16"/>
                <w:szCs w:val="16"/>
                <w:lang w:val="fr-FR"/>
              </w:rPr>
            </w:pPr>
            <w:r w:rsidRPr="00D1700E">
              <w:rPr>
                <w:rFonts w:ascii="Arial" w:eastAsia="Calibri" w:hAnsi="Arial" w:cs="Arial"/>
                <w:sz w:val="16"/>
                <w:szCs w:val="16"/>
                <w:lang w:val="fr-FR" w:eastAsia="fr-FR"/>
              </w:rPr>
              <w:t>CY5- GGTTCCGCACCTCACATATCCGCCC-BHQ2</w:t>
            </w:r>
          </w:p>
        </w:tc>
        <w:tc>
          <w:tcPr>
            <w:tcW w:w="1560" w:type="dxa"/>
            <w:vMerge/>
            <w:tcBorders>
              <w:bottom w:val="dashSmallGap" w:sz="4" w:space="0" w:color="auto"/>
            </w:tcBorders>
            <w:vAlign w:val="center"/>
          </w:tcPr>
          <w:p w14:paraId="7DA8077F" w14:textId="77777777" w:rsidR="0033486B" w:rsidRPr="00D1700E" w:rsidRDefault="0033486B" w:rsidP="005D503A">
            <w:pPr>
              <w:pStyle w:val="NoSpacing"/>
              <w:spacing w:line="276" w:lineRule="auto"/>
              <w:jc w:val="center"/>
              <w:rPr>
                <w:rFonts w:ascii="Arial" w:eastAsia="Calibri" w:hAnsi="Arial" w:cs="Arial"/>
                <w:sz w:val="16"/>
                <w:szCs w:val="16"/>
                <w:lang w:val="fr-FR" w:eastAsia="fr-FR"/>
              </w:rPr>
            </w:pPr>
          </w:p>
        </w:tc>
      </w:tr>
      <w:tr w:rsidR="0033486B" w:rsidRPr="00054E1F" w14:paraId="5CD4D2ED" w14:textId="77777777" w:rsidTr="00054E1F">
        <w:trPr>
          <w:jc w:val="center"/>
        </w:trPr>
        <w:tc>
          <w:tcPr>
            <w:tcW w:w="1986" w:type="dxa"/>
            <w:vMerge w:val="restart"/>
            <w:tcBorders>
              <w:top w:val="dashSmallGap" w:sz="4" w:space="0" w:color="auto"/>
              <w:left w:val="single" w:sz="4" w:space="0" w:color="auto"/>
              <w:bottom w:val="nil"/>
            </w:tcBorders>
            <w:vAlign w:val="center"/>
          </w:tcPr>
          <w:p w14:paraId="25952753" w14:textId="77777777" w:rsidR="0033486B" w:rsidRPr="00054E1F" w:rsidRDefault="0033486B" w:rsidP="005D503A">
            <w:pPr>
              <w:pStyle w:val="NoSpacing"/>
              <w:spacing w:line="276" w:lineRule="auto"/>
              <w:jc w:val="center"/>
              <w:rPr>
                <w:rFonts w:ascii="Arial" w:hAnsi="Arial" w:cs="Arial"/>
                <w:sz w:val="16"/>
                <w:szCs w:val="16"/>
                <w:lang w:val="fr-FR"/>
              </w:rPr>
            </w:pPr>
            <w:r w:rsidRPr="00054E1F">
              <w:rPr>
                <w:rFonts w:ascii="Arial" w:hAnsi="Arial" w:cs="Arial"/>
                <w:i/>
                <w:sz w:val="16"/>
                <w:szCs w:val="16"/>
                <w:lang w:val="fr-FR"/>
              </w:rPr>
              <w:t>X. fastidiosa</w:t>
            </w:r>
            <w:r w:rsidRPr="00054E1F">
              <w:rPr>
                <w:rFonts w:ascii="Arial" w:hAnsi="Arial" w:cs="Arial"/>
                <w:sz w:val="16"/>
                <w:szCs w:val="16"/>
                <w:lang w:val="fr-FR"/>
              </w:rPr>
              <w:t xml:space="preserve"> subsp. </w:t>
            </w:r>
            <w:r w:rsidRPr="00054E1F">
              <w:rPr>
                <w:rFonts w:ascii="Arial" w:hAnsi="Arial" w:cs="Arial"/>
                <w:i/>
                <w:sz w:val="16"/>
                <w:szCs w:val="16"/>
                <w:lang w:val="fr-FR"/>
              </w:rPr>
              <w:t>pauca</w:t>
            </w:r>
          </w:p>
        </w:tc>
        <w:tc>
          <w:tcPr>
            <w:tcW w:w="1275" w:type="dxa"/>
            <w:tcBorders>
              <w:top w:val="dashSmallGap" w:sz="4" w:space="0" w:color="auto"/>
              <w:bottom w:val="nil"/>
            </w:tcBorders>
            <w:vAlign w:val="center"/>
          </w:tcPr>
          <w:p w14:paraId="66125572" w14:textId="77777777" w:rsidR="0033486B" w:rsidRPr="00054E1F" w:rsidRDefault="0033486B" w:rsidP="005D503A">
            <w:pPr>
              <w:pStyle w:val="NoSpacing"/>
              <w:spacing w:line="276" w:lineRule="auto"/>
              <w:jc w:val="center"/>
              <w:rPr>
                <w:rFonts w:ascii="Arial" w:hAnsi="Arial" w:cs="Arial"/>
                <w:sz w:val="16"/>
                <w:szCs w:val="16"/>
                <w:lang w:val="fr-FR"/>
              </w:rPr>
            </w:pPr>
            <w:r w:rsidRPr="00054E1F">
              <w:rPr>
                <w:rFonts w:ascii="Arial" w:hAnsi="Arial" w:cs="Arial"/>
                <w:i/>
                <w:sz w:val="16"/>
                <w:szCs w:val="16"/>
                <w:lang w:val="fr-FR"/>
              </w:rPr>
              <w:t>XFP</w:t>
            </w:r>
            <w:r w:rsidRPr="00054E1F">
              <w:rPr>
                <w:rFonts w:ascii="Arial" w:hAnsi="Arial" w:cs="Arial"/>
                <w:sz w:val="16"/>
                <w:szCs w:val="16"/>
                <w:lang w:val="fr-FR"/>
              </w:rPr>
              <w:t>-F</w:t>
            </w:r>
          </w:p>
        </w:tc>
        <w:tc>
          <w:tcPr>
            <w:tcW w:w="4111" w:type="dxa"/>
            <w:tcBorders>
              <w:top w:val="dashSmallGap" w:sz="4" w:space="0" w:color="auto"/>
              <w:bottom w:val="nil"/>
            </w:tcBorders>
            <w:vAlign w:val="center"/>
          </w:tcPr>
          <w:p w14:paraId="6864DC64" w14:textId="6A36A3B0" w:rsidR="0033486B" w:rsidRPr="00054E1F" w:rsidRDefault="0033486B" w:rsidP="005D503A">
            <w:pPr>
              <w:pStyle w:val="NoSpacing"/>
              <w:spacing w:line="276" w:lineRule="auto"/>
              <w:jc w:val="center"/>
              <w:rPr>
                <w:rFonts w:ascii="Arial" w:hAnsi="Arial" w:cs="Arial"/>
                <w:sz w:val="16"/>
                <w:szCs w:val="16"/>
                <w:lang w:val="fr-FR"/>
              </w:rPr>
            </w:pPr>
            <w:r w:rsidRPr="00054E1F">
              <w:rPr>
                <w:rFonts w:ascii="Arial" w:eastAsia="Calibri" w:hAnsi="Arial" w:cs="Arial"/>
                <w:sz w:val="16"/>
                <w:szCs w:val="16"/>
                <w:lang w:val="fr-FR" w:eastAsia="fr-FR"/>
              </w:rPr>
              <w:t>TGCGTTTTCCTAGGTGGCAT</w:t>
            </w:r>
          </w:p>
        </w:tc>
        <w:tc>
          <w:tcPr>
            <w:tcW w:w="1560" w:type="dxa"/>
            <w:vMerge w:val="restart"/>
            <w:tcBorders>
              <w:top w:val="dashSmallGap" w:sz="4" w:space="0" w:color="auto"/>
              <w:bottom w:val="nil"/>
              <w:right w:val="single" w:sz="4" w:space="0" w:color="auto"/>
            </w:tcBorders>
            <w:vAlign w:val="center"/>
          </w:tcPr>
          <w:p w14:paraId="6AB5D5B8" w14:textId="77777777" w:rsidR="0033486B" w:rsidRPr="00054E1F" w:rsidRDefault="0033486B" w:rsidP="005D503A">
            <w:pPr>
              <w:pStyle w:val="NoSpacing"/>
              <w:spacing w:line="276" w:lineRule="auto"/>
              <w:jc w:val="center"/>
              <w:rPr>
                <w:rFonts w:ascii="Arial" w:eastAsia="Calibri" w:hAnsi="Arial" w:cs="Arial"/>
                <w:sz w:val="16"/>
                <w:szCs w:val="16"/>
                <w:lang w:val="fr-FR" w:eastAsia="fr-FR"/>
              </w:rPr>
            </w:pPr>
            <w:r w:rsidRPr="00054E1F">
              <w:rPr>
                <w:rFonts w:ascii="Arial" w:eastAsia="Calibri" w:hAnsi="Arial" w:cs="Arial"/>
                <w:sz w:val="16"/>
                <w:szCs w:val="16"/>
                <w:lang w:val="fr-FR" w:eastAsia="fr-FR"/>
              </w:rPr>
              <w:t xml:space="preserve">Dupas </w:t>
            </w:r>
            <w:r w:rsidRPr="00054E1F">
              <w:rPr>
                <w:rFonts w:ascii="Arial" w:eastAsia="Calibri" w:hAnsi="Arial" w:cs="Arial"/>
                <w:i/>
                <w:sz w:val="16"/>
                <w:szCs w:val="16"/>
                <w:lang w:val="fr-FR" w:eastAsia="fr-FR"/>
              </w:rPr>
              <w:t>et al</w:t>
            </w:r>
            <w:r w:rsidRPr="00054E1F">
              <w:rPr>
                <w:rFonts w:ascii="Arial" w:eastAsia="Calibri" w:hAnsi="Arial" w:cs="Arial"/>
                <w:sz w:val="16"/>
                <w:szCs w:val="16"/>
                <w:lang w:val="fr-FR" w:eastAsia="fr-FR"/>
              </w:rPr>
              <w:t>., 2020</w:t>
            </w:r>
          </w:p>
        </w:tc>
      </w:tr>
      <w:tr w:rsidR="0033486B" w:rsidRPr="00054E1F" w14:paraId="0E482DC0" w14:textId="77777777" w:rsidTr="00054E1F">
        <w:trPr>
          <w:jc w:val="center"/>
        </w:trPr>
        <w:tc>
          <w:tcPr>
            <w:tcW w:w="1986" w:type="dxa"/>
            <w:vMerge/>
            <w:tcBorders>
              <w:top w:val="nil"/>
            </w:tcBorders>
            <w:vAlign w:val="center"/>
          </w:tcPr>
          <w:p w14:paraId="6BACBB31" w14:textId="77777777" w:rsidR="0033486B" w:rsidRPr="00D1700E" w:rsidRDefault="0033486B" w:rsidP="005D503A">
            <w:pPr>
              <w:pStyle w:val="NoSpacing"/>
              <w:spacing w:line="276" w:lineRule="auto"/>
              <w:jc w:val="center"/>
              <w:rPr>
                <w:rFonts w:ascii="Arial" w:hAnsi="Arial" w:cs="Arial"/>
                <w:sz w:val="16"/>
                <w:szCs w:val="16"/>
                <w:lang w:val="fr-FR"/>
              </w:rPr>
            </w:pPr>
          </w:p>
        </w:tc>
        <w:tc>
          <w:tcPr>
            <w:tcW w:w="1275" w:type="dxa"/>
            <w:tcBorders>
              <w:top w:val="nil"/>
            </w:tcBorders>
            <w:vAlign w:val="center"/>
          </w:tcPr>
          <w:p w14:paraId="5C96329F" w14:textId="77777777" w:rsidR="0033486B" w:rsidRPr="00D1700E" w:rsidRDefault="0033486B" w:rsidP="005D503A">
            <w:pPr>
              <w:pStyle w:val="NoSpacing"/>
              <w:spacing w:line="276" w:lineRule="auto"/>
              <w:jc w:val="center"/>
              <w:rPr>
                <w:rFonts w:ascii="Arial" w:hAnsi="Arial" w:cs="Arial"/>
                <w:sz w:val="16"/>
                <w:szCs w:val="16"/>
                <w:lang w:val="fr-FR"/>
              </w:rPr>
            </w:pPr>
            <w:r w:rsidRPr="00D1700E">
              <w:rPr>
                <w:rFonts w:ascii="Arial" w:hAnsi="Arial" w:cs="Arial"/>
                <w:i/>
                <w:sz w:val="16"/>
                <w:szCs w:val="16"/>
                <w:lang w:val="fr-FR"/>
              </w:rPr>
              <w:t>XFP</w:t>
            </w:r>
            <w:r w:rsidRPr="00D1700E">
              <w:rPr>
                <w:rFonts w:ascii="Arial" w:hAnsi="Arial" w:cs="Arial"/>
                <w:sz w:val="16"/>
                <w:szCs w:val="16"/>
                <w:lang w:val="fr-FR"/>
              </w:rPr>
              <w:t>-R</w:t>
            </w:r>
          </w:p>
        </w:tc>
        <w:tc>
          <w:tcPr>
            <w:tcW w:w="4111" w:type="dxa"/>
            <w:tcBorders>
              <w:top w:val="nil"/>
            </w:tcBorders>
            <w:vAlign w:val="center"/>
          </w:tcPr>
          <w:p w14:paraId="0920E64A" w14:textId="23C6EC56" w:rsidR="0033486B" w:rsidRPr="00D1700E" w:rsidRDefault="0033486B" w:rsidP="005D503A">
            <w:pPr>
              <w:pStyle w:val="NoSpacing"/>
              <w:spacing w:line="276" w:lineRule="auto"/>
              <w:jc w:val="center"/>
              <w:rPr>
                <w:rFonts w:ascii="Arial" w:hAnsi="Arial" w:cs="Arial"/>
                <w:sz w:val="16"/>
                <w:szCs w:val="16"/>
                <w:lang w:val="fr-FR"/>
              </w:rPr>
            </w:pPr>
            <w:r w:rsidRPr="00D1700E">
              <w:rPr>
                <w:rFonts w:ascii="Arial" w:eastAsia="Calibri" w:hAnsi="Arial" w:cs="Arial"/>
                <w:sz w:val="16"/>
                <w:szCs w:val="16"/>
                <w:lang w:val="fr-FR" w:eastAsia="fr-FR"/>
              </w:rPr>
              <w:t>GTTGGAACCTTGAATGCGCA</w:t>
            </w:r>
          </w:p>
        </w:tc>
        <w:tc>
          <w:tcPr>
            <w:tcW w:w="1560" w:type="dxa"/>
            <w:vMerge/>
            <w:tcBorders>
              <w:top w:val="nil"/>
            </w:tcBorders>
            <w:vAlign w:val="center"/>
          </w:tcPr>
          <w:p w14:paraId="1E9D295A" w14:textId="77777777" w:rsidR="0033486B" w:rsidRPr="00D1700E" w:rsidRDefault="0033486B" w:rsidP="005D503A">
            <w:pPr>
              <w:pStyle w:val="NoSpacing"/>
              <w:spacing w:line="276" w:lineRule="auto"/>
              <w:jc w:val="center"/>
              <w:rPr>
                <w:rFonts w:ascii="Arial" w:eastAsia="Calibri" w:hAnsi="Arial" w:cs="Arial"/>
                <w:sz w:val="16"/>
                <w:szCs w:val="16"/>
                <w:lang w:val="fr-FR" w:eastAsia="fr-FR"/>
              </w:rPr>
            </w:pPr>
          </w:p>
        </w:tc>
      </w:tr>
      <w:tr w:rsidR="0033486B" w:rsidRPr="00054E1F" w14:paraId="06FC3B0C" w14:textId="77777777" w:rsidTr="00054E1F">
        <w:trPr>
          <w:jc w:val="center"/>
        </w:trPr>
        <w:tc>
          <w:tcPr>
            <w:tcW w:w="1986" w:type="dxa"/>
            <w:vMerge/>
            <w:tcBorders>
              <w:bottom w:val="dashSmallGap" w:sz="4" w:space="0" w:color="auto"/>
            </w:tcBorders>
            <w:vAlign w:val="center"/>
          </w:tcPr>
          <w:p w14:paraId="020FE03E" w14:textId="77777777" w:rsidR="0033486B" w:rsidRPr="00D1700E" w:rsidRDefault="0033486B" w:rsidP="005D503A">
            <w:pPr>
              <w:pStyle w:val="NoSpacing"/>
              <w:spacing w:line="276" w:lineRule="auto"/>
              <w:jc w:val="center"/>
              <w:rPr>
                <w:rFonts w:ascii="Arial" w:hAnsi="Arial" w:cs="Arial"/>
                <w:sz w:val="16"/>
                <w:szCs w:val="16"/>
                <w:lang w:val="fr-FR"/>
              </w:rPr>
            </w:pPr>
          </w:p>
        </w:tc>
        <w:tc>
          <w:tcPr>
            <w:tcW w:w="1275" w:type="dxa"/>
            <w:tcBorders>
              <w:bottom w:val="dashSmallGap" w:sz="4" w:space="0" w:color="auto"/>
            </w:tcBorders>
            <w:vAlign w:val="center"/>
          </w:tcPr>
          <w:p w14:paraId="361A548F" w14:textId="77777777" w:rsidR="0033486B" w:rsidRPr="00D1700E" w:rsidRDefault="0033486B" w:rsidP="005D503A">
            <w:pPr>
              <w:pStyle w:val="NoSpacing"/>
              <w:spacing w:line="276" w:lineRule="auto"/>
              <w:jc w:val="center"/>
              <w:rPr>
                <w:rFonts w:ascii="Arial" w:hAnsi="Arial" w:cs="Arial"/>
                <w:sz w:val="16"/>
                <w:szCs w:val="16"/>
                <w:lang w:val="fr-FR"/>
              </w:rPr>
            </w:pPr>
            <w:r w:rsidRPr="00D1700E">
              <w:rPr>
                <w:rFonts w:ascii="Arial" w:hAnsi="Arial" w:cs="Arial"/>
                <w:i/>
                <w:sz w:val="16"/>
                <w:szCs w:val="16"/>
                <w:lang w:val="fr-FR"/>
              </w:rPr>
              <w:t>XFP</w:t>
            </w:r>
            <w:r w:rsidRPr="00D1700E">
              <w:rPr>
                <w:rFonts w:ascii="Arial" w:hAnsi="Arial" w:cs="Arial"/>
                <w:sz w:val="16"/>
                <w:szCs w:val="16"/>
                <w:lang w:val="fr-FR"/>
              </w:rPr>
              <w:t>-P</w:t>
            </w:r>
          </w:p>
        </w:tc>
        <w:tc>
          <w:tcPr>
            <w:tcW w:w="4111" w:type="dxa"/>
            <w:tcBorders>
              <w:bottom w:val="dashSmallGap" w:sz="4" w:space="0" w:color="auto"/>
            </w:tcBorders>
            <w:vAlign w:val="center"/>
          </w:tcPr>
          <w:p w14:paraId="2B2AC7F9" w14:textId="4AE06373" w:rsidR="0033486B" w:rsidRPr="00D1700E" w:rsidRDefault="0033486B" w:rsidP="005D503A">
            <w:pPr>
              <w:pStyle w:val="NoSpacing"/>
              <w:spacing w:line="276" w:lineRule="auto"/>
              <w:jc w:val="center"/>
              <w:rPr>
                <w:rFonts w:ascii="Arial" w:hAnsi="Arial" w:cs="Arial"/>
                <w:sz w:val="16"/>
                <w:szCs w:val="16"/>
                <w:lang w:val="fr-FR"/>
              </w:rPr>
            </w:pPr>
            <w:r w:rsidRPr="00D1700E">
              <w:rPr>
                <w:rFonts w:ascii="Arial" w:eastAsia="Calibri" w:hAnsi="Arial" w:cs="Arial"/>
                <w:sz w:val="16"/>
                <w:szCs w:val="16"/>
                <w:lang w:val="fr-FR" w:eastAsia="fr-FR"/>
              </w:rPr>
              <w:t>CY5- CCAAAGGGCGGCCACCTCGC-BHQ2</w:t>
            </w:r>
          </w:p>
        </w:tc>
        <w:tc>
          <w:tcPr>
            <w:tcW w:w="1560" w:type="dxa"/>
            <w:vMerge/>
            <w:tcBorders>
              <w:bottom w:val="dashSmallGap" w:sz="4" w:space="0" w:color="auto"/>
            </w:tcBorders>
            <w:vAlign w:val="center"/>
          </w:tcPr>
          <w:p w14:paraId="22F408A4" w14:textId="77777777" w:rsidR="0033486B" w:rsidRPr="00D1700E" w:rsidRDefault="0033486B" w:rsidP="005D503A">
            <w:pPr>
              <w:pStyle w:val="NoSpacing"/>
              <w:spacing w:line="276" w:lineRule="auto"/>
              <w:jc w:val="center"/>
              <w:rPr>
                <w:rFonts w:ascii="Arial" w:eastAsia="Calibri" w:hAnsi="Arial" w:cs="Arial"/>
                <w:sz w:val="16"/>
                <w:szCs w:val="16"/>
                <w:lang w:val="fr-FR" w:eastAsia="fr-FR"/>
              </w:rPr>
            </w:pPr>
          </w:p>
        </w:tc>
      </w:tr>
      <w:tr w:rsidR="0033486B" w:rsidRPr="00054E1F" w14:paraId="5C37D924" w14:textId="77777777" w:rsidTr="00054E1F">
        <w:trPr>
          <w:jc w:val="center"/>
        </w:trPr>
        <w:tc>
          <w:tcPr>
            <w:tcW w:w="1986" w:type="dxa"/>
            <w:vMerge w:val="restart"/>
            <w:tcBorders>
              <w:top w:val="dashSmallGap" w:sz="4" w:space="0" w:color="auto"/>
              <w:bottom w:val="nil"/>
            </w:tcBorders>
            <w:vAlign w:val="center"/>
          </w:tcPr>
          <w:p w14:paraId="1571E912" w14:textId="77777777" w:rsidR="0033486B" w:rsidRPr="00054E1F" w:rsidRDefault="0033486B" w:rsidP="005D503A">
            <w:pPr>
              <w:pStyle w:val="NoSpacing"/>
              <w:spacing w:line="276" w:lineRule="auto"/>
              <w:jc w:val="center"/>
              <w:rPr>
                <w:rFonts w:ascii="Arial" w:hAnsi="Arial" w:cs="Arial"/>
                <w:sz w:val="16"/>
                <w:szCs w:val="16"/>
                <w:lang w:val="fr-FR"/>
              </w:rPr>
            </w:pPr>
            <w:r w:rsidRPr="00054E1F">
              <w:rPr>
                <w:rFonts w:ascii="Arial" w:hAnsi="Arial" w:cs="Arial"/>
                <w:sz w:val="16"/>
                <w:szCs w:val="16"/>
                <w:lang w:val="fr-FR"/>
              </w:rPr>
              <w:t>18S</w:t>
            </w:r>
          </w:p>
        </w:tc>
        <w:tc>
          <w:tcPr>
            <w:tcW w:w="1275" w:type="dxa"/>
            <w:tcBorders>
              <w:top w:val="dashSmallGap" w:sz="4" w:space="0" w:color="auto"/>
              <w:bottom w:val="nil"/>
            </w:tcBorders>
            <w:vAlign w:val="center"/>
          </w:tcPr>
          <w:p w14:paraId="4E07035F" w14:textId="77777777" w:rsidR="0033486B" w:rsidRPr="00054E1F" w:rsidRDefault="0033486B" w:rsidP="005D503A">
            <w:pPr>
              <w:pStyle w:val="NoSpacing"/>
              <w:spacing w:line="276" w:lineRule="auto"/>
              <w:jc w:val="center"/>
              <w:rPr>
                <w:rFonts w:ascii="Arial" w:hAnsi="Arial" w:cs="Arial"/>
                <w:sz w:val="16"/>
                <w:szCs w:val="16"/>
                <w:lang w:val="fr-FR"/>
              </w:rPr>
            </w:pPr>
            <w:r w:rsidRPr="00054E1F">
              <w:rPr>
                <w:rFonts w:ascii="Arial" w:hAnsi="Arial" w:cs="Arial"/>
                <w:sz w:val="16"/>
                <w:szCs w:val="16"/>
                <w:lang w:val="fr-FR"/>
              </w:rPr>
              <w:t>Ioos_18S_F</w:t>
            </w:r>
          </w:p>
        </w:tc>
        <w:tc>
          <w:tcPr>
            <w:tcW w:w="4111" w:type="dxa"/>
            <w:tcBorders>
              <w:top w:val="dashSmallGap" w:sz="4" w:space="0" w:color="auto"/>
              <w:bottom w:val="nil"/>
            </w:tcBorders>
          </w:tcPr>
          <w:p w14:paraId="7E193750" w14:textId="75838FA5" w:rsidR="0033486B" w:rsidRPr="00054E1F" w:rsidRDefault="0033486B" w:rsidP="005D503A">
            <w:pPr>
              <w:pStyle w:val="NoSpacing"/>
              <w:spacing w:line="276" w:lineRule="auto"/>
              <w:jc w:val="center"/>
              <w:rPr>
                <w:rFonts w:ascii="Arial" w:eastAsia="Calibri" w:hAnsi="Arial" w:cs="Arial"/>
                <w:sz w:val="16"/>
                <w:szCs w:val="16"/>
                <w:lang w:val="fr-FR" w:eastAsia="fr-FR"/>
              </w:rPr>
            </w:pPr>
            <w:r w:rsidRPr="00054E1F">
              <w:rPr>
                <w:rFonts w:ascii="Arial" w:eastAsia="Calibri" w:hAnsi="Arial" w:cs="Arial"/>
                <w:sz w:val="16"/>
                <w:szCs w:val="16"/>
                <w:lang w:val="fr-FR" w:eastAsia="fr-FR"/>
              </w:rPr>
              <w:t xml:space="preserve">GCAAGGCTGAAACTTAAAGGAA </w:t>
            </w:r>
          </w:p>
        </w:tc>
        <w:tc>
          <w:tcPr>
            <w:tcW w:w="1560" w:type="dxa"/>
            <w:vMerge w:val="restart"/>
            <w:tcBorders>
              <w:top w:val="dashSmallGap" w:sz="4" w:space="0" w:color="auto"/>
              <w:bottom w:val="nil"/>
            </w:tcBorders>
            <w:vAlign w:val="center"/>
          </w:tcPr>
          <w:p w14:paraId="47EFF932" w14:textId="5BAC766D" w:rsidR="0033486B" w:rsidRPr="00054E1F" w:rsidRDefault="0033486B" w:rsidP="005D503A">
            <w:pPr>
              <w:pStyle w:val="NoSpacing"/>
              <w:spacing w:line="276" w:lineRule="auto"/>
              <w:jc w:val="center"/>
              <w:rPr>
                <w:rFonts w:ascii="Arial" w:hAnsi="Arial" w:cs="Arial"/>
                <w:sz w:val="16"/>
                <w:szCs w:val="16"/>
                <w:lang w:val="fr-FR"/>
              </w:rPr>
            </w:pPr>
            <w:r w:rsidRPr="00054E1F">
              <w:rPr>
                <w:rFonts w:ascii="Arial" w:hAnsi="Arial" w:cs="Arial"/>
                <w:sz w:val="16"/>
                <w:szCs w:val="16"/>
                <w:lang w:val="fr-FR"/>
              </w:rPr>
              <w:t xml:space="preserve">Ioos </w:t>
            </w:r>
            <w:r w:rsidRPr="00054E1F">
              <w:rPr>
                <w:rFonts w:ascii="Arial" w:hAnsi="Arial" w:cs="Arial"/>
                <w:i/>
                <w:sz w:val="16"/>
                <w:szCs w:val="16"/>
                <w:lang w:val="fr-FR"/>
              </w:rPr>
              <w:t>et al</w:t>
            </w:r>
            <w:r w:rsidRPr="00054E1F">
              <w:rPr>
                <w:rFonts w:ascii="Arial" w:hAnsi="Arial" w:cs="Arial"/>
                <w:sz w:val="16"/>
                <w:szCs w:val="16"/>
                <w:lang w:val="fr-FR"/>
              </w:rPr>
              <w:t>., 20</w:t>
            </w:r>
            <w:r w:rsidR="005246C1">
              <w:rPr>
                <w:rFonts w:ascii="Arial" w:hAnsi="Arial" w:cs="Arial"/>
                <w:sz w:val="16"/>
                <w:szCs w:val="16"/>
                <w:lang w:val="fr-FR"/>
              </w:rPr>
              <w:t>09</w:t>
            </w:r>
          </w:p>
        </w:tc>
      </w:tr>
      <w:tr w:rsidR="0033486B" w:rsidRPr="00054E1F" w14:paraId="4C32BB08" w14:textId="77777777" w:rsidTr="00054E1F">
        <w:trPr>
          <w:jc w:val="center"/>
        </w:trPr>
        <w:tc>
          <w:tcPr>
            <w:tcW w:w="1986" w:type="dxa"/>
            <w:vMerge/>
            <w:tcBorders>
              <w:top w:val="nil"/>
            </w:tcBorders>
            <w:vAlign w:val="center"/>
          </w:tcPr>
          <w:p w14:paraId="65921C15" w14:textId="77777777" w:rsidR="0033486B" w:rsidRPr="00D1700E" w:rsidRDefault="0033486B" w:rsidP="005D503A">
            <w:pPr>
              <w:pStyle w:val="NoSpacing"/>
              <w:spacing w:line="276" w:lineRule="auto"/>
              <w:jc w:val="center"/>
              <w:rPr>
                <w:rFonts w:ascii="Arial" w:hAnsi="Arial" w:cs="Arial"/>
                <w:sz w:val="16"/>
                <w:szCs w:val="16"/>
                <w:lang w:val="fr-FR"/>
              </w:rPr>
            </w:pPr>
          </w:p>
        </w:tc>
        <w:tc>
          <w:tcPr>
            <w:tcW w:w="1275" w:type="dxa"/>
            <w:tcBorders>
              <w:top w:val="nil"/>
            </w:tcBorders>
            <w:vAlign w:val="center"/>
          </w:tcPr>
          <w:p w14:paraId="314C41F3" w14:textId="77777777" w:rsidR="0033486B" w:rsidRPr="00D1700E" w:rsidRDefault="0033486B" w:rsidP="005D503A">
            <w:pPr>
              <w:pStyle w:val="NoSpacing"/>
              <w:spacing w:line="276" w:lineRule="auto"/>
              <w:jc w:val="center"/>
              <w:rPr>
                <w:rFonts w:ascii="Arial" w:hAnsi="Arial" w:cs="Arial"/>
                <w:sz w:val="16"/>
                <w:szCs w:val="16"/>
                <w:lang w:val="fr-FR"/>
              </w:rPr>
            </w:pPr>
            <w:r w:rsidRPr="00D1700E">
              <w:rPr>
                <w:rFonts w:ascii="Arial" w:hAnsi="Arial" w:cs="Arial"/>
                <w:sz w:val="16"/>
                <w:szCs w:val="16"/>
                <w:lang w:val="fr-FR"/>
              </w:rPr>
              <w:t>Ioos_18S_R</w:t>
            </w:r>
          </w:p>
        </w:tc>
        <w:tc>
          <w:tcPr>
            <w:tcW w:w="4111" w:type="dxa"/>
            <w:tcBorders>
              <w:top w:val="nil"/>
            </w:tcBorders>
          </w:tcPr>
          <w:p w14:paraId="558AC578" w14:textId="77777777" w:rsidR="0033486B" w:rsidRPr="00D1700E" w:rsidRDefault="0033486B" w:rsidP="005D503A">
            <w:pPr>
              <w:pStyle w:val="NoSpacing"/>
              <w:spacing w:line="276" w:lineRule="auto"/>
              <w:jc w:val="center"/>
              <w:rPr>
                <w:rFonts w:ascii="Arial" w:eastAsia="Calibri" w:hAnsi="Arial" w:cs="Arial"/>
                <w:sz w:val="16"/>
                <w:szCs w:val="16"/>
                <w:lang w:val="fr-FR" w:eastAsia="fr-FR"/>
              </w:rPr>
            </w:pPr>
            <w:r w:rsidRPr="00D1700E">
              <w:rPr>
                <w:rFonts w:ascii="Arial" w:eastAsia="Calibri" w:hAnsi="Arial" w:cs="Arial"/>
                <w:sz w:val="16"/>
                <w:szCs w:val="16"/>
                <w:lang w:val="fr-FR" w:eastAsia="fr-FR"/>
              </w:rPr>
              <w:t xml:space="preserve">CCACCACCCATAGAATCAAGA </w:t>
            </w:r>
          </w:p>
        </w:tc>
        <w:tc>
          <w:tcPr>
            <w:tcW w:w="1560" w:type="dxa"/>
            <w:vMerge/>
            <w:tcBorders>
              <w:top w:val="nil"/>
            </w:tcBorders>
          </w:tcPr>
          <w:p w14:paraId="347D765E" w14:textId="77777777" w:rsidR="0033486B" w:rsidRPr="00D1700E" w:rsidRDefault="0033486B" w:rsidP="005D503A">
            <w:pPr>
              <w:pStyle w:val="NoSpacing"/>
              <w:spacing w:line="276" w:lineRule="auto"/>
              <w:jc w:val="center"/>
              <w:rPr>
                <w:rFonts w:ascii="Arial" w:hAnsi="Arial" w:cs="Arial"/>
                <w:sz w:val="16"/>
                <w:szCs w:val="16"/>
                <w:lang w:val="fr-FR"/>
              </w:rPr>
            </w:pPr>
          </w:p>
        </w:tc>
      </w:tr>
      <w:tr w:rsidR="0033486B" w:rsidRPr="00054E1F" w14:paraId="1CAE409E" w14:textId="77777777" w:rsidTr="00054E1F">
        <w:trPr>
          <w:jc w:val="center"/>
        </w:trPr>
        <w:tc>
          <w:tcPr>
            <w:tcW w:w="1986" w:type="dxa"/>
            <w:vMerge/>
            <w:vAlign w:val="center"/>
          </w:tcPr>
          <w:p w14:paraId="513DF54D" w14:textId="77777777" w:rsidR="0033486B" w:rsidRPr="00D1700E" w:rsidRDefault="0033486B" w:rsidP="005D503A">
            <w:pPr>
              <w:pStyle w:val="NoSpacing"/>
              <w:spacing w:line="276" w:lineRule="auto"/>
              <w:jc w:val="center"/>
              <w:rPr>
                <w:rFonts w:ascii="Arial" w:hAnsi="Arial" w:cs="Arial"/>
                <w:sz w:val="16"/>
                <w:szCs w:val="16"/>
                <w:lang w:val="fr-FR"/>
              </w:rPr>
            </w:pPr>
          </w:p>
        </w:tc>
        <w:tc>
          <w:tcPr>
            <w:tcW w:w="1275" w:type="dxa"/>
            <w:vAlign w:val="center"/>
          </w:tcPr>
          <w:p w14:paraId="50F86B2E" w14:textId="77777777" w:rsidR="0033486B" w:rsidRPr="00D1700E" w:rsidRDefault="0033486B" w:rsidP="005D503A">
            <w:pPr>
              <w:pStyle w:val="NoSpacing"/>
              <w:spacing w:line="276" w:lineRule="auto"/>
              <w:jc w:val="center"/>
              <w:rPr>
                <w:rFonts w:ascii="Arial" w:hAnsi="Arial" w:cs="Arial"/>
                <w:sz w:val="16"/>
                <w:szCs w:val="16"/>
                <w:lang w:val="fr-FR"/>
              </w:rPr>
            </w:pPr>
            <w:r w:rsidRPr="00D1700E">
              <w:rPr>
                <w:rFonts w:ascii="Arial" w:hAnsi="Arial" w:cs="Arial"/>
                <w:sz w:val="16"/>
                <w:szCs w:val="16"/>
                <w:lang w:val="fr-FR"/>
              </w:rPr>
              <w:t>Ioos_18S_P</w:t>
            </w:r>
          </w:p>
        </w:tc>
        <w:tc>
          <w:tcPr>
            <w:tcW w:w="4111" w:type="dxa"/>
          </w:tcPr>
          <w:p w14:paraId="6534A63D" w14:textId="77777777" w:rsidR="0033486B" w:rsidRPr="00D1700E" w:rsidRDefault="0033486B" w:rsidP="005D503A">
            <w:pPr>
              <w:pStyle w:val="NoSpacing"/>
              <w:spacing w:line="276" w:lineRule="auto"/>
              <w:jc w:val="center"/>
              <w:rPr>
                <w:rFonts w:ascii="Arial" w:eastAsia="Calibri" w:hAnsi="Arial" w:cs="Arial"/>
                <w:sz w:val="16"/>
                <w:szCs w:val="16"/>
                <w:lang w:val="fr-FR" w:eastAsia="fr-FR"/>
              </w:rPr>
            </w:pPr>
            <w:r w:rsidRPr="00D1700E">
              <w:rPr>
                <w:rFonts w:ascii="Arial" w:eastAsia="Calibri" w:hAnsi="Arial" w:cs="Arial"/>
                <w:sz w:val="16"/>
                <w:szCs w:val="16"/>
                <w:lang w:val="fr-FR" w:eastAsia="fr-FR"/>
              </w:rPr>
              <w:t>FAM-ACGGAAGGGCACCACCAGGAGT-BHQ1</w:t>
            </w:r>
          </w:p>
        </w:tc>
        <w:tc>
          <w:tcPr>
            <w:tcW w:w="1560" w:type="dxa"/>
            <w:vMerge/>
          </w:tcPr>
          <w:p w14:paraId="6115CEE0" w14:textId="77777777" w:rsidR="0033486B" w:rsidRPr="00D1700E" w:rsidRDefault="0033486B" w:rsidP="005D503A">
            <w:pPr>
              <w:pStyle w:val="NoSpacing"/>
              <w:spacing w:line="276" w:lineRule="auto"/>
              <w:jc w:val="center"/>
              <w:rPr>
                <w:rFonts w:ascii="Arial" w:hAnsi="Arial" w:cs="Arial"/>
                <w:sz w:val="16"/>
                <w:szCs w:val="16"/>
                <w:lang w:val="fr-FR"/>
              </w:rPr>
            </w:pPr>
          </w:p>
        </w:tc>
      </w:tr>
      <w:bookmarkEnd w:id="46"/>
    </w:tbl>
    <w:p w14:paraId="61C8D2E0" w14:textId="77777777" w:rsidR="00C60B80" w:rsidRPr="00054E1F" w:rsidRDefault="00C60B80" w:rsidP="00054E1F">
      <w:pPr>
        <w:keepNext/>
        <w:jc w:val="left"/>
        <w:rPr>
          <w:rFonts w:ascii="Arial" w:eastAsiaTheme="minorHAnsi" w:hAnsi="Arial" w:cs="Arial"/>
          <w:szCs w:val="22"/>
        </w:rPr>
      </w:pPr>
    </w:p>
    <w:p w14:paraId="31A4E4F5" w14:textId="6790FAFE" w:rsidR="00D26F06" w:rsidRPr="00133D6E" w:rsidRDefault="00D26F06" w:rsidP="00D26F06">
      <w:pPr>
        <w:pStyle w:val="IPPArial"/>
        <w:keepNext/>
        <w:spacing w:after="120"/>
        <w:rPr>
          <w:rFonts w:cs="Arial"/>
          <w:szCs w:val="18"/>
        </w:rPr>
      </w:pPr>
      <w:r w:rsidRPr="00133D6E">
        <w:rPr>
          <w:rFonts w:cs="Arial"/>
          <w:b/>
          <w:szCs w:val="18"/>
        </w:rPr>
        <w:t>Table </w:t>
      </w:r>
      <w:r w:rsidR="00EF03FA" w:rsidRPr="00133D6E">
        <w:rPr>
          <w:rFonts w:cs="Arial"/>
          <w:b/>
          <w:szCs w:val="18"/>
        </w:rPr>
        <w:t>11</w:t>
      </w:r>
      <w:r w:rsidRPr="00133D6E">
        <w:rPr>
          <w:rFonts w:cs="Arial"/>
          <w:b/>
          <w:szCs w:val="18"/>
        </w:rPr>
        <w:t>.</w:t>
      </w:r>
      <w:r w:rsidRPr="00133D6E">
        <w:rPr>
          <w:rFonts w:cs="Arial"/>
          <w:szCs w:val="18"/>
        </w:rPr>
        <w:t xml:space="preserve"> Master mix composition and cycling parameters for tetraplex real-time PCR using the primers and probes of Dupas </w:t>
      </w:r>
      <w:r w:rsidRPr="00133D6E">
        <w:rPr>
          <w:rFonts w:cs="Arial"/>
          <w:i/>
          <w:szCs w:val="18"/>
        </w:rPr>
        <w:t xml:space="preserve">et al. </w:t>
      </w:r>
      <w:r w:rsidRPr="00133D6E">
        <w:rPr>
          <w:rFonts w:cs="Arial"/>
          <w:szCs w:val="18"/>
        </w:rPr>
        <w:t>(2019)</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9"/>
        <w:gridCol w:w="1496"/>
        <w:gridCol w:w="1496"/>
        <w:gridCol w:w="2756"/>
      </w:tblGrid>
      <w:tr w:rsidR="00690EBB" w:rsidRPr="007C368C" w14:paraId="1D0DDBEA" w14:textId="77777777" w:rsidTr="00703471">
        <w:tc>
          <w:tcPr>
            <w:tcW w:w="3319" w:type="dxa"/>
            <w:tcBorders>
              <w:top w:val="single" w:sz="4" w:space="0" w:color="auto"/>
              <w:left w:val="single" w:sz="4" w:space="0" w:color="auto"/>
              <w:bottom w:val="single" w:sz="4" w:space="0" w:color="auto"/>
            </w:tcBorders>
            <w:vAlign w:val="center"/>
          </w:tcPr>
          <w:p w14:paraId="2D281D1B" w14:textId="5D94244B" w:rsidR="00690EBB" w:rsidRPr="00054E1F" w:rsidRDefault="00690EBB" w:rsidP="005D503A">
            <w:pPr>
              <w:pStyle w:val="NoSpacing"/>
              <w:spacing w:line="276" w:lineRule="auto"/>
              <w:rPr>
                <w:rFonts w:ascii="Arial" w:hAnsi="Arial" w:cs="Arial"/>
                <w:sz w:val="18"/>
                <w:szCs w:val="18"/>
                <w:lang w:val="fr-FR"/>
              </w:rPr>
            </w:pPr>
            <w:r w:rsidRPr="00054E1F">
              <w:rPr>
                <w:rFonts w:ascii="Arial" w:hAnsi="Arial" w:cs="Arial"/>
                <w:sz w:val="18"/>
                <w:szCs w:val="18"/>
                <w:lang w:val="fr-FR"/>
              </w:rPr>
              <w:t>Reagents</w:t>
            </w:r>
          </w:p>
        </w:tc>
        <w:tc>
          <w:tcPr>
            <w:tcW w:w="1496" w:type="dxa"/>
            <w:tcBorders>
              <w:top w:val="single" w:sz="4" w:space="0" w:color="auto"/>
              <w:bottom w:val="single" w:sz="4" w:space="0" w:color="auto"/>
            </w:tcBorders>
            <w:vAlign w:val="center"/>
          </w:tcPr>
          <w:p w14:paraId="262633E0" w14:textId="7676DE24" w:rsidR="00690EBB" w:rsidRPr="00054E1F" w:rsidRDefault="00690EBB" w:rsidP="005D503A">
            <w:pPr>
              <w:pStyle w:val="NoSpacing"/>
              <w:spacing w:line="276" w:lineRule="auto"/>
              <w:jc w:val="center"/>
              <w:rPr>
                <w:rFonts w:ascii="Arial" w:hAnsi="Arial" w:cs="Arial"/>
                <w:sz w:val="18"/>
                <w:szCs w:val="18"/>
                <w:lang w:val="fr-FR"/>
              </w:rPr>
            </w:pPr>
            <w:r w:rsidRPr="00054E1F">
              <w:rPr>
                <w:rFonts w:ascii="Arial" w:hAnsi="Arial" w:cs="Arial"/>
                <w:sz w:val="18"/>
                <w:szCs w:val="18"/>
                <w:lang w:val="fr-FR"/>
              </w:rPr>
              <w:t>Final concentration</w:t>
            </w:r>
          </w:p>
        </w:tc>
        <w:tc>
          <w:tcPr>
            <w:tcW w:w="1496" w:type="dxa"/>
            <w:tcBorders>
              <w:top w:val="single" w:sz="4" w:space="0" w:color="auto"/>
              <w:bottom w:val="single" w:sz="4" w:space="0" w:color="auto"/>
            </w:tcBorders>
            <w:vAlign w:val="center"/>
          </w:tcPr>
          <w:p w14:paraId="12C101EF" w14:textId="0D4F32F6" w:rsidR="00690EBB" w:rsidRPr="00054E1F" w:rsidRDefault="00690EBB" w:rsidP="005D503A">
            <w:pPr>
              <w:pStyle w:val="NoSpacing"/>
              <w:spacing w:line="276" w:lineRule="auto"/>
              <w:jc w:val="center"/>
              <w:rPr>
                <w:rFonts w:ascii="Arial" w:hAnsi="Arial" w:cs="Arial"/>
                <w:sz w:val="18"/>
                <w:szCs w:val="18"/>
                <w:lang w:val="fr-FR"/>
              </w:rPr>
            </w:pPr>
            <w:r w:rsidRPr="00054E1F">
              <w:rPr>
                <w:rFonts w:ascii="Arial" w:hAnsi="Arial" w:cs="Arial"/>
                <w:sz w:val="18"/>
                <w:szCs w:val="18"/>
                <w:lang w:val="fr-FR"/>
              </w:rPr>
              <w:t>Initial concentration</w:t>
            </w:r>
          </w:p>
        </w:tc>
        <w:tc>
          <w:tcPr>
            <w:tcW w:w="2756" w:type="dxa"/>
            <w:tcBorders>
              <w:top w:val="single" w:sz="4" w:space="0" w:color="auto"/>
              <w:bottom w:val="single" w:sz="4" w:space="0" w:color="auto"/>
            </w:tcBorders>
            <w:vAlign w:val="center"/>
          </w:tcPr>
          <w:p w14:paraId="1173DC0F" w14:textId="77777777" w:rsidR="00690EBB" w:rsidRPr="00054E1F" w:rsidRDefault="00690EBB" w:rsidP="005D503A">
            <w:pPr>
              <w:pStyle w:val="NoSpacing"/>
              <w:spacing w:line="276" w:lineRule="auto"/>
              <w:jc w:val="center"/>
              <w:rPr>
                <w:rFonts w:ascii="Arial" w:hAnsi="Arial" w:cs="Arial"/>
                <w:sz w:val="18"/>
                <w:szCs w:val="18"/>
                <w:lang w:val="fr-FR"/>
              </w:rPr>
            </w:pPr>
            <w:r w:rsidRPr="00054E1F">
              <w:rPr>
                <w:rFonts w:ascii="Arial" w:hAnsi="Arial" w:cs="Arial"/>
                <w:sz w:val="18"/>
                <w:szCs w:val="18"/>
                <w:lang w:val="fr-FR"/>
              </w:rPr>
              <w:t>Volume/microtube</w:t>
            </w:r>
          </w:p>
          <w:p w14:paraId="24CDE1B3" w14:textId="4CD956B8" w:rsidR="00690EBB" w:rsidRPr="00054E1F" w:rsidRDefault="00690EBB" w:rsidP="005D503A">
            <w:pPr>
              <w:pStyle w:val="NoSpacing"/>
              <w:spacing w:line="276" w:lineRule="auto"/>
              <w:jc w:val="center"/>
              <w:rPr>
                <w:rFonts w:ascii="Arial" w:hAnsi="Arial" w:cs="Arial"/>
                <w:sz w:val="18"/>
                <w:szCs w:val="18"/>
                <w:lang w:val="fr-FR"/>
              </w:rPr>
            </w:pPr>
            <w:r w:rsidRPr="00054E1F">
              <w:rPr>
                <w:rFonts w:ascii="Arial" w:hAnsi="Arial" w:cs="Arial"/>
                <w:sz w:val="18"/>
                <w:szCs w:val="18"/>
                <w:lang w:val="fr-FR"/>
              </w:rPr>
              <w:t>(µL)</w:t>
            </w:r>
          </w:p>
        </w:tc>
      </w:tr>
      <w:tr w:rsidR="00690EBB" w:rsidRPr="007C368C" w14:paraId="03E09E4C" w14:textId="77777777" w:rsidTr="00703471">
        <w:tc>
          <w:tcPr>
            <w:tcW w:w="3319" w:type="dxa"/>
            <w:tcBorders>
              <w:top w:val="single" w:sz="4" w:space="0" w:color="auto"/>
              <w:left w:val="single" w:sz="4" w:space="0" w:color="auto"/>
            </w:tcBorders>
            <w:vAlign w:val="center"/>
          </w:tcPr>
          <w:p w14:paraId="37BA55BB" w14:textId="73A4B2F0" w:rsidR="00690EBB" w:rsidRPr="00054E1F" w:rsidRDefault="00690EBB" w:rsidP="005D503A">
            <w:pPr>
              <w:pStyle w:val="NoSpacing"/>
              <w:spacing w:line="276" w:lineRule="auto"/>
              <w:rPr>
                <w:rFonts w:ascii="Arial" w:hAnsi="Arial" w:cs="Arial"/>
                <w:sz w:val="18"/>
                <w:szCs w:val="18"/>
                <w:lang w:val="fr-FR"/>
              </w:rPr>
            </w:pPr>
            <w:r w:rsidRPr="00054E1F">
              <w:rPr>
                <w:rFonts w:ascii="Arial" w:hAnsi="Arial" w:cs="Arial"/>
                <w:sz w:val="18"/>
                <w:szCs w:val="18"/>
              </w:rPr>
              <w:t>PCR grade</w:t>
            </w:r>
            <w:r w:rsidRPr="00054E1F">
              <w:rPr>
                <w:rFonts w:ascii="Arial" w:hAnsi="Arial" w:cs="Arial"/>
                <w:sz w:val="18"/>
                <w:szCs w:val="18"/>
                <w:vertAlign w:val="superscript"/>
              </w:rPr>
              <w:t xml:space="preserve"> </w:t>
            </w:r>
            <w:r w:rsidRPr="00054E1F">
              <w:rPr>
                <w:rFonts w:ascii="Arial" w:hAnsi="Arial" w:cs="Arial"/>
                <w:sz w:val="18"/>
                <w:szCs w:val="18"/>
              </w:rPr>
              <w:t>water</w:t>
            </w:r>
          </w:p>
        </w:tc>
        <w:tc>
          <w:tcPr>
            <w:tcW w:w="1496" w:type="dxa"/>
            <w:tcBorders>
              <w:top w:val="single" w:sz="4" w:space="0" w:color="auto"/>
            </w:tcBorders>
            <w:vAlign w:val="center"/>
          </w:tcPr>
          <w:p w14:paraId="0277C9D8" w14:textId="77777777" w:rsidR="00690EBB" w:rsidRPr="00054E1F" w:rsidRDefault="00690EBB" w:rsidP="005D503A">
            <w:pPr>
              <w:pStyle w:val="NoSpacing"/>
              <w:spacing w:line="276" w:lineRule="auto"/>
              <w:jc w:val="center"/>
              <w:rPr>
                <w:rFonts w:ascii="Arial" w:hAnsi="Arial" w:cs="Arial"/>
                <w:sz w:val="18"/>
                <w:szCs w:val="18"/>
                <w:lang w:val="fr-FR"/>
              </w:rPr>
            </w:pPr>
          </w:p>
        </w:tc>
        <w:tc>
          <w:tcPr>
            <w:tcW w:w="1496" w:type="dxa"/>
            <w:tcBorders>
              <w:top w:val="single" w:sz="4" w:space="0" w:color="auto"/>
            </w:tcBorders>
            <w:vAlign w:val="center"/>
          </w:tcPr>
          <w:p w14:paraId="48870DF4" w14:textId="77777777" w:rsidR="00690EBB" w:rsidRPr="00054E1F" w:rsidRDefault="00690EBB" w:rsidP="005D503A">
            <w:pPr>
              <w:pStyle w:val="NoSpacing"/>
              <w:spacing w:line="276" w:lineRule="auto"/>
              <w:jc w:val="center"/>
              <w:rPr>
                <w:rFonts w:ascii="Arial" w:hAnsi="Arial" w:cs="Arial"/>
                <w:sz w:val="18"/>
                <w:szCs w:val="18"/>
                <w:lang w:val="fr-FR"/>
              </w:rPr>
            </w:pPr>
          </w:p>
        </w:tc>
        <w:tc>
          <w:tcPr>
            <w:tcW w:w="2756" w:type="dxa"/>
            <w:tcBorders>
              <w:top w:val="single" w:sz="4" w:space="0" w:color="auto"/>
            </w:tcBorders>
            <w:vAlign w:val="center"/>
          </w:tcPr>
          <w:p w14:paraId="002F231D" w14:textId="77777777" w:rsidR="00690EBB" w:rsidRPr="00054E1F" w:rsidRDefault="00690EBB" w:rsidP="005D503A">
            <w:pPr>
              <w:pStyle w:val="NoSpacing"/>
              <w:spacing w:line="276" w:lineRule="auto"/>
              <w:jc w:val="center"/>
              <w:rPr>
                <w:rFonts w:ascii="Arial" w:hAnsi="Arial" w:cs="Arial"/>
                <w:sz w:val="18"/>
                <w:szCs w:val="18"/>
                <w:lang w:val="fr-FR"/>
              </w:rPr>
            </w:pPr>
            <w:r w:rsidRPr="00054E1F">
              <w:rPr>
                <w:rFonts w:ascii="Arial" w:hAnsi="Arial" w:cs="Arial"/>
                <w:sz w:val="18"/>
                <w:szCs w:val="18"/>
                <w:lang w:val="fr-FR"/>
              </w:rPr>
              <w:t>1.8</w:t>
            </w:r>
          </w:p>
        </w:tc>
      </w:tr>
      <w:tr w:rsidR="00690EBB" w:rsidRPr="007C368C" w14:paraId="1B696306" w14:textId="77777777" w:rsidTr="00703471">
        <w:tc>
          <w:tcPr>
            <w:tcW w:w="3319" w:type="dxa"/>
            <w:tcBorders>
              <w:left w:val="single" w:sz="4" w:space="0" w:color="auto"/>
            </w:tcBorders>
            <w:vAlign w:val="center"/>
          </w:tcPr>
          <w:p w14:paraId="5B257ECF" w14:textId="77777777" w:rsidR="00690EBB" w:rsidRPr="00946D25" w:rsidRDefault="00690EBB" w:rsidP="005D503A">
            <w:pPr>
              <w:pStyle w:val="NoSpacing"/>
              <w:spacing w:line="276" w:lineRule="auto"/>
              <w:rPr>
                <w:rFonts w:ascii="Arial" w:hAnsi="Arial" w:cs="Arial"/>
                <w:sz w:val="18"/>
                <w:szCs w:val="18"/>
                <w:lang w:val="en-US"/>
              </w:rPr>
            </w:pPr>
            <w:r w:rsidRPr="00946D25">
              <w:rPr>
                <w:rFonts w:ascii="Arial" w:hAnsi="Arial" w:cs="Arial"/>
                <w:sz w:val="18"/>
                <w:szCs w:val="18"/>
                <w:lang w:val="en-US"/>
              </w:rPr>
              <w:t>Master mix SsoAdvanced™ Universal</w:t>
            </w:r>
          </w:p>
          <w:p w14:paraId="487EA3B0" w14:textId="77777777" w:rsidR="00690EBB" w:rsidRPr="00946D25" w:rsidRDefault="00690EBB" w:rsidP="005D503A">
            <w:pPr>
              <w:pStyle w:val="NoSpacing"/>
              <w:spacing w:line="276" w:lineRule="auto"/>
              <w:rPr>
                <w:rFonts w:ascii="Arial" w:hAnsi="Arial" w:cs="Arial"/>
                <w:sz w:val="18"/>
                <w:szCs w:val="18"/>
                <w:lang w:val="en-US"/>
              </w:rPr>
            </w:pPr>
            <w:r w:rsidRPr="00946D25">
              <w:rPr>
                <w:rFonts w:ascii="Arial" w:hAnsi="Arial" w:cs="Arial"/>
                <w:sz w:val="18"/>
                <w:szCs w:val="18"/>
                <w:lang w:val="en-US"/>
              </w:rPr>
              <w:t>Probes Supermix (Bio-Rad)</w:t>
            </w:r>
          </w:p>
        </w:tc>
        <w:tc>
          <w:tcPr>
            <w:tcW w:w="1496" w:type="dxa"/>
            <w:vAlign w:val="center"/>
          </w:tcPr>
          <w:p w14:paraId="3D5A84A2" w14:textId="77777777" w:rsidR="00690EBB" w:rsidRPr="00054E1F" w:rsidRDefault="00690EBB" w:rsidP="005D503A">
            <w:pPr>
              <w:pStyle w:val="NoSpacing"/>
              <w:spacing w:line="276" w:lineRule="auto"/>
              <w:jc w:val="center"/>
              <w:rPr>
                <w:rFonts w:ascii="Arial" w:hAnsi="Arial" w:cs="Arial"/>
                <w:sz w:val="18"/>
                <w:szCs w:val="18"/>
                <w:lang w:val="fr-FR"/>
              </w:rPr>
            </w:pPr>
            <w:r w:rsidRPr="00054E1F">
              <w:rPr>
                <w:rFonts w:ascii="Arial" w:hAnsi="Arial" w:cs="Arial"/>
                <w:sz w:val="18"/>
                <w:szCs w:val="18"/>
                <w:lang w:val="fr-FR"/>
              </w:rPr>
              <w:t>1 X</w:t>
            </w:r>
          </w:p>
        </w:tc>
        <w:tc>
          <w:tcPr>
            <w:tcW w:w="1496" w:type="dxa"/>
            <w:vAlign w:val="center"/>
          </w:tcPr>
          <w:p w14:paraId="549F11B1" w14:textId="77777777" w:rsidR="00690EBB" w:rsidRPr="00054E1F" w:rsidRDefault="00690EBB" w:rsidP="005D503A">
            <w:pPr>
              <w:pStyle w:val="NoSpacing"/>
              <w:spacing w:line="276" w:lineRule="auto"/>
              <w:jc w:val="center"/>
              <w:rPr>
                <w:rFonts w:ascii="Arial" w:hAnsi="Arial" w:cs="Arial"/>
                <w:sz w:val="18"/>
                <w:szCs w:val="18"/>
                <w:lang w:val="fr-FR"/>
              </w:rPr>
            </w:pPr>
            <w:r w:rsidRPr="00054E1F">
              <w:rPr>
                <w:rFonts w:ascii="Arial" w:hAnsi="Arial" w:cs="Arial"/>
                <w:sz w:val="18"/>
                <w:szCs w:val="18"/>
                <w:lang w:val="fr-FR"/>
              </w:rPr>
              <w:t>2 X</w:t>
            </w:r>
          </w:p>
        </w:tc>
        <w:tc>
          <w:tcPr>
            <w:tcW w:w="2756" w:type="dxa"/>
            <w:vAlign w:val="center"/>
          </w:tcPr>
          <w:p w14:paraId="7576A125" w14:textId="77777777" w:rsidR="00690EBB" w:rsidRPr="00054E1F" w:rsidRDefault="00690EBB" w:rsidP="005D503A">
            <w:pPr>
              <w:pStyle w:val="NoSpacing"/>
              <w:spacing w:line="276" w:lineRule="auto"/>
              <w:jc w:val="center"/>
              <w:rPr>
                <w:rFonts w:ascii="Arial" w:hAnsi="Arial" w:cs="Arial"/>
                <w:sz w:val="18"/>
                <w:szCs w:val="18"/>
                <w:lang w:val="fr-FR"/>
              </w:rPr>
            </w:pPr>
            <w:r w:rsidRPr="00054E1F">
              <w:rPr>
                <w:rFonts w:ascii="Arial" w:hAnsi="Arial" w:cs="Arial"/>
                <w:sz w:val="18"/>
                <w:szCs w:val="18"/>
                <w:lang w:val="fr-FR"/>
              </w:rPr>
              <w:t>5</w:t>
            </w:r>
          </w:p>
        </w:tc>
      </w:tr>
      <w:tr w:rsidR="00690EBB" w:rsidRPr="007C368C" w14:paraId="262C543E" w14:textId="77777777" w:rsidTr="00703471">
        <w:tc>
          <w:tcPr>
            <w:tcW w:w="3319" w:type="dxa"/>
            <w:tcBorders>
              <w:left w:val="single" w:sz="4" w:space="0" w:color="auto"/>
            </w:tcBorders>
            <w:vAlign w:val="center"/>
          </w:tcPr>
          <w:p w14:paraId="3508A350" w14:textId="0228E440" w:rsidR="00690EBB" w:rsidRPr="00054E1F" w:rsidRDefault="0071615A" w:rsidP="005D503A">
            <w:pPr>
              <w:pStyle w:val="NoSpacing"/>
              <w:spacing w:line="276" w:lineRule="auto"/>
              <w:rPr>
                <w:rFonts w:ascii="Arial" w:hAnsi="Arial" w:cs="Arial"/>
                <w:sz w:val="18"/>
                <w:szCs w:val="18"/>
                <w:lang w:val="fr-FR"/>
              </w:rPr>
            </w:pPr>
            <w:r>
              <w:rPr>
                <w:rFonts w:ascii="Arial" w:hAnsi="Arial" w:cs="Arial"/>
                <w:sz w:val="18"/>
                <w:szCs w:val="18"/>
                <w:lang w:val="fr-FR"/>
              </w:rPr>
              <w:t>Each primer</w:t>
            </w:r>
            <w:r w:rsidR="00690EBB" w:rsidRPr="00054E1F">
              <w:rPr>
                <w:rFonts w:ascii="Arial" w:hAnsi="Arial" w:cs="Arial"/>
                <w:sz w:val="18"/>
                <w:szCs w:val="18"/>
                <w:lang w:val="fr-FR"/>
              </w:rPr>
              <w:t xml:space="preserve"> F</w:t>
            </w:r>
          </w:p>
        </w:tc>
        <w:tc>
          <w:tcPr>
            <w:tcW w:w="1496" w:type="dxa"/>
            <w:vAlign w:val="center"/>
          </w:tcPr>
          <w:p w14:paraId="276E0E81" w14:textId="77777777" w:rsidR="00690EBB" w:rsidRPr="00054E1F" w:rsidRDefault="00690EBB" w:rsidP="005D503A">
            <w:pPr>
              <w:pStyle w:val="NoSpacing"/>
              <w:spacing w:line="276" w:lineRule="auto"/>
              <w:jc w:val="center"/>
              <w:rPr>
                <w:rFonts w:ascii="Arial" w:hAnsi="Arial" w:cs="Arial"/>
                <w:sz w:val="18"/>
                <w:szCs w:val="18"/>
                <w:lang w:val="fr-FR"/>
              </w:rPr>
            </w:pPr>
            <w:r w:rsidRPr="00054E1F">
              <w:rPr>
                <w:rFonts w:ascii="Arial" w:eastAsia="Calibri" w:hAnsi="Arial" w:cs="Arial"/>
                <w:sz w:val="18"/>
                <w:szCs w:val="18"/>
                <w:lang w:val="fr-FR" w:eastAsia="fr-FR"/>
              </w:rPr>
              <w:t>575 nM</w:t>
            </w:r>
          </w:p>
        </w:tc>
        <w:tc>
          <w:tcPr>
            <w:tcW w:w="1496" w:type="dxa"/>
            <w:vAlign w:val="center"/>
          </w:tcPr>
          <w:p w14:paraId="442F278E" w14:textId="77777777" w:rsidR="00690EBB" w:rsidRPr="00054E1F" w:rsidRDefault="00690EBB" w:rsidP="005D503A">
            <w:pPr>
              <w:pStyle w:val="NoSpacing"/>
              <w:spacing w:line="276" w:lineRule="auto"/>
              <w:jc w:val="center"/>
              <w:rPr>
                <w:rFonts w:ascii="Arial" w:hAnsi="Arial" w:cs="Arial"/>
                <w:sz w:val="18"/>
                <w:szCs w:val="18"/>
                <w:lang w:val="fr-FR"/>
              </w:rPr>
            </w:pPr>
            <w:r w:rsidRPr="00054E1F">
              <w:rPr>
                <w:rFonts w:ascii="Arial" w:hAnsi="Arial" w:cs="Arial"/>
                <w:sz w:val="18"/>
                <w:szCs w:val="18"/>
                <w:lang w:val="fr-FR"/>
              </w:rPr>
              <w:t>50 µM</w:t>
            </w:r>
          </w:p>
        </w:tc>
        <w:tc>
          <w:tcPr>
            <w:tcW w:w="2756" w:type="dxa"/>
            <w:vAlign w:val="center"/>
          </w:tcPr>
          <w:p w14:paraId="600D515E" w14:textId="77777777" w:rsidR="00690EBB" w:rsidRPr="00054E1F" w:rsidRDefault="00690EBB" w:rsidP="005D503A">
            <w:pPr>
              <w:pStyle w:val="NoSpacing"/>
              <w:spacing w:line="276" w:lineRule="auto"/>
              <w:jc w:val="center"/>
              <w:rPr>
                <w:rFonts w:ascii="Arial" w:hAnsi="Arial" w:cs="Arial"/>
                <w:sz w:val="18"/>
                <w:szCs w:val="18"/>
                <w:lang w:val="fr-FR"/>
              </w:rPr>
            </w:pPr>
            <w:r w:rsidRPr="00054E1F">
              <w:rPr>
                <w:rFonts w:ascii="Arial" w:hAnsi="Arial" w:cs="Arial"/>
                <w:sz w:val="18"/>
                <w:szCs w:val="18"/>
                <w:lang w:val="fr-FR"/>
              </w:rPr>
              <w:t>0.115</w:t>
            </w:r>
          </w:p>
        </w:tc>
      </w:tr>
      <w:tr w:rsidR="00690EBB" w:rsidRPr="007C368C" w14:paraId="64224E89" w14:textId="77777777" w:rsidTr="00703471">
        <w:tc>
          <w:tcPr>
            <w:tcW w:w="3319" w:type="dxa"/>
            <w:tcBorders>
              <w:left w:val="single" w:sz="4" w:space="0" w:color="auto"/>
            </w:tcBorders>
            <w:vAlign w:val="center"/>
          </w:tcPr>
          <w:p w14:paraId="0DA88F31" w14:textId="30FA98BA" w:rsidR="00690EBB" w:rsidRPr="00054E1F" w:rsidRDefault="0071615A" w:rsidP="005D503A">
            <w:pPr>
              <w:pStyle w:val="NoSpacing"/>
              <w:spacing w:line="276" w:lineRule="auto"/>
              <w:rPr>
                <w:rFonts w:ascii="Arial" w:hAnsi="Arial" w:cs="Arial"/>
                <w:sz w:val="18"/>
                <w:szCs w:val="18"/>
                <w:lang w:val="fr-FR"/>
              </w:rPr>
            </w:pPr>
            <w:r>
              <w:rPr>
                <w:rFonts w:ascii="Arial" w:hAnsi="Arial" w:cs="Arial"/>
                <w:sz w:val="18"/>
                <w:szCs w:val="18"/>
                <w:lang w:val="fr-FR"/>
              </w:rPr>
              <w:t>Each primer</w:t>
            </w:r>
            <w:r w:rsidR="00690EBB" w:rsidRPr="00054E1F">
              <w:rPr>
                <w:rFonts w:ascii="Arial" w:hAnsi="Arial" w:cs="Arial"/>
                <w:sz w:val="18"/>
                <w:szCs w:val="18"/>
                <w:lang w:val="fr-FR"/>
              </w:rPr>
              <w:t xml:space="preserve"> R</w:t>
            </w:r>
          </w:p>
        </w:tc>
        <w:tc>
          <w:tcPr>
            <w:tcW w:w="1496" w:type="dxa"/>
            <w:vAlign w:val="center"/>
          </w:tcPr>
          <w:p w14:paraId="1689F4EA" w14:textId="77777777" w:rsidR="00690EBB" w:rsidRPr="00054E1F" w:rsidRDefault="00690EBB" w:rsidP="005D503A">
            <w:pPr>
              <w:pStyle w:val="NoSpacing"/>
              <w:spacing w:line="276" w:lineRule="auto"/>
              <w:jc w:val="center"/>
              <w:rPr>
                <w:rFonts w:ascii="Arial" w:hAnsi="Arial" w:cs="Arial"/>
                <w:sz w:val="18"/>
                <w:szCs w:val="18"/>
                <w:lang w:val="fr-FR"/>
              </w:rPr>
            </w:pPr>
            <w:r w:rsidRPr="00054E1F">
              <w:rPr>
                <w:rFonts w:ascii="Arial" w:eastAsia="Calibri" w:hAnsi="Arial" w:cs="Arial"/>
                <w:sz w:val="18"/>
                <w:szCs w:val="18"/>
                <w:lang w:val="fr-FR" w:eastAsia="fr-FR"/>
              </w:rPr>
              <w:t>575 nM</w:t>
            </w:r>
          </w:p>
        </w:tc>
        <w:tc>
          <w:tcPr>
            <w:tcW w:w="1496" w:type="dxa"/>
            <w:vAlign w:val="center"/>
          </w:tcPr>
          <w:p w14:paraId="45856BA1" w14:textId="77777777" w:rsidR="00690EBB" w:rsidRPr="00054E1F" w:rsidRDefault="00690EBB" w:rsidP="005D503A">
            <w:pPr>
              <w:pStyle w:val="NoSpacing"/>
              <w:spacing w:line="276" w:lineRule="auto"/>
              <w:jc w:val="center"/>
              <w:rPr>
                <w:rFonts w:ascii="Arial" w:hAnsi="Arial" w:cs="Arial"/>
                <w:sz w:val="18"/>
                <w:szCs w:val="18"/>
                <w:lang w:val="fr-FR"/>
              </w:rPr>
            </w:pPr>
            <w:r w:rsidRPr="00054E1F">
              <w:rPr>
                <w:rFonts w:ascii="Arial" w:hAnsi="Arial" w:cs="Arial"/>
                <w:sz w:val="18"/>
                <w:szCs w:val="18"/>
                <w:lang w:val="fr-FR"/>
              </w:rPr>
              <w:t>50 µM</w:t>
            </w:r>
          </w:p>
        </w:tc>
        <w:tc>
          <w:tcPr>
            <w:tcW w:w="2756" w:type="dxa"/>
            <w:vAlign w:val="center"/>
          </w:tcPr>
          <w:p w14:paraId="2A7EE94A" w14:textId="77777777" w:rsidR="00690EBB" w:rsidRPr="00054E1F" w:rsidRDefault="00690EBB" w:rsidP="005D503A">
            <w:pPr>
              <w:pStyle w:val="NoSpacing"/>
              <w:spacing w:line="276" w:lineRule="auto"/>
              <w:jc w:val="center"/>
              <w:rPr>
                <w:rFonts w:ascii="Arial" w:hAnsi="Arial" w:cs="Arial"/>
                <w:sz w:val="18"/>
                <w:szCs w:val="18"/>
                <w:lang w:val="fr-FR"/>
              </w:rPr>
            </w:pPr>
            <w:r w:rsidRPr="00054E1F">
              <w:rPr>
                <w:rFonts w:ascii="Arial" w:hAnsi="Arial" w:cs="Arial"/>
                <w:sz w:val="18"/>
                <w:szCs w:val="18"/>
                <w:lang w:val="fr-FR"/>
              </w:rPr>
              <w:t>0.115</w:t>
            </w:r>
          </w:p>
        </w:tc>
      </w:tr>
      <w:tr w:rsidR="00690EBB" w:rsidRPr="007C368C" w14:paraId="2EAF8531" w14:textId="77777777" w:rsidTr="00703471">
        <w:tc>
          <w:tcPr>
            <w:tcW w:w="3319" w:type="dxa"/>
            <w:tcBorders>
              <w:left w:val="single" w:sz="4" w:space="0" w:color="auto"/>
            </w:tcBorders>
            <w:vAlign w:val="center"/>
          </w:tcPr>
          <w:p w14:paraId="132BD56F" w14:textId="0C5F677F" w:rsidR="00690EBB" w:rsidRPr="00054E1F" w:rsidRDefault="0071615A" w:rsidP="005D503A">
            <w:pPr>
              <w:pStyle w:val="NoSpacing"/>
              <w:spacing w:line="276" w:lineRule="auto"/>
              <w:rPr>
                <w:rFonts w:ascii="Arial" w:hAnsi="Arial" w:cs="Arial"/>
                <w:sz w:val="18"/>
                <w:szCs w:val="18"/>
                <w:lang w:val="fr-FR"/>
              </w:rPr>
            </w:pPr>
            <w:r>
              <w:rPr>
                <w:rFonts w:ascii="Arial" w:hAnsi="Arial" w:cs="Arial"/>
                <w:sz w:val="18"/>
                <w:szCs w:val="18"/>
                <w:lang w:val="fr-FR"/>
              </w:rPr>
              <w:t>Each probe</w:t>
            </w:r>
            <w:r w:rsidR="00690EBB" w:rsidRPr="00054E1F">
              <w:rPr>
                <w:rFonts w:ascii="Arial" w:hAnsi="Arial" w:cs="Arial"/>
                <w:sz w:val="18"/>
                <w:szCs w:val="18"/>
                <w:lang w:val="fr-FR"/>
              </w:rPr>
              <w:t xml:space="preserve"> P</w:t>
            </w:r>
          </w:p>
        </w:tc>
        <w:tc>
          <w:tcPr>
            <w:tcW w:w="1496" w:type="dxa"/>
            <w:vAlign w:val="center"/>
          </w:tcPr>
          <w:p w14:paraId="13A7B9E0" w14:textId="77777777" w:rsidR="00690EBB" w:rsidRPr="00054E1F" w:rsidRDefault="00690EBB" w:rsidP="005D503A">
            <w:pPr>
              <w:pStyle w:val="NoSpacing"/>
              <w:spacing w:line="276" w:lineRule="auto"/>
              <w:jc w:val="center"/>
              <w:rPr>
                <w:rFonts w:ascii="Arial" w:hAnsi="Arial" w:cs="Arial"/>
                <w:sz w:val="18"/>
                <w:szCs w:val="18"/>
                <w:lang w:val="fr-FR"/>
              </w:rPr>
            </w:pPr>
            <w:r w:rsidRPr="00054E1F">
              <w:rPr>
                <w:rFonts w:ascii="Arial" w:eastAsia="Calibri" w:hAnsi="Arial" w:cs="Arial"/>
                <w:sz w:val="18"/>
                <w:szCs w:val="18"/>
                <w:lang w:val="fr-FR" w:eastAsia="fr-FR"/>
              </w:rPr>
              <w:t>200 nM</w:t>
            </w:r>
          </w:p>
        </w:tc>
        <w:tc>
          <w:tcPr>
            <w:tcW w:w="1496" w:type="dxa"/>
            <w:vAlign w:val="center"/>
          </w:tcPr>
          <w:p w14:paraId="249282D8" w14:textId="77777777" w:rsidR="00690EBB" w:rsidRPr="00054E1F" w:rsidRDefault="00690EBB" w:rsidP="005D503A">
            <w:pPr>
              <w:pStyle w:val="NoSpacing"/>
              <w:spacing w:line="276" w:lineRule="auto"/>
              <w:jc w:val="center"/>
              <w:rPr>
                <w:rFonts w:ascii="Arial" w:hAnsi="Arial" w:cs="Arial"/>
                <w:sz w:val="18"/>
                <w:szCs w:val="18"/>
                <w:lang w:val="fr-FR"/>
              </w:rPr>
            </w:pPr>
            <w:r w:rsidRPr="00054E1F">
              <w:rPr>
                <w:rFonts w:ascii="Arial" w:hAnsi="Arial" w:cs="Arial"/>
                <w:sz w:val="18"/>
                <w:szCs w:val="18"/>
                <w:lang w:val="fr-FR"/>
              </w:rPr>
              <w:t>50 µM</w:t>
            </w:r>
          </w:p>
        </w:tc>
        <w:tc>
          <w:tcPr>
            <w:tcW w:w="2756" w:type="dxa"/>
            <w:vAlign w:val="center"/>
          </w:tcPr>
          <w:p w14:paraId="23B2625A" w14:textId="77777777" w:rsidR="00690EBB" w:rsidRPr="00054E1F" w:rsidRDefault="00690EBB" w:rsidP="005D503A">
            <w:pPr>
              <w:pStyle w:val="NoSpacing"/>
              <w:spacing w:line="276" w:lineRule="auto"/>
              <w:jc w:val="center"/>
              <w:rPr>
                <w:rFonts w:ascii="Arial" w:hAnsi="Arial" w:cs="Arial"/>
                <w:sz w:val="18"/>
                <w:szCs w:val="18"/>
                <w:lang w:val="fr-FR"/>
              </w:rPr>
            </w:pPr>
            <w:r w:rsidRPr="00054E1F">
              <w:rPr>
                <w:rFonts w:ascii="Arial" w:hAnsi="Arial" w:cs="Arial"/>
                <w:sz w:val="18"/>
                <w:szCs w:val="18"/>
                <w:lang w:val="fr-FR"/>
              </w:rPr>
              <w:t>0.04</w:t>
            </w:r>
          </w:p>
        </w:tc>
      </w:tr>
      <w:tr w:rsidR="00690EBB" w:rsidRPr="007C368C" w14:paraId="6A218FAD" w14:textId="77777777" w:rsidTr="00703471">
        <w:tc>
          <w:tcPr>
            <w:tcW w:w="3319" w:type="dxa"/>
            <w:tcBorders>
              <w:left w:val="single" w:sz="4" w:space="0" w:color="auto"/>
              <w:bottom w:val="single" w:sz="4" w:space="0" w:color="auto"/>
            </w:tcBorders>
            <w:vAlign w:val="center"/>
          </w:tcPr>
          <w:p w14:paraId="4B4665B5" w14:textId="74B9D3DD" w:rsidR="00690EBB" w:rsidRPr="00054E1F" w:rsidRDefault="00690EBB" w:rsidP="005D503A">
            <w:pPr>
              <w:pStyle w:val="NoSpacing"/>
              <w:spacing w:line="276" w:lineRule="auto"/>
              <w:rPr>
                <w:rFonts w:ascii="Arial" w:hAnsi="Arial" w:cs="Arial"/>
                <w:sz w:val="18"/>
                <w:szCs w:val="18"/>
                <w:lang w:val="fr-FR"/>
              </w:rPr>
            </w:pPr>
            <w:r w:rsidRPr="00054E1F">
              <w:rPr>
                <w:rFonts w:ascii="Arial" w:hAnsi="Arial" w:cs="Arial"/>
                <w:sz w:val="18"/>
                <w:szCs w:val="18"/>
                <w:lang w:val="fr-FR"/>
              </w:rPr>
              <w:t>BSA (Thermofisher)</w:t>
            </w:r>
          </w:p>
        </w:tc>
        <w:tc>
          <w:tcPr>
            <w:tcW w:w="1496" w:type="dxa"/>
            <w:tcBorders>
              <w:bottom w:val="single" w:sz="4" w:space="0" w:color="auto"/>
            </w:tcBorders>
            <w:vAlign w:val="center"/>
          </w:tcPr>
          <w:p w14:paraId="66B8A2A6" w14:textId="77777777" w:rsidR="00690EBB" w:rsidRPr="00054E1F" w:rsidRDefault="00690EBB" w:rsidP="005D503A">
            <w:pPr>
              <w:pStyle w:val="NoSpacing"/>
              <w:spacing w:line="276" w:lineRule="auto"/>
              <w:jc w:val="center"/>
              <w:rPr>
                <w:rFonts w:ascii="Arial" w:eastAsia="Calibri" w:hAnsi="Arial" w:cs="Arial"/>
                <w:sz w:val="18"/>
                <w:szCs w:val="18"/>
                <w:lang w:val="fr-FR" w:eastAsia="fr-FR"/>
              </w:rPr>
            </w:pPr>
            <w:r w:rsidRPr="00054E1F">
              <w:rPr>
                <w:rFonts w:ascii="Arial" w:eastAsia="Calibri" w:hAnsi="Arial" w:cs="Arial"/>
                <w:sz w:val="18"/>
                <w:szCs w:val="18"/>
                <w:lang w:val="fr-FR" w:eastAsia="fr-FR"/>
              </w:rPr>
              <w:t>600 ng.μl</w:t>
            </w:r>
            <w:r w:rsidRPr="00054E1F">
              <w:rPr>
                <w:rFonts w:ascii="Arial" w:eastAsia="Calibri" w:hAnsi="Arial" w:cs="Arial"/>
                <w:sz w:val="18"/>
                <w:szCs w:val="18"/>
                <w:vertAlign w:val="superscript"/>
                <w:lang w:val="fr-FR" w:eastAsia="fr-FR"/>
              </w:rPr>
              <w:t>−1</w:t>
            </w:r>
          </w:p>
        </w:tc>
        <w:tc>
          <w:tcPr>
            <w:tcW w:w="1496" w:type="dxa"/>
            <w:tcBorders>
              <w:bottom w:val="single" w:sz="4" w:space="0" w:color="auto"/>
            </w:tcBorders>
            <w:vAlign w:val="center"/>
          </w:tcPr>
          <w:p w14:paraId="5444A899" w14:textId="77777777" w:rsidR="00690EBB" w:rsidRPr="00054E1F" w:rsidRDefault="00690EBB" w:rsidP="005D503A">
            <w:pPr>
              <w:pStyle w:val="NoSpacing"/>
              <w:spacing w:line="276" w:lineRule="auto"/>
              <w:jc w:val="center"/>
              <w:rPr>
                <w:rFonts w:ascii="Arial" w:hAnsi="Arial" w:cs="Arial"/>
                <w:sz w:val="18"/>
                <w:szCs w:val="18"/>
                <w:lang w:val="fr-FR"/>
              </w:rPr>
            </w:pPr>
            <w:r w:rsidRPr="00054E1F">
              <w:rPr>
                <w:rFonts w:ascii="Arial" w:hAnsi="Arial" w:cs="Arial"/>
                <w:sz w:val="18"/>
                <w:szCs w:val="18"/>
                <w:lang w:val="fr-FR"/>
              </w:rPr>
              <w:t>50 µg/µl</w:t>
            </w:r>
          </w:p>
        </w:tc>
        <w:tc>
          <w:tcPr>
            <w:tcW w:w="2756" w:type="dxa"/>
            <w:tcBorders>
              <w:bottom w:val="single" w:sz="4" w:space="0" w:color="auto"/>
            </w:tcBorders>
            <w:vAlign w:val="center"/>
          </w:tcPr>
          <w:p w14:paraId="6904DDCE" w14:textId="77777777" w:rsidR="00690EBB" w:rsidRPr="00054E1F" w:rsidRDefault="00690EBB" w:rsidP="005D503A">
            <w:pPr>
              <w:pStyle w:val="NoSpacing"/>
              <w:spacing w:line="276" w:lineRule="auto"/>
              <w:jc w:val="center"/>
              <w:rPr>
                <w:rFonts w:ascii="Arial" w:hAnsi="Arial" w:cs="Arial"/>
                <w:sz w:val="18"/>
                <w:szCs w:val="18"/>
                <w:lang w:val="fr-FR"/>
              </w:rPr>
            </w:pPr>
            <w:r w:rsidRPr="00054E1F">
              <w:rPr>
                <w:rFonts w:ascii="Arial" w:hAnsi="Arial" w:cs="Arial"/>
                <w:sz w:val="18"/>
                <w:szCs w:val="18"/>
                <w:lang w:val="fr-FR"/>
              </w:rPr>
              <w:t>0.12</w:t>
            </w:r>
          </w:p>
        </w:tc>
      </w:tr>
      <w:tr w:rsidR="00690EBB" w:rsidRPr="007C368C" w14:paraId="5F1AAF4E" w14:textId="77777777" w:rsidTr="00703471">
        <w:tc>
          <w:tcPr>
            <w:tcW w:w="3319" w:type="dxa"/>
            <w:tcBorders>
              <w:left w:val="single" w:sz="4" w:space="0" w:color="auto"/>
            </w:tcBorders>
            <w:vAlign w:val="center"/>
          </w:tcPr>
          <w:p w14:paraId="3734B7B7" w14:textId="70ADF177" w:rsidR="00690EBB" w:rsidRPr="00946D25" w:rsidRDefault="00690EBB" w:rsidP="005D503A">
            <w:pPr>
              <w:pStyle w:val="NoSpacing"/>
              <w:spacing w:line="276" w:lineRule="auto"/>
              <w:rPr>
                <w:rFonts w:ascii="Arial" w:hAnsi="Arial" w:cs="Arial"/>
                <w:sz w:val="18"/>
                <w:szCs w:val="18"/>
                <w:lang w:val="en-US"/>
              </w:rPr>
            </w:pPr>
            <w:r w:rsidRPr="00946D25">
              <w:rPr>
                <w:rFonts w:ascii="Arial" w:hAnsi="Arial" w:cs="Arial"/>
                <w:sz w:val="18"/>
                <w:szCs w:val="18"/>
                <w:lang w:val="en-US"/>
              </w:rPr>
              <w:t>DNA volume (DNA half diluted)</w:t>
            </w:r>
          </w:p>
        </w:tc>
        <w:tc>
          <w:tcPr>
            <w:tcW w:w="1496" w:type="dxa"/>
          </w:tcPr>
          <w:p w14:paraId="7C78BA1F" w14:textId="77777777" w:rsidR="00690EBB" w:rsidRPr="00946D25" w:rsidRDefault="00690EBB" w:rsidP="005D503A">
            <w:pPr>
              <w:pStyle w:val="NoSpacing"/>
              <w:spacing w:line="276" w:lineRule="auto"/>
              <w:jc w:val="both"/>
              <w:rPr>
                <w:rFonts w:ascii="Arial" w:eastAsia="Calibri" w:hAnsi="Arial" w:cs="Arial"/>
                <w:sz w:val="18"/>
                <w:szCs w:val="18"/>
                <w:lang w:val="en-US" w:eastAsia="fr-FR"/>
              </w:rPr>
            </w:pPr>
          </w:p>
        </w:tc>
        <w:tc>
          <w:tcPr>
            <w:tcW w:w="1496" w:type="dxa"/>
          </w:tcPr>
          <w:p w14:paraId="3E8944E0" w14:textId="77777777" w:rsidR="00690EBB" w:rsidRPr="00946D25" w:rsidRDefault="00690EBB" w:rsidP="005D503A">
            <w:pPr>
              <w:pStyle w:val="NoSpacing"/>
              <w:spacing w:line="276" w:lineRule="auto"/>
              <w:jc w:val="both"/>
              <w:rPr>
                <w:rFonts w:ascii="Arial" w:hAnsi="Arial" w:cs="Arial"/>
                <w:sz w:val="18"/>
                <w:szCs w:val="18"/>
                <w:lang w:val="en-US"/>
              </w:rPr>
            </w:pPr>
          </w:p>
        </w:tc>
        <w:tc>
          <w:tcPr>
            <w:tcW w:w="2756" w:type="dxa"/>
          </w:tcPr>
          <w:p w14:paraId="0D8EBE7B" w14:textId="090F4997" w:rsidR="00690EBB" w:rsidRPr="00054E1F" w:rsidRDefault="00690EBB" w:rsidP="005D503A">
            <w:pPr>
              <w:pStyle w:val="NoSpacing"/>
              <w:spacing w:line="276" w:lineRule="auto"/>
              <w:jc w:val="center"/>
              <w:rPr>
                <w:rFonts w:ascii="Arial" w:hAnsi="Arial" w:cs="Arial"/>
                <w:b/>
                <w:sz w:val="18"/>
                <w:szCs w:val="18"/>
                <w:lang w:val="fr-FR"/>
              </w:rPr>
            </w:pPr>
            <w:r w:rsidRPr="00054E1F">
              <w:rPr>
                <w:rFonts w:ascii="Arial" w:hAnsi="Arial" w:cs="Arial"/>
                <w:sz w:val="18"/>
                <w:szCs w:val="18"/>
                <w:lang w:val="fr-FR"/>
              </w:rPr>
              <w:t>2</w:t>
            </w:r>
          </w:p>
        </w:tc>
      </w:tr>
      <w:tr w:rsidR="00690EBB" w:rsidRPr="007C368C" w14:paraId="72D7D4B1" w14:textId="77777777" w:rsidTr="00703471">
        <w:tc>
          <w:tcPr>
            <w:tcW w:w="3319" w:type="dxa"/>
            <w:tcBorders>
              <w:left w:val="single" w:sz="4" w:space="0" w:color="auto"/>
              <w:bottom w:val="single" w:sz="4" w:space="0" w:color="auto"/>
            </w:tcBorders>
            <w:vAlign w:val="center"/>
          </w:tcPr>
          <w:p w14:paraId="1DC4292A" w14:textId="737A2A1D" w:rsidR="00690EBB" w:rsidRPr="00054E1F" w:rsidRDefault="00690EBB" w:rsidP="005D503A">
            <w:pPr>
              <w:pStyle w:val="NoSpacing"/>
              <w:spacing w:line="276" w:lineRule="auto"/>
              <w:rPr>
                <w:rFonts w:ascii="Arial" w:hAnsi="Arial" w:cs="Arial"/>
                <w:sz w:val="18"/>
                <w:szCs w:val="18"/>
                <w:lang w:val="fr-FR"/>
              </w:rPr>
            </w:pPr>
            <w:r w:rsidRPr="00054E1F">
              <w:rPr>
                <w:rFonts w:ascii="Arial" w:hAnsi="Arial" w:cs="Arial"/>
                <w:sz w:val="18"/>
                <w:szCs w:val="18"/>
                <w:lang w:val="fr-FR"/>
              </w:rPr>
              <w:t>Final volume</w:t>
            </w:r>
          </w:p>
        </w:tc>
        <w:tc>
          <w:tcPr>
            <w:tcW w:w="1496" w:type="dxa"/>
            <w:tcBorders>
              <w:bottom w:val="single" w:sz="4" w:space="0" w:color="auto"/>
            </w:tcBorders>
          </w:tcPr>
          <w:p w14:paraId="096C0455" w14:textId="77777777" w:rsidR="00690EBB" w:rsidRPr="00054E1F" w:rsidRDefault="00690EBB" w:rsidP="005D503A">
            <w:pPr>
              <w:pStyle w:val="NoSpacing"/>
              <w:spacing w:line="276" w:lineRule="auto"/>
              <w:jc w:val="both"/>
              <w:rPr>
                <w:rFonts w:ascii="Arial" w:eastAsia="Calibri" w:hAnsi="Arial" w:cs="Arial"/>
                <w:sz w:val="18"/>
                <w:szCs w:val="18"/>
                <w:lang w:val="fr-FR" w:eastAsia="fr-FR"/>
              </w:rPr>
            </w:pPr>
          </w:p>
        </w:tc>
        <w:tc>
          <w:tcPr>
            <w:tcW w:w="1496" w:type="dxa"/>
            <w:tcBorders>
              <w:bottom w:val="single" w:sz="4" w:space="0" w:color="auto"/>
            </w:tcBorders>
          </w:tcPr>
          <w:p w14:paraId="0FEEDCB7" w14:textId="77777777" w:rsidR="00690EBB" w:rsidRPr="00054E1F" w:rsidRDefault="00690EBB" w:rsidP="005D503A">
            <w:pPr>
              <w:pStyle w:val="NoSpacing"/>
              <w:spacing w:line="276" w:lineRule="auto"/>
              <w:jc w:val="both"/>
              <w:rPr>
                <w:rFonts w:ascii="Arial" w:hAnsi="Arial" w:cs="Arial"/>
                <w:sz w:val="18"/>
                <w:szCs w:val="18"/>
                <w:lang w:val="fr-FR"/>
              </w:rPr>
            </w:pPr>
          </w:p>
        </w:tc>
        <w:tc>
          <w:tcPr>
            <w:tcW w:w="2756" w:type="dxa"/>
            <w:tcBorders>
              <w:bottom w:val="single" w:sz="4" w:space="0" w:color="auto"/>
            </w:tcBorders>
          </w:tcPr>
          <w:p w14:paraId="599615EC" w14:textId="77777777" w:rsidR="00690EBB" w:rsidRPr="00054E1F" w:rsidRDefault="00690EBB" w:rsidP="005D503A">
            <w:pPr>
              <w:pStyle w:val="NoSpacing"/>
              <w:spacing w:line="276" w:lineRule="auto"/>
              <w:jc w:val="center"/>
              <w:rPr>
                <w:rFonts w:ascii="Arial" w:hAnsi="Arial" w:cs="Arial"/>
                <w:sz w:val="18"/>
                <w:szCs w:val="18"/>
                <w:lang w:val="fr-FR"/>
              </w:rPr>
            </w:pPr>
            <w:r w:rsidRPr="00054E1F">
              <w:rPr>
                <w:rFonts w:ascii="Arial" w:hAnsi="Arial" w:cs="Arial"/>
                <w:sz w:val="18"/>
                <w:szCs w:val="18"/>
                <w:lang w:val="fr-FR"/>
              </w:rPr>
              <w:t>10</w:t>
            </w:r>
          </w:p>
        </w:tc>
      </w:tr>
    </w:tbl>
    <w:p w14:paraId="5DB613F2" w14:textId="315705BE" w:rsidR="00D26F06" w:rsidRDefault="00D26F06" w:rsidP="00D26F06">
      <w:pPr>
        <w:pStyle w:val="IPPArial"/>
        <w:keepNext/>
        <w:spacing w:after="120"/>
      </w:pPr>
    </w:p>
    <w:p w14:paraId="72841027" w14:textId="247D0DFA" w:rsidR="00690EBB" w:rsidRPr="00054E1F" w:rsidRDefault="0071615A" w:rsidP="004C1B1F">
      <w:pPr>
        <w:pStyle w:val="IPPParagraphnumbering"/>
      </w:pPr>
      <w:r w:rsidRPr="00054E1F">
        <w:rPr>
          <w:color w:val="1C1D1E"/>
          <w:shd w:val="clear" w:color="auto" w:fill="FFFFFF"/>
        </w:rPr>
        <w:t xml:space="preserve">The cycling conditions were </w:t>
      </w:r>
      <w:r w:rsidR="00690EBB" w:rsidRPr="00054E1F">
        <w:rPr>
          <w:shd w:val="clear" w:color="auto" w:fill="FFFFFF"/>
        </w:rPr>
        <w:t>3 min at 95°C, followed by 40 cycles of 15 s at 95°C and 30 s at 60°C.</w:t>
      </w:r>
    </w:p>
    <w:p w14:paraId="3467F471" w14:textId="77777777" w:rsidR="00A474C9" w:rsidRDefault="00A474C9" w:rsidP="00D1700E">
      <w:pPr>
        <w:pStyle w:val="IPPHeading2"/>
        <w:ind w:left="720" w:hanging="720"/>
      </w:pPr>
      <w:bookmarkStart w:id="47" w:name="_Toc111710142"/>
    </w:p>
    <w:p w14:paraId="743906BF" w14:textId="056FFDCA" w:rsidR="00B44C17" w:rsidRPr="00054E1F" w:rsidRDefault="00764BC0" w:rsidP="00D1700E">
      <w:pPr>
        <w:pStyle w:val="IPPHeading2"/>
        <w:ind w:left="720" w:hanging="720"/>
      </w:pPr>
      <w:r>
        <w:t xml:space="preserve">3.4.9 </w:t>
      </w:r>
      <w:r w:rsidR="00B44C17" w:rsidRPr="00054E1F">
        <w:t>Real-time PCR using the primers and probes of Hodgett</w:t>
      </w:r>
      <w:r w:rsidR="001A1073">
        <w:t>s</w:t>
      </w:r>
      <w:r w:rsidR="00B44C17" w:rsidRPr="00054E1F">
        <w:t xml:space="preserve"> </w:t>
      </w:r>
      <w:r w:rsidR="00B44C17" w:rsidRPr="00054E1F">
        <w:rPr>
          <w:i/>
        </w:rPr>
        <w:t>et al</w:t>
      </w:r>
      <w:r w:rsidR="00B44C17" w:rsidRPr="00054E1F">
        <w:t>. (20</w:t>
      </w:r>
      <w:r w:rsidR="00690EBB" w:rsidRPr="00054E1F">
        <w:t>21</w:t>
      </w:r>
      <w:r w:rsidR="00B44C17" w:rsidRPr="00054E1F">
        <w:t>)</w:t>
      </w:r>
      <w:bookmarkEnd w:id="47"/>
    </w:p>
    <w:p w14:paraId="03D8C85F" w14:textId="3374D12F" w:rsidR="001E70BC" w:rsidRDefault="001E70BC" w:rsidP="004C1B1F">
      <w:pPr>
        <w:pStyle w:val="IPPParagraphnumbering"/>
      </w:pPr>
      <w:r>
        <w:t xml:space="preserve">This multiplex real-time PCR is suitable for the detection and the identification of </w:t>
      </w:r>
      <w:r w:rsidRPr="001E70BC">
        <w:rPr>
          <w:i/>
        </w:rPr>
        <w:t xml:space="preserve">X. fastidiosa </w:t>
      </w:r>
      <w:r w:rsidRPr="001E70BC">
        <w:rPr>
          <w:iCs/>
        </w:rPr>
        <w:t xml:space="preserve">and assignment of </w:t>
      </w:r>
      <w:r>
        <w:t>subspecies on plant samples and cell cultures</w:t>
      </w:r>
      <w:r w:rsidRPr="001E70BC">
        <w:rPr>
          <w:rFonts w:eastAsiaTheme="minorHAnsi"/>
          <w:szCs w:val="22"/>
        </w:rPr>
        <w:t xml:space="preserve">. </w:t>
      </w:r>
      <w:r w:rsidRPr="00690EBB">
        <w:rPr>
          <w:szCs w:val="22"/>
        </w:rPr>
        <w:t>Hodgett</w:t>
      </w:r>
      <w:r w:rsidR="001A1073">
        <w:rPr>
          <w:szCs w:val="22"/>
        </w:rPr>
        <w:t>s</w:t>
      </w:r>
      <w:r w:rsidRPr="000860F1">
        <w:t xml:space="preserve"> </w:t>
      </w:r>
      <w:r w:rsidRPr="001E70BC">
        <w:rPr>
          <w:i/>
        </w:rPr>
        <w:t>et</w:t>
      </w:r>
      <w:r w:rsidRPr="001E70BC">
        <w:rPr>
          <w:rFonts w:ascii="Arial" w:hAnsi="Arial" w:cs="Arial"/>
          <w:i/>
          <w:iCs/>
        </w:rPr>
        <w:t> </w:t>
      </w:r>
      <w:r w:rsidRPr="001E70BC">
        <w:rPr>
          <w:i/>
        </w:rPr>
        <w:t>al.</w:t>
      </w:r>
      <w:r w:rsidRPr="000860F1">
        <w:t xml:space="preserve"> (20</w:t>
      </w:r>
      <w:r>
        <w:t>21</w:t>
      </w:r>
      <w:r w:rsidRPr="000860F1">
        <w:t xml:space="preserve">) evaluated analytical specificity with </w:t>
      </w:r>
      <w:r>
        <w:t>8</w:t>
      </w:r>
      <w:r w:rsidRPr="000860F1">
        <w:t xml:space="preserve"> strains of </w:t>
      </w:r>
      <w:r w:rsidRPr="001E70BC">
        <w:rPr>
          <w:i/>
        </w:rPr>
        <w:t>X. fastidiosa</w:t>
      </w:r>
      <w:r w:rsidRPr="000860F1">
        <w:t xml:space="preserve"> </w:t>
      </w:r>
      <w:r>
        <w:t xml:space="preserve">from different subspecies and </w:t>
      </w:r>
      <w:r w:rsidR="005D503A">
        <w:t>50</w:t>
      </w:r>
      <w:r w:rsidRPr="000860F1">
        <w:t xml:space="preserve"> non-target bacterial strains. Only </w:t>
      </w:r>
      <w:r w:rsidRPr="001E70BC">
        <w:rPr>
          <w:i/>
        </w:rPr>
        <w:t>X. fastidiosa</w:t>
      </w:r>
      <w:r w:rsidRPr="000860F1">
        <w:t xml:space="preserve"> was detected. Diagnostic specificity </w:t>
      </w:r>
      <w:r w:rsidR="005D503A">
        <w:t xml:space="preserve">and sensitivity </w:t>
      </w:r>
      <w:r>
        <w:t>were 100%</w:t>
      </w:r>
      <w:r w:rsidRPr="000860F1">
        <w:t xml:space="preserve">. The analytical sensitivity (detection limit) </w:t>
      </w:r>
      <w:r w:rsidR="005D503A">
        <w:t>was</w:t>
      </w:r>
      <w:r w:rsidRPr="000860F1">
        <w:t xml:space="preserve"> </w:t>
      </w:r>
      <w:r w:rsidR="005D503A" w:rsidRPr="00315473">
        <w:t xml:space="preserve">124 fg of DNA of </w:t>
      </w:r>
      <w:r w:rsidR="005D503A" w:rsidRPr="00315473">
        <w:rPr>
          <w:i/>
          <w:iCs/>
        </w:rPr>
        <w:t>X. fastidiosa</w:t>
      </w:r>
      <w:r w:rsidR="005D503A" w:rsidRPr="00315473">
        <w:t xml:space="preserve"> subsp. </w:t>
      </w:r>
      <w:r w:rsidR="005D503A">
        <w:rPr>
          <w:i/>
          <w:iCs/>
        </w:rPr>
        <w:t>f</w:t>
      </w:r>
      <w:r w:rsidR="005D503A" w:rsidRPr="00315473">
        <w:rPr>
          <w:i/>
          <w:iCs/>
        </w:rPr>
        <w:t>astidiosa</w:t>
      </w:r>
      <w:r w:rsidR="005D503A">
        <w:rPr>
          <w:i/>
          <w:iCs/>
        </w:rPr>
        <w:t>,</w:t>
      </w:r>
      <w:r w:rsidR="005D503A" w:rsidRPr="00315473">
        <w:rPr>
          <w:i/>
          <w:iCs/>
        </w:rPr>
        <w:t xml:space="preserve"> </w:t>
      </w:r>
      <w:r w:rsidR="005D503A" w:rsidRPr="00315473">
        <w:t xml:space="preserve">182 fg of DNA of </w:t>
      </w:r>
      <w:r w:rsidR="005D503A" w:rsidRPr="00315473">
        <w:rPr>
          <w:i/>
          <w:iCs/>
        </w:rPr>
        <w:t>X. fastidiosa</w:t>
      </w:r>
      <w:r w:rsidR="005D503A" w:rsidRPr="00315473">
        <w:t xml:space="preserve"> subsp. </w:t>
      </w:r>
      <w:r w:rsidR="005D503A">
        <w:rPr>
          <w:i/>
          <w:iCs/>
        </w:rPr>
        <w:t>m</w:t>
      </w:r>
      <w:r w:rsidR="005D503A" w:rsidRPr="00315473">
        <w:rPr>
          <w:i/>
          <w:iCs/>
        </w:rPr>
        <w:t>ultiplex</w:t>
      </w:r>
      <w:r w:rsidR="005D503A">
        <w:t xml:space="preserve">, </w:t>
      </w:r>
      <w:r w:rsidR="005D503A" w:rsidRPr="00315473">
        <w:t xml:space="preserve">84.2 fg of DNA of </w:t>
      </w:r>
      <w:r w:rsidR="005D503A" w:rsidRPr="00315473">
        <w:rPr>
          <w:i/>
          <w:iCs/>
        </w:rPr>
        <w:t>X. fastidiosa</w:t>
      </w:r>
      <w:r w:rsidR="005D503A" w:rsidRPr="00315473">
        <w:t xml:space="preserve"> subsp. </w:t>
      </w:r>
      <w:r w:rsidR="005D503A">
        <w:rPr>
          <w:i/>
          <w:iCs/>
        </w:rPr>
        <w:t>p</w:t>
      </w:r>
      <w:r w:rsidR="005D503A" w:rsidRPr="00315473">
        <w:rPr>
          <w:i/>
          <w:iCs/>
        </w:rPr>
        <w:t>auca</w:t>
      </w:r>
      <w:r w:rsidR="005D503A">
        <w:rPr>
          <w:i/>
          <w:iCs/>
        </w:rPr>
        <w:t xml:space="preserve">, </w:t>
      </w:r>
      <w:r w:rsidR="005D503A" w:rsidRPr="00315473">
        <w:t xml:space="preserve">59.2 fg of DNA of </w:t>
      </w:r>
      <w:r w:rsidR="005D503A" w:rsidRPr="00315473">
        <w:rPr>
          <w:i/>
          <w:iCs/>
        </w:rPr>
        <w:t>X. fastidiosa</w:t>
      </w:r>
      <w:r w:rsidR="005D503A" w:rsidRPr="00315473">
        <w:t xml:space="preserve"> subsp. </w:t>
      </w:r>
      <w:r w:rsidR="005D503A">
        <w:rPr>
          <w:i/>
          <w:iCs/>
        </w:rPr>
        <w:t>m</w:t>
      </w:r>
      <w:r w:rsidR="005D503A" w:rsidRPr="00315473">
        <w:rPr>
          <w:i/>
          <w:iCs/>
        </w:rPr>
        <w:t>orus</w:t>
      </w:r>
      <w:r w:rsidR="005D503A">
        <w:t xml:space="preserve">, </w:t>
      </w:r>
      <w:r w:rsidR="005D503A" w:rsidRPr="00315473">
        <w:t xml:space="preserve">908 fg of DNA of </w:t>
      </w:r>
      <w:r w:rsidR="005D503A" w:rsidRPr="00315473">
        <w:rPr>
          <w:i/>
          <w:iCs/>
        </w:rPr>
        <w:t>X. fastidiosa</w:t>
      </w:r>
      <w:r w:rsidR="005D503A" w:rsidRPr="00315473">
        <w:t xml:space="preserve"> subsp. </w:t>
      </w:r>
      <w:r w:rsidR="005D503A" w:rsidRPr="00315473">
        <w:rPr>
          <w:i/>
          <w:iCs/>
        </w:rPr>
        <w:t>sandyi</w:t>
      </w:r>
      <w:r w:rsidRPr="000860F1">
        <w:t>.</w:t>
      </w:r>
    </w:p>
    <w:p w14:paraId="5164FA41" w14:textId="6BA1CB2D" w:rsidR="005D503A" w:rsidRDefault="005D503A" w:rsidP="00054E1F"/>
    <w:p w14:paraId="38FC69C5" w14:textId="77777777" w:rsidR="004C1B1F" w:rsidRPr="00054E1F" w:rsidRDefault="004C1B1F" w:rsidP="00054E1F"/>
    <w:p w14:paraId="5AF96E44" w14:textId="201538A8" w:rsidR="001E70BC" w:rsidRPr="00133D6E" w:rsidRDefault="005D503A" w:rsidP="005D503A">
      <w:pPr>
        <w:pStyle w:val="IPPNormal"/>
        <w:rPr>
          <w:rFonts w:ascii="Arial" w:hAnsi="Arial" w:cs="Arial"/>
          <w:sz w:val="18"/>
          <w:szCs w:val="18"/>
        </w:rPr>
      </w:pPr>
      <w:r w:rsidRPr="00133D6E">
        <w:rPr>
          <w:rFonts w:ascii="Arial" w:hAnsi="Arial" w:cs="Arial"/>
          <w:b/>
          <w:sz w:val="18"/>
          <w:szCs w:val="18"/>
        </w:rPr>
        <w:t>Table 1</w:t>
      </w:r>
      <w:r w:rsidR="00EF03FA" w:rsidRPr="00133D6E">
        <w:rPr>
          <w:rFonts w:ascii="Arial" w:hAnsi="Arial" w:cs="Arial"/>
          <w:b/>
          <w:sz w:val="18"/>
          <w:szCs w:val="18"/>
        </w:rPr>
        <w:t>2</w:t>
      </w:r>
      <w:r w:rsidR="008D3BD9" w:rsidRPr="00133D6E">
        <w:rPr>
          <w:rFonts w:ascii="Arial" w:hAnsi="Arial" w:cs="Arial"/>
          <w:sz w:val="18"/>
          <w:szCs w:val="18"/>
        </w:rPr>
        <w:t>.</w:t>
      </w:r>
      <w:r w:rsidRPr="00133D6E">
        <w:rPr>
          <w:rFonts w:ascii="Arial" w:hAnsi="Arial" w:cs="Arial"/>
          <w:sz w:val="18"/>
          <w:szCs w:val="18"/>
        </w:rPr>
        <w:t xml:space="preserve"> Oligonucleotide primers and probes</w:t>
      </w:r>
      <w:r w:rsidR="00133D6E">
        <w:rPr>
          <w:rFonts w:ascii="Arial" w:hAnsi="Arial" w:cs="Arial"/>
          <w:sz w:val="18"/>
          <w:szCs w:val="18"/>
        </w:rPr>
        <w:t>.</w:t>
      </w:r>
    </w:p>
    <w:tbl>
      <w:tblPr>
        <w:tblStyle w:val="TableGrid"/>
        <w:tblW w:w="8936" w:type="dxa"/>
        <w:jc w:val="center"/>
        <w:tblBorders>
          <w:insideH w:val="none" w:sz="0" w:space="0" w:color="auto"/>
          <w:insideV w:val="none" w:sz="0" w:space="0" w:color="auto"/>
        </w:tblBorders>
        <w:tblLayout w:type="fixed"/>
        <w:tblLook w:val="04A0" w:firstRow="1" w:lastRow="0" w:firstColumn="1" w:lastColumn="0" w:noHBand="0" w:noVBand="1"/>
      </w:tblPr>
      <w:tblGrid>
        <w:gridCol w:w="2280"/>
        <w:gridCol w:w="1978"/>
        <w:gridCol w:w="4678"/>
      </w:tblGrid>
      <w:tr w:rsidR="0033486B" w:rsidRPr="004C1B1F" w14:paraId="2FE22584" w14:textId="77777777" w:rsidTr="00054E1F">
        <w:trPr>
          <w:jc w:val="center"/>
        </w:trPr>
        <w:tc>
          <w:tcPr>
            <w:tcW w:w="2280" w:type="dxa"/>
            <w:tcBorders>
              <w:bottom w:val="single" w:sz="4" w:space="0" w:color="auto"/>
            </w:tcBorders>
            <w:vAlign w:val="center"/>
          </w:tcPr>
          <w:p w14:paraId="6C767C2A" w14:textId="77777777" w:rsidR="0033486B" w:rsidRPr="004C1B1F" w:rsidRDefault="0033486B" w:rsidP="005D503A">
            <w:pPr>
              <w:pStyle w:val="NoSpacing"/>
              <w:spacing w:line="276" w:lineRule="auto"/>
              <w:jc w:val="center"/>
              <w:rPr>
                <w:rFonts w:ascii="Arial" w:hAnsi="Arial" w:cs="Arial"/>
                <w:sz w:val="18"/>
                <w:szCs w:val="18"/>
                <w:lang w:val="fr-FR"/>
              </w:rPr>
            </w:pPr>
            <w:r w:rsidRPr="004C1B1F">
              <w:rPr>
                <w:rFonts w:ascii="Arial" w:hAnsi="Arial" w:cs="Arial"/>
                <w:sz w:val="18"/>
                <w:szCs w:val="18"/>
                <w:lang w:val="fr-FR"/>
              </w:rPr>
              <w:t>Target</w:t>
            </w:r>
          </w:p>
          <w:p w14:paraId="18863E23" w14:textId="386DAAE3" w:rsidR="0033486B" w:rsidRPr="004C1B1F" w:rsidRDefault="0033486B" w:rsidP="005D503A">
            <w:pPr>
              <w:pStyle w:val="NoSpacing"/>
              <w:spacing w:line="276" w:lineRule="auto"/>
              <w:jc w:val="center"/>
              <w:rPr>
                <w:rFonts w:ascii="Arial" w:hAnsi="Arial" w:cs="Arial"/>
                <w:sz w:val="18"/>
                <w:szCs w:val="18"/>
                <w:lang w:val="fr-FR"/>
              </w:rPr>
            </w:pPr>
            <w:r w:rsidRPr="004C1B1F">
              <w:rPr>
                <w:rFonts w:ascii="Arial" w:hAnsi="Arial" w:cs="Arial"/>
                <w:sz w:val="18"/>
                <w:szCs w:val="18"/>
                <w:lang w:val="fr-FR"/>
              </w:rPr>
              <w:t>subspecies</w:t>
            </w:r>
          </w:p>
        </w:tc>
        <w:tc>
          <w:tcPr>
            <w:tcW w:w="1978" w:type="dxa"/>
            <w:tcBorders>
              <w:bottom w:val="single" w:sz="4" w:space="0" w:color="auto"/>
            </w:tcBorders>
            <w:vAlign w:val="center"/>
          </w:tcPr>
          <w:p w14:paraId="710A8753" w14:textId="7FAC995D" w:rsidR="0033486B" w:rsidRPr="004C1B1F" w:rsidRDefault="0033486B" w:rsidP="005D503A">
            <w:pPr>
              <w:pStyle w:val="NoSpacing"/>
              <w:spacing w:line="276" w:lineRule="auto"/>
              <w:jc w:val="center"/>
              <w:rPr>
                <w:rFonts w:ascii="Arial" w:hAnsi="Arial" w:cs="Arial"/>
                <w:sz w:val="18"/>
                <w:szCs w:val="18"/>
                <w:lang w:val="fr-FR"/>
              </w:rPr>
            </w:pPr>
            <w:r w:rsidRPr="004C1B1F">
              <w:rPr>
                <w:rFonts w:ascii="Arial" w:hAnsi="Arial" w:cs="Arial"/>
                <w:sz w:val="18"/>
                <w:szCs w:val="18"/>
                <w:lang w:val="fr-FR"/>
              </w:rPr>
              <w:t>Primer</w:t>
            </w:r>
          </w:p>
        </w:tc>
        <w:tc>
          <w:tcPr>
            <w:tcW w:w="4678" w:type="dxa"/>
            <w:tcBorders>
              <w:bottom w:val="single" w:sz="4" w:space="0" w:color="auto"/>
            </w:tcBorders>
            <w:vAlign w:val="center"/>
          </w:tcPr>
          <w:p w14:paraId="3BF66759" w14:textId="77777777" w:rsidR="0033486B" w:rsidRPr="004C1B1F" w:rsidRDefault="0033486B" w:rsidP="005D503A">
            <w:pPr>
              <w:pStyle w:val="NoSpacing"/>
              <w:spacing w:line="276" w:lineRule="auto"/>
              <w:jc w:val="center"/>
              <w:rPr>
                <w:rFonts w:ascii="Arial" w:hAnsi="Arial" w:cs="Arial"/>
                <w:sz w:val="18"/>
                <w:szCs w:val="18"/>
                <w:lang w:val="fr-FR"/>
              </w:rPr>
            </w:pPr>
            <w:r w:rsidRPr="004C1B1F">
              <w:rPr>
                <w:rFonts w:ascii="Arial" w:hAnsi="Arial" w:cs="Arial"/>
                <w:sz w:val="18"/>
                <w:szCs w:val="18"/>
                <w:lang w:val="fr-FR"/>
              </w:rPr>
              <w:t>Sequence (5’ 3’)</w:t>
            </w:r>
          </w:p>
        </w:tc>
      </w:tr>
      <w:tr w:rsidR="0033486B" w:rsidRPr="004C1B1F" w14:paraId="648061E7" w14:textId="77777777" w:rsidTr="00054E1F">
        <w:trPr>
          <w:jc w:val="center"/>
        </w:trPr>
        <w:tc>
          <w:tcPr>
            <w:tcW w:w="2280" w:type="dxa"/>
            <w:vMerge w:val="restart"/>
            <w:tcBorders>
              <w:top w:val="dashSmallGap" w:sz="4" w:space="0" w:color="auto"/>
              <w:left w:val="single" w:sz="4" w:space="0" w:color="auto"/>
              <w:bottom w:val="nil"/>
            </w:tcBorders>
            <w:vAlign w:val="center"/>
          </w:tcPr>
          <w:p w14:paraId="4310CDC0" w14:textId="77777777" w:rsidR="0033486B" w:rsidRPr="004C1B1F" w:rsidRDefault="0033486B" w:rsidP="005D503A">
            <w:pPr>
              <w:pStyle w:val="NoSpacing"/>
              <w:spacing w:line="276" w:lineRule="auto"/>
              <w:jc w:val="center"/>
              <w:rPr>
                <w:rFonts w:ascii="Arial" w:hAnsi="Arial" w:cs="Arial"/>
                <w:sz w:val="18"/>
                <w:szCs w:val="18"/>
                <w:lang w:val="fr-FR"/>
              </w:rPr>
            </w:pPr>
            <w:r w:rsidRPr="004C1B1F">
              <w:rPr>
                <w:rFonts w:ascii="Arial" w:hAnsi="Arial" w:cs="Arial"/>
                <w:i/>
                <w:sz w:val="18"/>
                <w:szCs w:val="18"/>
                <w:lang w:val="fr-FR"/>
              </w:rPr>
              <w:t>X. fastidiosa</w:t>
            </w:r>
            <w:r w:rsidRPr="004C1B1F">
              <w:rPr>
                <w:rFonts w:ascii="Arial" w:hAnsi="Arial" w:cs="Arial"/>
                <w:sz w:val="18"/>
                <w:szCs w:val="18"/>
                <w:lang w:val="fr-FR"/>
              </w:rPr>
              <w:t xml:space="preserve"> subsp. </w:t>
            </w:r>
            <w:r w:rsidRPr="004C1B1F">
              <w:rPr>
                <w:rFonts w:ascii="Arial" w:hAnsi="Arial" w:cs="Arial"/>
                <w:i/>
                <w:sz w:val="18"/>
                <w:szCs w:val="18"/>
                <w:lang w:val="fr-FR"/>
              </w:rPr>
              <w:t>fastidiosa</w:t>
            </w:r>
          </w:p>
        </w:tc>
        <w:tc>
          <w:tcPr>
            <w:tcW w:w="1978" w:type="dxa"/>
            <w:tcBorders>
              <w:top w:val="dashSmallGap" w:sz="4" w:space="0" w:color="auto"/>
              <w:bottom w:val="nil"/>
            </w:tcBorders>
            <w:vAlign w:val="center"/>
          </w:tcPr>
          <w:p w14:paraId="76B225B3" w14:textId="4DEF3C94" w:rsidR="0033486B" w:rsidRPr="004C1B1F" w:rsidRDefault="0033486B" w:rsidP="005D503A">
            <w:pPr>
              <w:pStyle w:val="NoSpacing"/>
              <w:spacing w:line="276" w:lineRule="auto"/>
              <w:jc w:val="center"/>
              <w:rPr>
                <w:rFonts w:ascii="Arial" w:hAnsi="Arial" w:cs="Arial"/>
                <w:sz w:val="18"/>
                <w:szCs w:val="18"/>
                <w:lang w:val="fr-FR"/>
              </w:rPr>
            </w:pPr>
            <w:r w:rsidRPr="004C1B1F">
              <w:rPr>
                <w:rFonts w:ascii="Arial" w:hAnsi="Arial" w:cs="Arial"/>
                <w:color w:val="000000"/>
                <w:sz w:val="18"/>
                <w:szCs w:val="18"/>
                <w:shd w:val="clear" w:color="auto" w:fill="FFFFFF"/>
              </w:rPr>
              <w:t>Xff_3-Fw-a_122365</w:t>
            </w:r>
          </w:p>
        </w:tc>
        <w:tc>
          <w:tcPr>
            <w:tcW w:w="4678" w:type="dxa"/>
            <w:tcBorders>
              <w:top w:val="dashSmallGap" w:sz="4" w:space="0" w:color="auto"/>
              <w:bottom w:val="nil"/>
            </w:tcBorders>
            <w:vAlign w:val="center"/>
          </w:tcPr>
          <w:p w14:paraId="2B5D33E6" w14:textId="0E55146E" w:rsidR="0033486B" w:rsidRPr="004C1B1F" w:rsidRDefault="0033486B" w:rsidP="005D503A">
            <w:pPr>
              <w:pStyle w:val="NoSpacing"/>
              <w:spacing w:line="276" w:lineRule="auto"/>
              <w:jc w:val="center"/>
              <w:rPr>
                <w:rFonts w:ascii="Arial" w:eastAsia="Calibri" w:hAnsi="Arial" w:cs="Arial"/>
                <w:sz w:val="18"/>
                <w:szCs w:val="18"/>
                <w:lang w:val="fr-FR" w:eastAsia="fr-FR"/>
              </w:rPr>
            </w:pPr>
            <w:r w:rsidRPr="004C1B1F">
              <w:rPr>
                <w:rFonts w:ascii="Arial" w:hAnsi="Arial" w:cs="Arial"/>
                <w:color w:val="000000"/>
                <w:sz w:val="18"/>
                <w:szCs w:val="18"/>
                <w:shd w:val="clear" w:color="auto" w:fill="FFFFFF"/>
              </w:rPr>
              <w:t>TCGTTGTGGGATTACCGTTAAA</w:t>
            </w:r>
          </w:p>
        </w:tc>
      </w:tr>
      <w:tr w:rsidR="0033486B" w:rsidRPr="004C1B1F" w14:paraId="50E07A2A" w14:textId="77777777" w:rsidTr="00054E1F">
        <w:trPr>
          <w:jc w:val="center"/>
        </w:trPr>
        <w:tc>
          <w:tcPr>
            <w:tcW w:w="2280" w:type="dxa"/>
            <w:vMerge/>
            <w:tcBorders>
              <w:top w:val="nil"/>
            </w:tcBorders>
            <w:vAlign w:val="center"/>
          </w:tcPr>
          <w:p w14:paraId="2C38C671" w14:textId="77777777" w:rsidR="0033486B" w:rsidRPr="004C1B1F" w:rsidRDefault="0033486B" w:rsidP="005D503A">
            <w:pPr>
              <w:pStyle w:val="NoSpacing"/>
              <w:spacing w:line="276" w:lineRule="auto"/>
              <w:jc w:val="center"/>
              <w:rPr>
                <w:rFonts w:ascii="Arial" w:hAnsi="Arial" w:cs="Arial"/>
                <w:sz w:val="18"/>
                <w:szCs w:val="18"/>
                <w:lang w:val="fr-FR"/>
              </w:rPr>
            </w:pPr>
          </w:p>
        </w:tc>
        <w:tc>
          <w:tcPr>
            <w:tcW w:w="1978" w:type="dxa"/>
            <w:tcBorders>
              <w:top w:val="nil"/>
            </w:tcBorders>
            <w:vAlign w:val="center"/>
          </w:tcPr>
          <w:p w14:paraId="1921A9A1" w14:textId="76FB5E23" w:rsidR="0033486B" w:rsidRPr="004C1B1F" w:rsidRDefault="0033486B" w:rsidP="005D503A">
            <w:pPr>
              <w:pStyle w:val="NoSpacing"/>
              <w:spacing w:line="276" w:lineRule="auto"/>
              <w:jc w:val="center"/>
              <w:rPr>
                <w:rFonts w:ascii="Arial" w:hAnsi="Arial" w:cs="Arial"/>
                <w:sz w:val="18"/>
                <w:szCs w:val="18"/>
                <w:lang w:val="fr-FR"/>
              </w:rPr>
            </w:pPr>
            <w:r w:rsidRPr="004C1B1F">
              <w:rPr>
                <w:rFonts w:ascii="Arial" w:hAnsi="Arial" w:cs="Arial"/>
                <w:color w:val="000000"/>
                <w:sz w:val="18"/>
                <w:szCs w:val="18"/>
                <w:shd w:val="clear" w:color="auto" w:fill="FFFFFF"/>
              </w:rPr>
              <w:t>Xff_3-Rv_122365</w:t>
            </w:r>
          </w:p>
        </w:tc>
        <w:tc>
          <w:tcPr>
            <w:tcW w:w="4678" w:type="dxa"/>
            <w:tcBorders>
              <w:top w:val="nil"/>
            </w:tcBorders>
            <w:vAlign w:val="center"/>
          </w:tcPr>
          <w:p w14:paraId="3B755164" w14:textId="301CF74F" w:rsidR="0033486B" w:rsidRPr="004C1B1F" w:rsidRDefault="0033486B" w:rsidP="005D503A">
            <w:pPr>
              <w:pStyle w:val="NoSpacing"/>
              <w:spacing w:line="276" w:lineRule="auto"/>
              <w:jc w:val="center"/>
              <w:rPr>
                <w:rFonts w:ascii="Arial" w:hAnsi="Arial" w:cs="Arial"/>
                <w:sz w:val="18"/>
                <w:szCs w:val="18"/>
                <w:lang w:val="fr-FR"/>
              </w:rPr>
            </w:pPr>
            <w:r w:rsidRPr="004C1B1F">
              <w:rPr>
                <w:rFonts w:ascii="Arial" w:hAnsi="Arial" w:cs="Arial"/>
                <w:color w:val="000000"/>
                <w:sz w:val="18"/>
                <w:szCs w:val="18"/>
                <w:shd w:val="clear" w:color="auto" w:fill="FFFFFF"/>
              </w:rPr>
              <w:t>ACCTGAGAATTGCCCTTAATCG</w:t>
            </w:r>
          </w:p>
        </w:tc>
      </w:tr>
      <w:tr w:rsidR="0033486B" w:rsidRPr="004C1B1F" w14:paraId="0798479A" w14:textId="77777777" w:rsidTr="00054E1F">
        <w:trPr>
          <w:jc w:val="center"/>
        </w:trPr>
        <w:tc>
          <w:tcPr>
            <w:tcW w:w="2280" w:type="dxa"/>
            <w:vMerge/>
            <w:tcBorders>
              <w:bottom w:val="dashSmallGap" w:sz="4" w:space="0" w:color="auto"/>
            </w:tcBorders>
            <w:vAlign w:val="center"/>
          </w:tcPr>
          <w:p w14:paraId="4EBB7287" w14:textId="77777777" w:rsidR="0033486B" w:rsidRPr="004C1B1F" w:rsidRDefault="0033486B" w:rsidP="005D503A">
            <w:pPr>
              <w:pStyle w:val="NoSpacing"/>
              <w:spacing w:line="276" w:lineRule="auto"/>
              <w:jc w:val="center"/>
              <w:rPr>
                <w:rFonts w:ascii="Arial" w:hAnsi="Arial" w:cs="Arial"/>
                <w:sz w:val="18"/>
                <w:szCs w:val="18"/>
                <w:lang w:val="fr-FR"/>
              </w:rPr>
            </w:pPr>
          </w:p>
        </w:tc>
        <w:tc>
          <w:tcPr>
            <w:tcW w:w="1978" w:type="dxa"/>
            <w:tcBorders>
              <w:bottom w:val="dashSmallGap" w:sz="4" w:space="0" w:color="auto"/>
            </w:tcBorders>
            <w:vAlign w:val="center"/>
          </w:tcPr>
          <w:p w14:paraId="082573A5" w14:textId="6E8BF679" w:rsidR="0033486B" w:rsidRPr="004C1B1F" w:rsidRDefault="0033486B" w:rsidP="005D503A">
            <w:pPr>
              <w:pStyle w:val="NoSpacing"/>
              <w:spacing w:line="276" w:lineRule="auto"/>
              <w:jc w:val="center"/>
              <w:rPr>
                <w:rFonts w:ascii="Arial" w:hAnsi="Arial" w:cs="Arial"/>
                <w:sz w:val="18"/>
                <w:szCs w:val="18"/>
                <w:lang w:val="fr-FR"/>
              </w:rPr>
            </w:pPr>
            <w:r w:rsidRPr="004C1B1F">
              <w:rPr>
                <w:rFonts w:ascii="Arial" w:hAnsi="Arial" w:cs="Arial"/>
                <w:color w:val="000000"/>
                <w:sz w:val="18"/>
                <w:szCs w:val="18"/>
                <w:shd w:val="clear" w:color="auto" w:fill="FFFFFF"/>
              </w:rPr>
              <w:t>Xff_3-Pr_122365</w:t>
            </w:r>
          </w:p>
        </w:tc>
        <w:tc>
          <w:tcPr>
            <w:tcW w:w="4678" w:type="dxa"/>
            <w:tcBorders>
              <w:bottom w:val="dashSmallGap" w:sz="4" w:space="0" w:color="auto"/>
            </w:tcBorders>
            <w:vAlign w:val="center"/>
          </w:tcPr>
          <w:p w14:paraId="1FD2492D" w14:textId="5E407CD2" w:rsidR="0033486B" w:rsidRPr="004C1B1F" w:rsidRDefault="0033486B" w:rsidP="005D503A">
            <w:pPr>
              <w:pStyle w:val="NoSpacing"/>
              <w:spacing w:line="276" w:lineRule="auto"/>
              <w:jc w:val="center"/>
              <w:rPr>
                <w:rFonts w:ascii="Arial" w:hAnsi="Arial" w:cs="Arial"/>
                <w:sz w:val="18"/>
                <w:szCs w:val="18"/>
                <w:lang w:val="fr-FR"/>
              </w:rPr>
            </w:pPr>
            <w:r w:rsidRPr="004C1B1F">
              <w:rPr>
                <w:rFonts w:ascii="Arial" w:hAnsi="Arial" w:cs="Arial"/>
                <w:color w:val="000000"/>
                <w:sz w:val="18"/>
                <w:szCs w:val="18"/>
                <w:shd w:val="clear" w:color="auto" w:fill="FFFFFF"/>
              </w:rPr>
              <w:t>FAM-ACCTGAGAATTGCCCTTAATCG-BHQ1</w:t>
            </w:r>
          </w:p>
        </w:tc>
      </w:tr>
      <w:tr w:rsidR="0033486B" w:rsidRPr="004C1B1F" w14:paraId="1DC08E69" w14:textId="77777777" w:rsidTr="00054E1F">
        <w:trPr>
          <w:jc w:val="center"/>
        </w:trPr>
        <w:tc>
          <w:tcPr>
            <w:tcW w:w="2280" w:type="dxa"/>
            <w:vMerge w:val="restart"/>
            <w:tcBorders>
              <w:top w:val="dashSmallGap" w:sz="4" w:space="0" w:color="auto"/>
              <w:left w:val="single" w:sz="4" w:space="0" w:color="auto"/>
              <w:bottom w:val="nil"/>
            </w:tcBorders>
            <w:vAlign w:val="center"/>
          </w:tcPr>
          <w:p w14:paraId="7A1556B0" w14:textId="77777777" w:rsidR="0033486B" w:rsidRPr="004C1B1F" w:rsidRDefault="0033486B" w:rsidP="005D503A">
            <w:pPr>
              <w:pStyle w:val="NoSpacing"/>
              <w:spacing w:line="276" w:lineRule="auto"/>
              <w:jc w:val="center"/>
              <w:rPr>
                <w:rFonts w:ascii="Arial" w:hAnsi="Arial" w:cs="Arial"/>
                <w:sz w:val="18"/>
                <w:szCs w:val="18"/>
                <w:lang w:val="fr-FR"/>
              </w:rPr>
            </w:pPr>
            <w:r w:rsidRPr="004C1B1F">
              <w:rPr>
                <w:rFonts w:ascii="Arial" w:hAnsi="Arial" w:cs="Arial"/>
                <w:i/>
                <w:sz w:val="18"/>
                <w:szCs w:val="18"/>
                <w:lang w:val="fr-FR"/>
              </w:rPr>
              <w:t>X. fastidiosa</w:t>
            </w:r>
            <w:r w:rsidRPr="004C1B1F">
              <w:rPr>
                <w:rFonts w:ascii="Arial" w:hAnsi="Arial" w:cs="Arial"/>
                <w:sz w:val="18"/>
                <w:szCs w:val="18"/>
                <w:lang w:val="fr-FR"/>
              </w:rPr>
              <w:t xml:space="preserve"> subsp. </w:t>
            </w:r>
            <w:r w:rsidRPr="004C1B1F">
              <w:rPr>
                <w:rFonts w:ascii="Arial" w:hAnsi="Arial" w:cs="Arial"/>
                <w:i/>
                <w:sz w:val="18"/>
                <w:szCs w:val="18"/>
                <w:lang w:val="fr-FR"/>
              </w:rPr>
              <w:t>multiplex</w:t>
            </w:r>
          </w:p>
        </w:tc>
        <w:tc>
          <w:tcPr>
            <w:tcW w:w="1978" w:type="dxa"/>
            <w:tcBorders>
              <w:top w:val="dashSmallGap" w:sz="4" w:space="0" w:color="auto"/>
              <w:bottom w:val="nil"/>
            </w:tcBorders>
            <w:vAlign w:val="center"/>
          </w:tcPr>
          <w:p w14:paraId="1FAB990C" w14:textId="4FD06A7C" w:rsidR="0033486B" w:rsidRPr="004C1B1F" w:rsidRDefault="0033486B" w:rsidP="005D503A">
            <w:pPr>
              <w:pStyle w:val="NoSpacing"/>
              <w:spacing w:line="276" w:lineRule="auto"/>
              <w:jc w:val="center"/>
              <w:rPr>
                <w:rFonts w:ascii="Arial" w:hAnsi="Arial" w:cs="Arial"/>
                <w:sz w:val="18"/>
                <w:szCs w:val="18"/>
                <w:lang w:val="fr-FR"/>
              </w:rPr>
            </w:pPr>
            <w:r w:rsidRPr="004C1B1F">
              <w:rPr>
                <w:rFonts w:ascii="Arial" w:hAnsi="Arial" w:cs="Arial"/>
                <w:color w:val="000000"/>
                <w:sz w:val="18"/>
                <w:szCs w:val="18"/>
                <w:shd w:val="clear" w:color="auto" w:fill="FFFFFF"/>
              </w:rPr>
              <w:t>Xfmu_3-Fw_15747</w:t>
            </w:r>
          </w:p>
        </w:tc>
        <w:tc>
          <w:tcPr>
            <w:tcW w:w="4678" w:type="dxa"/>
            <w:tcBorders>
              <w:top w:val="dashSmallGap" w:sz="4" w:space="0" w:color="auto"/>
              <w:bottom w:val="nil"/>
            </w:tcBorders>
            <w:vAlign w:val="center"/>
          </w:tcPr>
          <w:p w14:paraId="151B259F" w14:textId="0ABF5230" w:rsidR="0033486B" w:rsidRPr="004C1B1F" w:rsidRDefault="0033486B" w:rsidP="005D503A">
            <w:pPr>
              <w:pStyle w:val="NoSpacing"/>
              <w:spacing w:line="276" w:lineRule="auto"/>
              <w:jc w:val="center"/>
              <w:rPr>
                <w:rFonts w:ascii="Arial" w:hAnsi="Arial" w:cs="Arial"/>
                <w:sz w:val="18"/>
                <w:szCs w:val="18"/>
                <w:lang w:val="fr-FR"/>
              </w:rPr>
            </w:pPr>
            <w:r w:rsidRPr="004C1B1F">
              <w:rPr>
                <w:rFonts w:ascii="Arial" w:hAnsi="Arial" w:cs="Arial"/>
                <w:color w:val="000000"/>
                <w:sz w:val="18"/>
                <w:szCs w:val="18"/>
                <w:shd w:val="clear" w:color="auto" w:fill="FFFFFF"/>
              </w:rPr>
              <w:t>CAATCGCTTTTGAGGTCATCC</w:t>
            </w:r>
          </w:p>
        </w:tc>
      </w:tr>
      <w:tr w:rsidR="0033486B" w:rsidRPr="004C1B1F" w14:paraId="3D94A5A0" w14:textId="77777777" w:rsidTr="00054E1F">
        <w:trPr>
          <w:jc w:val="center"/>
        </w:trPr>
        <w:tc>
          <w:tcPr>
            <w:tcW w:w="2280" w:type="dxa"/>
            <w:vMerge/>
            <w:tcBorders>
              <w:top w:val="nil"/>
            </w:tcBorders>
            <w:vAlign w:val="center"/>
          </w:tcPr>
          <w:p w14:paraId="7F240132" w14:textId="77777777" w:rsidR="0033486B" w:rsidRPr="004C1B1F" w:rsidRDefault="0033486B" w:rsidP="005D503A">
            <w:pPr>
              <w:pStyle w:val="NoSpacing"/>
              <w:spacing w:line="276" w:lineRule="auto"/>
              <w:jc w:val="center"/>
              <w:rPr>
                <w:rFonts w:ascii="Arial" w:hAnsi="Arial" w:cs="Arial"/>
                <w:sz w:val="18"/>
                <w:szCs w:val="18"/>
                <w:lang w:val="fr-FR"/>
              </w:rPr>
            </w:pPr>
          </w:p>
        </w:tc>
        <w:tc>
          <w:tcPr>
            <w:tcW w:w="1978" w:type="dxa"/>
            <w:tcBorders>
              <w:top w:val="nil"/>
            </w:tcBorders>
            <w:vAlign w:val="center"/>
          </w:tcPr>
          <w:p w14:paraId="234EDE11" w14:textId="2277A071" w:rsidR="0033486B" w:rsidRPr="004C1B1F" w:rsidRDefault="0033486B" w:rsidP="005D503A">
            <w:pPr>
              <w:pStyle w:val="NoSpacing"/>
              <w:spacing w:line="276" w:lineRule="auto"/>
              <w:jc w:val="center"/>
              <w:rPr>
                <w:rFonts w:ascii="Arial" w:hAnsi="Arial" w:cs="Arial"/>
                <w:sz w:val="18"/>
                <w:szCs w:val="18"/>
                <w:lang w:val="fr-FR"/>
              </w:rPr>
            </w:pPr>
            <w:r w:rsidRPr="004C1B1F">
              <w:rPr>
                <w:rFonts w:ascii="Arial" w:hAnsi="Arial" w:cs="Arial"/>
                <w:color w:val="000000"/>
                <w:sz w:val="18"/>
                <w:szCs w:val="18"/>
                <w:shd w:val="clear" w:color="auto" w:fill="FFFFFF"/>
              </w:rPr>
              <w:t>Xfmu_3-Rv_15747</w:t>
            </w:r>
          </w:p>
        </w:tc>
        <w:tc>
          <w:tcPr>
            <w:tcW w:w="4678" w:type="dxa"/>
            <w:tcBorders>
              <w:top w:val="nil"/>
            </w:tcBorders>
            <w:vAlign w:val="center"/>
          </w:tcPr>
          <w:p w14:paraId="23A9F23E" w14:textId="19EBA12B" w:rsidR="0033486B" w:rsidRPr="004C1B1F" w:rsidRDefault="0033486B" w:rsidP="005D503A">
            <w:pPr>
              <w:pStyle w:val="NoSpacing"/>
              <w:spacing w:line="276" w:lineRule="auto"/>
              <w:jc w:val="center"/>
              <w:rPr>
                <w:rFonts w:ascii="Arial" w:hAnsi="Arial" w:cs="Arial"/>
                <w:sz w:val="18"/>
                <w:szCs w:val="18"/>
                <w:lang w:val="fr-FR"/>
              </w:rPr>
            </w:pPr>
            <w:r w:rsidRPr="004C1B1F">
              <w:rPr>
                <w:rFonts w:ascii="Arial" w:hAnsi="Arial" w:cs="Arial"/>
                <w:color w:val="000000"/>
                <w:sz w:val="18"/>
                <w:szCs w:val="18"/>
                <w:shd w:val="clear" w:color="auto" w:fill="FFFFFF"/>
              </w:rPr>
              <w:t>CAATCGCTTTTGAGGTCATCC</w:t>
            </w:r>
          </w:p>
        </w:tc>
      </w:tr>
      <w:tr w:rsidR="0033486B" w:rsidRPr="004C1B1F" w14:paraId="09880831" w14:textId="77777777" w:rsidTr="00054E1F">
        <w:trPr>
          <w:jc w:val="center"/>
        </w:trPr>
        <w:tc>
          <w:tcPr>
            <w:tcW w:w="2280" w:type="dxa"/>
            <w:vMerge/>
            <w:tcBorders>
              <w:bottom w:val="dashSmallGap" w:sz="4" w:space="0" w:color="auto"/>
            </w:tcBorders>
            <w:vAlign w:val="center"/>
          </w:tcPr>
          <w:p w14:paraId="0AA2D1EE" w14:textId="77777777" w:rsidR="0033486B" w:rsidRPr="004C1B1F" w:rsidRDefault="0033486B" w:rsidP="005D503A">
            <w:pPr>
              <w:pStyle w:val="NoSpacing"/>
              <w:spacing w:line="276" w:lineRule="auto"/>
              <w:jc w:val="center"/>
              <w:rPr>
                <w:rFonts w:ascii="Arial" w:hAnsi="Arial" w:cs="Arial"/>
                <w:sz w:val="18"/>
                <w:szCs w:val="18"/>
                <w:lang w:val="fr-FR"/>
              </w:rPr>
            </w:pPr>
          </w:p>
        </w:tc>
        <w:tc>
          <w:tcPr>
            <w:tcW w:w="1978" w:type="dxa"/>
            <w:tcBorders>
              <w:bottom w:val="dashSmallGap" w:sz="4" w:space="0" w:color="auto"/>
            </w:tcBorders>
            <w:vAlign w:val="center"/>
          </w:tcPr>
          <w:p w14:paraId="235C5308" w14:textId="3193D7B6" w:rsidR="0033486B" w:rsidRPr="004C1B1F" w:rsidRDefault="0033486B" w:rsidP="005D503A">
            <w:pPr>
              <w:pStyle w:val="NoSpacing"/>
              <w:spacing w:line="276" w:lineRule="auto"/>
              <w:jc w:val="center"/>
              <w:rPr>
                <w:rFonts w:ascii="Arial" w:hAnsi="Arial" w:cs="Arial"/>
                <w:sz w:val="18"/>
                <w:szCs w:val="18"/>
                <w:lang w:val="fr-FR"/>
              </w:rPr>
            </w:pPr>
            <w:r w:rsidRPr="004C1B1F">
              <w:rPr>
                <w:rFonts w:ascii="Arial" w:hAnsi="Arial" w:cs="Arial"/>
                <w:color w:val="000000"/>
                <w:sz w:val="18"/>
                <w:szCs w:val="18"/>
                <w:shd w:val="clear" w:color="auto" w:fill="FFFFFF"/>
              </w:rPr>
              <w:t>Xfmu_3-Pr_15747</w:t>
            </w:r>
          </w:p>
        </w:tc>
        <w:tc>
          <w:tcPr>
            <w:tcW w:w="4678" w:type="dxa"/>
            <w:tcBorders>
              <w:bottom w:val="dashSmallGap" w:sz="4" w:space="0" w:color="auto"/>
            </w:tcBorders>
            <w:vAlign w:val="center"/>
          </w:tcPr>
          <w:p w14:paraId="27EA1CE5" w14:textId="54AA41C0" w:rsidR="0033486B" w:rsidRPr="004C1B1F" w:rsidRDefault="0033486B" w:rsidP="005D503A">
            <w:pPr>
              <w:pStyle w:val="NoSpacing"/>
              <w:spacing w:line="276" w:lineRule="auto"/>
              <w:jc w:val="center"/>
              <w:rPr>
                <w:rFonts w:ascii="Arial" w:hAnsi="Arial" w:cs="Arial"/>
                <w:sz w:val="18"/>
                <w:szCs w:val="18"/>
                <w:lang w:val="fr-FR"/>
              </w:rPr>
            </w:pPr>
            <w:r w:rsidRPr="004C1B1F">
              <w:rPr>
                <w:rFonts w:ascii="Arial" w:hAnsi="Arial" w:cs="Arial"/>
                <w:color w:val="000000"/>
                <w:sz w:val="18"/>
                <w:szCs w:val="18"/>
                <w:shd w:val="clear" w:color="auto" w:fill="FFFFFF"/>
              </w:rPr>
              <w:t>FAM-TCTGCAAACGCTTTAAAAACTGCTCGCC-BHQ1</w:t>
            </w:r>
          </w:p>
        </w:tc>
      </w:tr>
      <w:tr w:rsidR="0033486B" w:rsidRPr="004C1B1F" w14:paraId="6EF15786" w14:textId="77777777" w:rsidTr="00054E1F">
        <w:trPr>
          <w:jc w:val="center"/>
        </w:trPr>
        <w:tc>
          <w:tcPr>
            <w:tcW w:w="2280" w:type="dxa"/>
            <w:vMerge w:val="restart"/>
            <w:tcBorders>
              <w:top w:val="dashSmallGap" w:sz="4" w:space="0" w:color="auto"/>
              <w:left w:val="single" w:sz="4" w:space="0" w:color="auto"/>
              <w:bottom w:val="nil"/>
            </w:tcBorders>
            <w:vAlign w:val="center"/>
          </w:tcPr>
          <w:p w14:paraId="42AEE87D" w14:textId="77777777" w:rsidR="0033486B" w:rsidRPr="004C1B1F" w:rsidRDefault="0033486B" w:rsidP="005D503A">
            <w:pPr>
              <w:pStyle w:val="NoSpacing"/>
              <w:spacing w:line="276" w:lineRule="auto"/>
              <w:jc w:val="center"/>
              <w:rPr>
                <w:rFonts w:ascii="Arial" w:hAnsi="Arial" w:cs="Arial"/>
                <w:sz w:val="18"/>
                <w:szCs w:val="18"/>
                <w:lang w:val="fr-FR"/>
              </w:rPr>
            </w:pPr>
            <w:r w:rsidRPr="004C1B1F">
              <w:rPr>
                <w:rFonts w:ascii="Arial" w:hAnsi="Arial" w:cs="Arial"/>
                <w:i/>
                <w:sz w:val="18"/>
                <w:szCs w:val="18"/>
                <w:lang w:val="fr-FR"/>
              </w:rPr>
              <w:t>X. fastidiosa</w:t>
            </w:r>
            <w:r w:rsidRPr="004C1B1F">
              <w:rPr>
                <w:rFonts w:ascii="Arial" w:hAnsi="Arial" w:cs="Arial"/>
                <w:sz w:val="18"/>
                <w:szCs w:val="18"/>
                <w:lang w:val="fr-FR"/>
              </w:rPr>
              <w:t xml:space="preserve"> subsp. </w:t>
            </w:r>
            <w:r w:rsidRPr="004C1B1F">
              <w:rPr>
                <w:rFonts w:ascii="Arial" w:hAnsi="Arial" w:cs="Arial"/>
                <w:i/>
                <w:sz w:val="18"/>
                <w:szCs w:val="18"/>
                <w:lang w:val="fr-FR"/>
              </w:rPr>
              <w:t>morus</w:t>
            </w:r>
          </w:p>
        </w:tc>
        <w:tc>
          <w:tcPr>
            <w:tcW w:w="1978" w:type="dxa"/>
            <w:tcBorders>
              <w:top w:val="dashSmallGap" w:sz="4" w:space="0" w:color="auto"/>
              <w:bottom w:val="nil"/>
            </w:tcBorders>
            <w:vAlign w:val="center"/>
          </w:tcPr>
          <w:p w14:paraId="4B19CF16" w14:textId="6CB7DF3A" w:rsidR="0033486B" w:rsidRPr="004C1B1F" w:rsidRDefault="0033486B" w:rsidP="005D503A">
            <w:pPr>
              <w:pStyle w:val="NoSpacing"/>
              <w:spacing w:line="276" w:lineRule="auto"/>
              <w:jc w:val="center"/>
              <w:rPr>
                <w:rFonts w:ascii="Arial" w:hAnsi="Arial" w:cs="Arial"/>
                <w:sz w:val="18"/>
                <w:szCs w:val="18"/>
                <w:lang w:val="fr-FR"/>
              </w:rPr>
            </w:pPr>
            <w:r w:rsidRPr="004C1B1F">
              <w:rPr>
                <w:rFonts w:ascii="Arial" w:hAnsi="Arial" w:cs="Arial"/>
                <w:color w:val="000000"/>
                <w:sz w:val="18"/>
                <w:szCs w:val="18"/>
                <w:shd w:val="clear" w:color="auto" w:fill="FFFFFF"/>
              </w:rPr>
              <w:t>Xfmo_7_Fw_67218</w:t>
            </w:r>
          </w:p>
        </w:tc>
        <w:tc>
          <w:tcPr>
            <w:tcW w:w="4678" w:type="dxa"/>
            <w:tcBorders>
              <w:top w:val="dashSmallGap" w:sz="4" w:space="0" w:color="auto"/>
              <w:bottom w:val="nil"/>
            </w:tcBorders>
            <w:vAlign w:val="center"/>
          </w:tcPr>
          <w:p w14:paraId="382A6A5D" w14:textId="5285BEBD" w:rsidR="0033486B" w:rsidRPr="004C1B1F" w:rsidRDefault="0033486B" w:rsidP="005D503A">
            <w:pPr>
              <w:pStyle w:val="NoSpacing"/>
              <w:spacing w:line="276" w:lineRule="auto"/>
              <w:jc w:val="center"/>
              <w:rPr>
                <w:rFonts w:ascii="Arial" w:hAnsi="Arial" w:cs="Arial"/>
                <w:sz w:val="18"/>
                <w:szCs w:val="18"/>
                <w:lang w:val="fr-FR"/>
              </w:rPr>
            </w:pPr>
            <w:r w:rsidRPr="004C1B1F">
              <w:rPr>
                <w:rFonts w:ascii="Arial" w:hAnsi="Arial" w:cs="Arial"/>
                <w:color w:val="000000"/>
                <w:sz w:val="18"/>
                <w:szCs w:val="18"/>
                <w:shd w:val="clear" w:color="auto" w:fill="FFFFFF"/>
              </w:rPr>
              <w:t>CCACCTCGCTTTAGTTACGTGATT</w:t>
            </w:r>
          </w:p>
        </w:tc>
      </w:tr>
      <w:tr w:rsidR="0033486B" w:rsidRPr="004C1B1F" w14:paraId="313FE24B" w14:textId="77777777" w:rsidTr="00054E1F">
        <w:trPr>
          <w:jc w:val="center"/>
        </w:trPr>
        <w:tc>
          <w:tcPr>
            <w:tcW w:w="2280" w:type="dxa"/>
            <w:vMerge/>
            <w:tcBorders>
              <w:top w:val="nil"/>
            </w:tcBorders>
            <w:vAlign w:val="center"/>
          </w:tcPr>
          <w:p w14:paraId="3BB7AF35" w14:textId="77777777" w:rsidR="0033486B" w:rsidRPr="004C1B1F" w:rsidRDefault="0033486B" w:rsidP="005D503A">
            <w:pPr>
              <w:pStyle w:val="NoSpacing"/>
              <w:spacing w:line="276" w:lineRule="auto"/>
              <w:jc w:val="center"/>
              <w:rPr>
                <w:rFonts w:ascii="Arial" w:hAnsi="Arial" w:cs="Arial"/>
                <w:sz w:val="18"/>
                <w:szCs w:val="18"/>
                <w:lang w:val="fr-FR"/>
              </w:rPr>
            </w:pPr>
          </w:p>
        </w:tc>
        <w:tc>
          <w:tcPr>
            <w:tcW w:w="1978" w:type="dxa"/>
            <w:tcBorders>
              <w:top w:val="nil"/>
            </w:tcBorders>
            <w:vAlign w:val="center"/>
          </w:tcPr>
          <w:p w14:paraId="10C96417" w14:textId="251DFB7E" w:rsidR="0033486B" w:rsidRPr="004C1B1F" w:rsidRDefault="0033486B" w:rsidP="005D503A">
            <w:pPr>
              <w:pStyle w:val="NoSpacing"/>
              <w:spacing w:line="276" w:lineRule="auto"/>
              <w:jc w:val="center"/>
              <w:rPr>
                <w:rFonts w:ascii="Arial" w:hAnsi="Arial" w:cs="Arial"/>
                <w:sz w:val="18"/>
                <w:szCs w:val="18"/>
                <w:lang w:val="fr-FR"/>
              </w:rPr>
            </w:pPr>
            <w:r w:rsidRPr="004C1B1F">
              <w:rPr>
                <w:rFonts w:ascii="Arial" w:hAnsi="Arial" w:cs="Arial"/>
                <w:color w:val="000000"/>
                <w:sz w:val="18"/>
                <w:szCs w:val="18"/>
                <w:shd w:val="clear" w:color="auto" w:fill="FFFFFF"/>
              </w:rPr>
              <w:t>Xfmo_7_Rva_67218</w:t>
            </w:r>
          </w:p>
        </w:tc>
        <w:tc>
          <w:tcPr>
            <w:tcW w:w="4678" w:type="dxa"/>
            <w:tcBorders>
              <w:top w:val="nil"/>
            </w:tcBorders>
            <w:vAlign w:val="center"/>
          </w:tcPr>
          <w:p w14:paraId="1911860C" w14:textId="71F901D0" w:rsidR="0033486B" w:rsidRPr="004C1B1F" w:rsidRDefault="0033486B" w:rsidP="005D503A">
            <w:pPr>
              <w:pStyle w:val="NoSpacing"/>
              <w:spacing w:line="276" w:lineRule="auto"/>
              <w:jc w:val="center"/>
              <w:rPr>
                <w:rFonts w:ascii="Arial" w:hAnsi="Arial" w:cs="Arial"/>
                <w:sz w:val="18"/>
                <w:szCs w:val="18"/>
                <w:lang w:val="fr-FR"/>
              </w:rPr>
            </w:pPr>
            <w:r w:rsidRPr="004C1B1F">
              <w:rPr>
                <w:rFonts w:ascii="Arial" w:hAnsi="Arial" w:cs="Arial"/>
                <w:color w:val="000000"/>
                <w:sz w:val="18"/>
                <w:szCs w:val="18"/>
                <w:shd w:val="clear" w:color="auto" w:fill="FFFFFF"/>
              </w:rPr>
              <w:t>GGAGTTTATTTGGCTGAACTGAGTG</w:t>
            </w:r>
          </w:p>
        </w:tc>
      </w:tr>
      <w:tr w:rsidR="0033486B" w:rsidRPr="004C1B1F" w14:paraId="7C02B4FE" w14:textId="77777777" w:rsidTr="00054E1F">
        <w:trPr>
          <w:jc w:val="center"/>
        </w:trPr>
        <w:tc>
          <w:tcPr>
            <w:tcW w:w="2280" w:type="dxa"/>
            <w:vMerge/>
            <w:tcBorders>
              <w:bottom w:val="dashSmallGap" w:sz="4" w:space="0" w:color="auto"/>
            </w:tcBorders>
            <w:vAlign w:val="center"/>
          </w:tcPr>
          <w:p w14:paraId="7AD915CF" w14:textId="77777777" w:rsidR="0033486B" w:rsidRPr="004C1B1F" w:rsidRDefault="0033486B" w:rsidP="005D503A">
            <w:pPr>
              <w:pStyle w:val="NoSpacing"/>
              <w:spacing w:line="276" w:lineRule="auto"/>
              <w:jc w:val="center"/>
              <w:rPr>
                <w:rFonts w:ascii="Arial" w:hAnsi="Arial" w:cs="Arial"/>
                <w:sz w:val="18"/>
                <w:szCs w:val="18"/>
                <w:lang w:val="fr-FR"/>
              </w:rPr>
            </w:pPr>
          </w:p>
        </w:tc>
        <w:tc>
          <w:tcPr>
            <w:tcW w:w="1978" w:type="dxa"/>
            <w:tcBorders>
              <w:bottom w:val="dashSmallGap" w:sz="4" w:space="0" w:color="auto"/>
            </w:tcBorders>
            <w:vAlign w:val="center"/>
          </w:tcPr>
          <w:p w14:paraId="752699BC" w14:textId="427726CC" w:rsidR="0033486B" w:rsidRPr="004C1B1F" w:rsidRDefault="0033486B" w:rsidP="005D503A">
            <w:pPr>
              <w:pStyle w:val="NoSpacing"/>
              <w:spacing w:line="276" w:lineRule="auto"/>
              <w:jc w:val="center"/>
              <w:rPr>
                <w:rFonts w:ascii="Arial" w:hAnsi="Arial" w:cs="Arial"/>
                <w:sz w:val="18"/>
                <w:szCs w:val="18"/>
                <w:lang w:val="fr-FR"/>
              </w:rPr>
            </w:pPr>
            <w:r w:rsidRPr="004C1B1F">
              <w:rPr>
                <w:rFonts w:ascii="Arial" w:hAnsi="Arial" w:cs="Arial"/>
                <w:color w:val="000000"/>
                <w:sz w:val="18"/>
                <w:szCs w:val="18"/>
                <w:shd w:val="clear" w:color="auto" w:fill="FFFFFF"/>
              </w:rPr>
              <w:t>Xfmo_7_Pr_67218</w:t>
            </w:r>
          </w:p>
        </w:tc>
        <w:tc>
          <w:tcPr>
            <w:tcW w:w="4678" w:type="dxa"/>
            <w:tcBorders>
              <w:bottom w:val="dashSmallGap" w:sz="4" w:space="0" w:color="auto"/>
            </w:tcBorders>
            <w:vAlign w:val="center"/>
          </w:tcPr>
          <w:p w14:paraId="64E4C518" w14:textId="33FF692A" w:rsidR="0033486B" w:rsidRPr="004C1B1F" w:rsidRDefault="0033486B" w:rsidP="005D503A">
            <w:pPr>
              <w:pStyle w:val="NoSpacing"/>
              <w:spacing w:line="276" w:lineRule="auto"/>
              <w:jc w:val="center"/>
              <w:rPr>
                <w:rFonts w:ascii="Arial" w:hAnsi="Arial" w:cs="Arial"/>
                <w:sz w:val="18"/>
                <w:szCs w:val="18"/>
                <w:lang w:val="fr-FR"/>
              </w:rPr>
            </w:pPr>
            <w:r w:rsidRPr="004C1B1F">
              <w:rPr>
                <w:rFonts w:ascii="Arial" w:hAnsi="Arial" w:cs="Arial"/>
                <w:color w:val="000000"/>
                <w:sz w:val="18"/>
                <w:szCs w:val="18"/>
                <w:shd w:val="clear" w:color="auto" w:fill="FFFFFF"/>
              </w:rPr>
              <w:t>FAM-AAGCGTGATACTACTCC-MGB-NFQ</w:t>
            </w:r>
          </w:p>
        </w:tc>
      </w:tr>
      <w:tr w:rsidR="0033486B" w:rsidRPr="004C1B1F" w14:paraId="09BC0993" w14:textId="77777777" w:rsidTr="00054E1F">
        <w:trPr>
          <w:jc w:val="center"/>
        </w:trPr>
        <w:tc>
          <w:tcPr>
            <w:tcW w:w="2280" w:type="dxa"/>
            <w:vMerge w:val="restart"/>
            <w:tcBorders>
              <w:top w:val="dashSmallGap" w:sz="4" w:space="0" w:color="auto"/>
              <w:left w:val="single" w:sz="4" w:space="0" w:color="auto"/>
              <w:bottom w:val="nil"/>
            </w:tcBorders>
            <w:vAlign w:val="center"/>
          </w:tcPr>
          <w:p w14:paraId="0EE676BA" w14:textId="77777777" w:rsidR="0033486B" w:rsidRPr="004C1B1F" w:rsidRDefault="0033486B" w:rsidP="005D503A">
            <w:pPr>
              <w:pStyle w:val="NoSpacing"/>
              <w:spacing w:line="276" w:lineRule="auto"/>
              <w:jc w:val="center"/>
              <w:rPr>
                <w:rFonts w:ascii="Arial" w:hAnsi="Arial" w:cs="Arial"/>
                <w:sz w:val="18"/>
                <w:szCs w:val="18"/>
                <w:lang w:val="fr-FR"/>
              </w:rPr>
            </w:pPr>
            <w:r w:rsidRPr="004C1B1F">
              <w:rPr>
                <w:rFonts w:ascii="Arial" w:hAnsi="Arial" w:cs="Arial"/>
                <w:i/>
                <w:sz w:val="18"/>
                <w:szCs w:val="18"/>
                <w:lang w:val="fr-FR"/>
              </w:rPr>
              <w:t>X. fastidiosa</w:t>
            </w:r>
            <w:r w:rsidRPr="004C1B1F">
              <w:rPr>
                <w:rFonts w:ascii="Arial" w:hAnsi="Arial" w:cs="Arial"/>
                <w:sz w:val="18"/>
                <w:szCs w:val="18"/>
                <w:lang w:val="fr-FR"/>
              </w:rPr>
              <w:t xml:space="preserve"> subsp. </w:t>
            </w:r>
            <w:r w:rsidRPr="004C1B1F">
              <w:rPr>
                <w:rFonts w:ascii="Arial" w:hAnsi="Arial" w:cs="Arial"/>
                <w:i/>
                <w:sz w:val="18"/>
                <w:szCs w:val="18"/>
                <w:lang w:val="fr-FR"/>
              </w:rPr>
              <w:t>pauca</w:t>
            </w:r>
          </w:p>
        </w:tc>
        <w:tc>
          <w:tcPr>
            <w:tcW w:w="1978" w:type="dxa"/>
            <w:tcBorders>
              <w:top w:val="dashSmallGap" w:sz="4" w:space="0" w:color="auto"/>
              <w:bottom w:val="nil"/>
            </w:tcBorders>
            <w:vAlign w:val="center"/>
          </w:tcPr>
          <w:p w14:paraId="3A657A30" w14:textId="44CB10ED" w:rsidR="0033486B" w:rsidRPr="004C1B1F" w:rsidRDefault="001E70BC" w:rsidP="005D503A">
            <w:pPr>
              <w:pStyle w:val="NoSpacing"/>
              <w:spacing w:line="276" w:lineRule="auto"/>
              <w:jc w:val="center"/>
              <w:rPr>
                <w:rFonts w:ascii="Arial" w:hAnsi="Arial" w:cs="Arial"/>
                <w:sz w:val="18"/>
                <w:szCs w:val="18"/>
                <w:lang w:val="fr-FR"/>
              </w:rPr>
            </w:pPr>
            <w:r w:rsidRPr="004C1B1F">
              <w:rPr>
                <w:rFonts w:ascii="Arial" w:hAnsi="Arial" w:cs="Arial"/>
                <w:color w:val="000000"/>
                <w:sz w:val="18"/>
                <w:szCs w:val="18"/>
                <w:shd w:val="clear" w:color="auto" w:fill="FFFFFF"/>
              </w:rPr>
              <w:t>Xfp_1-Fw_28775</w:t>
            </w:r>
          </w:p>
        </w:tc>
        <w:tc>
          <w:tcPr>
            <w:tcW w:w="4678" w:type="dxa"/>
            <w:tcBorders>
              <w:top w:val="dashSmallGap" w:sz="4" w:space="0" w:color="auto"/>
              <w:bottom w:val="nil"/>
            </w:tcBorders>
            <w:vAlign w:val="center"/>
          </w:tcPr>
          <w:p w14:paraId="620D5B40" w14:textId="2A6E6921" w:rsidR="0033486B" w:rsidRPr="004C1B1F" w:rsidRDefault="001E70BC" w:rsidP="005D503A">
            <w:pPr>
              <w:pStyle w:val="NoSpacing"/>
              <w:spacing w:line="276" w:lineRule="auto"/>
              <w:jc w:val="center"/>
              <w:rPr>
                <w:rFonts w:ascii="Arial" w:hAnsi="Arial" w:cs="Arial"/>
                <w:sz w:val="18"/>
                <w:szCs w:val="18"/>
                <w:lang w:val="fr-FR"/>
              </w:rPr>
            </w:pPr>
            <w:r w:rsidRPr="004C1B1F">
              <w:rPr>
                <w:rFonts w:ascii="Arial" w:hAnsi="Arial" w:cs="Arial"/>
                <w:color w:val="000000"/>
                <w:sz w:val="18"/>
                <w:szCs w:val="18"/>
                <w:shd w:val="clear" w:color="auto" w:fill="FFFFFF"/>
              </w:rPr>
              <w:t>GCATCCTCACCACCGAAGG</w:t>
            </w:r>
          </w:p>
        </w:tc>
      </w:tr>
      <w:tr w:rsidR="0033486B" w:rsidRPr="004C1B1F" w14:paraId="1CAA804F" w14:textId="77777777" w:rsidTr="00054E1F">
        <w:trPr>
          <w:jc w:val="center"/>
        </w:trPr>
        <w:tc>
          <w:tcPr>
            <w:tcW w:w="2280" w:type="dxa"/>
            <w:vMerge/>
            <w:tcBorders>
              <w:top w:val="nil"/>
            </w:tcBorders>
            <w:vAlign w:val="center"/>
          </w:tcPr>
          <w:p w14:paraId="0DC81084" w14:textId="77777777" w:rsidR="0033486B" w:rsidRPr="004C1B1F" w:rsidRDefault="0033486B" w:rsidP="005D503A">
            <w:pPr>
              <w:pStyle w:val="NoSpacing"/>
              <w:spacing w:line="276" w:lineRule="auto"/>
              <w:jc w:val="center"/>
              <w:rPr>
                <w:rFonts w:ascii="Arial" w:hAnsi="Arial" w:cs="Arial"/>
                <w:sz w:val="18"/>
                <w:szCs w:val="18"/>
                <w:lang w:val="fr-FR"/>
              </w:rPr>
            </w:pPr>
          </w:p>
        </w:tc>
        <w:tc>
          <w:tcPr>
            <w:tcW w:w="1978" w:type="dxa"/>
            <w:tcBorders>
              <w:top w:val="nil"/>
            </w:tcBorders>
            <w:vAlign w:val="center"/>
          </w:tcPr>
          <w:p w14:paraId="4F2E4FB3" w14:textId="72589D44" w:rsidR="0033486B" w:rsidRPr="004C1B1F" w:rsidRDefault="001E70BC" w:rsidP="005D503A">
            <w:pPr>
              <w:pStyle w:val="NoSpacing"/>
              <w:spacing w:line="276" w:lineRule="auto"/>
              <w:jc w:val="center"/>
              <w:rPr>
                <w:rFonts w:ascii="Arial" w:hAnsi="Arial" w:cs="Arial"/>
                <w:sz w:val="18"/>
                <w:szCs w:val="18"/>
                <w:lang w:val="fr-FR"/>
              </w:rPr>
            </w:pPr>
            <w:r w:rsidRPr="004C1B1F">
              <w:rPr>
                <w:rFonts w:ascii="Arial" w:hAnsi="Arial" w:cs="Arial"/>
                <w:color w:val="000000"/>
                <w:sz w:val="18"/>
                <w:szCs w:val="18"/>
                <w:shd w:val="clear" w:color="auto" w:fill="FFFFFF"/>
              </w:rPr>
              <w:t>Xfp_1-Rw_28775</w:t>
            </w:r>
          </w:p>
        </w:tc>
        <w:tc>
          <w:tcPr>
            <w:tcW w:w="4678" w:type="dxa"/>
            <w:tcBorders>
              <w:top w:val="nil"/>
            </w:tcBorders>
            <w:vAlign w:val="center"/>
          </w:tcPr>
          <w:p w14:paraId="3EB46543" w14:textId="1F1B1F4B" w:rsidR="0033486B" w:rsidRPr="004C1B1F" w:rsidRDefault="001E70BC" w:rsidP="005D503A">
            <w:pPr>
              <w:pStyle w:val="NoSpacing"/>
              <w:spacing w:line="276" w:lineRule="auto"/>
              <w:jc w:val="center"/>
              <w:rPr>
                <w:rFonts w:ascii="Arial" w:hAnsi="Arial" w:cs="Arial"/>
                <w:sz w:val="18"/>
                <w:szCs w:val="18"/>
                <w:lang w:val="fr-FR"/>
              </w:rPr>
            </w:pPr>
            <w:r w:rsidRPr="004C1B1F">
              <w:rPr>
                <w:rFonts w:ascii="Arial" w:hAnsi="Arial" w:cs="Arial"/>
                <w:color w:val="000000"/>
                <w:sz w:val="18"/>
                <w:szCs w:val="18"/>
                <w:shd w:val="clear" w:color="auto" w:fill="FFFFFF"/>
              </w:rPr>
              <w:t>GCATCCTCACCACCGAAGG</w:t>
            </w:r>
          </w:p>
        </w:tc>
      </w:tr>
      <w:tr w:rsidR="0033486B" w:rsidRPr="004C1B1F" w14:paraId="41BFEED2" w14:textId="77777777" w:rsidTr="00054E1F">
        <w:trPr>
          <w:jc w:val="center"/>
        </w:trPr>
        <w:tc>
          <w:tcPr>
            <w:tcW w:w="2280" w:type="dxa"/>
            <w:vMerge/>
            <w:tcBorders>
              <w:bottom w:val="dashSmallGap" w:sz="4" w:space="0" w:color="auto"/>
            </w:tcBorders>
            <w:vAlign w:val="center"/>
          </w:tcPr>
          <w:p w14:paraId="54091989" w14:textId="77777777" w:rsidR="0033486B" w:rsidRPr="004C1B1F" w:rsidRDefault="0033486B" w:rsidP="005D503A">
            <w:pPr>
              <w:pStyle w:val="NoSpacing"/>
              <w:spacing w:line="276" w:lineRule="auto"/>
              <w:jc w:val="center"/>
              <w:rPr>
                <w:rFonts w:ascii="Arial" w:hAnsi="Arial" w:cs="Arial"/>
                <w:sz w:val="18"/>
                <w:szCs w:val="18"/>
                <w:lang w:val="fr-FR"/>
              </w:rPr>
            </w:pPr>
          </w:p>
        </w:tc>
        <w:tc>
          <w:tcPr>
            <w:tcW w:w="1978" w:type="dxa"/>
            <w:tcBorders>
              <w:bottom w:val="dashSmallGap" w:sz="4" w:space="0" w:color="auto"/>
            </w:tcBorders>
            <w:vAlign w:val="center"/>
          </w:tcPr>
          <w:p w14:paraId="7C257781" w14:textId="728C4EA4" w:rsidR="0033486B" w:rsidRPr="004C1B1F" w:rsidRDefault="001E70BC" w:rsidP="005D503A">
            <w:pPr>
              <w:pStyle w:val="NoSpacing"/>
              <w:spacing w:line="276" w:lineRule="auto"/>
              <w:jc w:val="center"/>
              <w:rPr>
                <w:rFonts w:ascii="Arial" w:hAnsi="Arial" w:cs="Arial"/>
                <w:sz w:val="18"/>
                <w:szCs w:val="18"/>
                <w:lang w:val="fr-FR"/>
              </w:rPr>
            </w:pPr>
            <w:r w:rsidRPr="004C1B1F">
              <w:rPr>
                <w:rFonts w:ascii="Arial" w:hAnsi="Arial" w:cs="Arial"/>
                <w:color w:val="000000"/>
                <w:sz w:val="18"/>
                <w:szCs w:val="18"/>
                <w:shd w:val="clear" w:color="auto" w:fill="FFFFFF"/>
              </w:rPr>
              <w:t>Xfp_1-Pr_28775</w:t>
            </w:r>
          </w:p>
        </w:tc>
        <w:tc>
          <w:tcPr>
            <w:tcW w:w="4678" w:type="dxa"/>
            <w:tcBorders>
              <w:bottom w:val="dashSmallGap" w:sz="4" w:space="0" w:color="auto"/>
            </w:tcBorders>
            <w:vAlign w:val="center"/>
          </w:tcPr>
          <w:p w14:paraId="44668ECB" w14:textId="31CFE6BD" w:rsidR="0033486B" w:rsidRPr="004C1B1F" w:rsidRDefault="001E70BC" w:rsidP="005D503A">
            <w:pPr>
              <w:pStyle w:val="NoSpacing"/>
              <w:spacing w:line="276" w:lineRule="auto"/>
              <w:jc w:val="center"/>
              <w:rPr>
                <w:rFonts w:ascii="Arial" w:hAnsi="Arial" w:cs="Arial"/>
                <w:sz w:val="18"/>
                <w:szCs w:val="18"/>
                <w:lang w:val="fr-FR"/>
              </w:rPr>
            </w:pPr>
            <w:r w:rsidRPr="004C1B1F">
              <w:rPr>
                <w:rFonts w:ascii="Arial" w:hAnsi="Arial" w:cs="Arial"/>
                <w:color w:val="000000"/>
                <w:sz w:val="18"/>
                <w:szCs w:val="18"/>
                <w:shd w:val="clear" w:color="auto" w:fill="FFFFFF"/>
              </w:rPr>
              <w:t>FAM-CCTTGGACGCGGATACCCGCA-BHQ1</w:t>
            </w:r>
          </w:p>
        </w:tc>
      </w:tr>
      <w:tr w:rsidR="0033486B" w:rsidRPr="004C1B1F" w14:paraId="5871225C" w14:textId="77777777" w:rsidTr="00054E1F">
        <w:trPr>
          <w:jc w:val="center"/>
        </w:trPr>
        <w:tc>
          <w:tcPr>
            <w:tcW w:w="2280" w:type="dxa"/>
            <w:vMerge w:val="restart"/>
            <w:tcBorders>
              <w:top w:val="dashSmallGap" w:sz="4" w:space="0" w:color="auto"/>
              <w:bottom w:val="nil"/>
            </w:tcBorders>
            <w:vAlign w:val="center"/>
          </w:tcPr>
          <w:p w14:paraId="7B39D443" w14:textId="52B8A9C2" w:rsidR="0033486B" w:rsidRPr="004C1B1F" w:rsidRDefault="001E70BC" w:rsidP="005D503A">
            <w:pPr>
              <w:pStyle w:val="NoSpacing"/>
              <w:spacing w:line="276" w:lineRule="auto"/>
              <w:jc w:val="center"/>
              <w:rPr>
                <w:rFonts w:ascii="Arial" w:hAnsi="Arial" w:cs="Arial"/>
                <w:sz w:val="18"/>
                <w:szCs w:val="18"/>
                <w:lang w:val="fr-FR"/>
              </w:rPr>
            </w:pPr>
            <w:r w:rsidRPr="004C1B1F">
              <w:rPr>
                <w:rFonts w:ascii="Arial" w:hAnsi="Arial" w:cs="Arial"/>
                <w:i/>
                <w:sz w:val="18"/>
                <w:szCs w:val="18"/>
                <w:lang w:val="fr-FR"/>
              </w:rPr>
              <w:t>X. fastidiosa</w:t>
            </w:r>
            <w:r w:rsidRPr="004C1B1F">
              <w:rPr>
                <w:rFonts w:ascii="Arial" w:hAnsi="Arial" w:cs="Arial"/>
                <w:sz w:val="18"/>
                <w:szCs w:val="18"/>
                <w:lang w:val="fr-FR"/>
              </w:rPr>
              <w:t xml:space="preserve"> subsp. </w:t>
            </w:r>
            <w:r w:rsidRPr="004C1B1F">
              <w:rPr>
                <w:rFonts w:ascii="Arial" w:hAnsi="Arial" w:cs="Arial"/>
                <w:i/>
                <w:sz w:val="18"/>
                <w:szCs w:val="18"/>
                <w:lang w:val="fr-FR"/>
              </w:rPr>
              <w:t>sandyi</w:t>
            </w:r>
          </w:p>
        </w:tc>
        <w:tc>
          <w:tcPr>
            <w:tcW w:w="1978" w:type="dxa"/>
            <w:tcBorders>
              <w:top w:val="dashSmallGap" w:sz="4" w:space="0" w:color="auto"/>
              <w:bottom w:val="nil"/>
            </w:tcBorders>
            <w:vAlign w:val="center"/>
          </w:tcPr>
          <w:p w14:paraId="749116B5" w14:textId="131583C1" w:rsidR="0033486B" w:rsidRPr="004C1B1F" w:rsidRDefault="001E70BC" w:rsidP="005D503A">
            <w:pPr>
              <w:pStyle w:val="NoSpacing"/>
              <w:spacing w:line="276" w:lineRule="auto"/>
              <w:jc w:val="center"/>
              <w:rPr>
                <w:rFonts w:ascii="Arial" w:hAnsi="Arial" w:cs="Arial"/>
                <w:sz w:val="18"/>
                <w:szCs w:val="18"/>
                <w:lang w:val="fr-FR"/>
              </w:rPr>
            </w:pPr>
            <w:r w:rsidRPr="004C1B1F">
              <w:rPr>
                <w:rFonts w:ascii="Arial" w:hAnsi="Arial" w:cs="Arial"/>
                <w:color w:val="000000"/>
                <w:sz w:val="18"/>
                <w:szCs w:val="18"/>
                <w:shd w:val="clear" w:color="auto" w:fill="FFFFFF"/>
              </w:rPr>
              <w:t>Xfs_4_Fwb_112076</w:t>
            </w:r>
          </w:p>
        </w:tc>
        <w:tc>
          <w:tcPr>
            <w:tcW w:w="4678" w:type="dxa"/>
            <w:tcBorders>
              <w:top w:val="dashSmallGap" w:sz="4" w:space="0" w:color="auto"/>
              <w:bottom w:val="nil"/>
            </w:tcBorders>
          </w:tcPr>
          <w:p w14:paraId="7D210E11" w14:textId="2FF2C82E" w:rsidR="0033486B" w:rsidRPr="004C1B1F" w:rsidRDefault="001E70BC" w:rsidP="005D503A">
            <w:pPr>
              <w:pStyle w:val="NoSpacing"/>
              <w:spacing w:line="276" w:lineRule="auto"/>
              <w:jc w:val="center"/>
              <w:rPr>
                <w:rFonts w:ascii="Arial" w:eastAsia="Calibri" w:hAnsi="Arial" w:cs="Arial"/>
                <w:sz w:val="18"/>
                <w:szCs w:val="18"/>
                <w:lang w:val="fr-FR" w:eastAsia="fr-FR"/>
              </w:rPr>
            </w:pPr>
            <w:r w:rsidRPr="004C1B1F">
              <w:rPr>
                <w:rFonts w:ascii="Arial" w:hAnsi="Arial" w:cs="Arial"/>
                <w:color w:val="000000"/>
                <w:sz w:val="18"/>
                <w:szCs w:val="18"/>
                <w:shd w:val="clear" w:color="auto" w:fill="FFFFFF"/>
              </w:rPr>
              <w:t>CCCCGCTGTGGCAGAA</w:t>
            </w:r>
            <w:r w:rsidR="0033486B" w:rsidRPr="004C1B1F">
              <w:rPr>
                <w:rFonts w:ascii="Arial" w:eastAsia="Calibri" w:hAnsi="Arial" w:cs="Arial"/>
                <w:sz w:val="18"/>
                <w:szCs w:val="18"/>
                <w:lang w:val="fr-FR" w:eastAsia="fr-FR"/>
              </w:rPr>
              <w:t xml:space="preserve"> </w:t>
            </w:r>
          </w:p>
        </w:tc>
      </w:tr>
      <w:tr w:rsidR="0033486B" w:rsidRPr="004C1B1F" w14:paraId="2E86E43D" w14:textId="77777777" w:rsidTr="00054E1F">
        <w:trPr>
          <w:jc w:val="center"/>
        </w:trPr>
        <w:tc>
          <w:tcPr>
            <w:tcW w:w="2280" w:type="dxa"/>
            <w:vMerge/>
            <w:tcBorders>
              <w:top w:val="nil"/>
            </w:tcBorders>
            <w:vAlign w:val="center"/>
          </w:tcPr>
          <w:p w14:paraId="0740183D" w14:textId="77777777" w:rsidR="0033486B" w:rsidRPr="004C1B1F" w:rsidRDefault="0033486B" w:rsidP="005D503A">
            <w:pPr>
              <w:pStyle w:val="NoSpacing"/>
              <w:spacing w:line="276" w:lineRule="auto"/>
              <w:jc w:val="center"/>
              <w:rPr>
                <w:rFonts w:ascii="Arial" w:hAnsi="Arial" w:cs="Arial"/>
                <w:sz w:val="18"/>
                <w:szCs w:val="18"/>
                <w:lang w:val="fr-FR"/>
              </w:rPr>
            </w:pPr>
          </w:p>
        </w:tc>
        <w:tc>
          <w:tcPr>
            <w:tcW w:w="1978" w:type="dxa"/>
            <w:tcBorders>
              <w:top w:val="nil"/>
            </w:tcBorders>
            <w:vAlign w:val="center"/>
          </w:tcPr>
          <w:p w14:paraId="40EE9674" w14:textId="1B7D051B" w:rsidR="0033486B" w:rsidRPr="004C1B1F" w:rsidRDefault="001E70BC" w:rsidP="005D503A">
            <w:pPr>
              <w:pStyle w:val="NoSpacing"/>
              <w:spacing w:line="276" w:lineRule="auto"/>
              <w:jc w:val="center"/>
              <w:rPr>
                <w:rFonts w:ascii="Arial" w:hAnsi="Arial" w:cs="Arial"/>
                <w:sz w:val="18"/>
                <w:szCs w:val="18"/>
                <w:lang w:val="fr-FR"/>
              </w:rPr>
            </w:pPr>
            <w:r w:rsidRPr="004C1B1F">
              <w:rPr>
                <w:rFonts w:ascii="Arial" w:hAnsi="Arial" w:cs="Arial"/>
                <w:color w:val="000000"/>
                <w:sz w:val="18"/>
                <w:szCs w:val="18"/>
                <w:shd w:val="clear" w:color="auto" w:fill="FFFFFF"/>
              </w:rPr>
              <w:t>Xfs_4_Fwb_112076</w:t>
            </w:r>
          </w:p>
        </w:tc>
        <w:tc>
          <w:tcPr>
            <w:tcW w:w="4678" w:type="dxa"/>
            <w:tcBorders>
              <w:top w:val="nil"/>
            </w:tcBorders>
          </w:tcPr>
          <w:p w14:paraId="1C0EC61F" w14:textId="4F891B2E" w:rsidR="0033486B" w:rsidRPr="004C1B1F" w:rsidRDefault="001E70BC" w:rsidP="005D503A">
            <w:pPr>
              <w:pStyle w:val="NoSpacing"/>
              <w:spacing w:line="276" w:lineRule="auto"/>
              <w:jc w:val="center"/>
              <w:rPr>
                <w:rFonts w:ascii="Arial" w:eastAsia="Calibri" w:hAnsi="Arial" w:cs="Arial"/>
                <w:sz w:val="18"/>
                <w:szCs w:val="18"/>
                <w:lang w:val="fr-FR" w:eastAsia="fr-FR"/>
              </w:rPr>
            </w:pPr>
            <w:r w:rsidRPr="004C1B1F">
              <w:rPr>
                <w:rFonts w:ascii="Arial" w:hAnsi="Arial" w:cs="Arial"/>
                <w:color w:val="000000"/>
                <w:sz w:val="18"/>
                <w:szCs w:val="18"/>
                <w:shd w:val="clear" w:color="auto" w:fill="FFFFFF"/>
              </w:rPr>
              <w:t>GGTCCGAGCCATACGGC</w:t>
            </w:r>
            <w:r w:rsidR="0033486B" w:rsidRPr="004C1B1F">
              <w:rPr>
                <w:rFonts w:ascii="Arial" w:eastAsia="Calibri" w:hAnsi="Arial" w:cs="Arial"/>
                <w:sz w:val="18"/>
                <w:szCs w:val="18"/>
                <w:lang w:val="fr-FR" w:eastAsia="fr-FR"/>
              </w:rPr>
              <w:t xml:space="preserve"> </w:t>
            </w:r>
          </w:p>
        </w:tc>
      </w:tr>
      <w:tr w:rsidR="0033486B" w:rsidRPr="004C1B1F" w14:paraId="699908C7" w14:textId="77777777" w:rsidTr="00054E1F">
        <w:trPr>
          <w:jc w:val="center"/>
        </w:trPr>
        <w:tc>
          <w:tcPr>
            <w:tcW w:w="2280" w:type="dxa"/>
            <w:vMerge/>
            <w:vAlign w:val="center"/>
          </w:tcPr>
          <w:p w14:paraId="07EEB66E" w14:textId="77777777" w:rsidR="0033486B" w:rsidRPr="004C1B1F" w:rsidRDefault="0033486B" w:rsidP="005D503A">
            <w:pPr>
              <w:pStyle w:val="NoSpacing"/>
              <w:spacing w:line="276" w:lineRule="auto"/>
              <w:jc w:val="center"/>
              <w:rPr>
                <w:rFonts w:ascii="Arial" w:hAnsi="Arial" w:cs="Arial"/>
                <w:sz w:val="18"/>
                <w:szCs w:val="18"/>
                <w:lang w:val="fr-FR"/>
              </w:rPr>
            </w:pPr>
          </w:p>
        </w:tc>
        <w:tc>
          <w:tcPr>
            <w:tcW w:w="1978" w:type="dxa"/>
            <w:vAlign w:val="center"/>
          </w:tcPr>
          <w:p w14:paraId="6BD94B43" w14:textId="527653A1" w:rsidR="0033486B" w:rsidRPr="004C1B1F" w:rsidRDefault="001E70BC" w:rsidP="005D503A">
            <w:pPr>
              <w:pStyle w:val="NoSpacing"/>
              <w:spacing w:line="276" w:lineRule="auto"/>
              <w:jc w:val="center"/>
              <w:rPr>
                <w:rFonts w:ascii="Arial" w:hAnsi="Arial" w:cs="Arial"/>
                <w:sz w:val="18"/>
                <w:szCs w:val="18"/>
                <w:lang w:val="fr-FR"/>
              </w:rPr>
            </w:pPr>
            <w:r w:rsidRPr="004C1B1F">
              <w:rPr>
                <w:rFonts w:ascii="Arial" w:hAnsi="Arial" w:cs="Arial"/>
                <w:color w:val="000000"/>
                <w:sz w:val="18"/>
                <w:szCs w:val="18"/>
                <w:shd w:val="clear" w:color="auto" w:fill="FFFFFF"/>
              </w:rPr>
              <w:t>Xfs_4_Fwb_112076</w:t>
            </w:r>
          </w:p>
        </w:tc>
        <w:tc>
          <w:tcPr>
            <w:tcW w:w="4678" w:type="dxa"/>
          </w:tcPr>
          <w:p w14:paraId="0A29371D" w14:textId="0B847F71" w:rsidR="0033486B" w:rsidRPr="004C1B1F" w:rsidRDefault="0033486B" w:rsidP="005D503A">
            <w:pPr>
              <w:pStyle w:val="NoSpacing"/>
              <w:spacing w:line="276" w:lineRule="auto"/>
              <w:jc w:val="center"/>
              <w:rPr>
                <w:rFonts w:ascii="Arial" w:eastAsia="Calibri" w:hAnsi="Arial" w:cs="Arial"/>
                <w:sz w:val="18"/>
                <w:szCs w:val="18"/>
                <w:lang w:val="fr-FR" w:eastAsia="fr-FR"/>
              </w:rPr>
            </w:pPr>
            <w:r w:rsidRPr="004C1B1F">
              <w:rPr>
                <w:rFonts w:ascii="Arial" w:eastAsia="Calibri" w:hAnsi="Arial" w:cs="Arial"/>
                <w:sz w:val="18"/>
                <w:szCs w:val="18"/>
                <w:lang w:val="fr-FR" w:eastAsia="fr-FR"/>
              </w:rPr>
              <w:t>FAM-</w:t>
            </w:r>
            <w:r w:rsidR="001E70BC" w:rsidRPr="004C1B1F">
              <w:rPr>
                <w:rFonts w:ascii="Arial" w:hAnsi="Arial" w:cs="Arial"/>
                <w:color w:val="000000"/>
                <w:sz w:val="18"/>
                <w:szCs w:val="18"/>
                <w:shd w:val="clear" w:color="auto" w:fill="FFFFFF"/>
              </w:rPr>
              <w:t xml:space="preserve"> CAGCGCCTTCAATC</w:t>
            </w:r>
            <w:r w:rsidR="001E70BC" w:rsidRPr="004C1B1F">
              <w:rPr>
                <w:rFonts w:ascii="Arial" w:eastAsia="Calibri" w:hAnsi="Arial" w:cs="Arial"/>
                <w:sz w:val="18"/>
                <w:szCs w:val="18"/>
                <w:lang w:val="fr-FR" w:eastAsia="fr-FR"/>
              </w:rPr>
              <w:t xml:space="preserve"> </w:t>
            </w:r>
            <w:r w:rsidRPr="004C1B1F">
              <w:rPr>
                <w:rFonts w:ascii="Arial" w:eastAsia="Calibri" w:hAnsi="Arial" w:cs="Arial"/>
                <w:sz w:val="18"/>
                <w:szCs w:val="18"/>
                <w:lang w:val="fr-FR" w:eastAsia="fr-FR"/>
              </w:rPr>
              <w:t>-</w:t>
            </w:r>
            <w:r w:rsidR="001E70BC" w:rsidRPr="004C1B1F">
              <w:rPr>
                <w:rFonts w:ascii="Arial" w:eastAsia="Calibri" w:hAnsi="Arial" w:cs="Arial"/>
                <w:sz w:val="18"/>
                <w:szCs w:val="18"/>
                <w:lang w:val="fr-FR" w:eastAsia="fr-FR"/>
              </w:rPr>
              <w:t>MGB-NFQ</w:t>
            </w:r>
          </w:p>
        </w:tc>
      </w:tr>
    </w:tbl>
    <w:p w14:paraId="2FD4A7D0" w14:textId="6EA49CB5" w:rsidR="005D503A" w:rsidRDefault="005D503A" w:rsidP="00690EBB">
      <w:pPr>
        <w:pStyle w:val="IPPNormal"/>
        <w:ind w:left="480"/>
        <w:rPr>
          <w:szCs w:val="22"/>
        </w:rPr>
      </w:pPr>
    </w:p>
    <w:p w14:paraId="3C1CAE83" w14:textId="4541F6A2" w:rsidR="005D503A" w:rsidRPr="00133D6E" w:rsidRDefault="005D503A" w:rsidP="00054E1F">
      <w:pPr>
        <w:pStyle w:val="IPPNormal"/>
        <w:rPr>
          <w:rFonts w:ascii="Arial" w:hAnsi="Arial" w:cs="Arial"/>
          <w:sz w:val="18"/>
          <w:szCs w:val="18"/>
        </w:rPr>
      </w:pPr>
      <w:r w:rsidRPr="00133D6E">
        <w:rPr>
          <w:rFonts w:ascii="Arial" w:hAnsi="Arial" w:cs="Arial"/>
          <w:b/>
          <w:sz w:val="18"/>
          <w:szCs w:val="18"/>
        </w:rPr>
        <w:t>Table 1</w:t>
      </w:r>
      <w:r w:rsidR="00EF03FA" w:rsidRPr="00133D6E">
        <w:rPr>
          <w:rFonts w:ascii="Arial" w:hAnsi="Arial" w:cs="Arial"/>
          <w:b/>
          <w:sz w:val="18"/>
          <w:szCs w:val="18"/>
        </w:rPr>
        <w:t>3</w:t>
      </w:r>
      <w:r w:rsidR="008D3BD9" w:rsidRPr="00133D6E">
        <w:rPr>
          <w:rFonts w:ascii="Arial" w:hAnsi="Arial" w:cs="Arial"/>
          <w:sz w:val="18"/>
          <w:szCs w:val="18"/>
        </w:rPr>
        <w:t>.</w:t>
      </w:r>
      <w:r w:rsidRPr="00133D6E">
        <w:rPr>
          <w:rFonts w:ascii="Arial" w:hAnsi="Arial" w:cs="Arial"/>
          <w:sz w:val="18"/>
          <w:szCs w:val="18"/>
        </w:rPr>
        <w:t xml:space="preserve"> Master mix composition and cycling parameters for tetraplex real-time PCR using the primers and probes of Hodgett</w:t>
      </w:r>
      <w:r w:rsidR="0022350D" w:rsidRPr="00133D6E">
        <w:rPr>
          <w:rFonts w:ascii="Arial" w:hAnsi="Arial" w:cs="Arial"/>
          <w:sz w:val="18"/>
          <w:szCs w:val="18"/>
        </w:rPr>
        <w:t>s</w:t>
      </w:r>
      <w:r w:rsidRPr="00133D6E">
        <w:rPr>
          <w:rFonts w:ascii="Arial" w:hAnsi="Arial" w:cs="Arial"/>
          <w:sz w:val="18"/>
          <w:szCs w:val="18"/>
        </w:rPr>
        <w:t xml:space="preserve"> </w:t>
      </w:r>
      <w:r w:rsidRPr="00133D6E">
        <w:rPr>
          <w:rFonts w:ascii="Arial" w:hAnsi="Arial" w:cs="Arial"/>
          <w:i/>
          <w:sz w:val="18"/>
          <w:szCs w:val="18"/>
        </w:rPr>
        <w:t xml:space="preserve">et al. </w:t>
      </w:r>
      <w:r w:rsidRPr="00133D6E">
        <w:rPr>
          <w:rFonts w:ascii="Arial" w:hAnsi="Arial" w:cs="Arial"/>
          <w:sz w:val="18"/>
          <w:szCs w:val="18"/>
        </w:rPr>
        <w:t>(2021)</w:t>
      </w:r>
    </w:p>
    <w:tbl>
      <w:tblPr>
        <w:tblStyle w:val="TableGrid"/>
        <w:tblW w:w="7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2220"/>
      </w:tblGrid>
      <w:tr w:rsidR="0071615A" w:rsidRPr="007C368C" w14:paraId="789F89EB" w14:textId="77777777" w:rsidTr="00054E1F">
        <w:trPr>
          <w:trHeight w:val="488"/>
        </w:trPr>
        <w:tc>
          <w:tcPr>
            <w:tcW w:w="4926" w:type="dxa"/>
            <w:tcBorders>
              <w:top w:val="single" w:sz="4" w:space="0" w:color="auto"/>
              <w:left w:val="single" w:sz="4" w:space="0" w:color="auto"/>
              <w:bottom w:val="single" w:sz="4" w:space="0" w:color="auto"/>
            </w:tcBorders>
            <w:vAlign w:val="center"/>
          </w:tcPr>
          <w:p w14:paraId="65BAFCEA" w14:textId="77777777" w:rsidR="0071615A" w:rsidRPr="00D0618F" w:rsidRDefault="0071615A" w:rsidP="005D503A">
            <w:pPr>
              <w:pStyle w:val="NoSpacing"/>
              <w:spacing w:line="276" w:lineRule="auto"/>
              <w:rPr>
                <w:rFonts w:ascii="Arial" w:hAnsi="Arial" w:cs="Arial"/>
                <w:sz w:val="18"/>
                <w:szCs w:val="18"/>
                <w:lang w:val="fr-FR"/>
              </w:rPr>
            </w:pPr>
            <w:r w:rsidRPr="00D0618F">
              <w:rPr>
                <w:rFonts w:ascii="Arial" w:hAnsi="Arial" w:cs="Arial"/>
                <w:sz w:val="18"/>
                <w:szCs w:val="18"/>
                <w:lang w:val="fr-FR"/>
              </w:rPr>
              <w:t>Reagents</w:t>
            </w:r>
          </w:p>
        </w:tc>
        <w:tc>
          <w:tcPr>
            <w:tcW w:w="2220" w:type="dxa"/>
            <w:tcBorders>
              <w:top w:val="single" w:sz="4" w:space="0" w:color="auto"/>
              <w:bottom w:val="single" w:sz="4" w:space="0" w:color="auto"/>
            </w:tcBorders>
            <w:vAlign w:val="center"/>
          </w:tcPr>
          <w:p w14:paraId="518593B2" w14:textId="77777777" w:rsidR="0071615A" w:rsidRPr="00D0618F" w:rsidRDefault="0071615A" w:rsidP="005D503A">
            <w:pPr>
              <w:pStyle w:val="NoSpacing"/>
              <w:spacing w:line="276" w:lineRule="auto"/>
              <w:jc w:val="center"/>
              <w:rPr>
                <w:rFonts w:ascii="Arial" w:hAnsi="Arial" w:cs="Arial"/>
                <w:sz w:val="18"/>
                <w:szCs w:val="18"/>
                <w:lang w:val="fr-FR"/>
              </w:rPr>
            </w:pPr>
            <w:r w:rsidRPr="00D0618F">
              <w:rPr>
                <w:rFonts w:ascii="Arial" w:hAnsi="Arial" w:cs="Arial"/>
                <w:sz w:val="18"/>
                <w:szCs w:val="18"/>
                <w:lang w:val="fr-FR"/>
              </w:rPr>
              <w:t>Final concentration</w:t>
            </w:r>
          </w:p>
        </w:tc>
      </w:tr>
      <w:tr w:rsidR="0071615A" w:rsidRPr="007C368C" w14:paraId="3AC807DF" w14:textId="77777777" w:rsidTr="00054E1F">
        <w:trPr>
          <w:trHeight w:val="237"/>
        </w:trPr>
        <w:tc>
          <w:tcPr>
            <w:tcW w:w="4926" w:type="dxa"/>
            <w:tcBorders>
              <w:top w:val="single" w:sz="4" w:space="0" w:color="auto"/>
              <w:left w:val="single" w:sz="4" w:space="0" w:color="auto"/>
            </w:tcBorders>
            <w:vAlign w:val="center"/>
          </w:tcPr>
          <w:p w14:paraId="1B7AF6E2" w14:textId="77777777" w:rsidR="0071615A" w:rsidRPr="00D0618F" w:rsidRDefault="0071615A" w:rsidP="005D503A">
            <w:pPr>
              <w:pStyle w:val="NoSpacing"/>
              <w:spacing w:line="276" w:lineRule="auto"/>
              <w:rPr>
                <w:rFonts w:ascii="Arial" w:hAnsi="Arial" w:cs="Arial"/>
                <w:sz w:val="18"/>
                <w:szCs w:val="18"/>
                <w:lang w:val="fr-FR"/>
              </w:rPr>
            </w:pPr>
            <w:r w:rsidRPr="00D0618F">
              <w:rPr>
                <w:rFonts w:ascii="Arial" w:hAnsi="Arial" w:cs="Arial"/>
                <w:sz w:val="18"/>
                <w:szCs w:val="18"/>
              </w:rPr>
              <w:t>PCR grade</w:t>
            </w:r>
            <w:r w:rsidRPr="00D0618F">
              <w:rPr>
                <w:rFonts w:ascii="Arial" w:hAnsi="Arial" w:cs="Arial"/>
                <w:sz w:val="18"/>
                <w:szCs w:val="18"/>
                <w:vertAlign w:val="superscript"/>
              </w:rPr>
              <w:t xml:space="preserve"> </w:t>
            </w:r>
            <w:r w:rsidRPr="00D0618F">
              <w:rPr>
                <w:rFonts w:ascii="Arial" w:hAnsi="Arial" w:cs="Arial"/>
                <w:sz w:val="18"/>
                <w:szCs w:val="18"/>
              </w:rPr>
              <w:t>water</w:t>
            </w:r>
          </w:p>
        </w:tc>
        <w:tc>
          <w:tcPr>
            <w:tcW w:w="2220" w:type="dxa"/>
            <w:tcBorders>
              <w:top w:val="single" w:sz="4" w:space="0" w:color="auto"/>
            </w:tcBorders>
            <w:vAlign w:val="center"/>
          </w:tcPr>
          <w:p w14:paraId="575DEEFA" w14:textId="77777777" w:rsidR="0071615A" w:rsidRPr="00D0618F" w:rsidRDefault="0071615A" w:rsidP="005D503A">
            <w:pPr>
              <w:pStyle w:val="NoSpacing"/>
              <w:spacing w:line="276" w:lineRule="auto"/>
              <w:jc w:val="center"/>
              <w:rPr>
                <w:rFonts w:ascii="Arial" w:hAnsi="Arial" w:cs="Arial"/>
                <w:sz w:val="18"/>
                <w:szCs w:val="18"/>
                <w:lang w:val="fr-FR"/>
              </w:rPr>
            </w:pPr>
          </w:p>
        </w:tc>
      </w:tr>
      <w:tr w:rsidR="0071615A" w:rsidRPr="007C368C" w14:paraId="6CB9CC23" w14:textId="77777777" w:rsidTr="00054E1F">
        <w:trPr>
          <w:trHeight w:val="740"/>
        </w:trPr>
        <w:tc>
          <w:tcPr>
            <w:tcW w:w="4926" w:type="dxa"/>
            <w:tcBorders>
              <w:left w:val="single" w:sz="4" w:space="0" w:color="auto"/>
            </w:tcBorders>
            <w:vAlign w:val="center"/>
          </w:tcPr>
          <w:p w14:paraId="62A959C4" w14:textId="08DEE41C" w:rsidR="0071615A" w:rsidRPr="00946D25" w:rsidRDefault="0071615A" w:rsidP="005D503A">
            <w:pPr>
              <w:pStyle w:val="NoSpacing"/>
              <w:spacing w:line="276" w:lineRule="auto"/>
              <w:rPr>
                <w:rFonts w:ascii="Arial" w:hAnsi="Arial" w:cs="Arial"/>
                <w:sz w:val="18"/>
                <w:szCs w:val="18"/>
                <w:lang w:val="en-US"/>
              </w:rPr>
            </w:pPr>
            <w:r w:rsidRPr="00054E1F">
              <w:rPr>
                <w:rFonts w:ascii="Arial" w:hAnsi="Arial" w:cs="Arial"/>
                <w:color w:val="1C1D1E"/>
                <w:sz w:val="18"/>
                <w:szCs w:val="18"/>
                <w:shd w:val="clear" w:color="auto" w:fill="FFFFFF"/>
              </w:rPr>
              <w:t>TaqMan</w:t>
            </w:r>
            <w:r w:rsidRPr="0071615A">
              <w:rPr>
                <w:rFonts w:ascii="Arial" w:hAnsi="Arial" w:cs="Arial"/>
                <w:color w:val="1C1D1E"/>
                <w:sz w:val="18"/>
                <w:szCs w:val="18"/>
                <w:shd w:val="clear" w:color="auto" w:fill="FFFFFF"/>
                <w:vertAlign w:val="superscript"/>
              </w:rPr>
              <w:t>®</w:t>
            </w:r>
            <w:r w:rsidRPr="00054E1F">
              <w:rPr>
                <w:rFonts w:ascii="Arial" w:hAnsi="Arial" w:cs="Arial"/>
                <w:color w:val="1C1D1E"/>
                <w:sz w:val="18"/>
                <w:szCs w:val="18"/>
                <w:shd w:val="clear" w:color="auto" w:fill="FFFFFF"/>
              </w:rPr>
              <w:t> Fast Universal PCR Master Mix no AmpErase® UNG (Applied Biosystems)</w:t>
            </w:r>
          </w:p>
        </w:tc>
        <w:tc>
          <w:tcPr>
            <w:tcW w:w="2220" w:type="dxa"/>
            <w:vAlign w:val="center"/>
          </w:tcPr>
          <w:p w14:paraId="15E5AC77" w14:textId="77777777" w:rsidR="0071615A" w:rsidRPr="00D0618F" w:rsidRDefault="0071615A" w:rsidP="005D503A">
            <w:pPr>
              <w:pStyle w:val="NoSpacing"/>
              <w:spacing w:line="276" w:lineRule="auto"/>
              <w:jc w:val="center"/>
              <w:rPr>
                <w:rFonts w:ascii="Arial" w:hAnsi="Arial" w:cs="Arial"/>
                <w:sz w:val="18"/>
                <w:szCs w:val="18"/>
                <w:lang w:val="fr-FR"/>
              </w:rPr>
            </w:pPr>
            <w:r w:rsidRPr="00D0618F">
              <w:rPr>
                <w:rFonts w:ascii="Arial" w:hAnsi="Arial" w:cs="Arial"/>
                <w:sz w:val="18"/>
                <w:szCs w:val="18"/>
                <w:lang w:val="fr-FR"/>
              </w:rPr>
              <w:t>1 X</w:t>
            </w:r>
          </w:p>
        </w:tc>
      </w:tr>
      <w:tr w:rsidR="0071615A" w:rsidRPr="007C368C" w14:paraId="40B62377" w14:textId="77777777" w:rsidTr="00054E1F">
        <w:trPr>
          <w:trHeight w:val="237"/>
        </w:trPr>
        <w:tc>
          <w:tcPr>
            <w:tcW w:w="4926" w:type="dxa"/>
            <w:tcBorders>
              <w:left w:val="single" w:sz="4" w:space="0" w:color="auto"/>
            </w:tcBorders>
            <w:vAlign w:val="center"/>
          </w:tcPr>
          <w:p w14:paraId="2ED9427E" w14:textId="1CF8BAD2" w:rsidR="0071615A" w:rsidRPr="00D0618F" w:rsidRDefault="0071615A" w:rsidP="0071615A">
            <w:pPr>
              <w:pStyle w:val="NoSpacing"/>
              <w:spacing w:line="276" w:lineRule="auto"/>
              <w:rPr>
                <w:rFonts w:ascii="Arial" w:hAnsi="Arial" w:cs="Arial"/>
                <w:sz w:val="18"/>
                <w:szCs w:val="18"/>
                <w:lang w:val="fr-FR"/>
              </w:rPr>
            </w:pPr>
            <w:r>
              <w:rPr>
                <w:rFonts w:ascii="Arial" w:hAnsi="Arial" w:cs="Arial"/>
                <w:sz w:val="18"/>
                <w:szCs w:val="18"/>
                <w:lang w:val="fr-FR"/>
              </w:rPr>
              <w:t>Each primer</w:t>
            </w:r>
            <w:r w:rsidRPr="00D0618F">
              <w:rPr>
                <w:rFonts w:ascii="Arial" w:hAnsi="Arial" w:cs="Arial"/>
                <w:sz w:val="18"/>
                <w:szCs w:val="18"/>
                <w:lang w:val="fr-FR"/>
              </w:rPr>
              <w:t xml:space="preserve"> F</w:t>
            </w:r>
          </w:p>
        </w:tc>
        <w:tc>
          <w:tcPr>
            <w:tcW w:w="2220" w:type="dxa"/>
            <w:vAlign w:val="center"/>
          </w:tcPr>
          <w:p w14:paraId="5FD8A547" w14:textId="38458DB1" w:rsidR="0071615A" w:rsidRPr="00D0618F" w:rsidRDefault="0071615A" w:rsidP="0071615A">
            <w:pPr>
              <w:pStyle w:val="NoSpacing"/>
              <w:spacing w:line="276" w:lineRule="auto"/>
              <w:jc w:val="center"/>
              <w:rPr>
                <w:rFonts w:ascii="Arial" w:hAnsi="Arial" w:cs="Arial"/>
                <w:sz w:val="18"/>
                <w:szCs w:val="18"/>
                <w:lang w:val="fr-FR"/>
              </w:rPr>
            </w:pPr>
            <w:r>
              <w:rPr>
                <w:rFonts w:ascii="Arial" w:eastAsia="Calibri" w:hAnsi="Arial" w:cs="Arial"/>
                <w:sz w:val="18"/>
                <w:szCs w:val="18"/>
                <w:lang w:val="fr-FR" w:eastAsia="fr-FR"/>
              </w:rPr>
              <w:t>300</w:t>
            </w:r>
            <w:r w:rsidRPr="00D0618F">
              <w:rPr>
                <w:rFonts w:ascii="Arial" w:eastAsia="Calibri" w:hAnsi="Arial" w:cs="Arial"/>
                <w:sz w:val="18"/>
                <w:szCs w:val="18"/>
                <w:lang w:val="fr-FR" w:eastAsia="fr-FR"/>
              </w:rPr>
              <w:t xml:space="preserve"> nM</w:t>
            </w:r>
          </w:p>
        </w:tc>
      </w:tr>
      <w:tr w:rsidR="0071615A" w:rsidRPr="007C368C" w14:paraId="760AC43C" w14:textId="77777777" w:rsidTr="00054E1F">
        <w:trPr>
          <w:trHeight w:val="251"/>
        </w:trPr>
        <w:tc>
          <w:tcPr>
            <w:tcW w:w="4926" w:type="dxa"/>
            <w:tcBorders>
              <w:left w:val="single" w:sz="4" w:space="0" w:color="auto"/>
            </w:tcBorders>
            <w:vAlign w:val="center"/>
          </w:tcPr>
          <w:p w14:paraId="267B586F" w14:textId="4A238C37" w:rsidR="0071615A" w:rsidRPr="00D0618F" w:rsidRDefault="0071615A" w:rsidP="0071615A">
            <w:pPr>
              <w:pStyle w:val="NoSpacing"/>
              <w:spacing w:line="276" w:lineRule="auto"/>
              <w:rPr>
                <w:rFonts w:ascii="Arial" w:hAnsi="Arial" w:cs="Arial"/>
                <w:sz w:val="18"/>
                <w:szCs w:val="18"/>
                <w:lang w:val="fr-FR"/>
              </w:rPr>
            </w:pPr>
            <w:r>
              <w:rPr>
                <w:rFonts w:ascii="Arial" w:hAnsi="Arial" w:cs="Arial"/>
                <w:sz w:val="18"/>
                <w:szCs w:val="18"/>
                <w:lang w:val="fr-FR"/>
              </w:rPr>
              <w:t>Each primer</w:t>
            </w:r>
            <w:r w:rsidRPr="00D0618F">
              <w:rPr>
                <w:rFonts w:ascii="Arial" w:hAnsi="Arial" w:cs="Arial"/>
                <w:sz w:val="18"/>
                <w:szCs w:val="18"/>
                <w:lang w:val="fr-FR"/>
              </w:rPr>
              <w:t xml:space="preserve"> R</w:t>
            </w:r>
          </w:p>
        </w:tc>
        <w:tc>
          <w:tcPr>
            <w:tcW w:w="2220" w:type="dxa"/>
            <w:vAlign w:val="center"/>
          </w:tcPr>
          <w:p w14:paraId="64FC69BF" w14:textId="2D51CB76" w:rsidR="0071615A" w:rsidRPr="00D0618F" w:rsidRDefault="0071615A" w:rsidP="0071615A">
            <w:pPr>
              <w:pStyle w:val="NoSpacing"/>
              <w:spacing w:line="276" w:lineRule="auto"/>
              <w:jc w:val="center"/>
              <w:rPr>
                <w:rFonts w:ascii="Arial" w:hAnsi="Arial" w:cs="Arial"/>
                <w:sz w:val="18"/>
                <w:szCs w:val="18"/>
                <w:lang w:val="fr-FR"/>
              </w:rPr>
            </w:pPr>
            <w:r>
              <w:rPr>
                <w:rFonts w:ascii="Arial" w:eastAsia="Calibri" w:hAnsi="Arial" w:cs="Arial"/>
                <w:sz w:val="18"/>
                <w:szCs w:val="18"/>
                <w:lang w:val="fr-FR" w:eastAsia="fr-FR"/>
              </w:rPr>
              <w:t>300</w:t>
            </w:r>
            <w:r w:rsidRPr="00D0618F">
              <w:rPr>
                <w:rFonts w:ascii="Arial" w:eastAsia="Calibri" w:hAnsi="Arial" w:cs="Arial"/>
                <w:sz w:val="18"/>
                <w:szCs w:val="18"/>
                <w:lang w:val="fr-FR" w:eastAsia="fr-FR"/>
              </w:rPr>
              <w:t xml:space="preserve"> nM</w:t>
            </w:r>
          </w:p>
        </w:tc>
      </w:tr>
      <w:tr w:rsidR="0071615A" w:rsidRPr="007C368C" w14:paraId="30FC7CF1" w14:textId="77777777" w:rsidTr="00054E1F">
        <w:trPr>
          <w:trHeight w:val="237"/>
        </w:trPr>
        <w:tc>
          <w:tcPr>
            <w:tcW w:w="4926" w:type="dxa"/>
            <w:tcBorders>
              <w:left w:val="single" w:sz="4" w:space="0" w:color="auto"/>
            </w:tcBorders>
            <w:vAlign w:val="center"/>
          </w:tcPr>
          <w:p w14:paraId="16171AB3" w14:textId="0F16A302" w:rsidR="0071615A" w:rsidRPr="00D0618F" w:rsidRDefault="0071615A" w:rsidP="0071615A">
            <w:pPr>
              <w:pStyle w:val="NoSpacing"/>
              <w:spacing w:line="276" w:lineRule="auto"/>
              <w:rPr>
                <w:rFonts w:ascii="Arial" w:hAnsi="Arial" w:cs="Arial"/>
                <w:sz w:val="18"/>
                <w:szCs w:val="18"/>
                <w:lang w:val="fr-FR"/>
              </w:rPr>
            </w:pPr>
            <w:r>
              <w:rPr>
                <w:rFonts w:ascii="Arial" w:hAnsi="Arial" w:cs="Arial"/>
                <w:sz w:val="18"/>
                <w:szCs w:val="18"/>
                <w:lang w:val="fr-FR"/>
              </w:rPr>
              <w:t>Each probe</w:t>
            </w:r>
            <w:r w:rsidRPr="00D0618F">
              <w:rPr>
                <w:rFonts w:ascii="Arial" w:hAnsi="Arial" w:cs="Arial"/>
                <w:sz w:val="18"/>
                <w:szCs w:val="18"/>
                <w:lang w:val="fr-FR"/>
              </w:rPr>
              <w:t xml:space="preserve"> P</w:t>
            </w:r>
          </w:p>
        </w:tc>
        <w:tc>
          <w:tcPr>
            <w:tcW w:w="2220" w:type="dxa"/>
            <w:vAlign w:val="center"/>
          </w:tcPr>
          <w:p w14:paraId="0F6803E5" w14:textId="686A54BD" w:rsidR="0071615A" w:rsidRPr="00D0618F" w:rsidRDefault="0071615A" w:rsidP="0071615A">
            <w:pPr>
              <w:pStyle w:val="NoSpacing"/>
              <w:spacing w:line="276" w:lineRule="auto"/>
              <w:jc w:val="center"/>
              <w:rPr>
                <w:rFonts w:ascii="Arial" w:hAnsi="Arial" w:cs="Arial"/>
                <w:sz w:val="18"/>
                <w:szCs w:val="18"/>
                <w:lang w:val="fr-FR"/>
              </w:rPr>
            </w:pPr>
            <w:r>
              <w:rPr>
                <w:rFonts w:ascii="Arial" w:eastAsia="Calibri" w:hAnsi="Arial" w:cs="Arial"/>
                <w:sz w:val="18"/>
                <w:szCs w:val="18"/>
                <w:lang w:val="fr-FR" w:eastAsia="fr-FR"/>
              </w:rPr>
              <w:t>1</w:t>
            </w:r>
            <w:r w:rsidRPr="00D0618F">
              <w:rPr>
                <w:rFonts w:ascii="Arial" w:eastAsia="Calibri" w:hAnsi="Arial" w:cs="Arial"/>
                <w:sz w:val="18"/>
                <w:szCs w:val="18"/>
                <w:lang w:val="fr-FR" w:eastAsia="fr-FR"/>
              </w:rPr>
              <w:t>00 nM</w:t>
            </w:r>
          </w:p>
        </w:tc>
      </w:tr>
      <w:tr w:rsidR="0071615A" w:rsidRPr="007C368C" w14:paraId="4FFD8BDE" w14:textId="77777777" w:rsidTr="00054E1F">
        <w:trPr>
          <w:trHeight w:val="237"/>
        </w:trPr>
        <w:tc>
          <w:tcPr>
            <w:tcW w:w="4926" w:type="dxa"/>
            <w:tcBorders>
              <w:left w:val="single" w:sz="4" w:space="0" w:color="auto"/>
              <w:bottom w:val="single" w:sz="4" w:space="0" w:color="auto"/>
            </w:tcBorders>
            <w:vAlign w:val="center"/>
          </w:tcPr>
          <w:p w14:paraId="70A53303" w14:textId="77777777" w:rsidR="0071615A" w:rsidRPr="00D0618F" w:rsidRDefault="0071615A" w:rsidP="005D503A">
            <w:pPr>
              <w:pStyle w:val="NoSpacing"/>
              <w:spacing w:line="276" w:lineRule="auto"/>
              <w:rPr>
                <w:rFonts w:ascii="Arial" w:hAnsi="Arial" w:cs="Arial"/>
                <w:sz w:val="18"/>
                <w:szCs w:val="18"/>
                <w:lang w:val="fr-FR"/>
              </w:rPr>
            </w:pPr>
            <w:r w:rsidRPr="00D0618F">
              <w:rPr>
                <w:rFonts w:ascii="Arial" w:hAnsi="Arial" w:cs="Arial"/>
                <w:sz w:val="18"/>
                <w:szCs w:val="18"/>
                <w:lang w:val="fr-FR"/>
              </w:rPr>
              <w:t>BSA (Thermofisher)</w:t>
            </w:r>
          </w:p>
        </w:tc>
        <w:tc>
          <w:tcPr>
            <w:tcW w:w="2220" w:type="dxa"/>
            <w:tcBorders>
              <w:bottom w:val="single" w:sz="4" w:space="0" w:color="auto"/>
            </w:tcBorders>
            <w:vAlign w:val="center"/>
          </w:tcPr>
          <w:p w14:paraId="0CA2F281" w14:textId="0620AD54" w:rsidR="0071615A" w:rsidRPr="00D0618F" w:rsidRDefault="0071615A" w:rsidP="005D503A">
            <w:pPr>
              <w:pStyle w:val="NoSpacing"/>
              <w:spacing w:line="276" w:lineRule="auto"/>
              <w:jc w:val="center"/>
              <w:rPr>
                <w:rFonts w:ascii="Arial" w:eastAsia="Calibri" w:hAnsi="Arial" w:cs="Arial"/>
                <w:sz w:val="18"/>
                <w:szCs w:val="18"/>
                <w:lang w:val="fr-FR" w:eastAsia="fr-FR"/>
              </w:rPr>
            </w:pPr>
            <w:r>
              <w:rPr>
                <w:rFonts w:ascii="Arial" w:eastAsia="Calibri" w:hAnsi="Arial" w:cs="Arial"/>
                <w:sz w:val="18"/>
                <w:szCs w:val="18"/>
                <w:lang w:val="fr-FR" w:eastAsia="fr-FR"/>
              </w:rPr>
              <w:t>6</w:t>
            </w:r>
            <w:r w:rsidRPr="00D0618F">
              <w:rPr>
                <w:rFonts w:ascii="Arial" w:eastAsia="Calibri" w:hAnsi="Arial" w:cs="Arial"/>
                <w:sz w:val="18"/>
                <w:szCs w:val="18"/>
                <w:lang w:val="fr-FR" w:eastAsia="fr-FR"/>
              </w:rPr>
              <w:t xml:space="preserve"> </w:t>
            </w:r>
            <w:r>
              <w:rPr>
                <w:rFonts w:ascii="Arial" w:eastAsia="Calibri" w:hAnsi="Arial" w:cs="Arial"/>
                <w:sz w:val="18"/>
                <w:szCs w:val="18"/>
                <w:lang w:val="fr-FR" w:eastAsia="fr-FR"/>
              </w:rPr>
              <w:t>µ</w:t>
            </w:r>
            <w:r w:rsidRPr="00D0618F">
              <w:rPr>
                <w:rFonts w:ascii="Arial" w:eastAsia="Calibri" w:hAnsi="Arial" w:cs="Arial"/>
                <w:sz w:val="18"/>
                <w:szCs w:val="18"/>
                <w:lang w:val="fr-FR" w:eastAsia="fr-FR"/>
              </w:rPr>
              <w:t>g.μl</w:t>
            </w:r>
            <w:r w:rsidRPr="00D0618F">
              <w:rPr>
                <w:rFonts w:ascii="Arial" w:eastAsia="Calibri" w:hAnsi="Arial" w:cs="Arial"/>
                <w:sz w:val="18"/>
                <w:szCs w:val="18"/>
                <w:vertAlign w:val="superscript"/>
                <w:lang w:val="fr-FR" w:eastAsia="fr-FR"/>
              </w:rPr>
              <w:t>−1</w:t>
            </w:r>
          </w:p>
        </w:tc>
      </w:tr>
    </w:tbl>
    <w:p w14:paraId="3DE134BD" w14:textId="77777777" w:rsidR="0071615A" w:rsidRDefault="0071615A" w:rsidP="0071615A">
      <w:pPr>
        <w:pStyle w:val="IPPNormal"/>
        <w:rPr>
          <w:rFonts w:ascii="Arial" w:hAnsi="Arial" w:cs="Arial"/>
          <w:color w:val="1C1D1E"/>
          <w:shd w:val="clear" w:color="auto" w:fill="FFFFFF"/>
        </w:rPr>
      </w:pPr>
    </w:p>
    <w:p w14:paraId="2490E557" w14:textId="73D60EB9" w:rsidR="005D503A" w:rsidRPr="0071615A" w:rsidRDefault="0071615A" w:rsidP="004C1B1F">
      <w:pPr>
        <w:pStyle w:val="IPPParagraphnumbering"/>
        <w:rPr>
          <w:szCs w:val="22"/>
        </w:rPr>
      </w:pPr>
      <w:r w:rsidRPr="00054E1F">
        <w:rPr>
          <w:shd w:val="clear" w:color="auto" w:fill="FFFFFF"/>
        </w:rPr>
        <w:t>Reactions (18 μ</w:t>
      </w:r>
      <w:r w:rsidR="007C2088">
        <w:rPr>
          <w:shd w:val="clear" w:color="auto" w:fill="FFFFFF"/>
        </w:rPr>
        <w:t>L</w:t>
      </w:r>
      <w:r w:rsidRPr="00054E1F">
        <w:rPr>
          <w:shd w:val="clear" w:color="auto" w:fill="FFFFFF"/>
        </w:rPr>
        <w:t>) comprised 2 µ</w:t>
      </w:r>
      <w:r w:rsidR="007C2088">
        <w:rPr>
          <w:shd w:val="clear" w:color="auto" w:fill="FFFFFF"/>
        </w:rPr>
        <w:t>L</w:t>
      </w:r>
      <w:r w:rsidRPr="00054E1F">
        <w:rPr>
          <w:shd w:val="clear" w:color="auto" w:fill="FFFFFF"/>
        </w:rPr>
        <w:t xml:space="preserve"> DNA (concentration as extracted). The cycling conditions were 50°C for 2 min, 95°C for 10 min followed by 40 cycles of 95°C for 10 s and 62°C for 40 s.</w:t>
      </w:r>
    </w:p>
    <w:p w14:paraId="2629EB4C" w14:textId="0040514A" w:rsidR="008E6998" w:rsidRPr="000860F1" w:rsidRDefault="00AD2F3B" w:rsidP="00B06594">
      <w:pPr>
        <w:pStyle w:val="IPPHeading2"/>
        <w:ind w:left="720" w:hanging="720"/>
      </w:pPr>
      <w:bookmarkStart w:id="48" w:name="_Toc111710143"/>
      <w:r>
        <w:t>3.4.</w:t>
      </w:r>
      <w:r w:rsidR="00764BC0">
        <w:t>10</w:t>
      </w:r>
      <w:r>
        <w:t xml:space="preserve"> </w:t>
      </w:r>
      <w:r w:rsidR="000330D6" w:rsidRPr="000860F1">
        <w:t>LAMP</w:t>
      </w:r>
      <w:r w:rsidR="000330D6" w:rsidRPr="000860F1">
        <w:rPr>
          <w:rStyle w:val="FootnoteReference"/>
        </w:rPr>
        <w:footnoteReference w:id="3"/>
      </w:r>
      <w:r w:rsidR="000330D6" w:rsidRPr="000860F1">
        <w:t xml:space="preserve"> using the primers of Harper </w:t>
      </w:r>
      <w:r w:rsidR="000330D6" w:rsidRPr="000860F1">
        <w:rPr>
          <w:i/>
        </w:rPr>
        <w:t>et al.</w:t>
      </w:r>
      <w:r w:rsidR="000330D6" w:rsidRPr="000860F1">
        <w:t xml:space="preserve"> (2010, erratum 2013)</w:t>
      </w:r>
      <w:bookmarkEnd w:id="48"/>
    </w:p>
    <w:p w14:paraId="31349076" w14:textId="4DBE7F65" w:rsidR="008E6998" w:rsidRPr="000860F1" w:rsidRDefault="000330D6">
      <w:pPr>
        <w:pStyle w:val="IPPHeading3"/>
      </w:pPr>
      <w:r w:rsidRPr="000860F1">
        <w:t>3.4.</w:t>
      </w:r>
      <w:r w:rsidR="00764BC0">
        <w:t>10</w:t>
      </w:r>
      <w:r w:rsidRPr="000860F1">
        <w:t>.1</w:t>
      </w:r>
      <w:r w:rsidRPr="000860F1">
        <w:tab/>
        <w:t>The LAMP</w:t>
      </w:r>
      <w:r w:rsidRPr="000860F1">
        <w:rPr>
          <w:vertAlign w:val="superscript"/>
        </w:rPr>
        <w:t>2</w:t>
      </w:r>
      <w:r w:rsidRPr="000860F1">
        <w:t xml:space="preserve"> of Harper </w:t>
      </w:r>
      <w:r w:rsidRPr="000860F1">
        <w:rPr>
          <w:i w:val="0"/>
        </w:rPr>
        <w:t>et</w:t>
      </w:r>
      <w:r w:rsidR="00E35F2A" w:rsidRPr="000860F1">
        <w:rPr>
          <w:i w:val="0"/>
          <w:iCs/>
        </w:rPr>
        <w:t> </w:t>
      </w:r>
      <w:r w:rsidRPr="000860F1">
        <w:rPr>
          <w:i w:val="0"/>
        </w:rPr>
        <w:t>al.</w:t>
      </w:r>
      <w:r w:rsidRPr="000860F1">
        <w:t xml:space="preserve"> (2010, erratum 2013) </w:t>
      </w:r>
    </w:p>
    <w:p w14:paraId="48FCDA55" w14:textId="47D5EFDA" w:rsidR="00B55E35" w:rsidRPr="000860F1" w:rsidRDefault="000330D6" w:rsidP="004C1B1F">
      <w:pPr>
        <w:pStyle w:val="IPPParagraphnumbering"/>
      </w:pPr>
      <w:r w:rsidRPr="000860F1">
        <w:t>This loop-mediated isothermal amplification (LAMP</w:t>
      </w:r>
      <w:r w:rsidRPr="000860F1">
        <w:rPr>
          <w:vertAlign w:val="superscript"/>
        </w:rPr>
        <w:t>2</w:t>
      </w:r>
      <w:r w:rsidRPr="000860F1">
        <w:t xml:space="preserve">) </w:t>
      </w:r>
      <w:r w:rsidR="003179F0" w:rsidRPr="000860F1">
        <w:t>method</w:t>
      </w:r>
      <w:r w:rsidRPr="000860F1">
        <w:t xml:space="preserve"> was developed by Harper </w:t>
      </w:r>
      <w:r w:rsidRPr="000860F1">
        <w:rPr>
          <w:i/>
          <w:iCs/>
        </w:rPr>
        <w:t>et</w:t>
      </w:r>
      <w:r w:rsidRPr="000860F1">
        <w:rPr>
          <w:i/>
        </w:rPr>
        <w:t> </w:t>
      </w:r>
      <w:r w:rsidRPr="000860F1">
        <w:rPr>
          <w:i/>
          <w:iCs/>
        </w:rPr>
        <w:t xml:space="preserve">al. </w:t>
      </w:r>
      <w:r w:rsidRPr="000860F1">
        <w:t xml:space="preserve">(2010, erratum 2013) and can be used on crude plant tissue and insect extracts or with the DNA extraction methods described in section 3.4.1. Hydroxynaphthol blue can be used as a means of detecting the endpoint (Harper </w:t>
      </w:r>
      <w:r w:rsidRPr="000860F1">
        <w:rPr>
          <w:i/>
        </w:rPr>
        <w:t>et al.</w:t>
      </w:r>
      <w:r w:rsidRPr="000860F1">
        <w:t>, 2010, erratum 2013).</w:t>
      </w:r>
      <w:r w:rsidR="005A28EF" w:rsidRPr="000860F1">
        <w:t xml:space="preserve"> </w:t>
      </w:r>
      <w:r w:rsidR="00B55E35" w:rsidRPr="000860F1">
        <w:t xml:space="preserve">Hydroxynaphthol blue </w:t>
      </w:r>
      <w:r w:rsidR="005A28EF" w:rsidRPr="000860F1">
        <w:t xml:space="preserve">or other dyes that can be added prior to amplification </w:t>
      </w:r>
      <w:r w:rsidR="00B55E35" w:rsidRPr="000860F1">
        <w:t>are</w:t>
      </w:r>
      <w:r w:rsidR="005A28EF" w:rsidRPr="000860F1">
        <w:t xml:space="preserve"> recommended as </w:t>
      </w:r>
      <w:r w:rsidR="00E47D9E" w:rsidRPr="000860F1">
        <w:t>they</w:t>
      </w:r>
      <w:r w:rsidR="005A28EF" w:rsidRPr="000860F1">
        <w:t xml:space="preserve"> allow the LAMP</w:t>
      </w:r>
      <w:r w:rsidR="00E47D9E" w:rsidRPr="000860F1">
        <w:rPr>
          <w:vertAlign w:val="superscript"/>
        </w:rPr>
        <w:t>2</w:t>
      </w:r>
      <w:r w:rsidR="005A28EF" w:rsidRPr="000860F1">
        <w:t xml:space="preserve"> </w:t>
      </w:r>
      <w:r w:rsidR="00B55E35" w:rsidRPr="000860F1">
        <w:t>to be performed as a closed-tube system. This avoids the risk of opening tubes post amplification</w:t>
      </w:r>
      <w:r w:rsidR="00E47D9E" w:rsidRPr="000860F1">
        <w:t>,</w:t>
      </w:r>
      <w:r w:rsidR="00B55E35" w:rsidRPr="000860F1">
        <w:t xml:space="preserve"> which could lead to aerosol contamination due to the high titr</w:t>
      </w:r>
      <w:r w:rsidR="00AE6871" w:rsidRPr="000860F1">
        <w:t>e</w:t>
      </w:r>
      <w:r w:rsidR="00B55E35" w:rsidRPr="000860F1">
        <w:t xml:space="preserve"> of the LAMP</w:t>
      </w:r>
      <w:r w:rsidR="00E47D9E" w:rsidRPr="000860F1">
        <w:rPr>
          <w:vertAlign w:val="superscript"/>
        </w:rPr>
        <w:t>2</w:t>
      </w:r>
      <w:r w:rsidR="00B55E35" w:rsidRPr="000860F1">
        <w:t xml:space="preserve"> amplicon.</w:t>
      </w:r>
      <w:r w:rsidR="00100C22">
        <w:t xml:space="preserve"> LAMP can also be performed in the Real-time PCR thermocycler.</w:t>
      </w:r>
    </w:p>
    <w:p w14:paraId="5E9702D4" w14:textId="0AE46C95" w:rsidR="008E6998" w:rsidRPr="000860F1" w:rsidRDefault="00513593" w:rsidP="004C1B1F">
      <w:pPr>
        <w:pStyle w:val="IPPParagraphnumbering"/>
      </w:pPr>
      <w:r>
        <w:t xml:space="preserve">The LAMP and real-time assays could detect 250 and 10 copies of the rim gene, respectively. </w:t>
      </w:r>
      <w:r w:rsidR="000330D6" w:rsidRPr="000860F1">
        <w:t xml:space="preserve">In validation, only </w:t>
      </w:r>
      <w:r w:rsidR="000330D6" w:rsidRPr="000860F1">
        <w:rPr>
          <w:i/>
        </w:rPr>
        <w:t>X. fastidiosa</w:t>
      </w:r>
      <w:r w:rsidR="000330D6" w:rsidRPr="000860F1">
        <w:t xml:space="preserve"> was detected among 95 strains of </w:t>
      </w:r>
      <w:r w:rsidR="000330D6" w:rsidRPr="000860F1">
        <w:rPr>
          <w:i/>
        </w:rPr>
        <w:t>X. fastidiosa</w:t>
      </w:r>
      <w:r w:rsidR="000330D6" w:rsidRPr="000860F1">
        <w:t xml:space="preserve"> from 20 different hosts and 26 non-target bacterial strains. All strains of </w:t>
      </w:r>
      <w:r w:rsidR="000330D6" w:rsidRPr="000860F1">
        <w:rPr>
          <w:i/>
        </w:rPr>
        <w:t>X. fastidiosa</w:t>
      </w:r>
      <w:r w:rsidR="000330D6" w:rsidRPr="000860F1">
        <w:t xml:space="preserve"> were detected</w:t>
      </w:r>
      <w:r w:rsidR="00B55E35" w:rsidRPr="000860F1">
        <w:t xml:space="preserve">. </w:t>
      </w:r>
    </w:p>
    <w:p w14:paraId="62546C69" w14:textId="418F2FBA" w:rsidR="008E6998" w:rsidRPr="000860F1" w:rsidRDefault="000330D6" w:rsidP="004C1B1F">
      <w:pPr>
        <w:pStyle w:val="IPPParagraphnumbering"/>
      </w:pPr>
      <w:r w:rsidRPr="000860F1">
        <w:t>The primers used are:</w:t>
      </w:r>
    </w:p>
    <w:p w14:paraId="5BCFD97A" w14:textId="2D26C18C" w:rsidR="008E6998" w:rsidRPr="000860F1" w:rsidRDefault="000330D6" w:rsidP="00D1016B">
      <w:pPr>
        <w:pStyle w:val="IPPIndentClose"/>
      </w:pPr>
      <w:r w:rsidRPr="000860F1">
        <w:t>XF-F3 (external primer): 5′-CCG TTG GAA AAC AGA TGG GA-3′</w:t>
      </w:r>
    </w:p>
    <w:p w14:paraId="4FD6F549" w14:textId="42DBF392" w:rsidR="008E6998" w:rsidRPr="000860F1" w:rsidRDefault="000330D6" w:rsidP="00D1016B">
      <w:pPr>
        <w:pStyle w:val="IPPIndentClose"/>
      </w:pPr>
      <w:r w:rsidRPr="000860F1">
        <w:t>XF-B3 (external primer): 5′-GAG ACT GGC AAG CGT TTG A-3′</w:t>
      </w:r>
    </w:p>
    <w:p w14:paraId="048CD4CE" w14:textId="0B1C0E78" w:rsidR="008E6998" w:rsidRPr="000860F1" w:rsidRDefault="000330D6" w:rsidP="00D1016B">
      <w:pPr>
        <w:pStyle w:val="IPPIndentClose"/>
      </w:pPr>
      <w:r w:rsidRPr="000860F1">
        <w:t>XF-FIP (internal primer): 5′-ACC CCG ACG AGT ATT ACT GGG TTT TTC GCT ACC GAG AAC CAC AC-3′</w:t>
      </w:r>
    </w:p>
    <w:p w14:paraId="29CC89CD" w14:textId="4E63D0AF" w:rsidR="008E6998" w:rsidRPr="000860F1" w:rsidRDefault="000330D6" w:rsidP="00D1016B">
      <w:pPr>
        <w:pStyle w:val="IPPIndentClose"/>
      </w:pPr>
      <w:r w:rsidRPr="000860F1">
        <w:t>XF-BIP (internal primer): 5′-GCG CTG CGT GGC ACA TAG ATT TTT GCA ACC TTT CCT GGC ATC AA-3′</w:t>
      </w:r>
    </w:p>
    <w:p w14:paraId="26CF4255" w14:textId="6649A12A" w:rsidR="008E6998" w:rsidRPr="000860F1" w:rsidRDefault="000330D6" w:rsidP="00D1016B">
      <w:pPr>
        <w:pStyle w:val="IPPIndentClose"/>
      </w:pPr>
      <w:r w:rsidRPr="000860F1">
        <w:t>XF-LF (loop primer): 5′-TGC AAG TAC ACA CCC TTG AAG-3′</w:t>
      </w:r>
    </w:p>
    <w:p w14:paraId="78308DF1" w14:textId="31B8AF10" w:rsidR="008E6998" w:rsidRPr="005C3D8E" w:rsidRDefault="000330D6" w:rsidP="00D1016B">
      <w:pPr>
        <w:pStyle w:val="IPPIndent"/>
      </w:pPr>
      <w:r w:rsidRPr="005C3D8E">
        <w:t>XF-LB (loop primer): 5′-TTC CGT ACC ACA GAT CGC T-3′</w:t>
      </w:r>
    </w:p>
    <w:p w14:paraId="79C2594C" w14:textId="6EA83988" w:rsidR="008E6998" w:rsidRPr="000860F1" w:rsidRDefault="000330D6" w:rsidP="004C1B1F">
      <w:pPr>
        <w:pStyle w:val="IPPParagraphnumbering"/>
      </w:pPr>
      <w:r w:rsidRPr="000860F1">
        <w:t xml:space="preserve">The master mix for the Harper </w:t>
      </w:r>
      <w:r w:rsidRPr="000860F1">
        <w:rPr>
          <w:i/>
        </w:rPr>
        <w:t>et al.</w:t>
      </w:r>
      <w:r w:rsidRPr="000860F1">
        <w:t xml:space="preserve"> (2010, erratum 2013) LAMP</w:t>
      </w:r>
      <w:r w:rsidRPr="000860F1">
        <w:rPr>
          <w:vertAlign w:val="superscript"/>
        </w:rPr>
        <w:t>2</w:t>
      </w:r>
      <w:r w:rsidRPr="000860F1">
        <w:t xml:space="preserve"> is described in Table </w:t>
      </w:r>
      <w:r w:rsidR="008D3BD9">
        <w:t>14</w:t>
      </w:r>
      <w:r w:rsidRPr="000860F1">
        <w:t>.</w:t>
      </w:r>
    </w:p>
    <w:p w14:paraId="2FE8B777" w14:textId="6007A265" w:rsidR="008E6998" w:rsidRPr="00133D6E" w:rsidRDefault="000330D6" w:rsidP="00D1016B">
      <w:pPr>
        <w:pStyle w:val="IPPArial"/>
        <w:keepNext/>
        <w:spacing w:after="120"/>
        <w:rPr>
          <w:rFonts w:cs="Arial"/>
          <w:szCs w:val="18"/>
        </w:rPr>
      </w:pPr>
      <w:r w:rsidRPr="00133D6E">
        <w:rPr>
          <w:rFonts w:cs="Arial"/>
          <w:b/>
          <w:szCs w:val="18"/>
        </w:rPr>
        <w:t>Table </w:t>
      </w:r>
      <w:r w:rsidR="00EF03FA" w:rsidRPr="00133D6E">
        <w:rPr>
          <w:rFonts w:cs="Arial"/>
          <w:b/>
          <w:szCs w:val="18"/>
        </w:rPr>
        <w:t>14</w:t>
      </w:r>
      <w:r w:rsidRPr="00133D6E">
        <w:rPr>
          <w:rFonts w:cs="Arial"/>
          <w:b/>
          <w:szCs w:val="18"/>
        </w:rPr>
        <w:t>.</w:t>
      </w:r>
      <w:r w:rsidRPr="00133D6E">
        <w:rPr>
          <w:rFonts w:cs="Arial"/>
          <w:szCs w:val="18"/>
        </w:rPr>
        <w:t xml:space="preserve"> Master mix composition </w:t>
      </w:r>
      <w:r w:rsidR="004D73F8" w:rsidRPr="00133D6E">
        <w:rPr>
          <w:rFonts w:cs="Arial"/>
          <w:szCs w:val="18"/>
        </w:rPr>
        <w:t xml:space="preserve">and test conditions </w:t>
      </w:r>
      <w:r w:rsidRPr="00133D6E">
        <w:rPr>
          <w:rFonts w:cs="Arial"/>
          <w:szCs w:val="18"/>
        </w:rPr>
        <w:t>for LAMP</w:t>
      </w:r>
      <w:r w:rsidRPr="00133D6E">
        <w:rPr>
          <w:rFonts w:cs="Arial"/>
          <w:szCs w:val="18"/>
          <w:vertAlign w:val="superscript"/>
        </w:rPr>
        <w:t>2</w:t>
      </w:r>
      <w:r w:rsidR="004D73F8" w:rsidRPr="00133D6E">
        <w:rPr>
          <w:rFonts w:cs="Arial"/>
          <w:szCs w:val="18"/>
        </w:rPr>
        <w:t xml:space="preserve">, according to Harper </w:t>
      </w:r>
      <w:r w:rsidR="004D73F8" w:rsidRPr="00133D6E">
        <w:rPr>
          <w:rFonts w:cs="Arial"/>
          <w:i/>
          <w:szCs w:val="18"/>
        </w:rPr>
        <w:t>et</w:t>
      </w:r>
      <w:r w:rsidR="007629F0" w:rsidRPr="00133D6E">
        <w:rPr>
          <w:rFonts w:cs="Arial"/>
          <w:i/>
          <w:szCs w:val="18"/>
        </w:rPr>
        <w:t> </w:t>
      </w:r>
      <w:r w:rsidR="004D73F8" w:rsidRPr="00133D6E">
        <w:rPr>
          <w:rFonts w:cs="Arial"/>
          <w:i/>
          <w:szCs w:val="18"/>
        </w:rPr>
        <w:t xml:space="preserve">al. </w:t>
      </w:r>
      <w:r w:rsidR="004D73F8" w:rsidRPr="00133D6E">
        <w:rPr>
          <w:rFonts w:cs="Arial"/>
          <w:szCs w:val="18"/>
        </w:rPr>
        <w:t>(2010, erratum 2013)</w:t>
      </w:r>
    </w:p>
    <w:tbl>
      <w:tblPr>
        <w:tblW w:w="9072" w:type="dxa"/>
        <w:tblLayout w:type="fixed"/>
        <w:tblLook w:val="0000" w:firstRow="0" w:lastRow="0" w:firstColumn="0" w:lastColumn="0" w:noHBand="0" w:noVBand="0"/>
      </w:tblPr>
      <w:tblGrid>
        <w:gridCol w:w="5103"/>
        <w:gridCol w:w="3828"/>
        <w:gridCol w:w="141"/>
      </w:tblGrid>
      <w:tr w:rsidR="008E6998" w:rsidRPr="000860F1" w14:paraId="5C741DE7" w14:textId="77777777">
        <w:tc>
          <w:tcPr>
            <w:tcW w:w="5103" w:type="dxa"/>
            <w:tcBorders>
              <w:top w:val="single" w:sz="4" w:space="0" w:color="000000"/>
              <w:bottom w:val="single" w:sz="4" w:space="0" w:color="000000"/>
            </w:tcBorders>
            <w:shd w:val="clear" w:color="auto" w:fill="BFBFBF"/>
          </w:tcPr>
          <w:p w14:paraId="0DD317A4" w14:textId="239A3EF2" w:rsidR="008E6998" w:rsidRPr="000860F1" w:rsidRDefault="000330D6">
            <w:pPr>
              <w:pStyle w:val="IPPArialTable"/>
              <w:rPr>
                <w:b/>
              </w:rPr>
            </w:pPr>
            <w:r w:rsidRPr="000860F1">
              <w:rPr>
                <w:b/>
              </w:rPr>
              <w:t>Reagents</w:t>
            </w:r>
          </w:p>
        </w:tc>
        <w:tc>
          <w:tcPr>
            <w:tcW w:w="3969" w:type="dxa"/>
            <w:gridSpan w:val="2"/>
            <w:tcBorders>
              <w:top w:val="single" w:sz="4" w:space="0" w:color="000000"/>
              <w:bottom w:val="single" w:sz="4" w:space="0" w:color="000000"/>
            </w:tcBorders>
            <w:shd w:val="clear" w:color="auto" w:fill="BFBFBF"/>
          </w:tcPr>
          <w:p w14:paraId="763EA606" w14:textId="6F6D98F6" w:rsidR="008E6998" w:rsidRPr="000860F1" w:rsidRDefault="000330D6">
            <w:pPr>
              <w:pStyle w:val="IPPArialTable"/>
              <w:rPr>
                <w:b/>
              </w:rPr>
            </w:pPr>
            <w:r w:rsidRPr="000860F1">
              <w:rPr>
                <w:b/>
              </w:rPr>
              <w:t>Final concentration</w:t>
            </w:r>
          </w:p>
        </w:tc>
      </w:tr>
      <w:tr w:rsidR="008E6998" w:rsidRPr="000860F1" w14:paraId="42FD3EBA" w14:textId="77777777">
        <w:tc>
          <w:tcPr>
            <w:tcW w:w="5103" w:type="dxa"/>
            <w:tcBorders>
              <w:top w:val="single" w:sz="4" w:space="0" w:color="000000"/>
            </w:tcBorders>
            <w:shd w:val="clear" w:color="auto" w:fill="auto"/>
          </w:tcPr>
          <w:p w14:paraId="6DAC0C25" w14:textId="5A920768" w:rsidR="008E6998" w:rsidRPr="000860F1" w:rsidRDefault="000330D6">
            <w:pPr>
              <w:pStyle w:val="IPPArialTable"/>
            </w:pPr>
            <w:r w:rsidRPr="000860F1">
              <w:t>PCR grade</w:t>
            </w:r>
            <w:r w:rsidRPr="000860F1">
              <w:rPr>
                <w:vertAlign w:val="superscript"/>
              </w:rPr>
              <w:t xml:space="preserve"> </w:t>
            </w:r>
            <w:r w:rsidRPr="000860F1">
              <w:t xml:space="preserve">water </w:t>
            </w:r>
          </w:p>
        </w:tc>
        <w:tc>
          <w:tcPr>
            <w:tcW w:w="3969" w:type="dxa"/>
            <w:gridSpan w:val="2"/>
            <w:tcBorders>
              <w:top w:val="single" w:sz="4" w:space="0" w:color="000000"/>
            </w:tcBorders>
            <w:shd w:val="clear" w:color="auto" w:fill="FFFFFF"/>
          </w:tcPr>
          <w:p w14:paraId="7C5AD07D" w14:textId="2F330C4E" w:rsidR="008E6998" w:rsidRPr="000860F1" w:rsidRDefault="00162658">
            <w:pPr>
              <w:pStyle w:val="IPPArialTable"/>
              <w:rPr>
                <w:shd w:val="clear" w:color="auto" w:fill="C0C0C0"/>
              </w:rPr>
            </w:pPr>
            <w:r w:rsidRPr="000860F1">
              <w:rPr>
                <w:rStyle w:val="PleaseReviewParagraphId"/>
              </w:rPr>
              <w:t>–</w:t>
            </w:r>
            <w:r w:rsidRPr="000860F1">
              <w:rPr>
                <w:vertAlign w:val="superscript"/>
              </w:rPr>
              <w:t>†</w:t>
            </w:r>
          </w:p>
        </w:tc>
      </w:tr>
      <w:tr w:rsidR="008E6998" w:rsidRPr="000860F1" w14:paraId="6D99E4AE" w14:textId="77777777">
        <w:tc>
          <w:tcPr>
            <w:tcW w:w="5103" w:type="dxa"/>
            <w:shd w:val="clear" w:color="auto" w:fill="auto"/>
          </w:tcPr>
          <w:p w14:paraId="085C2E08" w14:textId="546BD8E9" w:rsidR="008E6998" w:rsidRPr="000860F1" w:rsidRDefault="000330D6">
            <w:pPr>
              <w:pStyle w:val="IPPArialTable"/>
            </w:pPr>
            <w:r w:rsidRPr="000860F1">
              <w:t>ThermoPol buffer (New England Biolabs)</w:t>
            </w:r>
            <w:r w:rsidR="00314F55" w:rsidRPr="000860F1">
              <w:rPr>
                <w:rStyle w:val="FootnoteReference"/>
              </w:rPr>
              <w:t>1</w:t>
            </w:r>
          </w:p>
        </w:tc>
        <w:tc>
          <w:tcPr>
            <w:tcW w:w="3969" w:type="dxa"/>
            <w:gridSpan w:val="2"/>
            <w:shd w:val="clear" w:color="auto" w:fill="auto"/>
          </w:tcPr>
          <w:p w14:paraId="535E8ED2" w14:textId="486D54E9" w:rsidR="008E6998" w:rsidRPr="000860F1" w:rsidRDefault="000330D6">
            <w:pPr>
              <w:pStyle w:val="IPPArialTable"/>
            </w:pPr>
            <w:r w:rsidRPr="000860F1">
              <w:t>1×</w:t>
            </w:r>
          </w:p>
        </w:tc>
      </w:tr>
      <w:tr w:rsidR="008E6998" w:rsidRPr="000860F1" w14:paraId="7F0522EA" w14:textId="77777777">
        <w:tc>
          <w:tcPr>
            <w:tcW w:w="5103" w:type="dxa"/>
            <w:shd w:val="clear" w:color="auto" w:fill="auto"/>
          </w:tcPr>
          <w:p w14:paraId="43E6D19C" w14:textId="255F488F" w:rsidR="008E6998" w:rsidRPr="000860F1" w:rsidRDefault="000330D6">
            <w:pPr>
              <w:pStyle w:val="IPPArialTable"/>
            </w:pPr>
            <w:r w:rsidRPr="000860F1">
              <w:t>MgSO</w:t>
            </w:r>
            <w:r w:rsidRPr="000860F1">
              <w:rPr>
                <w:vertAlign w:val="subscript"/>
              </w:rPr>
              <w:t>4</w:t>
            </w:r>
            <w:r w:rsidRPr="000860F1">
              <w:t xml:space="preserve"> (additional to a final concentration)</w:t>
            </w:r>
          </w:p>
        </w:tc>
        <w:tc>
          <w:tcPr>
            <w:tcW w:w="3969" w:type="dxa"/>
            <w:gridSpan w:val="2"/>
            <w:shd w:val="clear" w:color="auto" w:fill="auto"/>
          </w:tcPr>
          <w:p w14:paraId="090424D1" w14:textId="536F6E97" w:rsidR="008E6998" w:rsidRPr="000860F1" w:rsidRDefault="000330D6">
            <w:pPr>
              <w:pStyle w:val="IPPArialTable"/>
            </w:pPr>
            <w:r w:rsidRPr="000860F1">
              <w:t>8 mM</w:t>
            </w:r>
          </w:p>
        </w:tc>
      </w:tr>
      <w:tr w:rsidR="008E6998" w:rsidRPr="000860F1" w14:paraId="33E2DC3D" w14:textId="77777777">
        <w:tc>
          <w:tcPr>
            <w:tcW w:w="5103" w:type="dxa"/>
            <w:shd w:val="clear" w:color="auto" w:fill="auto"/>
          </w:tcPr>
          <w:p w14:paraId="031965AB" w14:textId="74F26C1F" w:rsidR="008E6998" w:rsidRPr="000860F1" w:rsidRDefault="000330D6">
            <w:pPr>
              <w:pStyle w:val="IPPArialTable"/>
            </w:pPr>
            <w:r w:rsidRPr="000860F1">
              <w:t>Betaine</w:t>
            </w:r>
          </w:p>
        </w:tc>
        <w:tc>
          <w:tcPr>
            <w:tcW w:w="3969" w:type="dxa"/>
            <w:gridSpan w:val="2"/>
            <w:shd w:val="clear" w:color="auto" w:fill="auto"/>
          </w:tcPr>
          <w:p w14:paraId="005E11F0" w14:textId="132AD63A" w:rsidR="008E6998" w:rsidRPr="000860F1" w:rsidRDefault="000330D6">
            <w:pPr>
              <w:pStyle w:val="IPPArialTable"/>
            </w:pPr>
            <w:r w:rsidRPr="000860F1">
              <w:t>0.8 M</w:t>
            </w:r>
          </w:p>
        </w:tc>
      </w:tr>
      <w:tr w:rsidR="008E6998" w:rsidRPr="000860F1" w14:paraId="4AA6D900" w14:textId="77777777">
        <w:tc>
          <w:tcPr>
            <w:tcW w:w="5103" w:type="dxa"/>
            <w:shd w:val="clear" w:color="auto" w:fill="auto"/>
          </w:tcPr>
          <w:p w14:paraId="2127D58A" w14:textId="6D693760" w:rsidR="008E6998" w:rsidRPr="000860F1" w:rsidRDefault="000330D6">
            <w:pPr>
              <w:pStyle w:val="IPPArialTable"/>
            </w:pPr>
            <w:r w:rsidRPr="000860F1">
              <w:t>BSA</w:t>
            </w:r>
          </w:p>
        </w:tc>
        <w:tc>
          <w:tcPr>
            <w:tcW w:w="3969" w:type="dxa"/>
            <w:gridSpan w:val="2"/>
            <w:shd w:val="clear" w:color="auto" w:fill="auto"/>
          </w:tcPr>
          <w:p w14:paraId="1037E05C" w14:textId="78263BF5" w:rsidR="008E6998" w:rsidRPr="000860F1" w:rsidRDefault="000330D6">
            <w:pPr>
              <w:pStyle w:val="IPPArialTable"/>
            </w:pPr>
            <w:r w:rsidRPr="000860F1">
              <w:t>300 ng/</w:t>
            </w:r>
            <w:r w:rsidR="007C2088" w:rsidRPr="000860F1">
              <w:t>µ</w:t>
            </w:r>
            <w:r w:rsidR="007C2088">
              <w:t>L</w:t>
            </w:r>
          </w:p>
        </w:tc>
      </w:tr>
      <w:tr w:rsidR="008E6998" w:rsidRPr="000860F1" w14:paraId="5614F19F" w14:textId="77777777">
        <w:tc>
          <w:tcPr>
            <w:tcW w:w="5103" w:type="dxa"/>
            <w:shd w:val="clear" w:color="auto" w:fill="auto"/>
          </w:tcPr>
          <w:p w14:paraId="7DDFBBF3" w14:textId="1ECD0667" w:rsidR="008E6998" w:rsidRPr="000860F1" w:rsidRDefault="000330D6">
            <w:pPr>
              <w:pStyle w:val="IPPArialTable"/>
            </w:pPr>
            <w:r w:rsidRPr="000860F1">
              <w:t>Each dNTP</w:t>
            </w:r>
          </w:p>
        </w:tc>
        <w:tc>
          <w:tcPr>
            <w:tcW w:w="3969" w:type="dxa"/>
            <w:gridSpan w:val="2"/>
            <w:shd w:val="clear" w:color="auto" w:fill="auto"/>
          </w:tcPr>
          <w:p w14:paraId="0B3A4926" w14:textId="3A7B60C7" w:rsidR="008E6998" w:rsidRPr="000860F1" w:rsidRDefault="000330D6">
            <w:pPr>
              <w:pStyle w:val="IPPArialTable"/>
            </w:pPr>
            <w:r w:rsidRPr="000860F1">
              <w:t>1.4 mM</w:t>
            </w:r>
          </w:p>
        </w:tc>
      </w:tr>
      <w:tr w:rsidR="008E6998" w:rsidRPr="000860F1" w14:paraId="182CC2F5" w14:textId="77777777">
        <w:tc>
          <w:tcPr>
            <w:tcW w:w="5103" w:type="dxa"/>
            <w:shd w:val="clear" w:color="auto" w:fill="auto"/>
          </w:tcPr>
          <w:p w14:paraId="7C865127" w14:textId="2A3C9773" w:rsidR="008E6998" w:rsidRPr="000860F1" w:rsidRDefault="000330D6">
            <w:pPr>
              <w:pStyle w:val="IPPArialTable"/>
            </w:pPr>
            <w:r w:rsidRPr="000860F1">
              <w:t>External primer XF-F3</w:t>
            </w:r>
          </w:p>
        </w:tc>
        <w:tc>
          <w:tcPr>
            <w:tcW w:w="3969" w:type="dxa"/>
            <w:gridSpan w:val="2"/>
            <w:shd w:val="clear" w:color="auto" w:fill="auto"/>
          </w:tcPr>
          <w:p w14:paraId="47E430B1" w14:textId="718AD27E" w:rsidR="008E6998" w:rsidRPr="000860F1" w:rsidRDefault="000330D6">
            <w:pPr>
              <w:pStyle w:val="IPPArialTable"/>
            </w:pPr>
            <w:r w:rsidRPr="000860F1">
              <w:t>0.2 µM</w:t>
            </w:r>
          </w:p>
        </w:tc>
      </w:tr>
      <w:tr w:rsidR="008E6998" w:rsidRPr="000860F1" w14:paraId="4ADE489E" w14:textId="77777777">
        <w:tc>
          <w:tcPr>
            <w:tcW w:w="5103" w:type="dxa"/>
            <w:shd w:val="clear" w:color="auto" w:fill="auto"/>
          </w:tcPr>
          <w:p w14:paraId="083FDD84" w14:textId="75BA230E" w:rsidR="008E6998" w:rsidRPr="000860F1" w:rsidRDefault="000330D6">
            <w:pPr>
              <w:pStyle w:val="IPPArialTable"/>
            </w:pPr>
            <w:r w:rsidRPr="000860F1">
              <w:t>External primer XF-B3</w:t>
            </w:r>
          </w:p>
        </w:tc>
        <w:tc>
          <w:tcPr>
            <w:tcW w:w="3969" w:type="dxa"/>
            <w:gridSpan w:val="2"/>
            <w:shd w:val="clear" w:color="auto" w:fill="auto"/>
          </w:tcPr>
          <w:p w14:paraId="1521C063" w14:textId="00DFD6E3" w:rsidR="008E6998" w:rsidRPr="000860F1" w:rsidRDefault="000330D6">
            <w:pPr>
              <w:pStyle w:val="IPPArialTable"/>
            </w:pPr>
            <w:r w:rsidRPr="000860F1">
              <w:t>0.2 µM</w:t>
            </w:r>
          </w:p>
        </w:tc>
      </w:tr>
      <w:tr w:rsidR="008E6998" w:rsidRPr="000860F1" w14:paraId="25C08094" w14:textId="77777777">
        <w:tc>
          <w:tcPr>
            <w:tcW w:w="5103" w:type="dxa"/>
            <w:shd w:val="clear" w:color="auto" w:fill="auto"/>
          </w:tcPr>
          <w:p w14:paraId="4C94A725" w14:textId="26436D40" w:rsidR="008E6998" w:rsidRPr="000860F1" w:rsidRDefault="000330D6">
            <w:pPr>
              <w:pStyle w:val="IPPArialTable"/>
            </w:pPr>
            <w:r w:rsidRPr="000860F1">
              <w:t xml:space="preserve">Internal primer </w:t>
            </w:r>
            <w:r w:rsidRPr="000860F1">
              <w:rPr>
                <w:szCs w:val="22"/>
              </w:rPr>
              <w:t>XF-FIP</w:t>
            </w:r>
          </w:p>
        </w:tc>
        <w:tc>
          <w:tcPr>
            <w:tcW w:w="3969" w:type="dxa"/>
            <w:gridSpan w:val="2"/>
            <w:shd w:val="clear" w:color="auto" w:fill="auto"/>
          </w:tcPr>
          <w:p w14:paraId="7DDD16CC" w14:textId="03C2FF3B" w:rsidR="008E6998" w:rsidRPr="000860F1" w:rsidRDefault="000330D6">
            <w:pPr>
              <w:pStyle w:val="IPPArialTable"/>
            </w:pPr>
            <w:r w:rsidRPr="000860F1">
              <w:t>1.6 µM</w:t>
            </w:r>
          </w:p>
        </w:tc>
      </w:tr>
      <w:tr w:rsidR="008E6998" w:rsidRPr="000860F1" w14:paraId="6F4B2C78" w14:textId="77777777">
        <w:tc>
          <w:tcPr>
            <w:tcW w:w="5103" w:type="dxa"/>
            <w:shd w:val="clear" w:color="auto" w:fill="auto"/>
          </w:tcPr>
          <w:p w14:paraId="651179F7" w14:textId="6AC62447" w:rsidR="008E6998" w:rsidRPr="000860F1" w:rsidRDefault="000330D6">
            <w:pPr>
              <w:pStyle w:val="IPPArialTable"/>
            </w:pPr>
            <w:r w:rsidRPr="000860F1">
              <w:t xml:space="preserve">Internal primer </w:t>
            </w:r>
            <w:r w:rsidRPr="000860F1">
              <w:rPr>
                <w:szCs w:val="22"/>
              </w:rPr>
              <w:t>XF-BIP</w:t>
            </w:r>
          </w:p>
        </w:tc>
        <w:tc>
          <w:tcPr>
            <w:tcW w:w="3969" w:type="dxa"/>
            <w:gridSpan w:val="2"/>
            <w:shd w:val="clear" w:color="auto" w:fill="auto"/>
          </w:tcPr>
          <w:p w14:paraId="6A80EE84" w14:textId="4E6AB5EF" w:rsidR="008E6998" w:rsidRPr="000860F1" w:rsidRDefault="000330D6">
            <w:pPr>
              <w:pStyle w:val="IPPArialTable"/>
            </w:pPr>
            <w:r w:rsidRPr="000860F1">
              <w:t>1.6 µM</w:t>
            </w:r>
          </w:p>
        </w:tc>
      </w:tr>
      <w:tr w:rsidR="008E6998" w:rsidRPr="000860F1" w14:paraId="5BD88245" w14:textId="77777777">
        <w:tc>
          <w:tcPr>
            <w:tcW w:w="5103" w:type="dxa"/>
            <w:shd w:val="clear" w:color="auto" w:fill="auto"/>
          </w:tcPr>
          <w:p w14:paraId="31F5F4BA" w14:textId="6ED276E6" w:rsidR="008E6998" w:rsidRPr="000860F1" w:rsidRDefault="000330D6">
            <w:pPr>
              <w:pStyle w:val="IPPArialTable"/>
            </w:pPr>
            <w:r w:rsidRPr="000860F1">
              <w:t xml:space="preserve">Loop primer </w:t>
            </w:r>
            <w:r w:rsidRPr="000860F1">
              <w:rPr>
                <w:szCs w:val="22"/>
              </w:rPr>
              <w:t>XF-LF</w:t>
            </w:r>
          </w:p>
        </w:tc>
        <w:tc>
          <w:tcPr>
            <w:tcW w:w="3969" w:type="dxa"/>
            <w:gridSpan w:val="2"/>
            <w:shd w:val="clear" w:color="auto" w:fill="auto"/>
          </w:tcPr>
          <w:p w14:paraId="43BA443C" w14:textId="1B285709" w:rsidR="008E6998" w:rsidRPr="000860F1" w:rsidRDefault="000330D6">
            <w:pPr>
              <w:pStyle w:val="IPPArialTable"/>
            </w:pPr>
            <w:r w:rsidRPr="000860F1">
              <w:t>0.8 µM</w:t>
            </w:r>
          </w:p>
        </w:tc>
      </w:tr>
      <w:tr w:rsidR="008E6998" w:rsidRPr="000860F1" w14:paraId="6D95246F" w14:textId="77777777">
        <w:tc>
          <w:tcPr>
            <w:tcW w:w="5103" w:type="dxa"/>
            <w:shd w:val="clear" w:color="auto" w:fill="auto"/>
          </w:tcPr>
          <w:p w14:paraId="1C0A6E0E" w14:textId="759FA2F2" w:rsidR="008E6998" w:rsidRPr="000860F1" w:rsidRDefault="000330D6">
            <w:pPr>
              <w:pStyle w:val="IPPArialTable"/>
            </w:pPr>
            <w:r w:rsidRPr="000860F1">
              <w:t xml:space="preserve">Loop primer </w:t>
            </w:r>
            <w:r w:rsidRPr="000860F1">
              <w:rPr>
                <w:szCs w:val="22"/>
              </w:rPr>
              <w:t>XF-LB</w:t>
            </w:r>
          </w:p>
        </w:tc>
        <w:tc>
          <w:tcPr>
            <w:tcW w:w="3969" w:type="dxa"/>
            <w:gridSpan w:val="2"/>
            <w:shd w:val="clear" w:color="auto" w:fill="auto"/>
          </w:tcPr>
          <w:p w14:paraId="572CD285" w14:textId="083B2457" w:rsidR="008E6998" w:rsidRPr="000860F1" w:rsidRDefault="000330D6">
            <w:pPr>
              <w:pStyle w:val="IPPArialTable"/>
            </w:pPr>
            <w:r w:rsidRPr="000860F1">
              <w:t>0.8 µM</w:t>
            </w:r>
          </w:p>
        </w:tc>
      </w:tr>
      <w:tr w:rsidR="008E6998" w:rsidRPr="000860F1" w14:paraId="6C000798" w14:textId="77777777">
        <w:tc>
          <w:tcPr>
            <w:tcW w:w="5103" w:type="dxa"/>
            <w:shd w:val="clear" w:color="auto" w:fill="auto"/>
          </w:tcPr>
          <w:p w14:paraId="0DA3BAA7" w14:textId="5FEDCBFC" w:rsidR="008E6998" w:rsidRPr="000860F1" w:rsidRDefault="000330D6">
            <w:pPr>
              <w:pStyle w:val="IPPArialTable"/>
            </w:pPr>
            <w:r w:rsidRPr="000860F1">
              <w:t>Hydroxynaphthol blue (Sigma Aldrich)</w:t>
            </w:r>
            <w:r w:rsidR="00314F55" w:rsidRPr="000860F1">
              <w:rPr>
                <w:rStyle w:val="FootnoteReference"/>
              </w:rPr>
              <w:t>1</w:t>
            </w:r>
          </w:p>
        </w:tc>
        <w:tc>
          <w:tcPr>
            <w:tcW w:w="3969" w:type="dxa"/>
            <w:gridSpan w:val="2"/>
            <w:shd w:val="clear" w:color="auto" w:fill="auto"/>
          </w:tcPr>
          <w:p w14:paraId="5D3C43C0" w14:textId="40B76D18" w:rsidR="008E6998" w:rsidRPr="000860F1" w:rsidRDefault="000330D6">
            <w:pPr>
              <w:pStyle w:val="IPPArialTable"/>
            </w:pPr>
            <w:r w:rsidRPr="000860F1">
              <w:t>150 µM</w:t>
            </w:r>
          </w:p>
        </w:tc>
      </w:tr>
      <w:tr w:rsidR="008E6998" w:rsidRPr="000860F1" w14:paraId="29F60273" w14:textId="77777777">
        <w:tc>
          <w:tcPr>
            <w:tcW w:w="5103" w:type="dxa"/>
            <w:tcBorders>
              <w:bottom w:val="single" w:sz="4" w:space="0" w:color="000000"/>
            </w:tcBorders>
            <w:shd w:val="clear" w:color="auto" w:fill="auto"/>
          </w:tcPr>
          <w:p w14:paraId="5830532B" w14:textId="57E116CC" w:rsidR="008E6998" w:rsidRPr="000860F1" w:rsidRDefault="000330D6">
            <w:pPr>
              <w:pStyle w:val="IPPArialTable"/>
            </w:pPr>
            <w:r w:rsidRPr="000860F1">
              <w:rPr>
                <w:i/>
              </w:rPr>
              <w:t>Bst</w:t>
            </w:r>
            <w:r w:rsidRPr="000860F1">
              <w:t xml:space="preserve"> DNA polymerase</w:t>
            </w:r>
          </w:p>
        </w:tc>
        <w:tc>
          <w:tcPr>
            <w:tcW w:w="3969" w:type="dxa"/>
            <w:gridSpan w:val="2"/>
            <w:tcBorders>
              <w:bottom w:val="single" w:sz="4" w:space="0" w:color="000000"/>
            </w:tcBorders>
            <w:shd w:val="clear" w:color="auto" w:fill="auto"/>
          </w:tcPr>
          <w:p w14:paraId="50F389B0" w14:textId="71346B38" w:rsidR="008E6998" w:rsidRPr="000860F1" w:rsidRDefault="000330D6">
            <w:pPr>
              <w:pStyle w:val="IPPArialTable"/>
            </w:pPr>
            <w:r w:rsidRPr="000860F1">
              <w:t>8 U</w:t>
            </w:r>
          </w:p>
        </w:tc>
      </w:tr>
      <w:tr w:rsidR="008E6998" w:rsidRPr="000860F1" w14:paraId="4AA7076C" w14:textId="77777777">
        <w:tc>
          <w:tcPr>
            <w:tcW w:w="5103" w:type="dxa"/>
            <w:tcBorders>
              <w:top w:val="single" w:sz="4" w:space="0" w:color="000000"/>
              <w:bottom w:val="single" w:sz="4" w:space="0" w:color="000000"/>
            </w:tcBorders>
            <w:shd w:val="clear" w:color="auto" w:fill="auto"/>
          </w:tcPr>
          <w:p w14:paraId="5DC8C3A0" w14:textId="03023EC1" w:rsidR="008E6998" w:rsidRPr="000860F1" w:rsidRDefault="000330D6">
            <w:pPr>
              <w:pStyle w:val="IPPArialTable"/>
            </w:pPr>
            <w:r w:rsidRPr="000860F1">
              <w:t>DNA volume</w:t>
            </w:r>
          </w:p>
        </w:tc>
        <w:tc>
          <w:tcPr>
            <w:tcW w:w="3969" w:type="dxa"/>
            <w:gridSpan w:val="2"/>
            <w:tcBorders>
              <w:top w:val="single" w:sz="4" w:space="0" w:color="000000"/>
              <w:bottom w:val="single" w:sz="4" w:space="0" w:color="000000"/>
            </w:tcBorders>
            <w:shd w:val="clear" w:color="auto" w:fill="auto"/>
          </w:tcPr>
          <w:p w14:paraId="7A05C6C2" w14:textId="082E2BE3" w:rsidR="008E6998" w:rsidRPr="000860F1" w:rsidRDefault="000330D6">
            <w:pPr>
              <w:pStyle w:val="IPPArialTable"/>
            </w:pPr>
            <w:r w:rsidRPr="000860F1">
              <w:t>2 µl DNA extract</w:t>
            </w:r>
          </w:p>
        </w:tc>
      </w:tr>
      <w:tr w:rsidR="008E6998" w:rsidRPr="000860F1" w14:paraId="127CCB24" w14:textId="77777777">
        <w:trPr>
          <w:gridAfter w:val="1"/>
          <w:wAfter w:w="141" w:type="dxa"/>
        </w:trPr>
        <w:tc>
          <w:tcPr>
            <w:tcW w:w="5103" w:type="dxa"/>
            <w:tcBorders>
              <w:top w:val="single" w:sz="4" w:space="0" w:color="000000"/>
              <w:bottom w:val="single" w:sz="4" w:space="0" w:color="000000"/>
            </w:tcBorders>
            <w:shd w:val="clear" w:color="auto" w:fill="BFBFBF" w:themeFill="background1" w:themeFillShade="BF"/>
          </w:tcPr>
          <w:p w14:paraId="04D49953" w14:textId="6E5658AA" w:rsidR="008E6998" w:rsidRPr="000860F1" w:rsidRDefault="000330D6">
            <w:pPr>
              <w:pStyle w:val="IPPArialTable"/>
              <w:rPr>
                <w:b/>
              </w:rPr>
            </w:pPr>
            <w:r w:rsidRPr="000860F1">
              <w:rPr>
                <w:b/>
              </w:rPr>
              <w:t>Incubation parameters</w:t>
            </w:r>
          </w:p>
        </w:tc>
        <w:tc>
          <w:tcPr>
            <w:tcW w:w="3828" w:type="dxa"/>
            <w:tcBorders>
              <w:top w:val="single" w:sz="4" w:space="0" w:color="000000"/>
              <w:bottom w:val="single" w:sz="4" w:space="0" w:color="000000"/>
            </w:tcBorders>
            <w:shd w:val="clear" w:color="auto" w:fill="BFBFBF" w:themeFill="background1" w:themeFillShade="BF"/>
          </w:tcPr>
          <w:p w14:paraId="6B0AA585" w14:textId="0194613F" w:rsidR="008E6998" w:rsidRPr="000860F1" w:rsidRDefault="008E6998">
            <w:pPr>
              <w:pStyle w:val="IPPArialTable"/>
            </w:pPr>
          </w:p>
        </w:tc>
      </w:tr>
      <w:tr w:rsidR="008E6998" w:rsidRPr="000860F1" w14:paraId="250DB3F0" w14:textId="77777777">
        <w:trPr>
          <w:gridAfter w:val="1"/>
          <w:wAfter w:w="141" w:type="dxa"/>
        </w:trPr>
        <w:tc>
          <w:tcPr>
            <w:tcW w:w="5103" w:type="dxa"/>
            <w:tcBorders>
              <w:top w:val="single" w:sz="4" w:space="0" w:color="000000"/>
              <w:bottom w:val="single" w:sz="4" w:space="0" w:color="000000"/>
            </w:tcBorders>
            <w:shd w:val="clear" w:color="auto" w:fill="auto"/>
          </w:tcPr>
          <w:p w14:paraId="5889E63D" w14:textId="34635D05" w:rsidR="008E6998" w:rsidRPr="000860F1" w:rsidRDefault="000330D6">
            <w:pPr>
              <w:pStyle w:val="IPPArialTable"/>
            </w:pPr>
            <w:r w:rsidRPr="000860F1">
              <w:t>Incubation</w:t>
            </w:r>
          </w:p>
        </w:tc>
        <w:tc>
          <w:tcPr>
            <w:tcW w:w="3828" w:type="dxa"/>
            <w:tcBorders>
              <w:top w:val="single" w:sz="4" w:space="0" w:color="000000"/>
              <w:bottom w:val="single" w:sz="4" w:space="0" w:color="000000"/>
            </w:tcBorders>
            <w:shd w:val="clear" w:color="auto" w:fill="auto"/>
          </w:tcPr>
          <w:p w14:paraId="3D529AE9" w14:textId="62F445F5" w:rsidR="008E6998" w:rsidRPr="000860F1" w:rsidRDefault="000330D6">
            <w:pPr>
              <w:pStyle w:val="IPPArialTable"/>
            </w:pPr>
            <w:r w:rsidRPr="000860F1">
              <w:t>65 °C for 60 min</w:t>
            </w:r>
          </w:p>
        </w:tc>
      </w:tr>
      <w:tr w:rsidR="008E6998" w:rsidRPr="000860F1" w14:paraId="0E140522" w14:textId="77777777">
        <w:trPr>
          <w:gridAfter w:val="1"/>
          <w:wAfter w:w="141" w:type="dxa"/>
        </w:trPr>
        <w:tc>
          <w:tcPr>
            <w:tcW w:w="5103" w:type="dxa"/>
            <w:tcBorders>
              <w:top w:val="single" w:sz="4" w:space="0" w:color="000000"/>
              <w:bottom w:val="single" w:sz="4" w:space="0" w:color="000000"/>
            </w:tcBorders>
            <w:shd w:val="clear" w:color="auto" w:fill="auto"/>
          </w:tcPr>
          <w:p w14:paraId="19BCC91E" w14:textId="502CB5BC" w:rsidR="008E6998" w:rsidRPr="000860F1" w:rsidRDefault="000330D6">
            <w:pPr>
              <w:pStyle w:val="IPPArialTable"/>
            </w:pPr>
            <w:r w:rsidRPr="000860F1">
              <w:t>Enzyme inactivation</w:t>
            </w:r>
          </w:p>
        </w:tc>
        <w:tc>
          <w:tcPr>
            <w:tcW w:w="3828" w:type="dxa"/>
            <w:tcBorders>
              <w:top w:val="single" w:sz="4" w:space="0" w:color="000000"/>
              <w:bottom w:val="single" w:sz="4" w:space="0" w:color="000000"/>
            </w:tcBorders>
            <w:shd w:val="clear" w:color="auto" w:fill="auto"/>
          </w:tcPr>
          <w:p w14:paraId="7A7C4FF3" w14:textId="5E44DAD7" w:rsidR="008E6998" w:rsidRPr="000860F1" w:rsidRDefault="000330D6">
            <w:pPr>
              <w:pStyle w:val="IPPArialTable"/>
            </w:pPr>
            <w:r w:rsidRPr="000860F1">
              <w:t>80 °C for 2 min</w:t>
            </w:r>
          </w:p>
        </w:tc>
      </w:tr>
    </w:tbl>
    <w:p w14:paraId="1829535D" w14:textId="4F396350" w:rsidR="003067B4" w:rsidRPr="000860F1" w:rsidRDefault="003067B4" w:rsidP="003067B4">
      <w:pPr>
        <w:pStyle w:val="IPPArialFootnote"/>
        <w:rPr>
          <w:rStyle w:val="PleaseReviewParagraphId"/>
        </w:rPr>
      </w:pPr>
      <w:r w:rsidRPr="000860F1">
        <w:rPr>
          <w:vertAlign w:val="superscript"/>
        </w:rPr>
        <w:t>†</w:t>
      </w:r>
      <w:r w:rsidRPr="000860F1">
        <w:t xml:space="preserve"> For a final reaction volume of 25 </w:t>
      </w:r>
      <w:r w:rsidRPr="000860F1">
        <w:rPr>
          <w:rFonts w:cs="Arial"/>
        </w:rPr>
        <w:t>µ</w:t>
      </w:r>
      <w:r w:rsidRPr="000860F1">
        <w:t>l.</w:t>
      </w:r>
    </w:p>
    <w:p w14:paraId="3115938A" w14:textId="128C5961" w:rsidR="008E6998" w:rsidRPr="000860F1" w:rsidRDefault="000330D6" w:rsidP="00D1016B">
      <w:pPr>
        <w:pStyle w:val="IPPArialFootnote"/>
        <w:spacing w:after="180"/>
        <w:rPr>
          <w:rStyle w:val="PleaseReviewParagraphId"/>
          <w:rFonts w:eastAsia="MS Mincho"/>
          <w:color w:val="auto"/>
        </w:rPr>
      </w:pPr>
      <w:r w:rsidRPr="000860F1">
        <w:rPr>
          <w:rStyle w:val="PleaseReviewParagraphId"/>
          <w:color w:val="auto"/>
        </w:rPr>
        <w:t xml:space="preserve">BSA, </w:t>
      </w:r>
      <w:r w:rsidRPr="000860F1">
        <w:t>bovine serum albumin;</w:t>
      </w:r>
      <w:r w:rsidRPr="000860F1">
        <w:rPr>
          <w:rStyle w:val="PleaseReviewParagraphId"/>
          <w:color w:val="auto"/>
        </w:rPr>
        <w:t xml:space="preserve"> </w:t>
      </w:r>
      <w:r w:rsidR="00102C57" w:rsidRPr="000860F1">
        <w:rPr>
          <w:rStyle w:val="PleaseReviewParagraphId"/>
          <w:color w:val="auto"/>
        </w:rPr>
        <w:t>PCR, polymerase chain reaction</w:t>
      </w:r>
      <w:r w:rsidRPr="000860F1">
        <w:rPr>
          <w:rStyle w:val="PleaseReviewParagraphId"/>
          <w:color w:val="auto"/>
        </w:rPr>
        <w:t>.</w:t>
      </w:r>
    </w:p>
    <w:p w14:paraId="23C9D2BA" w14:textId="2D4D879A" w:rsidR="008E6998" w:rsidRPr="000860F1" w:rsidRDefault="000330D6" w:rsidP="004C1B1F">
      <w:pPr>
        <w:pStyle w:val="IPPParagraphnumbering"/>
      </w:pPr>
      <w:r w:rsidRPr="000860F1">
        <w:t>A colour change from purple to a light blue is considered a positive result. Negative samples in which no amplification occurs remain violet.</w:t>
      </w:r>
    </w:p>
    <w:p w14:paraId="10A5E8E3" w14:textId="202A296C" w:rsidR="008E6998" w:rsidRPr="000860F1" w:rsidRDefault="000330D6">
      <w:pPr>
        <w:pStyle w:val="IPPHeading3"/>
      </w:pPr>
      <w:r w:rsidRPr="000860F1">
        <w:t>3.4.</w:t>
      </w:r>
      <w:r w:rsidR="00764BC0">
        <w:t>10</w:t>
      </w:r>
      <w:r w:rsidRPr="000860F1">
        <w:t>.2</w:t>
      </w:r>
      <w:r w:rsidRPr="000860F1">
        <w:tab/>
      </w:r>
      <w:r w:rsidR="00100C22">
        <w:t>The</w:t>
      </w:r>
      <w:r w:rsidRPr="000860F1">
        <w:t xml:space="preserve"> LAMP</w:t>
      </w:r>
      <w:r w:rsidRPr="000860F1">
        <w:rPr>
          <w:i w:val="0"/>
          <w:vertAlign w:val="superscript"/>
        </w:rPr>
        <w:t>2</w:t>
      </w:r>
      <w:r w:rsidR="00100C22" w:rsidRPr="00100C22">
        <w:t xml:space="preserve"> </w:t>
      </w:r>
      <w:r w:rsidR="00100C22" w:rsidRPr="000860F1">
        <w:t xml:space="preserve">of Harper </w:t>
      </w:r>
      <w:r w:rsidR="00100C22" w:rsidRPr="000860F1">
        <w:rPr>
          <w:i w:val="0"/>
        </w:rPr>
        <w:t>et</w:t>
      </w:r>
      <w:r w:rsidR="00100C22" w:rsidRPr="000860F1">
        <w:rPr>
          <w:i w:val="0"/>
          <w:iCs/>
        </w:rPr>
        <w:t> </w:t>
      </w:r>
      <w:r w:rsidR="00100C22" w:rsidRPr="000860F1">
        <w:rPr>
          <w:i w:val="0"/>
        </w:rPr>
        <w:t>al.</w:t>
      </w:r>
      <w:r w:rsidR="00100C22" w:rsidRPr="000860F1">
        <w:t xml:space="preserve"> (2010, erratum 2013</w:t>
      </w:r>
      <w:r w:rsidR="00D9690E">
        <w:t>)</w:t>
      </w:r>
      <w:r w:rsidR="00100C22">
        <w:t xml:space="preserve"> modified by </w:t>
      </w:r>
      <w:r w:rsidR="00100C22" w:rsidRPr="000860F1">
        <w:t xml:space="preserve">Yaseen </w:t>
      </w:r>
      <w:r w:rsidR="00100C22" w:rsidRPr="000860F1">
        <w:rPr>
          <w:i w:val="0"/>
        </w:rPr>
        <w:t>et</w:t>
      </w:r>
      <w:r w:rsidR="00100C22" w:rsidRPr="000860F1">
        <w:rPr>
          <w:i w:val="0"/>
          <w:iCs/>
        </w:rPr>
        <w:t> </w:t>
      </w:r>
      <w:r w:rsidR="00100C22" w:rsidRPr="000860F1">
        <w:rPr>
          <w:i w:val="0"/>
        </w:rPr>
        <w:t>al</w:t>
      </w:r>
      <w:r w:rsidR="00100C22" w:rsidRPr="000860F1">
        <w:t>. (2015)</w:t>
      </w:r>
    </w:p>
    <w:p w14:paraId="47E41299" w14:textId="0952BCBA" w:rsidR="008E6998" w:rsidRPr="000860F1" w:rsidRDefault="000330D6" w:rsidP="004C1B1F">
      <w:pPr>
        <w:pStyle w:val="IPPParagraphnumbering"/>
      </w:pPr>
      <w:r w:rsidRPr="000860F1">
        <w:t xml:space="preserve">This </w:t>
      </w:r>
      <w:r w:rsidR="00C93939" w:rsidRPr="000860F1">
        <w:t>method</w:t>
      </w:r>
      <w:r w:rsidRPr="000860F1">
        <w:t xml:space="preserve"> is based on the above LAMP</w:t>
      </w:r>
      <w:r w:rsidR="00E47D9E" w:rsidRPr="000860F1">
        <w:rPr>
          <w:vertAlign w:val="superscript"/>
        </w:rPr>
        <w:t>2</w:t>
      </w:r>
      <w:r w:rsidRPr="000860F1">
        <w:t xml:space="preserve"> primers developed by Harper </w:t>
      </w:r>
      <w:r w:rsidRPr="000860F1">
        <w:rPr>
          <w:i/>
        </w:rPr>
        <w:t>et</w:t>
      </w:r>
      <w:r w:rsidR="00E35F2A" w:rsidRPr="000860F1">
        <w:rPr>
          <w:i/>
          <w:iCs/>
        </w:rPr>
        <w:t> </w:t>
      </w:r>
      <w:r w:rsidRPr="000860F1">
        <w:rPr>
          <w:i/>
        </w:rPr>
        <w:t>al</w:t>
      </w:r>
      <w:r w:rsidRPr="000860F1">
        <w:t xml:space="preserve">. (2010, erratum 2013), and was modified by Yaseen </w:t>
      </w:r>
      <w:r w:rsidRPr="000860F1">
        <w:rPr>
          <w:i/>
        </w:rPr>
        <w:t>et</w:t>
      </w:r>
      <w:r w:rsidR="00E35F2A" w:rsidRPr="000860F1">
        <w:rPr>
          <w:i/>
          <w:iCs/>
        </w:rPr>
        <w:t> </w:t>
      </w:r>
      <w:r w:rsidRPr="000860F1">
        <w:rPr>
          <w:i/>
        </w:rPr>
        <w:t>al</w:t>
      </w:r>
      <w:r w:rsidRPr="000860F1">
        <w:t xml:space="preserve">. (2015). The modifications consist of a simplified extraction method and reduced incubation times. </w:t>
      </w:r>
      <w:r w:rsidR="00C93939" w:rsidRPr="000860F1">
        <w:t>R</w:t>
      </w:r>
      <w:r w:rsidRPr="000860F1">
        <w:t xml:space="preserve">eady-to-use kits </w:t>
      </w:r>
      <w:r w:rsidR="00C93939" w:rsidRPr="000860F1">
        <w:t>for the method are commercially available</w:t>
      </w:r>
      <w:r w:rsidR="003D22F0" w:rsidRPr="000860F1">
        <w:t xml:space="preserve"> </w:t>
      </w:r>
      <w:r w:rsidRPr="000860F1">
        <w:t xml:space="preserve">and </w:t>
      </w:r>
      <w:r w:rsidR="003D22F0" w:rsidRPr="000860F1">
        <w:t>they are</w:t>
      </w:r>
      <w:r w:rsidRPr="000860F1">
        <w:t xml:space="preserve"> performed in real-time on a specific device or by using a standard real-time thermocycler (e.g. Enbiotech</w:t>
      </w:r>
      <w:r w:rsidRPr="000860F1">
        <w:rPr>
          <w:vertAlign w:val="superscript"/>
        </w:rPr>
        <w:t>1</w:t>
      </w:r>
      <w:r w:rsidRPr="000860F1">
        <w:t>, Qualiplante</w:t>
      </w:r>
      <w:r w:rsidRPr="000860F1">
        <w:rPr>
          <w:vertAlign w:val="superscript"/>
        </w:rPr>
        <w:t>1</w:t>
      </w:r>
      <w:r w:rsidRPr="000860F1">
        <w:t>, Optigene</w:t>
      </w:r>
      <w:r w:rsidRPr="000860F1">
        <w:rPr>
          <w:vertAlign w:val="superscript"/>
        </w:rPr>
        <w:t>1</w:t>
      </w:r>
      <w:r w:rsidRPr="000860F1">
        <w:t>). The kits should be used as per the manufacturer’s instructions. Diagnostic sensitivity and specificity using the Enbiotech</w:t>
      </w:r>
      <w:r w:rsidRPr="000860F1">
        <w:rPr>
          <w:vertAlign w:val="superscript"/>
        </w:rPr>
        <w:t>1</w:t>
      </w:r>
      <w:r w:rsidRPr="000860F1">
        <w:t xml:space="preserve"> and Qualiplante</w:t>
      </w:r>
      <w:r w:rsidRPr="000860F1">
        <w:rPr>
          <w:vertAlign w:val="superscript"/>
        </w:rPr>
        <w:t>1</w:t>
      </w:r>
      <w:r w:rsidRPr="000860F1">
        <w:t xml:space="preserve"> kits have been determined as being between 83% and 92%. The </w:t>
      </w:r>
      <w:r w:rsidR="008A1443" w:rsidRPr="000860F1">
        <w:t xml:space="preserve">analytical </w:t>
      </w:r>
      <w:r w:rsidRPr="000860F1">
        <w:t xml:space="preserve">sensitivity </w:t>
      </w:r>
      <w:r w:rsidR="00837083" w:rsidRPr="000860F1">
        <w:t xml:space="preserve">(detection limit) </w:t>
      </w:r>
      <w:r w:rsidRPr="000860F1">
        <w:t>of these kits is between 10</w:t>
      </w:r>
      <w:r w:rsidRPr="000860F1">
        <w:rPr>
          <w:vertAlign w:val="superscript"/>
        </w:rPr>
        <w:t>2</w:t>
      </w:r>
      <w:r w:rsidRPr="000860F1">
        <w:t xml:space="preserve"> and 10</w:t>
      </w:r>
      <w:r w:rsidRPr="000860F1">
        <w:rPr>
          <w:vertAlign w:val="superscript"/>
        </w:rPr>
        <w:t>3</w:t>
      </w:r>
      <w:r w:rsidRPr="000860F1">
        <w:t> cfu/</w:t>
      </w:r>
      <w:r w:rsidR="00D415AF">
        <w:t>mL</w:t>
      </w:r>
      <w:r w:rsidR="002B0231" w:rsidRPr="000860F1">
        <w:t xml:space="preserve"> </w:t>
      </w:r>
      <w:r w:rsidRPr="000860F1">
        <w:t xml:space="preserve">for </w:t>
      </w:r>
      <w:r w:rsidR="00A40E35" w:rsidRPr="000860F1">
        <w:rPr>
          <w:i/>
        </w:rPr>
        <w:t>Citrus</w:t>
      </w:r>
      <w:r w:rsidR="00A40E35" w:rsidRPr="000860F1">
        <w:t xml:space="preserve"> spp., </w:t>
      </w:r>
      <w:r w:rsidR="00A40E35" w:rsidRPr="000860F1">
        <w:rPr>
          <w:i/>
        </w:rPr>
        <w:t>V.</w:t>
      </w:r>
      <w:r w:rsidR="009D4668" w:rsidRPr="000860F1">
        <w:rPr>
          <w:i/>
        </w:rPr>
        <w:t> </w:t>
      </w:r>
      <w:r w:rsidR="00A40E35" w:rsidRPr="000860F1">
        <w:rPr>
          <w:i/>
        </w:rPr>
        <w:t>vinifera</w:t>
      </w:r>
      <w:r w:rsidR="00A40E35" w:rsidRPr="000860F1">
        <w:t xml:space="preserve"> and </w:t>
      </w:r>
      <w:r w:rsidR="00A40E35" w:rsidRPr="000860F1">
        <w:rPr>
          <w:i/>
        </w:rPr>
        <w:t>O.</w:t>
      </w:r>
      <w:r w:rsidR="009D4668" w:rsidRPr="000860F1">
        <w:rPr>
          <w:i/>
        </w:rPr>
        <w:t> </w:t>
      </w:r>
      <w:r w:rsidR="00A40E35" w:rsidRPr="000860F1">
        <w:rPr>
          <w:i/>
        </w:rPr>
        <w:t>europaea</w:t>
      </w:r>
      <w:r w:rsidR="00A40E35" w:rsidRPr="000860F1">
        <w:t xml:space="preserve">. </w:t>
      </w:r>
      <w:r w:rsidRPr="000860F1">
        <w:t xml:space="preserve">Validation data are available </w:t>
      </w:r>
      <w:r w:rsidR="00BF00BD">
        <w:t xml:space="preserve">in </w:t>
      </w:r>
      <w:r w:rsidR="003D22F0" w:rsidRPr="000860F1">
        <w:t xml:space="preserve">the EPPO database </w:t>
      </w:r>
      <w:r w:rsidR="00445360">
        <w:t>on</w:t>
      </w:r>
      <w:r w:rsidR="003D22F0" w:rsidRPr="000860F1">
        <w:t xml:space="preserve"> diagnostic expertise (</w:t>
      </w:r>
      <w:r w:rsidR="004509DB">
        <w:t xml:space="preserve">EPPO, </w:t>
      </w:r>
      <w:r w:rsidR="003D22F0" w:rsidRPr="000860F1">
        <w:t>2018</w:t>
      </w:r>
      <w:r w:rsidR="004509DB">
        <w:t>c</w:t>
      </w:r>
      <w:r w:rsidR="003D22F0" w:rsidRPr="000860F1">
        <w:t xml:space="preserve">). </w:t>
      </w:r>
    </w:p>
    <w:p w14:paraId="13AA5206" w14:textId="0C83E503" w:rsidR="008E6998" w:rsidRPr="000860F1" w:rsidRDefault="000330D6">
      <w:pPr>
        <w:pStyle w:val="IPPHeading2"/>
      </w:pPr>
      <w:bookmarkStart w:id="49" w:name="_Toc111710144"/>
      <w:r w:rsidRPr="000860F1">
        <w:t>3.4.</w:t>
      </w:r>
      <w:r w:rsidR="00764BC0">
        <w:t>11</w:t>
      </w:r>
      <w:r w:rsidRPr="000860F1">
        <w:tab/>
        <w:t>Controls for molecular testing</w:t>
      </w:r>
      <w:bookmarkEnd w:id="49"/>
    </w:p>
    <w:p w14:paraId="08196CE0" w14:textId="514498AB" w:rsidR="008E6998" w:rsidRPr="000860F1" w:rsidRDefault="00337A40" w:rsidP="004C1B1F">
      <w:pPr>
        <w:pStyle w:val="IPPParagraphnumbering"/>
      </w:pPr>
      <w:bookmarkStart w:id="50" w:name="_Toc137983543"/>
      <w:r w:rsidRPr="000860F1">
        <w:t>F</w:t>
      </w:r>
      <w:r w:rsidR="000330D6" w:rsidRPr="000860F1">
        <w:t xml:space="preserve">or the test result to be considered reliable, appropriate controls – which will depend on the type of test used and the level of certainty required – should be considered for each series of nucleic acid isolations and amplifications of the target pest or target nucleic acid. </w:t>
      </w:r>
    </w:p>
    <w:p w14:paraId="527285CC" w14:textId="4FA1AB97" w:rsidR="008E6998" w:rsidRPr="000860F1" w:rsidRDefault="000330D6" w:rsidP="004C1B1F">
      <w:pPr>
        <w:pStyle w:val="IPPParagraphnumbering"/>
      </w:pPr>
      <w:r w:rsidRPr="000860F1">
        <w:t>For PCR, a positive nucleic acid (</w:t>
      </w:r>
      <w:r w:rsidRPr="000860F1">
        <w:rPr>
          <w:i/>
        </w:rPr>
        <w:t>X. fastidiosa</w:t>
      </w:r>
      <w:r w:rsidRPr="000860F1">
        <w:t xml:space="preserve">) control, an internal (host gene) control and a negative amplification control (no template control) are the minimum controls that should be used. </w:t>
      </w:r>
    </w:p>
    <w:p w14:paraId="0E83B456" w14:textId="0840A709" w:rsidR="008E6998" w:rsidRPr="000860F1" w:rsidRDefault="000330D6" w:rsidP="004C1B1F">
      <w:pPr>
        <w:pStyle w:val="IPPParagraphnumbering"/>
      </w:pPr>
      <w:r w:rsidRPr="000860F1">
        <w:t>For LAMP</w:t>
      </w:r>
      <w:r w:rsidRPr="000860F1">
        <w:rPr>
          <w:vertAlign w:val="superscript"/>
        </w:rPr>
        <w:t>2</w:t>
      </w:r>
      <w:r w:rsidRPr="000860F1">
        <w:t>, a positive nucleic acid (</w:t>
      </w:r>
      <w:r w:rsidRPr="000860F1">
        <w:rPr>
          <w:i/>
        </w:rPr>
        <w:t>X. fastidiosa</w:t>
      </w:r>
      <w:r w:rsidRPr="000860F1">
        <w:t xml:space="preserve">) control and a negative amplification control (no template control) are the minimum controls that should be used. </w:t>
      </w:r>
    </w:p>
    <w:p w14:paraId="6DA9F6D2" w14:textId="3354BC51" w:rsidR="008E6998" w:rsidRPr="000860F1" w:rsidRDefault="000330D6" w:rsidP="004C1B1F">
      <w:pPr>
        <w:pStyle w:val="IPPParagraphnumbering"/>
      </w:pPr>
      <w:r w:rsidRPr="000860F1">
        <w:t>Additional controls may be used for both LAMP</w:t>
      </w:r>
      <w:r w:rsidRPr="000860F1">
        <w:rPr>
          <w:vertAlign w:val="superscript"/>
        </w:rPr>
        <w:t>2</w:t>
      </w:r>
      <w:r w:rsidRPr="000860F1">
        <w:t xml:space="preserve"> and PCR as described below.</w:t>
      </w:r>
    </w:p>
    <w:p w14:paraId="2C6EBD3E" w14:textId="755F618C" w:rsidR="008E6998" w:rsidRPr="000860F1" w:rsidRDefault="000330D6" w:rsidP="004C1B1F">
      <w:pPr>
        <w:pStyle w:val="IPPParagraphnumbering"/>
      </w:pPr>
      <w:r w:rsidRPr="000860F1">
        <w:rPr>
          <w:rStyle w:val="IPPNormalbold"/>
          <w:lang w:val="en-GB"/>
        </w:rPr>
        <w:t>Positive nucleic acid control.</w:t>
      </w:r>
      <w:r w:rsidRPr="000860F1">
        <w:t xml:space="preserve"> This control is used to monitor the efficiency of PCR amplification. Pre-prepared (stored) nucleic acid, whole genomic DNA or a synthetic control (e.g. cloned PCR product) may be used. For this protocol, genomic DNA (50 ng/</w:t>
      </w:r>
      <w:r w:rsidR="007C2088" w:rsidRPr="000860F1">
        <w:t>µ</w:t>
      </w:r>
      <w:r w:rsidR="007C2088">
        <w:t>L</w:t>
      </w:r>
      <w:r w:rsidRPr="000860F1">
        <w:t xml:space="preserve">) extracted from either a culture of </w:t>
      </w:r>
      <w:r w:rsidRPr="000860F1">
        <w:rPr>
          <w:i/>
          <w:iCs/>
        </w:rPr>
        <w:t xml:space="preserve">X. fastidiosa </w:t>
      </w:r>
      <w:r w:rsidRPr="000860F1">
        <w:rPr>
          <w:iCs/>
        </w:rPr>
        <w:t xml:space="preserve">or naturally infected tissue </w:t>
      </w:r>
      <w:r w:rsidRPr="000860F1">
        <w:t>is recommended as a positive nucleic acid control.</w:t>
      </w:r>
    </w:p>
    <w:p w14:paraId="2F5EBD2E" w14:textId="74947A8F" w:rsidR="008E6998" w:rsidRPr="000860F1" w:rsidRDefault="000330D6" w:rsidP="004C1B1F">
      <w:pPr>
        <w:pStyle w:val="IPPParagraphnumbering"/>
      </w:pPr>
      <w:r w:rsidRPr="000860F1">
        <w:rPr>
          <w:rStyle w:val="IPPNormalbold"/>
          <w:lang w:val="en-GB"/>
        </w:rPr>
        <w:t>Internal control.</w:t>
      </w:r>
      <w:r w:rsidRPr="000860F1">
        <w:t xml:space="preserve"> For conventional and real-time PCR, a plant housekeeping gene such as </w:t>
      </w:r>
      <w:r w:rsidRPr="000860F1">
        <w:rPr>
          <w:i/>
          <w:iCs/>
        </w:rPr>
        <w:t>COX</w:t>
      </w:r>
      <w:r w:rsidRPr="000860F1">
        <w:t xml:space="preserve"> (Weller </w:t>
      </w:r>
      <w:r w:rsidRPr="000860F1">
        <w:rPr>
          <w:i/>
          <w:iCs/>
        </w:rPr>
        <w:t>et</w:t>
      </w:r>
      <w:r w:rsidRPr="000860F1">
        <w:rPr>
          <w:i/>
        </w:rPr>
        <w:t> </w:t>
      </w:r>
      <w:r w:rsidRPr="000860F1">
        <w:rPr>
          <w:i/>
          <w:iCs/>
        </w:rPr>
        <w:t>al.</w:t>
      </w:r>
      <w:r w:rsidRPr="000860F1">
        <w:rPr>
          <w:iCs/>
        </w:rPr>
        <w:t>,</w:t>
      </w:r>
      <w:r w:rsidRPr="000860F1">
        <w:t xml:space="preserve"> 2000; Li </w:t>
      </w:r>
      <w:r w:rsidRPr="000860F1">
        <w:rPr>
          <w:i/>
        </w:rPr>
        <w:t>et al</w:t>
      </w:r>
      <w:r w:rsidRPr="000860F1">
        <w:t xml:space="preserve">., 2006), the </w:t>
      </w:r>
      <w:r w:rsidR="005246C1" w:rsidRPr="000860F1">
        <w:t>1</w:t>
      </w:r>
      <w:r w:rsidR="005246C1">
        <w:t>8</w:t>
      </w:r>
      <w:r w:rsidR="005246C1" w:rsidRPr="000860F1">
        <w:t xml:space="preserve">S </w:t>
      </w:r>
      <w:r w:rsidR="003B50C3" w:rsidRPr="000860F1">
        <w:t>r</w:t>
      </w:r>
      <w:r w:rsidR="003B50C3">
        <w:t>R</w:t>
      </w:r>
      <w:r w:rsidR="003B50C3" w:rsidRPr="000860F1">
        <w:t xml:space="preserve">NA </w:t>
      </w:r>
      <w:r w:rsidRPr="000860F1">
        <w:t>gene (</w:t>
      </w:r>
      <w:r w:rsidR="003B50C3" w:rsidRPr="00FD0139">
        <w:t>Ioos et al., 2009</w:t>
      </w:r>
      <w:r w:rsidRPr="000860F1">
        <w:t xml:space="preserve">) or </w:t>
      </w:r>
      <w:r w:rsidRPr="000860F1">
        <w:rPr>
          <w:i/>
          <w:iCs/>
        </w:rPr>
        <w:t>GADPH</w:t>
      </w:r>
      <w:r w:rsidRPr="000860F1">
        <w:t xml:space="preserve"> (Mafra </w:t>
      </w:r>
      <w:r w:rsidRPr="000860F1">
        <w:rPr>
          <w:i/>
          <w:iCs/>
        </w:rPr>
        <w:t>et</w:t>
      </w:r>
      <w:r w:rsidRPr="000860F1">
        <w:rPr>
          <w:i/>
        </w:rPr>
        <w:t> </w:t>
      </w:r>
      <w:r w:rsidRPr="000860F1">
        <w:rPr>
          <w:i/>
          <w:iCs/>
        </w:rPr>
        <w:t>al.</w:t>
      </w:r>
      <w:r w:rsidRPr="000860F1">
        <w:rPr>
          <w:iCs/>
        </w:rPr>
        <w:t>,</w:t>
      </w:r>
      <w:r w:rsidRPr="000860F1">
        <w:t xml:space="preserve"> 2012) should be used as an internal control, to eliminate the possibility of PCR false negatives resulting either from nucleic acid extraction failure or degradation or from the presence of PCR inhibitors.</w:t>
      </w:r>
    </w:p>
    <w:p w14:paraId="608C5664" w14:textId="35FE26B3" w:rsidR="008E6998" w:rsidRPr="000860F1" w:rsidRDefault="000330D6" w:rsidP="004C1B1F">
      <w:pPr>
        <w:pStyle w:val="IPPParagraphnumbering"/>
      </w:pPr>
      <w:r w:rsidRPr="000860F1">
        <w:rPr>
          <w:rStyle w:val="IPPNormalbold"/>
          <w:lang w:val="en-GB"/>
        </w:rPr>
        <w:t>Negative amplification control (no template control).</w:t>
      </w:r>
      <w:r w:rsidRPr="000860F1">
        <w:t xml:space="preserve"> This control is necessary for conventional and real-time PCR to rule out false positives resulting from contamination during preparation of the reaction mixture. PCR-grade water that was used to prepare the reaction mixture, or sterile PBS, is added at the amplification stage.</w:t>
      </w:r>
    </w:p>
    <w:p w14:paraId="02DB1B84" w14:textId="721F7C23" w:rsidR="008E6998" w:rsidRPr="000860F1" w:rsidRDefault="000330D6" w:rsidP="004C1B1F">
      <w:pPr>
        <w:pStyle w:val="IPPParagraphnumbering"/>
      </w:pPr>
      <w:r w:rsidRPr="000860F1">
        <w:rPr>
          <w:rStyle w:val="IPPNormalbold"/>
          <w:lang w:val="en-GB"/>
        </w:rPr>
        <w:t>Positive extraction control.</w:t>
      </w:r>
      <w:r w:rsidRPr="000860F1">
        <w:t xml:space="preserve"> This control is used to ensure that nucleic acid from the target is of sufficient quality for PCR amplification. Nucleic acid is extracted from infected host tissue or from healthy plant tissue that has been spiked with the target near the concentration considered the detection limit of the test.</w:t>
      </w:r>
    </w:p>
    <w:p w14:paraId="2ABB3A9F" w14:textId="76B8161C" w:rsidR="008E6998" w:rsidRPr="000860F1" w:rsidRDefault="000330D6" w:rsidP="004C1B1F">
      <w:pPr>
        <w:pStyle w:val="IPPParagraphnumbering"/>
      </w:pPr>
      <w:r w:rsidRPr="000860F1">
        <w:t>For PCR, care needs to be taken to avoid cross-contamination resulting from aerosols from the positive control or from positive samples. If required, the positive control used in the laboratory should be sequenced so that this sequence can be readily compared with sequences obtained from PCR amplicons of the correct size. Alternatively, synthetic positive controls can be made with a known sequence that, again, can be compared with PCR amplicons of the correct size.</w:t>
      </w:r>
    </w:p>
    <w:p w14:paraId="6BC4AAEC" w14:textId="0290F366" w:rsidR="008E6998" w:rsidRPr="000860F1" w:rsidRDefault="000330D6" w:rsidP="004C1B1F">
      <w:pPr>
        <w:pStyle w:val="IPPParagraphnumbering"/>
      </w:pPr>
      <w:r w:rsidRPr="000860F1">
        <w:rPr>
          <w:rStyle w:val="IPPNormalbold"/>
          <w:lang w:val="en-GB"/>
        </w:rPr>
        <w:t>Negative extraction control.</w:t>
      </w:r>
      <w:r w:rsidRPr="000860F1">
        <w:t xml:space="preserve"> This control is used to monitor </w:t>
      </w:r>
      <w:r w:rsidR="00D61167" w:rsidRPr="000860F1">
        <w:t xml:space="preserve">both </w:t>
      </w:r>
      <w:r w:rsidRPr="000860F1">
        <w:t xml:space="preserve">contamination during nucleic acid extraction </w:t>
      </w:r>
      <w:r w:rsidR="00727FD0" w:rsidRPr="000860F1">
        <w:t>and</w:t>
      </w:r>
      <w:r w:rsidRPr="000860F1">
        <w:t xml:space="preserve"> cross-reaction with the host tissue. The control comprises nucleic acid that is extracted from uninfected host tissue and subsequently amplified, or a tissue macerate sample extract previously tested negative for </w:t>
      </w:r>
      <w:r w:rsidRPr="000860F1">
        <w:rPr>
          <w:i/>
          <w:iCs/>
        </w:rPr>
        <w:t>X. fastidiosa</w:t>
      </w:r>
      <w:r w:rsidRPr="000860F1">
        <w:t xml:space="preserve">. </w:t>
      </w:r>
      <w:r w:rsidR="00A426B2" w:rsidRPr="000860F1">
        <w:t>It is</w:t>
      </w:r>
      <w:r w:rsidRPr="000860F1">
        <w:t xml:space="preserve"> recommended </w:t>
      </w:r>
      <w:r w:rsidR="00A426B2" w:rsidRPr="000860F1">
        <w:t>that multiple controls</w:t>
      </w:r>
      <w:r w:rsidRPr="000860F1">
        <w:t xml:space="preserve"> be included when large numbers of positive samples are expected.</w:t>
      </w:r>
    </w:p>
    <w:p w14:paraId="72DE0350" w14:textId="221B4333" w:rsidR="008E6998" w:rsidRPr="000860F1" w:rsidRDefault="000330D6">
      <w:pPr>
        <w:pStyle w:val="IPPHeading2"/>
        <w:ind w:left="0" w:firstLine="0"/>
      </w:pPr>
      <w:bookmarkStart w:id="51" w:name="_Toc111710145"/>
      <w:r w:rsidRPr="000860F1">
        <w:t>3.4.</w:t>
      </w:r>
      <w:r w:rsidR="00764BC0" w:rsidRPr="000860F1">
        <w:t>1</w:t>
      </w:r>
      <w:r w:rsidR="00764BC0">
        <w:t>2</w:t>
      </w:r>
      <w:r w:rsidRPr="000860F1">
        <w:tab/>
        <w:t>Interpretation of results from conventional and real-time PCR</w:t>
      </w:r>
      <w:bookmarkEnd w:id="51"/>
    </w:p>
    <w:p w14:paraId="4A31FD56" w14:textId="0AEDD200" w:rsidR="008E6998" w:rsidRPr="000860F1" w:rsidRDefault="000330D6">
      <w:pPr>
        <w:pStyle w:val="IPPHeading3"/>
      </w:pPr>
      <w:r w:rsidRPr="000860F1">
        <w:t>3.4.</w:t>
      </w:r>
      <w:r w:rsidR="00764BC0" w:rsidRPr="000860F1">
        <w:t>1</w:t>
      </w:r>
      <w:r w:rsidR="00764BC0">
        <w:t>2</w:t>
      </w:r>
      <w:r w:rsidRPr="000860F1">
        <w:t>.</w:t>
      </w:r>
      <w:r w:rsidRPr="00B70439">
        <w:t>1</w:t>
      </w:r>
      <w:r w:rsidRPr="00B70439">
        <w:tab/>
      </w:r>
      <w:r w:rsidR="008079DA">
        <w:t xml:space="preserve"> </w:t>
      </w:r>
      <w:r w:rsidRPr="00B70439">
        <w:t>C</w:t>
      </w:r>
      <w:r w:rsidRPr="000860F1">
        <w:t>onventional PCR</w:t>
      </w:r>
    </w:p>
    <w:p w14:paraId="7AD0AE05" w14:textId="55B69524" w:rsidR="008E6998" w:rsidRPr="000860F1" w:rsidRDefault="000330D6" w:rsidP="004C1B1F">
      <w:pPr>
        <w:pStyle w:val="IPPParagraphnumbering"/>
      </w:pPr>
      <w:r w:rsidRPr="000860F1">
        <w:t>The pathogen-specific PCR will be considered valid only if both these criteria are met:</w:t>
      </w:r>
    </w:p>
    <w:p w14:paraId="32B0F798" w14:textId="58847A4A" w:rsidR="008E6998" w:rsidRPr="000860F1" w:rsidRDefault="000330D6" w:rsidP="00786AC8">
      <w:pPr>
        <w:pStyle w:val="IPPBullet1"/>
      </w:pPr>
      <w:r w:rsidRPr="000860F1">
        <w:t>the positive control produces the correct size amplicon for the bacterium</w:t>
      </w:r>
    </w:p>
    <w:p w14:paraId="4A174CC6" w14:textId="6D545E85" w:rsidR="008E6998" w:rsidRPr="000860F1" w:rsidRDefault="000330D6" w:rsidP="00786AC8">
      <w:pPr>
        <w:pStyle w:val="IPPBullet1Last"/>
      </w:pPr>
      <w:r w:rsidRPr="000860F1">
        <w:t>no amplicons of the correct size for the bacterium are produced in the negative extraction control and the negative amplification control.</w:t>
      </w:r>
    </w:p>
    <w:p w14:paraId="7AE91780" w14:textId="0E23F652" w:rsidR="008E6998" w:rsidRPr="000860F1" w:rsidRDefault="000330D6" w:rsidP="004C1B1F">
      <w:pPr>
        <w:pStyle w:val="IPPParagraphnumbering"/>
      </w:pPr>
      <w:r w:rsidRPr="000860F1">
        <w:t>If 16S rDNA</w:t>
      </w:r>
      <w:r w:rsidRPr="000860F1">
        <w:rPr>
          <w:i/>
          <w:iCs/>
        </w:rPr>
        <w:t xml:space="preserve"> </w:t>
      </w:r>
      <w:r w:rsidRPr="000860F1">
        <w:t xml:space="preserve">internal control primers are also used, then the negative (healthy plant tissue) control (if used), the positive control, and each of the test samples must produce an approximately 1.6 kilobase (kb) band (amplicon size will depend on which </w:t>
      </w:r>
      <w:r w:rsidR="003B50C3" w:rsidRPr="000860F1">
        <w:t>1</w:t>
      </w:r>
      <w:r w:rsidR="003B50C3">
        <w:t>8</w:t>
      </w:r>
      <w:r w:rsidR="003B50C3" w:rsidRPr="000860F1">
        <w:t>S r</w:t>
      </w:r>
      <w:r w:rsidR="003B50C3">
        <w:t>R</w:t>
      </w:r>
      <w:r w:rsidR="003B50C3" w:rsidRPr="000860F1">
        <w:t xml:space="preserve">NA </w:t>
      </w:r>
      <w:r w:rsidRPr="000860F1">
        <w:t>primers are used (</w:t>
      </w:r>
      <w:r w:rsidR="003B50C3" w:rsidRPr="00FD0139">
        <w:t>Ioos et al., 2009</w:t>
      </w:r>
      <w:r w:rsidRPr="000860F1">
        <w:t>). Note that synthetic and plasmid positive controls will not produce a 1.6 kb band. Failure of the samples to amplify with the internal control primers suggests, for example, that the DNA extraction has failed, the nucleic acid has not been included in the reaction mixture, compounds inhibitory to PCR are present in the DNA extract, or the DNA has degraded.</w:t>
      </w:r>
    </w:p>
    <w:p w14:paraId="5B3785F4" w14:textId="1751FAA4" w:rsidR="008E6998" w:rsidRPr="000860F1" w:rsidRDefault="000330D6" w:rsidP="004C1B1F">
      <w:pPr>
        <w:pStyle w:val="IPPParagraphnumbering"/>
      </w:pPr>
      <w:r w:rsidRPr="000860F1">
        <w:t>A sample will be considered positive if it produces an amplicon of the correct size.</w:t>
      </w:r>
    </w:p>
    <w:p w14:paraId="7C1AD69A" w14:textId="609DEEA3" w:rsidR="008E6998" w:rsidRPr="000860F1" w:rsidRDefault="000330D6">
      <w:pPr>
        <w:pStyle w:val="IPPHeading3"/>
      </w:pPr>
      <w:r w:rsidRPr="000860F1">
        <w:t>3.4.</w:t>
      </w:r>
      <w:r w:rsidR="00AD2F3B" w:rsidRPr="000860F1">
        <w:t>1</w:t>
      </w:r>
      <w:r w:rsidR="00764BC0">
        <w:t>2</w:t>
      </w:r>
      <w:r w:rsidRPr="000860F1">
        <w:t>.2</w:t>
      </w:r>
      <w:r w:rsidRPr="000860F1">
        <w:tab/>
      </w:r>
      <w:r w:rsidR="008079DA">
        <w:t xml:space="preserve"> </w:t>
      </w:r>
      <w:r w:rsidRPr="000860F1">
        <w:t>Real-time PCR</w:t>
      </w:r>
    </w:p>
    <w:p w14:paraId="2CA7C08A" w14:textId="5DF5BE85" w:rsidR="008E6998" w:rsidRPr="000860F1" w:rsidRDefault="000330D6" w:rsidP="004C1B1F">
      <w:pPr>
        <w:pStyle w:val="IPPParagraphnumbering"/>
      </w:pPr>
      <w:r w:rsidRPr="000860F1">
        <w:t>The real-time PCR will be considered valid only if both these criteria are met:</w:t>
      </w:r>
    </w:p>
    <w:p w14:paraId="3A924BDE" w14:textId="690DAE7B" w:rsidR="008E6998" w:rsidRPr="000860F1" w:rsidRDefault="000330D6" w:rsidP="00786AC8">
      <w:pPr>
        <w:pStyle w:val="IPPBullet1"/>
      </w:pPr>
      <w:r w:rsidRPr="000860F1">
        <w:t>the positive control produces an amplification curve</w:t>
      </w:r>
      <w:r w:rsidR="00030B6F">
        <w:t xml:space="preserve"> </w:t>
      </w:r>
      <w:r w:rsidRPr="000860F1">
        <w:t>with the pathogen-specific primers and probe</w:t>
      </w:r>
    </w:p>
    <w:p w14:paraId="19756668" w14:textId="600E9AF5" w:rsidR="008E6998" w:rsidRPr="000860F1" w:rsidRDefault="000330D6" w:rsidP="00786AC8">
      <w:pPr>
        <w:pStyle w:val="IPPBullet1Last"/>
      </w:pPr>
      <w:r w:rsidRPr="000860F1">
        <w:t>no amplification curve is seen with the negative extraction control and the negative amplification control.</w:t>
      </w:r>
    </w:p>
    <w:p w14:paraId="47E666B1" w14:textId="2B5B99EC" w:rsidR="008E6998" w:rsidRPr="000860F1" w:rsidRDefault="000330D6" w:rsidP="004C1B1F">
      <w:pPr>
        <w:pStyle w:val="IPPParagraphnumbering"/>
      </w:pPr>
      <w:r w:rsidRPr="000860F1">
        <w:t xml:space="preserve">If the </w:t>
      </w:r>
      <w:r w:rsidRPr="000860F1">
        <w:rPr>
          <w:i/>
        </w:rPr>
        <w:t>COX</w:t>
      </w:r>
      <w:r w:rsidRPr="000860F1">
        <w:t xml:space="preserve"> internal control primers are also used, then the negative control (if used), the positive control, and each of the test samples must produce an amplification curve. Failure of the samples to produce an amplification curve with the internal control primers suggests, for example, that the DNA extraction has failed, the DNA has not been included in the reaction mixture, compounds inhibitory to PCR are present in the DNA extract, or the nucleic acid has degraded.</w:t>
      </w:r>
    </w:p>
    <w:p w14:paraId="6CFE7601" w14:textId="742CC24E" w:rsidR="008E6998" w:rsidRPr="000860F1" w:rsidRDefault="000330D6" w:rsidP="004C1B1F">
      <w:pPr>
        <w:pStyle w:val="IPPParagraphnumbering"/>
      </w:pPr>
      <w:r w:rsidRPr="000860F1">
        <w:t xml:space="preserve">A sample will be considered positive if it produces a typical amplification curve. The cycle cut-off value needs to be verified in each laboratory when implementing the </w:t>
      </w:r>
      <w:r w:rsidR="00947FE9" w:rsidRPr="000860F1">
        <w:t xml:space="preserve">method </w:t>
      </w:r>
      <w:r w:rsidRPr="000860F1">
        <w:t xml:space="preserve">for the first time. Guidance on how to determine the cycle cut-off value can be found in Chandelier </w:t>
      </w:r>
      <w:r w:rsidRPr="000860F1">
        <w:rPr>
          <w:i/>
        </w:rPr>
        <w:t>et al.</w:t>
      </w:r>
      <w:r w:rsidRPr="000860F1">
        <w:t xml:space="preserve"> (2010).</w:t>
      </w:r>
    </w:p>
    <w:p w14:paraId="3FE227D8" w14:textId="0B93BD51" w:rsidR="006622EA" w:rsidRPr="000860F1" w:rsidRDefault="000B3A65" w:rsidP="008D47EC">
      <w:pPr>
        <w:pStyle w:val="IPPHeading3"/>
        <w:rPr>
          <w:rFonts w:eastAsiaTheme="minorHAnsi"/>
          <w:szCs w:val="22"/>
        </w:rPr>
      </w:pPr>
      <w:r w:rsidRPr="000860F1">
        <w:t>3.4.</w:t>
      </w:r>
      <w:r w:rsidR="00764BC0" w:rsidRPr="000860F1">
        <w:t>1</w:t>
      </w:r>
      <w:r w:rsidR="00764BC0">
        <w:t>2</w:t>
      </w:r>
      <w:r w:rsidRPr="000860F1">
        <w:t>.3 Real time LAMP</w:t>
      </w:r>
    </w:p>
    <w:p w14:paraId="6A28D43F" w14:textId="6AF09BFB" w:rsidR="006622EA" w:rsidRPr="000860F1" w:rsidRDefault="006622EA" w:rsidP="004C1B1F">
      <w:pPr>
        <w:pStyle w:val="IPPParagraphnumbering"/>
      </w:pPr>
      <w:r w:rsidRPr="000860F1">
        <w:t>The real time PCR LAMP will be considered valid only if both these criteria are met:</w:t>
      </w:r>
    </w:p>
    <w:p w14:paraId="701FD594" w14:textId="70B27DA2" w:rsidR="006622EA" w:rsidRPr="000860F1" w:rsidRDefault="00CB1AF7" w:rsidP="00786AC8">
      <w:pPr>
        <w:pStyle w:val="IPPBullet1"/>
      </w:pPr>
      <w:r>
        <w:t>the p</w:t>
      </w:r>
      <w:r w:rsidR="006622EA" w:rsidRPr="000860F1">
        <w:t>ositive nucleic acid control produce</w:t>
      </w:r>
      <w:r w:rsidR="00100E56" w:rsidRPr="000860F1">
        <w:t>s</w:t>
      </w:r>
      <w:r w:rsidR="006622EA" w:rsidRPr="000860F1">
        <w:t xml:space="preserve"> a specific reaction</w:t>
      </w:r>
      <w:r>
        <w:t xml:space="preserve"> (t</w:t>
      </w:r>
      <w:r w:rsidR="006622EA" w:rsidRPr="000860F1">
        <w:t>he type of reaction varies with the technology of the LAMP test (e.g. fluorescence, coloration, amplification curve)</w:t>
      </w:r>
      <w:r>
        <w:t>;</w:t>
      </w:r>
      <w:r w:rsidR="006622EA" w:rsidRPr="000860F1">
        <w:t xml:space="preserve"> </w:t>
      </w:r>
      <w:r>
        <w:t>t</w:t>
      </w:r>
      <w:r w:rsidR="006622EA" w:rsidRPr="000860F1">
        <w:t>he specific reaction is described in the instructions of the kit providers or in the specific section of the protocol describing the LAMP test</w:t>
      </w:r>
      <w:r>
        <w:t>)</w:t>
      </w:r>
    </w:p>
    <w:p w14:paraId="105184EE" w14:textId="0A8A9768" w:rsidR="006622EA" w:rsidRPr="000860F1" w:rsidRDefault="00CB1AF7" w:rsidP="00786AC8">
      <w:pPr>
        <w:pStyle w:val="IPPBullet1Last"/>
      </w:pPr>
      <w:r>
        <w:t>the n</w:t>
      </w:r>
      <w:r w:rsidR="006622EA" w:rsidRPr="000860F1">
        <w:t xml:space="preserve">egative amplification control </w:t>
      </w:r>
      <w:r w:rsidR="00100E56" w:rsidRPr="000860F1">
        <w:t>does not</w:t>
      </w:r>
      <w:r w:rsidR="006622EA" w:rsidRPr="000860F1">
        <w:t xml:space="preserve"> produce </w:t>
      </w:r>
      <w:r w:rsidR="00100E56" w:rsidRPr="000860F1">
        <w:t>a</w:t>
      </w:r>
      <w:r w:rsidR="006622EA" w:rsidRPr="000860F1">
        <w:t xml:space="preserve"> specific reaction. </w:t>
      </w:r>
    </w:p>
    <w:p w14:paraId="0A33352B" w14:textId="4ADAF80A" w:rsidR="006622EA" w:rsidRPr="000860F1" w:rsidRDefault="006622EA" w:rsidP="004C1B1F">
      <w:pPr>
        <w:pStyle w:val="IPPParagraphnumbering"/>
      </w:pPr>
      <w:r w:rsidRPr="000860F1">
        <w:t>A test will be considered positive if it produces a specific reaction as defined for the control reactions (see above). A test will be considered negative if it produces no specific reaction. Tests should be repeated if any contradictory or unclear results are obtained</w:t>
      </w:r>
      <w:r w:rsidR="00100E56" w:rsidRPr="000860F1">
        <w:t>.</w:t>
      </w:r>
    </w:p>
    <w:p w14:paraId="7901FF2B" w14:textId="68ACC794" w:rsidR="008E6998" w:rsidRPr="000860F1" w:rsidRDefault="000330D6" w:rsidP="006622EA">
      <w:pPr>
        <w:pStyle w:val="IPPHeading1"/>
      </w:pPr>
      <w:bookmarkStart w:id="52" w:name="_Toc111710146"/>
      <w:r w:rsidRPr="000860F1">
        <w:t>4.</w:t>
      </w:r>
      <w:r w:rsidRPr="000860F1">
        <w:tab/>
      </w:r>
      <w:bookmarkEnd w:id="50"/>
      <w:r w:rsidRPr="000860F1">
        <w:t>Identification</w:t>
      </w:r>
      <w:bookmarkEnd w:id="52"/>
    </w:p>
    <w:p w14:paraId="5CA709BC" w14:textId="63EE2751" w:rsidR="008E6998" w:rsidRPr="000860F1" w:rsidRDefault="000330D6" w:rsidP="004C1B1F">
      <w:pPr>
        <w:pStyle w:val="IPPParagraphnumbering"/>
      </w:pPr>
      <w:r w:rsidRPr="000860F1">
        <w:t>The minimum requirements for identification are positive results from two tests based on different biological principles or from two molecular tests that amplify different genetic loci. However, if the outcome is critical (e.g. post-entry quarantine samples, new host record, new country record), it is recommended that the bacterium is isolated and the requirements for Koch’s postulates fulfilled.</w:t>
      </w:r>
    </w:p>
    <w:p w14:paraId="0F2D478B" w14:textId="38D0B66F" w:rsidR="008E6998" w:rsidRPr="000860F1" w:rsidRDefault="000330D6" w:rsidP="004C1B1F">
      <w:pPr>
        <w:pStyle w:val="IPPParagraphnumbering"/>
      </w:pPr>
      <w:r w:rsidRPr="000860F1">
        <w:t xml:space="preserve">Further tests may be done in instances where the NPPO requires additional confidence </w:t>
      </w:r>
      <w:r w:rsidR="00716DFF" w:rsidRPr="000860F1">
        <w:t>in</w:t>
      </w:r>
      <w:r w:rsidRPr="000860F1">
        <w:t xml:space="preserve"> the identification of the </w:t>
      </w:r>
      <w:r w:rsidRPr="000860F1">
        <w:rPr>
          <w:i/>
        </w:rPr>
        <w:t>X. fastidiosa</w:t>
      </w:r>
      <w:r w:rsidRPr="000860F1">
        <w:t xml:space="preserve"> subspecies or strain type. Sequencing of the complete genome (Simpson </w:t>
      </w:r>
      <w:r w:rsidRPr="000860F1">
        <w:rPr>
          <w:i/>
        </w:rPr>
        <w:t>et al.</w:t>
      </w:r>
      <w:r w:rsidRPr="000860F1">
        <w:t xml:space="preserve">, 2000; Van Sluys </w:t>
      </w:r>
      <w:r w:rsidRPr="000860F1">
        <w:rPr>
          <w:i/>
        </w:rPr>
        <w:t>et al.</w:t>
      </w:r>
      <w:r w:rsidRPr="000860F1">
        <w:t>, 2003), multilocus sequence analysis (</w:t>
      </w:r>
      <w:r w:rsidR="00D415AF">
        <w:t>ML</w:t>
      </w:r>
      <w:r w:rsidRPr="000860F1">
        <w:t>SA</w:t>
      </w:r>
      <w:r w:rsidR="00D368AE">
        <w:t>) or m</w:t>
      </w:r>
      <w:r w:rsidR="00D368AE" w:rsidRPr="00D368AE">
        <w:t>ulti</w:t>
      </w:r>
      <w:r w:rsidR="00D368AE">
        <w:t>locus sequencing t</w:t>
      </w:r>
      <w:r w:rsidR="00D368AE" w:rsidRPr="00D368AE">
        <w:t>yping</w:t>
      </w:r>
      <w:r w:rsidRPr="000860F1">
        <w:t xml:space="preserve">or </w:t>
      </w:r>
      <w:r w:rsidR="00D368AE">
        <w:t>(</w:t>
      </w:r>
      <w:r w:rsidR="00D415AF">
        <w:t>ML</w:t>
      </w:r>
      <w:r w:rsidRPr="000860F1">
        <w:t xml:space="preserve">ST) (Scally </w:t>
      </w:r>
      <w:r w:rsidRPr="000860F1">
        <w:rPr>
          <w:i/>
        </w:rPr>
        <w:t>et al.</w:t>
      </w:r>
      <w:r w:rsidRPr="000860F1">
        <w:t xml:space="preserve">, 2005; Yuan </w:t>
      </w:r>
      <w:r w:rsidRPr="000860F1">
        <w:rPr>
          <w:i/>
        </w:rPr>
        <w:t>et al.</w:t>
      </w:r>
      <w:r w:rsidRPr="000860F1">
        <w:t>, 2010), is recommended for subspecies identification or when atypical or undescribed strains are suspected (section 4.5.1).</w:t>
      </w:r>
    </w:p>
    <w:p w14:paraId="571E5598" w14:textId="05BFD03F" w:rsidR="008E6998" w:rsidRPr="000860F1" w:rsidRDefault="000330D6">
      <w:pPr>
        <w:pStyle w:val="IPPHeading2"/>
      </w:pPr>
      <w:bookmarkStart w:id="53" w:name="_Toc384635723"/>
      <w:bookmarkStart w:id="54" w:name="_Toc111710147"/>
      <w:r w:rsidRPr="000860F1">
        <w:t>4.1</w:t>
      </w:r>
      <w:r w:rsidRPr="000860F1">
        <w:tab/>
        <w:t>Isolation</w:t>
      </w:r>
      <w:bookmarkEnd w:id="53"/>
      <w:bookmarkEnd w:id="54"/>
    </w:p>
    <w:p w14:paraId="41C6879A" w14:textId="3882CC06" w:rsidR="008E6998" w:rsidRPr="000860F1" w:rsidRDefault="000330D6" w:rsidP="004C1B1F">
      <w:pPr>
        <w:pStyle w:val="IPPParagraphnumbering"/>
      </w:pPr>
      <w:r w:rsidRPr="000860F1">
        <w:rPr>
          <w:i/>
          <w:iCs/>
        </w:rPr>
        <w:t>X</w:t>
      </w:r>
      <w:r w:rsidR="00377EC6" w:rsidRPr="000860F1">
        <w:rPr>
          <w:i/>
          <w:iCs/>
        </w:rPr>
        <w:t>.</w:t>
      </w:r>
      <w:r w:rsidRPr="000860F1">
        <w:rPr>
          <w:i/>
          <w:iCs/>
        </w:rPr>
        <w:t> fastidiosa</w:t>
      </w:r>
      <w:r w:rsidRPr="000860F1">
        <w:rPr>
          <w:iCs/>
        </w:rPr>
        <w:t xml:space="preserve"> strains are </w:t>
      </w:r>
      <w:r w:rsidRPr="000860F1">
        <w:t xml:space="preserve">difficult to isolate, even from symptomatic plants, and difficult to grow in axenic culture. They do not grow on most common bacterial media, and require specialized media such as PD2 (Davis </w:t>
      </w:r>
      <w:r w:rsidRPr="000860F1">
        <w:rPr>
          <w:i/>
        </w:rPr>
        <w:t>et al.</w:t>
      </w:r>
      <w:r w:rsidRPr="000860F1">
        <w:t xml:space="preserve">, 1980), BCYE (Wells </w:t>
      </w:r>
      <w:r w:rsidRPr="000860F1">
        <w:rPr>
          <w:i/>
        </w:rPr>
        <w:t>et al.</w:t>
      </w:r>
      <w:r w:rsidRPr="000860F1">
        <w:t xml:space="preserve">, 1981) or PWG (modified from Hill and Purcell, 1995; </w:t>
      </w:r>
      <w:r w:rsidR="00EE16FD" w:rsidRPr="000860F1">
        <w:t>EPPO, 2018</w:t>
      </w:r>
      <w:r w:rsidR="004509DB">
        <w:t>b</w:t>
      </w:r>
      <w:r w:rsidRPr="000860F1">
        <w:t xml:space="preserve">). It is recommended that at least two different media </w:t>
      </w:r>
      <w:r w:rsidR="00363E46" w:rsidRPr="000860F1">
        <w:t>be</w:t>
      </w:r>
      <w:r w:rsidRPr="000860F1">
        <w:t xml:space="preserve"> used for isolation</w:t>
      </w:r>
      <w:r w:rsidR="00D9690E">
        <w:t xml:space="preserve"> (EPPO, 2018)</w:t>
      </w:r>
      <w:r w:rsidRPr="000860F1">
        <w:t>.</w:t>
      </w:r>
    </w:p>
    <w:p w14:paraId="784D018C" w14:textId="16753152" w:rsidR="008E6998" w:rsidRPr="000860F1" w:rsidRDefault="000330D6" w:rsidP="004C1B1F">
      <w:pPr>
        <w:pStyle w:val="IPPParagraphnumbering"/>
      </w:pPr>
      <w:r w:rsidRPr="000860F1">
        <w:t>Midrib</w:t>
      </w:r>
      <w:r w:rsidR="00A406AA">
        <w:t>,</w:t>
      </w:r>
      <w:r w:rsidRPr="000860F1">
        <w:t xml:space="preserve"> petiole</w:t>
      </w:r>
      <w:r w:rsidR="00A406AA">
        <w:t xml:space="preserve"> or twig/stem</w:t>
      </w:r>
      <w:r w:rsidRPr="000860F1">
        <w:t xml:space="preserve"> tissue from symptomatic samples are considered the best sources for reliable isolation of </w:t>
      </w:r>
      <w:r w:rsidRPr="000860F1">
        <w:rPr>
          <w:i/>
        </w:rPr>
        <w:t>X. fastidiosa</w:t>
      </w:r>
      <w:r w:rsidRPr="000860F1">
        <w:t xml:space="preserve">. However, other sources of infected plant tissue from which the bacterium can be isolated include root sections (Hopkins, 2001). </w:t>
      </w:r>
      <w:r w:rsidRPr="000860F1">
        <w:rPr>
          <w:i/>
        </w:rPr>
        <w:t>X. fastidiosa</w:t>
      </w:r>
      <w:r w:rsidRPr="000860F1">
        <w:t xml:space="preserve"> can also be isolated from insect vectors (Hill and Purcell, 1995).</w:t>
      </w:r>
    </w:p>
    <w:p w14:paraId="1C7EDABD" w14:textId="0B1B48A2" w:rsidR="00E45E9C" w:rsidRDefault="000330D6" w:rsidP="004C1B1F">
      <w:pPr>
        <w:pStyle w:val="IPPParagraphnumbering"/>
      </w:pPr>
      <w:r w:rsidRPr="000860F1">
        <w:t xml:space="preserve">It is very important to surface sterilize the sample in order to avoid contaminants, because </w:t>
      </w:r>
      <w:r w:rsidRPr="000860F1">
        <w:rPr>
          <w:i/>
        </w:rPr>
        <w:t>X. fastidiosa</w:t>
      </w:r>
      <w:r w:rsidRPr="000860F1">
        <w:t xml:space="preserve"> grows very slowly (up to 30 days) and can be readily overgrown by other microorganisms. Petiole</w:t>
      </w:r>
      <w:r w:rsidR="00A406AA">
        <w:t>,</w:t>
      </w:r>
      <w:r w:rsidRPr="000860F1">
        <w:t xml:space="preserve"> midrib</w:t>
      </w:r>
      <w:r w:rsidR="00A406AA">
        <w:t xml:space="preserve"> or twig/stem</w:t>
      </w:r>
      <w:r w:rsidRPr="000860F1">
        <w:t xml:space="preserve"> samples are surface sterilized by immersion in 70%</w:t>
      </w:r>
      <w:r w:rsidR="00766B5B">
        <w:t>vol</w:t>
      </w:r>
      <w:r w:rsidRPr="000860F1">
        <w:t xml:space="preserve"> ethanol for 1 min </w:t>
      </w:r>
      <w:r w:rsidR="00A406AA">
        <w:t>then put down quickly into</w:t>
      </w:r>
      <w:r w:rsidR="00A406AA" w:rsidRPr="000860F1">
        <w:t xml:space="preserve"> </w:t>
      </w:r>
      <w:r w:rsidR="00A406AA">
        <w:t>96</w:t>
      </w:r>
      <w:r w:rsidR="00A406AA" w:rsidRPr="000860F1">
        <w:t>%</w:t>
      </w:r>
      <w:r w:rsidR="00766B5B">
        <w:t>vol</w:t>
      </w:r>
      <w:r w:rsidR="00A406AA" w:rsidRPr="000860F1">
        <w:t xml:space="preserve"> ethanol </w:t>
      </w:r>
      <w:r w:rsidR="00D9690E">
        <w:t>, flamed</w:t>
      </w:r>
      <w:r w:rsidR="00A406AA">
        <w:t xml:space="preserve"> </w:t>
      </w:r>
      <w:r w:rsidR="000603EC">
        <w:t>rapidly</w:t>
      </w:r>
      <w:r w:rsidR="00D9690E">
        <w:t xml:space="preserve"> and placed in </w:t>
      </w:r>
      <w:r w:rsidR="00D9690E" w:rsidRPr="0024174F">
        <w:t>sterile demineralized water</w:t>
      </w:r>
      <w:r w:rsidR="006F7D90" w:rsidRPr="000860F1">
        <w:t>,</w:t>
      </w:r>
      <w:r w:rsidR="005E2B19" w:rsidRPr="000860F1">
        <w:t xml:space="preserve"> </w:t>
      </w:r>
      <w:r w:rsidR="00E45E9C" w:rsidRPr="00E45E9C">
        <w:t>then placed under gentle agitation for 15 min before plating</w:t>
      </w:r>
      <w:r w:rsidR="00E45E9C">
        <w:t xml:space="preserve">. </w:t>
      </w:r>
      <w:r w:rsidR="00E45E9C" w:rsidRPr="000860F1">
        <w:t>Alternatively</w:t>
      </w:r>
      <w:r w:rsidR="00E45E9C">
        <w:t>, samples can be placed</w:t>
      </w:r>
      <w:r w:rsidRPr="000860F1">
        <w:t xml:space="preserve"> </w:t>
      </w:r>
      <w:r w:rsidR="006F7D90" w:rsidRPr="000860F1">
        <w:t>in</w:t>
      </w:r>
      <w:r w:rsidRPr="000860F1">
        <w:t xml:space="preserve"> 1% bleach for 2 min, followed by two rinses in sterile distilled water. Surface-sterilized plant tissue segments are cut in the middle, squeezed with flame-sterilized needle-nose pliers, and the sap that exudes can be blotted directly onto media (Hopkins, 2001)</w:t>
      </w:r>
      <w:r w:rsidR="00E45E9C">
        <w:t xml:space="preserve">, or </w:t>
      </w:r>
      <w:r w:rsidRPr="000860F1">
        <w:t xml:space="preserve">tissue is </w:t>
      </w:r>
      <w:r w:rsidR="00E45E9C">
        <w:t>cut in small pieces</w:t>
      </w:r>
      <w:r w:rsidR="00E45E9C" w:rsidRPr="000860F1">
        <w:t xml:space="preserve"> </w:t>
      </w:r>
      <w:r w:rsidRPr="000860F1">
        <w:t xml:space="preserve">in PBS at ratios of 1:10 and 1:100 </w:t>
      </w:r>
      <w:r w:rsidR="00E45E9C">
        <w:t xml:space="preserve">or ground </w:t>
      </w:r>
      <w:r w:rsidRPr="000860F1">
        <w:t>with a mortar and pestle or a homogenizer (e.g. Homex)</w:t>
      </w:r>
      <w:r w:rsidR="00E45E9C">
        <w:t>,</w:t>
      </w:r>
      <w:r w:rsidRPr="000860F1">
        <w:t>and then plated onto two different types of specific media (e.g. PD2, BCYE, PWG).</w:t>
      </w:r>
      <w:r w:rsidR="001457F3" w:rsidRPr="000860F1">
        <w:t xml:space="preserve"> </w:t>
      </w:r>
      <w:r w:rsidR="00D415AF">
        <w:t>mL</w:t>
      </w:r>
    </w:p>
    <w:p w14:paraId="3D415990" w14:textId="30BE34C3" w:rsidR="008E6998" w:rsidRPr="000860F1" w:rsidRDefault="001457F3" w:rsidP="004C1B1F">
      <w:pPr>
        <w:pStyle w:val="IPPParagraphnumbering"/>
      </w:pPr>
      <w:r w:rsidRPr="000860F1">
        <w:t xml:space="preserve">The application of ultrasonication during the process has been shown to improve isolation from asymptomatic </w:t>
      </w:r>
      <w:r w:rsidRPr="000860F1">
        <w:rPr>
          <w:i/>
        </w:rPr>
        <w:t>Coffea arabica</w:t>
      </w:r>
      <w:r w:rsidRPr="000860F1">
        <w:t xml:space="preserve"> plants (Bergsma</w:t>
      </w:r>
      <w:r w:rsidR="00363E46" w:rsidRPr="000860F1">
        <w:t>-</w:t>
      </w:r>
      <w:r w:rsidRPr="000860F1">
        <w:t xml:space="preserve">Vlami </w:t>
      </w:r>
      <w:r w:rsidRPr="000860F1">
        <w:rPr>
          <w:i/>
        </w:rPr>
        <w:t>et</w:t>
      </w:r>
      <w:r w:rsidR="00E35F2A" w:rsidRPr="000860F1">
        <w:rPr>
          <w:i/>
          <w:iCs/>
        </w:rPr>
        <w:t> </w:t>
      </w:r>
      <w:r w:rsidRPr="000860F1">
        <w:rPr>
          <w:i/>
        </w:rPr>
        <w:t>al.</w:t>
      </w:r>
      <w:r w:rsidR="00363E46" w:rsidRPr="000860F1">
        <w:t>,</w:t>
      </w:r>
      <w:r w:rsidRPr="000860F1">
        <w:t xml:space="preserve"> 2017). After tissue is ground in PBS, the crushed plant material </w:t>
      </w:r>
      <w:r w:rsidR="00363E46" w:rsidRPr="000860F1">
        <w:t>i</w:t>
      </w:r>
      <w:r w:rsidRPr="000860F1">
        <w:t xml:space="preserve">s ultrasonicated </w:t>
      </w:r>
      <w:r w:rsidR="00363E46" w:rsidRPr="000860F1">
        <w:t>for</w:t>
      </w:r>
      <w:r w:rsidRPr="000860F1">
        <w:t xml:space="preserve"> 30</w:t>
      </w:r>
      <w:r w:rsidR="00363E46" w:rsidRPr="000860F1">
        <w:t>–</w:t>
      </w:r>
      <w:r w:rsidRPr="000860F1">
        <w:t>60</w:t>
      </w:r>
      <w:r w:rsidR="00363E46" w:rsidRPr="000860F1">
        <w:t> </w:t>
      </w:r>
      <w:r w:rsidRPr="000860F1">
        <w:t>s at 40</w:t>
      </w:r>
      <w:r w:rsidR="00363E46" w:rsidRPr="000860F1">
        <w:t> </w:t>
      </w:r>
      <w:r w:rsidRPr="000860F1">
        <w:t>kHz.</w:t>
      </w:r>
    </w:p>
    <w:p w14:paraId="0F15ACFA" w14:textId="0BFAE260" w:rsidR="008E6998" w:rsidRPr="000860F1" w:rsidRDefault="000330D6" w:rsidP="004C1B1F">
      <w:pPr>
        <w:pStyle w:val="IPPParagraphnumbering"/>
      </w:pPr>
      <w:r w:rsidRPr="000860F1">
        <w:t>Insect vectors are surface sterilized as above and the heads are severed from the body and homogenized in 2 </w:t>
      </w:r>
      <w:r w:rsidR="00D415AF">
        <w:t>mL</w:t>
      </w:r>
      <w:r w:rsidRPr="000860F1">
        <w:t xml:space="preserve"> PBS. Drops of the insect tissue are plated on</w:t>
      </w:r>
      <w:r w:rsidR="00363E46" w:rsidRPr="000860F1">
        <w:t>to</w:t>
      </w:r>
      <w:r w:rsidRPr="000860F1">
        <w:t xml:space="preserve"> specific media as above.</w:t>
      </w:r>
    </w:p>
    <w:p w14:paraId="4D99A71F" w14:textId="75DD4871" w:rsidR="008E6998" w:rsidRPr="000860F1" w:rsidRDefault="000330D6" w:rsidP="004C1B1F">
      <w:pPr>
        <w:pStyle w:val="IPPParagraphnumbering"/>
        <w:rPr>
          <w:rFonts w:ascii="Arial" w:hAnsi="Arial" w:cs="Arial"/>
          <w:sz w:val="18"/>
          <w:szCs w:val="18"/>
        </w:rPr>
      </w:pPr>
      <w:r w:rsidRPr="000860F1">
        <w:t>The plates should be incubated at 28</w:t>
      </w:r>
      <w:r w:rsidR="00611F64">
        <w:t>°</w:t>
      </w:r>
      <w:r w:rsidRPr="000860F1">
        <w:t>C for 8–30 days, in plastic bags or sealed with parafilm</w:t>
      </w:r>
      <w:r w:rsidRPr="000860F1">
        <w:rPr>
          <w:rStyle w:val="FootnoteReference"/>
        </w:rPr>
        <w:t>1</w:t>
      </w:r>
      <w:r w:rsidRPr="000860F1">
        <w:t xml:space="preserve"> to prevent desiccation. Plates are observed regularly for colony development using a binocular microscope. Colonies visible to the unaided eye within </w:t>
      </w:r>
      <w:r w:rsidR="00E45E9C">
        <w:t>the first three days should be regarded as contaminants and can be carefully cut off from the plate under aseptic conditions</w:t>
      </w:r>
      <w:r w:rsidRPr="000860F1">
        <w:t>.</w:t>
      </w:r>
    </w:p>
    <w:p w14:paraId="1AAD21DC" w14:textId="725F0968" w:rsidR="008E6998" w:rsidRPr="000860F1" w:rsidRDefault="000330D6">
      <w:pPr>
        <w:pStyle w:val="IPPHeading2"/>
      </w:pPr>
      <w:bookmarkStart w:id="55" w:name="_Toc111710148"/>
      <w:r w:rsidRPr="000860F1">
        <w:t>4.1.1</w:t>
      </w:r>
      <w:r w:rsidRPr="000860F1">
        <w:tab/>
        <w:t>Culture media</w:t>
      </w:r>
      <w:bookmarkEnd w:id="55"/>
    </w:p>
    <w:p w14:paraId="7EF8C757" w14:textId="5D8E2DE8" w:rsidR="008E6998" w:rsidRPr="000860F1" w:rsidRDefault="00AD46D9" w:rsidP="004C1B1F">
      <w:pPr>
        <w:pStyle w:val="IPPParagraphnumbering"/>
        <w:rPr>
          <w:color w:val="231F20"/>
        </w:rPr>
      </w:pPr>
      <w:r w:rsidRPr="000860F1">
        <w:t xml:space="preserve">The culture media described in this protocol are </w:t>
      </w:r>
      <w:r w:rsidR="00BF1955" w:rsidRPr="000860F1">
        <w:t xml:space="preserve">as </w:t>
      </w:r>
      <w:r w:rsidR="00363E46" w:rsidRPr="000860F1">
        <w:t>described in</w:t>
      </w:r>
      <w:r w:rsidRPr="000860F1">
        <w:t xml:space="preserve"> the original publications</w:t>
      </w:r>
      <w:r w:rsidR="00BF1955" w:rsidRPr="000860F1">
        <w:t xml:space="preserve">. There are other modifications of these culture media </w:t>
      </w:r>
      <w:r w:rsidR="00926640" w:rsidRPr="000860F1">
        <w:t xml:space="preserve">available </w:t>
      </w:r>
      <w:r w:rsidR="00BF1955" w:rsidRPr="000860F1">
        <w:t>that have been observed to produce reliable results (</w:t>
      </w:r>
      <w:r w:rsidR="00EE16FD" w:rsidRPr="000860F1">
        <w:t>EPPO, 2018</w:t>
      </w:r>
      <w:r w:rsidR="004509DB">
        <w:t>b</w:t>
      </w:r>
      <w:r w:rsidR="00BF1955" w:rsidRPr="000860F1">
        <w:t>)</w:t>
      </w:r>
      <w:r w:rsidRPr="000860F1">
        <w:t xml:space="preserve">. </w:t>
      </w:r>
      <w:r w:rsidR="000330D6" w:rsidRPr="000860F1">
        <w:t xml:space="preserve">All media are </w:t>
      </w:r>
      <w:r w:rsidR="00C77665" w:rsidRPr="000860F1">
        <w:t xml:space="preserve">autoclaved </w:t>
      </w:r>
      <w:r w:rsidR="000330D6" w:rsidRPr="000860F1">
        <w:t>at 121°C for 15</w:t>
      </w:r>
      <w:r w:rsidR="00766B5B">
        <w:t xml:space="preserve"> </w:t>
      </w:r>
      <w:r w:rsidR="000330D6" w:rsidRPr="000860F1">
        <w:t>min.</w:t>
      </w:r>
    </w:p>
    <w:p w14:paraId="551BFE04" w14:textId="67AB5242" w:rsidR="00AC11AB" w:rsidRPr="000860F1" w:rsidRDefault="00AC11AB" w:rsidP="004C1B1F">
      <w:pPr>
        <w:pStyle w:val="IPPParagraphnumbering"/>
      </w:pPr>
      <w:r w:rsidRPr="000860F1">
        <w:rPr>
          <w:rStyle w:val="IPPNormalbold"/>
          <w:lang w:val="en-GB"/>
        </w:rPr>
        <w:t>PD2 medium</w:t>
      </w:r>
      <w:r w:rsidRPr="000860F1">
        <w:rPr>
          <w:i/>
          <w:iCs/>
        </w:rPr>
        <w:t xml:space="preserve"> </w:t>
      </w:r>
      <w:r w:rsidRPr="000860F1">
        <w:rPr>
          <w:iCs/>
        </w:rPr>
        <w:t>(Table</w:t>
      </w:r>
      <w:r w:rsidR="00766B5B">
        <w:rPr>
          <w:iCs/>
        </w:rPr>
        <w:t xml:space="preserve"> </w:t>
      </w:r>
      <w:r w:rsidR="008D3BD9">
        <w:rPr>
          <w:iCs/>
        </w:rPr>
        <w:t>15</w:t>
      </w:r>
      <w:r w:rsidRPr="000860F1">
        <w:rPr>
          <w:iCs/>
        </w:rPr>
        <w:t xml:space="preserve">). </w:t>
      </w:r>
      <w:r w:rsidRPr="000860F1">
        <w:t>All components except BSA (bovine serum albumin) and hemin chloride stock solution are added to 980</w:t>
      </w:r>
      <w:r w:rsidR="00766B5B">
        <w:t xml:space="preserve"> </w:t>
      </w:r>
      <w:r w:rsidR="00D415AF">
        <w:t>mL</w:t>
      </w:r>
      <w:r w:rsidR="00DB726F" w:rsidRPr="000860F1">
        <w:t xml:space="preserve"> </w:t>
      </w:r>
      <w:r w:rsidRPr="000860F1">
        <w:t>of distilled water prior to autoclaving. The pH is adjusted to 7.0 after dissolving the agar. After autoclaving, the BSA (dissolved in distilled water) and hemin chloride stock solution are filter sterilized (0.2</w:t>
      </w:r>
      <w:r w:rsidR="00766B5B">
        <w:t xml:space="preserve"> </w:t>
      </w:r>
      <w:r w:rsidRPr="000860F1">
        <w:t>µm membrane) and added to the cooled (45–50°C) sterile basal medium.</w:t>
      </w:r>
    </w:p>
    <w:p w14:paraId="29044D51" w14:textId="385349B8" w:rsidR="008E6998" w:rsidRPr="00133D6E" w:rsidRDefault="000330D6" w:rsidP="00AC11AB">
      <w:pPr>
        <w:pStyle w:val="IPPArial"/>
        <w:keepNext/>
        <w:spacing w:after="120"/>
        <w:rPr>
          <w:rFonts w:cs="Arial"/>
          <w:szCs w:val="18"/>
          <w:lang w:val="fr-BE"/>
        </w:rPr>
      </w:pPr>
      <w:r w:rsidRPr="00133D6E">
        <w:rPr>
          <w:rFonts w:cs="Arial"/>
          <w:b/>
          <w:szCs w:val="18"/>
          <w:lang w:val="fr-BE"/>
        </w:rPr>
        <w:t>Table </w:t>
      </w:r>
      <w:r w:rsidR="00EF03FA" w:rsidRPr="00133D6E">
        <w:rPr>
          <w:rFonts w:cs="Arial"/>
          <w:b/>
          <w:szCs w:val="18"/>
          <w:lang w:val="fr-BE"/>
        </w:rPr>
        <w:t>15</w:t>
      </w:r>
      <w:r w:rsidRPr="00133D6E">
        <w:rPr>
          <w:rFonts w:cs="Arial"/>
          <w:b/>
          <w:szCs w:val="18"/>
          <w:lang w:val="fr-BE"/>
        </w:rPr>
        <w:t>.</w:t>
      </w:r>
      <w:r w:rsidRPr="00133D6E">
        <w:rPr>
          <w:rFonts w:cs="Arial"/>
          <w:szCs w:val="18"/>
          <w:lang w:val="fr-BE"/>
        </w:rPr>
        <w:t xml:space="preserve"> PD2 medium</w:t>
      </w:r>
      <w:r w:rsidRPr="00133D6E">
        <w:rPr>
          <w:rFonts w:cs="Arial"/>
          <w:i/>
          <w:szCs w:val="18"/>
          <w:lang w:val="fr-BE"/>
        </w:rPr>
        <w:t xml:space="preserve"> </w:t>
      </w:r>
      <w:r w:rsidRPr="00133D6E">
        <w:rPr>
          <w:rFonts w:cs="Arial"/>
          <w:szCs w:val="18"/>
          <w:lang w:val="fr-BE"/>
        </w:rPr>
        <w:t xml:space="preserve">(Davis </w:t>
      </w:r>
      <w:r w:rsidRPr="00133D6E">
        <w:rPr>
          <w:rFonts w:cs="Arial"/>
          <w:i/>
          <w:szCs w:val="18"/>
          <w:lang w:val="fr-BE"/>
        </w:rPr>
        <w:t>et al.</w:t>
      </w:r>
      <w:r w:rsidRPr="00133D6E">
        <w:rPr>
          <w:rFonts w:cs="Arial"/>
          <w:szCs w:val="18"/>
          <w:lang w:val="fr-BE"/>
        </w:rPr>
        <w:t>, 1980)</w:t>
      </w:r>
    </w:p>
    <w:tbl>
      <w:tblPr>
        <w:tblW w:w="9072" w:type="dxa"/>
        <w:tblLayout w:type="fixed"/>
        <w:tblLook w:val="0000" w:firstRow="0" w:lastRow="0" w:firstColumn="0" w:lastColumn="0" w:noHBand="0" w:noVBand="0"/>
      </w:tblPr>
      <w:tblGrid>
        <w:gridCol w:w="5103"/>
        <w:gridCol w:w="3969"/>
      </w:tblGrid>
      <w:tr w:rsidR="008E6998" w:rsidRPr="000860F1" w14:paraId="4498B142" w14:textId="77777777">
        <w:tc>
          <w:tcPr>
            <w:tcW w:w="5103" w:type="dxa"/>
            <w:tcBorders>
              <w:top w:val="single" w:sz="4" w:space="0" w:color="000000"/>
              <w:bottom w:val="single" w:sz="4" w:space="0" w:color="000000"/>
            </w:tcBorders>
            <w:shd w:val="clear" w:color="auto" w:fill="BFBFBF"/>
          </w:tcPr>
          <w:p w14:paraId="2516E7E1" w14:textId="202AD6C3" w:rsidR="008E6998" w:rsidRPr="000860F1" w:rsidRDefault="000330D6">
            <w:pPr>
              <w:pStyle w:val="IPPArialTable"/>
              <w:rPr>
                <w:b/>
              </w:rPr>
            </w:pPr>
            <w:r w:rsidRPr="000860F1">
              <w:rPr>
                <w:b/>
              </w:rPr>
              <w:t>Reagents</w:t>
            </w:r>
          </w:p>
        </w:tc>
        <w:tc>
          <w:tcPr>
            <w:tcW w:w="3969" w:type="dxa"/>
            <w:tcBorders>
              <w:top w:val="single" w:sz="4" w:space="0" w:color="000000"/>
              <w:bottom w:val="single" w:sz="4" w:space="0" w:color="000000"/>
            </w:tcBorders>
            <w:shd w:val="clear" w:color="auto" w:fill="BFBFBF"/>
          </w:tcPr>
          <w:p w14:paraId="7ACA7934" w14:textId="42120806" w:rsidR="008E6998" w:rsidRPr="000860F1" w:rsidRDefault="006E7895">
            <w:pPr>
              <w:pStyle w:val="IPPArialTable"/>
              <w:rPr>
                <w:b/>
              </w:rPr>
            </w:pPr>
            <w:r>
              <w:rPr>
                <w:b/>
              </w:rPr>
              <w:t>P</w:t>
            </w:r>
            <w:r w:rsidR="000330D6" w:rsidRPr="000860F1">
              <w:rPr>
                <w:b/>
              </w:rPr>
              <w:t>er litre</w:t>
            </w:r>
          </w:p>
        </w:tc>
      </w:tr>
      <w:tr w:rsidR="008E6998" w:rsidRPr="000860F1" w14:paraId="58441DD0" w14:textId="77777777">
        <w:tc>
          <w:tcPr>
            <w:tcW w:w="5103" w:type="dxa"/>
            <w:tcBorders>
              <w:top w:val="single" w:sz="4" w:space="0" w:color="000000"/>
            </w:tcBorders>
            <w:shd w:val="clear" w:color="auto" w:fill="auto"/>
          </w:tcPr>
          <w:p w14:paraId="30D50413" w14:textId="20F5E0FE" w:rsidR="008E6998" w:rsidRPr="000860F1" w:rsidRDefault="000330D6">
            <w:pPr>
              <w:pStyle w:val="IPPArialTable"/>
            </w:pPr>
            <w:r w:rsidRPr="000860F1">
              <w:t xml:space="preserve">Phytone </w:t>
            </w:r>
            <w:r w:rsidR="00E8148E">
              <w:t>p</w:t>
            </w:r>
            <w:r w:rsidRPr="000860F1">
              <w:t>eptone (BD BBL)</w:t>
            </w:r>
            <w:r w:rsidR="00314F55" w:rsidRPr="000860F1">
              <w:rPr>
                <w:rStyle w:val="FootnoteReference"/>
              </w:rPr>
              <w:t>1</w:t>
            </w:r>
            <w:r w:rsidRPr="000860F1">
              <w:t xml:space="preserve"> </w:t>
            </w:r>
          </w:p>
        </w:tc>
        <w:tc>
          <w:tcPr>
            <w:tcW w:w="3969" w:type="dxa"/>
            <w:tcBorders>
              <w:top w:val="single" w:sz="4" w:space="0" w:color="000000"/>
            </w:tcBorders>
            <w:shd w:val="clear" w:color="auto" w:fill="FFFFFF"/>
          </w:tcPr>
          <w:p w14:paraId="770A113C" w14:textId="13C52C25" w:rsidR="008E6998" w:rsidRPr="000860F1" w:rsidRDefault="000330D6">
            <w:pPr>
              <w:pStyle w:val="IPPArialTable"/>
              <w:rPr>
                <w:shd w:val="clear" w:color="auto" w:fill="C0C0C0"/>
              </w:rPr>
            </w:pPr>
            <w:r w:rsidRPr="000860F1">
              <w:t>2.0 g</w:t>
            </w:r>
          </w:p>
        </w:tc>
      </w:tr>
      <w:tr w:rsidR="008E6998" w:rsidRPr="000860F1" w14:paraId="6BE958CD" w14:textId="77777777">
        <w:tc>
          <w:tcPr>
            <w:tcW w:w="5103" w:type="dxa"/>
            <w:shd w:val="clear" w:color="auto" w:fill="auto"/>
          </w:tcPr>
          <w:p w14:paraId="48388782" w14:textId="0E3B3FF1" w:rsidR="008E6998" w:rsidRPr="000860F1" w:rsidRDefault="000330D6">
            <w:pPr>
              <w:pStyle w:val="IPPArialTable"/>
            </w:pPr>
            <w:r w:rsidRPr="000860F1">
              <w:t>Bacto tryptone (Oxoid)</w:t>
            </w:r>
            <w:r w:rsidR="00314F55" w:rsidRPr="000860F1">
              <w:rPr>
                <w:rStyle w:val="FootnoteReference"/>
              </w:rPr>
              <w:t>1</w:t>
            </w:r>
          </w:p>
        </w:tc>
        <w:tc>
          <w:tcPr>
            <w:tcW w:w="3969" w:type="dxa"/>
            <w:shd w:val="clear" w:color="auto" w:fill="auto"/>
          </w:tcPr>
          <w:p w14:paraId="3BB362FD" w14:textId="1210B262" w:rsidR="008E6998" w:rsidRPr="000860F1" w:rsidRDefault="000330D6">
            <w:pPr>
              <w:pStyle w:val="IPPArialTable"/>
            </w:pPr>
            <w:r w:rsidRPr="000860F1">
              <w:t>4.0 g</w:t>
            </w:r>
          </w:p>
        </w:tc>
      </w:tr>
      <w:tr w:rsidR="008E6998" w:rsidRPr="000860F1" w14:paraId="2E8D630B" w14:textId="77777777">
        <w:tc>
          <w:tcPr>
            <w:tcW w:w="5103" w:type="dxa"/>
            <w:shd w:val="clear" w:color="auto" w:fill="auto"/>
          </w:tcPr>
          <w:p w14:paraId="7200A8F4" w14:textId="25980510" w:rsidR="008E6998" w:rsidRPr="000860F1" w:rsidRDefault="000330D6">
            <w:pPr>
              <w:pStyle w:val="IPPArialTable"/>
            </w:pPr>
            <w:r w:rsidRPr="000860F1">
              <w:t>Trisodium citrate</w:t>
            </w:r>
          </w:p>
        </w:tc>
        <w:tc>
          <w:tcPr>
            <w:tcW w:w="3969" w:type="dxa"/>
            <w:shd w:val="clear" w:color="auto" w:fill="auto"/>
          </w:tcPr>
          <w:p w14:paraId="1E5E9BD8" w14:textId="5406F7C6" w:rsidR="008E6998" w:rsidRPr="000860F1" w:rsidRDefault="000330D6">
            <w:pPr>
              <w:pStyle w:val="IPPArialTable"/>
            </w:pPr>
            <w:r w:rsidRPr="000860F1">
              <w:t>1.0 g</w:t>
            </w:r>
          </w:p>
        </w:tc>
      </w:tr>
      <w:tr w:rsidR="008E6998" w:rsidRPr="000860F1" w14:paraId="4E7BF601" w14:textId="77777777">
        <w:tc>
          <w:tcPr>
            <w:tcW w:w="5103" w:type="dxa"/>
            <w:shd w:val="clear" w:color="auto" w:fill="auto"/>
          </w:tcPr>
          <w:p w14:paraId="011D71F8" w14:textId="2A5C5347" w:rsidR="008E6998" w:rsidRPr="000860F1" w:rsidRDefault="000330D6">
            <w:pPr>
              <w:pStyle w:val="IPPArialTable"/>
            </w:pPr>
            <w:r w:rsidRPr="000860F1">
              <w:t>Disodium succinate</w:t>
            </w:r>
          </w:p>
        </w:tc>
        <w:tc>
          <w:tcPr>
            <w:tcW w:w="3969" w:type="dxa"/>
            <w:shd w:val="clear" w:color="auto" w:fill="auto"/>
          </w:tcPr>
          <w:p w14:paraId="61A9E9D2" w14:textId="32F3974C" w:rsidR="008E6998" w:rsidRPr="000860F1" w:rsidRDefault="000330D6">
            <w:pPr>
              <w:pStyle w:val="IPPArialTable"/>
            </w:pPr>
            <w:r w:rsidRPr="000860F1">
              <w:t>1.0 g</w:t>
            </w:r>
          </w:p>
        </w:tc>
      </w:tr>
      <w:tr w:rsidR="008E6998" w:rsidRPr="000860F1" w14:paraId="2A7A6D7A" w14:textId="77777777">
        <w:tc>
          <w:tcPr>
            <w:tcW w:w="5103" w:type="dxa"/>
            <w:shd w:val="clear" w:color="auto" w:fill="auto"/>
          </w:tcPr>
          <w:p w14:paraId="04996C11" w14:textId="4600038B" w:rsidR="008E6998" w:rsidRPr="000860F1" w:rsidRDefault="000330D6">
            <w:pPr>
              <w:pStyle w:val="IPPArialTable"/>
            </w:pPr>
            <w:r w:rsidRPr="000860F1">
              <w:t>Hemin chloride stock solution (0.1% in 0.05 N NaOH)</w:t>
            </w:r>
          </w:p>
        </w:tc>
        <w:tc>
          <w:tcPr>
            <w:tcW w:w="3969" w:type="dxa"/>
            <w:shd w:val="clear" w:color="auto" w:fill="auto"/>
          </w:tcPr>
          <w:p w14:paraId="0CD38AA4" w14:textId="45311561" w:rsidR="008E6998" w:rsidRPr="000860F1" w:rsidRDefault="000330D6">
            <w:pPr>
              <w:pStyle w:val="IPPArialTable"/>
            </w:pPr>
            <w:r w:rsidRPr="000860F1">
              <w:t>10 </w:t>
            </w:r>
            <w:r w:rsidR="00D415AF">
              <w:t>mL</w:t>
            </w:r>
          </w:p>
        </w:tc>
      </w:tr>
      <w:tr w:rsidR="008E6998" w:rsidRPr="000860F1" w14:paraId="4DC4B4D6" w14:textId="77777777">
        <w:tc>
          <w:tcPr>
            <w:tcW w:w="5103" w:type="dxa"/>
            <w:shd w:val="clear" w:color="auto" w:fill="auto"/>
          </w:tcPr>
          <w:p w14:paraId="35C6A821" w14:textId="2C043EAC" w:rsidR="008E6998" w:rsidRPr="000860F1" w:rsidRDefault="000330D6">
            <w:pPr>
              <w:pStyle w:val="IPPArialTable"/>
            </w:pPr>
            <w:r w:rsidRPr="000860F1">
              <w:t>BSA (20% w/v) (Sigma)</w:t>
            </w:r>
            <w:r w:rsidR="00314F55" w:rsidRPr="000860F1">
              <w:rPr>
                <w:rStyle w:val="FootnoteReference"/>
              </w:rPr>
              <w:t>1</w:t>
            </w:r>
          </w:p>
        </w:tc>
        <w:tc>
          <w:tcPr>
            <w:tcW w:w="3969" w:type="dxa"/>
            <w:shd w:val="clear" w:color="auto" w:fill="auto"/>
          </w:tcPr>
          <w:p w14:paraId="212CC66B" w14:textId="070E0DAC" w:rsidR="008E6998" w:rsidRPr="000860F1" w:rsidRDefault="000330D6">
            <w:pPr>
              <w:pStyle w:val="IPPArialTable"/>
            </w:pPr>
            <w:r w:rsidRPr="000860F1">
              <w:t>10 </w:t>
            </w:r>
            <w:r w:rsidR="00D415AF">
              <w:t>mL</w:t>
            </w:r>
          </w:p>
        </w:tc>
      </w:tr>
      <w:tr w:rsidR="008E6998" w:rsidRPr="000860F1" w14:paraId="6130F3B9" w14:textId="77777777">
        <w:tc>
          <w:tcPr>
            <w:tcW w:w="5103" w:type="dxa"/>
            <w:shd w:val="clear" w:color="auto" w:fill="auto"/>
          </w:tcPr>
          <w:p w14:paraId="0E5A57E7" w14:textId="26D3D1A3" w:rsidR="008E6998" w:rsidRPr="000860F1" w:rsidRDefault="000330D6">
            <w:pPr>
              <w:pStyle w:val="IPPArialTable"/>
            </w:pPr>
            <w:r w:rsidRPr="000860F1">
              <w:t>MgSO</w:t>
            </w:r>
            <w:r w:rsidRPr="000860F1">
              <w:rPr>
                <w:vertAlign w:val="subscript"/>
              </w:rPr>
              <w:t>4</w:t>
            </w:r>
            <w:r w:rsidRPr="000860F1">
              <w:t>·7H</w:t>
            </w:r>
            <w:r w:rsidRPr="000860F1">
              <w:rPr>
                <w:vertAlign w:val="subscript"/>
              </w:rPr>
              <w:t>2</w:t>
            </w:r>
            <w:r w:rsidRPr="000860F1">
              <w:t>O</w:t>
            </w:r>
          </w:p>
        </w:tc>
        <w:tc>
          <w:tcPr>
            <w:tcW w:w="3969" w:type="dxa"/>
            <w:shd w:val="clear" w:color="auto" w:fill="auto"/>
          </w:tcPr>
          <w:p w14:paraId="3AEAEA72" w14:textId="271E2093" w:rsidR="008E6998" w:rsidRPr="000860F1" w:rsidRDefault="000330D6">
            <w:pPr>
              <w:pStyle w:val="IPPArialTable"/>
            </w:pPr>
            <w:r w:rsidRPr="000860F1">
              <w:t>1.0 g</w:t>
            </w:r>
          </w:p>
        </w:tc>
      </w:tr>
      <w:tr w:rsidR="008E6998" w:rsidRPr="000860F1" w14:paraId="4A061090" w14:textId="77777777">
        <w:tc>
          <w:tcPr>
            <w:tcW w:w="5103" w:type="dxa"/>
            <w:shd w:val="clear" w:color="auto" w:fill="auto"/>
          </w:tcPr>
          <w:p w14:paraId="2E02F805" w14:textId="49D47062" w:rsidR="008E6998" w:rsidRPr="000860F1" w:rsidRDefault="000330D6">
            <w:pPr>
              <w:pStyle w:val="IPPArialTable"/>
            </w:pPr>
            <w:r w:rsidRPr="000860F1">
              <w:t>K</w:t>
            </w:r>
            <w:r w:rsidRPr="000860F1">
              <w:rPr>
                <w:vertAlign w:val="subscript"/>
              </w:rPr>
              <w:t>2</w:t>
            </w:r>
            <w:r w:rsidRPr="000860F1">
              <w:t>HPO</w:t>
            </w:r>
            <w:r w:rsidRPr="000860F1">
              <w:rPr>
                <w:vertAlign w:val="subscript"/>
              </w:rPr>
              <w:t>4</w:t>
            </w:r>
          </w:p>
        </w:tc>
        <w:tc>
          <w:tcPr>
            <w:tcW w:w="3969" w:type="dxa"/>
            <w:shd w:val="clear" w:color="auto" w:fill="auto"/>
          </w:tcPr>
          <w:p w14:paraId="42F19C4D" w14:textId="75E8364A" w:rsidR="008E6998" w:rsidRPr="000860F1" w:rsidRDefault="000330D6">
            <w:pPr>
              <w:pStyle w:val="IPPArialTable"/>
            </w:pPr>
            <w:r w:rsidRPr="000860F1">
              <w:t>1.5 g</w:t>
            </w:r>
          </w:p>
        </w:tc>
      </w:tr>
      <w:tr w:rsidR="008E6998" w:rsidRPr="000860F1" w14:paraId="6E112CB0" w14:textId="77777777">
        <w:tc>
          <w:tcPr>
            <w:tcW w:w="5103" w:type="dxa"/>
            <w:shd w:val="clear" w:color="auto" w:fill="auto"/>
          </w:tcPr>
          <w:p w14:paraId="65B62EF0" w14:textId="6877BB27" w:rsidR="008E6998" w:rsidRPr="000860F1" w:rsidRDefault="000330D6">
            <w:pPr>
              <w:pStyle w:val="IPPArialTable"/>
            </w:pPr>
            <w:r w:rsidRPr="000860F1">
              <w:t>KH</w:t>
            </w:r>
            <w:r w:rsidRPr="000860F1">
              <w:rPr>
                <w:vertAlign w:val="subscript"/>
              </w:rPr>
              <w:t>2</w:t>
            </w:r>
            <w:r w:rsidRPr="000860F1">
              <w:t>PO</w:t>
            </w:r>
            <w:r w:rsidRPr="000860F1">
              <w:rPr>
                <w:vertAlign w:val="subscript"/>
              </w:rPr>
              <w:t>4</w:t>
            </w:r>
          </w:p>
        </w:tc>
        <w:tc>
          <w:tcPr>
            <w:tcW w:w="3969" w:type="dxa"/>
            <w:shd w:val="clear" w:color="auto" w:fill="auto"/>
          </w:tcPr>
          <w:p w14:paraId="1933AA18" w14:textId="5453B430" w:rsidR="008E6998" w:rsidRPr="000860F1" w:rsidRDefault="000330D6">
            <w:pPr>
              <w:pStyle w:val="IPPArialTable"/>
            </w:pPr>
            <w:r w:rsidRPr="000860F1">
              <w:t>1.0 g</w:t>
            </w:r>
          </w:p>
        </w:tc>
      </w:tr>
      <w:tr w:rsidR="008E6998" w:rsidRPr="000860F1" w14:paraId="1925F4FA" w14:textId="77777777">
        <w:tc>
          <w:tcPr>
            <w:tcW w:w="5103" w:type="dxa"/>
            <w:shd w:val="clear" w:color="auto" w:fill="auto"/>
          </w:tcPr>
          <w:p w14:paraId="23EC5134" w14:textId="2A347A4B" w:rsidR="008E6998" w:rsidRPr="000860F1" w:rsidRDefault="000330D6">
            <w:pPr>
              <w:pStyle w:val="IPPArialTable"/>
            </w:pPr>
            <w:r w:rsidRPr="000860F1">
              <w:t>Bacto agar (</w:t>
            </w:r>
            <w:r w:rsidR="00E437C9" w:rsidRPr="000860F1">
              <w:t>e.g</w:t>
            </w:r>
            <w:r w:rsidR="00FA2F02" w:rsidRPr="000860F1">
              <w:t>.</w:t>
            </w:r>
            <w:r w:rsidR="00E437C9" w:rsidRPr="000860F1">
              <w:t xml:space="preserve"> BD </w:t>
            </w:r>
            <w:r w:rsidRPr="000860F1">
              <w:t>Difco)</w:t>
            </w:r>
            <w:r w:rsidR="00314F55" w:rsidRPr="000860F1">
              <w:rPr>
                <w:rStyle w:val="FootnoteReference"/>
              </w:rPr>
              <w:t>1</w:t>
            </w:r>
          </w:p>
        </w:tc>
        <w:tc>
          <w:tcPr>
            <w:tcW w:w="3969" w:type="dxa"/>
            <w:shd w:val="clear" w:color="auto" w:fill="auto"/>
          </w:tcPr>
          <w:p w14:paraId="3BF3F5B5" w14:textId="3A445574" w:rsidR="008E6998" w:rsidRPr="000860F1" w:rsidRDefault="000330D6">
            <w:pPr>
              <w:pStyle w:val="IPPArialTable"/>
            </w:pPr>
            <w:r w:rsidRPr="000860F1">
              <w:t>15 g</w:t>
            </w:r>
          </w:p>
        </w:tc>
      </w:tr>
      <w:tr w:rsidR="008E6998" w:rsidRPr="000860F1" w14:paraId="339E615D" w14:textId="77777777">
        <w:tc>
          <w:tcPr>
            <w:tcW w:w="5103" w:type="dxa"/>
            <w:tcBorders>
              <w:bottom w:val="single" w:sz="4" w:space="0" w:color="auto"/>
            </w:tcBorders>
            <w:shd w:val="clear" w:color="auto" w:fill="auto"/>
          </w:tcPr>
          <w:p w14:paraId="6033D497" w14:textId="6A8F248C" w:rsidR="008E6998" w:rsidRPr="000860F1" w:rsidRDefault="000330D6">
            <w:pPr>
              <w:pStyle w:val="IPPArialTable"/>
            </w:pPr>
            <w:r w:rsidRPr="000860F1">
              <w:t>Distilled water to a final volume of 1 litre</w:t>
            </w:r>
          </w:p>
        </w:tc>
        <w:tc>
          <w:tcPr>
            <w:tcW w:w="3969" w:type="dxa"/>
            <w:tcBorders>
              <w:bottom w:val="single" w:sz="4" w:space="0" w:color="auto"/>
            </w:tcBorders>
            <w:shd w:val="clear" w:color="auto" w:fill="auto"/>
          </w:tcPr>
          <w:p w14:paraId="3F6F806B" w14:textId="1079EDCC" w:rsidR="008E6998" w:rsidRPr="000860F1" w:rsidRDefault="008E6998">
            <w:pPr>
              <w:pStyle w:val="IPPArialTable"/>
            </w:pPr>
          </w:p>
        </w:tc>
      </w:tr>
    </w:tbl>
    <w:p w14:paraId="5E09F41E" w14:textId="30A463E8" w:rsidR="008E6998" w:rsidRPr="000860F1" w:rsidRDefault="000330D6" w:rsidP="00D1016B">
      <w:pPr>
        <w:pStyle w:val="IPPArialFootnote"/>
        <w:spacing w:after="180"/>
      </w:pPr>
      <w:r w:rsidRPr="000860F1">
        <w:rPr>
          <w:rStyle w:val="PleaseReviewParagraphId"/>
          <w:color w:val="auto"/>
        </w:rPr>
        <w:t xml:space="preserve">BSA, </w:t>
      </w:r>
      <w:r w:rsidRPr="000860F1">
        <w:t>bovine serum albumin.</w:t>
      </w:r>
    </w:p>
    <w:p w14:paraId="32239C39" w14:textId="18232BAB" w:rsidR="00AC11AB" w:rsidRPr="000860F1" w:rsidRDefault="00E45E9C" w:rsidP="004C1B1F">
      <w:pPr>
        <w:pStyle w:val="IPPParagraphnumbering"/>
      </w:pPr>
      <w:r w:rsidRPr="000860F1">
        <w:rPr>
          <w:rStyle w:val="IPPNormalbold"/>
          <w:lang w:val="en-GB"/>
        </w:rPr>
        <w:t>B</w:t>
      </w:r>
      <w:r>
        <w:rPr>
          <w:rStyle w:val="IPPNormalbold"/>
          <w:lang w:val="en-GB"/>
        </w:rPr>
        <w:t>CYE</w:t>
      </w:r>
      <w:r w:rsidRPr="000860F1">
        <w:rPr>
          <w:rStyle w:val="IPPNormalbold"/>
          <w:lang w:val="en-GB"/>
        </w:rPr>
        <w:t xml:space="preserve"> </w:t>
      </w:r>
      <w:r w:rsidR="00AC11AB" w:rsidRPr="000860F1">
        <w:rPr>
          <w:rStyle w:val="IPPNormalbold"/>
          <w:lang w:val="en-GB"/>
        </w:rPr>
        <w:t>medium</w:t>
      </w:r>
      <w:r w:rsidR="00AC11AB" w:rsidRPr="000860F1">
        <w:rPr>
          <w:i/>
        </w:rPr>
        <w:t xml:space="preserve"> </w:t>
      </w:r>
      <w:r w:rsidR="00AC11AB" w:rsidRPr="000860F1">
        <w:t>(Table 1</w:t>
      </w:r>
      <w:r w:rsidR="008D3BD9">
        <w:t>6</w:t>
      </w:r>
      <w:r w:rsidR="00AC11AB" w:rsidRPr="000860F1">
        <w:t>). Due to the difficulty of dissolving and re-suspending the individual components it is recommended that ingredients are dissolved in the following order. ACES buffer is first rehydrated in 500 </w:t>
      </w:r>
      <w:r w:rsidR="00D415AF">
        <w:t>mL</w:t>
      </w:r>
      <w:r w:rsidR="00DB726F" w:rsidRPr="000860F1">
        <w:t xml:space="preserve"> </w:t>
      </w:r>
      <w:r w:rsidR="00AC11AB" w:rsidRPr="000860F1">
        <w:t>distilled water at 50 °C before addition of the yeast extract, activated charcoal and agar. Before adding the agar, the pH is adjusted to 6.9 by the addition of approximately 40 </w:t>
      </w:r>
      <w:r w:rsidR="00D415AF">
        <w:t>mL</w:t>
      </w:r>
      <w:r w:rsidR="00DB726F" w:rsidRPr="000860F1">
        <w:t xml:space="preserve"> </w:t>
      </w:r>
      <w:r w:rsidR="00AC11AB" w:rsidRPr="000860F1">
        <w:t>1 M KOH. The medium is autoclaved and then cooled to 50 °C. Both the cysteine hydrochloride (0.4 g) and ferric pyrophosphate (0.25 g) are resuspended in 10 </w:t>
      </w:r>
      <w:r w:rsidR="00D415AF">
        <w:t>mL</w:t>
      </w:r>
      <w:r w:rsidR="00DB726F" w:rsidRPr="000860F1">
        <w:t xml:space="preserve"> </w:t>
      </w:r>
      <w:r w:rsidR="00AC11AB" w:rsidRPr="000860F1">
        <w:t>distilled water, filter sterilized and added to the cooled sterile medium. The ferric pyrophosphate needs to be heated, under agitation, at 75 °C for approximately 15–20 min (EPPO, 201</w:t>
      </w:r>
      <w:r w:rsidR="009C0802" w:rsidRPr="000860F1">
        <w:t>8</w:t>
      </w:r>
      <w:r w:rsidR="004509DB">
        <w:t>b</w:t>
      </w:r>
      <w:r w:rsidR="00AC11AB" w:rsidRPr="000860F1">
        <w:t>).</w:t>
      </w:r>
    </w:p>
    <w:p w14:paraId="3E07B581" w14:textId="62592549" w:rsidR="008E6998" w:rsidRPr="00133D6E" w:rsidRDefault="000330D6" w:rsidP="00D1016B">
      <w:pPr>
        <w:pStyle w:val="IPPArial"/>
        <w:keepNext/>
        <w:spacing w:after="120"/>
        <w:rPr>
          <w:rFonts w:cs="Arial"/>
          <w:b/>
          <w:szCs w:val="18"/>
        </w:rPr>
      </w:pPr>
      <w:r w:rsidRPr="00133D6E">
        <w:rPr>
          <w:rFonts w:cs="Arial"/>
          <w:b/>
          <w:szCs w:val="18"/>
        </w:rPr>
        <w:t>Table </w:t>
      </w:r>
      <w:r w:rsidR="007D5F44" w:rsidRPr="00133D6E">
        <w:rPr>
          <w:rFonts w:cs="Arial"/>
          <w:b/>
          <w:szCs w:val="18"/>
        </w:rPr>
        <w:t>1</w:t>
      </w:r>
      <w:r w:rsidR="008D3BD9" w:rsidRPr="00133D6E">
        <w:rPr>
          <w:rFonts w:cs="Arial"/>
          <w:b/>
          <w:szCs w:val="18"/>
        </w:rPr>
        <w:t>6</w:t>
      </w:r>
      <w:r w:rsidRPr="00133D6E">
        <w:rPr>
          <w:rFonts w:cs="Arial"/>
          <w:b/>
          <w:szCs w:val="18"/>
        </w:rPr>
        <w:t xml:space="preserve">. </w:t>
      </w:r>
      <w:r w:rsidRPr="00133D6E">
        <w:rPr>
          <w:rFonts w:cs="Arial"/>
          <w:szCs w:val="18"/>
        </w:rPr>
        <w:t xml:space="preserve">BCYE medium (Wells </w:t>
      </w:r>
      <w:r w:rsidRPr="00133D6E">
        <w:rPr>
          <w:rFonts w:cs="Arial"/>
          <w:i/>
          <w:szCs w:val="18"/>
        </w:rPr>
        <w:t>et al.</w:t>
      </w:r>
      <w:r w:rsidRPr="00133D6E">
        <w:rPr>
          <w:rFonts w:cs="Arial"/>
          <w:szCs w:val="18"/>
        </w:rPr>
        <w:t>, 1981)</w:t>
      </w:r>
    </w:p>
    <w:tbl>
      <w:tblPr>
        <w:tblW w:w="9072" w:type="dxa"/>
        <w:tblLayout w:type="fixed"/>
        <w:tblLook w:val="0000" w:firstRow="0" w:lastRow="0" w:firstColumn="0" w:lastColumn="0" w:noHBand="0" w:noVBand="0"/>
      </w:tblPr>
      <w:tblGrid>
        <w:gridCol w:w="5103"/>
        <w:gridCol w:w="3969"/>
      </w:tblGrid>
      <w:tr w:rsidR="008E6998" w:rsidRPr="000860F1" w14:paraId="0F97093E" w14:textId="77777777">
        <w:tc>
          <w:tcPr>
            <w:tcW w:w="5103" w:type="dxa"/>
            <w:tcBorders>
              <w:top w:val="single" w:sz="4" w:space="0" w:color="000000"/>
              <w:bottom w:val="single" w:sz="4" w:space="0" w:color="000000"/>
            </w:tcBorders>
            <w:shd w:val="clear" w:color="auto" w:fill="BFBFBF"/>
          </w:tcPr>
          <w:p w14:paraId="48CAFAA4" w14:textId="0F511C1A" w:rsidR="008E6998" w:rsidRPr="000860F1" w:rsidRDefault="000330D6">
            <w:pPr>
              <w:pStyle w:val="IPPArialTable"/>
              <w:rPr>
                <w:b/>
              </w:rPr>
            </w:pPr>
            <w:r w:rsidRPr="000860F1">
              <w:rPr>
                <w:b/>
              </w:rPr>
              <w:t>Reagents</w:t>
            </w:r>
          </w:p>
        </w:tc>
        <w:tc>
          <w:tcPr>
            <w:tcW w:w="3969" w:type="dxa"/>
            <w:tcBorders>
              <w:top w:val="single" w:sz="4" w:space="0" w:color="000000"/>
              <w:bottom w:val="single" w:sz="4" w:space="0" w:color="000000"/>
            </w:tcBorders>
            <w:shd w:val="clear" w:color="auto" w:fill="BFBFBF"/>
          </w:tcPr>
          <w:p w14:paraId="2DFE4B2F" w14:textId="36473F32" w:rsidR="008E6998" w:rsidRPr="000860F1" w:rsidRDefault="004B5B8F">
            <w:pPr>
              <w:pStyle w:val="IPPArialTable"/>
              <w:rPr>
                <w:b/>
              </w:rPr>
            </w:pPr>
            <w:r>
              <w:rPr>
                <w:b/>
              </w:rPr>
              <w:t>P</w:t>
            </w:r>
            <w:r w:rsidR="000330D6" w:rsidRPr="000860F1">
              <w:rPr>
                <w:b/>
              </w:rPr>
              <w:t>er litre</w:t>
            </w:r>
          </w:p>
        </w:tc>
      </w:tr>
      <w:tr w:rsidR="008E6998" w:rsidRPr="000860F1" w14:paraId="33EE36FD" w14:textId="77777777">
        <w:tc>
          <w:tcPr>
            <w:tcW w:w="5103" w:type="dxa"/>
            <w:shd w:val="clear" w:color="auto" w:fill="auto"/>
          </w:tcPr>
          <w:p w14:paraId="304A47B9" w14:textId="6650378E" w:rsidR="008E6998" w:rsidRPr="000860F1" w:rsidRDefault="000330D6">
            <w:pPr>
              <w:pStyle w:val="IPPArialTable"/>
            </w:pPr>
            <w:r w:rsidRPr="000860F1">
              <w:t>ACES buffer (Sigma)</w:t>
            </w:r>
            <w:r w:rsidR="00314F55" w:rsidRPr="000860F1">
              <w:rPr>
                <w:rStyle w:val="FootnoteReference"/>
              </w:rPr>
              <w:t>1</w:t>
            </w:r>
          </w:p>
        </w:tc>
        <w:tc>
          <w:tcPr>
            <w:tcW w:w="3969" w:type="dxa"/>
            <w:shd w:val="clear" w:color="auto" w:fill="auto"/>
          </w:tcPr>
          <w:p w14:paraId="2CAE4087" w14:textId="2E702CFC" w:rsidR="008E6998" w:rsidRPr="000860F1" w:rsidRDefault="000330D6">
            <w:pPr>
              <w:pStyle w:val="IPPArialTable"/>
            </w:pPr>
            <w:r w:rsidRPr="000860F1">
              <w:t>10.0 g</w:t>
            </w:r>
          </w:p>
        </w:tc>
      </w:tr>
      <w:tr w:rsidR="008E6998" w:rsidRPr="000860F1" w14:paraId="767A731B" w14:textId="77777777">
        <w:tc>
          <w:tcPr>
            <w:tcW w:w="5103" w:type="dxa"/>
            <w:shd w:val="clear" w:color="auto" w:fill="auto"/>
          </w:tcPr>
          <w:p w14:paraId="54C04760" w14:textId="207A96B1" w:rsidR="008E6998" w:rsidRPr="000860F1" w:rsidRDefault="000330D6">
            <w:pPr>
              <w:pStyle w:val="IPPArialTable"/>
            </w:pPr>
            <w:r w:rsidRPr="000860F1">
              <w:t>Yeast extract</w:t>
            </w:r>
          </w:p>
        </w:tc>
        <w:tc>
          <w:tcPr>
            <w:tcW w:w="3969" w:type="dxa"/>
            <w:shd w:val="clear" w:color="auto" w:fill="auto"/>
          </w:tcPr>
          <w:p w14:paraId="6F7F01F1" w14:textId="19F3C14C" w:rsidR="008E6998" w:rsidRPr="000860F1" w:rsidRDefault="000330D6">
            <w:pPr>
              <w:pStyle w:val="IPPArialTable"/>
            </w:pPr>
            <w:r w:rsidRPr="000860F1">
              <w:t>10.0 g</w:t>
            </w:r>
          </w:p>
        </w:tc>
      </w:tr>
      <w:tr w:rsidR="008E6998" w:rsidRPr="000860F1" w14:paraId="2D6CBE73" w14:textId="77777777">
        <w:tc>
          <w:tcPr>
            <w:tcW w:w="5103" w:type="dxa"/>
            <w:shd w:val="clear" w:color="auto" w:fill="auto"/>
          </w:tcPr>
          <w:p w14:paraId="529EDD0D" w14:textId="374B2E8B" w:rsidR="008E6998" w:rsidRPr="000860F1" w:rsidRDefault="000330D6">
            <w:pPr>
              <w:pStyle w:val="IPPArialTable"/>
            </w:pPr>
            <w:r w:rsidRPr="000860F1">
              <w:t>Activated charcoal (Norit)</w:t>
            </w:r>
            <w:r w:rsidR="00314F55" w:rsidRPr="000860F1">
              <w:rPr>
                <w:rStyle w:val="FootnoteReference"/>
              </w:rPr>
              <w:t>1</w:t>
            </w:r>
          </w:p>
        </w:tc>
        <w:tc>
          <w:tcPr>
            <w:tcW w:w="3969" w:type="dxa"/>
            <w:shd w:val="clear" w:color="auto" w:fill="auto"/>
          </w:tcPr>
          <w:p w14:paraId="33931A82" w14:textId="5A454B3C" w:rsidR="008E6998" w:rsidRPr="000860F1" w:rsidRDefault="000330D6">
            <w:pPr>
              <w:pStyle w:val="IPPArialTable"/>
            </w:pPr>
            <w:r w:rsidRPr="000860F1">
              <w:t>2.0 g</w:t>
            </w:r>
          </w:p>
        </w:tc>
      </w:tr>
      <w:tr w:rsidR="008E6998" w:rsidRPr="000860F1" w14:paraId="188D5F9E" w14:textId="77777777">
        <w:tc>
          <w:tcPr>
            <w:tcW w:w="5103" w:type="dxa"/>
            <w:shd w:val="clear" w:color="auto" w:fill="auto"/>
          </w:tcPr>
          <w:p w14:paraId="3FD317B8" w14:textId="2F64143D" w:rsidR="008E6998" w:rsidRPr="00946D25" w:rsidRDefault="000330D6">
            <w:pPr>
              <w:pStyle w:val="IPPArialTable"/>
              <w:rPr>
                <w:lang w:val="fr-FR"/>
              </w:rPr>
            </w:pPr>
            <w:r w:rsidRPr="00946D25">
              <w:rPr>
                <w:lang w:val="fr-FR"/>
              </w:rPr>
              <w:t>L-cysteine hydrochloride-1-hydrate (Sigma)</w:t>
            </w:r>
            <w:r w:rsidR="00314F55" w:rsidRPr="00946D25">
              <w:rPr>
                <w:rStyle w:val="FootnoteReference"/>
                <w:lang w:val="fr-FR"/>
              </w:rPr>
              <w:t>1</w:t>
            </w:r>
          </w:p>
        </w:tc>
        <w:tc>
          <w:tcPr>
            <w:tcW w:w="3969" w:type="dxa"/>
            <w:shd w:val="clear" w:color="auto" w:fill="auto"/>
          </w:tcPr>
          <w:p w14:paraId="2041D4CC" w14:textId="2D694107" w:rsidR="008E6998" w:rsidRPr="000860F1" w:rsidRDefault="000330D6">
            <w:pPr>
              <w:pStyle w:val="IPPArialTable"/>
            </w:pPr>
            <w:r w:rsidRPr="000860F1">
              <w:t>0.4 g</w:t>
            </w:r>
          </w:p>
        </w:tc>
      </w:tr>
      <w:tr w:rsidR="008E6998" w:rsidRPr="000860F1" w14:paraId="2AB2F726" w14:textId="77777777">
        <w:tc>
          <w:tcPr>
            <w:tcW w:w="5103" w:type="dxa"/>
            <w:shd w:val="clear" w:color="auto" w:fill="auto"/>
          </w:tcPr>
          <w:p w14:paraId="0299EB25" w14:textId="39F06D5B" w:rsidR="008E6998" w:rsidRPr="000860F1" w:rsidRDefault="000330D6">
            <w:pPr>
              <w:pStyle w:val="IPPArialTable"/>
            </w:pPr>
            <w:r w:rsidRPr="000860F1">
              <w:t>Ferric pyrophosphate (Sigma)</w:t>
            </w:r>
            <w:r w:rsidR="00314F55" w:rsidRPr="000860F1">
              <w:rPr>
                <w:rStyle w:val="FootnoteReference"/>
              </w:rPr>
              <w:t>1</w:t>
            </w:r>
          </w:p>
        </w:tc>
        <w:tc>
          <w:tcPr>
            <w:tcW w:w="3969" w:type="dxa"/>
            <w:shd w:val="clear" w:color="auto" w:fill="auto"/>
          </w:tcPr>
          <w:p w14:paraId="65DEAD80" w14:textId="579FFE4B" w:rsidR="008E6998" w:rsidRPr="000860F1" w:rsidRDefault="000330D6">
            <w:pPr>
              <w:pStyle w:val="IPPArialTable"/>
            </w:pPr>
            <w:r w:rsidRPr="000860F1">
              <w:t>0.25 g</w:t>
            </w:r>
          </w:p>
        </w:tc>
      </w:tr>
      <w:tr w:rsidR="008E6998" w:rsidRPr="000860F1" w14:paraId="389CC1BD" w14:textId="77777777">
        <w:tc>
          <w:tcPr>
            <w:tcW w:w="5103" w:type="dxa"/>
            <w:shd w:val="clear" w:color="auto" w:fill="auto"/>
          </w:tcPr>
          <w:p w14:paraId="2EC029A6" w14:textId="2FEB72F7" w:rsidR="008E6998" w:rsidRPr="000860F1" w:rsidRDefault="000330D6">
            <w:pPr>
              <w:pStyle w:val="IPPArialTable"/>
            </w:pPr>
            <w:r w:rsidRPr="000860F1">
              <w:t>Bacto agar (</w:t>
            </w:r>
            <w:r w:rsidR="00E437C9" w:rsidRPr="000860F1">
              <w:t xml:space="preserve">e.g. BD </w:t>
            </w:r>
            <w:r w:rsidRPr="000860F1">
              <w:t>Difco)</w:t>
            </w:r>
            <w:r w:rsidR="00314F55" w:rsidRPr="000860F1">
              <w:rPr>
                <w:rStyle w:val="FootnoteReference"/>
              </w:rPr>
              <w:t>1</w:t>
            </w:r>
          </w:p>
        </w:tc>
        <w:tc>
          <w:tcPr>
            <w:tcW w:w="3969" w:type="dxa"/>
            <w:shd w:val="clear" w:color="auto" w:fill="auto"/>
          </w:tcPr>
          <w:p w14:paraId="1D0A8BAA" w14:textId="76A640E6" w:rsidR="008E6998" w:rsidRPr="000860F1" w:rsidRDefault="000330D6">
            <w:pPr>
              <w:pStyle w:val="IPPArialTable"/>
            </w:pPr>
            <w:r w:rsidRPr="000860F1">
              <w:t>17 g</w:t>
            </w:r>
          </w:p>
        </w:tc>
      </w:tr>
      <w:tr w:rsidR="008E6998" w:rsidRPr="000860F1" w14:paraId="4FCD62F7" w14:textId="77777777">
        <w:tc>
          <w:tcPr>
            <w:tcW w:w="5103" w:type="dxa"/>
            <w:tcBorders>
              <w:bottom w:val="single" w:sz="4" w:space="0" w:color="auto"/>
            </w:tcBorders>
            <w:shd w:val="clear" w:color="auto" w:fill="auto"/>
          </w:tcPr>
          <w:p w14:paraId="70C14659" w14:textId="6314A938" w:rsidR="008E6998" w:rsidRPr="000860F1" w:rsidRDefault="000330D6">
            <w:pPr>
              <w:pStyle w:val="IPPArialTable"/>
            </w:pPr>
            <w:r w:rsidRPr="000860F1">
              <w:t>Distilled water to a final volume of 1 litre</w:t>
            </w:r>
          </w:p>
        </w:tc>
        <w:tc>
          <w:tcPr>
            <w:tcW w:w="3969" w:type="dxa"/>
            <w:tcBorders>
              <w:bottom w:val="single" w:sz="4" w:space="0" w:color="auto"/>
            </w:tcBorders>
            <w:shd w:val="clear" w:color="auto" w:fill="auto"/>
          </w:tcPr>
          <w:p w14:paraId="41B4CA9B" w14:textId="2AACB850" w:rsidR="008E6998" w:rsidRPr="000860F1" w:rsidRDefault="008E6998">
            <w:pPr>
              <w:pStyle w:val="IPPArialTable"/>
            </w:pPr>
          </w:p>
        </w:tc>
      </w:tr>
    </w:tbl>
    <w:p w14:paraId="1F75B460" w14:textId="2B4A0063" w:rsidR="003B50C3" w:rsidRDefault="00AC11AB" w:rsidP="004C1B1F">
      <w:pPr>
        <w:pStyle w:val="IPPParagraphnumbering"/>
      </w:pPr>
      <w:r w:rsidRPr="000860F1" w:rsidDel="00AC11AB">
        <w:rPr>
          <w:rStyle w:val="PleaseReviewParagraphId"/>
        </w:rPr>
        <w:t xml:space="preserve"> </w:t>
      </w:r>
      <w:r w:rsidR="002D48B0" w:rsidRPr="000860F1">
        <w:rPr>
          <w:rStyle w:val="PleaseReviewParagraphId"/>
        </w:rPr>
        <w:br/>
      </w:r>
      <w:r w:rsidR="00C77665" w:rsidRPr="00A66AEE">
        <w:rPr>
          <w:rStyle w:val="IPPNormalbold"/>
          <w:szCs w:val="24"/>
          <w:lang w:val="en-GB"/>
        </w:rPr>
        <w:t>Modified PWG medium</w:t>
      </w:r>
      <w:r w:rsidR="00C77665" w:rsidRPr="000860F1">
        <w:t xml:space="preserve"> (Table 1</w:t>
      </w:r>
      <w:r w:rsidR="008D3BD9">
        <w:t>7</w:t>
      </w:r>
      <w:r w:rsidR="00C77665" w:rsidRPr="000860F1">
        <w:t>). All constituents except L-glutamine</w:t>
      </w:r>
      <w:r w:rsidR="003B50C3" w:rsidRPr="000860F1" w:rsidDel="003B50C3">
        <w:t xml:space="preserve"> </w:t>
      </w:r>
      <w:r w:rsidR="003B50C3">
        <w:t>a</w:t>
      </w:r>
      <w:r w:rsidR="00C77665" w:rsidRPr="000860F1">
        <w:t>nd BSA are added prior to autoclaving. Bovine serum albumin (3 g) is dissolved in 15 </w:t>
      </w:r>
      <w:r w:rsidR="00D415AF">
        <w:t>mL</w:t>
      </w:r>
      <w:r w:rsidR="00DB726F" w:rsidRPr="000860F1">
        <w:t xml:space="preserve"> </w:t>
      </w:r>
      <w:r w:rsidR="00C77665" w:rsidRPr="000860F1">
        <w:t>distilled water, and 4 g L-glutamine is dissolved in 50 </w:t>
      </w:r>
      <w:r w:rsidR="00D415AF">
        <w:t>mL</w:t>
      </w:r>
      <w:r w:rsidR="00C77665" w:rsidRPr="000860F1">
        <w:t xml:space="preserve"> distilled water over a low heat (c. 50 °C). </w:t>
      </w:r>
      <w:r w:rsidR="003B50C3" w:rsidRPr="000860F1">
        <w:t xml:space="preserve">These </w:t>
      </w:r>
      <w:r w:rsidR="003B50C3">
        <w:t>two</w:t>
      </w:r>
      <w:r w:rsidR="003B50C3" w:rsidRPr="000860F1">
        <w:t xml:space="preserve"> solutions are filter sterilized (0.2 µm membrane) and added to the cooled sterile basal medium.</w:t>
      </w:r>
    </w:p>
    <w:p w14:paraId="0D1F2C60" w14:textId="7584B719" w:rsidR="00C77665" w:rsidRDefault="00C77665" w:rsidP="004C1B1F">
      <w:pPr>
        <w:pStyle w:val="IPPParagraphnumbering"/>
      </w:pPr>
      <w:r w:rsidRPr="000860F1">
        <w:t xml:space="preserve">Hemin chloride stock is 0.1 % bovine hemin chloride dissolved in 0.05 N NaOH. </w:t>
      </w:r>
    </w:p>
    <w:p w14:paraId="4C507AB3" w14:textId="1F7FB949" w:rsidR="008E6998" w:rsidRPr="00133D6E" w:rsidRDefault="000330D6" w:rsidP="00C77665">
      <w:pPr>
        <w:pStyle w:val="IPPArial"/>
        <w:keepNext/>
        <w:spacing w:after="120"/>
        <w:rPr>
          <w:rFonts w:cs="Arial"/>
          <w:szCs w:val="18"/>
        </w:rPr>
      </w:pPr>
      <w:r w:rsidRPr="00133D6E">
        <w:rPr>
          <w:rFonts w:cs="Arial"/>
          <w:b/>
          <w:szCs w:val="18"/>
        </w:rPr>
        <w:t>Table </w:t>
      </w:r>
      <w:r w:rsidR="007D5F44" w:rsidRPr="00133D6E">
        <w:rPr>
          <w:rFonts w:cs="Arial"/>
          <w:b/>
          <w:szCs w:val="18"/>
        </w:rPr>
        <w:t>1</w:t>
      </w:r>
      <w:r w:rsidR="008D3BD9" w:rsidRPr="00133D6E">
        <w:rPr>
          <w:rFonts w:cs="Arial"/>
          <w:b/>
          <w:szCs w:val="18"/>
        </w:rPr>
        <w:t>7</w:t>
      </w:r>
      <w:r w:rsidRPr="00133D6E">
        <w:rPr>
          <w:rFonts w:cs="Arial"/>
          <w:b/>
          <w:szCs w:val="18"/>
        </w:rPr>
        <w:t>.</w:t>
      </w:r>
      <w:r w:rsidRPr="00133D6E">
        <w:rPr>
          <w:rFonts w:cs="Arial"/>
          <w:szCs w:val="18"/>
        </w:rPr>
        <w:t xml:space="preserve"> Modified PWG medium</w:t>
      </w:r>
      <w:r w:rsidRPr="00133D6E">
        <w:rPr>
          <w:rFonts w:cs="Arial"/>
          <w:i/>
          <w:szCs w:val="18"/>
        </w:rPr>
        <w:t xml:space="preserve"> </w:t>
      </w:r>
      <w:r w:rsidRPr="00133D6E">
        <w:rPr>
          <w:rFonts w:cs="Arial"/>
          <w:szCs w:val="18"/>
        </w:rPr>
        <w:t>(based on Hill and Purcell</w:t>
      </w:r>
      <w:r w:rsidR="00B4730E" w:rsidRPr="00133D6E">
        <w:rPr>
          <w:rFonts w:cs="Arial"/>
          <w:szCs w:val="18"/>
        </w:rPr>
        <w:t xml:space="preserve"> (</w:t>
      </w:r>
      <w:r w:rsidRPr="00133D6E">
        <w:rPr>
          <w:rFonts w:cs="Arial"/>
          <w:szCs w:val="18"/>
        </w:rPr>
        <w:t>1995</w:t>
      </w:r>
      <w:r w:rsidR="00B4730E" w:rsidRPr="00133D6E">
        <w:rPr>
          <w:rFonts w:cs="Arial"/>
          <w:szCs w:val="18"/>
        </w:rPr>
        <w:t>)</w:t>
      </w:r>
      <w:r w:rsidRPr="00133D6E">
        <w:rPr>
          <w:rFonts w:cs="Arial"/>
          <w:szCs w:val="18"/>
        </w:rPr>
        <w:t xml:space="preserve"> and information provided in EPPO (201</w:t>
      </w:r>
      <w:r w:rsidR="009C0802" w:rsidRPr="00133D6E">
        <w:rPr>
          <w:rFonts w:cs="Arial"/>
          <w:szCs w:val="18"/>
        </w:rPr>
        <w:t>8</w:t>
      </w:r>
      <w:r w:rsidR="004509DB" w:rsidRPr="00133D6E">
        <w:rPr>
          <w:rFonts w:cs="Arial"/>
          <w:szCs w:val="18"/>
        </w:rPr>
        <w:t>b</w:t>
      </w:r>
      <w:r w:rsidRPr="00133D6E">
        <w:rPr>
          <w:rFonts w:cs="Arial"/>
          <w:szCs w:val="18"/>
        </w:rPr>
        <w:t>)</w:t>
      </w:r>
      <w:r w:rsidR="00A63BE6" w:rsidRPr="00133D6E">
        <w:rPr>
          <w:rFonts w:cs="Arial"/>
          <w:szCs w:val="18"/>
        </w:rPr>
        <w:t>)</w:t>
      </w:r>
    </w:p>
    <w:tbl>
      <w:tblPr>
        <w:tblW w:w="9072" w:type="dxa"/>
        <w:tblLayout w:type="fixed"/>
        <w:tblLook w:val="0000" w:firstRow="0" w:lastRow="0" w:firstColumn="0" w:lastColumn="0" w:noHBand="0" w:noVBand="0"/>
      </w:tblPr>
      <w:tblGrid>
        <w:gridCol w:w="5103"/>
        <w:gridCol w:w="3969"/>
      </w:tblGrid>
      <w:tr w:rsidR="008E6998" w:rsidRPr="000860F1" w14:paraId="2EE75623" w14:textId="77777777">
        <w:tc>
          <w:tcPr>
            <w:tcW w:w="5103" w:type="dxa"/>
            <w:tcBorders>
              <w:top w:val="single" w:sz="4" w:space="0" w:color="000000"/>
              <w:bottom w:val="single" w:sz="4" w:space="0" w:color="auto"/>
            </w:tcBorders>
            <w:shd w:val="clear" w:color="auto" w:fill="BFBFBF"/>
          </w:tcPr>
          <w:p w14:paraId="4680066F" w14:textId="40A2FEE0" w:rsidR="008E6998" w:rsidRPr="000860F1" w:rsidRDefault="000330D6">
            <w:pPr>
              <w:pStyle w:val="IPPArialTable"/>
              <w:rPr>
                <w:b/>
              </w:rPr>
            </w:pPr>
            <w:r w:rsidRPr="000860F1">
              <w:rPr>
                <w:b/>
              </w:rPr>
              <w:t>Reagents</w:t>
            </w:r>
          </w:p>
        </w:tc>
        <w:tc>
          <w:tcPr>
            <w:tcW w:w="3969" w:type="dxa"/>
            <w:tcBorders>
              <w:top w:val="single" w:sz="4" w:space="0" w:color="000000"/>
              <w:bottom w:val="single" w:sz="4" w:space="0" w:color="auto"/>
            </w:tcBorders>
            <w:shd w:val="clear" w:color="auto" w:fill="BFBFBF"/>
          </w:tcPr>
          <w:p w14:paraId="3883AF42" w14:textId="74D22DFB" w:rsidR="008E6998" w:rsidRPr="000860F1" w:rsidRDefault="004B5B8F">
            <w:pPr>
              <w:pStyle w:val="IPPArialTable"/>
              <w:rPr>
                <w:b/>
              </w:rPr>
            </w:pPr>
            <w:r>
              <w:rPr>
                <w:b/>
              </w:rPr>
              <w:t>P</w:t>
            </w:r>
            <w:r w:rsidR="000330D6" w:rsidRPr="000860F1">
              <w:rPr>
                <w:b/>
              </w:rPr>
              <w:t>er litre</w:t>
            </w:r>
          </w:p>
        </w:tc>
      </w:tr>
      <w:tr w:rsidR="008E6998" w:rsidRPr="000860F1" w14:paraId="4A425614" w14:textId="77777777">
        <w:tc>
          <w:tcPr>
            <w:tcW w:w="5103" w:type="dxa"/>
            <w:tcBorders>
              <w:top w:val="single" w:sz="4" w:space="0" w:color="auto"/>
            </w:tcBorders>
            <w:shd w:val="clear" w:color="auto" w:fill="auto"/>
          </w:tcPr>
          <w:p w14:paraId="7BE04A6A" w14:textId="3E3ADEB6" w:rsidR="008E6998" w:rsidRPr="000860F1" w:rsidRDefault="000330D6">
            <w:pPr>
              <w:pStyle w:val="IPPArialTable"/>
            </w:pPr>
            <w:r w:rsidRPr="000860F1">
              <w:t>Gelrite gellan gum (Sigma)</w:t>
            </w:r>
            <w:r w:rsidR="00314F55" w:rsidRPr="000860F1">
              <w:rPr>
                <w:rStyle w:val="FootnoteReference"/>
              </w:rPr>
              <w:t>1</w:t>
            </w:r>
          </w:p>
        </w:tc>
        <w:tc>
          <w:tcPr>
            <w:tcW w:w="3969" w:type="dxa"/>
            <w:tcBorders>
              <w:top w:val="single" w:sz="4" w:space="0" w:color="auto"/>
            </w:tcBorders>
            <w:shd w:val="clear" w:color="auto" w:fill="FFFFFF"/>
          </w:tcPr>
          <w:p w14:paraId="6693AC35" w14:textId="737EAE93" w:rsidR="008E6998" w:rsidRPr="000860F1" w:rsidRDefault="000330D6">
            <w:pPr>
              <w:pStyle w:val="IPPArialTable"/>
            </w:pPr>
            <w:r w:rsidRPr="000860F1">
              <w:t>9.0 g</w:t>
            </w:r>
          </w:p>
        </w:tc>
      </w:tr>
      <w:tr w:rsidR="008E6998" w:rsidRPr="000860F1" w14:paraId="5D6A07B2" w14:textId="77777777">
        <w:tc>
          <w:tcPr>
            <w:tcW w:w="5103" w:type="dxa"/>
            <w:shd w:val="clear" w:color="auto" w:fill="auto"/>
          </w:tcPr>
          <w:p w14:paraId="6DED1B86" w14:textId="317DCD80" w:rsidR="008E6998" w:rsidRPr="000860F1" w:rsidRDefault="000330D6">
            <w:pPr>
              <w:pStyle w:val="IPPArialTable"/>
            </w:pPr>
            <w:r w:rsidRPr="000860F1">
              <w:t xml:space="preserve">Phytone </w:t>
            </w:r>
            <w:r w:rsidR="00E8148E">
              <w:t>p</w:t>
            </w:r>
            <w:r w:rsidRPr="000860F1">
              <w:t>eptone (</w:t>
            </w:r>
            <w:r w:rsidR="00A63BE6" w:rsidRPr="000860F1">
              <w:t xml:space="preserve">e.g. </w:t>
            </w:r>
            <w:r w:rsidRPr="000860F1">
              <w:t>BD BBL)</w:t>
            </w:r>
            <w:r w:rsidR="00314F55" w:rsidRPr="000860F1">
              <w:rPr>
                <w:rStyle w:val="FootnoteReference"/>
              </w:rPr>
              <w:t>1</w:t>
            </w:r>
            <w:r w:rsidRPr="000860F1">
              <w:t xml:space="preserve"> </w:t>
            </w:r>
          </w:p>
        </w:tc>
        <w:tc>
          <w:tcPr>
            <w:tcW w:w="3969" w:type="dxa"/>
            <w:shd w:val="clear" w:color="auto" w:fill="FFFFFF"/>
          </w:tcPr>
          <w:p w14:paraId="3C45D0DA" w14:textId="424181DD" w:rsidR="008E6998" w:rsidRPr="000860F1" w:rsidRDefault="000330D6">
            <w:pPr>
              <w:pStyle w:val="IPPArialTable"/>
              <w:rPr>
                <w:shd w:val="clear" w:color="auto" w:fill="C0C0C0"/>
              </w:rPr>
            </w:pPr>
            <w:r w:rsidRPr="000860F1">
              <w:t>4.0 g</w:t>
            </w:r>
          </w:p>
        </w:tc>
      </w:tr>
      <w:tr w:rsidR="008E6998" w:rsidRPr="000860F1" w14:paraId="0109E8B0" w14:textId="77777777">
        <w:tc>
          <w:tcPr>
            <w:tcW w:w="5103" w:type="dxa"/>
            <w:shd w:val="clear" w:color="auto" w:fill="auto"/>
          </w:tcPr>
          <w:p w14:paraId="47B622F6" w14:textId="661FD75F" w:rsidR="008E6998" w:rsidRPr="000860F1" w:rsidRDefault="000330D6">
            <w:pPr>
              <w:pStyle w:val="IPPArialTable"/>
            </w:pPr>
            <w:r w:rsidRPr="000860F1">
              <w:t>Bacto tryptone (</w:t>
            </w:r>
            <w:r w:rsidR="00A63BE6" w:rsidRPr="000860F1">
              <w:t xml:space="preserve">e.g. </w:t>
            </w:r>
            <w:r w:rsidRPr="000860F1">
              <w:t>Oxoid)</w:t>
            </w:r>
            <w:r w:rsidR="00314F55" w:rsidRPr="000860F1">
              <w:rPr>
                <w:rStyle w:val="FootnoteReference"/>
              </w:rPr>
              <w:t>1</w:t>
            </w:r>
          </w:p>
        </w:tc>
        <w:tc>
          <w:tcPr>
            <w:tcW w:w="3969" w:type="dxa"/>
            <w:shd w:val="clear" w:color="auto" w:fill="auto"/>
          </w:tcPr>
          <w:p w14:paraId="31681567" w14:textId="6E963A6A" w:rsidR="008E6998" w:rsidRPr="000860F1" w:rsidRDefault="000330D6">
            <w:pPr>
              <w:pStyle w:val="IPPArialTable"/>
            </w:pPr>
            <w:r w:rsidRPr="000860F1">
              <w:t>1.0 g</w:t>
            </w:r>
          </w:p>
        </w:tc>
      </w:tr>
      <w:tr w:rsidR="008E6998" w:rsidRPr="000860F1" w14:paraId="0185D62D" w14:textId="77777777">
        <w:tc>
          <w:tcPr>
            <w:tcW w:w="5103" w:type="dxa"/>
            <w:shd w:val="clear" w:color="auto" w:fill="auto"/>
          </w:tcPr>
          <w:p w14:paraId="74305A5D" w14:textId="144BEBB9" w:rsidR="008E6998" w:rsidRPr="000860F1" w:rsidRDefault="000330D6">
            <w:pPr>
              <w:pStyle w:val="IPPArialTable"/>
            </w:pPr>
            <w:r w:rsidRPr="000860F1">
              <w:t>Phenol red stock solution (0.2%)</w:t>
            </w:r>
          </w:p>
        </w:tc>
        <w:tc>
          <w:tcPr>
            <w:tcW w:w="3969" w:type="dxa"/>
            <w:shd w:val="clear" w:color="auto" w:fill="auto"/>
          </w:tcPr>
          <w:p w14:paraId="7E0784FD" w14:textId="5F397F81" w:rsidR="008E6998" w:rsidRPr="000860F1" w:rsidRDefault="000330D6">
            <w:pPr>
              <w:pStyle w:val="IPPArialTable"/>
            </w:pPr>
            <w:r w:rsidRPr="000860F1">
              <w:t>10 </w:t>
            </w:r>
            <w:r w:rsidR="00D415AF">
              <w:t>mL</w:t>
            </w:r>
          </w:p>
        </w:tc>
      </w:tr>
      <w:tr w:rsidR="008E6998" w:rsidRPr="000860F1" w14:paraId="71E57A0F" w14:textId="77777777">
        <w:tc>
          <w:tcPr>
            <w:tcW w:w="5103" w:type="dxa"/>
            <w:shd w:val="clear" w:color="auto" w:fill="auto"/>
          </w:tcPr>
          <w:p w14:paraId="06761DFF" w14:textId="49ED4AC3" w:rsidR="008E6998" w:rsidRPr="000860F1" w:rsidRDefault="000330D6">
            <w:pPr>
              <w:pStyle w:val="IPPArialTable"/>
            </w:pPr>
            <w:r w:rsidRPr="000860F1">
              <w:t>L-glutamine (Sigma)</w:t>
            </w:r>
            <w:r w:rsidR="00314F55" w:rsidRPr="000860F1">
              <w:rPr>
                <w:rStyle w:val="FootnoteReference"/>
              </w:rPr>
              <w:t>1</w:t>
            </w:r>
          </w:p>
        </w:tc>
        <w:tc>
          <w:tcPr>
            <w:tcW w:w="3969" w:type="dxa"/>
            <w:shd w:val="clear" w:color="auto" w:fill="auto"/>
          </w:tcPr>
          <w:p w14:paraId="7C69621A" w14:textId="2F5A04B7" w:rsidR="008E6998" w:rsidRPr="000860F1" w:rsidRDefault="000330D6">
            <w:pPr>
              <w:pStyle w:val="IPPArialTable"/>
            </w:pPr>
            <w:r w:rsidRPr="000860F1">
              <w:t>4 g</w:t>
            </w:r>
          </w:p>
        </w:tc>
      </w:tr>
      <w:tr w:rsidR="008E6998" w:rsidRPr="000860F1" w14:paraId="4C099893" w14:textId="77777777">
        <w:tc>
          <w:tcPr>
            <w:tcW w:w="5103" w:type="dxa"/>
            <w:shd w:val="clear" w:color="auto" w:fill="auto"/>
          </w:tcPr>
          <w:p w14:paraId="0B8880B9" w14:textId="2B73AD35" w:rsidR="008E6998" w:rsidRPr="000860F1" w:rsidRDefault="000330D6">
            <w:pPr>
              <w:pStyle w:val="IPPArialTable"/>
            </w:pPr>
            <w:r w:rsidRPr="000860F1">
              <w:t>Hemin chloride stock solution (0.1% in 0.05 N NaOH)</w:t>
            </w:r>
          </w:p>
        </w:tc>
        <w:tc>
          <w:tcPr>
            <w:tcW w:w="3969" w:type="dxa"/>
            <w:shd w:val="clear" w:color="auto" w:fill="auto"/>
          </w:tcPr>
          <w:p w14:paraId="0EBEE2A5" w14:textId="3BDD6F74" w:rsidR="008E6998" w:rsidRPr="000860F1" w:rsidRDefault="000330D6">
            <w:pPr>
              <w:pStyle w:val="IPPArialTable"/>
            </w:pPr>
            <w:r w:rsidRPr="000860F1">
              <w:t>10 </w:t>
            </w:r>
            <w:r w:rsidR="00D415AF">
              <w:t>mL</w:t>
            </w:r>
          </w:p>
        </w:tc>
      </w:tr>
      <w:tr w:rsidR="008E6998" w:rsidRPr="000860F1" w14:paraId="589D371F" w14:textId="77777777">
        <w:tc>
          <w:tcPr>
            <w:tcW w:w="5103" w:type="dxa"/>
            <w:shd w:val="clear" w:color="auto" w:fill="auto"/>
          </w:tcPr>
          <w:p w14:paraId="272F27EE" w14:textId="1F4BFE65" w:rsidR="008E6998" w:rsidRPr="000860F1" w:rsidRDefault="000330D6">
            <w:pPr>
              <w:pStyle w:val="IPPArialTable"/>
            </w:pPr>
            <w:r w:rsidRPr="000860F1">
              <w:t>BSA (Sigma)</w:t>
            </w:r>
            <w:r w:rsidR="00314F55" w:rsidRPr="000860F1">
              <w:rPr>
                <w:rStyle w:val="FootnoteReference"/>
              </w:rPr>
              <w:t>1</w:t>
            </w:r>
          </w:p>
        </w:tc>
        <w:tc>
          <w:tcPr>
            <w:tcW w:w="3969" w:type="dxa"/>
            <w:shd w:val="clear" w:color="auto" w:fill="auto"/>
          </w:tcPr>
          <w:p w14:paraId="571B97D9" w14:textId="416B1BB8" w:rsidR="008E6998" w:rsidRPr="000860F1" w:rsidRDefault="000330D6">
            <w:pPr>
              <w:pStyle w:val="IPPArialTable"/>
            </w:pPr>
            <w:r w:rsidRPr="000860F1">
              <w:t>3.0 g</w:t>
            </w:r>
          </w:p>
        </w:tc>
      </w:tr>
      <w:tr w:rsidR="008E6998" w:rsidRPr="000860F1" w14:paraId="0EEF1512" w14:textId="77777777">
        <w:tc>
          <w:tcPr>
            <w:tcW w:w="5103" w:type="dxa"/>
            <w:shd w:val="clear" w:color="auto" w:fill="auto"/>
          </w:tcPr>
          <w:p w14:paraId="2258918E" w14:textId="45133012" w:rsidR="008E6998" w:rsidRPr="000860F1" w:rsidRDefault="000330D6">
            <w:pPr>
              <w:pStyle w:val="IPPArialTable"/>
            </w:pPr>
            <w:r w:rsidRPr="000860F1">
              <w:t>MgSO</w:t>
            </w:r>
            <w:r w:rsidRPr="000860F1">
              <w:rPr>
                <w:vertAlign w:val="subscript"/>
              </w:rPr>
              <w:t>4</w:t>
            </w:r>
            <w:r w:rsidRPr="000860F1">
              <w:t>·7H</w:t>
            </w:r>
            <w:r w:rsidRPr="000860F1">
              <w:rPr>
                <w:vertAlign w:val="subscript"/>
              </w:rPr>
              <w:t>2</w:t>
            </w:r>
            <w:r w:rsidRPr="000860F1">
              <w:t>O</w:t>
            </w:r>
          </w:p>
        </w:tc>
        <w:tc>
          <w:tcPr>
            <w:tcW w:w="3969" w:type="dxa"/>
            <w:shd w:val="clear" w:color="auto" w:fill="auto"/>
          </w:tcPr>
          <w:p w14:paraId="3AD4C0A4" w14:textId="0C27EE4C" w:rsidR="008E6998" w:rsidRPr="000860F1" w:rsidRDefault="000330D6">
            <w:pPr>
              <w:pStyle w:val="IPPArialTable"/>
            </w:pPr>
            <w:r w:rsidRPr="000860F1">
              <w:t>1.0 g</w:t>
            </w:r>
          </w:p>
        </w:tc>
      </w:tr>
      <w:tr w:rsidR="008E6998" w:rsidRPr="000860F1" w14:paraId="3FA3E4CB" w14:textId="77777777">
        <w:tc>
          <w:tcPr>
            <w:tcW w:w="5103" w:type="dxa"/>
            <w:shd w:val="clear" w:color="auto" w:fill="auto"/>
          </w:tcPr>
          <w:p w14:paraId="0507FD94" w14:textId="72ED7F38" w:rsidR="008E6998" w:rsidRPr="000860F1" w:rsidRDefault="000330D6">
            <w:pPr>
              <w:pStyle w:val="IPPArialTable"/>
            </w:pPr>
            <w:r w:rsidRPr="000860F1">
              <w:t>K</w:t>
            </w:r>
            <w:r w:rsidRPr="000860F1">
              <w:rPr>
                <w:vertAlign w:val="subscript"/>
              </w:rPr>
              <w:t>2</w:t>
            </w:r>
            <w:r w:rsidRPr="000860F1">
              <w:t>HPO</w:t>
            </w:r>
            <w:r w:rsidRPr="000860F1">
              <w:rPr>
                <w:vertAlign w:val="subscript"/>
              </w:rPr>
              <w:t>4</w:t>
            </w:r>
          </w:p>
        </w:tc>
        <w:tc>
          <w:tcPr>
            <w:tcW w:w="3969" w:type="dxa"/>
            <w:shd w:val="clear" w:color="auto" w:fill="auto"/>
          </w:tcPr>
          <w:p w14:paraId="1E97C66C" w14:textId="1C368E98" w:rsidR="008E6998" w:rsidRPr="000860F1" w:rsidRDefault="000330D6">
            <w:pPr>
              <w:pStyle w:val="IPPArialTable"/>
            </w:pPr>
            <w:r w:rsidRPr="000860F1">
              <w:t>1.5 g</w:t>
            </w:r>
          </w:p>
        </w:tc>
      </w:tr>
      <w:tr w:rsidR="008E6998" w:rsidRPr="000860F1" w14:paraId="11547580" w14:textId="77777777">
        <w:tc>
          <w:tcPr>
            <w:tcW w:w="5103" w:type="dxa"/>
            <w:shd w:val="clear" w:color="auto" w:fill="auto"/>
          </w:tcPr>
          <w:p w14:paraId="0D8D0522" w14:textId="74090B72" w:rsidR="008E6998" w:rsidRPr="000860F1" w:rsidRDefault="000330D6">
            <w:pPr>
              <w:pStyle w:val="IPPArialTable"/>
            </w:pPr>
            <w:r w:rsidRPr="000860F1">
              <w:t>KH</w:t>
            </w:r>
            <w:r w:rsidRPr="000860F1">
              <w:rPr>
                <w:vertAlign w:val="subscript"/>
              </w:rPr>
              <w:t>2</w:t>
            </w:r>
            <w:r w:rsidRPr="000860F1">
              <w:t>PO</w:t>
            </w:r>
            <w:r w:rsidRPr="000860F1">
              <w:rPr>
                <w:vertAlign w:val="subscript"/>
              </w:rPr>
              <w:t>4</w:t>
            </w:r>
          </w:p>
        </w:tc>
        <w:tc>
          <w:tcPr>
            <w:tcW w:w="3969" w:type="dxa"/>
            <w:shd w:val="clear" w:color="auto" w:fill="auto"/>
          </w:tcPr>
          <w:p w14:paraId="760AA478" w14:textId="1A091764" w:rsidR="008E6998" w:rsidRPr="000860F1" w:rsidRDefault="000330D6">
            <w:pPr>
              <w:pStyle w:val="IPPArialTable"/>
            </w:pPr>
            <w:r w:rsidRPr="000860F1">
              <w:t>1.0 g</w:t>
            </w:r>
          </w:p>
        </w:tc>
      </w:tr>
      <w:tr w:rsidR="008E6998" w:rsidRPr="000860F1" w14:paraId="0A526741" w14:textId="77777777">
        <w:tc>
          <w:tcPr>
            <w:tcW w:w="5103" w:type="dxa"/>
            <w:tcBorders>
              <w:bottom w:val="single" w:sz="4" w:space="0" w:color="auto"/>
            </w:tcBorders>
            <w:shd w:val="clear" w:color="auto" w:fill="auto"/>
          </w:tcPr>
          <w:p w14:paraId="35373D8B" w14:textId="69D31E48" w:rsidR="008E6998" w:rsidRPr="000860F1" w:rsidRDefault="000330D6">
            <w:pPr>
              <w:pStyle w:val="IPPArialTable"/>
            </w:pPr>
            <w:r w:rsidRPr="000860F1">
              <w:t>Distilled water to a final volume of a 1 litre</w:t>
            </w:r>
          </w:p>
        </w:tc>
        <w:tc>
          <w:tcPr>
            <w:tcW w:w="3969" w:type="dxa"/>
            <w:tcBorders>
              <w:bottom w:val="single" w:sz="4" w:space="0" w:color="auto"/>
            </w:tcBorders>
            <w:shd w:val="clear" w:color="auto" w:fill="auto"/>
          </w:tcPr>
          <w:p w14:paraId="2340DC5B" w14:textId="633DB0E2" w:rsidR="008E6998" w:rsidRPr="000860F1" w:rsidRDefault="008E6998">
            <w:pPr>
              <w:pStyle w:val="IPPArialTable"/>
            </w:pPr>
          </w:p>
        </w:tc>
      </w:tr>
    </w:tbl>
    <w:p w14:paraId="164FD413" w14:textId="50B7AA30" w:rsidR="008E6998" w:rsidRPr="00ED5BBE" w:rsidRDefault="000330D6">
      <w:pPr>
        <w:pStyle w:val="IPPArialFootnote"/>
        <w:spacing w:after="180"/>
      </w:pPr>
      <w:r w:rsidRPr="00ED5BBE">
        <w:rPr>
          <w:rStyle w:val="PleaseReviewParagraphId"/>
          <w:color w:val="auto"/>
        </w:rPr>
        <w:t xml:space="preserve">BSA, </w:t>
      </w:r>
      <w:r w:rsidRPr="00ED5BBE">
        <w:t>bovine serum albumin.</w:t>
      </w:r>
    </w:p>
    <w:p w14:paraId="60C013A1" w14:textId="3B13BED1" w:rsidR="008E6998" w:rsidRPr="000860F1" w:rsidRDefault="000330D6">
      <w:pPr>
        <w:pStyle w:val="IPPHeading2"/>
        <w:rPr>
          <w:iCs/>
          <w:color w:val="231F20"/>
        </w:rPr>
      </w:pPr>
      <w:bookmarkStart w:id="56" w:name="_Toc111710149"/>
      <w:r w:rsidRPr="000860F1">
        <w:t>4.1.2</w:t>
      </w:r>
      <w:r w:rsidRPr="000860F1">
        <w:tab/>
        <w:t>Colony morphology</w:t>
      </w:r>
      <w:bookmarkEnd w:id="56"/>
    </w:p>
    <w:p w14:paraId="43BDFA5A" w14:textId="4E9C3EBA" w:rsidR="008E6998" w:rsidRPr="004C1B1F" w:rsidRDefault="000330D6" w:rsidP="004C1B1F">
      <w:pPr>
        <w:pStyle w:val="IPPParagraphnumbering"/>
        <w:rPr>
          <w:bCs/>
        </w:rPr>
      </w:pPr>
      <w:r w:rsidRPr="000860F1">
        <w:rPr>
          <w:i/>
        </w:rPr>
        <w:t>X</w:t>
      </w:r>
      <w:r w:rsidR="004550F5" w:rsidRPr="000860F1">
        <w:rPr>
          <w:i/>
        </w:rPr>
        <w:t>.</w:t>
      </w:r>
      <w:r w:rsidRPr="000860F1">
        <w:rPr>
          <w:i/>
        </w:rPr>
        <w:t> fastidiosa</w:t>
      </w:r>
      <w:r w:rsidRPr="000860F1">
        <w:t xml:space="preserve"> colony morphology can be variable (Davis </w:t>
      </w:r>
      <w:r w:rsidRPr="000860F1">
        <w:rPr>
          <w:i/>
        </w:rPr>
        <w:t>et al.</w:t>
      </w:r>
      <w:r w:rsidRPr="000860F1">
        <w:t xml:space="preserve">, 1981; Chen </w:t>
      </w:r>
      <w:r w:rsidRPr="000860F1">
        <w:rPr>
          <w:i/>
        </w:rPr>
        <w:t>et al.</w:t>
      </w:r>
      <w:r w:rsidRPr="000860F1">
        <w:t xml:space="preserve">, 2005), but on most selective media colonies are convex, either smooth or rough, and with entire or finely undulate margins (Bradbury, 1991). The comparison of colony morphology with a reference culture of </w:t>
      </w:r>
      <w:r w:rsidRPr="000860F1">
        <w:rPr>
          <w:i/>
        </w:rPr>
        <w:t>X. fastidiosa</w:t>
      </w:r>
      <w:r w:rsidRPr="000860F1">
        <w:t xml:space="preserve"> (Table 1</w:t>
      </w:r>
      <w:r w:rsidR="008D3BD9">
        <w:t>8</w:t>
      </w:r>
      <w:r w:rsidRPr="000860F1">
        <w:t>) may help a correct identification to be reached.</w:t>
      </w:r>
      <w:r w:rsidRPr="000860F1">
        <w:rPr>
          <w:b/>
        </w:rPr>
        <w:t xml:space="preserve"> </w:t>
      </w:r>
      <w:r w:rsidR="00B7786C" w:rsidRPr="00B7786C">
        <w:t xml:space="preserve">Colonies reach about </w:t>
      </w:r>
      <w:r w:rsidR="00B7786C">
        <w:t>1 mm of diameter after 2 weeks, more or less according to the subspecies.</w:t>
      </w:r>
    </w:p>
    <w:p w14:paraId="507491B3" w14:textId="4880DDAB" w:rsidR="007A6D3C" w:rsidRDefault="007A6D3C">
      <w:pPr>
        <w:spacing w:after="160" w:line="259" w:lineRule="auto"/>
        <w:jc w:val="left"/>
        <w:rPr>
          <w:rStyle w:val="PleaseReviewParagraphId"/>
          <w:rFonts w:eastAsia="Times"/>
        </w:rPr>
      </w:pPr>
    </w:p>
    <w:p w14:paraId="6A3A39FE" w14:textId="02FAFEC3" w:rsidR="008E6998" w:rsidRPr="00133D6E" w:rsidRDefault="000330D6" w:rsidP="00D1016B">
      <w:pPr>
        <w:pStyle w:val="IPPArial"/>
        <w:keepNext/>
        <w:spacing w:after="120"/>
        <w:rPr>
          <w:rFonts w:cs="Arial"/>
          <w:b/>
          <w:szCs w:val="18"/>
        </w:rPr>
      </w:pPr>
      <w:r w:rsidRPr="00133D6E">
        <w:rPr>
          <w:rFonts w:cs="Arial"/>
          <w:b/>
          <w:szCs w:val="18"/>
        </w:rPr>
        <w:t>Table 1</w:t>
      </w:r>
      <w:r w:rsidR="008D3BD9" w:rsidRPr="00133D6E">
        <w:rPr>
          <w:rFonts w:cs="Arial"/>
          <w:b/>
          <w:szCs w:val="18"/>
        </w:rPr>
        <w:t>8</w:t>
      </w:r>
      <w:r w:rsidRPr="00133D6E">
        <w:rPr>
          <w:rFonts w:cs="Arial"/>
          <w:b/>
          <w:szCs w:val="18"/>
        </w:rPr>
        <w:t xml:space="preserve">. </w:t>
      </w:r>
      <w:r w:rsidRPr="00133D6E">
        <w:rPr>
          <w:rFonts w:cs="Arial"/>
          <w:szCs w:val="18"/>
        </w:rPr>
        <w:t xml:space="preserve">Reference </w:t>
      </w:r>
      <w:r w:rsidRPr="00133D6E">
        <w:rPr>
          <w:rFonts w:cs="Arial"/>
          <w:i/>
          <w:szCs w:val="18"/>
        </w:rPr>
        <w:t>X. fastidiosa</w:t>
      </w:r>
      <w:r w:rsidRPr="00133D6E">
        <w:rPr>
          <w:rFonts w:cs="Arial"/>
          <w:szCs w:val="18"/>
        </w:rPr>
        <w:t xml:space="preserve"> strains</w:t>
      </w:r>
    </w:p>
    <w:tbl>
      <w:tblPr>
        <w:tblW w:w="8979" w:type="dxa"/>
        <w:tblInd w:w="93" w:type="dxa"/>
        <w:tblLook w:val="04A0" w:firstRow="1" w:lastRow="0" w:firstColumn="1" w:lastColumn="0" w:noHBand="0" w:noVBand="1"/>
      </w:tblPr>
      <w:tblGrid>
        <w:gridCol w:w="3735"/>
        <w:gridCol w:w="5244"/>
      </w:tblGrid>
      <w:tr w:rsidR="008E6998" w:rsidRPr="000860F1" w14:paraId="2E5B0D86" w14:textId="77777777" w:rsidTr="00A66AEE">
        <w:trPr>
          <w:trHeight w:val="300"/>
        </w:trPr>
        <w:tc>
          <w:tcPr>
            <w:tcW w:w="3735" w:type="dxa"/>
            <w:tcBorders>
              <w:top w:val="single" w:sz="4" w:space="0" w:color="auto"/>
              <w:left w:val="nil"/>
              <w:bottom w:val="single" w:sz="4" w:space="0" w:color="auto"/>
              <w:right w:val="nil"/>
            </w:tcBorders>
            <w:shd w:val="clear" w:color="auto" w:fill="A6A6A6" w:themeFill="background1" w:themeFillShade="A6"/>
            <w:noWrap/>
            <w:vAlign w:val="bottom"/>
          </w:tcPr>
          <w:p w14:paraId="56CFA34F" w14:textId="1B3240E6" w:rsidR="008E6998" w:rsidRPr="000860F1" w:rsidRDefault="000330D6">
            <w:pPr>
              <w:pStyle w:val="IPPArialTable"/>
              <w:rPr>
                <w:b/>
              </w:rPr>
            </w:pPr>
            <w:r w:rsidRPr="000860F1">
              <w:rPr>
                <w:b/>
              </w:rPr>
              <w:t>Strain</w:t>
            </w:r>
          </w:p>
        </w:tc>
        <w:tc>
          <w:tcPr>
            <w:tcW w:w="5244" w:type="dxa"/>
            <w:tcBorders>
              <w:top w:val="single" w:sz="4" w:space="0" w:color="auto"/>
              <w:left w:val="nil"/>
              <w:bottom w:val="single" w:sz="4" w:space="0" w:color="auto"/>
              <w:right w:val="nil"/>
            </w:tcBorders>
            <w:shd w:val="clear" w:color="auto" w:fill="A6A6A6" w:themeFill="background1" w:themeFillShade="A6"/>
            <w:vAlign w:val="bottom"/>
          </w:tcPr>
          <w:p w14:paraId="76B8E5F6" w14:textId="71F0670E" w:rsidR="008E6998" w:rsidRPr="000860F1" w:rsidRDefault="000330D6">
            <w:pPr>
              <w:pStyle w:val="IPPArialTable"/>
              <w:rPr>
                <w:b/>
              </w:rPr>
            </w:pPr>
            <w:r w:rsidRPr="000860F1">
              <w:rPr>
                <w:b/>
              </w:rPr>
              <w:t>Source</w:t>
            </w:r>
          </w:p>
        </w:tc>
      </w:tr>
      <w:tr w:rsidR="008E6998" w:rsidRPr="000860F1" w14:paraId="7BC69B80" w14:textId="77777777" w:rsidTr="00A66AEE">
        <w:trPr>
          <w:trHeight w:val="300"/>
        </w:trPr>
        <w:tc>
          <w:tcPr>
            <w:tcW w:w="3735" w:type="dxa"/>
            <w:tcBorders>
              <w:top w:val="single" w:sz="4" w:space="0" w:color="auto"/>
              <w:left w:val="nil"/>
              <w:bottom w:val="single" w:sz="4" w:space="0" w:color="auto"/>
              <w:right w:val="nil"/>
            </w:tcBorders>
            <w:shd w:val="clear" w:color="auto" w:fill="auto"/>
            <w:noWrap/>
          </w:tcPr>
          <w:p w14:paraId="76228A98" w14:textId="67E5FB43" w:rsidR="008E6998" w:rsidRPr="000860F1" w:rsidRDefault="000330D6">
            <w:pPr>
              <w:pStyle w:val="IPPArialTable"/>
            </w:pPr>
            <w:r w:rsidRPr="000860F1">
              <w:t>CFBP 7969, 8073</w:t>
            </w:r>
            <w:r w:rsidR="002942D1">
              <w:t>, 7970</w:t>
            </w:r>
            <w:r w:rsidR="002942D1" w:rsidRPr="00703471">
              <w:rPr>
                <w:vertAlign w:val="superscript"/>
              </w:rPr>
              <w:t>T</w:t>
            </w:r>
            <w:r w:rsidR="002942D1">
              <w:t>, 8173</w:t>
            </w:r>
            <w:r w:rsidR="002942D1" w:rsidRPr="00703471">
              <w:rPr>
                <w:vertAlign w:val="superscript"/>
              </w:rPr>
              <w:t>T</w:t>
            </w:r>
          </w:p>
        </w:tc>
        <w:tc>
          <w:tcPr>
            <w:tcW w:w="5244" w:type="dxa"/>
            <w:tcBorders>
              <w:top w:val="single" w:sz="4" w:space="0" w:color="auto"/>
              <w:left w:val="nil"/>
              <w:bottom w:val="single" w:sz="4" w:space="0" w:color="auto"/>
              <w:right w:val="nil"/>
            </w:tcBorders>
            <w:shd w:val="clear" w:color="auto" w:fill="auto"/>
          </w:tcPr>
          <w:p w14:paraId="262BDCE9" w14:textId="79019206" w:rsidR="008E6998" w:rsidRPr="000860F1" w:rsidRDefault="000330D6">
            <w:pPr>
              <w:pStyle w:val="IPPArialTable"/>
              <w:rPr>
                <w:szCs w:val="22"/>
              </w:rPr>
            </w:pPr>
            <w:r w:rsidRPr="000860F1">
              <w:rPr>
                <w:szCs w:val="22"/>
              </w:rPr>
              <w:t xml:space="preserve">International Center for Microbial Resources – French Collection for Plant-associated Bacteria, Beaucouze, </w:t>
            </w:r>
            <w:r w:rsidR="001F33A0" w:rsidRPr="000860F1">
              <w:rPr>
                <w:szCs w:val="22"/>
              </w:rPr>
              <w:t>France</w:t>
            </w:r>
          </w:p>
        </w:tc>
      </w:tr>
      <w:tr w:rsidR="008E6998" w:rsidRPr="000860F1" w14:paraId="25B194FE" w14:textId="77777777" w:rsidTr="00A66AEE">
        <w:trPr>
          <w:trHeight w:val="300"/>
        </w:trPr>
        <w:tc>
          <w:tcPr>
            <w:tcW w:w="3735" w:type="dxa"/>
            <w:tcBorders>
              <w:top w:val="single" w:sz="4" w:space="0" w:color="auto"/>
              <w:left w:val="nil"/>
              <w:bottom w:val="single" w:sz="4" w:space="0" w:color="auto"/>
              <w:right w:val="nil"/>
            </w:tcBorders>
            <w:shd w:val="clear" w:color="auto" w:fill="auto"/>
            <w:noWrap/>
          </w:tcPr>
          <w:p w14:paraId="0D487AEF" w14:textId="4C4BD7E1" w:rsidR="008E6998" w:rsidRPr="000860F1" w:rsidRDefault="000330D6">
            <w:pPr>
              <w:pStyle w:val="IPPArialTable"/>
            </w:pPr>
            <w:r w:rsidRPr="000860F1">
              <w:t>LMG 17159</w:t>
            </w:r>
          </w:p>
        </w:tc>
        <w:tc>
          <w:tcPr>
            <w:tcW w:w="5244" w:type="dxa"/>
            <w:tcBorders>
              <w:top w:val="single" w:sz="4" w:space="0" w:color="auto"/>
              <w:left w:val="nil"/>
              <w:bottom w:val="single" w:sz="4" w:space="0" w:color="auto"/>
              <w:right w:val="nil"/>
            </w:tcBorders>
            <w:shd w:val="clear" w:color="auto" w:fill="auto"/>
          </w:tcPr>
          <w:p w14:paraId="30A0D900" w14:textId="14A5BB91" w:rsidR="008E6998" w:rsidRPr="000860F1" w:rsidRDefault="000330D6">
            <w:pPr>
              <w:pStyle w:val="IPPArialTable"/>
            </w:pPr>
            <w:r w:rsidRPr="000860F1">
              <w:t>Belgium Co-ordinated Collection of Micro-organisms, Ghent, Belgium</w:t>
            </w:r>
          </w:p>
        </w:tc>
      </w:tr>
      <w:tr w:rsidR="008E6998" w:rsidRPr="000860F1" w14:paraId="209A87D9" w14:textId="77777777" w:rsidTr="00A66AEE">
        <w:trPr>
          <w:trHeight w:val="300"/>
        </w:trPr>
        <w:tc>
          <w:tcPr>
            <w:tcW w:w="3735" w:type="dxa"/>
            <w:tcBorders>
              <w:top w:val="single" w:sz="4" w:space="0" w:color="auto"/>
              <w:left w:val="nil"/>
              <w:bottom w:val="single" w:sz="4" w:space="0" w:color="auto"/>
              <w:right w:val="nil"/>
            </w:tcBorders>
            <w:shd w:val="clear" w:color="auto" w:fill="auto"/>
            <w:noWrap/>
          </w:tcPr>
          <w:p w14:paraId="28AD8C65" w14:textId="35196193" w:rsidR="008E6998" w:rsidRPr="000860F1" w:rsidRDefault="000330D6">
            <w:pPr>
              <w:pStyle w:val="IPPArialTable"/>
            </w:pPr>
            <w:r w:rsidRPr="000860F1">
              <w:t>ICMP 11140, 15197</w:t>
            </w:r>
          </w:p>
        </w:tc>
        <w:tc>
          <w:tcPr>
            <w:tcW w:w="5244" w:type="dxa"/>
            <w:tcBorders>
              <w:top w:val="single" w:sz="4" w:space="0" w:color="auto"/>
              <w:left w:val="nil"/>
              <w:bottom w:val="single" w:sz="4" w:space="0" w:color="auto"/>
              <w:right w:val="nil"/>
            </w:tcBorders>
            <w:shd w:val="clear" w:color="auto" w:fill="auto"/>
          </w:tcPr>
          <w:p w14:paraId="24EFDA68" w14:textId="29C10B36" w:rsidR="008E6998" w:rsidRPr="000860F1" w:rsidRDefault="000330D6">
            <w:pPr>
              <w:pStyle w:val="IPPArialTable"/>
            </w:pPr>
            <w:r w:rsidRPr="000860F1">
              <w:t>International Collection of Microorganisms from Plants, Auckland, New Zealand</w:t>
            </w:r>
          </w:p>
        </w:tc>
      </w:tr>
      <w:tr w:rsidR="008E6998" w:rsidRPr="000860F1" w14:paraId="02F7D5F5" w14:textId="77777777" w:rsidTr="00A66AEE">
        <w:trPr>
          <w:trHeight w:val="300"/>
        </w:trPr>
        <w:tc>
          <w:tcPr>
            <w:tcW w:w="3735" w:type="dxa"/>
            <w:tcBorders>
              <w:top w:val="single" w:sz="4" w:space="0" w:color="auto"/>
              <w:left w:val="nil"/>
              <w:bottom w:val="single" w:sz="4" w:space="0" w:color="auto"/>
              <w:right w:val="nil"/>
            </w:tcBorders>
            <w:shd w:val="clear" w:color="auto" w:fill="auto"/>
          </w:tcPr>
          <w:p w14:paraId="635A4EEB" w14:textId="6DD7E30B" w:rsidR="008E6998" w:rsidRPr="000860F1" w:rsidRDefault="000330D6">
            <w:pPr>
              <w:pStyle w:val="IPPArialTable"/>
            </w:pPr>
            <w:r w:rsidRPr="000860F1">
              <w:t>NCPPB 4432</w:t>
            </w:r>
          </w:p>
        </w:tc>
        <w:tc>
          <w:tcPr>
            <w:tcW w:w="5244" w:type="dxa"/>
            <w:tcBorders>
              <w:top w:val="single" w:sz="4" w:space="0" w:color="auto"/>
              <w:left w:val="nil"/>
              <w:bottom w:val="single" w:sz="4" w:space="0" w:color="auto"/>
              <w:right w:val="nil"/>
            </w:tcBorders>
            <w:shd w:val="clear" w:color="auto" w:fill="auto"/>
          </w:tcPr>
          <w:p w14:paraId="1A928B54" w14:textId="0E2E0154" w:rsidR="008E6998" w:rsidRPr="000860F1" w:rsidRDefault="000330D6">
            <w:pPr>
              <w:pStyle w:val="IPPArialTable"/>
            </w:pPr>
            <w:r w:rsidRPr="000860F1">
              <w:t>National Collection of Plant Pathogenic Bacteria, York, United Kingdom of Great Britain and Northern Ireland</w:t>
            </w:r>
          </w:p>
        </w:tc>
      </w:tr>
      <w:tr w:rsidR="008E6998" w:rsidRPr="000860F1" w14:paraId="45F6E2B8" w14:textId="77777777" w:rsidTr="00A66AEE">
        <w:trPr>
          <w:trHeight w:val="300"/>
        </w:trPr>
        <w:tc>
          <w:tcPr>
            <w:tcW w:w="3735" w:type="dxa"/>
            <w:tcBorders>
              <w:top w:val="single" w:sz="4" w:space="0" w:color="auto"/>
              <w:left w:val="nil"/>
              <w:bottom w:val="single" w:sz="4" w:space="0" w:color="auto"/>
              <w:right w:val="nil"/>
            </w:tcBorders>
            <w:shd w:val="clear" w:color="auto" w:fill="auto"/>
          </w:tcPr>
          <w:p w14:paraId="78D7D392" w14:textId="15F5AF63" w:rsidR="008E6998" w:rsidRPr="000860F1" w:rsidRDefault="000330D6">
            <w:pPr>
              <w:pStyle w:val="IPPArialTable"/>
            </w:pPr>
            <w:r w:rsidRPr="000860F1">
              <w:t>DSM 10026</w:t>
            </w:r>
          </w:p>
        </w:tc>
        <w:tc>
          <w:tcPr>
            <w:tcW w:w="5244" w:type="dxa"/>
            <w:tcBorders>
              <w:top w:val="single" w:sz="4" w:space="0" w:color="auto"/>
              <w:left w:val="nil"/>
              <w:bottom w:val="single" w:sz="4" w:space="0" w:color="auto"/>
              <w:right w:val="nil"/>
            </w:tcBorders>
            <w:shd w:val="clear" w:color="auto" w:fill="auto"/>
          </w:tcPr>
          <w:p w14:paraId="0ADC7165" w14:textId="3C4E840F" w:rsidR="008E6998" w:rsidRPr="000860F1" w:rsidRDefault="000330D6">
            <w:pPr>
              <w:pStyle w:val="IPPArialTable"/>
            </w:pPr>
            <w:r w:rsidRPr="000860F1">
              <w:t>Leibniz Institute DSMZ – German Collection of Microorganisms and Cell Cultures, Braunschweig, Germany</w:t>
            </w:r>
          </w:p>
        </w:tc>
      </w:tr>
    </w:tbl>
    <w:p w14:paraId="00985E47" w14:textId="2F3E889A" w:rsidR="002942D1" w:rsidRDefault="002942D1" w:rsidP="00B06594">
      <w:pPr>
        <w:pStyle w:val="IPPNormal"/>
      </w:pPr>
      <w:r w:rsidRPr="00703471">
        <w:t>T : type strain</w:t>
      </w:r>
    </w:p>
    <w:p w14:paraId="0D0B489A" w14:textId="77777777" w:rsidR="002942D1" w:rsidRPr="002942D1" w:rsidRDefault="002942D1" w:rsidP="00703471">
      <w:pPr>
        <w:pStyle w:val="IPPNormal"/>
      </w:pPr>
    </w:p>
    <w:p w14:paraId="2B647B12" w14:textId="7CE537BE" w:rsidR="008E6998" w:rsidRPr="000860F1" w:rsidRDefault="000330D6">
      <w:pPr>
        <w:pStyle w:val="IPPHeading2"/>
        <w:ind w:left="0" w:firstLine="0"/>
        <w:rPr>
          <w:iCs/>
          <w:color w:val="231F20"/>
        </w:rPr>
      </w:pPr>
      <w:bookmarkStart w:id="57" w:name="_Toc111710150"/>
      <w:r w:rsidRPr="000860F1">
        <w:t>4.1.3</w:t>
      </w:r>
      <w:r w:rsidRPr="000860F1">
        <w:tab/>
        <w:t>Interpretation of isolation results</w:t>
      </w:r>
      <w:bookmarkEnd w:id="57"/>
    </w:p>
    <w:p w14:paraId="48D22D4B" w14:textId="6819905D" w:rsidR="008E6998" w:rsidRPr="000860F1" w:rsidRDefault="000330D6" w:rsidP="004C1B1F">
      <w:pPr>
        <w:pStyle w:val="IPPParagraphnumbering"/>
      </w:pPr>
      <w:r w:rsidRPr="000860F1">
        <w:t xml:space="preserve">The isolation is negative if no bacterial colonies with growth characteristics and morphology similar to </w:t>
      </w:r>
      <w:r w:rsidRPr="000860F1">
        <w:rPr>
          <w:i/>
          <w:iCs/>
          <w:spacing w:val="2"/>
        </w:rPr>
        <w:t>X. fastidiosa</w:t>
      </w:r>
      <w:r w:rsidRPr="000860F1">
        <w:rPr>
          <w:iCs/>
          <w:spacing w:val="2"/>
        </w:rPr>
        <w:t xml:space="preserve"> </w:t>
      </w:r>
      <w:r w:rsidRPr="000860F1">
        <w:t xml:space="preserve">are observed after 14–30 days on any medium and typical </w:t>
      </w:r>
      <w:r w:rsidRPr="000860F1">
        <w:rPr>
          <w:i/>
          <w:iCs/>
          <w:spacing w:val="2"/>
        </w:rPr>
        <w:t>X. fastidiosa</w:t>
      </w:r>
      <w:r w:rsidRPr="000860F1">
        <w:rPr>
          <w:iCs/>
          <w:spacing w:val="2"/>
        </w:rPr>
        <w:t xml:space="preserve"> </w:t>
      </w:r>
      <w:r w:rsidRPr="000860F1">
        <w:t>colonies are found in the positive controls.</w:t>
      </w:r>
      <w:r w:rsidR="00472884">
        <w:t xml:space="preserve"> </w:t>
      </w:r>
    </w:p>
    <w:p w14:paraId="42206239" w14:textId="02B1C63E" w:rsidR="008E6998" w:rsidRPr="000860F1" w:rsidRDefault="000330D6" w:rsidP="004C1B1F">
      <w:pPr>
        <w:pStyle w:val="IPPParagraphnumbering"/>
      </w:pPr>
      <w:r w:rsidRPr="000860F1">
        <w:t xml:space="preserve">The isolation is positive if bacterial colonies with growth characteristics and morphology similar to </w:t>
      </w:r>
      <w:r w:rsidRPr="000860F1">
        <w:rPr>
          <w:i/>
          <w:iCs/>
          <w:spacing w:val="2"/>
        </w:rPr>
        <w:t>X. fastidiosa</w:t>
      </w:r>
      <w:r w:rsidRPr="000860F1">
        <w:rPr>
          <w:iCs/>
          <w:spacing w:val="2"/>
        </w:rPr>
        <w:t xml:space="preserve"> </w:t>
      </w:r>
      <w:r w:rsidRPr="000860F1">
        <w:t xml:space="preserve">are observed after 14–30 days on at least one medium. In some cases, the incubation time can be up to 30 days due to the fastidious growth requirements of </w:t>
      </w:r>
      <w:r w:rsidRPr="000860F1">
        <w:rPr>
          <w:i/>
        </w:rPr>
        <w:t>X. fastidiosa</w:t>
      </w:r>
      <w:r w:rsidR="00472884">
        <w:t xml:space="preserve">. </w:t>
      </w:r>
      <w:r w:rsidRPr="000860F1">
        <w:t xml:space="preserve">The presumptive identification of </w:t>
      </w:r>
      <w:r w:rsidRPr="000860F1">
        <w:rPr>
          <w:i/>
          <w:iCs/>
          <w:spacing w:val="2"/>
        </w:rPr>
        <w:t>X. fastidiosa</w:t>
      </w:r>
      <w:r w:rsidRPr="000860F1">
        <w:rPr>
          <w:iCs/>
          <w:spacing w:val="2"/>
        </w:rPr>
        <w:t xml:space="preserve"> </w:t>
      </w:r>
      <w:r w:rsidRPr="000860F1">
        <w:t>colonies should be confirmed by serological- or molecular-based methods.</w:t>
      </w:r>
    </w:p>
    <w:p w14:paraId="6F650596" w14:textId="48DD5462" w:rsidR="008E6998" w:rsidRPr="000860F1" w:rsidRDefault="000330D6">
      <w:pPr>
        <w:pStyle w:val="IPPHeading2"/>
      </w:pPr>
      <w:bookmarkStart w:id="58" w:name="_Toc384635724"/>
      <w:bookmarkStart w:id="59" w:name="_Toc111710151"/>
      <w:r w:rsidRPr="000860F1">
        <w:t>4.2</w:t>
      </w:r>
      <w:r w:rsidRPr="000860F1">
        <w:tab/>
        <w:t>Description and biochemical characteristics</w:t>
      </w:r>
      <w:bookmarkEnd w:id="58"/>
      <w:bookmarkEnd w:id="59"/>
    </w:p>
    <w:p w14:paraId="11944661" w14:textId="73D37F15" w:rsidR="008E6998" w:rsidRPr="000860F1" w:rsidRDefault="000330D6" w:rsidP="004C1B1F">
      <w:pPr>
        <w:pStyle w:val="IPPParagraphnumbering"/>
      </w:pPr>
      <w:r w:rsidRPr="000860F1">
        <w:rPr>
          <w:i/>
        </w:rPr>
        <w:t>X</w:t>
      </w:r>
      <w:r w:rsidR="004550F5" w:rsidRPr="000860F1">
        <w:rPr>
          <w:i/>
        </w:rPr>
        <w:t>.</w:t>
      </w:r>
      <w:r w:rsidRPr="000860F1">
        <w:rPr>
          <w:i/>
        </w:rPr>
        <w:t> fastidiosa</w:t>
      </w:r>
      <w:r w:rsidRPr="000860F1">
        <w:t xml:space="preserve"> is a fastidious Gram-negative, straight, rod-shaped bacterium measuring</w:t>
      </w:r>
      <w:r w:rsidRPr="000860F1">
        <w:rPr>
          <w:i/>
        </w:rPr>
        <w:t xml:space="preserve"> </w:t>
      </w:r>
      <w:r w:rsidRPr="000860F1">
        <w:t xml:space="preserve">0.25–0.35 µm by 0.9–3.5 µm. It is strictly aerobic, non-flagellate, non-motile, and does not form spores (Davis </w:t>
      </w:r>
      <w:r w:rsidRPr="000860F1">
        <w:rPr>
          <w:i/>
        </w:rPr>
        <w:t>et al.</w:t>
      </w:r>
      <w:r w:rsidRPr="000860F1">
        <w:t xml:space="preserve">, 1978; Wells </w:t>
      </w:r>
      <w:r w:rsidRPr="000860F1">
        <w:rPr>
          <w:i/>
        </w:rPr>
        <w:t>et al.</w:t>
      </w:r>
      <w:r w:rsidRPr="000860F1">
        <w:t xml:space="preserve">, 1987; Bradbury, 1991). Some of the key biochemical and physiological characteristics for </w:t>
      </w:r>
      <w:r w:rsidRPr="000860F1">
        <w:rPr>
          <w:i/>
        </w:rPr>
        <w:t>X. fastidiosa</w:t>
      </w:r>
      <w:r w:rsidRPr="000860F1">
        <w:t xml:space="preserve"> are listed in Table 1</w:t>
      </w:r>
      <w:r w:rsidR="008D3BD9">
        <w:t>9</w:t>
      </w:r>
      <w:r w:rsidRPr="000860F1">
        <w:t>.</w:t>
      </w:r>
    </w:p>
    <w:p w14:paraId="005CA686" w14:textId="2A20BEBC" w:rsidR="008E6998" w:rsidRPr="000860F1" w:rsidRDefault="000330D6" w:rsidP="004C1B1F">
      <w:pPr>
        <w:pStyle w:val="IPPParagraphnumbering"/>
      </w:pPr>
      <w:r w:rsidRPr="000860F1">
        <w:t xml:space="preserve">The reference </w:t>
      </w:r>
      <w:r w:rsidRPr="000860F1">
        <w:rPr>
          <w:i/>
        </w:rPr>
        <w:t>X. fastidiosa</w:t>
      </w:r>
      <w:r w:rsidRPr="000860F1">
        <w:t xml:space="preserve"> strains available from different collections are listed in Table 1</w:t>
      </w:r>
      <w:r w:rsidR="008D3BD9">
        <w:t>8</w:t>
      </w:r>
      <w:r w:rsidRPr="000860F1">
        <w:t>. These strains are suggested for use as positive controls in biochemical</w:t>
      </w:r>
      <w:r w:rsidR="006F419A">
        <w:t>, serological</w:t>
      </w:r>
      <w:r w:rsidRPr="000860F1">
        <w:t xml:space="preserve"> and molecular tests.</w:t>
      </w:r>
    </w:p>
    <w:p w14:paraId="7D6D0764" w14:textId="57388A03" w:rsidR="008E6998" w:rsidRPr="00133D6E" w:rsidRDefault="000330D6" w:rsidP="00D1016B">
      <w:pPr>
        <w:pStyle w:val="IPPArial"/>
        <w:keepNext/>
        <w:spacing w:after="120"/>
        <w:rPr>
          <w:rFonts w:cs="Arial"/>
          <w:szCs w:val="18"/>
        </w:rPr>
      </w:pPr>
      <w:r w:rsidRPr="00133D6E">
        <w:rPr>
          <w:rFonts w:cs="Arial"/>
          <w:b/>
          <w:szCs w:val="18"/>
        </w:rPr>
        <w:t>Table 1</w:t>
      </w:r>
      <w:r w:rsidR="008D3BD9" w:rsidRPr="00133D6E">
        <w:rPr>
          <w:rFonts w:cs="Arial"/>
          <w:b/>
          <w:szCs w:val="18"/>
        </w:rPr>
        <w:t>9</w:t>
      </w:r>
      <w:r w:rsidRPr="00133D6E">
        <w:rPr>
          <w:rFonts w:cs="Arial"/>
          <w:b/>
          <w:szCs w:val="18"/>
        </w:rPr>
        <w:t xml:space="preserve">. </w:t>
      </w:r>
      <w:r w:rsidRPr="00133D6E">
        <w:rPr>
          <w:rFonts w:cs="Arial"/>
          <w:szCs w:val="18"/>
        </w:rPr>
        <w:t xml:space="preserve">Key biochemical and physiological characteristics of </w:t>
      </w:r>
      <w:r w:rsidRPr="00133D6E">
        <w:rPr>
          <w:rFonts w:cs="Arial"/>
          <w:i/>
          <w:szCs w:val="18"/>
        </w:rPr>
        <w:t>X. fastidiosa</w:t>
      </w:r>
      <w:r w:rsidRPr="00133D6E">
        <w:rPr>
          <w:rFonts w:cs="Arial"/>
          <w:szCs w:val="18"/>
        </w:rPr>
        <w:t xml:space="preserve"> (Davis </w:t>
      </w:r>
      <w:r w:rsidRPr="00133D6E">
        <w:rPr>
          <w:rFonts w:cs="Arial"/>
          <w:i/>
          <w:szCs w:val="18"/>
        </w:rPr>
        <w:t>et al.</w:t>
      </w:r>
      <w:r w:rsidRPr="00133D6E">
        <w:rPr>
          <w:rFonts w:cs="Arial"/>
          <w:szCs w:val="18"/>
        </w:rPr>
        <w:t xml:space="preserve">, 1978; Wells </w:t>
      </w:r>
      <w:r w:rsidRPr="00133D6E">
        <w:rPr>
          <w:rFonts w:cs="Arial"/>
          <w:i/>
          <w:szCs w:val="18"/>
        </w:rPr>
        <w:t>et al.</w:t>
      </w:r>
      <w:r w:rsidRPr="00133D6E">
        <w:rPr>
          <w:rFonts w:cs="Arial"/>
          <w:szCs w:val="18"/>
        </w:rPr>
        <w:t>, 1987; Bradbury, 1991)</w:t>
      </w:r>
    </w:p>
    <w:tbl>
      <w:tblPr>
        <w:tblW w:w="8979" w:type="dxa"/>
        <w:tblInd w:w="93" w:type="dxa"/>
        <w:tblLook w:val="04A0" w:firstRow="1" w:lastRow="0" w:firstColumn="1" w:lastColumn="0" w:noHBand="0" w:noVBand="1"/>
      </w:tblPr>
      <w:tblGrid>
        <w:gridCol w:w="5294"/>
        <w:gridCol w:w="3685"/>
      </w:tblGrid>
      <w:tr w:rsidR="008E6998" w:rsidRPr="000860F1" w14:paraId="1E06F97B" w14:textId="77777777" w:rsidTr="00A66AEE">
        <w:trPr>
          <w:trHeight w:val="300"/>
        </w:trPr>
        <w:tc>
          <w:tcPr>
            <w:tcW w:w="5294" w:type="dxa"/>
            <w:tcBorders>
              <w:top w:val="single" w:sz="4" w:space="0" w:color="auto"/>
              <w:left w:val="nil"/>
              <w:bottom w:val="single" w:sz="4" w:space="0" w:color="auto"/>
              <w:right w:val="nil"/>
            </w:tcBorders>
            <w:shd w:val="clear" w:color="auto" w:fill="A6A6A6" w:themeFill="background1" w:themeFillShade="A6"/>
            <w:noWrap/>
            <w:vAlign w:val="bottom"/>
          </w:tcPr>
          <w:p w14:paraId="5AC187AE" w14:textId="11E4AA0C" w:rsidR="008E6998" w:rsidRPr="000860F1" w:rsidRDefault="000330D6">
            <w:pPr>
              <w:pStyle w:val="IPPArialTable"/>
              <w:rPr>
                <w:b/>
              </w:rPr>
            </w:pPr>
            <w:r w:rsidRPr="000860F1">
              <w:rPr>
                <w:b/>
              </w:rPr>
              <w:t>Test</w:t>
            </w:r>
          </w:p>
        </w:tc>
        <w:tc>
          <w:tcPr>
            <w:tcW w:w="3685" w:type="dxa"/>
            <w:tcBorders>
              <w:top w:val="single" w:sz="4" w:space="0" w:color="auto"/>
              <w:left w:val="nil"/>
              <w:bottom w:val="single" w:sz="4" w:space="0" w:color="auto"/>
              <w:right w:val="nil"/>
            </w:tcBorders>
            <w:shd w:val="clear" w:color="auto" w:fill="A6A6A6" w:themeFill="background1" w:themeFillShade="A6"/>
            <w:vAlign w:val="bottom"/>
          </w:tcPr>
          <w:p w14:paraId="4D7F0C48" w14:textId="0C5C4B34" w:rsidR="008E6998" w:rsidRPr="000860F1" w:rsidRDefault="000330D6">
            <w:pPr>
              <w:pStyle w:val="IPPArialTable"/>
              <w:rPr>
                <w:b/>
              </w:rPr>
            </w:pPr>
            <w:r w:rsidRPr="000860F1">
              <w:rPr>
                <w:b/>
              </w:rPr>
              <w:t>Result</w:t>
            </w:r>
          </w:p>
        </w:tc>
      </w:tr>
      <w:tr w:rsidR="008E6998" w:rsidRPr="000860F1" w14:paraId="388D31F1" w14:textId="77777777" w:rsidTr="00A66AEE">
        <w:trPr>
          <w:trHeight w:val="300"/>
        </w:trPr>
        <w:tc>
          <w:tcPr>
            <w:tcW w:w="5294" w:type="dxa"/>
            <w:tcBorders>
              <w:top w:val="single" w:sz="4" w:space="0" w:color="auto"/>
              <w:left w:val="nil"/>
              <w:bottom w:val="nil"/>
              <w:right w:val="nil"/>
            </w:tcBorders>
            <w:shd w:val="clear" w:color="auto" w:fill="auto"/>
            <w:noWrap/>
            <w:vAlign w:val="bottom"/>
            <w:hideMark/>
          </w:tcPr>
          <w:p w14:paraId="0C9D9690" w14:textId="4BBDD03F" w:rsidR="008E6998" w:rsidRPr="000860F1" w:rsidRDefault="000330D6">
            <w:pPr>
              <w:pStyle w:val="IPPArialTable"/>
            </w:pPr>
            <w:r w:rsidRPr="000860F1">
              <w:t>Catalase</w:t>
            </w:r>
          </w:p>
        </w:tc>
        <w:tc>
          <w:tcPr>
            <w:tcW w:w="3685" w:type="dxa"/>
            <w:tcBorders>
              <w:top w:val="single" w:sz="4" w:space="0" w:color="auto"/>
              <w:left w:val="nil"/>
              <w:bottom w:val="nil"/>
              <w:right w:val="nil"/>
            </w:tcBorders>
            <w:shd w:val="clear" w:color="auto" w:fill="auto"/>
            <w:vAlign w:val="bottom"/>
            <w:hideMark/>
          </w:tcPr>
          <w:p w14:paraId="14A5D29B" w14:textId="4BEAF03B" w:rsidR="008E6998" w:rsidRPr="000860F1" w:rsidRDefault="000330D6">
            <w:pPr>
              <w:pStyle w:val="IPPArialTable"/>
            </w:pPr>
            <w:r w:rsidRPr="000860F1">
              <w:t>+</w:t>
            </w:r>
          </w:p>
        </w:tc>
      </w:tr>
      <w:tr w:rsidR="008E6998" w:rsidRPr="000860F1" w14:paraId="29EEEAB6" w14:textId="77777777" w:rsidTr="00A66AEE">
        <w:trPr>
          <w:trHeight w:val="300"/>
        </w:trPr>
        <w:tc>
          <w:tcPr>
            <w:tcW w:w="5294" w:type="dxa"/>
            <w:tcBorders>
              <w:top w:val="nil"/>
              <w:left w:val="nil"/>
              <w:bottom w:val="nil"/>
              <w:right w:val="nil"/>
            </w:tcBorders>
            <w:shd w:val="clear" w:color="auto" w:fill="auto"/>
            <w:noWrap/>
            <w:vAlign w:val="bottom"/>
            <w:hideMark/>
          </w:tcPr>
          <w:p w14:paraId="1BC1B5C8" w14:textId="0F0EDE21" w:rsidR="008E6998" w:rsidRPr="000860F1" w:rsidRDefault="000330D6">
            <w:pPr>
              <w:pStyle w:val="IPPArialTable"/>
            </w:pPr>
            <w:r w:rsidRPr="000860F1">
              <w:t>Oxidase reaction</w:t>
            </w:r>
          </w:p>
        </w:tc>
        <w:tc>
          <w:tcPr>
            <w:tcW w:w="3685" w:type="dxa"/>
            <w:tcBorders>
              <w:top w:val="nil"/>
              <w:left w:val="nil"/>
              <w:bottom w:val="nil"/>
              <w:right w:val="nil"/>
            </w:tcBorders>
            <w:shd w:val="clear" w:color="auto" w:fill="auto"/>
            <w:vAlign w:val="bottom"/>
            <w:hideMark/>
          </w:tcPr>
          <w:p w14:paraId="71677B37" w14:textId="486C5188" w:rsidR="008E6998" w:rsidRPr="000860F1" w:rsidRDefault="000330D6">
            <w:pPr>
              <w:pStyle w:val="IPPArialTable"/>
            </w:pPr>
            <w:r w:rsidRPr="000860F1">
              <w:t>−</w:t>
            </w:r>
          </w:p>
        </w:tc>
      </w:tr>
      <w:tr w:rsidR="008E6998" w:rsidRPr="000860F1" w14:paraId="7298129B" w14:textId="77777777" w:rsidTr="00A66AEE">
        <w:trPr>
          <w:trHeight w:val="300"/>
        </w:trPr>
        <w:tc>
          <w:tcPr>
            <w:tcW w:w="5294" w:type="dxa"/>
            <w:tcBorders>
              <w:top w:val="nil"/>
              <w:left w:val="nil"/>
              <w:bottom w:val="nil"/>
              <w:right w:val="nil"/>
            </w:tcBorders>
            <w:shd w:val="clear" w:color="auto" w:fill="auto"/>
            <w:noWrap/>
            <w:vAlign w:val="bottom"/>
            <w:hideMark/>
          </w:tcPr>
          <w:p w14:paraId="4DAF1A2A" w14:textId="7E80BB6C" w:rsidR="008E6998" w:rsidRPr="000860F1" w:rsidRDefault="000330D6">
            <w:pPr>
              <w:pStyle w:val="IPPArialTable"/>
            </w:pPr>
            <w:r w:rsidRPr="000860F1">
              <w:t>Gelatin liquefaction</w:t>
            </w:r>
          </w:p>
        </w:tc>
        <w:tc>
          <w:tcPr>
            <w:tcW w:w="3685" w:type="dxa"/>
            <w:tcBorders>
              <w:top w:val="nil"/>
              <w:left w:val="nil"/>
              <w:bottom w:val="nil"/>
              <w:right w:val="nil"/>
            </w:tcBorders>
            <w:shd w:val="clear" w:color="auto" w:fill="auto"/>
            <w:vAlign w:val="bottom"/>
            <w:hideMark/>
          </w:tcPr>
          <w:p w14:paraId="518B9320" w14:textId="2BA32974" w:rsidR="008E6998" w:rsidRPr="000860F1" w:rsidRDefault="000330D6">
            <w:pPr>
              <w:pStyle w:val="IPPArialTable"/>
            </w:pPr>
            <w:r w:rsidRPr="000860F1">
              <w:t>+</w:t>
            </w:r>
          </w:p>
        </w:tc>
      </w:tr>
      <w:tr w:rsidR="008E6998" w:rsidRPr="000860F1" w14:paraId="4569228D" w14:textId="77777777" w:rsidTr="00A66AEE">
        <w:trPr>
          <w:trHeight w:val="300"/>
        </w:trPr>
        <w:tc>
          <w:tcPr>
            <w:tcW w:w="5294" w:type="dxa"/>
            <w:tcBorders>
              <w:top w:val="nil"/>
              <w:left w:val="nil"/>
              <w:bottom w:val="nil"/>
              <w:right w:val="nil"/>
            </w:tcBorders>
            <w:shd w:val="clear" w:color="auto" w:fill="auto"/>
            <w:vAlign w:val="bottom"/>
            <w:hideMark/>
          </w:tcPr>
          <w:p w14:paraId="4F0EB84C" w14:textId="2D7A0D80" w:rsidR="008E6998" w:rsidRPr="000860F1" w:rsidRDefault="000330D6">
            <w:pPr>
              <w:pStyle w:val="IPPArialTable"/>
            </w:pPr>
            <w:r w:rsidRPr="000860F1">
              <w:t>Indol production</w:t>
            </w:r>
          </w:p>
        </w:tc>
        <w:tc>
          <w:tcPr>
            <w:tcW w:w="3685" w:type="dxa"/>
            <w:tcBorders>
              <w:top w:val="nil"/>
              <w:left w:val="nil"/>
              <w:bottom w:val="nil"/>
              <w:right w:val="nil"/>
            </w:tcBorders>
            <w:shd w:val="clear" w:color="auto" w:fill="auto"/>
            <w:vAlign w:val="bottom"/>
            <w:hideMark/>
          </w:tcPr>
          <w:p w14:paraId="02C11C59" w14:textId="3E64B07B" w:rsidR="008E6998" w:rsidRPr="000860F1" w:rsidRDefault="000330D6">
            <w:pPr>
              <w:pStyle w:val="IPPArialTable"/>
            </w:pPr>
            <w:r w:rsidRPr="000860F1">
              <w:t>−</w:t>
            </w:r>
          </w:p>
        </w:tc>
      </w:tr>
      <w:tr w:rsidR="008E6998" w:rsidRPr="000860F1" w14:paraId="24B7F4E8" w14:textId="77777777" w:rsidTr="00A66AEE">
        <w:trPr>
          <w:trHeight w:val="300"/>
        </w:trPr>
        <w:tc>
          <w:tcPr>
            <w:tcW w:w="5294" w:type="dxa"/>
            <w:tcBorders>
              <w:top w:val="nil"/>
              <w:left w:val="nil"/>
              <w:bottom w:val="nil"/>
              <w:right w:val="nil"/>
            </w:tcBorders>
            <w:shd w:val="clear" w:color="auto" w:fill="auto"/>
            <w:vAlign w:val="bottom"/>
            <w:hideMark/>
          </w:tcPr>
          <w:p w14:paraId="6D5F591C" w14:textId="37D33560" w:rsidR="008E6998" w:rsidRPr="000860F1" w:rsidRDefault="000330D6">
            <w:pPr>
              <w:pStyle w:val="IPPArialTable"/>
            </w:pPr>
            <w:r w:rsidRPr="000860F1">
              <w:t>H</w:t>
            </w:r>
            <w:r w:rsidRPr="000860F1">
              <w:rPr>
                <w:vertAlign w:val="subscript"/>
              </w:rPr>
              <w:t>2</w:t>
            </w:r>
            <w:r w:rsidRPr="000860F1">
              <w:t>S production</w:t>
            </w:r>
          </w:p>
        </w:tc>
        <w:tc>
          <w:tcPr>
            <w:tcW w:w="3685" w:type="dxa"/>
            <w:tcBorders>
              <w:top w:val="nil"/>
              <w:left w:val="nil"/>
              <w:bottom w:val="nil"/>
              <w:right w:val="nil"/>
            </w:tcBorders>
            <w:shd w:val="clear" w:color="auto" w:fill="auto"/>
            <w:vAlign w:val="bottom"/>
            <w:hideMark/>
          </w:tcPr>
          <w:p w14:paraId="7DEA6880" w14:textId="3CB383C9" w:rsidR="008E6998" w:rsidRPr="000860F1" w:rsidRDefault="000330D6">
            <w:pPr>
              <w:pStyle w:val="IPPArialTable"/>
            </w:pPr>
            <w:r w:rsidRPr="000860F1">
              <w:t>−</w:t>
            </w:r>
          </w:p>
        </w:tc>
      </w:tr>
      <w:tr w:rsidR="008E6998" w:rsidRPr="000860F1" w14:paraId="2BFC9224" w14:textId="77777777" w:rsidTr="00A66AEE">
        <w:trPr>
          <w:trHeight w:val="300"/>
        </w:trPr>
        <w:tc>
          <w:tcPr>
            <w:tcW w:w="5294" w:type="dxa"/>
            <w:tcBorders>
              <w:top w:val="nil"/>
              <w:left w:val="nil"/>
              <w:bottom w:val="nil"/>
              <w:right w:val="nil"/>
            </w:tcBorders>
            <w:shd w:val="clear" w:color="auto" w:fill="auto"/>
            <w:noWrap/>
            <w:vAlign w:val="bottom"/>
            <w:hideMark/>
          </w:tcPr>
          <w:p w14:paraId="403B2C3E" w14:textId="4DD37CAD" w:rsidR="008E6998" w:rsidRPr="000860F1" w:rsidRDefault="000330D6">
            <w:pPr>
              <w:pStyle w:val="IPPArialTable"/>
            </w:pPr>
            <w:r w:rsidRPr="000860F1">
              <w:t>DL-lactate</w:t>
            </w:r>
          </w:p>
        </w:tc>
        <w:tc>
          <w:tcPr>
            <w:tcW w:w="3685" w:type="dxa"/>
            <w:tcBorders>
              <w:top w:val="nil"/>
              <w:left w:val="nil"/>
              <w:bottom w:val="nil"/>
              <w:right w:val="nil"/>
            </w:tcBorders>
            <w:shd w:val="clear" w:color="auto" w:fill="auto"/>
            <w:vAlign w:val="bottom"/>
            <w:hideMark/>
          </w:tcPr>
          <w:p w14:paraId="391D16B3" w14:textId="4562DDB3" w:rsidR="008E6998" w:rsidRPr="000860F1" w:rsidRDefault="000330D6">
            <w:pPr>
              <w:pStyle w:val="IPPArialTable"/>
              <w:rPr>
                <w:iCs/>
              </w:rPr>
            </w:pPr>
            <w:r w:rsidRPr="000860F1">
              <w:rPr>
                <w:iCs/>
              </w:rPr>
              <w:t>+</w:t>
            </w:r>
          </w:p>
        </w:tc>
      </w:tr>
      <w:tr w:rsidR="008E6998" w:rsidRPr="000860F1" w14:paraId="14349F07" w14:textId="77777777" w:rsidTr="00A66AEE">
        <w:trPr>
          <w:trHeight w:val="300"/>
        </w:trPr>
        <w:tc>
          <w:tcPr>
            <w:tcW w:w="5294" w:type="dxa"/>
            <w:tcBorders>
              <w:top w:val="nil"/>
              <w:left w:val="nil"/>
              <w:bottom w:val="nil"/>
              <w:right w:val="nil"/>
            </w:tcBorders>
            <w:shd w:val="clear" w:color="auto" w:fill="auto"/>
            <w:noWrap/>
            <w:vAlign w:val="bottom"/>
          </w:tcPr>
          <w:p w14:paraId="137F4300" w14:textId="7CE00898" w:rsidR="008E6998" w:rsidRPr="000860F1" w:rsidRDefault="000330D6">
            <w:pPr>
              <w:pStyle w:val="IPPArialTable"/>
            </w:pPr>
            <w:r w:rsidRPr="000860F1">
              <w:t>Glucose fermentation</w:t>
            </w:r>
          </w:p>
        </w:tc>
        <w:tc>
          <w:tcPr>
            <w:tcW w:w="3685" w:type="dxa"/>
            <w:tcBorders>
              <w:top w:val="nil"/>
              <w:left w:val="nil"/>
              <w:bottom w:val="nil"/>
              <w:right w:val="nil"/>
            </w:tcBorders>
            <w:shd w:val="clear" w:color="auto" w:fill="auto"/>
            <w:vAlign w:val="bottom"/>
          </w:tcPr>
          <w:p w14:paraId="143A1B43" w14:textId="39B6B6FD" w:rsidR="008E6998" w:rsidRPr="000860F1" w:rsidRDefault="000330D6">
            <w:pPr>
              <w:pStyle w:val="IPPArialTable"/>
              <w:rPr>
                <w:iCs/>
              </w:rPr>
            </w:pPr>
            <w:r w:rsidRPr="000860F1">
              <w:t>−</w:t>
            </w:r>
          </w:p>
        </w:tc>
      </w:tr>
      <w:tr w:rsidR="008E6998" w:rsidRPr="000860F1" w14:paraId="46EA64F4" w14:textId="77777777" w:rsidTr="00A66AEE">
        <w:trPr>
          <w:trHeight w:val="300"/>
        </w:trPr>
        <w:tc>
          <w:tcPr>
            <w:tcW w:w="5294" w:type="dxa"/>
            <w:tcBorders>
              <w:top w:val="nil"/>
              <w:left w:val="nil"/>
              <w:right w:val="nil"/>
            </w:tcBorders>
            <w:shd w:val="clear" w:color="auto" w:fill="auto"/>
            <w:noWrap/>
            <w:vAlign w:val="bottom"/>
            <w:hideMark/>
          </w:tcPr>
          <w:p w14:paraId="41C5802C" w14:textId="3196E6D8" w:rsidR="008E6998" w:rsidRPr="000860F1" w:rsidRDefault="000330D6">
            <w:pPr>
              <w:pStyle w:val="IPPArialTable"/>
            </w:pPr>
            <w:r w:rsidRPr="000860F1">
              <w:t>Temperature optimum</w:t>
            </w:r>
          </w:p>
        </w:tc>
        <w:tc>
          <w:tcPr>
            <w:tcW w:w="3685" w:type="dxa"/>
            <w:tcBorders>
              <w:top w:val="nil"/>
              <w:left w:val="nil"/>
              <w:right w:val="nil"/>
            </w:tcBorders>
            <w:shd w:val="clear" w:color="auto" w:fill="auto"/>
            <w:vAlign w:val="bottom"/>
            <w:hideMark/>
          </w:tcPr>
          <w:p w14:paraId="50D2ED67" w14:textId="0522CBA2" w:rsidR="008E6998" w:rsidRPr="000860F1" w:rsidRDefault="000330D6">
            <w:pPr>
              <w:pStyle w:val="IPPArialTable"/>
            </w:pPr>
            <w:r w:rsidRPr="000860F1">
              <w:t>26 to 28 °C</w:t>
            </w:r>
          </w:p>
        </w:tc>
      </w:tr>
      <w:tr w:rsidR="008E6998" w:rsidRPr="000860F1" w14:paraId="60A5FE30" w14:textId="77777777" w:rsidTr="00A66AEE">
        <w:trPr>
          <w:trHeight w:val="300"/>
        </w:trPr>
        <w:tc>
          <w:tcPr>
            <w:tcW w:w="5294" w:type="dxa"/>
            <w:tcBorders>
              <w:top w:val="nil"/>
              <w:left w:val="nil"/>
              <w:bottom w:val="single" w:sz="4" w:space="0" w:color="auto"/>
              <w:right w:val="nil"/>
            </w:tcBorders>
            <w:shd w:val="clear" w:color="auto" w:fill="auto"/>
            <w:noWrap/>
            <w:vAlign w:val="bottom"/>
            <w:hideMark/>
          </w:tcPr>
          <w:p w14:paraId="292FCAFF" w14:textId="22EAAD31" w:rsidR="008E6998" w:rsidRPr="000860F1" w:rsidRDefault="000330D6">
            <w:pPr>
              <w:pStyle w:val="IPPArialTable"/>
            </w:pPr>
            <w:r w:rsidRPr="000860F1">
              <w:t>pH optimum (</w:t>
            </w:r>
            <w:r w:rsidRPr="000860F1">
              <w:rPr>
                <w:i/>
              </w:rPr>
              <w:t>X. fastidiosa</w:t>
            </w:r>
            <w:r w:rsidRPr="000860F1">
              <w:t xml:space="preserve"> is very sensitive to variations in pH)</w:t>
            </w:r>
          </w:p>
        </w:tc>
        <w:tc>
          <w:tcPr>
            <w:tcW w:w="3685" w:type="dxa"/>
            <w:tcBorders>
              <w:top w:val="nil"/>
              <w:left w:val="nil"/>
              <w:bottom w:val="single" w:sz="4" w:space="0" w:color="auto"/>
              <w:right w:val="nil"/>
            </w:tcBorders>
            <w:shd w:val="clear" w:color="auto" w:fill="auto"/>
            <w:vAlign w:val="bottom"/>
            <w:hideMark/>
          </w:tcPr>
          <w:p w14:paraId="298B50C2" w14:textId="2002F224" w:rsidR="008E6998" w:rsidRPr="000860F1" w:rsidRDefault="000330D6">
            <w:pPr>
              <w:pStyle w:val="IPPArialTable"/>
            </w:pPr>
            <w:r w:rsidRPr="000860F1">
              <w:t>6.5 to 6.9</w:t>
            </w:r>
          </w:p>
        </w:tc>
      </w:tr>
    </w:tbl>
    <w:p w14:paraId="5B155DDD" w14:textId="2C10118B" w:rsidR="008E6998" w:rsidRPr="000860F1" w:rsidRDefault="000330D6">
      <w:pPr>
        <w:pStyle w:val="IPPHeading2"/>
        <w:ind w:left="0" w:firstLine="0"/>
        <w:rPr>
          <w:i/>
        </w:rPr>
      </w:pPr>
      <w:bookmarkStart w:id="60" w:name="_Toc111710152"/>
      <w:r w:rsidRPr="000860F1">
        <w:t>4.3</w:t>
      </w:r>
      <w:r w:rsidRPr="000860F1">
        <w:tab/>
        <w:t>Pathogenicity tests</w:t>
      </w:r>
      <w:bookmarkEnd w:id="60"/>
      <w:r w:rsidRPr="000860F1">
        <w:t xml:space="preserve"> </w:t>
      </w:r>
    </w:p>
    <w:p w14:paraId="5DBECCBD" w14:textId="48007052" w:rsidR="008E6998" w:rsidRPr="000860F1" w:rsidRDefault="000330D6" w:rsidP="004C1B1F">
      <w:pPr>
        <w:pStyle w:val="IPPParagraphnumbering"/>
      </w:pPr>
      <w:r w:rsidRPr="000860F1">
        <w:t>Pathogenicity testing is recommended when requiring additional information on strain aggressiveness, potential host range, or to fulfil the requirements of Koch’s postulates.</w:t>
      </w:r>
    </w:p>
    <w:p w14:paraId="7BC1463F" w14:textId="53E1DEA4" w:rsidR="008E6998" w:rsidRPr="000860F1" w:rsidRDefault="000330D6" w:rsidP="004C1B1F">
      <w:pPr>
        <w:pStyle w:val="IPPParagraphnumbering"/>
      </w:pPr>
      <w:r w:rsidRPr="000860F1">
        <w:t xml:space="preserve">Actively growing, susceptible plants need to be maintained in a greenhouse or growth chamber at 26–28 °C. Inoculation techniques should deliver inoculum directly into the xylem vessels for development of symptoms. The most widely used method for plant inoculation is by needle puncture into the stem at the insertion of the petiole (Hill and Purcell, 1995; Almeida </w:t>
      </w:r>
      <w:r w:rsidRPr="000860F1">
        <w:rPr>
          <w:i/>
        </w:rPr>
        <w:t>et al.</w:t>
      </w:r>
      <w:r w:rsidRPr="000860F1">
        <w:t>, 2001). A general inoculation procedure is described below.</w:t>
      </w:r>
    </w:p>
    <w:p w14:paraId="40B0EC0D" w14:textId="7831A7B3" w:rsidR="008E6998" w:rsidRPr="000860F1" w:rsidRDefault="000330D6" w:rsidP="004C1B1F">
      <w:pPr>
        <w:pStyle w:val="IPPParagraphnumbering"/>
      </w:pPr>
      <w:r w:rsidRPr="000860F1">
        <w:t xml:space="preserve">Pathogenicity tests should use plants of the same host from which the suspect </w:t>
      </w:r>
      <w:r w:rsidRPr="000860F1">
        <w:rPr>
          <w:i/>
        </w:rPr>
        <w:t>X. fastidiosa</w:t>
      </w:r>
      <w:r w:rsidRPr="000860F1">
        <w:t xml:space="preserve"> was isolated. Where possible, the most susceptible cultivars should be used. Some recommended examples include: for </w:t>
      </w:r>
      <w:r w:rsidRPr="000860F1">
        <w:rPr>
          <w:i/>
        </w:rPr>
        <w:t>V</w:t>
      </w:r>
      <w:r w:rsidR="001E6D83">
        <w:rPr>
          <w:i/>
        </w:rPr>
        <w:t>. </w:t>
      </w:r>
      <w:r w:rsidRPr="000860F1">
        <w:rPr>
          <w:i/>
        </w:rPr>
        <w:t>vinifera</w:t>
      </w:r>
      <w:r w:rsidRPr="000860F1">
        <w:t xml:space="preserve">, the cultivars </w:t>
      </w:r>
      <w:r w:rsidR="00217818" w:rsidRPr="000860F1">
        <w:t>‘</w:t>
      </w:r>
      <w:r w:rsidRPr="000860F1">
        <w:t>Chardonnay</w:t>
      </w:r>
      <w:r w:rsidR="00217818" w:rsidRPr="000860F1">
        <w:t>’</w:t>
      </w:r>
      <w:r w:rsidRPr="000860F1">
        <w:t xml:space="preserve">, </w:t>
      </w:r>
      <w:r w:rsidR="00217818" w:rsidRPr="000860F1">
        <w:t>‘</w:t>
      </w:r>
      <w:r w:rsidRPr="000860F1">
        <w:t>Cabernet sauvignon</w:t>
      </w:r>
      <w:r w:rsidR="00217818" w:rsidRPr="000860F1">
        <w:t>’</w:t>
      </w:r>
      <w:r w:rsidRPr="000860F1">
        <w:t xml:space="preserve">, </w:t>
      </w:r>
      <w:r w:rsidR="00217818" w:rsidRPr="000860F1">
        <w:t>‘</w:t>
      </w:r>
      <w:r w:rsidRPr="000860F1">
        <w:t>Chenin Blanc</w:t>
      </w:r>
      <w:r w:rsidR="00217818" w:rsidRPr="000860F1">
        <w:t>’</w:t>
      </w:r>
      <w:r w:rsidRPr="000860F1">
        <w:t xml:space="preserve"> and </w:t>
      </w:r>
      <w:r w:rsidR="00217818" w:rsidRPr="000860F1">
        <w:t>‘</w:t>
      </w:r>
      <w:r w:rsidRPr="000860F1">
        <w:t>Pinot Noir</w:t>
      </w:r>
      <w:r w:rsidR="00217818" w:rsidRPr="000860F1">
        <w:t>’</w:t>
      </w:r>
      <w:r w:rsidRPr="000860F1">
        <w:t xml:space="preserve">; for </w:t>
      </w:r>
      <w:r w:rsidRPr="000860F1">
        <w:rPr>
          <w:i/>
        </w:rPr>
        <w:t>C</w:t>
      </w:r>
      <w:r w:rsidR="004D334D">
        <w:rPr>
          <w:i/>
        </w:rPr>
        <w:t>. </w:t>
      </w:r>
      <w:r w:rsidRPr="000860F1">
        <w:rPr>
          <w:i/>
        </w:rPr>
        <w:t>sinensis</w:t>
      </w:r>
      <w:r w:rsidRPr="000860F1">
        <w:t xml:space="preserve">, </w:t>
      </w:r>
      <w:r w:rsidR="00217818" w:rsidRPr="000860F1">
        <w:t>‘</w:t>
      </w:r>
      <w:r w:rsidRPr="000860F1">
        <w:t>Pera</w:t>
      </w:r>
      <w:r w:rsidR="00217818" w:rsidRPr="000860F1">
        <w:t>’</w:t>
      </w:r>
      <w:r w:rsidRPr="000860F1">
        <w:t xml:space="preserve">, </w:t>
      </w:r>
      <w:r w:rsidR="00217818" w:rsidRPr="000860F1">
        <w:t>‘</w:t>
      </w:r>
      <w:r w:rsidRPr="000860F1">
        <w:t>Hamlin</w:t>
      </w:r>
      <w:r w:rsidR="00217818" w:rsidRPr="000860F1">
        <w:t>’</w:t>
      </w:r>
      <w:r w:rsidRPr="000860F1">
        <w:t xml:space="preserve">, </w:t>
      </w:r>
      <w:r w:rsidR="00217818" w:rsidRPr="000860F1">
        <w:t>‘</w:t>
      </w:r>
      <w:r w:rsidRPr="000860F1">
        <w:t>Natal</w:t>
      </w:r>
      <w:r w:rsidR="00217818" w:rsidRPr="000860F1">
        <w:t>’</w:t>
      </w:r>
      <w:r w:rsidRPr="000860F1">
        <w:t xml:space="preserve"> and </w:t>
      </w:r>
      <w:r w:rsidR="00217818" w:rsidRPr="000860F1">
        <w:t>‘</w:t>
      </w:r>
      <w:r w:rsidRPr="000860F1">
        <w:t>Valencia</w:t>
      </w:r>
      <w:r w:rsidR="00217818" w:rsidRPr="000860F1">
        <w:t>’</w:t>
      </w:r>
      <w:r w:rsidRPr="000860F1">
        <w:t xml:space="preserve">; and for </w:t>
      </w:r>
      <w:r w:rsidRPr="000860F1">
        <w:rPr>
          <w:i/>
        </w:rPr>
        <w:t>O</w:t>
      </w:r>
      <w:r w:rsidR="001E6D83">
        <w:rPr>
          <w:i/>
        </w:rPr>
        <w:t>. </w:t>
      </w:r>
      <w:r w:rsidRPr="000860F1">
        <w:rPr>
          <w:i/>
        </w:rPr>
        <w:t>europaea</w:t>
      </w:r>
      <w:r w:rsidR="00D6032A">
        <w:rPr>
          <w:iCs/>
        </w:rPr>
        <w:t xml:space="preserve"> susceptible varieties such as</w:t>
      </w:r>
      <w:r w:rsidRPr="000860F1">
        <w:t xml:space="preserve"> </w:t>
      </w:r>
      <w:r w:rsidR="00217818" w:rsidRPr="000860F1">
        <w:t>‘</w:t>
      </w:r>
      <w:r w:rsidRPr="000860F1">
        <w:t>Cellina di Nardo</w:t>
      </w:r>
      <w:r w:rsidR="00217818" w:rsidRPr="000860F1">
        <w:t>’</w:t>
      </w:r>
      <w:r w:rsidRPr="000860F1">
        <w:t xml:space="preserve">, </w:t>
      </w:r>
      <w:r w:rsidR="00217818" w:rsidRPr="000860F1">
        <w:t>‘</w:t>
      </w:r>
      <w:r w:rsidRPr="000860F1">
        <w:t>Frantoio</w:t>
      </w:r>
      <w:r w:rsidR="00217818" w:rsidRPr="000860F1">
        <w:t>’</w:t>
      </w:r>
      <w:r w:rsidR="00D6032A">
        <w:t>, 'Grapollo', 'Arbequina',</w:t>
      </w:r>
      <w:r w:rsidR="00793F45">
        <w:t xml:space="preserve"> 'Manzanilla'</w:t>
      </w:r>
      <w:r w:rsidR="00D6032A">
        <w:t xml:space="preserve"> </w:t>
      </w:r>
      <w:r w:rsidRPr="000860F1">
        <w:t xml:space="preserve"> (</w:t>
      </w:r>
      <w:r w:rsidR="00EE16FD" w:rsidRPr="000860F1">
        <w:t>EPPO, 2018</w:t>
      </w:r>
      <w:r w:rsidR="004509DB">
        <w:t>b</w:t>
      </w:r>
      <w:r w:rsidRPr="000860F1">
        <w:t xml:space="preserve">). </w:t>
      </w:r>
      <w:r w:rsidRPr="000860F1">
        <w:rPr>
          <w:i/>
        </w:rPr>
        <w:t>Catharanthus roseus</w:t>
      </w:r>
      <w:r w:rsidRPr="000860F1">
        <w:t xml:space="preserve"> </w:t>
      </w:r>
      <w:r w:rsidR="00B81C93" w:rsidRPr="000860F1">
        <w:t xml:space="preserve">(Madagascar periwinkle) </w:t>
      </w:r>
      <w:r w:rsidRPr="000860F1">
        <w:t xml:space="preserve">is a herbaceous plant that is easily grown in a greenhouse and is susceptible to </w:t>
      </w:r>
      <w:r w:rsidRPr="000860F1">
        <w:rPr>
          <w:i/>
        </w:rPr>
        <w:t>X. fastidiosa</w:t>
      </w:r>
      <w:r w:rsidRPr="000860F1">
        <w:t xml:space="preserve"> (Monteiro </w:t>
      </w:r>
      <w:r w:rsidRPr="000860F1">
        <w:rPr>
          <w:i/>
        </w:rPr>
        <w:t>et al.</w:t>
      </w:r>
      <w:r w:rsidRPr="000860F1">
        <w:t>, 2001).</w:t>
      </w:r>
    </w:p>
    <w:p w14:paraId="5E5C90A7" w14:textId="7D5226B4" w:rsidR="008E6998" w:rsidRPr="000860F1" w:rsidRDefault="000330D6" w:rsidP="004C1B1F">
      <w:pPr>
        <w:pStyle w:val="IPPParagraphnumbering"/>
      </w:pPr>
      <w:r w:rsidRPr="000860F1">
        <w:t>To facilitate the rapid uptake of the inoculum by the transpiration system, inoculated plants should be young and should be grown in pots with dry soil. Cultures of bacteria grown for 8–10 days on suitable medi</w:t>
      </w:r>
      <w:r w:rsidR="006F7D90" w:rsidRPr="000860F1">
        <w:t>a</w:t>
      </w:r>
      <w:r w:rsidRPr="000860F1">
        <w:t xml:space="preserve"> should be used for pathogenicity tests. Bacteria are removed from solid media and suspended in PBS to produce a turbid suspension of approximately 10</w:t>
      </w:r>
      <w:r w:rsidRPr="000860F1">
        <w:rPr>
          <w:vertAlign w:val="superscript"/>
        </w:rPr>
        <w:t>8</w:t>
      </w:r>
      <w:r w:rsidRPr="000860F1">
        <w:t>cfu/</w:t>
      </w:r>
      <w:r w:rsidR="00D415AF">
        <w:t>mL</w:t>
      </w:r>
      <w:r w:rsidR="00793F45" w:rsidRPr="000860F1">
        <w:t xml:space="preserve"> </w:t>
      </w:r>
      <w:r w:rsidRPr="000860F1">
        <w:t>(Abs</w:t>
      </w:r>
      <w:r w:rsidRPr="000860F1">
        <w:rPr>
          <w:vertAlign w:val="subscript"/>
        </w:rPr>
        <w:t xml:space="preserve">600nm </w:t>
      </w:r>
      <w:r w:rsidRPr="000860F1">
        <w:t>= 0.2). A drop (20–50 µl) of inoculum is placed in a leaf axil and punctured through several times with a fine needle until the liquid is completely absorbed. Control plants are treated in the same way except that the suspending medium (PBS) is used instead of bacterial suspension. Plants must be maintained in the greenhouse or growing chambers at 26–28 °C.</w:t>
      </w:r>
    </w:p>
    <w:p w14:paraId="20264005" w14:textId="1F458450" w:rsidR="008E6998" w:rsidRPr="000860F1" w:rsidRDefault="000330D6" w:rsidP="004C1B1F">
      <w:pPr>
        <w:pStyle w:val="IPPParagraphnumbering"/>
      </w:pPr>
      <w:r w:rsidRPr="000860F1">
        <w:t>An alternative method of inoculation is to raise a flap of stem tissue by cutting upward with a razor blade to expose the wood. A few drops of bacterial suspension are placed under the flap and the flap replaced and wrapped with grafting tape.</w:t>
      </w:r>
    </w:p>
    <w:p w14:paraId="7672C220" w14:textId="48F1A8F5" w:rsidR="008E6998" w:rsidRPr="000860F1" w:rsidRDefault="000330D6" w:rsidP="004C1B1F">
      <w:pPr>
        <w:pStyle w:val="IPPParagraphnumbering"/>
      </w:pPr>
      <w:r w:rsidRPr="000860F1">
        <w:t>Symptom development usually appears 60–80 days after inoculation; however, this is known to be variable and could be up to 24 months depending on host and strain combination (Hopkins, 2001).</w:t>
      </w:r>
    </w:p>
    <w:p w14:paraId="2B8E3C50" w14:textId="79EBAC2C" w:rsidR="008E6998" w:rsidRPr="000860F1" w:rsidRDefault="000330D6" w:rsidP="004C1B1F">
      <w:pPr>
        <w:pStyle w:val="IPPParagraphnumbering"/>
      </w:pPr>
      <w:r w:rsidRPr="000860F1">
        <w:t xml:space="preserve">For both </w:t>
      </w:r>
      <w:r w:rsidR="00CA5E9E" w:rsidRPr="000860F1">
        <w:t>methods of inoculation</w:t>
      </w:r>
      <w:r w:rsidRPr="000860F1">
        <w:t>, if possible the bacterium should be re-isolated to fulfil the requirements for Koch’s postulates.</w:t>
      </w:r>
    </w:p>
    <w:p w14:paraId="0AAC981E" w14:textId="613906C6" w:rsidR="008E6998" w:rsidRPr="000860F1" w:rsidRDefault="000330D6" w:rsidP="004C1B1F">
      <w:pPr>
        <w:pStyle w:val="IPPParagraphnumbering"/>
      </w:pPr>
      <w:r w:rsidRPr="000860F1">
        <w:t xml:space="preserve">In addition, a bioassay can be performed on </w:t>
      </w:r>
      <w:r w:rsidRPr="000860F1">
        <w:rPr>
          <w:i/>
        </w:rPr>
        <w:t>Nicotiana tabacum</w:t>
      </w:r>
      <w:r w:rsidRPr="000860F1">
        <w:t xml:space="preserve"> (tobacco) plants by inoculating the petioles with suspensions of </w:t>
      </w:r>
      <w:r w:rsidRPr="000860F1">
        <w:rPr>
          <w:i/>
        </w:rPr>
        <w:t>X. fastidiosa</w:t>
      </w:r>
      <w:r w:rsidRPr="000860F1">
        <w:t xml:space="preserve"> (Francis </w:t>
      </w:r>
      <w:r w:rsidRPr="000860F1">
        <w:rPr>
          <w:i/>
        </w:rPr>
        <w:t>et al</w:t>
      </w:r>
      <w:r w:rsidRPr="000860F1">
        <w:t>., 2008). Leaf scorch symptoms develop 10–14 days after inoculation.</w:t>
      </w:r>
    </w:p>
    <w:p w14:paraId="1A545C37" w14:textId="63C5BE42" w:rsidR="008E6998" w:rsidRPr="000860F1" w:rsidRDefault="000330D6">
      <w:pPr>
        <w:pStyle w:val="IPPHeading2"/>
      </w:pPr>
      <w:bookmarkStart w:id="61" w:name="_Toc384635725"/>
      <w:bookmarkStart w:id="62" w:name="_Toc111710153"/>
      <w:r w:rsidRPr="000860F1">
        <w:t>4.4</w:t>
      </w:r>
      <w:r w:rsidRPr="000860F1">
        <w:tab/>
        <w:t>Serological identification</w:t>
      </w:r>
      <w:bookmarkEnd w:id="61"/>
      <w:bookmarkEnd w:id="62"/>
    </w:p>
    <w:p w14:paraId="31626EFE" w14:textId="1D80D04D" w:rsidR="008E6998" w:rsidRPr="000860F1" w:rsidRDefault="000330D6" w:rsidP="004C1B1F">
      <w:pPr>
        <w:pStyle w:val="IPPParagraphnumbering"/>
      </w:pPr>
      <w:r w:rsidRPr="000860F1">
        <w:t xml:space="preserve">ELISA (described in section 3.3) can be used for the identification of suspect </w:t>
      </w:r>
      <w:r w:rsidRPr="000860F1">
        <w:rPr>
          <w:i/>
          <w:iCs/>
        </w:rPr>
        <w:t xml:space="preserve">X. fastidiosa </w:t>
      </w:r>
      <w:r w:rsidRPr="000860F1">
        <w:t>strains isolated from diseased plant material.</w:t>
      </w:r>
    </w:p>
    <w:p w14:paraId="2848C4EA" w14:textId="71C3DC5B" w:rsidR="008E6998" w:rsidRPr="000860F1" w:rsidRDefault="000330D6">
      <w:pPr>
        <w:pStyle w:val="IPPHeading2"/>
      </w:pPr>
      <w:bookmarkStart w:id="63" w:name="_Toc384635726"/>
      <w:bookmarkStart w:id="64" w:name="_Toc111710154"/>
      <w:r w:rsidRPr="000860F1">
        <w:t>4.5</w:t>
      </w:r>
      <w:r w:rsidRPr="000860F1">
        <w:tab/>
        <w:t>Molecular identification</w:t>
      </w:r>
      <w:bookmarkEnd w:id="63"/>
      <w:bookmarkEnd w:id="64"/>
    </w:p>
    <w:p w14:paraId="0AB71928" w14:textId="53A3C6C5" w:rsidR="008E6998" w:rsidRPr="000860F1" w:rsidRDefault="000330D6" w:rsidP="004C1B1F">
      <w:pPr>
        <w:pStyle w:val="IPPParagraphnumbering"/>
        <w:rPr>
          <w:rFonts w:eastAsiaTheme="minorHAnsi"/>
          <w:szCs w:val="22"/>
        </w:rPr>
      </w:pPr>
      <w:r w:rsidRPr="000860F1">
        <w:t xml:space="preserve">PCR (described in section 3.4) can be used for the identification of suspect </w:t>
      </w:r>
      <w:r w:rsidRPr="000860F1">
        <w:rPr>
          <w:i/>
          <w:iCs/>
        </w:rPr>
        <w:t xml:space="preserve">X. fastidiosa </w:t>
      </w:r>
      <w:r w:rsidRPr="000860F1">
        <w:t>strains isolated from diseased plant material. If only PCR is being performed, to allow rapid diagnosis, it is recommended that identification is confirmed by using two different sets of primers targeting two different genes. For interpretation of conventional and real-time PCR results see section 3.4.</w:t>
      </w:r>
      <w:r w:rsidR="00FF6C00">
        <w:t>11</w:t>
      </w:r>
      <w:r w:rsidRPr="000860F1">
        <w:t>. For conventional PCR tests, the amplicons can be sequenced to further support the identification.</w:t>
      </w:r>
      <w:r w:rsidRPr="000860F1">
        <w:rPr>
          <w:rFonts w:eastAsiaTheme="minorHAnsi"/>
          <w:szCs w:val="22"/>
        </w:rPr>
        <w:t xml:space="preserve"> Sequence data can be analysed using the </w:t>
      </w:r>
      <w:r w:rsidR="00E92407" w:rsidRPr="000860F1">
        <w:rPr>
          <w:rFonts w:eastAsiaTheme="minorHAnsi"/>
          <w:szCs w:val="22"/>
        </w:rPr>
        <w:t xml:space="preserve">Standard Nucleotide </w:t>
      </w:r>
      <w:r w:rsidRPr="000860F1">
        <w:rPr>
          <w:rFonts w:eastAsiaTheme="minorHAnsi"/>
          <w:szCs w:val="22"/>
        </w:rPr>
        <w:t>Basic Local Alignment Search Tool (BLASTN), available at the National Center for Biotechnology Information (</w:t>
      </w:r>
      <w:hyperlink r:id="rId18" w:history="1">
        <w:r w:rsidRPr="000860F1">
          <w:rPr>
            <w:rStyle w:val="Hyperlink"/>
            <w:rFonts w:eastAsiaTheme="minorHAnsi"/>
            <w:szCs w:val="22"/>
          </w:rPr>
          <w:t>http://www.ncbi.nlm.nih.gov/</w:t>
        </w:r>
      </w:hyperlink>
      <w:r w:rsidRPr="000860F1">
        <w:rPr>
          <w:rFonts w:eastAsiaTheme="minorHAnsi"/>
          <w:szCs w:val="22"/>
        </w:rPr>
        <w:t>).</w:t>
      </w:r>
    </w:p>
    <w:p w14:paraId="2D4CC656" w14:textId="511F59F4" w:rsidR="008E6998" w:rsidRPr="000860F1" w:rsidRDefault="000330D6">
      <w:pPr>
        <w:pStyle w:val="IPPHeading2"/>
      </w:pPr>
      <w:bookmarkStart w:id="65" w:name="_Toc111710155"/>
      <w:r w:rsidRPr="000860F1">
        <w:t>4.5.1</w:t>
      </w:r>
      <w:r w:rsidRPr="000860F1">
        <w:tab/>
        <w:t>Multilocus sequence typing</w:t>
      </w:r>
      <w:bookmarkEnd w:id="65"/>
    </w:p>
    <w:p w14:paraId="75618A8F" w14:textId="61724F60" w:rsidR="008E6998" w:rsidRPr="000860F1" w:rsidRDefault="000330D6" w:rsidP="004C1B1F">
      <w:pPr>
        <w:pStyle w:val="IPPParagraphnumbering"/>
      </w:pPr>
      <w:r w:rsidRPr="000860F1">
        <w:t>A</w:t>
      </w:r>
      <w:r w:rsidR="00E713A3" w:rsidRPr="000860F1">
        <w:t xml:space="preserve"> </w:t>
      </w:r>
      <w:r w:rsidR="00E66D5B">
        <w:t>m</w:t>
      </w:r>
      <w:r w:rsidR="00E713A3" w:rsidRPr="000860F1">
        <w:t xml:space="preserve">ultilocus </w:t>
      </w:r>
      <w:r w:rsidR="00E66D5B">
        <w:t>s</w:t>
      </w:r>
      <w:r w:rsidR="00E713A3" w:rsidRPr="000860F1">
        <w:t xml:space="preserve">equence </w:t>
      </w:r>
      <w:r w:rsidR="00E66D5B">
        <w:t>t</w:t>
      </w:r>
      <w:r w:rsidR="00E713A3" w:rsidRPr="000860F1">
        <w:t>yping</w:t>
      </w:r>
      <w:r w:rsidRPr="000860F1">
        <w:t xml:space="preserve"> </w:t>
      </w:r>
      <w:r w:rsidR="00E713A3" w:rsidRPr="000860F1">
        <w:t>(</w:t>
      </w:r>
      <w:r w:rsidR="00D415AF">
        <w:t>ML</w:t>
      </w:r>
      <w:r w:rsidRPr="000860F1">
        <w:t>ST</w:t>
      </w:r>
      <w:r w:rsidR="00E713A3" w:rsidRPr="000860F1">
        <w:t>)</w:t>
      </w:r>
      <w:r w:rsidRPr="000860F1">
        <w:t xml:space="preserve"> approach has been described for the identification of </w:t>
      </w:r>
      <w:r w:rsidRPr="000860F1">
        <w:rPr>
          <w:i/>
        </w:rPr>
        <w:t>X.</w:t>
      </w:r>
      <w:r w:rsidR="00DA03BE" w:rsidRPr="000860F1">
        <w:rPr>
          <w:i/>
        </w:rPr>
        <w:t> </w:t>
      </w:r>
      <w:r w:rsidRPr="000860F1">
        <w:rPr>
          <w:i/>
        </w:rPr>
        <w:t>fastidiosa</w:t>
      </w:r>
      <w:r w:rsidRPr="000860F1">
        <w:t xml:space="preserve"> subspecies and is recommended for the characterization of new strains (Scally </w:t>
      </w:r>
      <w:r w:rsidRPr="000860F1">
        <w:rPr>
          <w:i/>
        </w:rPr>
        <w:t>et al.</w:t>
      </w:r>
      <w:r w:rsidRPr="000860F1">
        <w:t xml:space="preserve">, 2005; Yuan </w:t>
      </w:r>
      <w:r w:rsidRPr="000860F1">
        <w:rPr>
          <w:i/>
        </w:rPr>
        <w:t>et al.</w:t>
      </w:r>
      <w:r w:rsidRPr="000860F1">
        <w:t xml:space="preserve">, 2010; Jacques </w:t>
      </w:r>
      <w:r w:rsidRPr="000860F1">
        <w:rPr>
          <w:i/>
        </w:rPr>
        <w:t>et al.</w:t>
      </w:r>
      <w:r w:rsidRPr="000860F1">
        <w:t>, 2016</w:t>
      </w:r>
      <w:r w:rsidR="005066A4" w:rsidRPr="000860F1">
        <w:t>; Bergsma</w:t>
      </w:r>
      <w:r w:rsidR="00AD5660" w:rsidRPr="000860F1">
        <w:t>-Vlami</w:t>
      </w:r>
      <w:r w:rsidR="008352D2" w:rsidRPr="000860F1">
        <w:t xml:space="preserve"> </w:t>
      </w:r>
      <w:r w:rsidR="008352D2" w:rsidRPr="000860F1">
        <w:rPr>
          <w:i/>
        </w:rPr>
        <w:t>et</w:t>
      </w:r>
      <w:r w:rsidR="009578FB" w:rsidRPr="000860F1">
        <w:rPr>
          <w:i/>
        </w:rPr>
        <w:t> </w:t>
      </w:r>
      <w:r w:rsidR="008352D2" w:rsidRPr="000860F1">
        <w:rPr>
          <w:i/>
        </w:rPr>
        <w:t>al.</w:t>
      </w:r>
      <w:r w:rsidR="008352D2" w:rsidRPr="000860F1">
        <w:t>, 2017)</w:t>
      </w:r>
      <w:r w:rsidR="00BE3C1B" w:rsidRPr="000860F1">
        <w:t>.</w:t>
      </w:r>
      <w:r w:rsidR="008352D2" w:rsidRPr="000860F1">
        <w:t xml:space="preserve"> This approach can be used on DNA extracted from either bacterial cultures or infected plants tested positive for </w:t>
      </w:r>
      <w:r w:rsidR="008352D2" w:rsidRPr="000860F1">
        <w:rPr>
          <w:i/>
        </w:rPr>
        <w:t>X.</w:t>
      </w:r>
      <w:r w:rsidR="007070D1" w:rsidRPr="000860F1">
        <w:rPr>
          <w:i/>
        </w:rPr>
        <w:t> </w:t>
      </w:r>
      <w:r w:rsidR="008352D2" w:rsidRPr="000860F1">
        <w:rPr>
          <w:i/>
        </w:rPr>
        <w:t>fastidiosa</w:t>
      </w:r>
      <w:r w:rsidR="008352D2" w:rsidRPr="000860F1">
        <w:t xml:space="preserve"> (Loconsole </w:t>
      </w:r>
      <w:r w:rsidR="008352D2" w:rsidRPr="000860F1">
        <w:rPr>
          <w:i/>
        </w:rPr>
        <w:t>et</w:t>
      </w:r>
      <w:r w:rsidR="007B013F" w:rsidRPr="000860F1">
        <w:rPr>
          <w:i/>
        </w:rPr>
        <w:t> </w:t>
      </w:r>
      <w:r w:rsidR="008352D2" w:rsidRPr="000860F1">
        <w:rPr>
          <w:i/>
        </w:rPr>
        <w:t>al.</w:t>
      </w:r>
      <w:r w:rsidR="008352D2" w:rsidRPr="000860F1">
        <w:t>, 2016). For amplification of DNA direct from plant tissue, it has been observed that the quality of the target DNA may not always be suitable for obtaining all amplicons (EPPO, 201</w:t>
      </w:r>
      <w:r w:rsidR="009C0802" w:rsidRPr="000860F1">
        <w:t>8</w:t>
      </w:r>
      <w:r w:rsidR="004509DB">
        <w:t>b</w:t>
      </w:r>
      <w:r w:rsidR="008352D2" w:rsidRPr="000860F1">
        <w:t>). Primers and conditions for the sequencing and analysis of seven housekeeping genes (</w:t>
      </w:r>
      <w:r w:rsidR="008352D2" w:rsidRPr="000860F1">
        <w:rPr>
          <w:i/>
        </w:rPr>
        <w:t>cysG</w:t>
      </w:r>
      <w:r w:rsidR="008352D2" w:rsidRPr="000860F1">
        <w:t xml:space="preserve">, </w:t>
      </w:r>
      <w:r w:rsidR="008352D2" w:rsidRPr="000860F1">
        <w:rPr>
          <w:i/>
        </w:rPr>
        <w:t>gltT</w:t>
      </w:r>
      <w:r w:rsidR="008352D2" w:rsidRPr="000860F1">
        <w:t xml:space="preserve">, </w:t>
      </w:r>
      <w:r w:rsidR="008352D2" w:rsidRPr="000860F1">
        <w:rPr>
          <w:i/>
        </w:rPr>
        <w:t>holC</w:t>
      </w:r>
      <w:r w:rsidR="008352D2" w:rsidRPr="000860F1">
        <w:t xml:space="preserve">, </w:t>
      </w:r>
      <w:r w:rsidR="008352D2" w:rsidRPr="000860F1">
        <w:rPr>
          <w:i/>
        </w:rPr>
        <w:t>leuA</w:t>
      </w:r>
      <w:r w:rsidR="008352D2" w:rsidRPr="000860F1">
        <w:t xml:space="preserve">, </w:t>
      </w:r>
      <w:r w:rsidR="008352D2" w:rsidRPr="000860F1">
        <w:rPr>
          <w:i/>
        </w:rPr>
        <w:t>malF</w:t>
      </w:r>
      <w:r w:rsidR="008352D2" w:rsidRPr="000860F1">
        <w:t xml:space="preserve">, </w:t>
      </w:r>
      <w:r w:rsidR="008352D2" w:rsidRPr="000860F1">
        <w:rPr>
          <w:i/>
        </w:rPr>
        <w:t>nuoL</w:t>
      </w:r>
      <w:r w:rsidR="008352D2" w:rsidRPr="000860F1">
        <w:t xml:space="preserve"> and </w:t>
      </w:r>
      <w:r w:rsidR="008352D2" w:rsidRPr="000860F1">
        <w:rPr>
          <w:i/>
        </w:rPr>
        <w:t>petC</w:t>
      </w:r>
      <w:r w:rsidR="008352D2" w:rsidRPr="000860F1">
        <w:t xml:space="preserve">) are described by Yuan </w:t>
      </w:r>
      <w:r w:rsidR="008352D2" w:rsidRPr="000860F1">
        <w:rPr>
          <w:i/>
        </w:rPr>
        <w:t>et</w:t>
      </w:r>
      <w:r w:rsidR="007E6D2C" w:rsidRPr="000860F1">
        <w:rPr>
          <w:i/>
        </w:rPr>
        <w:t> </w:t>
      </w:r>
      <w:r w:rsidR="008352D2" w:rsidRPr="000860F1">
        <w:rPr>
          <w:i/>
        </w:rPr>
        <w:t>al.</w:t>
      </w:r>
      <w:r w:rsidR="008352D2" w:rsidRPr="000860F1">
        <w:t xml:space="preserve"> (2010) and further details regarding analysis can be found on the </w:t>
      </w:r>
      <w:r w:rsidR="008352D2" w:rsidRPr="000860F1">
        <w:rPr>
          <w:i/>
        </w:rPr>
        <w:t>X.</w:t>
      </w:r>
      <w:r w:rsidR="007070D1" w:rsidRPr="000860F1">
        <w:rPr>
          <w:i/>
        </w:rPr>
        <w:t> </w:t>
      </w:r>
      <w:r w:rsidR="008352D2" w:rsidRPr="000860F1">
        <w:rPr>
          <w:i/>
        </w:rPr>
        <w:t>fastidiosa</w:t>
      </w:r>
      <w:r w:rsidR="008352D2" w:rsidRPr="000860F1">
        <w:t xml:space="preserve"> </w:t>
      </w:r>
      <w:r w:rsidR="00D415AF">
        <w:t>ML</w:t>
      </w:r>
      <w:r w:rsidR="008352D2" w:rsidRPr="000860F1">
        <w:t>ST website (</w:t>
      </w:r>
      <w:hyperlink r:id="rId19" w:history="1">
        <w:r w:rsidR="00797BAA" w:rsidRPr="00797BAA">
          <w:rPr>
            <w:rStyle w:val="Hyperlink"/>
          </w:rPr>
          <w:t>http://pubmlst.org/xfastidiosa/</w:t>
        </w:r>
      </w:hyperlink>
      <w:r w:rsidR="008352D2" w:rsidRPr="000860F1">
        <w:t>). If erratic amplification occurs, the following PCR parameters can be adjusted: the DNA extract can be diluted (to limit inhibition) or the amount of DNA added to the PCR can be increased, different Taq polymerases or master mixes can be used, the annealing temperature can be decreased from 65</w:t>
      </w:r>
      <w:r w:rsidR="00296B91" w:rsidRPr="000860F1">
        <w:t> </w:t>
      </w:r>
      <w:r w:rsidR="008352D2" w:rsidRPr="000860F1">
        <w:t>°C to 60</w:t>
      </w:r>
      <w:r w:rsidR="00296B91" w:rsidRPr="000860F1">
        <w:t> </w:t>
      </w:r>
      <w:r w:rsidR="008352D2" w:rsidRPr="000860F1">
        <w:t>°C or 58</w:t>
      </w:r>
      <w:r w:rsidR="00296B91" w:rsidRPr="000860F1">
        <w:t> </w:t>
      </w:r>
      <w:r w:rsidR="008352D2" w:rsidRPr="000860F1">
        <w:t>°C, or the primer concentration can be increased from 0.3 to 0.5</w:t>
      </w:r>
      <w:r w:rsidR="00296B91" w:rsidRPr="000860F1">
        <w:t> </w:t>
      </w:r>
      <w:r w:rsidR="008352D2" w:rsidRPr="000860F1">
        <w:t>µM</w:t>
      </w:r>
      <w:r w:rsidR="00270CF5">
        <w:t xml:space="preserve">, or </w:t>
      </w:r>
      <w:r w:rsidR="00270CF5" w:rsidRPr="00270CF5">
        <w:t xml:space="preserve">BSA (non-acetylated) </w:t>
      </w:r>
      <w:r w:rsidR="00270CF5">
        <w:t xml:space="preserve">can be added (final concentration </w:t>
      </w:r>
      <w:r w:rsidR="00270CF5" w:rsidRPr="00270CF5">
        <w:t>0.3</w:t>
      </w:r>
      <w:r w:rsidR="00270CF5">
        <w:t xml:space="preserve"> µg.µL</w:t>
      </w:r>
      <w:r w:rsidR="00270CF5" w:rsidRPr="00270CF5">
        <w:rPr>
          <w:vertAlign w:val="superscript"/>
        </w:rPr>
        <w:t>-1</w:t>
      </w:r>
      <w:r w:rsidR="00270CF5">
        <w:rPr>
          <w:vertAlign w:val="superscript"/>
        </w:rPr>
        <w:t>)</w:t>
      </w:r>
      <w:r w:rsidR="00270CF5" w:rsidRPr="00270CF5">
        <w:t xml:space="preserve"> </w:t>
      </w:r>
      <w:r w:rsidR="008352D2" w:rsidRPr="000860F1">
        <w:t>(EPPO, 201</w:t>
      </w:r>
      <w:r w:rsidR="009C0802" w:rsidRPr="000860F1">
        <w:t>8</w:t>
      </w:r>
      <w:r w:rsidR="004509DB">
        <w:t>b</w:t>
      </w:r>
      <w:r w:rsidR="008352D2" w:rsidRPr="000860F1">
        <w:t xml:space="preserve">). </w:t>
      </w:r>
    </w:p>
    <w:p w14:paraId="3A0D8E6E" w14:textId="4DBF0AA7" w:rsidR="008E6998" w:rsidRPr="000860F1" w:rsidRDefault="000330D6" w:rsidP="004C1B1F">
      <w:pPr>
        <w:pStyle w:val="IPPParagraphnumbering"/>
      </w:pPr>
      <w:r w:rsidRPr="000860F1">
        <w:t xml:space="preserve">Expected amplicon sizes for the different housekeeping genes are: 708 bp for </w:t>
      </w:r>
      <w:r w:rsidRPr="000860F1">
        <w:rPr>
          <w:i/>
        </w:rPr>
        <w:t>leuA</w:t>
      </w:r>
      <w:r w:rsidRPr="000860F1">
        <w:t>,</w:t>
      </w:r>
      <w:r w:rsidRPr="000860F1">
        <w:rPr>
          <w:i/>
        </w:rPr>
        <w:t xml:space="preserve"> </w:t>
      </w:r>
      <w:r w:rsidRPr="000860F1">
        <w:t>533 bp</w:t>
      </w:r>
      <w:r w:rsidRPr="000860F1">
        <w:rPr>
          <w:i/>
        </w:rPr>
        <w:t xml:space="preserve"> </w:t>
      </w:r>
      <w:r w:rsidRPr="000860F1">
        <w:t xml:space="preserve">for </w:t>
      </w:r>
      <w:r w:rsidRPr="000860F1">
        <w:rPr>
          <w:i/>
        </w:rPr>
        <w:t>petC</w:t>
      </w:r>
      <w:r w:rsidRPr="000860F1">
        <w:t>,</w:t>
      </w:r>
      <w:r w:rsidRPr="000860F1">
        <w:rPr>
          <w:i/>
        </w:rPr>
        <w:t xml:space="preserve"> </w:t>
      </w:r>
      <w:r w:rsidRPr="000860F1">
        <w:t xml:space="preserve">600 bp for </w:t>
      </w:r>
      <w:r w:rsidRPr="000860F1">
        <w:rPr>
          <w:i/>
        </w:rPr>
        <w:t>cysG</w:t>
      </w:r>
      <w:r w:rsidRPr="000860F1">
        <w:t xml:space="preserve">, 654 bp for </w:t>
      </w:r>
      <w:r w:rsidRPr="000860F1">
        <w:rPr>
          <w:i/>
        </w:rPr>
        <w:t>gltT</w:t>
      </w:r>
      <w:r w:rsidRPr="000860F1">
        <w:t xml:space="preserve">, 379 bp for </w:t>
      </w:r>
      <w:r w:rsidRPr="000860F1">
        <w:rPr>
          <w:i/>
        </w:rPr>
        <w:t>holC</w:t>
      </w:r>
      <w:r w:rsidRPr="000860F1">
        <w:t xml:space="preserve">, 730 bp for </w:t>
      </w:r>
      <w:r w:rsidRPr="000860F1">
        <w:rPr>
          <w:i/>
        </w:rPr>
        <w:t>malF</w:t>
      </w:r>
      <w:r w:rsidRPr="000860F1">
        <w:t xml:space="preserve">, and 557 bp for </w:t>
      </w:r>
      <w:r w:rsidRPr="000860F1">
        <w:rPr>
          <w:i/>
        </w:rPr>
        <w:t>nuoL</w:t>
      </w:r>
      <w:r w:rsidRPr="000860F1">
        <w:t>.</w:t>
      </w:r>
    </w:p>
    <w:p w14:paraId="351DDCD1" w14:textId="04500E48" w:rsidR="008E6998" w:rsidRPr="000860F1" w:rsidRDefault="000330D6" w:rsidP="004C1B1F">
      <w:pPr>
        <w:pStyle w:val="IPPParagraphnumbering"/>
        <w:rPr>
          <w:color w:val="000000"/>
        </w:rPr>
      </w:pPr>
      <w:r w:rsidRPr="000860F1">
        <w:t xml:space="preserve">The targeted regions are amplified by PCR, and if the amplicons are of good quality and the expected size they should be sequenced directly using </w:t>
      </w:r>
      <w:r w:rsidR="006F7D90" w:rsidRPr="000860F1">
        <w:t xml:space="preserve">forward and </w:t>
      </w:r>
      <w:r w:rsidRPr="000860F1">
        <w:t>reverse primers. Sequences are concatenated by following the alphabetic</w:t>
      </w:r>
      <w:r w:rsidR="00D20D7E" w:rsidRPr="000860F1">
        <w:t>al</w:t>
      </w:r>
      <w:r w:rsidRPr="000860F1">
        <w:t xml:space="preserve"> order of the genes and analysis should be performed as per advice on the </w:t>
      </w:r>
      <w:r w:rsidR="00D415AF">
        <w:t>ML</w:t>
      </w:r>
      <w:r w:rsidRPr="000860F1">
        <w:t>ST website</w:t>
      </w:r>
      <w:r w:rsidR="00E713A3" w:rsidRPr="000860F1">
        <w:t xml:space="preserve"> (</w:t>
      </w:r>
      <w:hyperlink r:id="rId20" w:history="1">
        <w:r w:rsidR="00E713A3" w:rsidRPr="000860F1">
          <w:rPr>
            <w:rStyle w:val="Hyperlink"/>
          </w:rPr>
          <w:t>http://pubmlst.org/xfastidiosa/</w:t>
        </w:r>
      </w:hyperlink>
      <w:r w:rsidR="00E713A3" w:rsidRPr="000860F1">
        <w:t>).</w:t>
      </w:r>
      <w:r w:rsidRPr="000860F1">
        <w:t xml:space="preserve"> The results of the sequencing should be compared with reference sequences for the different housekeeping genes that can be found on the </w:t>
      </w:r>
      <w:r w:rsidR="00D415AF">
        <w:t>ML</w:t>
      </w:r>
      <w:r w:rsidRPr="000860F1">
        <w:t>ST website.</w:t>
      </w:r>
    </w:p>
    <w:p w14:paraId="55AD0302" w14:textId="6FF4BC71" w:rsidR="008E6998" w:rsidRDefault="00D962F0" w:rsidP="004C1B1F">
      <w:pPr>
        <w:pStyle w:val="IPPParagraphnumbering"/>
      </w:pPr>
      <w:r w:rsidRPr="000860F1">
        <w:rPr>
          <w:szCs w:val="22"/>
        </w:rPr>
        <w:t xml:space="preserve">Although different </w:t>
      </w:r>
      <w:r w:rsidR="00C23B94" w:rsidRPr="000860F1">
        <w:rPr>
          <w:szCs w:val="22"/>
        </w:rPr>
        <w:t>methods</w:t>
      </w:r>
      <w:r w:rsidRPr="000860F1">
        <w:rPr>
          <w:szCs w:val="22"/>
        </w:rPr>
        <w:t xml:space="preserve"> are available for subspecies identification (see section</w:t>
      </w:r>
      <w:r w:rsidR="00AD4985" w:rsidRPr="000860F1">
        <w:rPr>
          <w:szCs w:val="22"/>
        </w:rPr>
        <w:t> </w:t>
      </w:r>
      <w:r w:rsidRPr="000860F1">
        <w:rPr>
          <w:szCs w:val="22"/>
        </w:rPr>
        <w:t xml:space="preserve">4.5.2), </w:t>
      </w:r>
      <w:r w:rsidR="00B73A3E" w:rsidRPr="000860F1">
        <w:rPr>
          <w:szCs w:val="22"/>
        </w:rPr>
        <w:t xml:space="preserve">it is recommended that </w:t>
      </w:r>
      <w:r w:rsidR="00D415AF">
        <w:rPr>
          <w:szCs w:val="22"/>
        </w:rPr>
        <w:t>ML</w:t>
      </w:r>
      <w:r w:rsidRPr="000860F1">
        <w:rPr>
          <w:szCs w:val="22"/>
        </w:rPr>
        <w:t>ST</w:t>
      </w:r>
      <w:r w:rsidR="000330D6" w:rsidRPr="000860F1">
        <w:t xml:space="preserve"> </w:t>
      </w:r>
      <w:r w:rsidR="00B73A3E" w:rsidRPr="000860F1">
        <w:t>be used</w:t>
      </w:r>
      <w:r w:rsidR="000330D6" w:rsidRPr="000860F1">
        <w:t xml:space="preserve"> to analyse </w:t>
      </w:r>
      <w:r w:rsidR="000330D6" w:rsidRPr="000860F1">
        <w:rPr>
          <w:i/>
        </w:rPr>
        <w:t>X. fastidiosa</w:t>
      </w:r>
      <w:r w:rsidR="000330D6" w:rsidRPr="000860F1">
        <w:t xml:space="preserve"> strains detected in new areas or on new host associations.</w:t>
      </w:r>
      <w:r w:rsidR="00F9475A">
        <w:t xml:space="preserve"> </w:t>
      </w:r>
      <w:r w:rsidR="00F9475A" w:rsidRPr="00315473">
        <w:t xml:space="preserve">A protocol for nested </w:t>
      </w:r>
      <w:r w:rsidR="00D415AF">
        <w:t>ML</w:t>
      </w:r>
      <w:r w:rsidR="00F9475A" w:rsidRPr="00315473">
        <w:t xml:space="preserve">ST </w:t>
      </w:r>
      <w:r w:rsidR="00995EDD">
        <w:t xml:space="preserve">with the same targets as in Yuan </w:t>
      </w:r>
      <w:r w:rsidR="00995EDD" w:rsidRPr="00764BC0">
        <w:rPr>
          <w:i/>
        </w:rPr>
        <w:t>et al</w:t>
      </w:r>
      <w:r w:rsidR="00995EDD">
        <w:t xml:space="preserve">, (2010) </w:t>
      </w:r>
      <w:r w:rsidR="00F9475A">
        <w:t xml:space="preserve">which is more sensitive than </w:t>
      </w:r>
      <w:r w:rsidR="00D415AF">
        <w:t>ML</w:t>
      </w:r>
      <w:r w:rsidR="00F9475A">
        <w:t>ST has been described</w:t>
      </w:r>
      <w:r w:rsidR="00F9475A" w:rsidRPr="00315473">
        <w:t xml:space="preserve"> (Cesbron </w:t>
      </w:r>
      <w:r w:rsidR="00F9475A" w:rsidRPr="00315473">
        <w:rPr>
          <w:i/>
          <w:iCs/>
        </w:rPr>
        <w:t>et al</w:t>
      </w:r>
      <w:r w:rsidR="00F9475A" w:rsidRPr="00315473">
        <w:t xml:space="preserve">., 2020) and is appropriate </w:t>
      </w:r>
      <w:r w:rsidR="00F9475A" w:rsidRPr="00707BC9">
        <w:t xml:space="preserve">when </w:t>
      </w:r>
      <w:r w:rsidR="00F9475A" w:rsidRPr="00A63C7F">
        <w:t xml:space="preserve">the </w:t>
      </w:r>
      <w:r w:rsidR="00D415AF">
        <w:t>ML</w:t>
      </w:r>
      <w:r w:rsidR="00F9475A" w:rsidRPr="00A63C7F">
        <w:t xml:space="preserve">ST analysis (Yuan </w:t>
      </w:r>
      <w:r w:rsidR="00F9475A" w:rsidRPr="00764BC0">
        <w:rPr>
          <w:i/>
        </w:rPr>
        <w:t>et al</w:t>
      </w:r>
      <w:r w:rsidR="00F9475A" w:rsidRPr="00A63C7F">
        <w:t>. 2010) is not successful</w:t>
      </w:r>
      <w:r w:rsidR="00F9475A">
        <w:t>.</w:t>
      </w:r>
    </w:p>
    <w:p w14:paraId="69594FB2" w14:textId="2D4DC6C2" w:rsidR="008E6998" w:rsidRPr="000860F1" w:rsidRDefault="000330D6">
      <w:pPr>
        <w:pStyle w:val="IPPHeading2"/>
        <w:rPr>
          <w:i/>
        </w:rPr>
      </w:pPr>
      <w:bookmarkStart w:id="66" w:name="_Toc111710156"/>
      <w:r w:rsidRPr="000D26D1">
        <w:t>4.5.2</w:t>
      </w:r>
      <w:r w:rsidRPr="000860F1">
        <w:tab/>
      </w:r>
      <w:r w:rsidRPr="001A1073">
        <w:t>Subspecies</w:t>
      </w:r>
      <w:r w:rsidRPr="000860F1">
        <w:t>-specific PCR</w:t>
      </w:r>
      <w:bookmarkEnd w:id="66"/>
    </w:p>
    <w:p w14:paraId="2253560E" w14:textId="1339C1B0" w:rsidR="008E6998" w:rsidRPr="000860F1" w:rsidRDefault="00FE1521" w:rsidP="004C1B1F">
      <w:pPr>
        <w:pStyle w:val="IPPParagraphnumbering"/>
      </w:pPr>
      <w:r>
        <w:t>Different tests are available for</w:t>
      </w:r>
      <w:r w:rsidR="000330D6" w:rsidRPr="000860F1">
        <w:t xml:space="preserve"> </w:t>
      </w:r>
      <w:r w:rsidR="000330D6" w:rsidRPr="000860F1">
        <w:rPr>
          <w:i/>
        </w:rPr>
        <w:t>X. fastidiosa</w:t>
      </w:r>
      <w:r w:rsidR="000330D6" w:rsidRPr="000860F1">
        <w:t xml:space="preserve"> subspecies determination</w:t>
      </w:r>
      <w:r>
        <w:t xml:space="preserve">: PCR </w:t>
      </w:r>
      <w:r w:rsidRPr="00315473">
        <w:t>(</w:t>
      </w:r>
      <w:bookmarkStart w:id="67" w:name="_Hlk98154456"/>
      <w:r w:rsidRPr="00315473">
        <w:t>Pooler &amp; Hartung 1995</w:t>
      </w:r>
      <w:bookmarkEnd w:id="67"/>
      <w:r w:rsidRPr="00315473">
        <w:t xml:space="preserve">, </w:t>
      </w:r>
      <w:bookmarkStart w:id="68" w:name="_Hlk98154465"/>
      <w:r w:rsidRPr="00315473">
        <w:t xml:space="preserve">Hernandez‐Martinez </w:t>
      </w:r>
      <w:r w:rsidRPr="00315473">
        <w:rPr>
          <w:i/>
          <w:iCs/>
        </w:rPr>
        <w:t>et al</w:t>
      </w:r>
      <w:r w:rsidRPr="00315473">
        <w:t>. 2006</w:t>
      </w:r>
      <w:bookmarkEnd w:id="68"/>
      <w:r w:rsidRPr="00315473">
        <w:t>,) or</w:t>
      </w:r>
      <w:r>
        <w:t xml:space="preserve"> </w:t>
      </w:r>
      <w:r w:rsidRPr="00315473">
        <w:t>Sanger sequencing</w:t>
      </w:r>
      <w:r>
        <w:t xml:space="preserve"> (</w:t>
      </w:r>
      <w:bookmarkStart w:id="69" w:name="_Hlk98154473"/>
      <w:r w:rsidRPr="00315473">
        <w:t xml:space="preserve">Scally </w:t>
      </w:r>
      <w:r w:rsidRPr="00315473">
        <w:rPr>
          <w:i/>
          <w:iCs/>
        </w:rPr>
        <w:t>et al</w:t>
      </w:r>
      <w:r w:rsidRPr="00315473">
        <w:t>., 2005</w:t>
      </w:r>
      <w:bookmarkEnd w:id="69"/>
      <w:r w:rsidRPr="00315473">
        <w:t xml:space="preserve">; </w:t>
      </w:r>
      <w:bookmarkStart w:id="70" w:name="_Hlk98154480"/>
      <w:r w:rsidRPr="00315473">
        <w:t xml:space="preserve">Yuan </w:t>
      </w:r>
      <w:r w:rsidRPr="00315473">
        <w:rPr>
          <w:i/>
          <w:iCs/>
        </w:rPr>
        <w:t>et al</w:t>
      </w:r>
      <w:r w:rsidRPr="00315473">
        <w:t>., 2010</w:t>
      </w:r>
      <w:bookmarkEnd w:id="70"/>
      <w:r>
        <w:t xml:space="preserve">) or real-time PCR (Dupas </w:t>
      </w:r>
      <w:r w:rsidRPr="00703471">
        <w:rPr>
          <w:i/>
        </w:rPr>
        <w:t>et al</w:t>
      </w:r>
      <w:r>
        <w:t>., 2019; Hodgett</w:t>
      </w:r>
      <w:r w:rsidR="0022350D">
        <w:t>s</w:t>
      </w:r>
      <w:r>
        <w:t xml:space="preserve"> </w:t>
      </w:r>
      <w:r w:rsidRPr="00703471">
        <w:rPr>
          <w:i/>
        </w:rPr>
        <w:t>et al</w:t>
      </w:r>
      <w:r>
        <w:t>., 2021)</w:t>
      </w:r>
      <w:r w:rsidRPr="00315473">
        <w:t xml:space="preserve">. </w:t>
      </w:r>
      <w:r w:rsidRPr="000860F1">
        <w:t xml:space="preserve">The PCR described by Hernandez-Martinez </w:t>
      </w:r>
      <w:r w:rsidRPr="000860F1">
        <w:rPr>
          <w:i/>
        </w:rPr>
        <w:t>et al.</w:t>
      </w:r>
      <w:r w:rsidRPr="000860F1">
        <w:t xml:space="preserve"> (2006) can allow the identification of cultures of subspecies </w:t>
      </w:r>
      <w:r w:rsidRPr="000860F1">
        <w:rPr>
          <w:i/>
        </w:rPr>
        <w:t>fastidiosa</w:t>
      </w:r>
      <w:r w:rsidRPr="000860F1">
        <w:t xml:space="preserve">, </w:t>
      </w:r>
      <w:r w:rsidRPr="000860F1">
        <w:rPr>
          <w:i/>
        </w:rPr>
        <w:t>multiplex</w:t>
      </w:r>
      <w:r w:rsidRPr="000860F1">
        <w:t xml:space="preserve"> and </w:t>
      </w:r>
      <w:r w:rsidRPr="000860F1">
        <w:rPr>
          <w:i/>
        </w:rPr>
        <w:t>sandyi</w:t>
      </w:r>
      <w:r w:rsidRPr="000860F1">
        <w:t xml:space="preserve">. Pooler and Hartung (1995) developed a conventional PCR that identifies subspecies </w:t>
      </w:r>
      <w:r w:rsidRPr="000860F1">
        <w:rPr>
          <w:i/>
        </w:rPr>
        <w:t>pauca</w:t>
      </w:r>
      <w:r w:rsidRPr="000860F1">
        <w:t>.</w:t>
      </w:r>
      <w:r>
        <w:t xml:space="preserve"> </w:t>
      </w:r>
      <w:r w:rsidRPr="00315473">
        <w:t xml:space="preserve">For Sanger sequencing the PCR product of at least two housekeeping genes such as </w:t>
      </w:r>
      <w:r w:rsidRPr="00315473">
        <w:rPr>
          <w:i/>
          <w:iCs/>
        </w:rPr>
        <w:t>rpoD</w:t>
      </w:r>
      <w:r w:rsidRPr="00315473">
        <w:t xml:space="preserve"> (</w:t>
      </w:r>
      <w:bookmarkStart w:id="71" w:name="_Hlk98154492"/>
      <w:r w:rsidRPr="00315473">
        <w:t xml:space="preserve">Minsavage </w:t>
      </w:r>
      <w:r w:rsidRPr="00315473">
        <w:rPr>
          <w:i/>
          <w:iCs/>
        </w:rPr>
        <w:t>et al</w:t>
      </w:r>
      <w:r w:rsidRPr="00315473">
        <w:t>.,1994</w:t>
      </w:r>
      <w:bookmarkEnd w:id="71"/>
      <w:r w:rsidRPr="00315473">
        <w:t xml:space="preserve">) and </w:t>
      </w:r>
      <w:r w:rsidRPr="00315473">
        <w:rPr>
          <w:i/>
          <w:iCs/>
        </w:rPr>
        <w:t>malF</w:t>
      </w:r>
      <w:r w:rsidRPr="00315473">
        <w:t xml:space="preserve"> (</w:t>
      </w:r>
      <w:r w:rsidR="00D415AF">
        <w:t>ML</w:t>
      </w:r>
      <w:r w:rsidRPr="00315473">
        <w:t xml:space="preserve">ST analysis) or </w:t>
      </w:r>
      <w:r w:rsidRPr="00315473">
        <w:rPr>
          <w:i/>
          <w:iCs/>
        </w:rPr>
        <w:t>cysG</w:t>
      </w:r>
      <w:r w:rsidRPr="00315473">
        <w:t xml:space="preserve"> and </w:t>
      </w:r>
      <w:r w:rsidRPr="00315473">
        <w:rPr>
          <w:i/>
          <w:iCs/>
        </w:rPr>
        <w:t>malF</w:t>
      </w:r>
      <w:r w:rsidRPr="00315473">
        <w:t xml:space="preserve"> (</w:t>
      </w:r>
      <w:r w:rsidR="00D415AF">
        <w:t>ML</w:t>
      </w:r>
      <w:r w:rsidRPr="00315473">
        <w:t>ST analysis) should be sequenced in both directions. The combination of at least two genes allows possible recombinants between subspecies to be detected. Sequence data can be analysed using the Basic Local Alignment Search Tool (BLASTN), available at the National Center for Biotechnology Information (</w:t>
      </w:r>
      <w:hyperlink r:id="rId21" w:history="1">
        <w:r w:rsidRPr="00F519B0">
          <w:rPr>
            <w:rStyle w:val="Hyperlink"/>
          </w:rPr>
          <w:t>http://www.ncbi.nlm.nih.gov/</w:t>
        </w:r>
      </w:hyperlink>
      <w:r w:rsidRPr="00315473">
        <w:t>).</w:t>
      </w:r>
      <w:r w:rsidR="000330D6" w:rsidRPr="000860F1">
        <w:t xml:space="preserve">  </w:t>
      </w:r>
      <w:r w:rsidRPr="00315473">
        <w:t xml:space="preserve">A protocol for nested </w:t>
      </w:r>
      <w:r w:rsidR="00D415AF">
        <w:t>ML</w:t>
      </w:r>
      <w:r w:rsidRPr="00315473">
        <w:t xml:space="preserve">ST </w:t>
      </w:r>
      <w:r w:rsidR="00995EDD">
        <w:t xml:space="preserve">with the same targets as in Yuan </w:t>
      </w:r>
      <w:r w:rsidR="00995EDD" w:rsidRPr="00703471">
        <w:rPr>
          <w:i/>
        </w:rPr>
        <w:t>et al</w:t>
      </w:r>
      <w:r w:rsidR="00995EDD">
        <w:t xml:space="preserve">, (2010) </w:t>
      </w:r>
      <w:r>
        <w:t xml:space="preserve">which is more sensitive than </w:t>
      </w:r>
      <w:r w:rsidR="00D415AF">
        <w:t>ML</w:t>
      </w:r>
      <w:r>
        <w:t>ST has been described</w:t>
      </w:r>
      <w:r w:rsidRPr="00315473">
        <w:t xml:space="preserve"> (</w:t>
      </w:r>
      <w:bookmarkStart w:id="72" w:name="_Hlk98154507"/>
      <w:r w:rsidRPr="00315473">
        <w:t xml:space="preserve">Cesbron </w:t>
      </w:r>
      <w:r w:rsidRPr="00315473">
        <w:rPr>
          <w:i/>
          <w:iCs/>
        </w:rPr>
        <w:t>et al</w:t>
      </w:r>
      <w:r w:rsidRPr="00315473">
        <w:t>., 2020</w:t>
      </w:r>
      <w:bookmarkEnd w:id="72"/>
      <w:r w:rsidRPr="00315473">
        <w:t xml:space="preserve">) </w:t>
      </w:r>
      <w:r w:rsidR="00F9475A">
        <w:t xml:space="preserve">and can be used with </w:t>
      </w:r>
      <w:r w:rsidR="00F9475A" w:rsidRPr="001A1073">
        <w:rPr>
          <w:i/>
        </w:rPr>
        <w:t>cysG</w:t>
      </w:r>
      <w:r w:rsidR="00F9475A">
        <w:t xml:space="preserve"> and </w:t>
      </w:r>
      <w:r w:rsidR="00F9475A" w:rsidRPr="001A1073">
        <w:rPr>
          <w:i/>
        </w:rPr>
        <w:t>malF</w:t>
      </w:r>
      <w:r w:rsidR="00F9475A">
        <w:t xml:space="preserve"> when </w:t>
      </w:r>
      <w:r w:rsidR="00D415AF">
        <w:t>ML</w:t>
      </w:r>
      <w:r w:rsidR="00F9475A">
        <w:t>ST is not successful.</w:t>
      </w:r>
      <w:r>
        <w:t xml:space="preserve"> </w:t>
      </w:r>
      <w:r w:rsidRPr="000860F1">
        <w:t xml:space="preserve"> </w:t>
      </w:r>
      <w:r w:rsidR="00D962F0" w:rsidRPr="000860F1">
        <w:rPr>
          <w:szCs w:val="22"/>
        </w:rPr>
        <w:t xml:space="preserve">The </w:t>
      </w:r>
      <w:r w:rsidR="00C23B94" w:rsidRPr="000860F1">
        <w:rPr>
          <w:szCs w:val="22"/>
        </w:rPr>
        <w:t>methods</w:t>
      </w:r>
      <w:r w:rsidR="00D962F0" w:rsidRPr="000860F1">
        <w:rPr>
          <w:szCs w:val="22"/>
        </w:rPr>
        <w:t xml:space="preserve"> described above have mainly been developed on pure cultures but can be used on DNA extract from plants except for the PCR by Hernandez-Martinez </w:t>
      </w:r>
      <w:r w:rsidR="00D962F0" w:rsidRPr="000860F1">
        <w:rPr>
          <w:i/>
          <w:szCs w:val="22"/>
        </w:rPr>
        <w:t>et</w:t>
      </w:r>
      <w:r w:rsidR="00E35F2A" w:rsidRPr="000860F1">
        <w:rPr>
          <w:i/>
          <w:iCs/>
        </w:rPr>
        <w:t> </w:t>
      </w:r>
      <w:r w:rsidR="00D962F0" w:rsidRPr="000860F1">
        <w:rPr>
          <w:i/>
          <w:szCs w:val="22"/>
        </w:rPr>
        <w:t>al.</w:t>
      </w:r>
      <w:r w:rsidR="00D962F0" w:rsidRPr="000860F1">
        <w:rPr>
          <w:szCs w:val="22"/>
        </w:rPr>
        <w:t xml:space="preserve"> (2006). However, it is recognized that the quantity and quality of target DNA, or the occurrence of possible mixed infections</w:t>
      </w:r>
      <w:r w:rsidR="00BF49AF" w:rsidRPr="000860F1">
        <w:rPr>
          <w:szCs w:val="22"/>
        </w:rPr>
        <w:t>,</w:t>
      </w:r>
      <w:r w:rsidR="00D962F0" w:rsidRPr="000860F1">
        <w:rPr>
          <w:szCs w:val="22"/>
        </w:rPr>
        <w:t xml:space="preserve"> may </w:t>
      </w:r>
      <w:r w:rsidR="00BF49AF" w:rsidRPr="000860F1">
        <w:rPr>
          <w:szCs w:val="22"/>
        </w:rPr>
        <w:t>mean that not</w:t>
      </w:r>
      <w:r w:rsidR="00D962F0" w:rsidRPr="000860F1">
        <w:rPr>
          <w:szCs w:val="22"/>
        </w:rPr>
        <w:t xml:space="preserve"> all amplicons </w:t>
      </w:r>
      <w:r w:rsidR="00BF49AF" w:rsidRPr="000860F1">
        <w:rPr>
          <w:szCs w:val="22"/>
        </w:rPr>
        <w:t xml:space="preserve">are obtained </w:t>
      </w:r>
      <w:r w:rsidR="00D962F0" w:rsidRPr="000860F1">
        <w:rPr>
          <w:szCs w:val="22"/>
        </w:rPr>
        <w:t xml:space="preserve">or </w:t>
      </w:r>
      <w:r w:rsidR="00BF49AF" w:rsidRPr="000860F1">
        <w:rPr>
          <w:szCs w:val="22"/>
        </w:rPr>
        <w:t xml:space="preserve">may prevent </w:t>
      </w:r>
      <w:r w:rsidR="00D962F0" w:rsidRPr="000860F1">
        <w:rPr>
          <w:szCs w:val="22"/>
        </w:rPr>
        <w:t xml:space="preserve">clear assignment of subspecies. </w:t>
      </w:r>
    </w:p>
    <w:p w14:paraId="72190A42" w14:textId="138CC3E8" w:rsidR="008E6998" w:rsidRPr="000860F1" w:rsidRDefault="000330D6">
      <w:pPr>
        <w:pStyle w:val="IPPHeading1"/>
      </w:pPr>
      <w:bookmarkStart w:id="73" w:name="_Toc137983556"/>
      <w:bookmarkStart w:id="74" w:name="_Toc111710157"/>
      <w:r w:rsidRPr="000860F1">
        <w:t>5.</w:t>
      </w:r>
      <w:r w:rsidRPr="000860F1">
        <w:tab/>
      </w:r>
      <w:bookmarkEnd w:id="73"/>
      <w:r w:rsidRPr="000860F1">
        <w:t>Records</w:t>
      </w:r>
      <w:bookmarkEnd w:id="74"/>
    </w:p>
    <w:p w14:paraId="528ABEC3" w14:textId="23818F3D" w:rsidR="00B35E77" w:rsidRPr="000860F1" w:rsidRDefault="000330D6" w:rsidP="004C1B1F">
      <w:pPr>
        <w:pStyle w:val="IPPParagraphnumbering"/>
      </w:pPr>
      <w:r w:rsidRPr="000860F1">
        <w:t>Records and evidence should be retained as described in section 2.5 of ISPM 27 (</w:t>
      </w:r>
      <w:r w:rsidRPr="000860F1">
        <w:rPr>
          <w:i/>
        </w:rPr>
        <w:t>Diagnostic protocols for regulated pests</w:t>
      </w:r>
      <w:r w:rsidRPr="000860F1">
        <w:t>).</w:t>
      </w:r>
    </w:p>
    <w:p w14:paraId="44CE1AC5" w14:textId="6986D2A9" w:rsidR="00BD634A" w:rsidRPr="000860F1" w:rsidRDefault="000330D6" w:rsidP="004C1B1F">
      <w:pPr>
        <w:pStyle w:val="IPPParagraphnumbering"/>
      </w:pPr>
      <w:r w:rsidRPr="000860F1">
        <w:t xml:space="preserve">In cases where other contracting parties may be affected by the results of the diagnosis, </w:t>
      </w:r>
      <w:r w:rsidR="00BD634A" w:rsidRPr="000860F1">
        <w:t>in particular in cases of non-compliance (ISPM</w:t>
      </w:r>
      <w:r w:rsidR="00F07E24" w:rsidRPr="000860F1">
        <w:t> </w:t>
      </w:r>
      <w:r w:rsidR="00BD634A" w:rsidRPr="000860F1">
        <w:t>13 (</w:t>
      </w:r>
      <w:r w:rsidR="00BD634A" w:rsidRPr="000860F1">
        <w:rPr>
          <w:i/>
        </w:rPr>
        <w:t xml:space="preserve">Guidelines for </w:t>
      </w:r>
      <w:r w:rsidR="00F76651" w:rsidRPr="000860F1">
        <w:rPr>
          <w:i/>
        </w:rPr>
        <w:t xml:space="preserve">the </w:t>
      </w:r>
      <w:r w:rsidR="00BD634A" w:rsidRPr="000860F1">
        <w:rPr>
          <w:i/>
        </w:rPr>
        <w:t>notification of non-compliance and emergency action</w:t>
      </w:r>
      <w:r w:rsidR="00BD634A" w:rsidRPr="000860F1">
        <w:t>)) and where the bacterium is found in an area for the first time, the following additional material should be kept for at least one year in a manner that ensures traceability:</w:t>
      </w:r>
    </w:p>
    <w:p w14:paraId="609AA5AF" w14:textId="3583FF17" w:rsidR="002D48B0" w:rsidRPr="000860F1" w:rsidRDefault="008E5E77" w:rsidP="00786AC8">
      <w:pPr>
        <w:pStyle w:val="IPPBullet1"/>
      </w:pPr>
      <w:r>
        <w:t>P</w:t>
      </w:r>
      <w:r w:rsidR="00BD634A" w:rsidRPr="000860F1">
        <w:t xml:space="preserve">hotographs of symptoms and signs, printouts of ELISA plate results, </w:t>
      </w:r>
      <w:r w:rsidR="00E94EFA">
        <w:t xml:space="preserve">and </w:t>
      </w:r>
      <w:r w:rsidR="00BD634A" w:rsidRPr="000860F1">
        <w:t>photographs of DNA agarose gels</w:t>
      </w:r>
      <w:r w:rsidR="00E94EFA">
        <w:t xml:space="preserve"> should be retained</w:t>
      </w:r>
      <w:r>
        <w:t>.</w:t>
      </w:r>
    </w:p>
    <w:p w14:paraId="00CD93FD" w14:textId="46BB296F" w:rsidR="002D48B0" w:rsidRPr="000860F1" w:rsidRDefault="008E5E77" w:rsidP="00786AC8">
      <w:pPr>
        <w:pStyle w:val="IPPBullet1"/>
      </w:pPr>
      <w:r>
        <w:t>C</w:t>
      </w:r>
      <w:r w:rsidR="00BD634A" w:rsidRPr="000860F1">
        <w:t xml:space="preserve">ultures can be stored at </w:t>
      </w:r>
      <w:r w:rsidR="00AB0FD3">
        <w:t>−</w:t>
      </w:r>
      <w:r w:rsidR="00BD634A" w:rsidRPr="000860F1">
        <w:t>80</w:t>
      </w:r>
      <w:r w:rsidR="00C27C5F" w:rsidRPr="000860F1">
        <w:t> °</w:t>
      </w:r>
      <w:r w:rsidR="0003262D" w:rsidRPr="000860F1">
        <w:t>C</w:t>
      </w:r>
      <w:r w:rsidR="00BD634A" w:rsidRPr="000860F1">
        <w:t xml:space="preserve"> or stored in an international culture collection</w:t>
      </w:r>
      <w:r>
        <w:t>.</w:t>
      </w:r>
    </w:p>
    <w:p w14:paraId="153FAD6E" w14:textId="5D10CF0B" w:rsidR="002D48B0" w:rsidRPr="000860F1" w:rsidRDefault="008E5E77" w:rsidP="00786AC8">
      <w:pPr>
        <w:pStyle w:val="IPPBullet1"/>
      </w:pPr>
      <w:r>
        <w:t>T</w:t>
      </w:r>
      <w:r w:rsidR="00BD634A" w:rsidRPr="000860F1">
        <w:t>he orig</w:t>
      </w:r>
      <w:r w:rsidR="009F3BB7" w:rsidRPr="000860F1">
        <w:t xml:space="preserve">inal sample (labelled appropriately) should be kept frozen if possible at </w:t>
      </w:r>
      <w:r w:rsidR="00AB0FD3">
        <w:t>−</w:t>
      </w:r>
      <w:r w:rsidR="009F3BB7" w:rsidRPr="000860F1">
        <w:t>80</w:t>
      </w:r>
      <w:r w:rsidR="00C27C5F" w:rsidRPr="000860F1">
        <w:t> °</w:t>
      </w:r>
      <w:r w:rsidR="0003262D" w:rsidRPr="000860F1">
        <w:t>C</w:t>
      </w:r>
      <w:r w:rsidR="00E94EFA">
        <w:t>,</w:t>
      </w:r>
      <w:r w:rsidR="009F3BB7" w:rsidRPr="000860F1">
        <w:t xml:space="preserve"> or freeze-dried and kept at room temperature</w:t>
      </w:r>
      <w:r>
        <w:t>.</w:t>
      </w:r>
    </w:p>
    <w:p w14:paraId="5B16A0EE" w14:textId="5897C371" w:rsidR="009F3BB7" w:rsidRPr="000860F1" w:rsidRDefault="009F3BB7" w:rsidP="00786AC8">
      <w:pPr>
        <w:pStyle w:val="IPPBullet1Last"/>
      </w:pPr>
      <w:r w:rsidRPr="000860F1">
        <w:t xml:space="preserve">If relevant, DNA extracts should be kept at </w:t>
      </w:r>
      <w:r w:rsidR="00AB0FD3">
        <w:t>−</w:t>
      </w:r>
      <w:r w:rsidRPr="000860F1">
        <w:t>80</w:t>
      </w:r>
      <w:r w:rsidR="00C27C5F" w:rsidRPr="000860F1">
        <w:t> °</w:t>
      </w:r>
      <w:r w:rsidR="0003262D" w:rsidRPr="000860F1">
        <w:t>C</w:t>
      </w:r>
      <w:r w:rsidRPr="000860F1">
        <w:t xml:space="preserve"> and PCR amplification products at </w:t>
      </w:r>
      <w:r w:rsidR="00AB0FD3">
        <w:t>−</w:t>
      </w:r>
      <w:r w:rsidRPr="000860F1">
        <w:t>20</w:t>
      </w:r>
      <w:r w:rsidR="00C27C5F" w:rsidRPr="000860F1">
        <w:t> °</w:t>
      </w:r>
      <w:r w:rsidR="0003262D" w:rsidRPr="000860F1">
        <w:t>C</w:t>
      </w:r>
      <w:r w:rsidRPr="000860F1">
        <w:t>.</w:t>
      </w:r>
    </w:p>
    <w:p w14:paraId="086F6F59" w14:textId="51319FE4" w:rsidR="008E6998" w:rsidRPr="000860F1" w:rsidRDefault="000330D6">
      <w:pPr>
        <w:pStyle w:val="IPPHeading1"/>
      </w:pPr>
      <w:bookmarkStart w:id="75" w:name="_Toc137983557"/>
      <w:bookmarkStart w:id="76" w:name="_Toc111710158"/>
      <w:r w:rsidRPr="000860F1">
        <w:t>6.</w:t>
      </w:r>
      <w:r w:rsidRPr="000860F1">
        <w:tab/>
      </w:r>
      <w:bookmarkEnd w:id="75"/>
      <w:r w:rsidRPr="000860F1">
        <w:t>Contact Points for Further Information</w:t>
      </w:r>
      <w:bookmarkEnd w:id="76"/>
    </w:p>
    <w:p w14:paraId="360F5491" w14:textId="3A998FA9" w:rsidR="008E6998" w:rsidRPr="000860F1" w:rsidRDefault="000330D6" w:rsidP="004C1B1F">
      <w:pPr>
        <w:pStyle w:val="IPPParagraphnumbering"/>
      </w:pPr>
      <w:r w:rsidRPr="000860F1">
        <w:t>Further information on this protocol can be obtained from:</w:t>
      </w:r>
      <w:r w:rsidR="008708FA">
        <w:t xml:space="preserve"> </w:t>
      </w:r>
      <w:r w:rsidR="008708FA" w:rsidRPr="008708FA">
        <w:rPr>
          <w:highlight w:val="yellow"/>
        </w:rPr>
        <w:t>[Still to be updated with the latest author info]</w:t>
      </w:r>
    </w:p>
    <w:p w14:paraId="052C111A" w14:textId="3FB306F6" w:rsidR="008E6998" w:rsidRPr="000860F1" w:rsidRDefault="000330D6" w:rsidP="004C1B1F">
      <w:pPr>
        <w:pStyle w:val="IPPParagraphnumbering"/>
      </w:pPr>
      <w:r w:rsidRPr="000860F1">
        <w:t xml:space="preserve">Austrian Agency for Health and Food Safety (AGES), Plant Health Laboratory, Spargelfeldstraße 191, 1220 Vienna, Austria (Helga Reisenzein; email: </w:t>
      </w:r>
      <w:hyperlink r:id="rId22" w:history="1">
        <w:r w:rsidRPr="000860F1">
          <w:rPr>
            <w:rStyle w:val="Hyperlink"/>
          </w:rPr>
          <w:t>Helga.reisenzein@ages.at</w:t>
        </w:r>
      </w:hyperlink>
      <w:r w:rsidRPr="000860F1">
        <w:t>).</w:t>
      </w:r>
    </w:p>
    <w:p w14:paraId="0698BE6F" w14:textId="521EE91A" w:rsidR="008E6998" w:rsidRPr="000860F1" w:rsidRDefault="000330D6" w:rsidP="004C1B1F">
      <w:pPr>
        <w:pStyle w:val="IPPParagraphnumbering"/>
      </w:pPr>
      <w:r w:rsidRPr="000860F1">
        <w:t xml:space="preserve">Ministry for Primary Industries, Plant Health and Environment Laboratory, PO </w:t>
      </w:r>
      <w:r w:rsidR="00802ACD" w:rsidRPr="000860F1">
        <w:t>B</w:t>
      </w:r>
      <w:r w:rsidRPr="000860F1">
        <w:t xml:space="preserve">ox 2095, Auckland 1140, New Zealand (Robert Taylor; email: </w:t>
      </w:r>
      <w:hyperlink r:id="rId23" w:history="1">
        <w:r w:rsidRPr="000860F1">
          <w:rPr>
            <w:rStyle w:val="Hyperlink"/>
          </w:rPr>
          <w:t>Robert.taylor@mpi.govt.nz</w:t>
        </w:r>
      </w:hyperlink>
      <w:r w:rsidRPr="000860F1">
        <w:t>).</w:t>
      </w:r>
    </w:p>
    <w:p w14:paraId="2CCE4D57" w14:textId="06E16D34" w:rsidR="008E6998" w:rsidRPr="000860F1" w:rsidRDefault="000330D6" w:rsidP="004C1B1F">
      <w:pPr>
        <w:pStyle w:val="IPPParagraphnumbering"/>
      </w:pPr>
      <w:r w:rsidRPr="000860F1">
        <w:t xml:space="preserve">United States Department of Agriculture (USDA), Agricultural Research Service (ARS), Molecular Plant Pathology Laboratory, Beltsville Agriculture Research Center-West, 10300 Baltimore Avenue, Beltsville, MD 20705, United States of America (John Hartung; email: </w:t>
      </w:r>
      <w:hyperlink r:id="rId24" w:history="1">
        <w:r w:rsidRPr="000860F1">
          <w:rPr>
            <w:rStyle w:val="Hyperlink"/>
          </w:rPr>
          <w:t>John.hartung@ars.usda.gov</w:t>
        </w:r>
      </w:hyperlink>
      <w:r w:rsidRPr="000860F1">
        <w:t>).</w:t>
      </w:r>
    </w:p>
    <w:p w14:paraId="0179D21C" w14:textId="112726CE" w:rsidR="008E6998" w:rsidRPr="000860F1" w:rsidRDefault="000330D6" w:rsidP="004C1B1F">
      <w:pPr>
        <w:pStyle w:val="IPPParagraphnumbering"/>
      </w:pPr>
      <w:r w:rsidRPr="000860F1">
        <w:t xml:space="preserve">USDA Animal Plant Health and Inspection Service (APHIS), Plant Protection and Quarantine (PPQ), Phytosanitary Issues Management, 4700 River Road, Riverdale, MD 20737, United States of America (Wenbin Li; email: </w:t>
      </w:r>
      <w:hyperlink r:id="rId25" w:history="1">
        <w:r w:rsidRPr="000860F1">
          <w:rPr>
            <w:rStyle w:val="Hyperlink"/>
          </w:rPr>
          <w:t>Wenbin.li@aphis.usda.gov</w:t>
        </w:r>
      </w:hyperlink>
      <w:r w:rsidRPr="000860F1">
        <w:t>).</w:t>
      </w:r>
    </w:p>
    <w:p w14:paraId="397E24EF" w14:textId="2608682E" w:rsidR="008E6998" w:rsidRPr="000860F1" w:rsidRDefault="000330D6" w:rsidP="004C1B1F">
      <w:pPr>
        <w:pStyle w:val="IPPParagraphnumbering"/>
        <w:rPr>
          <w:shd w:val="clear" w:color="auto" w:fill="99CCFF"/>
        </w:rPr>
      </w:pPr>
      <w:r w:rsidRPr="000860F1">
        <w:t>A request for a revision to a diagnostic protocol may be submitted by national plant protection organizations (NPPOs), regional plant protection organizations (RPPOs) or Commission on Phytosanitary Measures (CPM) subsidiary bodies through the IPPC Secretariat (</w:t>
      </w:r>
      <w:hyperlink r:id="rId26" w:history="1">
        <w:r w:rsidRPr="000860F1">
          <w:rPr>
            <w:rStyle w:val="Hyperlink"/>
          </w:rPr>
          <w:t>ippc@fao.org</w:t>
        </w:r>
      </w:hyperlink>
      <w:r w:rsidRPr="000860F1">
        <w:t>), which will forward it to the Technical Panel on Diagnostic Protocols (TPDP).</w:t>
      </w:r>
    </w:p>
    <w:p w14:paraId="375BB779" w14:textId="2B918128" w:rsidR="008E6998" w:rsidRPr="000860F1" w:rsidRDefault="000330D6">
      <w:pPr>
        <w:pStyle w:val="IPPHeading1"/>
      </w:pPr>
      <w:bookmarkStart w:id="77" w:name="_Toc137983558"/>
      <w:bookmarkStart w:id="78" w:name="_Toc111710159"/>
      <w:r w:rsidRPr="000860F1">
        <w:t>7.</w:t>
      </w:r>
      <w:r w:rsidRPr="000860F1">
        <w:tab/>
      </w:r>
      <w:bookmarkEnd w:id="77"/>
      <w:r w:rsidRPr="000860F1">
        <w:t>Acknowledgements</w:t>
      </w:r>
      <w:bookmarkEnd w:id="78"/>
    </w:p>
    <w:p w14:paraId="549A694F" w14:textId="681FD7F9" w:rsidR="008E6998" w:rsidRPr="00703471" w:rsidRDefault="000330D6" w:rsidP="004C1B1F">
      <w:pPr>
        <w:pStyle w:val="IPPParagraphnumbering"/>
        <w:rPr>
          <w:rFonts w:eastAsia="Times New Roman"/>
          <w:b/>
          <w:bCs/>
        </w:rPr>
      </w:pPr>
      <w:r w:rsidRPr="00703471">
        <w:t xml:space="preserve">This diagnostic protocol was drafted by </w:t>
      </w:r>
      <w:r w:rsidR="00F2254C" w:rsidRPr="00703471">
        <w:t>Sophie CESBRON</w:t>
      </w:r>
      <w:r w:rsidRPr="00703471">
        <w:t xml:space="preserve"> (</w:t>
      </w:r>
      <w:r w:rsidR="00F2254C" w:rsidRPr="00703471">
        <w:t>INRAe</w:t>
      </w:r>
      <w:r w:rsidR="002E779C" w:rsidRPr="00703471">
        <w:t xml:space="preserve">, </w:t>
      </w:r>
      <w:r w:rsidR="00F2254C" w:rsidRPr="00703471">
        <w:t>France</w:t>
      </w:r>
      <w:r w:rsidRPr="00703471">
        <w:t>), Robert Taylor (Plant Health and Environment Laboratory, Ministry for Primary Industries, New Zealand (see preceding section)),</w:t>
      </w:r>
      <w:r w:rsidR="00A94F49" w:rsidRPr="00703471">
        <w:t xml:space="preserve"> Bruno Legendre (Anses, Plant Health Laboratory, France)</w:t>
      </w:r>
      <w:r w:rsidR="002211B8" w:rsidRPr="00703471">
        <w:t>, Helvecio Della Coletta Filho (</w:t>
      </w:r>
      <w:hyperlink r:id="rId27" w:history="1">
        <w:r w:rsidR="002211B8" w:rsidRPr="00703471">
          <w:rPr>
            <w:rStyle w:val="Hyperlink"/>
            <w:color w:val="000000" w:themeColor="text1"/>
            <w:szCs w:val="22"/>
            <w:bdr w:val="none" w:sz="0" w:space="0" w:color="auto" w:frame="1"/>
          </w:rPr>
          <w:t>Instituto Agronômico de Campinas</w:t>
        </w:r>
      </w:hyperlink>
      <w:r w:rsidR="002211B8" w:rsidRPr="00703471">
        <w:t>, Brazil) and Toni Chapman (</w:t>
      </w:r>
      <w:hyperlink r:id="rId28" w:history="1">
        <w:r w:rsidR="002211B8" w:rsidRPr="00703471">
          <w:rPr>
            <w:rStyle w:val="Hyperlink"/>
            <w:color w:val="000000" w:themeColor="text1"/>
            <w:spacing w:val="-3"/>
            <w:szCs w:val="22"/>
            <w:shd w:val="clear" w:color="auto" w:fill="FFFFFF"/>
          </w:rPr>
          <w:t>Elizabeth Macarthur Agricultural Institute</w:t>
        </w:r>
      </w:hyperlink>
      <w:r w:rsidR="002211B8" w:rsidRPr="00703471">
        <w:t>, Australia)</w:t>
      </w:r>
    </w:p>
    <w:p w14:paraId="42C6D90F" w14:textId="18216C64" w:rsidR="008E6998" w:rsidRPr="000860F1" w:rsidRDefault="000330D6" w:rsidP="004C1B1F">
      <w:pPr>
        <w:pStyle w:val="IPPParagraphnumbering"/>
      </w:pPr>
      <w:r w:rsidRPr="000860F1">
        <w:t xml:space="preserve">The diagnostic protocol developed for the detection of </w:t>
      </w:r>
      <w:r w:rsidRPr="000860F1">
        <w:rPr>
          <w:i/>
        </w:rPr>
        <w:t>X.</w:t>
      </w:r>
      <w:r w:rsidR="00DA03BE" w:rsidRPr="000860F1">
        <w:rPr>
          <w:i/>
        </w:rPr>
        <w:t> </w:t>
      </w:r>
      <w:r w:rsidRPr="000860F1">
        <w:rPr>
          <w:i/>
        </w:rPr>
        <w:t>fastidiosa</w:t>
      </w:r>
      <w:r w:rsidRPr="000860F1">
        <w:t xml:space="preserve"> in the European and Mediterranean Plant Protection Organization (EPPO) region (</w:t>
      </w:r>
      <w:r w:rsidR="00EE16FD" w:rsidRPr="000860F1">
        <w:t xml:space="preserve">EPPO, </w:t>
      </w:r>
      <w:r w:rsidR="002211B8" w:rsidRPr="000860F1">
        <w:t>20</w:t>
      </w:r>
      <w:r w:rsidR="002211B8">
        <w:t>xx</w:t>
      </w:r>
      <w:r w:rsidRPr="000860F1">
        <w:t xml:space="preserve">) was used as an important contribution to the drafting of this protocol. </w:t>
      </w:r>
    </w:p>
    <w:p w14:paraId="6181FABA" w14:textId="527EBE51" w:rsidR="008E6998" w:rsidRPr="000860F1" w:rsidRDefault="000330D6">
      <w:pPr>
        <w:pStyle w:val="IPPHeading1"/>
      </w:pPr>
      <w:bookmarkStart w:id="79" w:name="_Toc111710160"/>
      <w:r w:rsidRPr="000860F1">
        <w:t>8.</w:t>
      </w:r>
      <w:r w:rsidRPr="000860F1">
        <w:tab/>
        <w:t>Figures</w:t>
      </w:r>
      <w:bookmarkEnd w:id="79"/>
    </w:p>
    <w:p w14:paraId="527C8916" w14:textId="063484C4" w:rsidR="008E6998" w:rsidRPr="000860F1" w:rsidRDefault="000330D6" w:rsidP="004C1B1F">
      <w:pPr>
        <w:pStyle w:val="IPPParagraphnumbering"/>
      </w:pPr>
      <w:r w:rsidRPr="000860F1">
        <w:t xml:space="preserve">No figures are included in the protocol itself. Pictures of symptoms are accessible </w:t>
      </w:r>
      <w:r w:rsidR="00C00D26" w:rsidRPr="000860F1">
        <w:t xml:space="preserve">on the EPPO global database website </w:t>
      </w:r>
      <w:r w:rsidRPr="000860F1">
        <w:t xml:space="preserve">at </w:t>
      </w:r>
      <w:hyperlink r:id="rId29" w:history="1">
        <w:r w:rsidRPr="000860F1">
          <w:rPr>
            <w:rStyle w:val="Hyperlink"/>
          </w:rPr>
          <w:t>https://gd.eppo.int/taxon/XYLEFA/photos</w:t>
        </w:r>
      </w:hyperlink>
      <w:r w:rsidRPr="000860F1">
        <w:t>.</w:t>
      </w:r>
    </w:p>
    <w:p w14:paraId="0EA3F0D4" w14:textId="27D604F5" w:rsidR="008E6998" w:rsidRPr="000860F1" w:rsidRDefault="000330D6">
      <w:pPr>
        <w:pStyle w:val="IPPHeading1"/>
      </w:pPr>
      <w:bookmarkStart w:id="80" w:name="_Toc137983559"/>
      <w:bookmarkStart w:id="81" w:name="_Toc111710161"/>
      <w:r w:rsidRPr="000860F1">
        <w:t>9.</w:t>
      </w:r>
      <w:r w:rsidRPr="000860F1">
        <w:tab/>
        <w:t>References</w:t>
      </w:r>
      <w:bookmarkEnd w:id="80"/>
      <w:bookmarkEnd w:id="81"/>
    </w:p>
    <w:p w14:paraId="425AB4B4" w14:textId="1907E615" w:rsidR="008E6998" w:rsidRPr="000860F1" w:rsidRDefault="000330D6" w:rsidP="004C1B1F">
      <w:pPr>
        <w:pStyle w:val="IPPParagraphnumbering"/>
      </w:pPr>
      <w:bookmarkStart w:id="82" w:name="_ENREF_2"/>
      <w:r w:rsidRPr="000860F1">
        <w:t>The present annex may refer to ISPMs. ISPMs are available on the International Phytosanitary Portal (IPP) at </w:t>
      </w:r>
      <w:hyperlink r:id="rId30" w:history="1">
        <w:r w:rsidRPr="000860F1">
          <w:rPr>
            <w:rStyle w:val="Hyperlink"/>
            <w:szCs w:val="22"/>
          </w:rPr>
          <w:t>https://www.ippc.int/core-activities/standards-setting/ispms</w:t>
        </w:r>
      </w:hyperlink>
      <w:r w:rsidRPr="000860F1">
        <w:t>.</w:t>
      </w:r>
    </w:p>
    <w:p w14:paraId="2CD3465E" w14:textId="5F127B09" w:rsidR="008E6998" w:rsidRPr="000078B0" w:rsidRDefault="000330D6" w:rsidP="004C1B1F">
      <w:pPr>
        <w:pStyle w:val="IPPParagraphnumbering"/>
        <w:rPr>
          <w:szCs w:val="22"/>
        </w:rPr>
      </w:pPr>
      <w:r w:rsidRPr="008758F9">
        <w:rPr>
          <w:b/>
          <w:szCs w:val="22"/>
        </w:rPr>
        <w:t>Aldrich, J.H., Gould, A.B. &amp; Martin, F.G.</w:t>
      </w:r>
      <w:r w:rsidRPr="008758F9">
        <w:rPr>
          <w:szCs w:val="22"/>
        </w:rPr>
        <w:t xml:space="preserve"> 1992. Distribution of </w:t>
      </w:r>
      <w:r w:rsidRPr="008758F9">
        <w:rPr>
          <w:i/>
          <w:szCs w:val="22"/>
        </w:rPr>
        <w:t>Xylella fastidiosa</w:t>
      </w:r>
      <w:r w:rsidRPr="008758F9">
        <w:rPr>
          <w:szCs w:val="22"/>
        </w:rPr>
        <w:t xml:space="preserve"> with</w:t>
      </w:r>
      <w:r w:rsidRPr="00A37893">
        <w:rPr>
          <w:szCs w:val="22"/>
        </w:rPr>
        <w:t xml:space="preserve">in roots of peach. </w:t>
      </w:r>
      <w:r w:rsidRPr="00A37893">
        <w:rPr>
          <w:i/>
          <w:szCs w:val="22"/>
        </w:rPr>
        <w:t>Plant Disease</w:t>
      </w:r>
      <w:r w:rsidRPr="00151BEF">
        <w:rPr>
          <w:szCs w:val="22"/>
        </w:rPr>
        <w:t>, 76: 885–888.</w:t>
      </w:r>
      <w:bookmarkEnd w:id="82"/>
    </w:p>
    <w:p w14:paraId="403F49FB" w14:textId="33FF6D2F" w:rsidR="008E6998" w:rsidRPr="00FB06DC" w:rsidRDefault="000330D6" w:rsidP="004C1B1F">
      <w:pPr>
        <w:pStyle w:val="IPPParagraphnumbering"/>
        <w:rPr>
          <w:szCs w:val="22"/>
        </w:rPr>
      </w:pPr>
      <w:bookmarkStart w:id="83" w:name="_ENREF_4"/>
      <w:r w:rsidRPr="00C6306C">
        <w:rPr>
          <w:b/>
          <w:szCs w:val="22"/>
        </w:rPr>
        <w:t>Almeida, R.P.P., Blua, M.J., Lopes, J.R.S. &amp; Purcell, A.H.</w:t>
      </w:r>
      <w:r w:rsidRPr="00C6306C">
        <w:rPr>
          <w:szCs w:val="22"/>
        </w:rPr>
        <w:t xml:space="preserve"> 2005. Vector tr</w:t>
      </w:r>
      <w:r w:rsidRPr="00A94F49">
        <w:rPr>
          <w:szCs w:val="22"/>
        </w:rPr>
        <w:t xml:space="preserve">ansmission of </w:t>
      </w:r>
      <w:r w:rsidRPr="00716623">
        <w:rPr>
          <w:i/>
          <w:szCs w:val="22"/>
        </w:rPr>
        <w:t>Xylella fastidiosa</w:t>
      </w:r>
      <w:r w:rsidRPr="00E35D00">
        <w:rPr>
          <w:szCs w:val="22"/>
        </w:rPr>
        <w:t xml:space="preserve">: Applying fundamental knowledge to generate disease management strategies. </w:t>
      </w:r>
      <w:r w:rsidRPr="00BE170D">
        <w:rPr>
          <w:i/>
          <w:szCs w:val="22"/>
        </w:rPr>
        <w:t>Annals of the Entomological Society of America</w:t>
      </w:r>
      <w:r w:rsidRPr="00BE170D">
        <w:rPr>
          <w:szCs w:val="22"/>
        </w:rPr>
        <w:t>, 98: 775–786.</w:t>
      </w:r>
      <w:bookmarkEnd w:id="83"/>
    </w:p>
    <w:p w14:paraId="60489190" w14:textId="4B71D115" w:rsidR="00383423" w:rsidRPr="007E60D9" w:rsidRDefault="00383423" w:rsidP="004C1B1F">
      <w:pPr>
        <w:pStyle w:val="IPPParagraphnumbering"/>
        <w:rPr>
          <w:rFonts w:eastAsiaTheme="minorHAnsi"/>
          <w:szCs w:val="22"/>
        </w:rPr>
      </w:pPr>
      <w:r w:rsidRPr="000D78FD">
        <w:rPr>
          <w:b/>
          <w:szCs w:val="22"/>
          <w:lang w:val="pt-BR"/>
        </w:rPr>
        <w:t>Almeida, R.P.P., Coletta-Filho, H.D.</w:t>
      </w:r>
      <w:r w:rsidR="003C39FD" w:rsidRPr="000D78FD">
        <w:rPr>
          <w:b/>
          <w:szCs w:val="22"/>
          <w:lang w:val="pt-BR"/>
        </w:rPr>
        <w:t xml:space="preserve"> &amp;</w:t>
      </w:r>
      <w:r w:rsidRPr="000D78FD">
        <w:rPr>
          <w:b/>
          <w:szCs w:val="22"/>
          <w:lang w:val="pt-BR"/>
        </w:rPr>
        <w:t xml:space="preserve"> Lopes, J.R.S.</w:t>
      </w:r>
      <w:r w:rsidRPr="000D78FD">
        <w:rPr>
          <w:szCs w:val="22"/>
          <w:lang w:val="pt-BR"/>
        </w:rPr>
        <w:t xml:space="preserve"> 2014.</w:t>
      </w:r>
      <w:r w:rsidR="003C39FD" w:rsidRPr="000D78FD">
        <w:rPr>
          <w:szCs w:val="22"/>
          <w:lang w:val="pt-BR"/>
        </w:rPr>
        <w:t xml:space="preserve"> </w:t>
      </w:r>
      <w:r w:rsidRPr="005C3D8E">
        <w:rPr>
          <w:i/>
          <w:iCs/>
          <w:szCs w:val="22"/>
          <w:lang w:val="it-IT"/>
        </w:rPr>
        <w:t>Xylella fastidiosa</w:t>
      </w:r>
      <w:r w:rsidRPr="005C3D8E">
        <w:rPr>
          <w:szCs w:val="22"/>
          <w:lang w:val="it-IT"/>
        </w:rPr>
        <w:t xml:space="preserve">. </w:t>
      </w:r>
      <w:r w:rsidRPr="005C3D8E">
        <w:rPr>
          <w:iCs/>
          <w:szCs w:val="22"/>
          <w:lang w:val="it-IT"/>
        </w:rPr>
        <w:t>In</w:t>
      </w:r>
      <w:r w:rsidR="003C39FD" w:rsidRPr="005C3D8E">
        <w:rPr>
          <w:szCs w:val="22"/>
          <w:lang w:val="it-IT"/>
        </w:rPr>
        <w:t>:</w:t>
      </w:r>
      <w:r w:rsidRPr="005C3D8E">
        <w:rPr>
          <w:szCs w:val="22"/>
          <w:lang w:val="it-IT"/>
        </w:rPr>
        <w:t xml:space="preserve"> </w:t>
      </w:r>
      <w:r w:rsidR="003C39FD" w:rsidRPr="005C3D8E">
        <w:rPr>
          <w:szCs w:val="22"/>
          <w:lang w:val="it-IT"/>
        </w:rPr>
        <w:t xml:space="preserve">D. </w:t>
      </w:r>
      <w:r w:rsidRPr="005C3D8E">
        <w:rPr>
          <w:szCs w:val="22"/>
          <w:lang w:val="it-IT"/>
        </w:rPr>
        <w:t xml:space="preserve">Liu, </w:t>
      </w:r>
      <w:r w:rsidR="003C39FD" w:rsidRPr="005C3D8E">
        <w:rPr>
          <w:szCs w:val="22"/>
          <w:lang w:val="it-IT"/>
        </w:rPr>
        <w:t>e</w:t>
      </w:r>
      <w:r w:rsidRPr="005C3D8E">
        <w:rPr>
          <w:szCs w:val="22"/>
          <w:lang w:val="it-IT"/>
        </w:rPr>
        <w:t>d</w:t>
      </w:r>
      <w:r w:rsidR="003C39FD" w:rsidRPr="005C3D8E">
        <w:rPr>
          <w:szCs w:val="22"/>
          <w:lang w:val="it-IT"/>
        </w:rPr>
        <w:t>.</w:t>
      </w:r>
      <w:r w:rsidRPr="005C3D8E">
        <w:rPr>
          <w:szCs w:val="22"/>
          <w:lang w:val="it-IT"/>
        </w:rPr>
        <w:t xml:space="preserve"> </w:t>
      </w:r>
      <w:r w:rsidRPr="00C0568C">
        <w:rPr>
          <w:i/>
          <w:szCs w:val="22"/>
        </w:rPr>
        <w:t xml:space="preserve">Manual of </w:t>
      </w:r>
      <w:r w:rsidR="003C39FD" w:rsidRPr="006334F7">
        <w:rPr>
          <w:i/>
          <w:szCs w:val="22"/>
        </w:rPr>
        <w:t>s</w:t>
      </w:r>
      <w:r w:rsidRPr="00797BAA">
        <w:rPr>
          <w:i/>
          <w:szCs w:val="22"/>
        </w:rPr>
        <w:t xml:space="preserve">ecurity </w:t>
      </w:r>
      <w:r w:rsidR="003C39FD" w:rsidRPr="00797BAA">
        <w:rPr>
          <w:i/>
          <w:szCs w:val="22"/>
        </w:rPr>
        <w:t>s</w:t>
      </w:r>
      <w:r w:rsidRPr="00797BAA">
        <w:rPr>
          <w:i/>
          <w:szCs w:val="22"/>
        </w:rPr>
        <w:t xml:space="preserve">ensitive </w:t>
      </w:r>
      <w:r w:rsidR="003C39FD" w:rsidRPr="00797BAA">
        <w:rPr>
          <w:i/>
          <w:szCs w:val="22"/>
        </w:rPr>
        <w:t>m</w:t>
      </w:r>
      <w:r w:rsidRPr="00797BAA">
        <w:rPr>
          <w:i/>
          <w:szCs w:val="22"/>
        </w:rPr>
        <w:t xml:space="preserve">icrobes and </w:t>
      </w:r>
      <w:r w:rsidR="003C39FD" w:rsidRPr="00797BAA">
        <w:rPr>
          <w:i/>
          <w:szCs w:val="22"/>
        </w:rPr>
        <w:t>t</w:t>
      </w:r>
      <w:r w:rsidRPr="007E2509">
        <w:rPr>
          <w:i/>
          <w:szCs w:val="22"/>
        </w:rPr>
        <w:t>oxins</w:t>
      </w:r>
      <w:r w:rsidR="003C39FD" w:rsidRPr="007E2509">
        <w:rPr>
          <w:szCs w:val="22"/>
        </w:rPr>
        <w:t>, pp. 841–850</w:t>
      </w:r>
      <w:r w:rsidRPr="007E2509">
        <w:rPr>
          <w:szCs w:val="22"/>
        </w:rPr>
        <w:t>. Boca Raton</w:t>
      </w:r>
      <w:r w:rsidR="003C39FD" w:rsidRPr="007E2509">
        <w:rPr>
          <w:szCs w:val="22"/>
        </w:rPr>
        <w:t>, FL, CRC Press.</w:t>
      </w:r>
      <w:r w:rsidR="006A5A4B" w:rsidRPr="007E2509">
        <w:rPr>
          <w:szCs w:val="22"/>
        </w:rPr>
        <w:t xml:space="preserve"> 884 pp.</w:t>
      </w:r>
    </w:p>
    <w:p w14:paraId="5706071C" w14:textId="00F51067" w:rsidR="008E6998" w:rsidRPr="00C6306C" w:rsidRDefault="000330D6" w:rsidP="004C1B1F">
      <w:pPr>
        <w:pStyle w:val="IPPParagraphnumbering"/>
        <w:rPr>
          <w:szCs w:val="22"/>
        </w:rPr>
      </w:pPr>
      <w:r w:rsidRPr="008758F9">
        <w:rPr>
          <w:b/>
          <w:szCs w:val="22"/>
        </w:rPr>
        <w:t>Almeida, R.P., Nascimento, F.E., Chau, J., Prado, S.S., Tsai, C.W., Lopes, S.A. &amp; Lopes, J.R.</w:t>
      </w:r>
      <w:r w:rsidRPr="008758F9">
        <w:rPr>
          <w:szCs w:val="22"/>
        </w:rPr>
        <w:t xml:space="preserve"> 2008. Genetic structure and biology of </w:t>
      </w:r>
      <w:r w:rsidRPr="00A37893">
        <w:rPr>
          <w:i/>
          <w:szCs w:val="22"/>
        </w:rPr>
        <w:t>Xylella fastidiosa</w:t>
      </w:r>
      <w:r w:rsidRPr="00A37893">
        <w:rPr>
          <w:szCs w:val="22"/>
        </w:rPr>
        <w:t xml:space="preserve"> strains causing disease in citrus and coffee in Brazil. </w:t>
      </w:r>
      <w:r w:rsidRPr="00151BEF">
        <w:rPr>
          <w:i/>
          <w:szCs w:val="22"/>
        </w:rPr>
        <w:t>Applied and Environmental Microbiology</w:t>
      </w:r>
      <w:r w:rsidRPr="000078B0">
        <w:rPr>
          <w:szCs w:val="22"/>
        </w:rPr>
        <w:t>, 74: 3690</w:t>
      </w:r>
      <w:r w:rsidR="006D3776" w:rsidRPr="00611F64">
        <w:rPr>
          <w:szCs w:val="22"/>
        </w:rPr>
        <w:t>–</w:t>
      </w:r>
      <w:r w:rsidRPr="00292E33">
        <w:rPr>
          <w:szCs w:val="22"/>
        </w:rPr>
        <w:t>3701.</w:t>
      </w:r>
    </w:p>
    <w:p w14:paraId="1D4BB0B7" w14:textId="548302C7" w:rsidR="008E6998" w:rsidRPr="00BE170D" w:rsidRDefault="000330D6" w:rsidP="004C1B1F">
      <w:pPr>
        <w:pStyle w:val="IPPParagraphnumbering"/>
        <w:rPr>
          <w:szCs w:val="22"/>
        </w:rPr>
      </w:pPr>
      <w:r w:rsidRPr="000D78FD">
        <w:rPr>
          <w:b/>
          <w:szCs w:val="22"/>
          <w:lang w:val="pt-BR"/>
        </w:rPr>
        <w:t>Almeida, R.P.P. &amp; Nunney, L.</w:t>
      </w:r>
      <w:r w:rsidRPr="000D78FD">
        <w:rPr>
          <w:szCs w:val="22"/>
          <w:lang w:val="pt-BR"/>
        </w:rPr>
        <w:t xml:space="preserve"> 2015. </w:t>
      </w:r>
      <w:r w:rsidRPr="00C6306C">
        <w:rPr>
          <w:szCs w:val="22"/>
        </w:rPr>
        <w:t xml:space="preserve">How do plant diseases caused by </w:t>
      </w:r>
      <w:r w:rsidRPr="00A94F49">
        <w:rPr>
          <w:i/>
          <w:szCs w:val="22"/>
        </w:rPr>
        <w:t>Xylella fastidiosa</w:t>
      </w:r>
      <w:r w:rsidRPr="00716623">
        <w:rPr>
          <w:szCs w:val="22"/>
        </w:rPr>
        <w:t xml:space="preserve"> emerge? </w:t>
      </w:r>
      <w:r w:rsidRPr="00E35D00">
        <w:rPr>
          <w:i/>
          <w:szCs w:val="22"/>
        </w:rPr>
        <w:t>Plant Disease</w:t>
      </w:r>
      <w:r w:rsidRPr="00BE170D">
        <w:rPr>
          <w:szCs w:val="22"/>
        </w:rPr>
        <w:t>, 99:1457–1467.</w:t>
      </w:r>
    </w:p>
    <w:p w14:paraId="7BC71366" w14:textId="410E7173" w:rsidR="008E6998" w:rsidRPr="00D415AF" w:rsidRDefault="000330D6" w:rsidP="004C1B1F">
      <w:pPr>
        <w:pStyle w:val="IPPParagraphnumbering"/>
        <w:rPr>
          <w:szCs w:val="22"/>
        </w:rPr>
      </w:pPr>
      <w:r w:rsidRPr="00BE170D">
        <w:rPr>
          <w:b/>
          <w:szCs w:val="22"/>
        </w:rPr>
        <w:t>Almeida, R.P.P., Pereira, E.F., Purcell, A.H. &amp; Lopes, J.R.S.</w:t>
      </w:r>
      <w:r w:rsidRPr="00FB06DC">
        <w:rPr>
          <w:szCs w:val="22"/>
        </w:rPr>
        <w:t xml:space="preserve"> 2001. Multiplication and movement of a citrus strain of </w:t>
      </w:r>
      <w:r w:rsidRPr="001C5A4E">
        <w:rPr>
          <w:i/>
          <w:szCs w:val="22"/>
        </w:rPr>
        <w:t>Xylella fastidiosa</w:t>
      </w:r>
      <w:r w:rsidRPr="00D02271">
        <w:rPr>
          <w:szCs w:val="22"/>
        </w:rPr>
        <w:t xml:space="preserve"> within sweet orange. </w:t>
      </w:r>
      <w:r w:rsidRPr="00D415AF">
        <w:rPr>
          <w:i/>
          <w:szCs w:val="22"/>
        </w:rPr>
        <w:t>Plant Disease</w:t>
      </w:r>
      <w:r w:rsidRPr="00D415AF">
        <w:rPr>
          <w:szCs w:val="22"/>
        </w:rPr>
        <w:t xml:space="preserve">, 85: 382–386. </w:t>
      </w:r>
    </w:p>
    <w:p w14:paraId="1F4035BB" w14:textId="62230FF5" w:rsidR="008E6998" w:rsidRPr="00E575B8" w:rsidRDefault="000330D6" w:rsidP="004C1B1F">
      <w:pPr>
        <w:pStyle w:val="IPPParagraphnumbering"/>
        <w:rPr>
          <w:szCs w:val="22"/>
        </w:rPr>
      </w:pPr>
      <w:bookmarkStart w:id="84" w:name="_ENREF_3"/>
      <w:r w:rsidRPr="00D415AF">
        <w:rPr>
          <w:b/>
          <w:szCs w:val="22"/>
        </w:rPr>
        <w:t>Almeida, R.P.P. &amp; Purcell, A.H.</w:t>
      </w:r>
      <w:r w:rsidRPr="008C7AA2">
        <w:rPr>
          <w:szCs w:val="22"/>
        </w:rPr>
        <w:t xml:space="preserve"> 2003. Biological traits of </w:t>
      </w:r>
      <w:r w:rsidRPr="008C7AA2">
        <w:rPr>
          <w:i/>
          <w:szCs w:val="22"/>
        </w:rPr>
        <w:t>Xylella fastidiosa</w:t>
      </w:r>
      <w:r w:rsidRPr="008C7AA2">
        <w:rPr>
          <w:szCs w:val="22"/>
        </w:rPr>
        <w:t xml:space="preserve"> strains from grapes and almonds. </w:t>
      </w:r>
      <w:r w:rsidRPr="0019114A">
        <w:rPr>
          <w:i/>
          <w:szCs w:val="22"/>
        </w:rPr>
        <w:t>Applied and Environmental Microbiology</w:t>
      </w:r>
      <w:r w:rsidRPr="0019114A">
        <w:rPr>
          <w:szCs w:val="22"/>
        </w:rPr>
        <w:t>, 69: 7447–7452.</w:t>
      </w:r>
      <w:bookmarkEnd w:id="84"/>
    </w:p>
    <w:p w14:paraId="704D90F4" w14:textId="5F22DE65" w:rsidR="00B06813" w:rsidRPr="007E2509" w:rsidRDefault="00B06813" w:rsidP="004C1B1F">
      <w:pPr>
        <w:pStyle w:val="IPPParagraphnumbering"/>
        <w:rPr>
          <w:szCs w:val="22"/>
        </w:rPr>
      </w:pPr>
      <w:r w:rsidRPr="00592A71">
        <w:rPr>
          <w:b/>
          <w:color w:val="222222"/>
          <w:szCs w:val="22"/>
        </w:rPr>
        <w:t>Bergsma‐Vlami, M., van de Bilt, J.L.J., Tjou‐Tam‐Sin, N.N.A., Helderman, C.M., Gorkink‐Smits, P.</w:t>
      </w:r>
      <w:r w:rsidRPr="00C0568C">
        <w:rPr>
          <w:b/>
          <w:color w:val="222222"/>
          <w:szCs w:val="22"/>
        </w:rPr>
        <w:t>P.M.A., Landman, N.M., Nieuwburg, J.G.W., van Veen, E.J. &amp; Westenberg, M.</w:t>
      </w:r>
      <w:r w:rsidRPr="00C0568C">
        <w:rPr>
          <w:color w:val="222222"/>
          <w:szCs w:val="22"/>
        </w:rPr>
        <w:t xml:space="preserve"> 2017. Assessment of the genetic diversity of </w:t>
      </w:r>
      <w:r w:rsidRPr="006334F7">
        <w:rPr>
          <w:i/>
          <w:color w:val="222222"/>
          <w:szCs w:val="22"/>
        </w:rPr>
        <w:t>Xylella fastidiosa</w:t>
      </w:r>
      <w:r w:rsidRPr="00797BAA">
        <w:rPr>
          <w:color w:val="222222"/>
          <w:szCs w:val="22"/>
        </w:rPr>
        <w:t xml:space="preserve"> in imported ornamental </w:t>
      </w:r>
      <w:r w:rsidRPr="00797BAA">
        <w:rPr>
          <w:i/>
          <w:color w:val="222222"/>
          <w:szCs w:val="22"/>
        </w:rPr>
        <w:t>Coffea arabica</w:t>
      </w:r>
      <w:r w:rsidRPr="00797BAA">
        <w:rPr>
          <w:color w:val="222222"/>
          <w:szCs w:val="22"/>
        </w:rPr>
        <w:t xml:space="preserve"> plants. </w:t>
      </w:r>
      <w:r w:rsidRPr="007E2509">
        <w:rPr>
          <w:i/>
          <w:iCs/>
          <w:color w:val="222222"/>
          <w:szCs w:val="22"/>
        </w:rPr>
        <w:t>Plant Pathology</w:t>
      </w:r>
      <w:r w:rsidR="006D3776" w:rsidRPr="007E2509">
        <w:rPr>
          <w:iCs/>
          <w:color w:val="222222"/>
          <w:szCs w:val="22"/>
        </w:rPr>
        <w:t>,</w:t>
      </w:r>
      <w:r w:rsidRPr="007E2509">
        <w:rPr>
          <w:i/>
          <w:iCs/>
          <w:color w:val="222222"/>
          <w:szCs w:val="22"/>
        </w:rPr>
        <w:t xml:space="preserve"> </w:t>
      </w:r>
      <w:r w:rsidRPr="007E2509">
        <w:rPr>
          <w:iCs/>
          <w:color w:val="222222"/>
          <w:szCs w:val="22"/>
        </w:rPr>
        <w:t>66: 1065–1074</w:t>
      </w:r>
      <w:r w:rsidRPr="007E2509">
        <w:rPr>
          <w:color w:val="222222"/>
          <w:szCs w:val="22"/>
        </w:rPr>
        <w:t>.</w:t>
      </w:r>
    </w:p>
    <w:p w14:paraId="7D59FC34" w14:textId="62E0B1B1" w:rsidR="008E6998" w:rsidRPr="00FF6C00" w:rsidRDefault="000330D6" w:rsidP="004C1B1F">
      <w:pPr>
        <w:pStyle w:val="IPPParagraphnumbering"/>
        <w:rPr>
          <w:szCs w:val="22"/>
        </w:rPr>
      </w:pPr>
      <w:bookmarkStart w:id="85" w:name="_ENREF_6"/>
      <w:r w:rsidRPr="007E2509">
        <w:rPr>
          <w:b/>
          <w:szCs w:val="22"/>
        </w:rPr>
        <w:t>Bergsma-Vlami, M., van de Bilt, J.L.J., Tjou-Tam-Sin, N.N.A., van de Vossenberg, B.T.L.H. &amp; Westenberg, M.</w:t>
      </w:r>
      <w:r w:rsidRPr="007E2509">
        <w:rPr>
          <w:szCs w:val="22"/>
        </w:rPr>
        <w:t xml:space="preserve"> 2015. </w:t>
      </w:r>
      <w:r w:rsidRPr="0078130B">
        <w:rPr>
          <w:i/>
          <w:szCs w:val="22"/>
        </w:rPr>
        <w:t>Xylella fastidiosa</w:t>
      </w:r>
      <w:r w:rsidRPr="0078130B">
        <w:rPr>
          <w:szCs w:val="22"/>
        </w:rPr>
        <w:t xml:space="preserve"> in </w:t>
      </w:r>
      <w:r w:rsidRPr="00270CF5">
        <w:rPr>
          <w:i/>
          <w:szCs w:val="22"/>
        </w:rPr>
        <w:t>Coffea arabica</w:t>
      </w:r>
      <w:r w:rsidRPr="00270CF5">
        <w:rPr>
          <w:szCs w:val="22"/>
        </w:rPr>
        <w:t xml:space="preserve"> ornamental plants imported from Costa Rica and Honduras in the Netherlands. </w:t>
      </w:r>
      <w:r w:rsidRPr="00FF6C00">
        <w:rPr>
          <w:i/>
          <w:szCs w:val="22"/>
        </w:rPr>
        <w:t>Journal of Plant Pathology</w:t>
      </w:r>
      <w:r w:rsidRPr="00FF6C00">
        <w:rPr>
          <w:szCs w:val="22"/>
        </w:rPr>
        <w:t>, 97</w:t>
      </w:r>
      <w:r w:rsidR="006D3776" w:rsidRPr="00FF6C00">
        <w:rPr>
          <w:szCs w:val="22"/>
        </w:rPr>
        <w:t>:</w:t>
      </w:r>
      <w:r w:rsidRPr="00FF6C00">
        <w:rPr>
          <w:szCs w:val="22"/>
        </w:rPr>
        <w:t xml:space="preserve"> 395.</w:t>
      </w:r>
    </w:p>
    <w:p w14:paraId="002D5CB7" w14:textId="68D1408B" w:rsidR="008E6998" w:rsidRPr="000C01E7" w:rsidRDefault="000330D6" w:rsidP="004C1B1F">
      <w:pPr>
        <w:pStyle w:val="IPPParagraphnumbering"/>
        <w:rPr>
          <w:szCs w:val="22"/>
        </w:rPr>
      </w:pPr>
      <w:r w:rsidRPr="005F7F29">
        <w:rPr>
          <w:b/>
          <w:szCs w:val="22"/>
        </w:rPr>
        <w:t>Bextine, B., Blua, M., Harshman, D. &amp; Miller, T.A.</w:t>
      </w:r>
      <w:r w:rsidRPr="005F7F29">
        <w:rPr>
          <w:szCs w:val="22"/>
        </w:rPr>
        <w:t xml:space="preserve"> 2005. A SYBR green-based real-time polymerase chain reaction protocol and novel DNA extraction technique to detect </w:t>
      </w:r>
      <w:r w:rsidRPr="005F7F29">
        <w:rPr>
          <w:i/>
          <w:szCs w:val="22"/>
        </w:rPr>
        <w:t>Xylella fastidiosa</w:t>
      </w:r>
      <w:r w:rsidRPr="005F7F29">
        <w:rPr>
          <w:szCs w:val="22"/>
        </w:rPr>
        <w:t xml:space="preserve"> in </w:t>
      </w:r>
      <w:r w:rsidRPr="005674B0">
        <w:rPr>
          <w:i/>
          <w:szCs w:val="22"/>
        </w:rPr>
        <w:t>Homalodisca coagulata</w:t>
      </w:r>
      <w:r w:rsidRPr="000C01E7">
        <w:rPr>
          <w:szCs w:val="22"/>
        </w:rPr>
        <w:t xml:space="preserve">. </w:t>
      </w:r>
      <w:r w:rsidRPr="000C01E7">
        <w:rPr>
          <w:i/>
          <w:szCs w:val="22"/>
        </w:rPr>
        <w:t>Journal of Economic Entomology</w:t>
      </w:r>
      <w:r w:rsidRPr="000C01E7">
        <w:rPr>
          <w:szCs w:val="22"/>
        </w:rPr>
        <w:t>, 98: 667–672.</w:t>
      </w:r>
    </w:p>
    <w:p w14:paraId="674A9BD7" w14:textId="3EA60C3B" w:rsidR="008E6998" w:rsidRPr="000C01E7" w:rsidRDefault="000330D6" w:rsidP="004C1B1F">
      <w:pPr>
        <w:pStyle w:val="IPPParagraphnumbering"/>
        <w:rPr>
          <w:szCs w:val="22"/>
        </w:rPr>
      </w:pPr>
      <w:r w:rsidRPr="000C01E7">
        <w:rPr>
          <w:b/>
          <w:szCs w:val="22"/>
        </w:rPr>
        <w:t>Bextine, B. &amp; Child, B.</w:t>
      </w:r>
      <w:r w:rsidRPr="000C01E7">
        <w:rPr>
          <w:szCs w:val="22"/>
        </w:rPr>
        <w:t xml:space="preserve"> 2007. </w:t>
      </w:r>
      <w:r w:rsidRPr="000C01E7">
        <w:rPr>
          <w:i/>
          <w:szCs w:val="22"/>
        </w:rPr>
        <w:t>Xylella fastidiosa</w:t>
      </w:r>
      <w:r w:rsidRPr="000C01E7">
        <w:rPr>
          <w:szCs w:val="22"/>
        </w:rPr>
        <w:t xml:space="preserve"> genotype differentiation by SYBR® Green-based QRT-PCR. </w:t>
      </w:r>
      <w:r w:rsidRPr="000C01E7">
        <w:rPr>
          <w:i/>
          <w:iCs/>
          <w:szCs w:val="22"/>
        </w:rPr>
        <w:t>FEMS Microbiology Letters</w:t>
      </w:r>
      <w:r w:rsidRPr="000C01E7">
        <w:rPr>
          <w:szCs w:val="22"/>
        </w:rPr>
        <w:t xml:space="preserve">, </w:t>
      </w:r>
      <w:r w:rsidRPr="000C01E7">
        <w:rPr>
          <w:iCs/>
          <w:szCs w:val="22"/>
        </w:rPr>
        <w:t>276</w:t>
      </w:r>
      <w:r w:rsidRPr="000C01E7">
        <w:rPr>
          <w:szCs w:val="22"/>
        </w:rPr>
        <w:t>(1): 48–54.</w:t>
      </w:r>
    </w:p>
    <w:p w14:paraId="34496C43" w14:textId="0F73FB51" w:rsidR="008E6998" w:rsidRPr="000C01E7" w:rsidRDefault="000330D6" w:rsidP="004C1B1F">
      <w:pPr>
        <w:pStyle w:val="IPPParagraphnumbering"/>
        <w:rPr>
          <w:szCs w:val="22"/>
        </w:rPr>
      </w:pPr>
      <w:bookmarkStart w:id="86" w:name="_ENREF_7"/>
      <w:bookmarkEnd w:id="85"/>
      <w:r w:rsidRPr="000C01E7">
        <w:rPr>
          <w:b/>
          <w:szCs w:val="22"/>
        </w:rPr>
        <w:t>Bextine, B., Tuan, S.J., Shaikh, H., Blua, M. &amp; Miller, T.A.</w:t>
      </w:r>
      <w:r w:rsidRPr="000C01E7">
        <w:rPr>
          <w:szCs w:val="22"/>
        </w:rPr>
        <w:t xml:space="preserve"> 2004. Evaluation of methods for extracting </w:t>
      </w:r>
      <w:r w:rsidRPr="000C01E7">
        <w:rPr>
          <w:i/>
          <w:szCs w:val="22"/>
        </w:rPr>
        <w:t>Xylella fastidiosa</w:t>
      </w:r>
      <w:r w:rsidRPr="000C01E7">
        <w:rPr>
          <w:szCs w:val="22"/>
        </w:rPr>
        <w:t xml:space="preserve"> DNA from the glassy-winged sharpshooter. </w:t>
      </w:r>
      <w:r w:rsidRPr="000C01E7">
        <w:rPr>
          <w:i/>
          <w:szCs w:val="22"/>
        </w:rPr>
        <w:t>Journal of Economic Entomology</w:t>
      </w:r>
      <w:r w:rsidRPr="000C01E7">
        <w:rPr>
          <w:szCs w:val="22"/>
        </w:rPr>
        <w:t>, 97: 757–763.</w:t>
      </w:r>
      <w:bookmarkEnd w:id="86"/>
    </w:p>
    <w:p w14:paraId="6F7D0779" w14:textId="4D7CF229" w:rsidR="0033194B" w:rsidRPr="000C01E7" w:rsidRDefault="0033194B" w:rsidP="004C1B1F">
      <w:pPr>
        <w:pStyle w:val="IPPParagraphnumbering"/>
        <w:rPr>
          <w:szCs w:val="22"/>
        </w:rPr>
      </w:pPr>
      <w:r w:rsidRPr="000C01E7">
        <w:rPr>
          <w:b/>
          <w:szCs w:val="22"/>
        </w:rPr>
        <w:t>Bonants, P., Griekspoor, Y., Houwers I., Krijger M., van der Zouwen</w:t>
      </w:r>
      <w:r w:rsidR="00995EDD" w:rsidRPr="000C01E7">
        <w:rPr>
          <w:b/>
          <w:szCs w:val="22"/>
        </w:rPr>
        <w:t>,</w:t>
      </w:r>
      <w:r w:rsidRPr="000C01E7">
        <w:rPr>
          <w:b/>
          <w:szCs w:val="22"/>
        </w:rPr>
        <w:t xml:space="preserve"> P., van der Lee</w:t>
      </w:r>
      <w:r w:rsidR="00995EDD" w:rsidRPr="000C01E7">
        <w:rPr>
          <w:b/>
          <w:szCs w:val="22"/>
        </w:rPr>
        <w:t>,</w:t>
      </w:r>
      <w:r w:rsidRPr="000C01E7">
        <w:rPr>
          <w:b/>
          <w:szCs w:val="22"/>
        </w:rPr>
        <w:t xml:space="preserve"> TAJ </w:t>
      </w:r>
      <w:r w:rsidR="00995EDD" w:rsidRPr="000C01E7">
        <w:rPr>
          <w:b/>
          <w:szCs w:val="22"/>
        </w:rPr>
        <w:t>and</w:t>
      </w:r>
      <w:r w:rsidRPr="000C01E7">
        <w:rPr>
          <w:b/>
          <w:szCs w:val="22"/>
        </w:rPr>
        <w:t xml:space="preserve"> van der Wolf</w:t>
      </w:r>
      <w:r w:rsidR="00995EDD" w:rsidRPr="000C01E7">
        <w:rPr>
          <w:b/>
          <w:szCs w:val="22"/>
        </w:rPr>
        <w:t>,</w:t>
      </w:r>
      <w:r w:rsidRPr="000C01E7">
        <w:rPr>
          <w:b/>
          <w:szCs w:val="22"/>
        </w:rPr>
        <w:t xml:space="preserve"> J</w:t>
      </w:r>
      <w:r w:rsidR="00995EDD" w:rsidRPr="000C01E7">
        <w:rPr>
          <w:b/>
          <w:szCs w:val="22"/>
        </w:rPr>
        <w:t>.</w:t>
      </w:r>
      <w:r w:rsidRPr="000C01E7">
        <w:rPr>
          <w:szCs w:val="22"/>
        </w:rPr>
        <w:t xml:space="preserve"> 2019</w:t>
      </w:r>
      <w:r w:rsidR="00995EDD" w:rsidRPr="000C01E7">
        <w:rPr>
          <w:szCs w:val="22"/>
        </w:rPr>
        <w:t>.</w:t>
      </w:r>
      <w:r w:rsidRPr="000C01E7">
        <w:rPr>
          <w:szCs w:val="22"/>
        </w:rPr>
        <w:t xml:space="preserve"> </w:t>
      </w:r>
      <w:r w:rsidRPr="000C01E7">
        <w:rPr>
          <w:i/>
          <w:iCs/>
          <w:szCs w:val="22"/>
        </w:rPr>
        <w:t>Plant Disease</w:t>
      </w:r>
      <w:r w:rsidRPr="000C01E7">
        <w:rPr>
          <w:szCs w:val="22"/>
        </w:rPr>
        <w:t xml:space="preserve"> </w:t>
      </w:r>
      <w:r w:rsidRPr="000C01E7">
        <w:rPr>
          <w:b/>
          <w:bCs/>
          <w:szCs w:val="22"/>
        </w:rPr>
        <w:t>103</w:t>
      </w:r>
      <w:r w:rsidRPr="000C01E7">
        <w:rPr>
          <w:szCs w:val="22"/>
        </w:rPr>
        <w:t>, 645– 655. https://doi.org/10.1094/PDIS-08-18-1433-RE.</w:t>
      </w:r>
    </w:p>
    <w:p w14:paraId="7FCB1071" w14:textId="559A3FAA" w:rsidR="008E6998" w:rsidRPr="000C01E7" w:rsidRDefault="000330D6" w:rsidP="004C1B1F">
      <w:pPr>
        <w:pStyle w:val="IPPParagraphnumbering"/>
        <w:rPr>
          <w:szCs w:val="22"/>
        </w:rPr>
      </w:pPr>
      <w:bookmarkStart w:id="87" w:name="_ENREF_8"/>
      <w:r w:rsidRPr="000C01E7">
        <w:rPr>
          <w:b/>
          <w:szCs w:val="22"/>
        </w:rPr>
        <w:t>Bradbury, J.F.</w:t>
      </w:r>
      <w:r w:rsidRPr="000C01E7">
        <w:rPr>
          <w:szCs w:val="22"/>
        </w:rPr>
        <w:t xml:space="preserve"> 1991. </w:t>
      </w:r>
      <w:r w:rsidRPr="000C01E7">
        <w:rPr>
          <w:i/>
          <w:szCs w:val="22"/>
        </w:rPr>
        <w:t>Xylella fastidiosa</w:t>
      </w:r>
      <w:r w:rsidRPr="000C01E7">
        <w:rPr>
          <w:szCs w:val="22"/>
        </w:rPr>
        <w:t>. IMI Descriptions of Fungi and Bacteria, Sheet 1049.</w:t>
      </w:r>
      <w:bookmarkEnd w:id="87"/>
    </w:p>
    <w:p w14:paraId="2C42B18B" w14:textId="63FFAC81" w:rsidR="008E6998" w:rsidRPr="008758F9" w:rsidRDefault="000330D6" w:rsidP="004C1B1F">
      <w:pPr>
        <w:pStyle w:val="IPPParagraphnumbering"/>
        <w:rPr>
          <w:szCs w:val="22"/>
        </w:rPr>
      </w:pPr>
      <w:r w:rsidRPr="000C01E7">
        <w:rPr>
          <w:b/>
          <w:szCs w:val="22"/>
        </w:rPr>
        <w:t>Brannen, P.M., Krewer, G., Boland, B., Horton, D. &amp; Chang, C.J.</w:t>
      </w:r>
      <w:r w:rsidRPr="000C01E7">
        <w:rPr>
          <w:szCs w:val="22"/>
        </w:rPr>
        <w:t xml:space="preserve"> 2016. </w:t>
      </w:r>
      <w:hyperlink r:id="rId31" w:tooltip="http://plantpath.caes.uga.edu/extension/documents/BlueberryXylella.pdf" w:history="1">
        <w:r w:rsidRPr="008758F9">
          <w:rPr>
            <w:szCs w:val="22"/>
          </w:rPr>
          <w:t>Bacterial leaf scorch of blueberry</w:t>
        </w:r>
      </w:hyperlink>
      <w:r w:rsidRPr="008758F9">
        <w:rPr>
          <w:szCs w:val="22"/>
        </w:rPr>
        <w:t>. University of Georgia Agriculture (UGA) Extension Circular 922. Athens, GA. 6</w:t>
      </w:r>
      <w:r w:rsidR="006A5A4B" w:rsidRPr="008758F9">
        <w:rPr>
          <w:szCs w:val="22"/>
        </w:rPr>
        <w:t> </w:t>
      </w:r>
      <w:r w:rsidRPr="008758F9">
        <w:rPr>
          <w:szCs w:val="22"/>
        </w:rPr>
        <w:t xml:space="preserve">pp. </w:t>
      </w:r>
      <w:r w:rsidR="000825D3" w:rsidRPr="008758F9">
        <w:rPr>
          <w:szCs w:val="22"/>
        </w:rPr>
        <w:t>Available at</w:t>
      </w:r>
      <w:r w:rsidRPr="00A37893">
        <w:rPr>
          <w:szCs w:val="22"/>
        </w:rPr>
        <w:t xml:space="preserve"> </w:t>
      </w:r>
      <w:hyperlink r:id="rId32" w:history="1">
        <w:r w:rsidRPr="008758F9">
          <w:rPr>
            <w:rStyle w:val="Hyperlink"/>
            <w:szCs w:val="22"/>
          </w:rPr>
          <w:t>http://extension.uga.edu/publications/files/pdf/C%20922_4.PDF</w:t>
        </w:r>
      </w:hyperlink>
      <w:r w:rsidRPr="008758F9">
        <w:rPr>
          <w:szCs w:val="22"/>
        </w:rPr>
        <w:t xml:space="preserve"> (last accessed </w:t>
      </w:r>
      <w:r w:rsidR="00C00D26" w:rsidRPr="008758F9">
        <w:rPr>
          <w:szCs w:val="22"/>
        </w:rPr>
        <w:t>12 February 2018</w:t>
      </w:r>
      <w:r w:rsidRPr="008758F9">
        <w:rPr>
          <w:szCs w:val="22"/>
        </w:rPr>
        <w:t xml:space="preserve">). </w:t>
      </w:r>
    </w:p>
    <w:p w14:paraId="15A1E9F4" w14:textId="6289C992" w:rsidR="008E6998" w:rsidRPr="00C6306C" w:rsidRDefault="000330D6" w:rsidP="004C1B1F">
      <w:pPr>
        <w:pStyle w:val="IPPParagraphnumbering"/>
        <w:rPr>
          <w:szCs w:val="22"/>
        </w:rPr>
      </w:pPr>
      <w:bookmarkStart w:id="88" w:name="_ENREF_1"/>
      <w:r w:rsidRPr="00A37893">
        <w:rPr>
          <w:b/>
          <w:szCs w:val="22"/>
        </w:rPr>
        <w:t>Brlansky, R.H., Timmer, L.W., French, W.J. &amp; McCoy, R.E.</w:t>
      </w:r>
      <w:r w:rsidRPr="00151BEF">
        <w:rPr>
          <w:szCs w:val="22"/>
        </w:rPr>
        <w:t xml:space="preserve"> 1983. Colonization of the sharpshooter vectors, </w:t>
      </w:r>
      <w:r w:rsidRPr="000078B0">
        <w:rPr>
          <w:i/>
          <w:szCs w:val="22"/>
        </w:rPr>
        <w:t>Oncometopia nigricans</w:t>
      </w:r>
      <w:r w:rsidRPr="00611F64">
        <w:rPr>
          <w:szCs w:val="22"/>
        </w:rPr>
        <w:t xml:space="preserve"> and </w:t>
      </w:r>
      <w:r w:rsidRPr="00292E33">
        <w:rPr>
          <w:i/>
          <w:szCs w:val="22"/>
        </w:rPr>
        <w:t>Homalodisca coagulata</w:t>
      </w:r>
      <w:r w:rsidRPr="00C6306C">
        <w:rPr>
          <w:szCs w:val="22"/>
        </w:rPr>
        <w:t>, by xylem limited bacteria. Phytopathology, 73: 530–535.</w:t>
      </w:r>
      <w:bookmarkEnd w:id="88"/>
    </w:p>
    <w:p w14:paraId="7F9901EA" w14:textId="42FFBFA8" w:rsidR="008E6998" w:rsidRPr="001C5A4E" w:rsidRDefault="000330D6" w:rsidP="004C1B1F">
      <w:pPr>
        <w:pStyle w:val="IPPParagraphnumbering"/>
        <w:rPr>
          <w:szCs w:val="22"/>
        </w:rPr>
      </w:pPr>
      <w:r w:rsidRPr="00C6306C">
        <w:rPr>
          <w:b/>
          <w:szCs w:val="22"/>
        </w:rPr>
        <w:t>Bull, C.T., De Boer, S.H., Denny, T.P., Firrao, G., Fischer-Le Saux, M., Saddler, G.S., Scortichini, M., Stead, D.E. &amp; Takikawa, Y.</w:t>
      </w:r>
      <w:r w:rsidRPr="00E35D00">
        <w:rPr>
          <w:szCs w:val="22"/>
        </w:rPr>
        <w:t xml:space="preserve"> 2012. List of new names of plant pathogenic bacteria (2008–2010). </w:t>
      </w:r>
      <w:r w:rsidRPr="00BE170D">
        <w:rPr>
          <w:i/>
          <w:iCs/>
          <w:szCs w:val="22"/>
        </w:rPr>
        <w:t>Journal of Plant Pathology</w:t>
      </w:r>
      <w:r w:rsidRPr="00BE170D">
        <w:rPr>
          <w:iCs/>
          <w:szCs w:val="22"/>
        </w:rPr>
        <w:t>,</w:t>
      </w:r>
      <w:r w:rsidRPr="00BE170D">
        <w:rPr>
          <w:szCs w:val="22"/>
        </w:rPr>
        <w:t xml:space="preserve"> </w:t>
      </w:r>
      <w:r w:rsidRPr="00BE170D">
        <w:rPr>
          <w:iCs/>
          <w:szCs w:val="22"/>
        </w:rPr>
        <w:t>94</w:t>
      </w:r>
      <w:r w:rsidRPr="00FB06DC">
        <w:rPr>
          <w:szCs w:val="22"/>
        </w:rPr>
        <w:t xml:space="preserve">: 21–27. </w:t>
      </w:r>
    </w:p>
    <w:p w14:paraId="2BEB6AC4" w14:textId="086D64CB" w:rsidR="008E6998" w:rsidRPr="008758F9" w:rsidRDefault="000330D6" w:rsidP="004C1B1F">
      <w:pPr>
        <w:pStyle w:val="IPPParagraphnumbering"/>
        <w:rPr>
          <w:szCs w:val="22"/>
        </w:rPr>
      </w:pPr>
      <w:r w:rsidRPr="005C3D8E">
        <w:rPr>
          <w:b/>
          <w:szCs w:val="22"/>
        </w:rPr>
        <w:t>CABI.</w:t>
      </w:r>
      <w:r w:rsidRPr="005C3D8E">
        <w:rPr>
          <w:szCs w:val="22"/>
        </w:rPr>
        <w:t xml:space="preserve"> 2016. </w:t>
      </w:r>
      <w:r w:rsidRPr="005C3D8E">
        <w:rPr>
          <w:i/>
          <w:szCs w:val="22"/>
        </w:rPr>
        <w:t>Xylella fastidiosa</w:t>
      </w:r>
      <w:r w:rsidRPr="005C3D8E">
        <w:rPr>
          <w:szCs w:val="22"/>
        </w:rPr>
        <w:t xml:space="preserve">. </w:t>
      </w:r>
      <w:r w:rsidRPr="00703471">
        <w:rPr>
          <w:szCs w:val="22"/>
        </w:rPr>
        <w:t xml:space="preserve">Crop Protection Compendium. </w:t>
      </w:r>
      <w:r w:rsidRPr="00A37893">
        <w:rPr>
          <w:szCs w:val="22"/>
        </w:rPr>
        <w:t xml:space="preserve">Wallingford, UK, CABI. </w:t>
      </w:r>
      <w:r w:rsidR="000825D3" w:rsidRPr="00A37893">
        <w:rPr>
          <w:szCs w:val="22"/>
        </w:rPr>
        <w:t>Available at</w:t>
      </w:r>
      <w:r w:rsidRPr="00A37893">
        <w:rPr>
          <w:szCs w:val="22"/>
        </w:rPr>
        <w:t xml:space="preserve"> </w:t>
      </w:r>
      <w:hyperlink r:id="rId33" w:history="1">
        <w:r w:rsidRPr="008758F9">
          <w:rPr>
            <w:rStyle w:val="Hyperlink"/>
            <w:szCs w:val="22"/>
          </w:rPr>
          <w:t>http://www.cabi.org/cpc/datasheet/57195</w:t>
        </w:r>
      </w:hyperlink>
      <w:r w:rsidRPr="008758F9">
        <w:rPr>
          <w:szCs w:val="22"/>
        </w:rPr>
        <w:t xml:space="preserve"> (last accessed 7 October 2016).</w:t>
      </w:r>
    </w:p>
    <w:p w14:paraId="016BA551" w14:textId="6434D48E" w:rsidR="008E6998" w:rsidRPr="00716623" w:rsidRDefault="000330D6" w:rsidP="004C1B1F">
      <w:pPr>
        <w:pStyle w:val="IPPParagraphnumbering"/>
        <w:rPr>
          <w:szCs w:val="22"/>
          <w:lang w:val="fr-FR"/>
        </w:rPr>
      </w:pPr>
      <w:r w:rsidRPr="005C3D8E">
        <w:rPr>
          <w:b/>
          <w:szCs w:val="22"/>
          <w:lang w:val="it-IT"/>
        </w:rPr>
        <w:t>Carbajal, D., Morano, K.A. &amp; Morano, L.D.</w:t>
      </w:r>
      <w:r w:rsidRPr="005C3D8E">
        <w:rPr>
          <w:szCs w:val="22"/>
          <w:lang w:val="it-IT"/>
        </w:rPr>
        <w:t xml:space="preserve"> 2004. </w:t>
      </w:r>
      <w:r w:rsidRPr="00A37893">
        <w:rPr>
          <w:szCs w:val="22"/>
        </w:rPr>
        <w:t xml:space="preserve">Indirect immunofluorescence microscopy for direct detection of </w:t>
      </w:r>
      <w:r w:rsidRPr="00A37893">
        <w:rPr>
          <w:i/>
          <w:szCs w:val="22"/>
        </w:rPr>
        <w:t>Xylella fastidiosa</w:t>
      </w:r>
      <w:r w:rsidRPr="00A37893">
        <w:rPr>
          <w:szCs w:val="22"/>
        </w:rPr>
        <w:t xml:space="preserve"> in xylem sap. </w:t>
      </w:r>
      <w:r w:rsidRPr="00716623">
        <w:rPr>
          <w:i/>
          <w:szCs w:val="22"/>
          <w:lang w:val="fr-FR"/>
        </w:rPr>
        <w:t>Current Microbiology</w:t>
      </w:r>
      <w:r w:rsidRPr="00716623">
        <w:rPr>
          <w:szCs w:val="22"/>
          <w:lang w:val="fr-FR"/>
        </w:rPr>
        <w:t>, 49: 372–375.</w:t>
      </w:r>
    </w:p>
    <w:p w14:paraId="59CB2B7E" w14:textId="53AF0C6A" w:rsidR="007E60D9" w:rsidRDefault="007E60D9" w:rsidP="004C1B1F">
      <w:pPr>
        <w:pStyle w:val="IPPParagraphnumbering"/>
        <w:rPr>
          <w:color w:val="222222"/>
          <w:szCs w:val="22"/>
          <w:shd w:val="clear" w:color="auto" w:fill="FFFFFF"/>
        </w:rPr>
      </w:pPr>
      <w:r w:rsidRPr="00716623">
        <w:rPr>
          <w:b/>
          <w:color w:val="222222"/>
          <w:szCs w:val="22"/>
          <w:shd w:val="clear" w:color="auto" w:fill="FFFFFF"/>
          <w:lang w:val="fr-FR"/>
        </w:rPr>
        <w:t xml:space="preserve">Cesbron, S., Dupas, E., Beaurepère, Q., Briand, M., Montes-Borrego, M., Velasco-Amo, M. D. P., ... &amp; Jacques, M. A. </w:t>
      </w:r>
      <w:r w:rsidRPr="00716623">
        <w:rPr>
          <w:color w:val="222222"/>
          <w:szCs w:val="22"/>
          <w:shd w:val="clear" w:color="auto" w:fill="FFFFFF"/>
          <w:lang w:val="fr-FR"/>
        </w:rPr>
        <w:t xml:space="preserve">(2020). </w:t>
      </w:r>
      <w:r w:rsidRPr="00716623">
        <w:rPr>
          <w:color w:val="222222"/>
          <w:szCs w:val="22"/>
          <w:shd w:val="clear" w:color="auto" w:fill="FFFFFF"/>
        </w:rPr>
        <w:t>Development of a Nested-MultiLocus Sequence Typing approach for a highly sensitive and specific identification of Xylella fastidiosa subspecies directly from plant samples. </w:t>
      </w:r>
      <w:r w:rsidRPr="00716623">
        <w:rPr>
          <w:i/>
          <w:iCs/>
          <w:color w:val="222222"/>
          <w:szCs w:val="22"/>
          <w:shd w:val="clear" w:color="auto" w:fill="FFFFFF"/>
        </w:rPr>
        <w:t>Agronomy</w:t>
      </w:r>
      <w:r w:rsidRPr="00716623">
        <w:rPr>
          <w:color w:val="222222"/>
          <w:szCs w:val="22"/>
          <w:shd w:val="clear" w:color="auto" w:fill="FFFFFF"/>
        </w:rPr>
        <w:t>, </w:t>
      </w:r>
      <w:r w:rsidRPr="00716623">
        <w:rPr>
          <w:i/>
          <w:iCs/>
          <w:color w:val="222222"/>
          <w:szCs w:val="22"/>
          <w:shd w:val="clear" w:color="auto" w:fill="FFFFFF"/>
        </w:rPr>
        <w:t>10</w:t>
      </w:r>
      <w:r w:rsidRPr="00716623">
        <w:rPr>
          <w:color w:val="222222"/>
          <w:szCs w:val="22"/>
          <w:shd w:val="clear" w:color="auto" w:fill="FFFFFF"/>
        </w:rPr>
        <w:t>(8), 1099.</w:t>
      </w:r>
    </w:p>
    <w:p w14:paraId="7D7C0FA7" w14:textId="1B716F02" w:rsidR="005B775D" w:rsidRPr="007B0248" w:rsidRDefault="005B775D" w:rsidP="004C1B1F">
      <w:pPr>
        <w:pStyle w:val="IPPParagraphnumbering"/>
        <w:rPr>
          <w:szCs w:val="22"/>
        </w:rPr>
      </w:pPr>
      <w:r w:rsidRPr="000D78FD">
        <w:rPr>
          <w:b/>
          <w:color w:val="222222"/>
          <w:szCs w:val="22"/>
          <w:shd w:val="clear" w:color="auto" w:fill="FFFFFF"/>
          <w:lang w:val="fr-BE"/>
        </w:rPr>
        <w:t>Cesbron, S., Dupas, E., &amp; Jacques, M. A. (2022).</w:t>
      </w:r>
      <w:r w:rsidRPr="000D78FD">
        <w:rPr>
          <w:color w:val="222222"/>
          <w:szCs w:val="22"/>
          <w:shd w:val="clear" w:color="auto" w:fill="FFFFFF"/>
          <w:lang w:val="fr-BE"/>
        </w:rPr>
        <w:t xml:space="preserve"> </w:t>
      </w:r>
      <w:r w:rsidRPr="00703471">
        <w:rPr>
          <w:color w:val="222222"/>
          <w:szCs w:val="22"/>
          <w:shd w:val="clear" w:color="auto" w:fill="FFFFFF"/>
        </w:rPr>
        <w:t>Evaluation of the AmplifyRP® XRT+ kit for the detection of Xylella fastidiosa by Recombinase Polymerase Amplification (RPA). </w:t>
      </w:r>
      <w:r w:rsidRPr="00703471">
        <w:rPr>
          <w:i/>
          <w:iCs/>
          <w:color w:val="222222"/>
          <w:szCs w:val="22"/>
          <w:shd w:val="clear" w:color="auto" w:fill="FFFFFF"/>
        </w:rPr>
        <w:t>PhytoFrontiers</w:t>
      </w:r>
      <w:r w:rsidRPr="00703471">
        <w:rPr>
          <w:color w:val="222222"/>
          <w:szCs w:val="22"/>
          <w:shd w:val="clear" w:color="auto" w:fill="FFFFFF"/>
        </w:rPr>
        <w:t xml:space="preserve">, </w:t>
      </w:r>
      <w:commentRangeStart w:id="89"/>
      <w:r w:rsidRPr="00703471">
        <w:rPr>
          <w:color w:val="222222"/>
          <w:szCs w:val="22"/>
          <w:shd w:val="clear" w:color="auto" w:fill="FFFFFF"/>
        </w:rPr>
        <w:t>(ja).</w:t>
      </w:r>
      <w:commentRangeEnd w:id="89"/>
      <w:r>
        <w:rPr>
          <w:rStyle w:val="CommentReference"/>
          <w:rFonts w:eastAsia="Times New Roman"/>
          <w:lang w:val="nl-NL" w:eastAsia="nl-NL"/>
        </w:rPr>
        <w:commentReference w:id="89"/>
      </w:r>
    </w:p>
    <w:p w14:paraId="19B1CC2D" w14:textId="5A930017" w:rsidR="008E6998" w:rsidRPr="00A37893" w:rsidRDefault="000330D6" w:rsidP="004C1B1F">
      <w:pPr>
        <w:pStyle w:val="IPPParagraphnumbering"/>
        <w:rPr>
          <w:szCs w:val="22"/>
        </w:rPr>
      </w:pPr>
      <w:r w:rsidRPr="008758F9">
        <w:rPr>
          <w:b/>
          <w:szCs w:val="22"/>
        </w:rPr>
        <w:t>Chandelier, A., Planchon, V. &amp; Oger, R.</w:t>
      </w:r>
      <w:r w:rsidRPr="008758F9">
        <w:rPr>
          <w:szCs w:val="22"/>
        </w:rPr>
        <w:t xml:space="preserve"> 2010. Determination of cycle cut off in real</w:t>
      </w:r>
      <w:r w:rsidRPr="00716623">
        <w:rPr>
          <w:szCs w:val="22"/>
        </w:rPr>
        <w:t>‐</w:t>
      </w:r>
      <w:r w:rsidRPr="008758F9">
        <w:rPr>
          <w:szCs w:val="22"/>
        </w:rPr>
        <w:t xml:space="preserve">time PCR for the detection of regulated plant pathogens. </w:t>
      </w:r>
      <w:r w:rsidRPr="008758F9">
        <w:rPr>
          <w:i/>
          <w:iCs/>
          <w:szCs w:val="22"/>
        </w:rPr>
        <w:t>EPPO Bulletin</w:t>
      </w:r>
      <w:r w:rsidRPr="008758F9">
        <w:rPr>
          <w:szCs w:val="22"/>
        </w:rPr>
        <w:t xml:space="preserve">, </w:t>
      </w:r>
      <w:r w:rsidRPr="00A37893">
        <w:rPr>
          <w:iCs/>
          <w:szCs w:val="22"/>
        </w:rPr>
        <w:t>40</w:t>
      </w:r>
      <w:r w:rsidRPr="00A37893">
        <w:rPr>
          <w:szCs w:val="22"/>
        </w:rPr>
        <w:t>: 52–58.</w:t>
      </w:r>
    </w:p>
    <w:p w14:paraId="54F29338" w14:textId="547745E6" w:rsidR="008E6998" w:rsidRPr="00C6306C" w:rsidRDefault="000330D6" w:rsidP="004C1B1F">
      <w:pPr>
        <w:pStyle w:val="IPPParagraphnumbering"/>
        <w:rPr>
          <w:szCs w:val="22"/>
        </w:rPr>
      </w:pPr>
      <w:bookmarkStart w:id="90" w:name="_ENREF_9"/>
      <w:r w:rsidRPr="00151BEF">
        <w:rPr>
          <w:b/>
          <w:szCs w:val="22"/>
        </w:rPr>
        <w:t>Chang, C.-J., Donaldson, R., Brannen, P., Krewer, G. &amp; Boland, R.</w:t>
      </w:r>
      <w:r w:rsidRPr="000078B0">
        <w:rPr>
          <w:szCs w:val="22"/>
        </w:rPr>
        <w:t xml:space="preserve"> 2009. Bacterial leaf scorch, a new blueberry disease caused by </w:t>
      </w:r>
      <w:r w:rsidRPr="00611F64">
        <w:rPr>
          <w:i/>
          <w:szCs w:val="22"/>
        </w:rPr>
        <w:t>Xylella fastidiosa</w:t>
      </w:r>
      <w:r w:rsidRPr="00292E33">
        <w:rPr>
          <w:szCs w:val="22"/>
        </w:rPr>
        <w:t xml:space="preserve">. </w:t>
      </w:r>
      <w:r w:rsidRPr="00C6306C">
        <w:rPr>
          <w:i/>
          <w:szCs w:val="22"/>
        </w:rPr>
        <w:t>HortScience</w:t>
      </w:r>
      <w:r w:rsidRPr="00C6306C">
        <w:rPr>
          <w:szCs w:val="22"/>
        </w:rPr>
        <w:t>, 44(2): 413–417.</w:t>
      </w:r>
      <w:bookmarkEnd w:id="90"/>
    </w:p>
    <w:p w14:paraId="7906AB83" w14:textId="2A7E2167" w:rsidR="008E6998" w:rsidRPr="00D02271" w:rsidRDefault="000330D6" w:rsidP="004C1B1F">
      <w:pPr>
        <w:pStyle w:val="IPPParagraphnumbering"/>
        <w:rPr>
          <w:szCs w:val="22"/>
        </w:rPr>
      </w:pPr>
      <w:r w:rsidRPr="00E35D00">
        <w:rPr>
          <w:b/>
          <w:szCs w:val="22"/>
        </w:rPr>
        <w:t>Chang C.J., Garnier M., Zreik L., Rossetti V. &amp; Bove</w:t>
      </w:r>
      <w:r w:rsidRPr="00BE170D">
        <w:rPr>
          <w:b/>
          <w:szCs w:val="22"/>
        </w:rPr>
        <w:t xml:space="preserve"> J.M.</w:t>
      </w:r>
      <w:r w:rsidRPr="00BE170D">
        <w:rPr>
          <w:szCs w:val="22"/>
        </w:rPr>
        <w:t xml:space="preserve"> 1993. Culture and serological detection of the xylem-limited bacterium causing citrus variegated chlorosis and its identification as a strain of </w:t>
      </w:r>
      <w:r w:rsidRPr="00BE170D">
        <w:rPr>
          <w:i/>
          <w:szCs w:val="22"/>
        </w:rPr>
        <w:t>Xylella fastidiosa</w:t>
      </w:r>
      <w:r w:rsidRPr="00BE170D">
        <w:rPr>
          <w:szCs w:val="22"/>
        </w:rPr>
        <w:t xml:space="preserve">. </w:t>
      </w:r>
      <w:r w:rsidRPr="00FB06DC">
        <w:rPr>
          <w:i/>
          <w:szCs w:val="22"/>
        </w:rPr>
        <w:t>Current Microbiology</w:t>
      </w:r>
      <w:r w:rsidRPr="001C5A4E">
        <w:rPr>
          <w:szCs w:val="22"/>
        </w:rPr>
        <w:t>, 27: 137–142.</w:t>
      </w:r>
    </w:p>
    <w:p w14:paraId="0FEEB2C9" w14:textId="43D44369" w:rsidR="008E6998" w:rsidRPr="00592A71" w:rsidRDefault="000330D6" w:rsidP="004C1B1F">
      <w:pPr>
        <w:pStyle w:val="IPPParagraphnumbering"/>
        <w:rPr>
          <w:szCs w:val="22"/>
        </w:rPr>
      </w:pPr>
      <w:r w:rsidRPr="00D02271">
        <w:rPr>
          <w:b/>
          <w:szCs w:val="22"/>
        </w:rPr>
        <w:t>Chatterjee, S., Almeida, R.P.P. &amp; Lindow, S.</w:t>
      </w:r>
      <w:r w:rsidRPr="00D415AF">
        <w:rPr>
          <w:szCs w:val="22"/>
        </w:rPr>
        <w:t xml:space="preserve"> 2008. Living in two worlds: The plant and insect lifestyles of </w:t>
      </w:r>
      <w:r w:rsidRPr="00D415AF">
        <w:rPr>
          <w:i/>
          <w:szCs w:val="22"/>
        </w:rPr>
        <w:t>Xylella fastidiosa</w:t>
      </w:r>
      <w:r w:rsidRPr="00D415AF">
        <w:rPr>
          <w:szCs w:val="22"/>
        </w:rPr>
        <w:t xml:space="preserve">. </w:t>
      </w:r>
      <w:r w:rsidRPr="008C7AA2">
        <w:rPr>
          <w:i/>
          <w:szCs w:val="22"/>
        </w:rPr>
        <w:t>Annual Review of</w:t>
      </w:r>
      <w:r w:rsidRPr="0019114A">
        <w:rPr>
          <w:szCs w:val="22"/>
        </w:rPr>
        <w:t xml:space="preserve"> </w:t>
      </w:r>
      <w:r w:rsidRPr="00564E3E">
        <w:rPr>
          <w:i/>
          <w:iCs/>
          <w:szCs w:val="22"/>
        </w:rPr>
        <w:t>Phytopathology</w:t>
      </w:r>
      <w:r w:rsidRPr="00E575B8">
        <w:rPr>
          <w:szCs w:val="22"/>
        </w:rPr>
        <w:t xml:space="preserve">, </w:t>
      </w:r>
      <w:r w:rsidRPr="00E575B8">
        <w:rPr>
          <w:iCs/>
          <w:szCs w:val="22"/>
        </w:rPr>
        <w:t>46</w:t>
      </w:r>
      <w:r w:rsidRPr="00592A71">
        <w:rPr>
          <w:szCs w:val="22"/>
        </w:rPr>
        <w:t>: 243–271.</w:t>
      </w:r>
    </w:p>
    <w:p w14:paraId="534D759A" w14:textId="412AE890" w:rsidR="008E6998" w:rsidRPr="005C3D8E" w:rsidRDefault="000330D6" w:rsidP="004C1B1F">
      <w:pPr>
        <w:pStyle w:val="IPPParagraphnumbering"/>
        <w:rPr>
          <w:szCs w:val="22"/>
          <w:lang w:val="pt-BR"/>
        </w:rPr>
      </w:pPr>
      <w:bookmarkStart w:id="91" w:name="_ENREF_10"/>
      <w:r w:rsidRPr="00C0568C">
        <w:rPr>
          <w:b/>
          <w:szCs w:val="22"/>
        </w:rPr>
        <w:t>Chen, J., Groves, R., Civerolo, E.L., Viveros, M., Freeman, M. &amp; Zheng, Y.</w:t>
      </w:r>
      <w:r w:rsidRPr="00C0568C">
        <w:rPr>
          <w:szCs w:val="22"/>
        </w:rPr>
        <w:t xml:space="preserve"> 2005. Two </w:t>
      </w:r>
      <w:r w:rsidRPr="00C0568C">
        <w:rPr>
          <w:i/>
          <w:szCs w:val="22"/>
        </w:rPr>
        <w:t>Xylella fastidiosa</w:t>
      </w:r>
      <w:r w:rsidRPr="006334F7">
        <w:rPr>
          <w:szCs w:val="22"/>
        </w:rPr>
        <w:t xml:space="preserve"> genotypes associated with almond leaf scorch disease on the same location in California. </w:t>
      </w:r>
      <w:r w:rsidRPr="005C3D8E">
        <w:rPr>
          <w:i/>
          <w:szCs w:val="22"/>
          <w:lang w:val="pt-BR"/>
        </w:rPr>
        <w:t>Phytopathology</w:t>
      </w:r>
      <w:r w:rsidRPr="005C3D8E">
        <w:rPr>
          <w:szCs w:val="22"/>
          <w:lang w:val="pt-BR"/>
        </w:rPr>
        <w:t>, 95: 708–714.</w:t>
      </w:r>
      <w:bookmarkEnd w:id="91"/>
    </w:p>
    <w:p w14:paraId="5DA571B4" w14:textId="0DD20030" w:rsidR="008E6998" w:rsidRPr="0078130B" w:rsidRDefault="000330D6" w:rsidP="004C1B1F">
      <w:pPr>
        <w:pStyle w:val="IPPParagraphnumbering"/>
        <w:rPr>
          <w:szCs w:val="22"/>
        </w:rPr>
      </w:pPr>
      <w:r w:rsidRPr="005C3D8E">
        <w:rPr>
          <w:b/>
          <w:szCs w:val="22"/>
          <w:lang w:val="pt-BR"/>
        </w:rPr>
        <w:t>Coletta-Filho, H.D., Francisco, C.S., Lopes, J.R.S., De Oliveira, A.F. &amp; Da Silva, L.F.O.</w:t>
      </w:r>
      <w:r w:rsidRPr="005C3D8E">
        <w:rPr>
          <w:szCs w:val="22"/>
          <w:lang w:val="pt-BR"/>
        </w:rPr>
        <w:t xml:space="preserve"> 2016. </w:t>
      </w:r>
      <w:r w:rsidRPr="007E2509">
        <w:rPr>
          <w:szCs w:val="22"/>
        </w:rPr>
        <w:t xml:space="preserve">First report of olive leaf scorch in Brazil, associated with </w:t>
      </w:r>
      <w:r w:rsidRPr="007E2509">
        <w:rPr>
          <w:i/>
          <w:szCs w:val="22"/>
        </w:rPr>
        <w:t>Xylella fastidiosa</w:t>
      </w:r>
      <w:r w:rsidRPr="007E2509">
        <w:rPr>
          <w:szCs w:val="22"/>
        </w:rPr>
        <w:t xml:space="preserve"> subsp. </w:t>
      </w:r>
      <w:r w:rsidRPr="007E2509">
        <w:rPr>
          <w:i/>
          <w:szCs w:val="22"/>
        </w:rPr>
        <w:t>pauca</w:t>
      </w:r>
      <w:r w:rsidRPr="007E2509">
        <w:rPr>
          <w:szCs w:val="22"/>
        </w:rPr>
        <w:t xml:space="preserve">. </w:t>
      </w:r>
      <w:r w:rsidRPr="007E2509">
        <w:rPr>
          <w:i/>
          <w:szCs w:val="22"/>
        </w:rPr>
        <w:t>Phytopathologia Mediterranea</w:t>
      </w:r>
      <w:r w:rsidRPr="007E2509">
        <w:rPr>
          <w:szCs w:val="22"/>
        </w:rPr>
        <w:t>, 55: 130–135.</w:t>
      </w:r>
    </w:p>
    <w:p w14:paraId="2F0801A6" w14:textId="5CE94A66" w:rsidR="008E6998" w:rsidRPr="005C3D8E" w:rsidRDefault="000330D6" w:rsidP="004C1B1F">
      <w:pPr>
        <w:pStyle w:val="IPPParagraphnumbering"/>
        <w:rPr>
          <w:szCs w:val="22"/>
        </w:rPr>
      </w:pPr>
      <w:r w:rsidRPr="00270CF5">
        <w:rPr>
          <w:b/>
          <w:szCs w:val="22"/>
        </w:rPr>
        <w:t>Cornara, D., Sicard, A., Zeilinger, A.R., Porcelli, F., Purcell, A.H. &amp; Almeida, R.P.P.</w:t>
      </w:r>
      <w:r w:rsidRPr="00270CF5">
        <w:rPr>
          <w:szCs w:val="22"/>
        </w:rPr>
        <w:t xml:space="preserve"> 2016. Transmission of </w:t>
      </w:r>
      <w:r w:rsidRPr="00FF6C00">
        <w:rPr>
          <w:i/>
          <w:szCs w:val="22"/>
        </w:rPr>
        <w:t>Xylella fastidiosa</w:t>
      </w:r>
      <w:r w:rsidRPr="00FF6C00">
        <w:rPr>
          <w:szCs w:val="22"/>
        </w:rPr>
        <w:t xml:space="preserve"> to grapevine by the meadow spittlebug. </w:t>
      </w:r>
      <w:r w:rsidRPr="005C3D8E">
        <w:rPr>
          <w:i/>
          <w:szCs w:val="22"/>
        </w:rPr>
        <w:t>Phytopathology</w:t>
      </w:r>
      <w:r w:rsidRPr="005C3D8E">
        <w:rPr>
          <w:szCs w:val="22"/>
        </w:rPr>
        <w:t>, 106</w:t>
      </w:r>
      <w:r w:rsidR="0003262A" w:rsidRPr="005C3D8E">
        <w:rPr>
          <w:szCs w:val="22"/>
        </w:rPr>
        <w:t>:</w:t>
      </w:r>
      <w:r w:rsidRPr="005C3D8E">
        <w:rPr>
          <w:szCs w:val="22"/>
        </w:rPr>
        <w:t xml:space="preserve"> 1285–1290.</w:t>
      </w:r>
    </w:p>
    <w:p w14:paraId="1883E98A" w14:textId="5BF8D83F" w:rsidR="002211B8" w:rsidRPr="00716623" w:rsidRDefault="007E60D9" w:rsidP="004C1B1F">
      <w:pPr>
        <w:pStyle w:val="IPPParagraphnumbering"/>
        <w:rPr>
          <w:color w:val="222222"/>
          <w:szCs w:val="20"/>
          <w:shd w:val="clear" w:color="auto" w:fill="FFFFFF"/>
        </w:rPr>
      </w:pPr>
      <w:r w:rsidRPr="0004310D">
        <w:rPr>
          <w:b/>
          <w:color w:val="222222"/>
          <w:szCs w:val="20"/>
          <w:shd w:val="clear" w:color="auto" w:fill="FFFFFF"/>
          <w:lang w:val="fr-BE"/>
        </w:rPr>
        <w:t>Cunty, A., Legendre, B., de Jerphanion, P., Juteau, V., Forveille, A., Germain, J. F.&amp; Poliakoff, F.</w:t>
      </w:r>
      <w:r w:rsidRPr="0004310D">
        <w:rPr>
          <w:color w:val="222222"/>
          <w:szCs w:val="20"/>
          <w:shd w:val="clear" w:color="auto" w:fill="FFFFFF"/>
          <w:lang w:val="fr-BE"/>
        </w:rPr>
        <w:t xml:space="preserve"> (2020). </w:t>
      </w:r>
      <w:r w:rsidRPr="00DF7048">
        <w:rPr>
          <w:i/>
          <w:color w:val="222222"/>
          <w:szCs w:val="20"/>
          <w:shd w:val="clear" w:color="auto" w:fill="FFFFFF"/>
        </w:rPr>
        <w:t>Xylella fastidiosa</w:t>
      </w:r>
      <w:r w:rsidRPr="00716623">
        <w:rPr>
          <w:color w:val="222222"/>
          <w:szCs w:val="20"/>
          <w:shd w:val="clear" w:color="auto" w:fill="FFFFFF"/>
        </w:rPr>
        <w:t xml:space="preserve"> subspecies and sequence types detected in </w:t>
      </w:r>
      <w:r w:rsidRPr="00DF7048">
        <w:rPr>
          <w:i/>
          <w:color w:val="222222"/>
          <w:szCs w:val="20"/>
          <w:shd w:val="clear" w:color="auto" w:fill="FFFFFF"/>
        </w:rPr>
        <w:t>Philaenus spumarius</w:t>
      </w:r>
      <w:r w:rsidRPr="00716623">
        <w:rPr>
          <w:color w:val="222222"/>
          <w:szCs w:val="20"/>
          <w:shd w:val="clear" w:color="auto" w:fill="FFFFFF"/>
        </w:rPr>
        <w:t xml:space="preserve"> and in infected plants in France share the same locations. </w:t>
      </w:r>
      <w:r w:rsidRPr="00716623">
        <w:rPr>
          <w:i/>
          <w:iCs/>
          <w:color w:val="222222"/>
          <w:szCs w:val="20"/>
          <w:shd w:val="clear" w:color="auto" w:fill="FFFFFF"/>
        </w:rPr>
        <w:t>Plant Pathology</w:t>
      </w:r>
      <w:r w:rsidRPr="00716623">
        <w:rPr>
          <w:color w:val="222222"/>
          <w:szCs w:val="20"/>
          <w:shd w:val="clear" w:color="auto" w:fill="FFFFFF"/>
        </w:rPr>
        <w:t>, </w:t>
      </w:r>
      <w:r w:rsidRPr="00716623">
        <w:rPr>
          <w:i/>
          <w:iCs/>
          <w:color w:val="222222"/>
          <w:szCs w:val="20"/>
          <w:shd w:val="clear" w:color="auto" w:fill="FFFFFF"/>
        </w:rPr>
        <w:t>69</w:t>
      </w:r>
      <w:r w:rsidRPr="00716623">
        <w:rPr>
          <w:color w:val="222222"/>
          <w:szCs w:val="20"/>
          <w:shd w:val="clear" w:color="auto" w:fill="FFFFFF"/>
        </w:rPr>
        <w:t>(9), 1798-1811.</w:t>
      </w:r>
    </w:p>
    <w:p w14:paraId="61340F6D" w14:textId="0E292D95" w:rsidR="008E6998" w:rsidRPr="00A37893" w:rsidRDefault="000330D6" w:rsidP="004C1B1F">
      <w:pPr>
        <w:pStyle w:val="IPPParagraphnumbering"/>
        <w:rPr>
          <w:szCs w:val="22"/>
        </w:rPr>
      </w:pPr>
      <w:bookmarkStart w:id="92" w:name="_ENREF_11"/>
      <w:r w:rsidRPr="008758F9">
        <w:rPr>
          <w:b/>
          <w:szCs w:val="22"/>
        </w:rPr>
        <w:t>Davis, M.J., French, W.J. &amp; Schaad, N.W.</w:t>
      </w:r>
      <w:r w:rsidRPr="008758F9">
        <w:rPr>
          <w:szCs w:val="22"/>
        </w:rPr>
        <w:t xml:space="preserve"> 1981. Axenic culture of the bacteria associated with phony disease of peach and plum leaf scald. </w:t>
      </w:r>
      <w:r w:rsidRPr="008758F9">
        <w:rPr>
          <w:i/>
          <w:szCs w:val="22"/>
        </w:rPr>
        <w:t>Current Microbiology</w:t>
      </w:r>
      <w:r w:rsidRPr="008758F9">
        <w:rPr>
          <w:szCs w:val="22"/>
        </w:rPr>
        <w:t>, 6: 309–314.</w:t>
      </w:r>
      <w:bookmarkEnd w:id="92"/>
    </w:p>
    <w:p w14:paraId="2540A570" w14:textId="3F56C2DF" w:rsidR="008E6998" w:rsidRPr="00611F64" w:rsidRDefault="000330D6" w:rsidP="004C1B1F">
      <w:pPr>
        <w:pStyle w:val="IPPParagraphnumbering"/>
        <w:rPr>
          <w:szCs w:val="22"/>
        </w:rPr>
      </w:pPr>
      <w:r w:rsidRPr="00A37893">
        <w:rPr>
          <w:b/>
          <w:szCs w:val="22"/>
        </w:rPr>
        <w:t>Davis, M.J., Purcell, A.H. &amp; Thompson, S.V.</w:t>
      </w:r>
      <w:r w:rsidRPr="00A37893">
        <w:rPr>
          <w:szCs w:val="22"/>
        </w:rPr>
        <w:t xml:space="preserve"> 1978. Pierce’s disease of grapevines: Isolation of the causal bacterium. </w:t>
      </w:r>
      <w:r w:rsidRPr="00151BEF">
        <w:rPr>
          <w:i/>
          <w:szCs w:val="22"/>
        </w:rPr>
        <w:t>Science</w:t>
      </w:r>
      <w:r w:rsidRPr="000078B0">
        <w:rPr>
          <w:szCs w:val="22"/>
        </w:rPr>
        <w:t>, 199: 75–77.</w:t>
      </w:r>
    </w:p>
    <w:p w14:paraId="3C176F30" w14:textId="3CF1045F" w:rsidR="008E6998" w:rsidRPr="00BE170D" w:rsidRDefault="000330D6" w:rsidP="004C1B1F">
      <w:pPr>
        <w:pStyle w:val="IPPParagraphnumbering"/>
        <w:rPr>
          <w:szCs w:val="22"/>
        </w:rPr>
      </w:pPr>
      <w:bookmarkStart w:id="93" w:name="_ENREF_12"/>
      <w:r w:rsidRPr="00C6306C">
        <w:rPr>
          <w:b/>
          <w:szCs w:val="22"/>
        </w:rPr>
        <w:t>Davis, M.J., Purcell, A.H. &amp; Thomson, S.V.</w:t>
      </w:r>
      <w:r w:rsidRPr="00C6306C">
        <w:rPr>
          <w:szCs w:val="22"/>
        </w:rPr>
        <w:t xml:space="preserve"> 1980. Isolation media for the Pierce’s dise</w:t>
      </w:r>
      <w:r w:rsidRPr="00716623">
        <w:rPr>
          <w:szCs w:val="22"/>
        </w:rPr>
        <w:t xml:space="preserve">ase bacterium. </w:t>
      </w:r>
      <w:r w:rsidRPr="00E35D00">
        <w:rPr>
          <w:i/>
          <w:szCs w:val="22"/>
        </w:rPr>
        <w:t>Phytopathology</w:t>
      </w:r>
      <w:r w:rsidRPr="00BE170D">
        <w:rPr>
          <w:szCs w:val="22"/>
        </w:rPr>
        <w:t>, 70: 425–429.</w:t>
      </w:r>
      <w:bookmarkEnd w:id="93"/>
    </w:p>
    <w:p w14:paraId="05418689" w14:textId="7B8515DC" w:rsidR="00AB7E47" w:rsidRPr="00592A71" w:rsidRDefault="00AB7E47" w:rsidP="004C1B1F">
      <w:pPr>
        <w:pStyle w:val="IPPParagraphnumbering"/>
        <w:rPr>
          <w:szCs w:val="22"/>
        </w:rPr>
      </w:pPr>
      <w:r w:rsidRPr="00BE170D">
        <w:rPr>
          <w:b/>
          <w:szCs w:val="22"/>
        </w:rPr>
        <w:t>Denancé, N., Briand, M.</w:t>
      </w:r>
      <w:r w:rsidRPr="00FB06DC">
        <w:rPr>
          <w:b/>
          <w:szCs w:val="22"/>
        </w:rPr>
        <w:t>†</w:t>
      </w:r>
      <w:r w:rsidRPr="001C5A4E">
        <w:rPr>
          <w:b/>
          <w:szCs w:val="22"/>
        </w:rPr>
        <w:t>,</w:t>
      </w:r>
      <w:r w:rsidRPr="00D02271">
        <w:rPr>
          <w:b/>
          <w:szCs w:val="22"/>
        </w:rPr>
        <w:t xml:space="preserve"> Gaborieau, R., Gaillard</w:t>
      </w:r>
      <w:r w:rsidRPr="00D415AF">
        <w:rPr>
          <w:b/>
          <w:szCs w:val="22"/>
        </w:rPr>
        <w:t>, S., and Jacques,</w:t>
      </w:r>
      <w:r w:rsidRPr="008C7AA2">
        <w:rPr>
          <w:b/>
          <w:szCs w:val="22"/>
        </w:rPr>
        <w:t xml:space="preserve"> M-A.</w:t>
      </w:r>
      <w:r w:rsidRPr="0019114A">
        <w:rPr>
          <w:szCs w:val="22"/>
        </w:rPr>
        <w:t xml:space="preserve"> 2019</w:t>
      </w:r>
      <w:r w:rsidRPr="00564E3E">
        <w:rPr>
          <w:szCs w:val="22"/>
        </w:rPr>
        <w:t xml:space="preserve">. </w:t>
      </w:r>
      <w:r w:rsidRPr="00E575B8">
        <w:rPr>
          <w:szCs w:val="22"/>
        </w:rPr>
        <w:t xml:space="preserve">Identification of genetic relationships and subspecies signatures in </w:t>
      </w:r>
      <w:r w:rsidRPr="00E575B8">
        <w:rPr>
          <w:i/>
          <w:szCs w:val="22"/>
        </w:rPr>
        <w:t>Xylella fastidiosa</w:t>
      </w:r>
      <w:r w:rsidRPr="00592A71">
        <w:rPr>
          <w:szCs w:val="22"/>
        </w:rPr>
        <w:t>. BMC Genomics. 20:239.</w:t>
      </w:r>
    </w:p>
    <w:p w14:paraId="6A115270" w14:textId="361C3C43" w:rsidR="008E6998" w:rsidRPr="00797BAA" w:rsidRDefault="000330D6" w:rsidP="004C1B1F">
      <w:pPr>
        <w:pStyle w:val="IPPParagraphnumbering"/>
        <w:rPr>
          <w:szCs w:val="22"/>
        </w:rPr>
      </w:pPr>
      <w:bookmarkStart w:id="94" w:name="_ENREF_13"/>
      <w:r w:rsidRPr="00C0568C">
        <w:rPr>
          <w:b/>
          <w:szCs w:val="22"/>
        </w:rPr>
        <w:t>De Lima, J.E.O., Miranda, V.S., Hartung, J.S., Brlansky, R.H., Coutinho, A., Roberto, S.R. &amp; Carlos, E.F.</w:t>
      </w:r>
      <w:r w:rsidRPr="006334F7">
        <w:rPr>
          <w:szCs w:val="22"/>
        </w:rPr>
        <w:t xml:space="preserve"> 1998. Coffee leaf scorch bacterium: Axenic culture, pathogenicity, and comparison with </w:t>
      </w:r>
      <w:r w:rsidRPr="00797BAA">
        <w:rPr>
          <w:i/>
          <w:szCs w:val="22"/>
        </w:rPr>
        <w:t>Xylella fastidiosa</w:t>
      </w:r>
      <w:r w:rsidRPr="00797BAA">
        <w:rPr>
          <w:szCs w:val="22"/>
        </w:rPr>
        <w:t xml:space="preserve"> of citrus. </w:t>
      </w:r>
      <w:r w:rsidRPr="00797BAA">
        <w:rPr>
          <w:i/>
          <w:szCs w:val="22"/>
        </w:rPr>
        <w:t>Plant Disease</w:t>
      </w:r>
      <w:r w:rsidRPr="00797BAA">
        <w:rPr>
          <w:szCs w:val="22"/>
        </w:rPr>
        <w:t>, 82: 94–97.</w:t>
      </w:r>
    </w:p>
    <w:p w14:paraId="35946FE6" w14:textId="7440B1AD" w:rsidR="008E6998" w:rsidRPr="0078130B" w:rsidRDefault="000330D6" w:rsidP="004C1B1F">
      <w:pPr>
        <w:pStyle w:val="IPPParagraphnumbering"/>
        <w:rPr>
          <w:szCs w:val="22"/>
        </w:rPr>
      </w:pPr>
      <w:r w:rsidRPr="000D78FD">
        <w:rPr>
          <w:b/>
          <w:szCs w:val="22"/>
          <w:lang w:val="it-IT"/>
        </w:rPr>
        <w:t>Djelouah, K., Frasheri, D., Valentini, F., D’Onghia, A.M. &amp; Digiaro, M.</w:t>
      </w:r>
      <w:r w:rsidRPr="000D78FD">
        <w:rPr>
          <w:szCs w:val="22"/>
          <w:lang w:val="it-IT"/>
        </w:rPr>
        <w:t xml:space="preserve"> 2014. </w:t>
      </w:r>
      <w:r w:rsidRPr="007E2509">
        <w:rPr>
          <w:szCs w:val="22"/>
        </w:rPr>
        <w:t xml:space="preserve">Direct tissue blot immunoassay for detection of </w:t>
      </w:r>
      <w:r w:rsidRPr="007E2509">
        <w:rPr>
          <w:i/>
          <w:szCs w:val="22"/>
        </w:rPr>
        <w:t>Xylella fastidiosa</w:t>
      </w:r>
      <w:r w:rsidRPr="007E2509">
        <w:rPr>
          <w:szCs w:val="22"/>
        </w:rPr>
        <w:t xml:space="preserve"> in olive trees. </w:t>
      </w:r>
      <w:r w:rsidRPr="007E2509">
        <w:rPr>
          <w:i/>
          <w:iCs/>
          <w:szCs w:val="22"/>
        </w:rPr>
        <w:t>Phytopathologia Mediterranea</w:t>
      </w:r>
      <w:r w:rsidRPr="007E2509">
        <w:rPr>
          <w:szCs w:val="22"/>
        </w:rPr>
        <w:t xml:space="preserve">, </w:t>
      </w:r>
      <w:r w:rsidRPr="007E2509">
        <w:rPr>
          <w:iCs/>
          <w:szCs w:val="22"/>
        </w:rPr>
        <w:t>53</w:t>
      </w:r>
      <w:r w:rsidRPr="007E2509">
        <w:rPr>
          <w:szCs w:val="22"/>
        </w:rPr>
        <w:t>: 559–564.</w:t>
      </w:r>
    </w:p>
    <w:bookmarkEnd w:id="94"/>
    <w:p w14:paraId="1A95A2E6" w14:textId="3E461711" w:rsidR="008E6998" w:rsidRPr="005F7F29" w:rsidRDefault="000330D6" w:rsidP="004C1B1F">
      <w:pPr>
        <w:pStyle w:val="IPPParagraphnumbering"/>
      </w:pPr>
      <w:r w:rsidRPr="000D78FD">
        <w:rPr>
          <w:b/>
          <w:lang w:val="pt-BR"/>
        </w:rPr>
        <w:t>Donadio, L.C. &amp; Moreira, C.S.</w:t>
      </w:r>
      <w:r w:rsidRPr="000D78FD">
        <w:rPr>
          <w:lang w:val="pt-BR"/>
        </w:rPr>
        <w:t xml:space="preserve"> 1998. </w:t>
      </w:r>
      <w:r w:rsidRPr="00270CF5">
        <w:rPr>
          <w:i/>
        </w:rPr>
        <w:t>Citrus variegated chlorosis.</w:t>
      </w:r>
      <w:r w:rsidRPr="00270CF5">
        <w:t xml:space="preserve"> </w:t>
      </w:r>
      <w:r w:rsidR="002A4E3A" w:rsidRPr="00270CF5">
        <w:t>Bebedouro</w:t>
      </w:r>
      <w:r w:rsidRPr="00270CF5">
        <w:t>, Brazil</w:t>
      </w:r>
      <w:r w:rsidR="0071702D" w:rsidRPr="00FF6C00">
        <w:t>,</w:t>
      </w:r>
      <w:r w:rsidRPr="00FF6C00">
        <w:t xml:space="preserve"> FUNDECITRUS/FAPESP</w:t>
      </w:r>
      <w:r w:rsidR="006A5A4B" w:rsidRPr="005F7F29">
        <w:t>.</w:t>
      </w:r>
      <w:r w:rsidRPr="005F7F29">
        <w:t xml:space="preserve"> 166</w:t>
      </w:r>
      <w:r w:rsidR="006A5A4B" w:rsidRPr="005F7F29">
        <w:t> </w:t>
      </w:r>
      <w:r w:rsidRPr="005F7F29">
        <w:t>p</w:t>
      </w:r>
      <w:r w:rsidR="006A5A4B" w:rsidRPr="005F7F29">
        <w:t>p</w:t>
      </w:r>
      <w:r w:rsidRPr="005F7F29">
        <w:t>.</w:t>
      </w:r>
    </w:p>
    <w:p w14:paraId="34F1B571" w14:textId="77777777" w:rsidR="00E1014C" w:rsidRDefault="00995EDD" w:rsidP="004C1B1F">
      <w:pPr>
        <w:pStyle w:val="IPPParagraphnumbering"/>
      </w:pPr>
      <w:r w:rsidRPr="000D78FD">
        <w:rPr>
          <w:b/>
          <w:color w:val="222222"/>
          <w:shd w:val="clear" w:color="auto" w:fill="FFFFFF"/>
          <w:lang w:val="fr-BE"/>
        </w:rPr>
        <w:t>Dupas, E., Briand, M., Jacques, M. A., &amp; Cesbron, S.</w:t>
      </w:r>
      <w:r w:rsidRPr="000D78FD">
        <w:rPr>
          <w:color w:val="222222"/>
          <w:shd w:val="clear" w:color="auto" w:fill="FFFFFF"/>
          <w:lang w:val="fr-BE"/>
        </w:rPr>
        <w:t xml:space="preserve"> 2019. </w:t>
      </w:r>
      <w:r w:rsidRPr="007E60D9">
        <w:rPr>
          <w:color w:val="222222"/>
          <w:shd w:val="clear" w:color="auto" w:fill="FFFFFF"/>
        </w:rPr>
        <w:t xml:space="preserve">Novel tetraplex quantitative PCR assays for simultaneous detection and identification of </w:t>
      </w:r>
      <w:r w:rsidRPr="00DF7048">
        <w:rPr>
          <w:i/>
          <w:color w:val="222222"/>
          <w:shd w:val="clear" w:color="auto" w:fill="FFFFFF"/>
        </w:rPr>
        <w:t>Xylella fastidiosa</w:t>
      </w:r>
      <w:r w:rsidRPr="007E60D9">
        <w:rPr>
          <w:color w:val="222222"/>
          <w:shd w:val="clear" w:color="auto" w:fill="FFFFFF"/>
        </w:rPr>
        <w:t xml:space="preserve"> subspecies in plant tissues. </w:t>
      </w:r>
      <w:r w:rsidRPr="007E60D9">
        <w:rPr>
          <w:i/>
          <w:iCs/>
          <w:color w:val="222222"/>
          <w:shd w:val="clear" w:color="auto" w:fill="FFFFFF"/>
        </w:rPr>
        <w:t>Frontiers in plant science</w:t>
      </w:r>
      <w:r w:rsidRPr="007E60D9">
        <w:rPr>
          <w:color w:val="222222"/>
          <w:shd w:val="clear" w:color="auto" w:fill="FFFFFF"/>
        </w:rPr>
        <w:t>, 1732.</w:t>
      </w:r>
    </w:p>
    <w:p w14:paraId="724CE852" w14:textId="15B3FCB0" w:rsidR="005E7A49" w:rsidRPr="00A37893" w:rsidRDefault="005E7A49" w:rsidP="004C1B1F">
      <w:pPr>
        <w:pStyle w:val="IPPParagraphnumbering"/>
      </w:pPr>
      <w:r w:rsidRPr="00703471">
        <w:rPr>
          <w:b/>
        </w:rPr>
        <w:t>EFSA (European Food Safety Authority).</w:t>
      </w:r>
      <w:r w:rsidRPr="008758F9">
        <w:t xml:space="preserve"> 2021. Scientific report on the update of the </w:t>
      </w:r>
      <w:r w:rsidRPr="008758F9">
        <w:rPr>
          <w:i/>
        </w:rPr>
        <w:t>Xylella</w:t>
      </w:r>
      <w:r w:rsidRPr="008758F9">
        <w:t xml:space="preserve"> spp. host pl</w:t>
      </w:r>
      <w:r w:rsidRPr="00A37893">
        <w:t>ant database – systematic literature search up to 31 December 2020. EFSA Journal 2021;19(6):6674, 70 pp.</w:t>
      </w:r>
    </w:p>
    <w:p w14:paraId="1D7FCD11" w14:textId="7044E194" w:rsidR="00B43647" w:rsidRPr="00716623" w:rsidRDefault="00B43647" w:rsidP="004C1B1F">
      <w:pPr>
        <w:pStyle w:val="IPPParagraphnumbering"/>
      </w:pPr>
      <w:r w:rsidRPr="00151BEF">
        <w:rPr>
          <w:b/>
        </w:rPr>
        <w:t>EPPO</w:t>
      </w:r>
      <w:r w:rsidRPr="000078B0">
        <w:t xml:space="preserve"> (European and Mediterranean Plant Protection Organization). 2009. </w:t>
      </w:r>
      <w:r w:rsidRPr="00611F64">
        <w:rPr>
          <w:rStyle w:val="fontstyle01"/>
          <w:rFonts w:ascii="Times New Roman" w:hAnsi="Times New Roman"/>
          <w:color w:val="auto"/>
          <w:sz w:val="22"/>
          <w:szCs w:val="22"/>
        </w:rPr>
        <w:t xml:space="preserve">Indirect immunofluorescence test for plant pathogenic bacteria. </w:t>
      </w:r>
      <w:r w:rsidRPr="00C6306C">
        <w:t xml:space="preserve">PM 7/97(1). </w:t>
      </w:r>
      <w:r w:rsidRPr="00716623">
        <w:rPr>
          <w:rStyle w:val="IPPnormalitalics"/>
          <w:szCs w:val="22"/>
          <w:lang w:val="en-GB"/>
        </w:rPr>
        <w:t>EPPO Bulletin</w:t>
      </w:r>
      <w:r w:rsidRPr="00716623">
        <w:t>, 39: 413–416.</w:t>
      </w:r>
    </w:p>
    <w:p w14:paraId="79970AF2" w14:textId="78C4A2B5" w:rsidR="008E6998" w:rsidRPr="001C5A4E" w:rsidRDefault="000330D6" w:rsidP="004C1B1F">
      <w:pPr>
        <w:pStyle w:val="IPPParagraphnumbering"/>
      </w:pPr>
      <w:r w:rsidRPr="00E35D00">
        <w:rPr>
          <w:b/>
        </w:rPr>
        <w:t>EPPO</w:t>
      </w:r>
      <w:r w:rsidRPr="00BE170D">
        <w:t xml:space="preserve"> (European and Mediterranean Plant Protection Organization). 2010. ELISA tests for plant pathogenic bacteria. PM 7/101(1). </w:t>
      </w:r>
      <w:r w:rsidRPr="00BE170D">
        <w:rPr>
          <w:i/>
        </w:rPr>
        <w:t>EPPO Bulletin</w:t>
      </w:r>
      <w:r w:rsidRPr="00FB06DC">
        <w:t>, 40: 369–372.</w:t>
      </w:r>
    </w:p>
    <w:p w14:paraId="7E89F00A" w14:textId="1C308AC8" w:rsidR="00220F7B" w:rsidRPr="007E60D9" w:rsidRDefault="00220F7B" w:rsidP="004C1B1F">
      <w:pPr>
        <w:pStyle w:val="IPPParagraphnumbering"/>
      </w:pPr>
      <w:r w:rsidRPr="00D02271">
        <w:rPr>
          <w:b/>
        </w:rPr>
        <w:t xml:space="preserve">EPPO </w:t>
      </w:r>
      <w:r w:rsidRPr="00D02271">
        <w:t xml:space="preserve">(European and Mediterranean Plant Protection Organization). 2018a. EPPO Global Database. </w:t>
      </w:r>
      <w:r w:rsidRPr="00D02271">
        <w:rPr>
          <w:i/>
        </w:rPr>
        <w:t xml:space="preserve">Xylella fastidiosa </w:t>
      </w:r>
      <w:r w:rsidRPr="00D415AF">
        <w:t xml:space="preserve">(XYLEFA). Available at </w:t>
      </w:r>
      <w:hyperlink r:id="rId34" w:history="1">
        <w:r w:rsidRPr="007E60D9">
          <w:rPr>
            <w:rStyle w:val="Hyperlink"/>
            <w:szCs w:val="22"/>
          </w:rPr>
          <w:t>https://gd.eppo.int/taxon/XYLEFA</w:t>
        </w:r>
      </w:hyperlink>
      <w:r w:rsidRPr="007E60D9">
        <w:t xml:space="preserve"> (last accessed 12 February 2018).</w:t>
      </w:r>
    </w:p>
    <w:p w14:paraId="3CD11598" w14:textId="7DA675BC" w:rsidR="008E6998" w:rsidRPr="00716623" w:rsidRDefault="000330D6" w:rsidP="004C1B1F">
      <w:pPr>
        <w:pStyle w:val="IPPParagraphnumbering"/>
      </w:pPr>
      <w:r w:rsidRPr="008758F9">
        <w:rPr>
          <w:b/>
        </w:rPr>
        <w:t>EPPO</w:t>
      </w:r>
      <w:r w:rsidRPr="008758F9">
        <w:t xml:space="preserve"> (European and Mediterranean Plant Protection Organization). </w:t>
      </w:r>
      <w:r w:rsidR="009E0383" w:rsidRPr="00A37893">
        <w:t>2019</w:t>
      </w:r>
      <w:r w:rsidRPr="00151BEF">
        <w:t xml:space="preserve">. </w:t>
      </w:r>
      <w:r w:rsidRPr="000078B0">
        <w:rPr>
          <w:i/>
        </w:rPr>
        <w:t>Xylella fastidiosa</w:t>
      </w:r>
      <w:r w:rsidRPr="00611F64">
        <w:t>. PM 7/24(</w:t>
      </w:r>
      <w:r w:rsidR="009E0383" w:rsidRPr="00C6306C">
        <w:t>4</w:t>
      </w:r>
      <w:r w:rsidRPr="00716623">
        <w:t xml:space="preserve">). </w:t>
      </w:r>
      <w:r w:rsidRPr="00716623">
        <w:rPr>
          <w:i/>
        </w:rPr>
        <w:t>EPPO Bulletin</w:t>
      </w:r>
      <w:r w:rsidRPr="00716623">
        <w:t xml:space="preserve">, </w:t>
      </w:r>
      <w:r w:rsidR="009E0383" w:rsidRPr="00716623">
        <w:t>49 (2), 175–227</w:t>
      </w:r>
      <w:r w:rsidRPr="00716623">
        <w:t>.</w:t>
      </w:r>
    </w:p>
    <w:p w14:paraId="7917B8CA" w14:textId="32357FF8" w:rsidR="00B60196" w:rsidRPr="007E60D9" w:rsidRDefault="00B60196" w:rsidP="004C1B1F">
      <w:pPr>
        <w:pStyle w:val="IPPParagraphnumbering"/>
      </w:pPr>
      <w:r w:rsidRPr="00E35D00">
        <w:rPr>
          <w:b/>
        </w:rPr>
        <w:t>EPPO</w:t>
      </w:r>
      <w:r w:rsidR="00E26D57" w:rsidRPr="00BE170D">
        <w:rPr>
          <w:b/>
        </w:rPr>
        <w:t xml:space="preserve"> </w:t>
      </w:r>
      <w:r w:rsidR="00E26D57" w:rsidRPr="00BE170D">
        <w:t>(European and Mediterranean Plant Protection Organization)</w:t>
      </w:r>
      <w:r w:rsidR="00811C48" w:rsidRPr="00BE170D">
        <w:t>.</w:t>
      </w:r>
      <w:r w:rsidRPr="00FB06DC">
        <w:t xml:space="preserve"> 2018</w:t>
      </w:r>
      <w:r w:rsidR="0050529B" w:rsidRPr="001C5A4E">
        <w:t>c</w:t>
      </w:r>
      <w:r w:rsidRPr="00D02271">
        <w:t xml:space="preserve">. </w:t>
      </w:r>
      <w:r w:rsidR="00E26D57" w:rsidRPr="00D02271">
        <w:t xml:space="preserve">EPPO Database on Diagnostic Expertise. </w:t>
      </w:r>
      <w:r w:rsidRPr="00D02271">
        <w:t xml:space="preserve">List of validation data. </w:t>
      </w:r>
      <w:r w:rsidR="00BF6D00" w:rsidRPr="00D415AF">
        <w:t>Available at</w:t>
      </w:r>
      <w:r w:rsidRPr="00D415AF">
        <w:t xml:space="preserve"> </w:t>
      </w:r>
      <w:hyperlink r:id="rId35" w:history="1">
        <w:r w:rsidRPr="007E60D9">
          <w:rPr>
            <w:rStyle w:val="Hyperlink"/>
            <w:szCs w:val="22"/>
          </w:rPr>
          <w:t>http://dc.eppo.int/validationlist.php</w:t>
        </w:r>
      </w:hyperlink>
      <w:r w:rsidRPr="007E60D9">
        <w:rPr>
          <w:rStyle w:val="Hyperlink"/>
          <w:szCs w:val="22"/>
        </w:rPr>
        <w:t xml:space="preserve"> </w:t>
      </w:r>
      <w:r w:rsidRPr="007E60D9">
        <w:t>(last accessed 12 February 2018)</w:t>
      </w:r>
      <w:r w:rsidR="00BF6D00" w:rsidRPr="007E60D9">
        <w:t>.</w:t>
      </w:r>
    </w:p>
    <w:p w14:paraId="497B218A" w14:textId="40C4D582" w:rsidR="0033194B" w:rsidRPr="007E60D9" w:rsidRDefault="0033194B" w:rsidP="004C1B1F">
      <w:pPr>
        <w:pStyle w:val="IPPParagraphnumbering"/>
        <w:rPr>
          <w:lang w:val="nl-NL"/>
        </w:rPr>
      </w:pPr>
      <w:commentRangeStart w:id="95"/>
      <w:r w:rsidRPr="00703471">
        <w:rPr>
          <w:b/>
          <w:color w:val="222222"/>
          <w:shd w:val="clear" w:color="auto" w:fill="FFFFFF"/>
        </w:rPr>
        <w:t>EPPO</w:t>
      </w:r>
      <w:r w:rsidRPr="00703471">
        <w:rPr>
          <w:color w:val="222222"/>
          <w:shd w:val="clear" w:color="auto" w:fill="FFFFFF"/>
        </w:rPr>
        <w:t xml:space="preserve"> </w:t>
      </w:r>
      <w:r w:rsidR="009E0383" w:rsidRPr="007E60D9">
        <w:t xml:space="preserve">(European and Mediterranean Plant Protection Organization). 2022. </w:t>
      </w:r>
      <w:r w:rsidR="009E0383" w:rsidRPr="008758F9">
        <w:rPr>
          <w:i/>
        </w:rPr>
        <w:t>Xylella fastidiosa</w:t>
      </w:r>
      <w:r w:rsidR="009E0383" w:rsidRPr="008758F9">
        <w:t xml:space="preserve">. </w:t>
      </w:r>
      <w:r w:rsidRPr="00703471">
        <w:rPr>
          <w:color w:val="222222"/>
          <w:shd w:val="clear" w:color="auto" w:fill="FFFFFF"/>
        </w:rPr>
        <w:t>PM 7/24 (</w:t>
      </w:r>
      <w:r w:rsidR="009E0383" w:rsidRPr="00703471">
        <w:rPr>
          <w:color w:val="222222"/>
          <w:shd w:val="clear" w:color="auto" w:fill="FFFFFF"/>
        </w:rPr>
        <w:t>5</w:t>
      </w:r>
      <w:r w:rsidRPr="00703471">
        <w:rPr>
          <w:color w:val="222222"/>
          <w:shd w:val="clear" w:color="auto" w:fill="FFFFFF"/>
        </w:rPr>
        <w:t>). </w:t>
      </w:r>
      <w:r w:rsidR="009E0383" w:rsidRPr="00703471" w:rsidDel="009E0383">
        <w:rPr>
          <w:rStyle w:val="html-italic"/>
          <w:i/>
          <w:iCs/>
          <w:color w:val="222222"/>
          <w:szCs w:val="22"/>
          <w:shd w:val="clear" w:color="auto" w:fill="FFFFFF"/>
        </w:rPr>
        <w:t xml:space="preserve"> </w:t>
      </w:r>
      <w:commentRangeEnd w:id="95"/>
      <w:r w:rsidR="00804ABE" w:rsidRPr="00703471">
        <w:rPr>
          <w:rStyle w:val="CommentReference"/>
          <w:rFonts w:eastAsia="Times New Roman"/>
          <w:sz w:val="22"/>
          <w:szCs w:val="22"/>
          <w:lang w:val="nl-NL" w:eastAsia="nl-NL"/>
        </w:rPr>
        <w:commentReference w:id="95"/>
      </w:r>
    </w:p>
    <w:p w14:paraId="29E9578B" w14:textId="6C7B39E1" w:rsidR="00C00D26" w:rsidRPr="007E60D9" w:rsidRDefault="007C5106" w:rsidP="004C1B1F">
      <w:pPr>
        <w:pStyle w:val="IPPParagraphnumbering"/>
      </w:pPr>
      <w:r w:rsidRPr="008758F9">
        <w:rPr>
          <w:b/>
        </w:rPr>
        <w:t>European Com</w:t>
      </w:r>
      <w:r w:rsidR="00E35F2A" w:rsidRPr="008758F9">
        <w:rPr>
          <w:b/>
        </w:rPr>
        <w:t>m</w:t>
      </w:r>
      <w:r w:rsidRPr="008758F9">
        <w:rPr>
          <w:b/>
        </w:rPr>
        <w:t>ission.</w:t>
      </w:r>
      <w:r w:rsidRPr="008758F9">
        <w:t xml:space="preserve"> </w:t>
      </w:r>
      <w:r w:rsidRPr="00A37893">
        <w:t xml:space="preserve">2015. </w:t>
      </w:r>
      <w:r w:rsidRPr="00A37893">
        <w:rPr>
          <w:i/>
        </w:rPr>
        <w:t xml:space="preserve">Guidelines </w:t>
      </w:r>
      <w:r w:rsidRPr="00151BEF">
        <w:rPr>
          <w:bCs/>
          <w:i/>
        </w:rPr>
        <w:t>for the surv</w:t>
      </w:r>
      <w:r w:rsidRPr="000078B0">
        <w:rPr>
          <w:bCs/>
          <w:i/>
        </w:rPr>
        <w:t xml:space="preserve">ey of </w:t>
      </w:r>
      <w:r w:rsidRPr="00611F64">
        <w:rPr>
          <w:bCs/>
          <w:iCs/>
        </w:rPr>
        <w:t>Xylella fastidiosa</w:t>
      </w:r>
      <w:r w:rsidRPr="00611F64">
        <w:rPr>
          <w:bCs/>
          <w:i/>
          <w:iCs/>
        </w:rPr>
        <w:t xml:space="preserve"> </w:t>
      </w:r>
      <w:r w:rsidRPr="00292E33">
        <w:rPr>
          <w:bCs/>
          <w:i/>
        </w:rPr>
        <w:t xml:space="preserve">(Wells </w:t>
      </w:r>
      <w:r w:rsidRPr="00C6306C">
        <w:rPr>
          <w:bCs/>
        </w:rPr>
        <w:t>et</w:t>
      </w:r>
      <w:r w:rsidR="00E35F2A" w:rsidRPr="00C6306C">
        <w:rPr>
          <w:iCs/>
        </w:rPr>
        <w:t> </w:t>
      </w:r>
      <w:r w:rsidRPr="00C6306C">
        <w:rPr>
          <w:bCs/>
        </w:rPr>
        <w:t>al.</w:t>
      </w:r>
      <w:r w:rsidRPr="00716623">
        <w:rPr>
          <w:bCs/>
          <w:i/>
        </w:rPr>
        <w:t>) in the Union territory</w:t>
      </w:r>
      <w:r w:rsidRPr="00716623">
        <w:rPr>
          <w:bCs/>
        </w:rPr>
        <w:t xml:space="preserve">. </w:t>
      </w:r>
      <w:r w:rsidR="00B26901" w:rsidRPr="00716623">
        <w:rPr>
          <w:bCs/>
        </w:rPr>
        <w:t xml:space="preserve">8 pp. </w:t>
      </w:r>
      <w:r w:rsidR="00EE7FF0" w:rsidRPr="00716623">
        <w:rPr>
          <w:bCs/>
        </w:rPr>
        <w:t>Available at</w:t>
      </w:r>
      <w:r w:rsidRPr="00716623">
        <w:rPr>
          <w:bCs/>
        </w:rPr>
        <w:t xml:space="preserve"> </w:t>
      </w:r>
      <w:hyperlink r:id="rId36" w:history="1">
        <w:r w:rsidRPr="007E60D9">
          <w:rPr>
            <w:rStyle w:val="Hyperlink"/>
            <w:szCs w:val="22"/>
          </w:rPr>
          <w:t>https://ec.europa.eu/food/sites/food/files/plant/docs/</w:t>
        </w:r>
        <w:r w:rsidR="00EE7FF0" w:rsidRPr="007E60D9">
          <w:rPr>
            <w:rStyle w:val="Hyperlink"/>
            <w:szCs w:val="22"/>
          </w:rPr>
          <w:br/>
        </w:r>
        <w:r w:rsidRPr="007E60D9">
          <w:rPr>
            <w:rStyle w:val="Hyperlink"/>
            <w:szCs w:val="22"/>
          </w:rPr>
          <w:t>ph_biosec_legis_guidelines_xylella-survey.pdf</w:t>
        </w:r>
      </w:hyperlink>
      <w:r w:rsidR="00C00D26" w:rsidRPr="007E60D9">
        <w:rPr>
          <w:rStyle w:val="Hyperlink"/>
          <w:szCs w:val="22"/>
        </w:rPr>
        <w:t xml:space="preserve"> </w:t>
      </w:r>
      <w:r w:rsidR="00C00D26" w:rsidRPr="007E60D9">
        <w:t>(last accessed 12 February 2018)</w:t>
      </w:r>
      <w:r w:rsidR="00EE7FF0" w:rsidRPr="007E60D9">
        <w:t>.</w:t>
      </w:r>
    </w:p>
    <w:p w14:paraId="012EDD86" w14:textId="70238F6D" w:rsidR="00C04C01" w:rsidRPr="008758F9" w:rsidRDefault="00C04C01" w:rsidP="004C1B1F">
      <w:pPr>
        <w:pStyle w:val="IPPParagraphnumbering"/>
        <w:rPr>
          <w:rStyle w:val="Hyperlink"/>
          <w:color w:val="auto"/>
          <w:szCs w:val="22"/>
          <w:u w:val="none"/>
        </w:rPr>
      </w:pPr>
      <w:r w:rsidRPr="00703471">
        <w:rPr>
          <w:b/>
        </w:rPr>
        <w:t>European Commission.</w:t>
      </w:r>
      <w:r w:rsidRPr="008758F9">
        <w:t xml:space="preserve"> 2018. </w:t>
      </w:r>
      <w:r w:rsidR="00EE7FF0" w:rsidRPr="008758F9">
        <w:rPr>
          <w:i/>
        </w:rPr>
        <w:t>Xylella fastidiosa</w:t>
      </w:r>
      <w:r w:rsidR="00EE7FF0" w:rsidRPr="008758F9">
        <w:t xml:space="preserve">. Available at </w:t>
      </w:r>
      <w:hyperlink r:id="rId37" w:history="1">
        <w:r w:rsidRPr="007E60D9">
          <w:rPr>
            <w:rStyle w:val="Hyperlink"/>
            <w:szCs w:val="22"/>
          </w:rPr>
          <w:t>https://ec.europa.eu/food/plant/</w:t>
        </w:r>
        <w:r w:rsidR="00C746C5" w:rsidRPr="007E60D9">
          <w:rPr>
            <w:rStyle w:val="Hyperlink"/>
            <w:szCs w:val="22"/>
          </w:rPr>
          <w:br/>
        </w:r>
        <w:r w:rsidRPr="007E60D9">
          <w:rPr>
            <w:rStyle w:val="Hyperlink"/>
            <w:szCs w:val="22"/>
          </w:rPr>
          <w:t>plant_health_biosecurity/legislation/emergency_measures/xylella-fastidiosa_en</w:t>
        </w:r>
      </w:hyperlink>
      <w:r w:rsidRPr="007E60D9">
        <w:rPr>
          <w:rStyle w:val="Hyperlink"/>
          <w:szCs w:val="22"/>
        </w:rPr>
        <w:t xml:space="preserve"> </w:t>
      </w:r>
      <w:r w:rsidRPr="007E60D9">
        <w:rPr>
          <w:rStyle w:val="Hyperlink"/>
          <w:color w:val="auto"/>
          <w:szCs w:val="22"/>
          <w:u w:val="none"/>
        </w:rPr>
        <w:t>(last accessed 12 February 2018)</w:t>
      </w:r>
      <w:r w:rsidR="00EE7FF0" w:rsidRPr="008758F9">
        <w:rPr>
          <w:rStyle w:val="Hyperlink"/>
          <w:color w:val="auto"/>
          <w:szCs w:val="22"/>
          <w:u w:val="none"/>
        </w:rPr>
        <w:t>.</w:t>
      </w:r>
    </w:p>
    <w:p w14:paraId="1F423C84" w14:textId="1E06277C" w:rsidR="00817CC0" w:rsidRPr="00151BEF" w:rsidRDefault="00817CC0" w:rsidP="004C1B1F">
      <w:pPr>
        <w:pStyle w:val="IPPParagraphnumbering"/>
        <w:rPr>
          <w:rStyle w:val="PleaseReviewParagraphId"/>
          <w:rFonts w:ascii="Times New Roman" w:hAnsi="Times New Roman"/>
          <w:color w:val="auto"/>
          <w:sz w:val="22"/>
          <w:szCs w:val="22"/>
        </w:rPr>
      </w:pPr>
      <w:r w:rsidRPr="00703471">
        <w:rPr>
          <w:b/>
        </w:rPr>
        <w:t>European Commission. 2022</w:t>
      </w:r>
      <w:r w:rsidRPr="008758F9">
        <w:rPr>
          <w:b/>
        </w:rPr>
        <w:t xml:space="preserve">. </w:t>
      </w:r>
      <w:r w:rsidRPr="008758F9">
        <w:rPr>
          <w:rStyle w:val="PleaseReviewParagraphId"/>
          <w:rFonts w:ascii="Times New Roman" w:hAnsi="Times New Roman"/>
          <w:color w:val="auto"/>
          <w:sz w:val="22"/>
          <w:szCs w:val="22"/>
        </w:rPr>
        <w:t xml:space="preserve">Database of host plants found to be susceptible to </w:t>
      </w:r>
      <w:r w:rsidRPr="00703471">
        <w:rPr>
          <w:rStyle w:val="PleaseReviewParagraphId"/>
          <w:rFonts w:ascii="Times New Roman" w:hAnsi="Times New Roman"/>
          <w:i/>
          <w:color w:val="auto"/>
          <w:sz w:val="22"/>
          <w:szCs w:val="22"/>
        </w:rPr>
        <w:t>Xylella fastidiosa</w:t>
      </w:r>
      <w:r w:rsidRPr="008758F9">
        <w:rPr>
          <w:rStyle w:val="PleaseReviewParagraphId"/>
          <w:rFonts w:ascii="Times New Roman" w:hAnsi="Times New Roman"/>
          <w:color w:val="auto"/>
          <w:sz w:val="22"/>
          <w:szCs w:val="22"/>
        </w:rPr>
        <w:t xml:space="preserve"> in the Union territory. Update 14. 12 January 2022. Available at </w:t>
      </w:r>
      <w:r w:rsidRPr="00A37893">
        <w:rPr>
          <w:rStyle w:val="PleaseReviewParagraphId"/>
          <w:rFonts w:ascii="Times New Roman" w:hAnsi="Times New Roman"/>
          <w:color w:val="auto"/>
          <w:sz w:val="22"/>
          <w:szCs w:val="22"/>
        </w:rPr>
        <w:t>https://ec.europa.eu/food/plants/plant-health-and-biosecurity/legislation/control-measures/xylella-fastidiosa/database-susceptible-host-plants_fr</w:t>
      </w:r>
      <w:r w:rsidR="005E7A49" w:rsidRPr="00A37893">
        <w:rPr>
          <w:rStyle w:val="PleaseReviewParagraphId"/>
          <w:rFonts w:ascii="Times New Roman" w:hAnsi="Times New Roman"/>
          <w:color w:val="auto"/>
          <w:sz w:val="22"/>
          <w:szCs w:val="22"/>
        </w:rPr>
        <w:t>.</w:t>
      </w:r>
    </w:p>
    <w:p w14:paraId="3C3634A5" w14:textId="16AC90C9" w:rsidR="008E6998" w:rsidRPr="00716623" w:rsidRDefault="000330D6" w:rsidP="004C1B1F">
      <w:pPr>
        <w:pStyle w:val="IPPParagraphnumbering"/>
      </w:pPr>
      <w:r w:rsidRPr="000078B0">
        <w:rPr>
          <w:b/>
        </w:rPr>
        <w:t>Firrao, G. &amp; Bazzi, C.</w:t>
      </w:r>
      <w:r w:rsidRPr="00611F64">
        <w:t xml:space="preserve"> 1994. Specific identification of </w:t>
      </w:r>
      <w:r w:rsidRPr="00611F64">
        <w:rPr>
          <w:i/>
        </w:rPr>
        <w:t>Xylella fastidiosa</w:t>
      </w:r>
      <w:r w:rsidRPr="00292E33">
        <w:t xml:space="preserve"> using the</w:t>
      </w:r>
      <w:r w:rsidRPr="00C6306C">
        <w:t xml:space="preserve"> polymerase chain reaction. </w:t>
      </w:r>
      <w:r w:rsidRPr="00C6306C">
        <w:rPr>
          <w:i/>
        </w:rPr>
        <w:t>Phytopathologia Mediterranea</w:t>
      </w:r>
      <w:r w:rsidRPr="00C6306C">
        <w:rPr>
          <w:rFonts w:eastAsia="Arial Unicode MS"/>
        </w:rPr>
        <w:t>, 33: 90</w:t>
      </w:r>
      <w:r w:rsidRPr="00716623">
        <w:t>–</w:t>
      </w:r>
      <w:r w:rsidRPr="00716623">
        <w:rPr>
          <w:rFonts w:eastAsia="Arial Unicode MS"/>
        </w:rPr>
        <w:t>92.</w:t>
      </w:r>
    </w:p>
    <w:p w14:paraId="068E8246" w14:textId="753B39CC" w:rsidR="008E6998" w:rsidRPr="000D78FD" w:rsidRDefault="000330D6" w:rsidP="004C1B1F">
      <w:pPr>
        <w:pStyle w:val="IPPParagraphnumbering"/>
      </w:pPr>
      <w:r w:rsidRPr="00E35D00">
        <w:rPr>
          <w:b/>
        </w:rPr>
        <w:t>Francis, M., Civerolo, E.L. &amp; Bruening, G.</w:t>
      </w:r>
      <w:r w:rsidRPr="00BE170D">
        <w:t xml:space="preserve"> 2008. Improved bioassay of </w:t>
      </w:r>
      <w:r w:rsidRPr="00BE170D">
        <w:rPr>
          <w:i/>
        </w:rPr>
        <w:t>Xylella fastidiosa</w:t>
      </w:r>
      <w:r w:rsidRPr="00BE170D">
        <w:t xml:space="preserve"> using </w:t>
      </w:r>
      <w:r w:rsidRPr="00FB06DC">
        <w:rPr>
          <w:i/>
        </w:rPr>
        <w:t>Nicotiana tabacum</w:t>
      </w:r>
      <w:r w:rsidRPr="001C5A4E">
        <w:t xml:space="preserve"> cultivar SR1. </w:t>
      </w:r>
      <w:r w:rsidRPr="000D78FD">
        <w:rPr>
          <w:i/>
          <w:iCs/>
        </w:rPr>
        <w:t>Plant Disease</w:t>
      </w:r>
      <w:r w:rsidRPr="000D78FD">
        <w:t xml:space="preserve">, </w:t>
      </w:r>
      <w:r w:rsidRPr="000D78FD">
        <w:rPr>
          <w:iCs/>
        </w:rPr>
        <w:t>92</w:t>
      </w:r>
      <w:r w:rsidRPr="000D78FD">
        <w:t>(1): 14–20.</w:t>
      </w:r>
    </w:p>
    <w:p w14:paraId="24287339" w14:textId="7C252B96" w:rsidR="008E6998" w:rsidRPr="00C0568C" w:rsidRDefault="000330D6" w:rsidP="004C1B1F">
      <w:pPr>
        <w:pStyle w:val="IPPParagraphnumbering"/>
      </w:pPr>
      <w:bookmarkStart w:id="96" w:name="_ENREF_14"/>
      <w:r w:rsidRPr="005C3D8E">
        <w:rPr>
          <w:b/>
          <w:lang w:val="it-IT"/>
        </w:rPr>
        <w:t>Francis, M., Lin, H., Cabrera-La Rosa, J., Doddapaneni, H. &amp; Civerolo, E.L.</w:t>
      </w:r>
      <w:r w:rsidRPr="005C3D8E">
        <w:rPr>
          <w:lang w:val="it-IT"/>
        </w:rPr>
        <w:t xml:space="preserve"> 2006. </w:t>
      </w:r>
      <w:r w:rsidRPr="00D415AF">
        <w:t xml:space="preserve">Genome-based PCR primers for specific and sensitive detection and quantification of </w:t>
      </w:r>
      <w:r w:rsidRPr="008C7AA2">
        <w:rPr>
          <w:i/>
        </w:rPr>
        <w:t>Xylella fastidiosa</w:t>
      </w:r>
      <w:r w:rsidRPr="0019114A">
        <w:t xml:space="preserve">. </w:t>
      </w:r>
      <w:r w:rsidRPr="00E575B8">
        <w:rPr>
          <w:i/>
        </w:rPr>
        <w:t>European Journal of Plant Pathology</w:t>
      </w:r>
      <w:r w:rsidRPr="00592A71">
        <w:t>, 115: 203–213.</w:t>
      </w:r>
      <w:bookmarkEnd w:id="96"/>
    </w:p>
    <w:p w14:paraId="3ED92999" w14:textId="5C3FDE10" w:rsidR="008E6998" w:rsidRPr="007E2509" w:rsidRDefault="000330D6" w:rsidP="004C1B1F">
      <w:pPr>
        <w:pStyle w:val="IPPParagraphnumbering"/>
      </w:pPr>
      <w:bookmarkStart w:id="97" w:name="_ENREF_15"/>
      <w:r w:rsidRPr="000D78FD">
        <w:rPr>
          <w:b/>
          <w:lang w:val="pt-BR"/>
        </w:rPr>
        <w:t>Galvez, L.C., Korus, K., Fernandez, J., Behn, J.L. &amp; Banjara, N.</w:t>
      </w:r>
      <w:r w:rsidRPr="000D78FD">
        <w:rPr>
          <w:lang w:val="pt-BR"/>
        </w:rPr>
        <w:t xml:space="preserve"> 2010. </w:t>
      </w:r>
      <w:r w:rsidRPr="00797BAA">
        <w:t xml:space="preserve">The threat of Pierce’s disease to midwest wine and table grapes. </w:t>
      </w:r>
      <w:bookmarkEnd w:id="97"/>
      <w:r w:rsidRPr="007E2509">
        <w:rPr>
          <w:i/>
        </w:rPr>
        <w:t>APSnet Features</w:t>
      </w:r>
      <w:r w:rsidRPr="007E2509">
        <w:t>. doi:10.1094/APSnetFeature-2010-1015.</w:t>
      </w:r>
    </w:p>
    <w:p w14:paraId="2C1DAEE5" w14:textId="0E4EF2BF" w:rsidR="008E6998" w:rsidRPr="0078130B" w:rsidRDefault="000330D6" w:rsidP="004C1B1F">
      <w:pPr>
        <w:pStyle w:val="IPPParagraphnumbering"/>
      </w:pPr>
      <w:r w:rsidRPr="007E2509">
        <w:rPr>
          <w:b/>
        </w:rPr>
        <w:t>Gould, A.B. &amp; Lashomb, J.H.</w:t>
      </w:r>
      <w:r w:rsidRPr="007E2509">
        <w:t xml:space="preserve"> 2007.</w:t>
      </w:r>
      <w:r w:rsidRPr="007E2509">
        <w:rPr>
          <w:rFonts w:eastAsia="Times New Roman"/>
          <w:color w:val="545454"/>
        </w:rPr>
        <w:t xml:space="preserve"> </w:t>
      </w:r>
      <w:r w:rsidRPr="007E2509">
        <w:t xml:space="preserve">Bacterial leaf scorch (BLS) of shade trees. </w:t>
      </w:r>
      <w:r w:rsidRPr="007E2509">
        <w:rPr>
          <w:i/>
        </w:rPr>
        <w:t>The Plant Health Instructor</w:t>
      </w:r>
      <w:r w:rsidRPr="0078130B">
        <w:t>. doi:10.1094/PHI-I-2007-0403-07.</w:t>
      </w:r>
    </w:p>
    <w:p w14:paraId="05C33287" w14:textId="1308B23E" w:rsidR="00DA04DF" w:rsidRPr="00703471" w:rsidRDefault="00DA04DF" w:rsidP="004C1B1F">
      <w:pPr>
        <w:pStyle w:val="IPPParagraphnumbering"/>
        <w:rPr>
          <w:color w:val="222222"/>
          <w:shd w:val="clear" w:color="auto" w:fill="FFFFFF"/>
        </w:rPr>
      </w:pPr>
      <w:r w:rsidRPr="000D78FD">
        <w:rPr>
          <w:b/>
          <w:color w:val="222222"/>
          <w:shd w:val="clear" w:color="auto" w:fill="FFFFFF"/>
          <w:lang w:val="it-IT"/>
        </w:rPr>
        <w:t xml:space="preserve">Giampetruzzi, A., Saponari, M., Loconsole, G., Boscia, D., Savino, V. N., Almeida, R. P., ... </w:t>
      </w:r>
      <w:r w:rsidRPr="00703471">
        <w:rPr>
          <w:b/>
          <w:color w:val="222222"/>
          <w:shd w:val="clear" w:color="auto" w:fill="FFFFFF"/>
        </w:rPr>
        <w:t>&amp; Saldarelli, P.</w:t>
      </w:r>
      <w:r w:rsidRPr="00703471">
        <w:rPr>
          <w:color w:val="222222"/>
          <w:shd w:val="clear" w:color="auto" w:fill="FFFFFF"/>
        </w:rPr>
        <w:t xml:space="preserve"> (2017). Genome-wide analysis provides evidence on the genetic relatedness of the emergent </w:t>
      </w:r>
      <w:r w:rsidRPr="00703471">
        <w:rPr>
          <w:i/>
          <w:color w:val="222222"/>
          <w:shd w:val="clear" w:color="auto" w:fill="FFFFFF"/>
        </w:rPr>
        <w:t>Xylella fastidiosa</w:t>
      </w:r>
      <w:r w:rsidRPr="00703471">
        <w:rPr>
          <w:color w:val="222222"/>
          <w:shd w:val="clear" w:color="auto" w:fill="FFFFFF"/>
        </w:rPr>
        <w:t xml:space="preserve"> genotype in Italy to isolates from Central America. </w:t>
      </w:r>
      <w:r w:rsidRPr="00703471">
        <w:rPr>
          <w:i/>
          <w:iCs/>
          <w:color w:val="222222"/>
          <w:shd w:val="clear" w:color="auto" w:fill="FFFFFF"/>
        </w:rPr>
        <w:t>Phytopathology</w:t>
      </w:r>
      <w:r w:rsidRPr="00703471">
        <w:rPr>
          <w:color w:val="222222"/>
          <w:shd w:val="clear" w:color="auto" w:fill="FFFFFF"/>
        </w:rPr>
        <w:t>, </w:t>
      </w:r>
      <w:r w:rsidRPr="00703471">
        <w:rPr>
          <w:i/>
          <w:iCs/>
          <w:color w:val="222222"/>
          <w:shd w:val="clear" w:color="auto" w:fill="FFFFFF"/>
        </w:rPr>
        <w:t>107</w:t>
      </w:r>
      <w:r w:rsidRPr="00703471">
        <w:rPr>
          <w:color w:val="222222"/>
          <w:shd w:val="clear" w:color="auto" w:fill="FFFFFF"/>
        </w:rPr>
        <w:t>(7), 816-827.</w:t>
      </w:r>
    </w:p>
    <w:p w14:paraId="7B505066" w14:textId="26EA8B31" w:rsidR="008E6998" w:rsidRPr="00151BEF" w:rsidRDefault="000330D6" w:rsidP="004C1B1F">
      <w:pPr>
        <w:pStyle w:val="IPPParagraphnumbering"/>
      </w:pPr>
      <w:bookmarkStart w:id="98" w:name="_ENREF_17"/>
      <w:r w:rsidRPr="005C3D8E">
        <w:rPr>
          <w:b/>
          <w:lang w:val="nl-NL"/>
        </w:rPr>
        <w:t>Haelterman, R.M., Tolocka, P.A., Roca, M.E., Guzmán, F.A., Fernández, F.D. &amp; Otero, M.L.</w:t>
      </w:r>
      <w:r w:rsidRPr="005C3D8E">
        <w:rPr>
          <w:lang w:val="nl-NL"/>
        </w:rPr>
        <w:t xml:space="preserve"> 2015. </w:t>
      </w:r>
      <w:r w:rsidRPr="008758F9">
        <w:t xml:space="preserve">First presumptive diagnosis of </w:t>
      </w:r>
      <w:r w:rsidRPr="008758F9">
        <w:rPr>
          <w:i/>
        </w:rPr>
        <w:t>Xylella fastidiosa</w:t>
      </w:r>
      <w:r w:rsidRPr="008758F9">
        <w:t xml:space="preserve"> causing olive scorch in Argentina. </w:t>
      </w:r>
      <w:r w:rsidRPr="00A37893">
        <w:rPr>
          <w:i/>
        </w:rPr>
        <w:t>Journal of Plant Pathology</w:t>
      </w:r>
      <w:r w:rsidRPr="00A37893">
        <w:t>, 97: 393.</w:t>
      </w:r>
      <w:bookmarkEnd w:id="98"/>
    </w:p>
    <w:p w14:paraId="53294A0C" w14:textId="7CA10CAB" w:rsidR="008E6998" w:rsidRPr="00B717A7" w:rsidRDefault="000330D6" w:rsidP="004C1B1F">
      <w:pPr>
        <w:pStyle w:val="IPPParagraphnumbering"/>
      </w:pPr>
      <w:bookmarkStart w:id="99" w:name="_ENREF_18"/>
      <w:r w:rsidRPr="000078B0">
        <w:rPr>
          <w:b/>
        </w:rPr>
        <w:t>Harper, S.J., Ward, L.I. &amp; Clover, G.R.G.</w:t>
      </w:r>
      <w:r w:rsidRPr="00611F64">
        <w:t xml:space="preserve"> 2010, erratum 2013. Development of LAMP and real-time PCR methods for the rapid detection of </w:t>
      </w:r>
      <w:r w:rsidRPr="00C6306C">
        <w:rPr>
          <w:i/>
        </w:rPr>
        <w:t>Xylella fastidiosa</w:t>
      </w:r>
      <w:r w:rsidRPr="00C6306C">
        <w:t xml:space="preserve"> for quarantine and field applications. </w:t>
      </w:r>
      <w:r w:rsidRPr="00B717A7">
        <w:rPr>
          <w:i/>
        </w:rPr>
        <w:t>Phytopathology</w:t>
      </w:r>
      <w:r w:rsidRPr="00B717A7">
        <w:t>, 100: 1282–1288.</w:t>
      </w:r>
      <w:bookmarkEnd w:id="99"/>
    </w:p>
    <w:p w14:paraId="720A84E6" w14:textId="0DA342CE" w:rsidR="008E6998" w:rsidRPr="00D415AF" w:rsidRDefault="000330D6" w:rsidP="004C1B1F">
      <w:pPr>
        <w:pStyle w:val="IPPParagraphnumbering"/>
      </w:pPr>
      <w:r w:rsidRPr="00E35D00">
        <w:rPr>
          <w:b/>
        </w:rPr>
        <w:t>Hartung, J.S., Beretta, J., Brlansky, R.H., Spisso, J. &amp; Lee, R.F.</w:t>
      </w:r>
      <w:r w:rsidRPr="00BE170D">
        <w:t xml:space="preserve"> 1994. Citrus variegated chlorosis bacterium: Axenic culture, pathogenicity and serological relationships with other strains of </w:t>
      </w:r>
      <w:r w:rsidRPr="00BE170D">
        <w:rPr>
          <w:i/>
        </w:rPr>
        <w:t>Xylella fastidiosa</w:t>
      </w:r>
      <w:r w:rsidRPr="00FB06DC">
        <w:t xml:space="preserve">. </w:t>
      </w:r>
      <w:r w:rsidRPr="001C5A4E">
        <w:rPr>
          <w:i/>
        </w:rPr>
        <w:t>Phytopathology</w:t>
      </w:r>
      <w:r w:rsidRPr="00D02271">
        <w:t>, 84</w:t>
      </w:r>
      <w:r w:rsidR="0003262A" w:rsidRPr="00D02271">
        <w:t>:</w:t>
      </w:r>
      <w:r w:rsidRPr="00D415AF">
        <w:t xml:space="preserve"> 591–597.</w:t>
      </w:r>
    </w:p>
    <w:p w14:paraId="189963E4" w14:textId="4B46A1D1" w:rsidR="008E6998" w:rsidRPr="006334F7" w:rsidRDefault="000330D6" w:rsidP="004C1B1F">
      <w:pPr>
        <w:pStyle w:val="IPPParagraphnumbering"/>
        <w:rPr>
          <w:rFonts w:eastAsia="Arial Unicode MS"/>
        </w:rPr>
      </w:pPr>
      <w:bookmarkStart w:id="100" w:name="_ENREF_19"/>
      <w:r w:rsidRPr="00D415AF">
        <w:rPr>
          <w:b/>
        </w:rPr>
        <w:t>He, C.X., Li, W.B., Ayres, A.J., Hartung, J.S., Miranda, V.S. &amp; Teixeira, D.C.</w:t>
      </w:r>
      <w:r w:rsidRPr="00D415AF">
        <w:t xml:space="preserve"> 2000. Distribution of </w:t>
      </w:r>
      <w:r w:rsidRPr="008C7AA2">
        <w:rPr>
          <w:i/>
        </w:rPr>
        <w:t>Xylella fastidiosa</w:t>
      </w:r>
      <w:r w:rsidRPr="0019114A">
        <w:t xml:space="preserve"> in citrus rootstocks and transmission of citrus variegated chlorosis between sweet orange plants through natural root grafts. </w:t>
      </w:r>
      <w:r w:rsidRPr="00E575B8">
        <w:rPr>
          <w:i/>
        </w:rPr>
        <w:t>P</w:t>
      </w:r>
      <w:r w:rsidRPr="00592A71">
        <w:rPr>
          <w:i/>
        </w:rPr>
        <w:t>lant Disease</w:t>
      </w:r>
      <w:r w:rsidRPr="00C0568C">
        <w:t>, 84: 622–626.</w:t>
      </w:r>
      <w:bookmarkEnd w:id="100"/>
      <w:r w:rsidRPr="00766B5B">
        <w:rPr>
          <w:rFonts w:eastAsia="Arial Unicode MS"/>
        </w:rPr>
        <w:t xml:space="preserve"> </w:t>
      </w:r>
    </w:p>
    <w:p w14:paraId="4F99F0E0" w14:textId="51C741F4" w:rsidR="008E6998" w:rsidRPr="007E2509" w:rsidRDefault="000330D6" w:rsidP="004C1B1F">
      <w:pPr>
        <w:pStyle w:val="IPPParagraphnumbering"/>
      </w:pPr>
      <w:r w:rsidRPr="00797BAA">
        <w:rPr>
          <w:b/>
        </w:rPr>
        <w:t>Hernandez-Martinez, R., Costa, H.S., Dumenyo, C.K. &amp; Cooksey, D.A.</w:t>
      </w:r>
      <w:r w:rsidRPr="00797BAA">
        <w:t xml:space="preserve"> 2006. Differentiation of strains of </w:t>
      </w:r>
      <w:r w:rsidRPr="007E2509">
        <w:rPr>
          <w:i/>
        </w:rPr>
        <w:t>Xylella fastidiosa</w:t>
      </w:r>
      <w:r w:rsidRPr="007E2509">
        <w:t xml:space="preserve"> infecting grape, almonds, and oleander using a multiprimer PCR assay. </w:t>
      </w:r>
      <w:r w:rsidRPr="007E2509">
        <w:rPr>
          <w:i/>
        </w:rPr>
        <w:t>Plant Disease</w:t>
      </w:r>
      <w:r w:rsidRPr="007E2509">
        <w:t xml:space="preserve">, 90: 1382–1388. </w:t>
      </w:r>
    </w:p>
    <w:p w14:paraId="5FBAB36A" w14:textId="643A1BEF" w:rsidR="008E6998" w:rsidRPr="00FF6C00" w:rsidRDefault="000330D6" w:rsidP="004C1B1F">
      <w:pPr>
        <w:pStyle w:val="IPPParagraphnumbering"/>
      </w:pPr>
      <w:bookmarkStart w:id="101" w:name="_ENREF_20"/>
      <w:r w:rsidRPr="007E2509">
        <w:rPr>
          <w:b/>
        </w:rPr>
        <w:t>Hill, B.L. &amp; Purcell, A.H.</w:t>
      </w:r>
      <w:r w:rsidRPr="007E2509">
        <w:t xml:space="preserve"> 1995. Acquisition and retention of </w:t>
      </w:r>
      <w:r w:rsidRPr="0078130B">
        <w:rPr>
          <w:i/>
        </w:rPr>
        <w:t>Xylella fastidiosa</w:t>
      </w:r>
      <w:r w:rsidRPr="0078130B">
        <w:t xml:space="preserve"> by an efficient vector, </w:t>
      </w:r>
      <w:r w:rsidRPr="00270CF5">
        <w:rPr>
          <w:i/>
        </w:rPr>
        <w:t>Graphocephala atropunctata</w:t>
      </w:r>
      <w:r w:rsidRPr="00270CF5">
        <w:t xml:space="preserve">. </w:t>
      </w:r>
      <w:r w:rsidRPr="00270CF5">
        <w:rPr>
          <w:i/>
        </w:rPr>
        <w:t>Phytopathology</w:t>
      </w:r>
      <w:r w:rsidRPr="00270CF5">
        <w:t>, 85: 209–212.</w:t>
      </w:r>
      <w:bookmarkEnd w:id="101"/>
    </w:p>
    <w:p w14:paraId="1881D4E2" w14:textId="37CA9129" w:rsidR="008E6998" w:rsidRPr="00592A71" w:rsidRDefault="000330D6" w:rsidP="004C1B1F">
      <w:pPr>
        <w:pStyle w:val="IPPParagraphnumbering"/>
      </w:pPr>
      <w:r w:rsidRPr="00FF6C00">
        <w:rPr>
          <w:b/>
        </w:rPr>
        <w:t>Holland, R.M., Christiano, R.S.C., Ga</w:t>
      </w:r>
      <w:r w:rsidR="00D415AF">
        <w:rPr>
          <w:b/>
        </w:rPr>
        <w:t>mL</w:t>
      </w:r>
      <w:r w:rsidRPr="00D415AF">
        <w:rPr>
          <w:b/>
        </w:rPr>
        <w:t>iel-Atinsky, E. &amp; Scherm, H.</w:t>
      </w:r>
      <w:r w:rsidRPr="00D415AF">
        <w:t xml:space="preserve"> 2014. Distribution of </w:t>
      </w:r>
      <w:r w:rsidRPr="00D415AF">
        <w:rPr>
          <w:i/>
        </w:rPr>
        <w:t>Xylella fastidiosa</w:t>
      </w:r>
      <w:r w:rsidRPr="008C7AA2">
        <w:t xml:space="preserve"> in blueberry stem and root sections in relation to disease severity in the field. </w:t>
      </w:r>
      <w:r w:rsidRPr="0019114A">
        <w:rPr>
          <w:i/>
        </w:rPr>
        <w:t>Plant Disease</w:t>
      </w:r>
      <w:r w:rsidRPr="00E575B8">
        <w:t>, 98: 443–447.</w:t>
      </w:r>
    </w:p>
    <w:p w14:paraId="47D0A0BE" w14:textId="782A9EB0" w:rsidR="008E6998" w:rsidRPr="00797BAA" w:rsidRDefault="000330D6" w:rsidP="004C1B1F">
      <w:pPr>
        <w:pStyle w:val="IPPParagraphnumbering"/>
      </w:pPr>
      <w:bookmarkStart w:id="102" w:name="_ENREF_21"/>
      <w:r w:rsidRPr="00C0568C">
        <w:rPr>
          <w:b/>
        </w:rPr>
        <w:t>Hopkins, D.L.</w:t>
      </w:r>
      <w:r w:rsidRPr="00766B5B">
        <w:t xml:space="preserve"> 1981. Seasonal concentration of the Pierce’s disease bacterium in grapevine stems, petioles, and leaf veins. </w:t>
      </w:r>
      <w:r w:rsidRPr="006334F7">
        <w:rPr>
          <w:i/>
        </w:rPr>
        <w:t>Phytopathol</w:t>
      </w:r>
      <w:r w:rsidRPr="00797BAA">
        <w:rPr>
          <w:i/>
        </w:rPr>
        <w:t>ogy</w:t>
      </w:r>
      <w:r w:rsidRPr="00797BAA">
        <w:t>, 71: 415–418.</w:t>
      </w:r>
      <w:bookmarkEnd w:id="102"/>
    </w:p>
    <w:p w14:paraId="29B36D2B" w14:textId="47EA73A7" w:rsidR="008E6998" w:rsidRPr="0078130B" w:rsidRDefault="000330D6" w:rsidP="004C1B1F">
      <w:pPr>
        <w:pStyle w:val="IPPParagraphnumbering"/>
      </w:pPr>
      <w:r w:rsidRPr="007E2509">
        <w:rPr>
          <w:b/>
        </w:rPr>
        <w:t>Hopkins, D.L.</w:t>
      </w:r>
      <w:r w:rsidRPr="007E2509">
        <w:t xml:space="preserve"> 2001. </w:t>
      </w:r>
      <w:r w:rsidRPr="007E2509">
        <w:rPr>
          <w:i/>
        </w:rPr>
        <w:t>Xylella fastidiosa</w:t>
      </w:r>
      <w:r w:rsidRPr="007E2509">
        <w:t>. In</w:t>
      </w:r>
      <w:r w:rsidR="0003262A" w:rsidRPr="007E2509">
        <w:t>:</w:t>
      </w:r>
      <w:r w:rsidRPr="007E2509">
        <w:t xml:space="preserve"> N.W. Schaad, J.B. Jones &amp; W. Chun, eds. </w:t>
      </w:r>
      <w:r w:rsidRPr="007E2509">
        <w:rPr>
          <w:i/>
        </w:rPr>
        <w:t>Laboratory guide for identification of plant pathogenic bacteria</w:t>
      </w:r>
      <w:r w:rsidRPr="007E2509">
        <w:t>, 3rd edn, pp.</w:t>
      </w:r>
      <w:r w:rsidR="006A5A4B" w:rsidRPr="007E2509">
        <w:t> </w:t>
      </w:r>
      <w:r w:rsidRPr="0078130B">
        <w:t>201–213. St. Paul, MN, APS Press.</w:t>
      </w:r>
    </w:p>
    <w:p w14:paraId="636FE3C9" w14:textId="0863A437" w:rsidR="008E6998" w:rsidRPr="00FF6C00" w:rsidRDefault="000330D6" w:rsidP="004C1B1F">
      <w:pPr>
        <w:pStyle w:val="IPPParagraphnumbering"/>
      </w:pPr>
      <w:r w:rsidRPr="00270CF5">
        <w:rPr>
          <w:b/>
        </w:rPr>
        <w:t>Hopkins, D.L. &amp; Purcell, A.H.</w:t>
      </w:r>
      <w:r w:rsidRPr="00270CF5">
        <w:t xml:space="preserve"> 2002. </w:t>
      </w:r>
      <w:r w:rsidRPr="00270CF5">
        <w:rPr>
          <w:i/>
        </w:rPr>
        <w:t>Xylella fastidiosa</w:t>
      </w:r>
      <w:r w:rsidRPr="00270CF5">
        <w:t xml:space="preserve">: Cause of Pierce’s disease of grapevine and other emergent diseases. </w:t>
      </w:r>
      <w:r w:rsidRPr="00FF6C00">
        <w:rPr>
          <w:i/>
          <w:iCs/>
        </w:rPr>
        <w:t>Plant Disease</w:t>
      </w:r>
      <w:r w:rsidRPr="00FF6C00">
        <w:t xml:space="preserve">, </w:t>
      </w:r>
      <w:r w:rsidRPr="00FF6C00">
        <w:rPr>
          <w:iCs/>
        </w:rPr>
        <w:t>86</w:t>
      </w:r>
      <w:r w:rsidRPr="00FF6C00">
        <w:t>: 1056–1066.</w:t>
      </w:r>
    </w:p>
    <w:p w14:paraId="568275B4" w14:textId="6D161E5E" w:rsidR="008E6998" w:rsidRPr="005F7F29" w:rsidRDefault="000330D6" w:rsidP="004C1B1F">
      <w:pPr>
        <w:pStyle w:val="IPPParagraphnumbering"/>
      </w:pPr>
      <w:r w:rsidRPr="005F7F29">
        <w:rPr>
          <w:b/>
        </w:rPr>
        <w:t>Huang, Q.</w:t>
      </w:r>
      <w:r w:rsidRPr="005F7F29">
        <w:t xml:space="preserve"> 2009. Specific detection and identification of </w:t>
      </w:r>
      <w:r w:rsidRPr="005F7F29">
        <w:rPr>
          <w:i/>
        </w:rPr>
        <w:t>Xylella fastidiosa</w:t>
      </w:r>
      <w:r w:rsidRPr="005F7F29">
        <w:t xml:space="preserve"> strains causing oleander leaf scorch using polymerase chain reaction. </w:t>
      </w:r>
      <w:r w:rsidRPr="005F7F29">
        <w:rPr>
          <w:i/>
          <w:iCs/>
        </w:rPr>
        <w:t>Current Microbiology</w:t>
      </w:r>
      <w:r w:rsidRPr="005F7F29">
        <w:t xml:space="preserve">, </w:t>
      </w:r>
      <w:r w:rsidRPr="005F7F29">
        <w:rPr>
          <w:iCs/>
        </w:rPr>
        <w:t>58</w:t>
      </w:r>
      <w:r w:rsidRPr="005F7F29">
        <w:t>(4): 393–398.</w:t>
      </w:r>
    </w:p>
    <w:p w14:paraId="65EA5281" w14:textId="046F54DA" w:rsidR="008E6998" w:rsidRDefault="000330D6" w:rsidP="004C1B1F">
      <w:pPr>
        <w:pStyle w:val="IPPParagraphnumbering"/>
      </w:pPr>
      <w:bookmarkStart w:id="103" w:name="_ENREF_22"/>
      <w:r w:rsidRPr="005674B0">
        <w:rPr>
          <w:b/>
        </w:rPr>
        <w:t>Huang, Q., Bentz, J. &amp; Sherald, J.L.</w:t>
      </w:r>
      <w:r w:rsidRPr="000C01E7">
        <w:t xml:space="preserve"> 2006. Fast, easy and efficient DNA extraction and one-step polymerase chain reaction for the detection of </w:t>
      </w:r>
      <w:r w:rsidRPr="000C01E7">
        <w:rPr>
          <w:i/>
        </w:rPr>
        <w:t>Xylella fastidiosa</w:t>
      </w:r>
      <w:r w:rsidRPr="000C01E7">
        <w:t xml:space="preserve"> in potential insect vectors. </w:t>
      </w:r>
      <w:r w:rsidRPr="000C01E7">
        <w:rPr>
          <w:i/>
        </w:rPr>
        <w:t>Journal of Plant Pathology</w:t>
      </w:r>
      <w:r w:rsidRPr="000C01E7">
        <w:t>, 88: 77–81.</w:t>
      </w:r>
      <w:bookmarkEnd w:id="103"/>
    </w:p>
    <w:p w14:paraId="3E16E49F" w14:textId="17815C13" w:rsidR="005B775D" w:rsidRPr="005C3D8E" w:rsidRDefault="005B775D" w:rsidP="004C1B1F">
      <w:pPr>
        <w:pStyle w:val="IPPParagraphnumbering"/>
        <w:rPr>
          <w:color w:val="000000" w:themeColor="text1"/>
          <w:lang w:val="fr-BE"/>
        </w:rPr>
      </w:pPr>
      <w:r w:rsidRPr="00703471">
        <w:rPr>
          <w:b/>
        </w:rPr>
        <w:t>Ioos R., Fourrier C., Iancu G., and Gordon T. R.,</w:t>
      </w:r>
      <w:r w:rsidRPr="005F7F29">
        <w:t xml:space="preserve"> </w:t>
      </w:r>
      <w:r w:rsidRPr="00703471">
        <w:rPr>
          <w:b/>
        </w:rPr>
        <w:t>2009</w:t>
      </w:r>
      <w:r>
        <w:t xml:space="preserve">. </w:t>
      </w:r>
      <w:r w:rsidRPr="005F7F29">
        <w:t xml:space="preserve">Sensitive detection of </w:t>
      </w:r>
      <w:r w:rsidRPr="00703471">
        <w:rPr>
          <w:i/>
        </w:rPr>
        <w:t>Fusarium circinatum</w:t>
      </w:r>
      <w:r w:rsidRPr="005F7F29">
        <w:t xml:space="preserve"> in pine seed by combining an enrichment procedure with a real-time polymerase chain reaction using dual-labeled probe chemistry</w:t>
      </w:r>
      <w:r>
        <w:t>.</w:t>
      </w:r>
      <w:r w:rsidRPr="005F7F29">
        <w:t xml:space="preserve"> </w:t>
      </w:r>
      <w:r w:rsidRPr="005C3D8E">
        <w:rPr>
          <w:i/>
          <w:lang w:val="fr-BE"/>
        </w:rPr>
        <w:t>Phytopathology</w:t>
      </w:r>
      <w:r w:rsidRPr="005C3D8E">
        <w:rPr>
          <w:lang w:val="fr-BE"/>
        </w:rPr>
        <w:t xml:space="preserve"> 99, 582-590. Doi:</w:t>
      </w:r>
      <w:hyperlink r:id="rId38" w:history="1">
        <w:r w:rsidRPr="005C3D8E">
          <w:rPr>
            <w:rStyle w:val="Hyperlink"/>
            <w:color w:val="000000" w:themeColor="text1"/>
            <w:szCs w:val="22"/>
            <w:u w:val="none"/>
            <w:shd w:val="clear" w:color="auto" w:fill="FFFFFF"/>
            <w:lang w:val="fr-BE"/>
          </w:rPr>
          <w:t>10.1094/PHYTO-99-5-0582</w:t>
        </w:r>
      </w:hyperlink>
    </w:p>
    <w:p w14:paraId="696C1014" w14:textId="3EB6EAC8" w:rsidR="008E6998" w:rsidRPr="008758F9" w:rsidRDefault="000330D6" w:rsidP="004C1B1F">
      <w:pPr>
        <w:pStyle w:val="IPPParagraphnumbering"/>
      </w:pPr>
      <w:r w:rsidRPr="00703471">
        <w:rPr>
          <w:b/>
          <w:bCs/>
          <w:lang w:val="fr-FR"/>
        </w:rPr>
        <w:t>Jacques, M.A., Denancé, N., Legendre, B., Morel, E., Briand, M., Mississipi, S., Durand, K.</w:t>
      </w:r>
      <w:r w:rsidR="00D93BAD" w:rsidRPr="00703471">
        <w:rPr>
          <w:b/>
          <w:bCs/>
          <w:lang w:val="fr-FR"/>
        </w:rPr>
        <w:t xml:space="preserve"> </w:t>
      </w:r>
      <w:r w:rsidR="00D93BAD" w:rsidRPr="00703471">
        <w:rPr>
          <w:b/>
          <w:bCs/>
          <w:i/>
          <w:lang w:val="fr-FR"/>
        </w:rPr>
        <w:t>et</w:t>
      </w:r>
      <w:r w:rsidR="00364441" w:rsidRPr="00703471">
        <w:rPr>
          <w:b/>
          <w:bCs/>
          <w:i/>
          <w:lang w:val="fr-FR"/>
        </w:rPr>
        <w:t> </w:t>
      </w:r>
      <w:r w:rsidR="00D93BAD" w:rsidRPr="00703471">
        <w:rPr>
          <w:b/>
          <w:bCs/>
          <w:i/>
          <w:lang w:val="fr-FR"/>
        </w:rPr>
        <w:t>al.</w:t>
      </w:r>
      <w:r w:rsidRPr="00703471">
        <w:rPr>
          <w:lang w:val="fr-FR"/>
        </w:rPr>
        <w:t xml:space="preserve"> 2016. </w:t>
      </w:r>
      <w:r w:rsidRPr="007E60D9">
        <w:t xml:space="preserve">New coffee plant-infecting </w:t>
      </w:r>
      <w:r w:rsidRPr="007E60D9">
        <w:rPr>
          <w:i/>
        </w:rPr>
        <w:t>Xylella fastidiosa</w:t>
      </w:r>
      <w:r w:rsidRPr="007E60D9">
        <w:t xml:space="preserve"> variants derived via homologous recombination. </w:t>
      </w:r>
      <w:r w:rsidRPr="008758F9">
        <w:rPr>
          <w:i/>
        </w:rPr>
        <w:t>Applied and Environmental Microbiology</w:t>
      </w:r>
      <w:r w:rsidRPr="008758F9">
        <w:t>, 82: 1556–1568.</w:t>
      </w:r>
    </w:p>
    <w:p w14:paraId="71B1BAB6" w14:textId="0A59D33A" w:rsidR="008E6998" w:rsidRPr="00C6306C" w:rsidRDefault="000330D6" w:rsidP="004C1B1F">
      <w:pPr>
        <w:pStyle w:val="IPPParagraphnumbering"/>
      </w:pPr>
      <w:r w:rsidRPr="000D78FD">
        <w:rPr>
          <w:b/>
          <w:lang w:val="pt-BR"/>
        </w:rPr>
        <w:t>Janse, J.D. &amp; Obradovic, A.</w:t>
      </w:r>
      <w:r w:rsidRPr="000D78FD">
        <w:rPr>
          <w:lang w:val="pt-BR"/>
        </w:rPr>
        <w:t xml:space="preserve"> 2010. </w:t>
      </w:r>
      <w:r w:rsidRPr="00151BEF">
        <w:rPr>
          <w:i/>
        </w:rPr>
        <w:t>Xylella fastidiosa</w:t>
      </w:r>
      <w:r w:rsidRPr="000078B0">
        <w:t xml:space="preserve">: Its biology, diagnosis, control and risks. </w:t>
      </w:r>
      <w:r w:rsidRPr="00611F64">
        <w:rPr>
          <w:i/>
        </w:rPr>
        <w:t>Journal of Plant Pathology</w:t>
      </w:r>
      <w:r w:rsidRPr="00C6306C">
        <w:t>, 92: 35–48.</w:t>
      </w:r>
    </w:p>
    <w:p w14:paraId="4A54C417" w14:textId="33090002" w:rsidR="008E6998" w:rsidRPr="00BE170D" w:rsidRDefault="000330D6" w:rsidP="004C1B1F">
      <w:pPr>
        <w:pStyle w:val="IPPParagraphnumbering"/>
      </w:pPr>
      <w:r w:rsidRPr="00B717A7">
        <w:rPr>
          <w:b/>
        </w:rPr>
        <w:t>Lee, R.F., Beretta, M.J.G., Derrick, K.S. &amp; Hooker, M.E.</w:t>
      </w:r>
      <w:r w:rsidRPr="00B717A7">
        <w:t xml:space="preserve"> 1992. Development of a serological assay for citrus variegated chlorosis – a new disease of citrus in Brazil. </w:t>
      </w:r>
      <w:r w:rsidRPr="00E35D00">
        <w:rPr>
          <w:i/>
        </w:rPr>
        <w:t>Proceedings Florida State Horticultural Society</w:t>
      </w:r>
      <w:r w:rsidRPr="00BE170D">
        <w:t xml:space="preserve">, 105: 32–35. </w:t>
      </w:r>
    </w:p>
    <w:p w14:paraId="30F37674" w14:textId="7B521F72" w:rsidR="008E6998" w:rsidRPr="00D415AF" w:rsidRDefault="000330D6" w:rsidP="004C1B1F">
      <w:pPr>
        <w:pStyle w:val="IPPParagraphnumbering"/>
      </w:pPr>
      <w:r w:rsidRPr="00BE170D">
        <w:rPr>
          <w:b/>
        </w:rPr>
        <w:t>Leu, L.S. &amp; Su, C.C.</w:t>
      </w:r>
      <w:r w:rsidRPr="00FB06DC">
        <w:t xml:space="preserve"> 1993. Isolation, </w:t>
      </w:r>
      <w:r w:rsidRPr="001C5A4E">
        <w:t xml:space="preserve">cultivation, and pathogenicity of </w:t>
      </w:r>
      <w:r w:rsidRPr="00D02271">
        <w:rPr>
          <w:i/>
        </w:rPr>
        <w:t>Xylella fastidiosa</w:t>
      </w:r>
      <w:r w:rsidRPr="00D02271">
        <w:t xml:space="preserve">, the causal bacterium of pear leaf scorch in Taiwan. </w:t>
      </w:r>
      <w:r w:rsidRPr="00D415AF">
        <w:rPr>
          <w:i/>
        </w:rPr>
        <w:t>Plant Disease</w:t>
      </w:r>
      <w:r w:rsidRPr="00D415AF">
        <w:t>, 77: 642–646.</w:t>
      </w:r>
    </w:p>
    <w:p w14:paraId="2A355859" w14:textId="188D46A3" w:rsidR="008E6998" w:rsidRPr="007E2509" w:rsidRDefault="000330D6" w:rsidP="004C1B1F">
      <w:pPr>
        <w:pStyle w:val="IPPParagraphnumbering"/>
      </w:pPr>
      <w:bookmarkStart w:id="104" w:name="_ENREF_23"/>
      <w:r w:rsidRPr="00D415AF">
        <w:rPr>
          <w:b/>
        </w:rPr>
        <w:t xml:space="preserve">Li, W.B., Hartung, J.S. &amp; Levy, L. </w:t>
      </w:r>
      <w:r w:rsidRPr="008C7AA2">
        <w:t xml:space="preserve">2006. Quantitative real-time PCR for detection and identification of </w:t>
      </w:r>
      <w:r w:rsidRPr="0019114A">
        <w:rPr>
          <w:i/>
        </w:rPr>
        <w:t>Candidatus Liberibacter</w:t>
      </w:r>
      <w:r w:rsidRPr="00E575B8">
        <w:t xml:space="preserve"> species associated with citrus huanglongbing. </w:t>
      </w:r>
      <w:r w:rsidRPr="00592A71">
        <w:rPr>
          <w:i/>
          <w:iCs/>
        </w:rPr>
        <w:t xml:space="preserve">Journal of </w:t>
      </w:r>
      <w:r w:rsidR="00A44DA3" w:rsidRPr="00C0568C">
        <w:rPr>
          <w:i/>
          <w:iCs/>
        </w:rPr>
        <w:t>M</w:t>
      </w:r>
      <w:r w:rsidRPr="006334F7">
        <w:rPr>
          <w:i/>
          <w:iCs/>
        </w:rPr>
        <w:t>icrobi</w:t>
      </w:r>
      <w:r w:rsidRPr="00797BAA">
        <w:rPr>
          <w:i/>
          <w:iCs/>
        </w:rPr>
        <w:t xml:space="preserve">ological </w:t>
      </w:r>
      <w:r w:rsidR="00A44DA3" w:rsidRPr="00797BAA">
        <w:rPr>
          <w:i/>
          <w:iCs/>
        </w:rPr>
        <w:t>M</w:t>
      </w:r>
      <w:r w:rsidRPr="00797BAA">
        <w:rPr>
          <w:i/>
          <w:iCs/>
        </w:rPr>
        <w:t>ethods</w:t>
      </w:r>
      <w:r w:rsidRPr="00797BAA">
        <w:t xml:space="preserve">, </w:t>
      </w:r>
      <w:r w:rsidRPr="00797BAA">
        <w:rPr>
          <w:iCs/>
        </w:rPr>
        <w:t>66</w:t>
      </w:r>
      <w:r w:rsidRPr="007E2509">
        <w:t>(1), 104</w:t>
      </w:r>
      <w:r w:rsidR="006A5A4B" w:rsidRPr="007E2509">
        <w:t>–</w:t>
      </w:r>
      <w:r w:rsidRPr="007E2509">
        <w:t>115.</w:t>
      </w:r>
    </w:p>
    <w:p w14:paraId="69CA7871" w14:textId="7EDB962E" w:rsidR="00612D8C" w:rsidRPr="0078130B" w:rsidRDefault="00612D8C" w:rsidP="004C1B1F">
      <w:pPr>
        <w:pStyle w:val="IPPParagraphnumbering"/>
      </w:pPr>
      <w:r w:rsidRPr="007E2509">
        <w:rPr>
          <w:b/>
        </w:rPr>
        <w:t>Li, W.B., Pria, W.D., Lacava, P.M., Qin, X. &amp; Hartung, J.S.</w:t>
      </w:r>
      <w:r w:rsidRPr="007E2509">
        <w:t xml:space="preserve"> 2003. Presence of </w:t>
      </w:r>
      <w:r w:rsidRPr="007E2509">
        <w:rPr>
          <w:i/>
        </w:rPr>
        <w:t>Xylella fastidiosa</w:t>
      </w:r>
      <w:r w:rsidRPr="007E2509">
        <w:t xml:space="preserve"> in sweet orange fruit and seeds and its transmission to seedlings. </w:t>
      </w:r>
      <w:r w:rsidRPr="0078130B">
        <w:rPr>
          <w:i/>
        </w:rPr>
        <w:t>Phytopathology</w:t>
      </w:r>
      <w:r w:rsidRPr="0078130B">
        <w:t>, 93: 953–958.</w:t>
      </w:r>
    </w:p>
    <w:p w14:paraId="5B8B1237" w14:textId="48524E7C" w:rsidR="008E6998" w:rsidRPr="005F7F29" w:rsidRDefault="000330D6" w:rsidP="004C1B1F">
      <w:pPr>
        <w:pStyle w:val="IPPParagraphnumbering"/>
      </w:pPr>
      <w:r w:rsidRPr="00270CF5">
        <w:rPr>
          <w:b/>
        </w:rPr>
        <w:t>Li, W.B., Teixeira, D.C., Hartung, J.S., Huang, Q., Duan, Y., Zhou, L., Chen, J.</w:t>
      </w:r>
      <w:r w:rsidR="00D93BAD" w:rsidRPr="00270CF5">
        <w:rPr>
          <w:b/>
        </w:rPr>
        <w:t xml:space="preserve"> </w:t>
      </w:r>
      <w:r w:rsidR="00D93BAD" w:rsidRPr="00270CF5">
        <w:rPr>
          <w:b/>
          <w:i/>
        </w:rPr>
        <w:t>et</w:t>
      </w:r>
      <w:r w:rsidR="00364441" w:rsidRPr="00FF6C00">
        <w:rPr>
          <w:b/>
          <w:i/>
        </w:rPr>
        <w:t> </w:t>
      </w:r>
      <w:r w:rsidR="00D93BAD" w:rsidRPr="00FF6C00">
        <w:rPr>
          <w:b/>
          <w:i/>
        </w:rPr>
        <w:t>al.</w:t>
      </w:r>
      <w:r w:rsidRPr="00FF6C00">
        <w:t xml:space="preserve"> 2013. Development and systematic validation of qPCR assays for rapid and reliable differentiation of </w:t>
      </w:r>
      <w:r w:rsidRPr="005F7F29">
        <w:rPr>
          <w:i/>
        </w:rPr>
        <w:t>Xylella fastidiosa</w:t>
      </w:r>
      <w:r w:rsidRPr="005F7F29">
        <w:t xml:space="preserve"> strains causing citrus variegated chlorosis. </w:t>
      </w:r>
      <w:r w:rsidRPr="005F7F29">
        <w:rPr>
          <w:i/>
        </w:rPr>
        <w:t>Journal of Microbiological Methods</w:t>
      </w:r>
      <w:r w:rsidRPr="005F7F29">
        <w:t>, 92: 79–89.</w:t>
      </w:r>
      <w:bookmarkEnd w:id="104"/>
    </w:p>
    <w:p w14:paraId="0146B78E" w14:textId="4707C9A2" w:rsidR="008E6998" w:rsidRPr="000C01E7" w:rsidRDefault="000330D6" w:rsidP="004C1B1F">
      <w:pPr>
        <w:pStyle w:val="IPPParagraphnumbering"/>
      </w:pPr>
      <w:bookmarkStart w:id="105" w:name="_ENREF_25"/>
      <w:r w:rsidRPr="000D78FD">
        <w:rPr>
          <w:b/>
          <w:bCs/>
          <w:lang w:val="it-IT"/>
        </w:rPr>
        <w:t>Loconsole, G., Potere, O., Boscia, D., Altamura, G., Djelouah, K., Elbeaino, T., Frasheri, D.</w:t>
      </w:r>
      <w:r w:rsidR="00D93BAD" w:rsidRPr="000D78FD">
        <w:rPr>
          <w:b/>
          <w:bCs/>
          <w:lang w:val="it-IT"/>
        </w:rPr>
        <w:t xml:space="preserve"> </w:t>
      </w:r>
      <w:r w:rsidR="00D93BAD" w:rsidRPr="000D78FD">
        <w:rPr>
          <w:b/>
          <w:bCs/>
          <w:i/>
          <w:lang w:val="it-IT"/>
        </w:rPr>
        <w:t>et</w:t>
      </w:r>
      <w:r w:rsidR="00364441" w:rsidRPr="000D78FD">
        <w:rPr>
          <w:b/>
          <w:bCs/>
          <w:i/>
          <w:lang w:val="it-IT"/>
        </w:rPr>
        <w:t> </w:t>
      </w:r>
      <w:r w:rsidR="00D93BAD" w:rsidRPr="000D78FD">
        <w:rPr>
          <w:b/>
          <w:bCs/>
          <w:i/>
          <w:lang w:val="it-IT"/>
        </w:rPr>
        <w:t>al</w:t>
      </w:r>
      <w:r w:rsidR="00D93BAD" w:rsidRPr="000D78FD">
        <w:rPr>
          <w:b/>
          <w:bCs/>
          <w:lang w:val="it-IT"/>
        </w:rPr>
        <w:t>.</w:t>
      </w:r>
      <w:r w:rsidRPr="000D78FD">
        <w:rPr>
          <w:lang w:val="it-IT"/>
        </w:rPr>
        <w:t xml:space="preserve"> 2014. </w:t>
      </w:r>
      <w:r w:rsidRPr="000C01E7">
        <w:t xml:space="preserve">Detection of </w:t>
      </w:r>
      <w:r w:rsidRPr="000C01E7">
        <w:rPr>
          <w:i/>
        </w:rPr>
        <w:t>Xylella fastidiosa</w:t>
      </w:r>
      <w:r w:rsidRPr="000C01E7">
        <w:t xml:space="preserve"> in olive trees by molecular and serological methods. </w:t>
      </w:r>
      <w:r w:rsidRPr="000C01E7">
        <w:rPr>
          <w:i/>
        </w:rPr>
        <w:t>Journal of Plant Pathology</w:t>
      </w:r>
      <w:r w:rsidRPr="000C01E7">
        <w:t>, 96: 7–14.</w:t>
      </w:r>
      <w:bookmarkEnd w:id="105"/>
    </w:p>
    <w:p w14:paraId="10FC6176" w14:textId="18C73273" w:rsidR="008E6998" w:rsidRPr="000C01E7" w:rsidRDefault="000330D6" w:rsidP="004C1B1F">
      <w:pPr>
        <w:pStyle w:val="IPPParagraphnumbering"/>
      </w:pPr>
      <w:r w:rsidRPr="000D78FD">
        <w:rPr>
          <w:b/>
          <w:lang w:val="it-IT"/>
        </w:rPr>
        <w:t>Loconsole, G., Saponari, M., Boscia, D., D’Attoma, G., Morelli, M., Martelli, G.P. &amp; Almeida, R.P.P.</w:t>
      </w:r>
      <w:r w:rsidRPr="000D78FD">
        <w:rPr>
          <w:lang w:val="it-IT"/>
        </w:rPr>
        <w:t xml:space="preserve"> 2016. </w:t>
      </w:r>
      <w:r w:rsidRPr="000C01E7">
        <w:t xml:space="preserve">Intercepted isolates of </w:t>
      </w:r>
      <w:r w:rsidRPr="000C01E7">
        <w:rPr>
          <w:i/>
        </w:rPr>
        <w:t>Xylella fastidiosa</w:t>
      </w:r>
      <w:r w:rsidRPr="000C01E7">
        <w:t xml:space="preserve"> in Europe reveal novel genetic diversity. </w:t>
      </w:r>
      <w:r w:rsidRPr="000C01E7">
        <w:rPr>
          <w:i/>
          <w:iCs/>
        </w:rPr>
        <w:t>European Journal of Plant Pathology</w:t>
      </w:r>
      <w:r w:rsidRPr="000C01E7">
        <w:rPr>
          <w:iCs/>
        </w:rPr>
        <w:t>,</w:t>
      </w:r>
      <w:r w:rsidRPr="000C01E7">
        <w:t xml:space="preserve"> 146: 85–94.</w:t>
      </w:r>
    </w:p>
    <w:p w14:paraId="2CE7180E" w14:textId="730A983B" w:rsidR="0033194B" w:rsidRPr="005C3D8E" w:rsidRDefault="0033194B" w:rsidP="004C1B1F">
      <w:pPr>
        <w:pStyle w:val="IPPParagraphnumbering"/>
        <w:rPr>
          <w:lang w:val="pt-BR"/>
        </w:rPr>
      </w:pPr>
      <w:r w:rsidRPr="005C3D8E">
        <w:rPr>
          <w:b/>
          <w:color w:val="222222"/>
          <w:shd w:val="clear" w:color="auto" w:fill="FFFFFF"/>
          <w:lang w:val="it-IT"/>
        </w:rPr>
        <w:t xml:space="preserve">Loconsole, G., Zicca, S., Manco, L., El Hatib, O., Altamura, G., Potere, O., ... </w:t>
      </w:r>
      <w:r w:rsidRPr="007E60D9">
        <w:rPr>
          <w:b/>
          <w:color w:val="222222"/>
          <w:shd w:val="clear" w:color="auto" w:fill="FFFFFF"/>
        </w:rPr>
        <w:t>&amp; Saponari, M</w:t>
      </w:r>
      <w:r w:rsidRPr="007E60D9">
        <w:rPr>
          <w:color w:val="222222"/>
          <w:shd w:val="clear" w:color="auto" w:fill="FFFFFF"/>
        </w:rPr>
        <w:t xml:space="preserve">. 2021. Diagnostic Procedures to Detect </w:t>
      </w:r>
      <w:r w:rsidRPr="00703471">
        <w:rPr>
          <w:i/>
          <w:iCs/>
          <w:color w:val="222222"/>
          <w:shd w:val="clear" w:color="auto" w:fill="FFFFFF"/>
        </w:rPr>
        <w:t>Xylella fastidiosa</w:t>
      </w:r>
      <w:r w:rsidRPr="007E60D9">
        <w:rPr>
          <w:color w:val="222222"/>
          <w:shd w:val="clear" w:color="auto" w:fill="FFFFFF"/>
        </w:rPr>
        <w:t xml:space="preserve"> in Nursery Stocks and Consignments of Plants for Planting. </w:t>
      </w:r>
      <w:r w:rsidRPr="005C3D8E">
        <w:rPr>
          <w:i/>
          <w:iCs/>
          <w:color w:val="222222"/>
          <w:shd w:val="clear" w:color="auto" w:fill="FFFFFF"/>
          <w:lang w:val="pt-BR"/>
        </w:rPr>
        <w:t>Agriculture</w:t>
      </w:r>
      <w:r w:rsidRPr="005C3D8E">
        <w:rPr>
          <w:color w:val="222222"/>
          <w:shd w:val="clear" w:color="auto" w:fill="FFFFFF"/>
          <w:lang w:val="pt-BR"/>
        </w:rPr>
        <w:t>, </w:t>
      </w:r>
      <w:r w:rsidRPr="005C3D8E">
        <w:rPr>
          <w:i/>
          <w:iCs/>
          <w:color w:val="222222"/>
          <w:shd w:val="clear" w:color="auto" w:fill="FFFFFF"/>
          <w:lang w:val="pt-BR"/>
        </w:rPr>
        <w:t>11</w:t>
      </w:r>
      <w:r w:rsidRPr="005C3D8E">
        <w:rPr>
          <w:color w:val="222222"/>
          <w:shd w:val="clear" w:color="auto" w:fill="FFFFFF"/>
          <w:lang w:val="pt-BR"/>
        </w:rPr>
        <w:t>(10), 922.</w:t>
      </w:r>
    </w:p>
    <w:p w14:paraId="3D33990D" w14:textId="097A3329" w:rsidR="008E6998" w:rsidRPr="00D02271" w:rsidRDefault="000330D6" w:rsidP="004C1B1F">
      <w:pPr>
        <w:pStyle w:val="IPPParagraphnumbering"/>
      </w:pPr>
      <w:r w:rsidRPr="005C3D8E">
        <w:rPr>
          <w:b/>
          <w:lang w:val="pt-BR"/>
        </w:rPr>
        <w:t>Mafra</w:t>
      </w:r>
      <w:r w:rsidR="0018365A" w:rsidRPr="005C3D8E">
        <w:rPr>
          <w:b/>
          <w:lang w:val="pt-BR"/>
        </w:rPr>
        <w:t>,</w:t>
      </w:r>
      <w:r w:rsidRPr="005C3D8E">
        <w:rPr>
          <w:b/>
          <w:lang w:val="pt-BR"/>
        </w:rPr>
        <w:t xml:space="preserve"> V., Kubo</w:t>
      </w:r>
      <w:r w:rsidR="0018365A" w:rsidRPr="005C3D8E">
        <w:rPr>
          <w:b/>
          <w:lang w:val="pt-BR"/>
        </w:rPr>
        <w:t>,</w:t>
      </w:r>
      <w:r w:rsidRPr="005C3D8E">
        <w:rPr>
          <w:b/>
          <w:lang w:val="pt-BR"/>
        </w:rPr>
        <w:t xml:space="preserve"> K.S., Alves-Ferreira</w:t>
      </w:r>
      <w:r w:rsidR="0018365A" w:rsidRPr="005C3D8E">
        <w:rPr>
          <w:b/>
          <w:lang w:val="pt-BR"/>
        </w:rPr>
        <w:t>,</w:t>
      </w:r>
      <w:r w:rsidRPr="005C3D8E">
        <w:rPr>
          <w:b/>
          <w:lang w:val="pt-BR"/>
        </w:rPr>
        <w:t xml:space="preserve"> M., Ribeiro-Alves</w:t>
      </w:r>
      <w:r w:rsidR="0018365A" w:rsidRPr="005C3D8E">
        <w:rPr>
          <w:b/>
          <w:lang w:val="pt-BR"/>
        </w:rPr>
        <w:t>,</w:t>
      </w:r>
      <w:r w:rsidRPr="005C3D8E">
        <w:rPr>
          <w:b/>
          <w:lang w:val="pt-BR"/>
        </w:rPr>
        <w:t xml:space="preserve"> M., Stuart</w:t>
      </w:r>
      <w:r w:rsidR="0018365A" w:rsidRPr="005C3D8E">
        <w:rPr>
          <w:b/>
          <w:lang w:val="pt-BR"/>
        </w:rPr>
        <w:t>,</w:t>
      </w:r>
      <w:r w:rsidRPr="005C3D8E">
        <w:rPr>
          <w:b/>
          <w:lang w:val="pt-BR"/>
        </w:rPr>
        <w:t xml:space="preserve"> R.M., Boava</w:t>
      </w:r>
      <w:r w:rsidR="0018365A" w:rsidRPr="005C3D8E">
        <w:rPr>
          <w:b/>
          <w:lang w:val="pt-BR"/>
        </w:rPr>
        <w:t>,</w:t>
      </w:r>
      <w:r w:rsidRPr="005C3D8E">
        <w:rPr>
          <w:b/>
          <w:lang w:val="pt-BR"/>
        </w:rPr>
        <w:t xml:space="preserve"> L.P., Rodrigues, C.M. &amp; Machado, M.A.</w:t>
      </w:r>
      <w:r w:rsidRPr="005C3D8E">
        <w:rPr>
          <w:lang w:val="pt-BR"/>
        </w:rPr>
        <w:t xml:space="preserve"> 2012. </w:t>
      </w:r>
      <w:r w:rsidRPr="00B717A7">
        <w:t xml:space="preserve">Reference genes for accurate transcript normalization in citrus genotypes under different experimental conditions. </w:t>
      </w:r>
      <w:r w:rsidRPr="00E35D00">
        <w:rPr>
          <w:i/>
          <w:iCs/>
        </w:rPr>
        <w:t>PL</w:t>
      </w:r>
      <w:r w:rsidR="0028764C" w:rsidRPr="00BE170D">
        <w:rPr>
          <w:i/>
          <w:iCs/>
        </w:rPr>
        <w:t>O</w:t>
      </w:r>
      <w:r w:rsidRPr="00BE170D">
        <w:rPr>
          <w:i/>
          <w:iCs/>
        </w:rPr>
        <w:t>S O</w:t>
      </w:r>
      <w:r w:rsidR="0018365A" w:rsidRPr="00BE170D">
        <w:rPr>
          <w:i/>
          <w:iCs/>
        </w:rPr>
        <w:t>ne</w:t>
      </w:r>
      <w:r w:rsidRPr="00FB06DC">
        <w:t xml:space="preserve"> 7: e31263.</w:t>
      </w:r>
      <w:bookmarkStart w:id="106" w:name="_ENREF_26"/>
    </w:p>
    <w:p w14:paraId="7F835B00" w14:textId="30095388" w:rsidR="008E6998" w:rsidRPr="00C0568C" w:rsidRDefault="000330D6" w:rsidP="004C1B1F">
      <w:pPr>
        <w:pStyle w:val="IPPParagraphnumbering"/>
      </w:pPr>
      <w:r w:rsidRPr="00D02271">
        <w:rPr>
          <w:b/>
        </w:rPr>
        <w:t>Marceletti, S. &amp; Scortichini, M.</w:t>
      </w:r>
      <w:r w:rsidRPr="00D415AF">
        <w:t xml:space="preserve"> 2016. Genome-wide comparison and taxonomic relatedness of multiple </w:t>
      </w:r>
      <w:r w:rsidRPr="00D415AF">
        <w:rPr>
          <w:i/>
        </w:rPr>
        <w:t>Xylella fastidiosa</w:t>
      </w:r>
      <w:r w:rsidRPr="00D415AF">
        <w:t xml:space="preserve"> strains reveal the occurrence of three subspecies and a new </w:t>
      </w:r>
      <w:r w:rsidRPr="008C7AA2">
        <w:rPr>
          <w:i/>
        </w:rPr>
        <w:t>Xylella</w:t>
      </w:r>
      <w:r w:rsidRPr="0019114A">
        <w:t xml:space="preserve"> species. </w:t>
      </w:r>
      <w:r w:rsidRPr="00E575B8">
        <w:rPr>
          <w:i/>
        </w:rPr>
        <w:t>Archives of Microbiology</w:t>
      </w:r>
      <w:r w:rsidRPr="00592A71">
        <w:t>, 198: 803–812</w:t>
      </w:r>
      <w:bookmarkStart w:id="107" w:name="_ENREF_27"/>
      <w:bookmarkEnd w:id="106"/>
      <w:r w:rsidRPr="00592A71">
        <w:t>.</w:t>
      </w:r>
    </w:p>
    <w:p w14:paraId="6D471E43" w14:textId="70D6659D" w:rsidR="008E6998" w:rsidRPr="007E2509" w:rsidRDefault="000330D6" w:rsidP="004C1B1F">
      <w:pPr>
        <w:pStyle w:val="IPPParagraphnumbering"/>
      </w:pPr>
      <w:r w:rsidRPr="006334F7">
        <w:rPr>
          <w:b/>
        </w:rPr>
        <w:t>Minsavage, G.V., Thompson, C.M., Hopkins, D.L., Leite, R.M</w:t>
      </w:r>
      <w:r w:rsidRPr="00797BAA">
        <w:rPr>
          <w:b/>
        </w:rPr>
        <w:t>.V.B.C. &amp; Stall, R.E.</w:t>
      </w:r>
      <w:r w:rsidRPr="00797BAA">
        <w:t xml:space="preserve"> 1994. Development of a polymerase chain reaction protocol for detection of </w:t>
      </w:r>
      <w:r w:rsidRPr="007E2509">
        <w:rPr>
          <w:i/>
        </w:rPr>
        <w:t>Xylella fastidiosa</w:t>
      </w:r>
      <w:r w:rsidRPr="007E2509">
        <w:t xml:space="preserve"> in plant tissue. </w:t>
      </w:r>
      <w:r w:rsidRPr="007E2509">
        <w:rPr>
          <w:i/>
        </w:rPr>
        <w:t>Phytopathology</w:t>
      </w:r>
      <w:r w:rsidRPr="007E2509">
        <w:t>, 84: 456–461.</w:t>
      </w:r>
      <w:bookmarkEnd w:id="107"/>
    </w:p>
    <w:p w14:paraId="5C60D591" w14:textId="7881E96A" w:rsidR="008E6998" w:rsidRPr="00270CF5" w:rsidRDefault="000330D6" w:rsidP="004C1B1F">
      <w:pPr>
        <w:pStyle w:val="IPPParagraphnumbering"/>
      </w:pPr>
      <w:bookmarkStart w:id="108" w:name="_ENREF_28"/>
      <w:r w:rsidRPr="007E2509">
        <w:rPr>
          <w:b/>
        </w:rPr>
        <w:t>Mircetich, S.M., Lowe, S.K., Moller, W.J. &amp; Nyland, G.</w:t>
      </w:r>
      <w:r w:rsidRPr="007E2509">
        <w:t xml:space="preserve"> 1976. Etiology</w:t>
      </w:r>
      <w:r w:rsidRPr="0078130B">
        <w:t xml:space="preserve"> of almond leaf scorch disease and transmission of the causal agent.</w:t>
      </w:r>
      <w:r w:rsidRPr="0078130B">
        <w:rPr>
          <w:rFonts w:eastAsia="Times New Roman"/>
          <w:i/>
          <w:iCs/>
          <w:lang w:eastAsia="fr-FR"/>
        </w:rPr>
        <w:t xml:space="preserve"> Phytopathology</w:t>
      </w:r>
      <w:r w:rsidRPr="0078130B">
        <w:rPr>
          <w:rFonts w:eastAsia="Times New Roman"/>
          <w:iCs/>
          <w:lang w:eastAsia="fr-FR"/>
        </w:rPr>
        <w:t>,</w:t>
      </w:r>
      <w:r w:rsidRPr="00B7786C">
        <w:rPr>
          <w:rFonts w:eastAsia="Times New Roman"/>
          <w:i/>
          <w:iCs/>
          <w:lang w:eastAsia="fr-FR"/>
        </w:rPr>
        <w:t xml:space="preserve"> </w:t>
      </w:r>
      <w:r w:rsidRPr="00B7786C">
        <w:rPr>
          <w:rFonts w:eastAsia="Times New Roman"/>
          <w:lang w:eastAsia="fr-FR"/>
        </w:rPr>
        <w:t>66:</w:t>
      </w:r>
      <w:r w:rsidRPr="00B7786C">
        <w:t xml:space="preserve"> 17–24.</w:t>
      </w:r>
      <w:bookmarkEnd w:id="108"/>
    </w:p>
    <w:p w14:paraId="09EE04CE" w14:textId="25862C58" w:rsidR="008E6998" w:rsidRPr="008758F9" w:rsidRDefault="000330D6" w:rsidP="004C1B1F">
      <w:pPr>
        <w:pStyle w:val="IPPParagraphnumbering"/>
      </w:pPr>
      <w:bookmarkStart w:id="109" w:name="_ENREF_29"/>
      <w:r w:rsidRPr="00FF6C00">
        <w:rPr>
          <w:b/>
        </w:rPr>
        <w:t>Mizell, R.F., Andersen, P.C., Tipping, C. &amp; Brodbeck, B.V.</w:t>
      </w:r>
      <w:r w:rsidRPr="00FF6C00">
        <w:t xml:space="preserve"> 2015. Xylella fastidiosa </w:t>
      </w:r>
      <w:r w:rsidRPr="00FF6C00">
        <w:rPr>
          <w:i/>
        </w:rPr>
        <w:t>diseases and their leafhopper vectors</w:t>
      </w:r>
      <w:r w:rsidRPr="005F7F29">
        <w:t>.</w:t>
      </w:r>
      <w:bookmarkEnd w:id="109"/>
      <w:r w:rsidRPr="005F7F29">
        <w:t xml:space="preserve"> University of Florida Institute of Food and Agricultural Services (UF/IFAS) Extension Series, ENY-683. Available at </w:t>
      </w:r>
      <w:hyperlink r:id="rId39" w:history="1">
        <w:r w:rsidRPr="007E60D9">
          <w:rPr>
            <w:rStyle w:val="Hyperlink"/>
            <w:szCs w:val="22"/>
          </w:rPr>
          <w:t>http://edis.ifas.ufl.edu/in174</w:t>
        </w:r>
      </w:hyperlink>
      <w:r w:rsidRPr="007E60D9">
        <w:t xml:space="preserve"> (last accessed </w:t>
      </w:r>
      <w:r w:rsidR="0034635F" w:rsidRPr="008758F9">
        <w:t>12 February 2018</w:t>
      </w:r>
      <w:r w:rsidRPr="008758F9">
        <w:t>).</w:t>
      </w:r>
    </w:p>
    <w:p w14:paraId="0B3B003F" w14:textId="34F82A47" w:rsidR="008E6998" w:rsidRPr="00BE170D" w:rsidRDefault="000330D6" w:rsidP="004C1B1F">
      <w:pPr>
        <w:pStyle w:val="IPPParagraphnumbering"/>
      </w:pPr>
      <w:bookmarkStart w:id="110" w:name="_ENREF_30"/>
      <w:r w:rsidRPr="00A37893">
        <w:rPr>
          <w:b/>
        </w:rPr>
        <w:t>Monteiro, P.B., Renaudin, J., Jagoueix-Eveillard, S., Ayres, A.J., Garnier, M. &amp; Bové, J.M.</w:t>
      </w:r>
      <w:r w:rsidRPr="00151BEF">
        <w:t xml:space="preserve"> 2</w:t>
      </w:r>
      <w:r w:rsidRPr="000078B0">
        <w:t xml:space="preserve">001. </w:t>
      </w:r>
      <w:r w:rsidRPr="00C6306C">
        <w:rPr>
          <w:i/>
        </w:rPr>
        <w:t>Catharanthus roseus</w:t>
      </w:r>
      <w:r w:rsidRPr="00C6306C">
        <w:t xml:space="preserve">, an experimental host plant for the citrus strain of </w:t>
      </w:r>
      <w:r w:rsidRPr="00B717A7">
        <w:rPr>
          <w:i/>
        </w:rPr>
        <w:t>Xylella fastidiosa</w:t>
      </w:r>
      <w:r w:rsidRPr="00B717A7">
        <w:t xml:space="preserve">. </w:t>
      </w:r>
      <w:r w:rsidRPr="00B717A7">
        <w:rPr>
          <w:i/>
          <w:iCs/>
        </w:rPr>
        <w:t>Plant Disease</w:t>
      </w:r>
      <w:r w:rsidRPr="00E35D00">
        <w:t xml:space="preserve">, </w:t>
      </w:r>
      <w:r w:rsidRPr="00BE170D">
        <w:rPr>
          <w:iCs/>
        </w:rPr>
        <w:t>85</w:t>
      </w:r>
      <w:r w:rsidRPr="00BE170D">
        <w:t>(3): 246–251.</w:t>
      </w:r>
    </w:p>
    <w:p w14:paraId="71852735" w14:textId="2F7AA628" w:rsidR="008E6998" w:rsidRPr="0019114A" w:rsidRDefault="000330D6" w:rsidP="004C1B1F">
      <w:pPr>
        <w:pStyle w:val="IPPParagraphnumbering"/>
      </w:pPr>
      <w:r w:rsidRPr="00FB06DC">
        <w:rPr>
          <w:b/>
          <w:bCs/>
        </w:rPr>
        <w:t xml:space="preserve">Montero-Astúa, M., Chacón-Díaz, C., Aguilar, E., Rodríguez, C.M., Garita, L., Villalobos, W., Moreira, L., Hartung, J.S. &amp; Rivera, </w:t>
      </w:r>
      <w:r w:rsidRPr="00D02271">
        <w:rPr>
          <w:b/>
        </w:rPr>
        <w:t>C.</w:t>
      </w:r>
      <w:r w:rsidRPr="00D02271">
        <w:t xml:space="preserve"> 2008. Isolation and molecular characterization of </w:t>
      </w:r>
      <w:r w:rsidRPr="00D415AF">
        <w:rPr>
          <w:i/>
        </w:rPr>
        <w:t>Xylella fastidiosa</w:t>
      </w:r>
      <w:r w:rsidRPr="00D415AF">
        <w:t xml:space="preserve"> from coffee plants in Costa Rica. </w:t>
      </w:r>
      <w:r w:rsidRPr="00D415AF">
        <w:rPr>
          <w:i/>
        </w:rPr>
        <w:t>Journal of Microbiology</w:t>
      </w:r>
      <w:r w:rsidRPr="008C7AA2">
        <w:t>, 46: 482–490.</w:t>
      </w:r>
      <w:bookmarkEnd w:id="110"/>
    </w:p>
    <w:p w14:paraId="1C3E108C" w14:textId="73D48E59" w:rsidR="008E6998" w:rsidRPr="00797BAA" w:rsidRDefault="000330D6" w:rsidP="004C1B1F">
      <w:pPr>
        <w:pStyle w:val="IPPParagraphnumbering"/>
      </w:pPr>
      <w:r w:rsidRPr="000D78FD">
        <w:rPr>
          <w:b/>
          <w:lang w:val="it-IT"/>
        </w:rPr>
        <w:t>Nigro, F., Boscia, D., Antelmi, I. &amp; Ippolito, A.</w:t>
      </w:r>
      <w:r w:rsidRPr="000D78FD">
        <w:rPr>
          <w:lang w:val="it-IT"/>
        </w:rPr>
        <w:t xml:space="preserve"> 2013. </w:t>
      </w:r>
      <w:r w:rsidRPr="00592A71">
        <w:t>Fungal species associated with a severe decline o</w:t>
      </w:r>
      <w:r w:rsidRPr="00C0568C">
        <w:t xml:space="preserve">f olive in southern Italy. </w:t>
      </w:r>
      <w:r w:rsidRPr="006334F7">
        <w:rPr>
          <w:i/>
        </w:rPr>
        <w:t>Journal of Plant Pathology</w:t>
      </w:r>
      <w:r w:rsidRPr="00797BAA">
        <w:t>, 95: 668.</w:t>
      </w:r>
    </w:p>
    <w:p w14:paraId="140D7ABE" w14:textId="1C197D44" w:rsidR="008E6998" w:rsidRPr="006334F7" w:rsidRDefault="000330D6" w:rsidP="004C1B1F">
      <w:pPr>
        <w:pStyle w:val="IPPParagraphnumbering"/>
      </w:pPr>
      <w:bookmarkStart w:id="111" w:name="_ENREF_31"/>
      <w:r w:rsidRPr="007E2509">
        <w:rPr>
          <w:b/>
        </w:rPr>
        <w:t>Nunney, L., Schuenzel, E.L., Scally, M., Bro</w:t>
      </w:r>
      <w:r w:rsidR="00D415AF">
        <w:rPr>
          <w:b/>
        </w:rPr>
        <w:t>mL</w:t>
      </w:r>
      <w:r w:rsidRPr="00D415AF">
        <w:rPr>
          <w:b/>
        </w:rPr>
        <w:t>ey, R.E. &amp; Stouthamer, R.</w:t>
      </w:r>
      <w:r w:rsidRPr="00D415AF">
        <w:t xml:space="preserve"> 2014. Large-scale intersubspecific recombination in the plant-pathogenic bacterium </w:t>
      </w:r>
      <w:r w:rsidRPr="008C7AA2">
        <w:rPr>
          <w:i/>
        </w:rPr>
        <w:t>Xylella fastidiosa</w:t>
      </w:r>
      <w:r w:rsidRPr="0019114A">
        <w:t xml:space="preserve"> is associated wi</w:t>
      </w:r>
      <w:r w:rsidRPr="00E575B8">
        <w:t xml:space="preserve">th the host shift to mulberry. </w:t>
      </w:r>
      <w:r w:rsidRPr="00592A71">
        <w:rPr>
          <w:i/>
        </w:rPr>
        <w:t>Applied and Environmental Microbiology</w:t>
      </w:r>
      <w:r w:rsidRPr="00C0568C">
        <w:t>, 80: 3025–3033.</w:t>
      </w:r>
      <w:bookmarkEnd w:id="111"/>
      <w:r w:rsidRPr="00C0568C">
        <w:t xml:space="preserve"> </w:t>
      </w:r>
    </w:p>
    <w:p w14:paraId="642A811F" w14:textId="5CA441EB" w:rsidR="008E6998" w:rsidRPr="007E2509" w:rsidRDefault="000330D6" w:rsidP="004C1B1F">
      <w:pPr>
        <w:pStyle w:val="IPPParagraphnumbering"/>
      </w:pPr>
      <w:r w:rsidRPr="00797BAA">
        <w:rPr>
          <w:b/>
        </w:rPr>
        <w:t>Nunney, L., Yuan, X., Bro</w:t>
      </w:r>
      <w:r w:rsidR="00D415AF">
        <w:rPr>
          <w:b/>
        </w:rPr>
        <w:t>mL</w:t>
      </w:r>
      <w:r w:rsidRPr="00D415AF">
        <w:rPr>
          <w:b/>
        </w:rPr>
        <w:t xml:space="preserve">ey, R., Hartung, J., Montero-Astúa, M., Moreira, L., Ortiz, B. </w:t>
      </w:r>
      <w:r w:rsidR="00B2586E" w:rsidRPr="00D415AF">
        <w:rPr>
          <w:b/>
        </w:rPr>
        <w:t>&amp;</w:t>
      </w:r>
      <w:r w:rsidRPr="008C7AA2">
        <w:rPr>
          <w:b/>
        </w:rPr>
        <w:t xml:space="preserve"> Stouthamer, R.</w:t>
      </w:r>
      <w:r w:rsidRPr="0019114A">
        <w:t xml:space="preserve"> 2010. Population genomic analysis of a bacterial plant patho</w:t>
      </w:r>
      <w:r w:rsidRPr="00E575B8">
        <w:t>gen: novel insight into the origin of Pierce</w:t>
      </w:r>
      <w:r w:rsidR="009B12D4" w:rsidRPr="00592A71">
        <w:t>’</w:t>
      </w:r>
      <w:r w:rsidRPr="00C0568C">
        <w:t>s disease of grapevine in the U</w:t>
      </w:r>
      <w:r w:rsidR="00B2586E" w:rsidRPr="006334F7">
        <w:t>.</w:t>
      </w:r>
      <w:r w:rsidRPr="00797BAA">
        <w:t xml:space="preserve">S. </w:t>
      </w:r>
      <w:r w:rsidRPr="00797BAA">
        <w:rPr>
          <w:i/>
        </w:rPr>
        <w:t>PL</w:t>
      </w:r>
      <w:r w:rsidR="00B2586E" w:rsidRPr="00797BAA">
        <w:rPr>
          <w:i/>
        </w:rPr>
        <w:t>O</w:t>
      </w:r>
      <w:r w:rsidRPr="00797BAA">
        <w:rPr>
          <w:i/>
        </w:rPr>
        <w:t>S One</w:t>
      </w:r>
      <w:r w:rsidRPr="00797BAA">
        <w:t>, 5(11)</w:t>
      </w:r>
      <w:r w:rsidR="00B2586E" w:rsidRPr="007E2509">
        <w:t>:</w:t>
      </w:r>
      <w:r w:rsidRPr="007E2509">
        <w:t xml:space="preserve"> e15488.</w:t>
      </w:r>
    </w:p>
    <w:p w14:paraId="22202D88" w14:textId="09338B35" w:rsidR="00897DE3" w:rsidRPr="007E60D9" w:rsidRDefault="00897DE3" w:rsidP="004C1B1F">
      <w:pPr>
        <w:pStyle w:val="IPPParagraphnumbering"/>
        <w:rPr>
          <w:noProof/>
        </w:rPr>
      </w:pPr>
      <w:r w:rsidRPr="00703471">
        <w:rPr>
          <w:b/>
          <w:bCs/>
          <w:noProof/>
        </w:rPr>
        <w:t>Oliveira</w:t>
      </w:r>
      <w:r w:rsidRPr="007E60D9">
        <w:rPr>
          <w:b/>
          <w:bCs/>
          <w:noProof/>
        </w:rPr>
        <w:t>,</w:t>
      </w:r>
      <w:r w:rsidRPr="00703471">
        <w:rPr>
          <w:b/>
          <w:bCs/>
          <w:noProof/>
        </w:rPr>
        <w:t xml:space="preserve"> A</w:t>
      </w:r>
      <w:r w:rsidRPr="007E60D9">
        <w:rPr>
          <w:b/>
          <w:bCs/>
          <w:noProof/>
        </w:rPr>
        <w:t>.</w:t>
      </w:r>
      <w:r w:rsidRPr="00703471">
        <w:rPr>
          <w:b/>
          <w:bCs/>
          <w:noProof/>
        </w:rPr>
        <w:t>C</w:t>
      </w:r>
      <w:r w:rsidRPr="007E60D9">
        <w:rPr>
          <w:b/>
          <w:bCs/>
          <w:noProof/>
        </w:rPr>
        <w:t>.</w:t>
      </w:r>
      <w:r w:rsidRPr="00703471">
        <w:rPr>
          <w:b/>
          <w:bCs/>
          <w:noProof/>
        </w:rPr>
        <w:t>, Vallim</w:t>
      </w:r>
      <w:r w:rsidRPr="007E60D9">
        <w:rPr>
          <w:b/>
          <w:bCs/>
          <w:noProof/>
        </w:rPr>
        <w:t>,</w:t>
      </w:r>
      <w:r w:rsidRPr="00703471">
        <w:rPr>
          <w:b/>
          <w:bCs/>
          <w:noProof/>
        </w:rPr>
        <w:t xml:space="preserve"> M</w:t>
      </w:r>
      <w:r w:rsidRPr="007E60D9">
        <w:rPr>
          <w:b/>
          <w:bCs/>
          <w:noProof/>
        </w:rPr>
        <w:t>.</w:t>
      </w:r>
      <w:r w:rsidRPr="00703471">
        <w:rPr>
          <w:b/>
          <w:bCs/>
          <w:noProof/>
        </w:rPr>
        <w:t>A</w:t>
      </w:r>
      <w:r w:rsidRPr="007E60D9">
        <w:rPr>
          <w:b/>
          <w:bCs/>
          <w:noProof/>
        </w:rPr>
        <w:t>.</w:t>
      </w:r>
      <w:r w:rsidRPr="00703471">
        <w:rPr>
          <w:b/>
          <w:bCs/>
          <w:noProof/>
        </w:rPr>
        <w:t>, Semighini</w:t>
      </w:r>
      <w:r w:rsidRPr="007E60D9">
        <w:rPr>
          <w:b/>
          <w:bCs/>
          <w:noProof/>
        </w:rPr>
        <w:t>,</w:t>
      </w:r>
      <w:r w:rsidRPr="00703471">
        <w:rPr>
          <w:b/>
          <w:bCs/>
          <w:noProof/>
        </w:rPr>
        <w:t xml:space="preserve"> C</w:t>
      </w:r>
      <w:r w:rsidRPr="007E60D9">
        <w:rPr>
          <w:b/>
          <w:bCs/>
          <w:noProof/>
        </w:rPr>
        <w:t>.</w:t>
      </w:r>
      <w:r w:rsidRPr="00703471">
        <w:rPr>
          <w:b/>
          <w:bCs/>
          <w:noProof/>
        </w:rPr>
        <w:t>P</w:t>
      </w:r>
      <w:r w:rsidRPr="007E60D9">
        <w:rPr>
          <w:b/>
          <w:bCs/>
          <w:noProof/>
        </w:rPr>
        <w:t>.</w:t>
      </w:r>
      <w:r w:rsidRPr="00703471">
        <w:rPr>
          <w:b/>
          <w:bCs/>
          <w:noProof/>
        </w:rPr>
        <w:t>,</w:t>
      </w:r>
      <w:r w:rsidRPr="007E60D9">
        <w:rPr>
          <w:b/>
          <w:bCs/>
          <w:noProof/>
        </w:rPr>
        <w:t xml:space="preserve"> Araúlo, W.L., Goldman, G.H., Machado, M.A. </w:t>
      </w:r>
      <w:r w:rsidRPr="007E60D9">
        <w:rPr>
          <w:noProof/>
        </w:rPr>
        <w:t xml:space="preserve">2002. Quantification of </w:t>
      </w:r>
      <w:r w:rsidRPr="007E60D9">
        <w:rPr>
          <w:i/>
          <w:iCs/>
          <w:noProof/>
        </w:rPr>
        <w:t>Xylella fastidiosa</w:t>
      </w:r>
      <w:r w:rsidRPr="007E60D9">
        <w:rPr>
          <w:noProof/>
        </w:rPr>
        <w:t xml:space="preserve"> from citrus trees by Real-Time Polymerase Chain Reaction assay. Phytopathology 92:1048–1054. </w:t>
      </w:r>
    </w:p>
    <w:p w14:paraId="4DA861A5" w14:textId="5F735FFC" w:rsidR="008E6998" w:rsidRPr="00E35D00" w:rsidRDefault="000330D6" w:rsidP="004C1B1F">
      <w:pPr>
        <w:pStyle w:val="IPPParagraphnumbering"/>
      </w:pPr>
      <w:bookmarkStart w:id="112" w:name="_ENREF_32"/>
      <w:r w:rsidRPr="008758F9">
        <w:rPr>
          <w:b/>
        </w:rPr>
        <w:t>Ouyang, P., Arif, M., Fletcher, J., Melcher, U. &amp; Ochoa Corona, F.M.</w:t>
      </w:r>
      <w:r w:rsidRPr="008758F9">
        <w:t xml:space="preserve"> 2013. Enhanced reliability and accuracy for field</w:t>
      </w:r>
      <w:r w:rsidRPr="00A37893">
        <w:t xml:space="preserve"> deployable bioforensic detection and discrimination of </w:t>
      </w:r>
      <w:r w:rsidRPr="00A37893">
        <w:rPr>
          <w:i/>
        </w:rPr>
        <w:t>Xylella fastidiosa</w:t>
      </w:r>
      <w:r w:rsidRPr="00A37893">
        <w:t xml:space="preserve"> subsp. </w:t>
      </w:r>
      <w:r w:rsidRPr="00151BEF">
        <w:rPr>
          <w:i/>
        </w:rPr>
        <w:t>pauca</w:t>
      </w:r>
      <w:r w:rsidRPr="000078B0">
        <w:t xml:space="preserve">, causal agent of citrus variegated chlorosis using Razor Ex technology and TaqMan quantitative PCR. </w:t>
      </w:r>
      <w:r w:rsidRPr="00292E33">
        <w:rPr>
          <w:i/>
          <w:iCs/>
        </w:rPr>
        <w:t>P</w:t>
      </w:r>
      <w:r w:rsidR="0018365A" w:rsidRPr="00292E33">
        <w:rPr>
          <w:i/>
          <w:iCs/>
        </w:rPr>
        <w:t>L</w:t>
      </w:r>
      <w:r w:rsidR="009F2526" w:rsidRPr="00C6306C">
        <w:rPr>
          <w:i/>
          <w:iCs/>
        </w:rPr>
        <w:t>O</w:t>
      </w:r>
      <w:r w:rsidRPr="00C6306C">
        <w:rPr>
          <w:i/>
          <w:iCs/>
        </w:rPr>
        <w:t>S O</w:t>
      </w:r>
      <w:r w:rsidR="0018365A" w:rsidRPr="00C6306C">
        <w:rPr>
          <w:i/>
          <w:iCs/>
        </w:rPr>
        <w:t>ne</w:t>
      </w:r>
      <w:r w:rsidRPr="00B717A7">
        <w:t xml:space="preserve">, </w:t>
      </w:r>
      <w:r w:rsidRPr="00B717A7">
        <w:rPr>
          <w:iCs/>
        </w:rPr>
        <w:t>8</w:t>
      </w:r>
      <w:r w:rsidRPr="00B717A7">
        <w:t>(11): e81647.</w:t>
      </w:r>
    </w:p>
    <w:p w14:paraId="4FB6D98C" w14:textId="683634FD" w:rsidR="008E6998" w:rsidRPr="00D415AF" w:rsidRDefault="000330D6" w:rsidP="004C1B1F">
      <w:pPr>
        <w:pStyle w:val="IPPParagraphnumbering"/>
      </w:pPr>
      <w:r w:rsidRPr="00BE170D">
        <w:rPr>
          <w:b/>
        </w:rPr>
        <w:t>Pooler, M.R. &amp; Hartung, J.S.</w:t>
      </w:r>
      <w:r w:rsidRPr="00BE170D">
        <w:t xml:space="preserve"> 1995. Specific PCR detection and identification of </w:t>
      </w:r>
      <w:r w:rsidRPr="00FB06DC">
        <w:rPr>
          <w:i/>
        </w:rPr>
        <w:t>Xylella fastidiosa</w:t>
      </w:r>
      <w:r w:rsidRPr="00D02271">
        <w:t xml:space="preserve"> strains causing citrus variegated chlorosis. </w:t>
      </w:r>
      <w:r w:rsidRPr="00D02271">
        <w:rPr>
          <w:i/>
        </w:rPr>
        <w:t>Current Microbiology</w:t>
      </w:r>
      <w:r w:rsidRPr="00D415AF">
        <w:t>, 31: 377–381.</w:t>
      </w:r>
      <w:bookmarkEnd w:id="112"/>
    </w:p>
    <w:p w14:paraId="34C4AB33" w14:textId="7EC62C97" w:rsidR="008E6998" w:rsidRPr="008758F9" w:rsidRDefault="000330D6" w:rsidP="004C1B1F">
      <w:pPr>
        <w:pStyle w:val="IPPParagraphnumbering"/>
      </w:pPr>
      <w:bookmarkStart w:id="113" w:name="_ENREF_33"/>
      <w:r w:rsidRPr="000D78FD">
        <w:rPr>
          <w:b/>
          <w:lang w:val="it-IT"/>
        </w:rPr>
        <w:t>Purcell, A.H., Porcelli, F., Cornara, D., Bosco, D. &amp; Picciau, L.</w:t>
      </w:r>
      <w:r w:rsidRPr="000D78FD">
        <w:rPr>
          <w:lang w:val="it-IT"/>
        </w:rPr>
        <w:t xml:space="preserve"> 2014. </w:t>
      </w:r>
      <w:r w:rsidRPr="0019114A">
        <w:rPr>
          <w:i/>
        </w:rPr>
        <w:t>Characteristics and identification of xylem-</w:t>
      </w:r>
      <w:r w:rsidRPr="007E60D9">
        <w:rPr>
          <w:i/>
        </w:rPr>
        <w:t>sap feeders</w:t>
      </w:r>
      <w:r w:rsidRPr="007E60D9">
        <w:t>. Workshop manual.</w:t>
      </w:r>
      <w:bookmarkEnd w:id="113"/>
      <w:r w:rsidRPr="007E60D9">
        <w:t xml:space="preserve"> 27</w:t>
      </w:r>
      <w:r w:rsidR="006A5A4B" w:rsidRPr="007E60D9">
        <w:t> </w:t>
      </w:r>
      <w:r w:rsidRPr="007E60D9">
        <w:t>pp</w:t>
      </w:r>
      <w:r w:rsidRPr="007E60D9">
        <w:rPr>
          <w:rFonts w:eastAsiaTheme="minorHAnsi"/>
        </w:rPr>
        <w:t>. Available at</w:t>
      </w:r>
      <w:hyperlink r:id="rId40" w:history="1">
        <w:r w:rsidRPr="007E60D9">
          <w:rPr>
            <w:rStyle w:val="Hyperlink"/>
            <w:szCs w:val="22"/>
          </w:rPr>
          <w:t xml:space="preserve"> http://cartografia.sit.puglia.it/doc/Workshop_Manual_Insects.pdf</w:t>
        </w:r>
      </w:hyperlink>
      <w:r w:rsidRPr="007E60D9">
        <w:t xml:space="preserve"> (last accessed </w:t>
      </w:r>
      <w:r w:rsidR="0034635F" w:rsidRPr="007E60D9">
        <w:t>12 February 2018</w:t>
      </w:r>
      <w:r w:rsidRPr="008758F9">
        <w:t>)</w:t>
      </w:r>
    </w:p>
    <w:p w14:paraId="77E8871C" w14:textId="3597C9AC" w:rsidR="008E6998" w:rsidRPr="007E60D9" w:rsidRDefault="000330D6" w:rsidP="004C1B1F">
      <w:pPr>
        <w:pStyle w:val="IPPParagraphnumbering"/>
      </w:pPr>
      <w:bookmarkStart w:id="114" w:name="_ENREF_34"/>
      <w:r w:rsidRPr="008758F9">
        <w:rPr>
          <w:b/>
        </w:rPr>
        <w:t>Randall, J.J., Goldberg, N.P., Kemp, J.D., Radionenko, M., French, J.M., Olsen, M.W. &amp; Hanson, S.F.</w:t>
      </w:r>
      <w:r w:rsidRPr="00A37893">
        <w:t xml:space="preserve"> 2009. Genetic analysis of a novel </w:t>
      </w:r>
      <w:r w:rsidRPr="00A37893">
        <w:rPr>
          <w:i/>
        </w:rPr>
        <w:t>Xylella fastidiosa</w:t>
      </w:r>
      <w:r w:rsidRPr="00A37893">
        <w:t xml:space="preserve"> subspecies found in the southwestern United States. </w:t>
      </w:r>
      <w:r w:rsidRPr="00151BEF">
        <w:rPr>
          <w:i/>
        </w:rPr>
        <w:t>Applied and Environmental Microbiology</w:t>
      </w:r>
      <w:r w:rsidRPr="000078B0">
        <w:t>, 75: 5631–5638.</w:t>
      </w:r>
      <w:bookmarkEnd w:id="114"/>
      <w:r w:rsidRPr="007E60D9">
        <w:t xml:space="preserve"> </w:t>
      </w:r>
    </w:p>
    <w:p w14:paraId="2E94373B" w14:textId="7179B672" w:rsidR="008E6998" w:rsidRPr="00A37893" w:rsidRDefault="000330D6" w:rsidP="004C1B1F">
      <w:pPr>
        <w:pStyle w:val="IPPParagraphnumbering"/>
      </w:pPr>
      <w:r w:rsidRPr="008758F9">
        <w:rPr>
          <w:b/>
        </w:rPr>
        <w:t>Redak, R.A., Purcell, A.H., Lopes, J.R.S., Blua, M.J., Mizell, R.F. 3rd &amp; Andersen, P.C.</w:t>
      </w:r>
      <w:r w:rsidRPr="008758F9">
        <w:t xml:space="preserve"> 2004. The biology of xylem fluid-feeding insect vectors of </w:t>
      </w:r>
      <w:r w:rsidRPr="00A37893">
        <w:rPr>
          <w:i/>
        </w:rPr>
        <w:t>Xylella fastidiosa</w:t>
      </w:r>
      <w:r w:rsidRPr="00A37893">
        <w:t xml:space="preserve"> and their relation to disease epidemiology. </w:t>
      </w:r>
      <w:r w:rsidRPr="00A37893">
        <w:rPr>
          <w:i/>
        </w:rPr>
        <w:t>Annual Review of Entomology</w:t>
      </w:r>
      <w:r w:rsidRPr="00A37893">
        <w:t>, 49: 243–270.</w:t>
      </w:r>
    </w:p>
    <w:p w14:paraId="3B3F7F05" w14:textId="6522CCE0" w:rsidR="005C1EF4" w:rsidRPr="007E60D9" w:rsidRDefault="00F6434A" w:rsidP="004C1B1F">
      <w:pPr>
        <w:pStyle w:val="IPPParagraphnumbering"/>
        <w:rPr>
          <w:lang w:val="fr-FR"/>
        </w:rPr>
      </w:pPr>
      <w:r w:rsidRPr="00151BEF">
        <w:rPr>
          <w:b/>
        </w:rPr>
        <w:t>Reisenzein</w:t>
      </w:r>
      <w:r w:rsidR="009F2526" w:rsidRPr="000078B0">
        <w:rPr>
          <w:b/>
        </w:rPr>
        <w:t>,</w:t>
      </w:r>
      <w:r w:rsidRPr="00292E33">
        <w:rPr>
          <w:b/>
        </w:rPr>
        <w:t xml:space="preserve"> H. </w:t>
      </w:r>
      <w:r w:rsidR="00CC4ED6" w:rsidRPr="00292E33">
        <w:t>2017.</w:t>
      </w:r>
      <w:r w:rsidR="00CC4ED6" w:rsidRPr="00C6306C">
        <w:rPr>
          <w:b/>
        </w:rPr>
        <w:t xml:space="preserve"> </w:t>
      </w:r>
      <w:r w:rsidRPr="00C6306C">
        <w:rPr>
          <w:bCs/>
        </w:rPr>
        <w:t xml:space="preserve">PCR assays for the detection of </w:t>
      </w:r>
      <w:r w:rsidRPr="00C6306C">
        <w:rPr>
          <w:bCs/>
          <w:i/>
        </w:rPr>
        <w:t>Xylella fastidiosa</w:t>
      </w:r>
      <w:r w:rsidRPr="00B717A7">
        <w:rPr>
          <w:bCs/>
        </w:rPr>
        <w:t>. Review and comparison of</w:t>
      </w:r>
      <w:r w:rsidR="00973DDA" w:rsidRPr="00B717A7">
        <w:rPr>
          <w:bCs/>
        </w:rPr>
        <w:t xml:space="preserve"> </w:t>
      </w:r>
      <w:r w:rsidRPr="00E35D00">
        <w:rPr>
          <w:bCs/>
        </w:rPr>
        <w:t xml:space="preserve">published protocols. </w:t>
      </w:r>
      <w:r w:rsidRPr="00BE170D">
        <w:t xml:space="preserve">In: </w:t>
      </w:r>
      <w:r w:rsidR="00973DDA" w:rsidRPr="00BE170D">
        <w:t xml:space="preserve">A.M. </w:t>
      </w:r>
      <w:r w:rsidRPr="00BE170D">
        <w:t>D</w:t>
      </w:r>
      <w:r w:rsidR="009B12D4" w:rsidRPr="00FB06DC">
        <w:t>’</w:t>
      </w:r>
      <w:r w:rsidRPr="00D02271">
        <w:t xml:space="preserve">Onghia, </w:t>
      </w:r>
      <w:r w:rsidR="00973DDA" w:rsidRPr="00D02271">
        <w:t xml:space="preserve">S. </w:t>
      </w:r>
      <w:r w:rsidRPr="00D415AF">
        <w:t>Brunel</w:t>
      </w:r>
      <w:r w:rsidR="00973DDA" w:rsidRPr="00D415AF">
        <w:t xml:space="preserve"> &amp;</w:t>
      </w:r>
      <w:r w:rsidRPr="00D415AF">
        <w:t xml:space="preserve"> </w:t>
      </w:r>
      <w:r w:rsidR="00973DDA" w:rsidRPr="00D415AF">
        <w:t xml:space="preserve">F. </w:t>
      </w:r>
      <w:r w:rsidRPr="008C7AA2">
        <w:t>Valentini</w:t>
      </w:r>
      <w:r w:rsidR="00973DDA" w:rsidRPr="0019114A">
        <w:t>,</w:t>
      </w:r>
      <w:r w:rsidRPr="00E575B8">
        <w:t xml:space="preserve"> ed</w:t>
      </w:r>
      <w:r w:rsidR="00973DDA" w:rsidRPr="00592A71">
        <w:t>s</w:t>
      </w:r>
      <w:r w:rsidRPr="00C0568C">
        <w:t xml:space="preserve">. </w:t>
      </w:r>
      <w:r w:rsidRPr="006334F7">
        <w:rPr>
          <w:iCs/>
        </w:rPr>
        <w:t>Xylella fastidiosa</w:t>
      </w:r>
      <w:r w:rsidRPr="00797BAA">
        <w:rPr>
          <w:i/>
          <w:iCs/>
        </w:rPr>
        <w:t xml:space="preserve"> &amp;</w:t>
      </w:r>
      <w:r w:rsidR="000C0EE2" w:rsidRPr="00797BAA">
        <w:rPr>
          <w:i/>
          <w:iCs/>
        </w:rPr>
        <w:t xml:space="preserve"> </w:t>
      </w:r>
      <w:r w:rsidRPr="00797BAA">
        <w:rPr>
          <w:i/>
          <w:iCs/>
        </w:rPr>
        <w:t xml:space="preserve">the </w:t>
      </w:r>
      <w:r w:rsidR="00973DDA" w:rsidRPr="007E2509">
        <w:rPr>
          <w:i/>
          <w:iCs/>
        </w:rPr>
        <w:t>o</w:t>
      </w:r>
      <w:r w:rsidRPr="007E2509">
        <w:rPr>
          <w:i/>
          <w:iCs/>
        </w:rPr>
        <w:t xml:space="preserve">live </w:t>
      </w:r>
      <w:r w:rsidR="00973DDA" w:rsidRPr="007E2509">
        <w:rPr>
          <w:i/>
          <w:iCs/>
        </w:rPr>
        <w:t>q</w:t>
      </w:r>
      <w:r w:rsidRPr="007E2509">
        <w:rPr>
          <w:i/>
          <w:iCs/>
        </w:rPr>
        <w:t xml:space="preserve">uick </w:t>
      </w:r>
      <w:r w:rsidR="00973DDA" w:rsidRPr="007E2509">
        <w:rPr>
          <w:i/>
          <w:iCs/>
        </w:rPr>
        <w:t>d</w:t>
      </w:r>
      <w:r w:rsidRPr="0078130B">
        <w:rPr>
          <w:i/>
          <w:iCs/>
        </w:rPr>
        <w:t xml:space="preserve">ecline </w:t>
      </w:r>
      <w:r w:rsidR="00973DDA" w:rsidRPr="00B7786C">
        <w:rPr>
          <w:i/>
          <w:iCs/>
        </w:rPr>
        <w:t>s</w:t>
      </w:r>
      <w:r w:rsidRPr="00DB27BE">
        <w:rPr>
          <w:i/>
          <w:iCs/>
        </w:rPr>
        <w:t xml:space="preserve">yndrome (OQDS). A serious worldwide </w:t>
      </w:r>
      <w:r w:rsidRPr="00270CF5">
        <w:rPr>
          <w:i/>
          <w:iCs/>
        </w:rPr>
        <w:t>challenge for the safeguard of olive</w:t>
      </w:r>
      <w:r w:rsidR="000C0EE2" w:rsidRPr="00270CF5">
        <w:rPr>
          <w:i/>
          <w:iCs/>
        </w:rPr>
        <w:t xml:space="preserve"> </w:t>
      </w:r>
      <w:r w:rsidRPr="00270CF5">
        <w:rPr>
          <w:i/>
          <w:iCs/>
        </w:rPr>
        <w:t>trees</w:t>
      </w:r>
      <w:r w:rsidR="00973DDA" w:rsidRPr="00FF6C00">
        <w:t>, pp. 57–60</w:t>
      </w:r>
      <w:r w:rsidRPr="00FF6C00">
        <w:rPr>
          <w:i/>
          <w:iCs/>
        </w:rPr>
        <w:t xml:space="preserve">. </w:t>
      </w:r>
      <w:r w:rsidRPr="00703471">
        <w:rPr>
          <w:lang w:val="fr-FR"/>
        </w:rPr>
        <w:t>Options Méditerranéennes</w:t>
      </w:r>
      <w:r w:rsidR="00973DDA" w:rsidRPr="00703471">
        <w:rPr>
          <w:lang w:val="fr-FR"/>
        </w:rPr>
        <w:t>,</w:t>
      </w:r>
      <w:r w:rsidRPr="00703471">
        <w:rPr>
          <w:lang w:val="fr-FR"/>
        </w:rPr>
        <w:t xml:space="preserve"> Série A</w:t>
      </w:r>
      <w:r w:rsidR="00973DDA" w:rsidRPr="00703471">
        <w:rPr>
          <w:lang w:val="fr-FR"/>
        </w:rPr>
        <w:t>,</w:t>
      </w:r>
      <w:r w:rsidRPr="00703471">
        <w:rPr>
          <w:lang w:val="fr-FR"/>
        </w:rPr>
        <w:t xml:space="preserve"> Séminaires</w:t>
      </w:r>
      <w:r w:rsidR="00973DDA" w:rsidRPr="00703471">
        <w:rPr>
          <w:lang w:val="fr-FR"/>
        </w:rPr>
        <w:t xml:space="preserve"> </w:t>
      </w:r>
      <w:r w:rsidRPr="00703471">
        <w:rPr>
          <w:lang w:val="fr-FR"/>
        </w:rPr>
        <w:t>Méditerranéens</w:t>
      </w:r>
      <w:r w:rsidR="00973DDA" w:rsidRPr="00703471">
        <w:rPr>
          <w:lang w:val="fr-FR"/>
        </w:rPr>
        <w:t>,</w:t>
      </w:r>
      <w:r w:rsidRPr="00703471">
        <w:rPr>
          <w:lang w:val="fr-FR"/>
        </w:rPr>
        <w:t xml:space="preserve"> n. 121.</w:t>
      </w:r>
      <w:r w:rsidR="00973DDA" w:rsidRPr="00703471">
        <w:rPr>
          <w:lang w:val="fr-FR"/>
        </w:rPr>
        <w:t xml:space="preserve"> Bari, Italy, CIHEAM.</w:t>
      </w:r>
    </w:p>
    <w:p w14:paraId="031A8F89" w14:textId="089B5183" w:rsidR="00DA04DF" w:rsidRPr="00703471" w:rsidRDefault="00DA04DF" w:rsidP="004C1B1F">
      <w:pPr>
        <w:pStyle w:val="IPPParagraphnumbering"/>
        <w:rPr>
          <w:highlight w:val="yellow"/>
        </w:rPr>
      </w:pPr>
      <w:r w:rsidRPr="00703471">
        <w:rPr>
          <w:b/>
          <w:color w:val="222222"/>
          <w:shd w:val="clear" w:color="auto" w:fill="FFFFFF"/>
        </w:rPr>
        <w:t>Retchless, A. C., Labroussaa, F., Shapiro, L., Stenger, D. C., Lindow, S. E., &amp; Almeida, R. P.</w:t>
      </w:r>
      <w:r w:rsidRPr="00703471">
        <w:rPr>
          <w:color w:val="222222"/>
          <w:shd w:val="clear" w:color="auto" w:fill="FFFFFF"/>
        </w:rPr>
        <w:t xml:space="preserve"> (2014). Genomic insights into </w:t>
      </w:r>
      <w:r w:rsidRPr="00703471">
        <w:rPr>
          <w:i/>
          <w:color w:val="222222"/>
          <w:shd w:val="clear" w:color="auto" w:fill="FFFFFF"/>
        </w:rPr>
        <w:t>Xylella fastidiosa</w:t>
      </w:r>
      <w:r w:rsidRPr="00703471">
        <w:rPr>
          <w:color w:val="222222"/>
          <w:shd w:val="clear" w:color="auto" w:fill="FFFFFF"/>
        </w:rPr>
        <w:t xml:space="preserve"> interactions with plant and insect hosts. In </w:t>
      </w:r>
      <w:r w:rsidRPr="00703471">
        <w:rPr>
          <w:i/>
          <w:iCs/>
          <w:color w:val="222222"/>
          <w:shd w:val="clear" w:color="auto" w:fill="FFFFFF"/>
        </w:rPr>
        <w:t>Genomics of plant-associated Bacteria</w:t>
      </w:r>
      <w:r w:rsidRPr="00703471">
        <w:rPr>
          <w:color w:val="222222"/>
          <w:shd w:val="clear" w:color="auto" w:fill="FFFFFF"/>
        </w:rPr>
        <w:t> (pp. 177-202). Springer, Berlin, Heidelberg.</w:t>
      </w:r>
    </w:p>
    <w:p w14:paraId="0717A83B" w14:textId="139BFD6F" w:rsidR="008E6998" w:rsidRPr="00A37893" w:rsidRDefault="000330D6" w:rsidP="004C1B1F">
      <w:pPr>
        <w:pStyle w:val="IPPParagraphnumbering"/>
      </w:pPr>
      <w:bookmarkStart w:id="115" w:name="_ENREF_35"/>
      <w:r w:rsidRPr="005C3D8E">
        <w:rPr>
          <w:b/>
          <w:lang w:val="pt-BR"/>
        </w:rPr>
        <w:t>Rodrigues, J.L.M., Silva-Stenico, M.E., Gomes, J.E., Lopes, J.R.S. &amp; Tsai, S.M.</w:t>
      </w:r>
      <w:r w:rsidRPr="005C3D8E">
        <w:rPr>
          <w:lang w:val="pt-BR"/>
        </w:rPr>
        <w:t xml:space="preserve"> 2003. </w:t>
      </w:r>
      <w:r w:rsidRPr="007E60D9">
        <w:t xml:space="preserve">Detection and diversity assessment of </w:t>
      </w:r>
      <w:r w:rsidRPr="008758F9">
        <w:rPr>
          <w:i/>
        </w:rPr>
        <w:t>Xylella fastidiosa</w:t>
      </w:r>
      <w:r w:rsidRPr="008758F9">
        <w:t xml:space="preserve"> in field-collected plant and insect samples by using 16S rRNA and </w:t>
      </w:r>
      <w:r w:rsidRPr="008758F9">
        <w:rPr>
          <w:i/>
        </w:rPr>
        <w:t>gyrB</w:t>
      </w:r>
      <w:r w:rsidRPr="008758F9">
        <w:t xml:space="preserve"> sequences. </w:t>
      </w:r>
      <w:r w:rsidRPr="00A37893">
        <w:rPr>
          <w:i/>
        </w:rPr>
        <w:t>Applied and Environmental Microbiology</w:t>
      </w:r>
      <w:r w:rsidRPr="00A37893">
        <w:t>, 69: 4249–4255.</w:t>
      </w:r>
      <w:bookmarkEnd w:id="115"/>
    </w:p>
    <w:p w14:paraId="319D9216" w14:textId="4E56430E" w:rsidR="008E6998" w:rsidRPr="007E60D9" w:rsidRDefault="000330D6" w:rsidP="004C1B1F">
      <w:pPr>
        <w:pStyle w:val="IPPParagraphnumbering"/>
        <w:rPr>
          <w:lang w:val="fr-FR"/>
        </w:rPr>
      </w:pPr>
      <w:bookmarkStart w:id="116" w:name="_ENREF_36"/>
      <w:r w:rsidRPr="00151BEF">
        <w:rPr>
          <w:b/>
        </w:rPr>
        <w:t>Rossetti, V., Garnier, M., Bové, J.M., Beretta, M.J.G., Teixeira, A.R.R., Quaggio, J.A. &amp; de Negri, J.D.</w:t>
      </w:r>
      <w:r w:rsidRPr="000078B0">
        <w:t xml:space="preserve"> 1990. Occurrence of xylem-restricted bacteria in sweet orange trees</w:t>
      </w:r>
      <w:r w:rsidRPr="00292E33">
        <w:t xml:space="preserve"> affected by chlorotic variegation, a new citrus disease in Brazil. </w:t>
      </w:r>
      <w:r w:rsidRPr="00703471">
        <w:rPr>
          <w:i/>
          <w:lang w:val="fr-FR"/>
        </w:rPr>
        <w:t>Comptes Rendus de l’Acad</w:t>
      </w:r>
      <w:r w:rsidR="00F6417F" w:rsidRPr="00703471">
        <w:rPr>
          <w:i/>
          <w:lang w:val="fr-FR"/>
        </w:rPr>
        <w:t>é</w:t>
      </w:r>
      <w:r w:rsidRPr="00703471">
        <w:rPr>
          <w:i/>
          <w:lang w:val="fr-FR"/>
        </w:rPr>
        <w:t>mie des Sciences S</w:t>
      </w:r>
      <w:r w:rsidR="00F6417F" w:rsidRPr="00703471">
        <w:rPr>
          <w:i/>
          <w:lang w:val="fr-FR"/>
        </w:rPr>
        <w:t>é</w:t>
      </w:r>
      <w:r w:rsidRPr="00703471">
        <w:rPr>
          <w:i/>
          <w:lang w:val="fr-FR"/>
        </w:rPr>
        <w:t>rie 3</w:t>
      </w:r>
      <w:r w:rsidRPr="00703471">
        <w:rPr>
          <w:lang w:val="fr-FR"/>
        </w:rPr>
        <w:t>, 310: 345–349.</w:t>
      </w:r>
      <w:bookmarkEnd w:id="116"/>
    </w:p>
    <w:p w14:paraId="5E574AAC" w14:textId="2B15D68C" w:rsidR="00596EFB" w:rsidRPr="005C3D8E" w:rsidRDefault="00C76972" w:rsidP="004C1B1F">
      <w:pPr>
        <w:pStyle w:val="IPPParagraphnumbering"/>
        <w:rPr>
          <w:lang w:val="it-IT"/>
        </w:rPr>
      </w:pPr>
      <w:r w:rsidRPr="00703471">
        <w:rPr>
          <w:rStyle w:val="nlmstring-name"/>
          <w:b/>
          <w:color w:val="000000"/>
          <w:szCs w:val="22"/>
          <w:shd w:val="clear" w:color="auto" w:fill="FFFFFF"/>
          <w:lang w:val="fr-FR"/>
        </w:rPr>
        <w:t>Safady</w:t>
      </w:r>
      <w:r w:rsidR="00897DE3" w:rsidRPr="00703471">
        <w:rPr>
          <w:rStyle w:val="nlmstring-name"/>
          <w:b/>
          <w:color w:val="000000"/>
          <w:szCs w:val="22"/>
          <w:shd w:val="clear" w:color="auto" w:fill="FFFFFF"/>
          <w:lang w:val="fr-FR"/>
        </w:rPr>
        <w:t>,</w:t>
      </w:r>
      <w:r w:rsidRPr="00703471">
        <w:rPr>
          <w:rStyle w:val="nlmstring-name"/>
          <w:b/>
          <w:color w:val="000000"/>
          <w:szCs w:val="22"/>
          <w:shd w:val="clear" w:color="auto" w:fill="FFFFFF"/>
          <w:lang w:val="fr-FR"/>
        </w:rPr>
        <w:t xml:space="preserve"> N</w:t>
      </w:r>
      <w:r w:rsidR="00897DE3" w:rsidRPr="00703471">
        <w:rPr>
          <w:rStyle w:val="nlmstring-name"/>
          <w:b/>
          <w:color w:val="000000"/>
          <w:szCs w:val="22"/>
          <w:shd w:val="clear" w:color="auto" w:fill="FFFFFF"/>
          <w:lang w:val="fr-FR"/>
        </w:rPr>
        <w:t>.</w:t>
      </w:r>
      <w:r w:rsidRPr="00703471">
        <w:rPr>
          <w:rStyle w:val="nlmstring-name"/>
          <w:b/>
          <w:color w:val="000000"/>
          <w:szCs w:val="22"/>
          <w:shd w:val="clear" w:color="auto" w:fill="FFFFFF"/>
          <w:lang w:val="fr-FR"/>
        </w:rPr>
        <w:t>G</w:t>
      </w:r>
      <w:r w:rsidR="00897DE3" w:rsidRPr="00703471">
        <w:rPr>
          <w:rStyle w:val="nlmstring-name"/>
          <w:b/>
          <w:color w:val="000000"/>
          <w:szCs w:val="22"/>
          <w:shd w:val="clear" w:color="auto" w:fill="FFFFFF"/>
          <w:lang w:val="fr-FR"/>
        </w:rPr>
        <w:t>.</w:t>
      </w:r>
      <w:r w:rsidRPr="00703471">
        <w:rPr>
          <w:rStyle w:val="nlmx"/>
          <w:b/>
          <w:color w:val="000000"/>
          <w:szCs w:val="22"/>
          <w:shd w:val="clear" w:color="auto" w:fill="FFFFFF"/>
          <w:lang w:val="fr-FR"/>
        </w:rPr>
        <w:t>, </w:t>
      </w:r>
      <w:r w:rsidRPr="00703471">
        <w:rPr>
          <w:rStyle w:val="nlmstring-name"/>
          <w:b/>
          <w:color w:val="000000"/>
          <w:szCs w:val="22"/>
          <w:shd w:val="clear" w:color="auto" w:fill="FFFFFF"/>
          <w:lang w:val="fr-FR"/>
        </w:rPr>
        <w:t>Lopes</w:t>
      </w:r>
      <w:r w:rsidR="00897DE3" w:rsidRPr="00703471">
        <w:rPr>
          <w:rStyle w:val="nlmstring-name"/>
          <w:b/>
          <w:color w:val="000000"/>
          <w:szCs w:val="22"/>
          <w:shd w:val="clear" w:color="auto" w:fill="FFFFFF"/>
          <w:lang w:val="fr-FR"/>
        </w:rPr>
        <w:t>,</w:t>
      </w:r>
      <w:r w:rsidRPr="00703471">
        <w:rPr>
          <w:rStyle w:val="nlmstring-name"/>
          <w:b/>
          <w:color w:val="000000"/>
          <w:szCs w:val="22"/>
          <w:shd w:val="clear" w:color="auto" w:fill="FFFFFF"/>
          <w:lang w:val="fr-FR"/>
        </w:rPr>
        <w:t xml:space="preserve"> J</w:t>
      </w:r>
      <w:r w:rsidR="00897DE3" w:rsidRPr="00703471">
        <w:rPr>
          <w:rStyle w:val="nlmstring-name"/>
          <w:b/>
          <w:color w:val="000000"/>
          <w:szCs w:val="22"/>
          <w:shd w:val="clear" w:color="auto" w:fill="FFFFFF"/>
          <w:lang w:val="fr-FR"/>
        </w:rPr>
        <w:t>.</w:t>
      </w:r>
      <w:r w:rsidRPr="00703471">
        <w:rPr>
          <w:rStyle w:val="nlmstring-name"/>
          <w:b/>
          <w:color w:val="000000"/>
          <w:szCs w:val="22"/>
          <w:shd w:val="clear" w:color="auto" w:fill="FFFFFF"/>
          <w:lang w:val="fr-FR"/>
        </w:rPr>
        <w:t>R</w:t>
      </w:r>
      <w:r w:rsidR="00897DE3" w:rsidRPr="00703471">
        <w:rPr>
          <w:rStyle w:val="nlmstring-name"/>
          <w:b/>
          <w:color w:val="000000"/>
          <w:szCs w:val="22"/>
          <w:shd w:val="clear" w:color="auto" w:fill="FFFFFF"/>
          <w:lang w:val="fr-FR"/>
        </w:rPr>
        <w:t>.</w:t>
      </w:r>
      <w:r w:rsidRPr="00703471">
        <w:rPr>
          <w:rStyle w:val="nlmstring-name"/>
          <w:b/>
          <w:color w:val="000000"/>
          <w:szCs w:val="22"/>
          <w:shd w:val="clear" w:color="auto" w:fill="FFFFFF"/>
          <w:lang w:val="fr-FR"/>
        </w:rPr>
        <w:t>S</w:t>
      </w:r>
      <w:r w:rsidR="00897DE3" w:rsidRPr="00703471">
        <w:rPr>
          <w:rStyle w:val="nlmstring-name"/>
          <w:b/>
          <w:color w:val="000000"/>
          <w:szCs w:val="22"/>
          <w:shd w:val="clear" w:color="auto" w:fill="FFFFFF"/>
          <w:lang w:val="fr-FR"/>
        </w:rPr>
        <w:t>.</w:t>
      </w:r>
      <w:r w:rsidRPr="00703471">
        <w:rPr>
          <w:rStyle w:val="nlmstring-name"/>
          <w:b/>
          <w:color w:val="000000"/>
          <w:szCs w:val="22"/>
          <w:shd w:val="clear" w:color="auto" w:fill="FFFFFF"/>
          <w:lang w:val="fr-FR"/>
        </w:rPr>
        <w:t>, Francisco</w:t>
      </w:r>
      <w:r w:rsidR="00897DE3" w:rsidRPr="00703471">
        <w:rPr>
          <w:rStyle w:val="nlmstring-name"/>
          <w:b/>
          <w:color w:val="000000"/>
          <w:szCs w:val="22"/>
          <w:shd w:val="clear" w:color="auto" w:fill="FFFFFF"/>
          <w:lang w:val="fr-FR"/>
        </w:rPr>
        <w:t>,</w:t>
      </w:r>
      <w:r w:rsidRPr="00703471">
        <w:rPr>
          <w:rStyle w:val="nlmstring-name"/>
          <w:b/>
          <w:color w:val="000000"/>
          <w:szCs w:val="22"/>
          <w:shd w:val="clear" w:color="auto" w:fill="FFFFFF"/>
          <w:lang w:val="fr-FR"/>
        </w:rPr>
        <w:t xml:space="preserve"> C</w:t>
      </w:r>
      <w:r w:rsidR="00897DE3" w:rsidRPr="00703471">
        <w:rPr>
          <w:rStyle w:val="nlmstring-name"/>
          <w:b/>
          <w:color w:val="000000"/>
          <w:szCs w:val="22"/>
          <w:shd w:val="clear" w:color="auto" w:fill="FFFFFF"/>
          <w:lang w:val="fr-FR"/>
        </w:rPr>
        <w:t>.</w:t>
      </w:r>
      <w:r w:rsidRPr="00703471">
        <w:rPr>
          <w:rStyle w:val="nlmstring-name"/>
          <w:b/>
          <w:color w:val="000000"/>
          <w:szCs w:val="22"/>
          <w:shd w:val="clear" w:color="auto" w:fill="FFFFFF"/>
          <w:lang w:val="fr-FR"/>
        </w:rPr>
        <w:t>S</w:t>
      </w:r>
      <w:r w:rsidR="00897DE3" w:rsidRPr="00703471">
        <w:rPr>
          <w:rStyle w:val="nlmstring-name"/>
          <w:b/>
          <w:color w:val="000000"/>
          <w:szCs w:val="22"/>
          <w:shd w:val="clear" w:color="auto" w:fill="FFFFFF"/>
          <w:lang w:val="fr-FR"/>
        </w:rPr>
        <w:t>.</w:t>
      </w:r>
      <w:r w:rsidRPr="00703471">
        <w:rPr>
          <w:rStyle w:val="nlmstring-name"/>
          <w:b/>
          <w:color w:val="000000"/>
          <w:szCs w:val="22"/>
          <w:shd w:val="clear" w:color="auto" w:fill="FFFFFF"/>
          <w:lang w:val="fr-FR"/>
        </w:rPr>
        <w:t>, Coletta-Filho</w:t>
      </w:r>
      <w:r w:rsidR="00897DE3" w:rsidRPr="00703471">
        <w:rPr>
          <w:rStyle w:val="nlmstring-name"/>
          <w:b/>
          <w:color w:val="000000"/>
          <w:szCs w:val="22"/>
          <w:shd w:val="clear" w:color="auto" w:fill="FFFFFF"/>
          <w:lang w:val="fr-FR"/>
        </w:rPr>
        <w:t>,</w:t>
      </w:r>
      <w:r w:rsidRPr="00703471">
        <w:rPr>
          <w:rStyle w:val="nlmstring-name"/>
          <w:b/>
          <w:color w:val="000000"/>
          <w:szCs w:val="22"/>
          <w:shd w:val="clear" w:color="auto" w:fill="FFFFFF"/>
          <w:lang w:val="fr-FR"/>
        </w:rPr>
        <w:t xml:space="preserve"> H</w:t>
      </w:r>
      <w:r w:rsidR="00897DE3" w:rsidRPr="00703471">
        <w:rPr>
          <w:rStyle w:val="nlmstring-name"/>
          <w:b/>
          <w:color w:val="000000"/>
          <w:szCs w:val="22"/>
          <w:shd w:val="clear" w:color="auto" w:fill="FFFFFF"/>
          <w:lang w:val="fr-FR"/>
        </w:rPr>
        <w:t>.</w:t>
      </w:r>
      <w:r w:rsidRPr="00703471">
        <w:rPr>
          <w:rStyle w:val="nlmstring-name"/>
          <w:b/>
          <w:color w:val="000000"/>
          <w:szCs w:val="22"/>
          <w:shd w:val="clear" w:color="auto" w:fill="FFFFFF"/>
          <w:lang w:val="fr-FR"/>
        </w:rPr>
        <w:t>D</w:t>
      </w:r>
      <w:r w:rsidRPr="00703471">
        <w:rPr>
          <w:rStyle w:val="nlmstring-name"/>
          <w:color w:val="000000"/>
          <w:szCs w:val="22"/>
          <w:shd w:val="clear" w:color="auto" w:fill="FFFFFF"/>
          <w:lang w:val="fr-FR"/>
        </w:rPr>
        <w:t>.</w:t>
      </w:r>
      <w:r w:rsidRPr="00703471">
        <w:rPr>
          <w:rStyle w:val="nlmstring-name"/>
          <w:bCs/>
          <w:color w:val="000000"/>
          <w:szCs w:val="22"/>
          <w:shd w:val="clear" w:color="auto" w:fill="FFFFFF"/>
          <w:lang w:val="fr-FR"/>
        </w:rPr>
        <w:t xml:space="preserve"> 2018</w:t>
      </w:r>
      <w:r w:rsidRPr="00703471">
        <w:rPr>
          <w:rStyle w:val="nlmstring-name"/>
          <w:b/>
          <w:bCs/>
          <w:color w:val="000000"/>
          <w:szCs w:val="22"/>
          <w:shd w:val="clear" w:color="auto" w:fill="FFFFFF"/>
          <w:lang w:val="fr-FR"/>
        </w:rPr>
        <w:t xml:space="preserve">. </w:t>
      </w:r>
      <w:r w:rsidRPr="007E60D9">
        <w:rPr>
          <w:bCs/>
          <w:color w:val="000000"/>
          <w:shd w:val="clear" w:color="auto" w:fill="FFFFFF"/>
        </w:rPr>
        <w:t>Distribution and Genetic Diversity of </w:t>
      </w:r>
      <w:r w:rsidRPr="007E60D9">
        <w:rPr>
          <w:bCs/>
          <w:i/>
          <w:iCs/>
          <w:color w:val="000000"/>
          <w:shd w:val="clear" w:color="auto" w:fill="FFFFFF"/>
        </w:rPr>
        <w:t>Xylella fastidiosa</w:t>
      </w:r>
      <w:r w:rsidRPr="007E60D9">
        <w:rPr>
          <w:bCs/>
          <w:color w:val="000000"/>
          <w:shd w:val="clear" w:color="auto" w:fill="FFFFFF"/>
        </w:rPr>
        <w:t> subsp. </w:t>
      </w:r>
      <w:r w:rsidRPr="007E60D9">
        <w:rPr>
          <w:bCs/>
          <w:i/>
          <w:iCs/>
          <w:color w:val="000000"/>
          <w:shd w:val="clear" w:color="auto" w:fill="FFFFFF"/>
        </w:rPr>
        <w:t>pauca</w:t>
      </w:r>
      <w:r w:rsidRPr="007E60D9">
        <w:rPr>
          <w:bCs/>
          <w:color w:val="000000"/>
          <w:shd w:val="clear" w:color="auto" w:fill="FFFFFF"/>
        </w:rPr>
        <w:t xml:space="preserve"> Associated with Olive Quick Syndrome Symptoms in Southeastern Brazil. </w:t>
      </w:r>
      <w:r w:rsidRPr="005C3D8E">
        <w:rPr>
          <w:i/>
          <w:color w:val="000000"/>
          <w:lang w:val="it-IT"/>
        </w:rPr>
        <w:t>Phytopathology</w:t>
      </w:r>
      <w:r w:rsidR="004B62BE" w:rsidRPr="005C3D8E">
        <w:rPr>
          <w:i/>
          <w:color w:val="000000"/>
          <w:lang w:val="it-IT"/>
        </w:rPr>
        <w:t xml:space="preserve">, </w:t>
      </w:r>
      <w:r w:rsidR="004B62BE" w:rsidRPr="005C3D8E">
        <w:rPr>
          <w:shd w:val="clear" w:color="auto" w:fill="FFFFFF"/>
          <w:lang w:val="it-IT"/>
        </w:rPr>
        <w:t>109:25</w:t>
      </w:r>
      <w:r w:rsidR="00897DE3" w:rsidRPr="005C3D8E">
        <w:rPr>
          <w:shd w:val="clear" w:color="auto" w:fill="FFFFFF"/>
          <w:lang w:val="it-IT"/>
        </w:rPr>
        <w:t>7</w:t>
      </w:r>
      <w:r w:rsidR="004B62BE" w:rsidRPr="005C3D8E">
        <w:rPr>
          <w:shd w:val="clear" w:color="auto" w:fill="FFFFFF"/>
          <w:lang w:val="it-IT"/>
        </w:rPr>
        <w:t>-</w:t>
      </w:r>
      <w:r w:rsidR="00897DE3" w:rsidRPr="005C3D8E">
        <w:rPr>
          <w:shd w:val="clear" w:color="auto" w:fill="FFFFFF"/>
          <w:lang w:val="it-IT"/>
        </w:rPr>
        <w:t>264</w:t>
      </w:r>
    </w:p>
    <w:p w14:paraId="04FA27BE" w14:textId="68980F96" w:rsidR="008E6998" w:rsidRPr="00A37893" w:rsidRDefault="000330D6" w:rsidP="004C1B1F">
      <w:pPr>
        <w:pStyle w:val="IPPParagraphnumbering"/>
      </w:pPr>
      <w:bookmarkStart w:id="117" w:name="_ENREF_37"/>
      <w:r w:rsidRPr="005C3D8E">
        <w:rPr>
          <w:b/>
          <w:lang w:val="it-IT"/>
        </w:rPr>
        <w:t>Saponari, M., Boscia, D., Nigro, F. &amp; Martelli, G.P.</w:t>
      </w:r>
      <w:r w:rsidRPr="005C3D8E">
        <w:rPr>
          <w:lang w:val="it-IT"/>
        </w:rPr>
        <w:t xml:space="preserve"> 2013. </w:t>
      </w:r>
      <w:r w:rsidRPr="007E60D9">
        <w:t xml:space="preserve">Identification of DNA sequences related to </w:t>
      </w:r>
      <w:r w:rsidRPr="008758F9">
        <w:rPr>
          <w:i/>
        </w:rPr>
        <w:t>Xylella fastidiosa</w:t>
      </w:r>
      <w:r w:rsidRPr="008758F9">
        <w:t xml:space="preserve"> in oleander, almond and olive trees exhibiting leaf scorch symptoms in Apulia (southern Italy). </w:t>
      </w:r>
      <w:r w:rsidRPr="008758F9">
        <w:rPr>
          <w:i/>
        </w:rPr>
        <w:t>Journal of Plant Pathology</w:t>
      </w:r>
      <w:r w:rsidRPr="008758F9">
        <w:t>, 95: 668.</w:t>
      </w:r>
      <w:bookmarkEnd w:id="117"/>
    </w:p>
    <w:p w14:paraId="0BD35E05" w14:textId="668D2BBD" w:rsidR="008E6998" w:rsidRPr="00B717A7" w:rsidRDefault="000330D6" w:rsidP="004C1B1F">
      <w:pPr>
        <w:pStyle w:val="IPPParagraphnumbering"/>
      </w:pPr>
      <w:bookmarkStart w:id="118" w:name="_ENREF_38"/>
      <w:r w:rsidRPr="00A37893">
        <w:rPr>
          <w:b/>
        </w:rPr>
        <w:t>Scally, M., Schuenzel, E.L., Stouthamer, R. &amp; Nunney, L.</w:t>
      </w:r>
      <w:r w:rsidRPr="00A37893">
        <w:t xml:space="preserve"> 2005. Multilocus sequence type system for the plant pathogen </w:t>
      </w:r>
      <w:r w:rsidRPr="00151BEF">
        <w:rPr>
          <w:i/>
        </w:rPr>
        <w:t>Xylella fastidiosa</w:t>
      </w:r>
      <w:r w:rsidRPr="000078B0">
        <w:t xml:space="preserve"> and </w:t>
      </w:r>
      <w:r w:rsidRPr="00292E33">
        <w:t xml:space="preserve">relative contributions of recombination and point mutation to clonal diversity. </w:t>
      </w:r>
      <w:r w:rsidRPr="00C6306C">
        <w:rPr>
          <w:i/>
        </w:rPr>
        <w:t>Applied and Environmental Microbiology</w:t>
      </w:r>
      <w:r w:rsidRPr="00C6306C">
        <w:t>, 71: 8491–8499.</w:t>
      </w:r>
      <w:bookmarkEnd w:id="118"/>
    </w:p>
    <w:p w14:paraId="46CAAFEC" w14:textId="7FAB692F" w:rsidR="008E6998" w:rsidRPr="00FB06DC" w:rsidRDefault="000330D6" w:rsidP="004C1B1F">
      <w:pPr>
        <w:pStyle w:val="IPPParagraphnumbering"/>
      </w:pPr>
      <w:r w:rsidRPr="00E35D00">
        <w:rPr>
          <w:b/>
        </w:rPr>
        <w:t>Schaad, N.W., Opgenorth, D. &amp; Gaush, P.</w:t>
      </w:r>
      <w:r w:rsidRPr="00BE170D">
        <w:t xml:space="preserve"> 2002. Real-time polymerase chain reaction for one-hour on-site diagnosis of Pierce’s disease of grape in early season asymptomatic vines. </w:t>
      </w:r>
      <w:r w:rsidRPr="00BE170D">
        <w:rPr>
          <w:i/>
        </w:rPr>
        <w:t>Phytopathology</w:t>
      </w:r>
      <w:r w:rsidRPr="00BE170D">
        <w:t xml:space="preserve">, 92: 721–728. </w:t>
      </w:r>
    </w:p>
    <w:p w14:paraId="68CBBCDC" w14:textId="6DEF25EF" w:rsidR="008E6998" w:rsidRPr="00270CF5" w:rsidRDefault="000330D6" w:rsidP="004C1B1F">
      <w:pPr>
        <w:pStyle w:val="IPPParagraphnumbering"/>
      </w:pPr>
      <w:bookmarkStart w:id="119" w:name="_ENREF_40"/>
      <w:r w:rsidRPr="00D02271">
        <w:rPr>
          <w:b/>
        </w:rPr>
        <w:t>Schaad, N.W., Postnikova, E., Lacy, G., Fatmi, M.B. &amp; Chang, C.-J.</w:t>
      </w:r>
      <w:r w:rsidRPr="00D415AF">
        <w:t xml:space="preserve"> 2004. </w:t>
      </w:r>
      <w:r w:rsidRPr="00D415AF">
        <w:rPr>
          <w:i/>
        </w:rPr>
        <w:t>Xylella fastidiosa</w:t>
      </w:r>
      <w:r w:rsidRPr="00D415AF">
        <w:t xml:space="preserve"> subspecies: </w:t>
      </w:r>
      <w:r w:rsidRPr="00D415AF">
        <w:rPr>
          <w:i/>
        </w:rPr>
        <w:t>X.</w:t>
      </w:r>
      <w:r w:rsidR="00DA03BE" w:rsidRPr="008C7AA2">
        <w:rPr>
          <w:i/>
        </w:rPr>
        <w:t> </w:t>
      </w:r>
      <w:r w:rsidRPr="0019114A">
        <w:rPr>
          <w:i/>
        </w:rPr>
        <w:t>fastidiosa</w:t>
      </w:r>
      <w:r w:rsidRPr="00E575B8">
        <w:t xml:space="preserve"> subsp </w:t>
      </w:r>
      <w:r w:rsidRPr="00592A71">
        <w:rPr>
          <w:i/>
        </w:rPr>
        <w:t>piercei</w:t>
      </w:r>
      <w:r w:rsidRPr="00C0568C">
        <w:t xml:space="preserve">, subsp. nov., </w:t>
      </w:r>
      <w:r w:rsidRPr="006334F7">
        <w:rPr>
          <w:i/>
        </w:rPr>
        <w:t>X.</w:t>
      </w:r>
      <w:r w:rsidR="00DA03BE" w:rsidRPr="00797BAA">
        <w:rPr>
          <w:i/>
        </w:rPr>
        <w:t> </w:t>
      </w:r>
      <w:r w:rsidRPr="00797BAA">
        <w:rPr>
          <w:i/>
        </w:rPr>
        <w:t xml:space="preserve">fastidiosa </w:t>
      </w:r>
      <w:r w:rsidRPr="00797BAA">
        <w:t xml:space="preserve">subsp. </w:t>
      </w:r>
      <w:r w:rsidRPr="007E2509">
        <w:rPr>
          <w:i/>
        </w:rPr>
        <w:t>multiplex</w:t>
      </w:r>
      <w:r w:rsidRPr="007E2509">
        <w:t xml:space="preserve"> subsp. nov., and </w:t>
      </w:r>
      <w:r w:rsidRPr="007E2509">
        <w:rPr>
          <w:i/>
        </w:rPr>
        <w:t>X.</w:t>
      </w:r>
      <w:r w:rsidR="00DA03BE" w:rsidRPr="007E2509">
        <w:rPr>
          <w:i/>
        </w:rPr>
        <w:t> </w:t>
      </w:r>
      <w:r w:rsidRPr="007E2509">
        <w:rPr>
          <w:i/>
        </w:rPr>
        <w:t>fastidiosa</w:t>
      </w:r>
      <w:r w:rsidRPr="0078130B">
        <w:t xml:space="preserve"> subsp. </w:t>
      </w:r>
      <w:r w:rsidRPr="00B7786C">
        <w:rPr>
          <w:i/>
        </w:rPr>
        <w:t>pauca</w:t>
      </w:r>
      <w:r w:rsidRPr="00DB27BE">
        <w:t xml:space="preserve"> subsp. nov. </w:t>
      </w:r>
      <w:r w:rsidRPr="00270CF5">
        <w:rPr>
          <w:i/>
        </w:rPr>
        <w:t>Systematic and Applied Microbiology</w:t>
      </w:r>
      <w:r w:rsidRPr="00270CF5">
        <w:t>, 27: 290–300.</w:t>
      </w:r>
      <w:bookmarkEnd w:id="119"/>
    </w:p>
    <w:p w14:paraId="6B1932BD" w14:textId="1AEE8090" w:rsidR="008E6998" w:rsidRPr="005F7F29" w:rsidRDefault="000330D6" w:rsidP="004C1B1F">
      <w:pPr>
        <w:pStyle w:val="IPPParagraphnumbering"/>
      </w:pPr>
      <w:bookmarkStart w:id="120" w:name="_ENREF_41"/>
      <w:r w:rsidRPr="00270CF5">
        <w:rPr>
          <w:b/>
        </w:rPr>
        <w:t>Schuenzel, E.L., Scally, M., Stouthamer, R. &amp; Nunney, L.</w:t>
      </w:r>
      <w:r w:rsidRPr="00270CF5">
        <w:t xml:space="preserve"> 2005. A multigene phylogenetic study of clonal diversity and divergence in North American strains of the plant pathogen </w:t>
      </w:r>
      <w:r w:rsidRPr="00FF6C00">
        <w:rPr>
          <w:i/>
        </w:rPr>
        <w:t>Xylella fastidiosa</w:t>
      </w:r>
      <w:r w:rsidRPr="00FF6C00">
        <w:t xml:space="preserve">. </w:t>
      </w:r>
      <w:r w:rsidRPr="005F7F29">
        <w:rPr>
          <w:i/>
        </w:rPr>
        <w:t>Applied and Environmental Microbiology</w:t>
      </w:r>
      <w:r w:rsidRPr="005F7F29">
        <w:t>, 71: 3832–3839.</w:t>
      </w:r>
      <w:bookmarkEnd w:id="120"/>
    </w:p>
    <w:p w14:paraId="40BC6F4D" w14:textId="6632FB86" w:rsidR="008E6998" w:rsidRPr="000C01E7" w:rsidRDefault="000330D6" w:rsidP="004C1B1F">
      <w:pPr>
        <w:pStyle w:val="IPPParagraphnumbering"/>
      </w:pPr>
      <w:r w:rsidRPr="005F7F29">
        <w:rPr>
          <w:b/>
        </w:rPr>
        <w:t>Sherald</w:t>
      </w:r>
      <w:r w:rsidR="0018365A" w:rsidRPr="005F7F29">
        <w:rPr>
          <w:b/>
        </w:rPr>
        <w:t>,</w:t>
      </w:r>
      <w:r w:rsidRPr="00BD7969">
        <w:rPr>
          <w:b/>
        </w:rPr>
        <w:t xml:space="preserve"> J.L. &amp; Lei</w:t>
      </w:r>
      <w:r w:rsidR="0018365A" w:rsidRPr="00BD7969">
        <w:rPr>
          <w:b/>
        </w:rPr>
        <w:t>,</w:t>
      </w:r>
      <w:r w:rsidRPr="00BD7969">
        <w:rPr>
          <w:b/>
        </w:rPr>
        <w:t xml:space="preserve"> J.D.</w:t>
      </w:r>
      <w:r w:rsidRPr="005674B0">
        <w:t xml:space="preserve"> 1991. Evaluation of a rapid ELISA test kit for detection of </w:t>
      </w:r>
      <w:r w:rsidRPr="000C01E7">
        <w:rPr>
          <w:i/>
        </w:rPr>
        <w:t>Xylella fastidiosa</w:t>
      </w:r>
      <w:r w:rsidRPr="000C01E7">
        <w:t xml:space="preserve"> in landscaping trees. </w:t>
      </w:r>
      <w:r w:rsidRPr="000C01E7">
        <w:rPr>
          <w:i/>
        </w:rPr>
        <w:t>Plant Disease</w:t>
      </w:r>
      <w:r w:rsidRPr="000C01E7">
        <w:t>, 75: 200–203.</w:t>
      </w:r>
    </w:p>
    <w:p w14:paraId="1806B385" w14:textId="4CE8412F" w:rsidR="008E6998" w:rsidRPr="007E60D9" w:rsidRDefault="000330D6" w:rsidP="004C1B1F">
      <w:pPr>
        <w:pStyle w:val="IPPParagraphnumbering"/>
      </w:pPr>
      <w:bookmarkStart w:id="121" w:name="_ENREF_42"/>
      <w:r w:rsidRPr="000C01E7">
        <w:rPr>
          <w:b/>
        </w:rPr>
        <w:t>Simpson, A.J.G.</w:t>
      </w:r>
      <w:r w:rsidR="002C54AE" w:rsidRPr="000C01E7">
        <w:rPr>
          <w:b/>
        </w:rPr>
        <w:t>, Reinach, F.C., Arruda, P., Abreu, F.A., Acencio, M., Alvarenga, R., Alves, L.M.C.</w:t>
      </w:r>
      <w:r w:rsidRPr="000C01E7">
        <w:rPr>
          <w:b/>
        </w:rPr>
        <w:t xml:space="preserve"> </w:t>
      </w:r>
      <w:r w:rsidRPr="000C01E7">
        <w:rPr>
          <w:b/>
          <w:i/>
        </w:rPr>
        <w:t>et</w:t>
      </w:r>
      <w:r w:rsidR="00E35F2A" w:rsidRPr="000C01E7">
        <w:rPr>
          <w:i/>
          <w:iCs/>
        </w:rPr>
        <w:t> </w:t>
      </w:r>
      <w:r w:rsidRPr="000C01E7">
        <w:rPr>
          <w:b/>
          <w:i/>
        </w:rPr>
        <w:t>al</w:t>
      </w:r>
      <w:r w:rsidRPr="000C01E7">
        <w:rPr>
          <w:b/>
        </w:rPr>
        <w:t>.</w:t>
      </w:r>
      <w:r w:rsidRPr="000C01E7">
        <w:t xml:space="preserve"> 2000. The genome sequence of the plant pathogen </w:t>
      </w:r>
      <w:r w:rsidRPr="000C01E7">
        <w:rPr>
          <w:i/>
        </w:rPr>
        <w:t>Xylella fastidiosa</w:t>
      </w:r>
      <w:r w:rsidRPr="000C01E7">
        <w:t xml:space="preserve">. </w:t>
      </w:r>
      <w:r w:rsidRPr="000C01E7">
        <w:rPr>
          <w:i/>
        </w:rPr>
        <w:t>Nature</w:t>
      </w:r>
      <w:r w:rsidRPr="000C01E7">
        <w:t>, 406: 151–157.</w:t>
      </w:r>
      <w:bookmarkEnd w:id="121"/>
      <w:r w:rsidRPr="000C01E7">
        <w:t xml:space="preserve"> </w:t>
      </w:r>
    </w:p>
    <w:p w14:paraId="29277300" w14:textId="2DE17E32" w:rsidR="008E6998" w:rsidRPr="00292E33" w:rsidRDefault="000330D6" w:rsidP="004C1B1F">
      <w:pPr>
        <w:pStyle w:val="IPPParagraphnumbering"/>
      </w:pPr>
      <w:r w:rsidRPr="008758F9">
        <w:rPr>
          <w:b/>
        </w:rPr>
        <w:t>Su, C.-C., Deng, W.-L., Jan, F.-J., Chang, C.-J., Huang, H., Shih, H.-T. &amp; Chen, J.</w:t>
      </w:r>
      <w:r w:rsidRPr="008758F9">
        <w:t xml:space="preserve"> 2016. </w:t>
      </w:r>
      <w:r w:rsidRPr="008758F9">
        <w:rPr>
          <w:i/>
        </w:rPr>
        <w:t>Xylella taiwanensis</w:t>
      </w:r>
      <w:r w:rsidRPr="00A37893">
        <w:t xml:space="preserve"> sp. nov. cause of pear leaf scorch disease in Taiwan. </w:t>
      </w:r>
      <w:r w:rsidRPr="00A37893">
        <w:rPr>
          <w:i/>
          <w:iCs/>
        </w:rPr>
        <w:t>International Journal of Systematic and Evolutionary Microbiology</w:t>
      </w:r>
      <w:r w:rsidRPr="00151BEF">
        <w:rPr>
          <w:iCs/>
        </w:rPr>
        <w:t>, 66: 4766–4771</w:t>
      </w:r>
      <w:r w:rsidRPr="000078B0">
        <w:t>.</w:t>
      </w:r>
    </w:p>
    <w:p w14:paraId="3EB301C1" w14:textId="355B1206" w:rsidR="00DA04DF" w:rsidRPr="00703471" w:rsidRDefault="00DA04DF" w:rsidP="004C1B1F">
      <w:pPr>
        <w:pStyle w:val="IPPParagraphnumbering"/>
        <w:rPr>
          <w:color w:val="222222"/>
          <w:shd w:val="clear" w:color="auto" w:fill="FFFFFF"/>
        </w:rPr>
      </w:pPr>
      <w:r w:rsidRPr="00703471">
        <w:rPr>
          <w:b/>
          <w:color w:val="222222"/>
          <w:shd w:val="clear" w:color="auto" w:fill="FFFFFF"/>
        </w:rPr>
        <w:t>Tindall, B. J.</w:t>
      </w:r>
      <w:r w:rsidRPr="00703471">
        <w:rPr>
          <w:color w:val="222222"/>
          <w:shd w:val="clear" w:color="auto" w:fill="FFFFFF"/>
        </w:rPr>
        <w:t xml:space="preserve"> (2014). The family name Solimonadaceae Losey et al. 2013 is illegitimate, proposals to create the names ‘Sinobacter soli’comb. nov. and ‘Sinobacter variicoloris’ contravene the Code, the family name Xanthomonadaceae Saddler and Bradbury 2005 and the order name Xanthomonadales Saddler and Bradbury 2005 are illegitimate and notes on the application of the family names Solibacteraceae Zhou et al. 2008, Nevskiaceae Henrici and Johnson 1935 (Approved Lists 1980) and Lysobacteraceae Christensen and Cook 1978 .... </w:t>
      </w:r>
      <w:r w:rsidRPr="00703471">
        <w:rPr>
          <w:i/>
          <w:iCs/>
          <w:color w:val="222222"/>
          <w:shd w:val="clear" w:color="auto" w:fill="FFFFFF"/>
        </w:rPr>
        <w:t>International journal of systematic and evolutionary microbiology</w:t>
      </w:r>
      <w:r w:rsidRPr="00703471">
        <w:rPr>
          <w:color w:val="222222"/>
          <w:shd w:val="clear" w:color="auto" w:fill="FFFFFF"/>
        </w:rPr>
        <w:t>, </w:t>
      </w:r>
      <w:r w:rsidRPr="00703471">
        <w:rPr>
          <w:i/>
          <w:iCs/>
          <w:color w:val="222222"/>
          <w:shd w:val="clear" w:color="auto" w:fill="FFFFFF"/>
        </w:rPr>
        <w:t>64</w:t>
      </w:r>
      <w:r w:rsidRPr="00703471">
        <w:rPr>
          <w:color w:val="222222"/>
          <w:shd w:val="clear" w:color="auto" w:fill="FFFFFF"/>
        </w:rPr>
        <w:t>(Pt_1), 293-297.</w:t>
      </w:r>
    </w:p>
    <w:p w14:paraId="697384BD" w14:textId="5FBCF288" w:rsidR="008E6998" w:rsidRPr="008758F9" w:rsidRDefault="000330D6" w:rsidP="004C1B1F">
      <w:pPr>
        <w:pStyle w:val="IPPParagraphnumbering"/>
      </w:pPr>
      <w:r w:rsidRPr="000D78FD">
        <w:rPr>
          <w:rStyle w:val="A4"/>
          <w:rFonts w:cs="Times New Roman"/>
          <w:lang w:val="it-IT"/>
        </w:rPr>
        <w:t>Valentini, F. &amp; Porcelli, F.</w:t>
      </w:r>
      <w:r w:rsidRPr="000D78FD">
        <w:rPr>
          <w:rStyle w:val="A4"/>
          <w:rFonts w:cs="Times New Roman"/>
          <w:b w:val="0"/>
          <w:lang w:val="it-IT"/>
        </w:rPr>
        <w:t xml:space="preserve"> 2016. Sampling procedures. </w:t>
      </w:r>
      <w:r w:rsidRPr="007E60D9">
        <w:rPr>
          <w:rStyle w:val="A4"/>
          <w:rFonts w:cs="Times New Roman"/>
          <w:b w:val="0"/>
        </w:rPr>
        <w:t xml:space="preserve">Presentation to the FAO-IPPC-CIHEAM International Workshop on </w:t>
      </w:r>
      <w:r w:rsidRPr="008758F9">
        <w:rPr>
          <w:rStyle w:val="A4"/>
          <w:rFonts w:cs="Times New Roman"/>
          <w:b w:val="0"/>
          <w:i/>
        </w:rPr>
        <w:t>Xylella fastidiosa</w:t>
      </w:r>
      <w:r w:rsidRPr="008758F9">
        <w:rPr>
          <w:rStyle w:val="A4"/>
          <w:rFonts w:cs="Times New Roman"/>
          <w:b w:val="0"/>
        </w:rPr>
        <w:t xml:space="preserve"> &amp; the Olive Quick Decline Syndrome, 19–22 April, 2016, Bari, Italy.</w:t>
      </w:r>
    </w:p>
    <w:p w14:paraId="0FB83A47" w14:textId="6EB14071" w:rsidR="008E6998" w:rsidRPr="00B717A7" w:rsidRDefault="000330D6" w:rsidP="004C1B1F">
      <w:pPr>
        <w:pStyle w:val="IPPParagraphnumbering"/>
      </w:pPr>
      <w:r w:rsidRPr="00A37893">
        <w:rPr>
          <w:b/>
        </w:rPr>
        <w:t>Van Sluys, M.A.</w:t>
      </w:r>
      <w:r w:rsidR="000906D7" w:rsidRPr="00A37893">
        <w:rPr>
          <w:b/>
        </w:rPr>
        <w:t>,</w:t>
      </w:r>
      <w:r w:rsidR="000906D7" w:rsidRPr="007E60D9">
        <w:rPr>
          <w:b/>
        </w:rPr>
        <w:t xml:space="preserve"> </w:t>
      </w:r>
      <w:r w:rsidR="008A086E" w:rsidRPr="007E60D9">
        <w:rPr>
          <w:b/>
        </w:rPr>
        <w:t xml:space="preserve">de </w:t>
      </w:r>
      <w:r w:rsidR="000906D7" w:rsidRPr="007E60D9">
        <w:rPr>
          <w:b/>
        </w:rPr>
        <w:t xml:space="preserve">Oliveira, M.C., Monteiro-Vitorello, C.B., Miyaki, C.Y., Furlan, L.R., Camargo, L.E.A., </w:t>
      </w:r>
      <w:r w:rsidR="008A086E" w:rsidRPr="007E60D9">
        <w:rPr>
          <w:b/>
        </w:rPr>
        <w:t xml:space="preserve">da </w:t>
      </w:r>
      <w:r w:rsidR="000906D7" w:rsidRPr="007E60D9">
        <w:rPr>
          <w:b/>
        </w:rPr>
        <w:t>Silva, A.C.R.</w:t>
      </w:r>
      <w:r w:rsidRPr="008758F9">
        <w:rPr>
          <w:b/>
        </w:rPr>
        <w:t xml:space="preserve"> </w:t>
      </w:r>
      <w:r w:rsidRPr="008758F9">
        <w:rPr>
          <w:b/>
          <w:i/>
        </w:rPr>
        <w:t>et</w:t>
      </w:r>
      <w:r w:rsidR="00E35F2A" w:rsidRPr="008758F9">
        <w:rPr>
          <w:i/>
          <w:iCs/>
        </w:rPr>
        <w:t> </w:t>
      </w:r>
      <w:r w:rsidRPr="008758F9">
        <w:rPr>
          <w:b/>
          <w:i/>
        </w:rPr>
        <w:t>al</w:t>
      </w:r>
      <w:r w:rsidRPr="00A37893">
        <w:rPr>
          <w:b/>
        </w:rPr>
        <w:t>.</w:t>
      </w:r>
      <w:r w:rsidRPr="00A37893">
        <w:t xml:space="preserve"> 2003. Comparative analyses of the complete genome sequences of Pierce</w:t>
      </w:r>
      <w:r w:rsidR="009B12D4" w:rsidRPr="00151BEF">
        <w:t>’</w:t>
      </w:r>
      <w:r w:rsidRPr="000078B0">
        <w:t xml:space="preserve">s disease and citrus variegated chlorosis strains of </w:t>
      </w:r>
      <w:r w:rsidRPr="00292E33">
        <w:rPr>
          <w:i/>
        </w:rPr>
        <w:t>Xylella fastidiosa</w:t>
      </w:r>
      <w:r w:rsidRPr="00C6306C">
        <w:t xml:space="preserve">. </w:t>
      </w:r>
      <w:r w:rsidRPr="00C6306C">
        <w:rPr>
          <w:i/>
          <w:iCs/>
        </w:rPr>
        <w:t>Journal of Bacteriology</w:t>
      </w:r>
      <w:r w:rsidRPr="00A94F49">
        <w:t xml:space="preserve">, </w:t>
      </w:r>
      <w:r w:rsidRPr="00B717A7">
        <w:rPr>
          <w:iCs/>
        </w:rPr>
        <w:t>185</w:t>
      </w:r>
      <w:r w:rsidRPr="00B717A7">
        <w:t>: 1018–1026.</w:t>
      </w:r>
    </w:p>
    <w:p w14:paraId="0B82DBC4" w14:textId="6A4374B9" w:rsidR="008E6998" w:rsidRPr="00C0568C" w:rsidRDefault="000330D6" w:rsidP="004C1B1F">
      <w:pPr>
        <w:pStyle w:val="IPPParagraphnumbering"/>
      </w:pPr>
      <w:bookmarkStart w:id="122" w:name="_ENREF_45"/>
      <w:r w:rsidRPr="00D415AF">
        <w:rPr>
          <w:b/>
        </w:rPr>
        <w:t>Weller, S.A., Elphinstone, J.G., Smith, N.C., Boonham, N. &amp; Stead, D.E.</w:t>
      </w:r>
      <w:r w:rsidRPr="00D415AF">
        <w:t xml:space="preserve"> 2000. Detection of </w:t>
      </w:r>
      <w:r w:rsidRPr="00D415AF">
        <w:rPr>
          <w:i/>
        </w:rPr>
        <w:t>Ralstonia solanacearum</w:t>
      </w:r>
      <w:r w:rsidRPr="008C7AA2">
        <w:t xml:space="preserve"> strains with a quantitative, multiplex, rea</w:t>
      </w:r>
      <w:r w:rsidRPr="0019114A">
        <w:t xml:space="preserve">l-time, fluorogenic PCR (TaqMan) assay. </w:t>
      </w:r>
      <w:r w:rsidRPr="00E575B8">
        <w:rPr>
          <w:i/>
        </w:rPr>
        <w:t>Applied and Environmental Microbiology</w:t>
      </w:r>
      <w:r w:rsidRPr="00592A71">
        <w:t>, 66: 2853–2858.</w:t>
      </w:r>
      <w:bookmarkEnd w:id="122"/>
    </w:p>
    <w:p w14:paraId="3635A3DA" w14:textId="310AEB04" w:rsidR="008E6998" w:rsidRPr="00DB27BE" w:rsidRDefault="000330D6" w:rsidP="004C1B1F">
      <w:pPr>
        <w:pStyle w:val="IPPParagraphnumbering"/>
      </w:pPr>
      <w:bookmarkStart w:id="123" w:name="_ENREF_46"/>
      <w:r w:rsidRPr="006334F7">
        <w:rPr>
          <w:b/>
        </w:rPr>
        <w:t>Wells, J.M., Raju, B.C., Hung, H.-Y., Weisburg, W.G., Mandelco-Paul, L. &amp; Brenner, D.J.</w:t>
      </w:r>
      <w:r w:rsidRPr="00797BAA">
        <w:t xml:space="preserve"> 1987. </w:t>
      </w:r>
      <w:r w:rsidRPr="007E2509">
        <w:rPr>
          <w:i/>
        </w:rPr>
        <w:t>Xylella fastidiosa</w:t>
      </w:r>
      <w:r w:rsidRPr="007E2509">
        <w:t xml:space="preserve"> gen. nov., sp. nov: Gram-negative, xylem-limited, fastidious plant bacteria related to </w:t>
      </w:r>
      <w:r w:rsidRPr="007E2509">
        <w:rPr>
          <w:i/>
        </w:rPr>
        <w:t>Xanthomonas</w:t>
      </w:r>
      <w:r w:rsidRPr="007E2509">
        <w:t xml:space="preserve"> spp. </w:t>
      </w:r>
      <w:r w:rsidRPr="0078130B">
        <w:rPr>
          <w:i/>
        </w:rPr>
        <w:t>International Journal of Systematic Bacteriology</w:t>
      </w:r>
      <w:r w:rsidRPr="00B7786C">
        <w:t>, 37: 136–143.</w:t>
      </w:r>
      <w:bookmarkEnd w:id="123"/>
    </w:p>
    <w:p w14:paraId="42DBBE22" w14:textId="3EA08017" w:rsidR="008E6998" w:rsidRPr="005F7F29" w:rsidRDefault="000330D6" w:rsidP="004C1B1F">
      <w:pPr>
        <w:pStyle w:val="IPPParagraphnumbering"/>
      </w:pPr>
      <w:bookmarkStart w:id="124" w:name="_ENREF_47"/>
      <w:r w:rsidRPr="00270CF5">
        <w:rPr>
          <w:b/>
        </w:rPr>
        <w:t>Wells, J.M., Raju, B.C., Nyland, G. &amp; Lowe, S.K.</w:t>
      </w:r>
      <w:r w:rsidRPr="00270CF5">
        <w:t xml:space="preserve"> 1981. Medium for isolation and growth of bacteria associated with plum leaf scald and ph</w:t>
      </w:r>
      <w:r w:rsidRPr="00FF6C00">
        <w:t xml:space="preserve">ony peach diseases. </w:t>
      </w:r>
      <w:r w:rsidRPr="00FF6C00">
        <w:rPr>
          <w:i/>
        </w:rPr>
        <w:t>Applied and Environmental Microbiology</w:t>
      </w:r>
      <w:r w:rsidRPr="005F7F29">
        <w:t>, 42(2): 357–363.</w:t>
      </w:r>
      <w:bookmarkEnd w:id="124"/>
    </w:p>
    <w:p w14:paraId="2E5ECCF2" w14:textId="39CE2B2C" w:rsidR="00DA04DF" w:rsidRPr="00703471" w:rsidRDefault="00DA04DF" w:rsidP="004C1B1F">
      <w:pPr>
        <w:pStyle w:val="IPPParagraphnumbering"/>
        <w:rPr>
          <w:color w:val="222222"/>
          <w:shd w:val="clear" w:color="auto" w:fill="FFFFFF"/>
        </w:rPr>
      </w:pPr>
      <w:r w:rsidRPr="00703471">
        <w:rPr>
          <w:b/>
          <w:color w:val="222222"/>
          <w:shd w:val="clear" w:color="auto" w:fill="FFFFFF"/>
        </w:rPr>
        <w:t>Whitman, W. B., Lawson, P. A., &amp; Losey, N. A.</w:t>
      </w:r>
      <w:r w:rsidRPr="00703471">
        <w:rPr>
          <w:color w:val="222222"/>
          <w:shd w:val="clear" w:color="auto" w:fill="FFFFFF"/>
        </w:rPr>
        <w:t xml:space="preserve"> (2015). Response to Tindall (2014) on the legitimacy of the names Solimonadaceae Losey et al. 2013, Xanthomonadaceae Saddler and Bradbury 2005 and Xanthomonadales Saddler and Bradbury 2005. </w:t>
      </w:r>
      <w:r w:rsidRPr="00703471">
        <w:rPr>
          <w:i/>
          <w:iCs/>
          <w:color w:val="222222"/>
          <w:shd w:val="clear" w:color="auto" w:fill="FFFFFF"/>
        </w:rPr>
        <w:t>International journal of systematic and evolutionary microbiology</w:t>
      </w:r>
      <w:r w:rsidRPr="00703471">
        <w:rPr>
          <w:color w:val="222222"/>
          <w:shd w:val="clear" w:color="auto" w:fill="FFFFFF"/>
        </w:rPr>
        <w:t>, </w:t>
      </w:r>
      <w:r w:rsidRPr="00703471">
        <w:rPr>
          <w:i/>
          <w:iCs/>
          <w:color w:val="222222"/>
          <w:shd w:val="clear" w:color="auto" w:fill="FFFFFF"/>
        </w:rPr>
        <w:t>65</w:t>
      </w:r>
      <w:r w:rsidRPr="00703471">
        <w:rPr>
          <w:color w:val="222222"/>
          <w:shd w:val="clear" w:color="auto" w:fill="FFFFFF"/>
        </w:rPr>
        <w:t>(Pt_3), 1086-1087.</w:t>
      </w:r>
    </w:p>
    <w:p w14:paraId="0319F353" w14:textId="08C9B7A0" w:rsidR="008E6998" w:rsidRPr="00A37893" w:rsidRDefault="000330D6" w:rsidP="004C1B1F">
      <w:pPr>
        <w:pStyle w:val="IPPParagraphnumbering"/>
      </w:pPr>
      <w:bookmarkStart w:id="125" w:name="_ENREF_48"/>
      <w:r w:rsidRPr="000D78FD">
        <w:rPr>
          <w:b/>
          <w:lang w:val="it-IT"/>
        </w:rPr>
        <w:t>Yaseen, T., Drago, S., Valentini, F., Elbeaino, T., Stampone, G., Digiaro, M. &amp; D’Onghia, A.M.</w:t>
      </w:r>
      <w:r w:rsidRPr="000D78FD">
        <w:rPr>
          <w:lang w:val="it-IT"/>
        </w:rPr>
        <w:t xml:space="preserve"> 2015. </w:t>
      </w:r>
      <w:r w:rsidRPr="007E60D9">
        <w:t xml:space="preserve">On-site detection of </w:t>
      </w:r>
      <w:r w:rsidRPr="008758F9">
        <w:rPr>
          <w:i/>
        </w:rPr>
        <w:t>Xylella fastidiosa</w:t>
      </w:r>
      <w:r w:rsidRPr="008758F9">
        <w:t xml:space="preserve"> in host plants and in “spy insects” using the real-time loop-mediated isothermal amplification method. </w:t>
      </w:r>
      <w:r w:rsidRPr="008758F9">
        <w:rPr>
          <w:i/>
        </w:rPr>
        <w:t>Phytopathologia Mediterranea</w:t>
      </w:r>
      <w:r w:rsidRPr="008758F9">
        <w:t>, 54: 488–496.</w:t>
      </w:r>
      <w:bookmarkEnd w:id="125"/>
    </w:p>
    <w:p w14:paraId="159869E2" w14:textId="2D7AB6E4" w:rsidR="008E6998" w:rsidRPr="00B717A7" w:rsidRDefault="000330D6" w:rsidP="004C1B1F">
      <w:pPr>
        <w:pStyle w:val="IPPParagraphnumbering"/>
      </w:pPr>
      <w:r w:rsidRPr="00A37893">
        <w:rPr>
          <w:b/>
        </w:rPr>
        <w:t>Yuan, X., Morano, L., Bro</w:t>
      </w:r>
      <w:r w:rsidR="00D415AF">
        <w:rPr>
          <w:b/>
        </w:rPr>
        <w:t>mL</w:t>
      </w:r>
      <w:r w:rsidRPr="00A37893">
        <w:rPr>
          <w:b/>
        </w:rPr>
        <w:t xml:space="preserve">ey, R., </w:t>
      </w:r>
      <w:r w:rsidRPr="00151BEF">
        <w:rPr>
          <w:b/>
        </w:rPr>
        <w:t>Spring-Pearson, S., Stouthamer, R. &amp; Nunney, L</w:t>
      </w:r>
      <w:r w:rsidRPr="000078B0">
        <w:rPr>
          <w:b/>
        </w:rPr>
        <w:t>.</w:t>
      </w:r>
      <w:r w:rsidRPr="00292E33">
        <w:t xml:space="preserve"> 2010. Multilocus sequence typing of </w:t>
      </w:r>
      <w:r w:rsidRPr="00C6306C">
        <w:rPr>
          <w:i/>
        </w:rPr>
        <w:t>Xylella fastidiosa</w:t>
      </w:r>
      <w:r w:rsidRPr="00A94F49">
        <w:t xml:space="preserve"> causing Pierce’s disease and oleander leaf scorch in the United States. </w:t>
      </w:r>
      <w:r w:rsidRPr="00B717A7">
        <w:rPr>
          <w:i/>
        </w:rPr>
        <w:t>Phytopathology</w:t>
      </w:r>
      <w:r w:rsidRPr="00B717A7">
        <w:t>, 100: 601–611.</w:t>
      </w:r>
    </w:p>
    <w:p w14:paraId="4C5C144C" w14:textId="699A0A0D" w:rsidR="00511295" w:rsidRDefault="0033194B" w:rsidP="004C1B1F">
      <w:pPr>
        <w:pStyle w:val="IPPParagraphnumbering"/>
      </w:pPr>
      <w:r w:rsidRPr="00E35D00">
        <w:rPr>
          <w:b/>
        </w:rPr>
        <w:t>Zecharia, N., Vanunu</w:t>
      </w:r>
      <w:r w:rsidRPr="00BE170D">
        <w:rPr>
          <w:b/>
        </w:rPr>
        <w:t>, M.</w:t>
      </w:r>
      <w:r w:rsidRPr="00FB06DC">
        <w:rPr>
          <w:b/>
        </w:rPr>
        <w:t>, Dror</w:t>
      </w:r>
      <w:r w:rsidRPr="00D02271">
        <w:rPr>
          <w:b/>
        </w:rPr>
        <w:t>, O</w:t>
      </w:r>
      <w:r w:rsidRPr="00D415AF">
        <w:rPr>
          <w:b/>
        </w:rPr>
        <w:t>., Shtienberg, D</w:t>
      </w:r>
      <w:r w:rsidRPr="008C7AA2">
        <w:rPr>
          <w:b/>
        </w:rPr>
        <w:t>.</w:t>
      </w:r>
      <w:r w:rsidRPr="0019114A">
        <w:rPr>
          <w:b/>
        </w:rPr>
        <w:t>, Bahar</w:t>
      </w:r>
      <w:r w:rsidRPr="00E575B8">
        <w:rPr>
          <w:b/>
        </w:rPr>
        <w:t>,</w:t>
      </w:r>
      <w:r w:rsidRPr="00592A71">
        <w:rPr>
          <w:b/>
        </w:rPr>
        <w:t xml:space="preserve"> O</w:t>
      </w:r>
      <w:r w:rsidRPr="00C0568C">
        <w:rPr>
          <w:b/>
        </w:rPr>
        <w:t>.</w:t>
      </w:r>
      <w:r w:rsidRPr="006334F7">
        <w:t xml:space="preserve"> 2021.  Distribution dynamics of </w:t>
      </w:r>
      <w:r w:rsidRPr="00797BAA">
        <w:rPr>
          <w:i/>
          <w:iCs/>
        </w:rPr>
        <w:t>Xylella fastidiosa</w:t>
      </w:r>
      <w:r w:rsidRPr="00797BAA">
        <w:t xml:space="preserve"> within almond trees organs through different physiological stages. 3</w:t>
      </w:r>
      <w:r w:rsidRPr="00797BAA">
        <w:rPr>
          <w:vertAlign w:val="superscript"/>
        </w:rPr>
        <w:t>rd</w:t>
      </w:r>
      <w:r w:rsidRPr="00797BAA">
        <w:t xml:space="preserve"> European Conference on </w:t>
      </w:r>
      <w:r w:rsidRPr="007E2509">
        <w:rPr>
          <w:i/>
          <w:iCs/>
        </w:rPr>
        <w:t>Xylella fastidiosa</w:t>
      </w:r>
      <w:r w:rsidRPr="007E2509">
        <w:t xml:space="preserve"> and XF-ACTORS final meeting, 26-30 April 2021.</w:t>
      </w:r>
    </w:p>
    <w:sectPr w:rsidR="00511295" w:rsidSect="007A6D3C">
      <w:headerReference w:type="even" r:id="rId41"/>
      <w:headerReference w:type="default" r:id="rId42"/>
      <w:footerReference w:type="even" r:id="rId43"/>
      <w:footerReference w:type="default" r:id="rId44"/>
      <w:headerReference w:type="first" r:id="rId45"/>
      <w:footerReference w:type="first" r:id="rId46"/>
      <w:pgSz w:w="11906" w:h="16838" w:code="9"/>
      <w:pgMar w:top="1559" w:right="1418" w:bottom="1418" w:left="1418" w:header="851" w:footer="851" w:gutter="0"/>
      <w:paperSrc w:first="7" w:other="7"/>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 w:author="scesbron" w:date="2022-08-16T15:53:00Z" w:initials="s">
    <w:p w14:paraId="34CDCE74" w14:textId="076F2075" w:rsidR="0004310D" w:rsidRDefault="0004310D">
      <w:pPr>
        <w:pStyle w:val="CommentText"/>
      </w:pPr>
      <w:r>
        <w:rPr>
          <w:rStyle w:val="CommentReference"/>
        </w:rPr>
        <w:annotationRef/>
      </w:r>
      <w:r>
        <w:t>EPPO PM7/24 (5) currently under review in 2022</w:t>
      </w:r>
    </w:p>
  </w:comment>
  <w:comment w:id="39" w:author="LEGENDRE Bruno" w:date="2022-03-29T22:52:00Z" w:initials="LB">
    <w:p w14:paraId="210E30A2" w14:textId="55DB6643" w:rsidR="0004310D" w:rsidRDefault="0004310D">
      <w:pPr>
        <w:pStyle w:val="CommentText"/>
      </w:pPr>
      <w:r>
        <w:rPr>
          <w:rStyle w:val="CommentReference"/>
        </w:rPr>
        <w:annotationRef/>
      </w:r>
      <w:r>
        <w:t>The versus 5 of the PM7/24 will be published in 2022 propbably</w:t>
      </w:r>
    </w:p>
  </w:comment>
  <w:comment w:id="89" w:author="scesbron" w:date="2022-08-16T16:59:00Z" w:initials="s">
    <w:p w14:paraId="1AD435B5" w14:textId="7850F0B4" w:rsidR="0004310D" w:rsidRDefault="0004310D">
      <w:pPr>
        <w:pStyle w:val="CommentText"/>
      </w:pPr>
      <w:r>
        <w:rPr>
          <w:rStyle w:val="CommentReference"/>
        </w:rPr>
        <w:annotationRef/>
      </w:r>
      <w:r>
        <w:t>To update when possible</w:t>
      </w:r>
    </w:p>
  </w:comment>
  <w:comment w:id="95" w:author="LEGENDRE Bruno" w:date="2022-03-29T22:57:00Z" w:initials="LB">
    <w:p w14:paraId="2CB3152A" w14:textId="0D996541" w:rsidR="0004310D" w:rsidRDefault="0004310D">
      <w:pPr>
        <w:pStyle w:val="CommentText"/>
      </w:pPr>
      <w:r>
        <w:rPr>
          <w:rStyle w:val="CommentReference"/>
        </w:rPr>
        <w:annotationRef/>
      </w:r>
      <w:r>
        <w:t>Under revision. Still not published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CDCE74" w15:done="0"/>
  <w15:commentEx w15:paraId="210E30A2" w15:done="0"/>
  <w15:commentEx w15:paraId="1AD435B5" w15:done="0"/>
  <w15:commentEx w15:paraId="2CB315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F66091" w16cex:dateUtc="2022-03-29T11:52:00Z"/>
  <w16cex:commentExtensible w16cex:durableId="25F660A0" w16cex:dateUtc="2022-03-29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CDCE74" w16cid:durableId="26A63BF4"/>
  <w16cid:commentId w16cid:paraId="210E30A2" w16cid:durableId="25F66091"/>
  <w16cid:commentId w16cid:paraId="1AD435B5" w16cid:durableId="26A64B76"/>
  <w16cid:commentId w16cid:paraId="2CB3152A" w16cid:durableId="25F660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9C54E" w14:textId="77777777" w:rsidR="0004310D" w:rsidRDefault="0004310D">
      <w:r>
        <w:rPr>
          <w:rStyle w:val="PleaseReviewParagraphId"/>
        </w:rPr>
        <w:t>[]</w:t>
      </w:r>
      <w:r>
        <w:separator/>
      </w:r>
    </w:p>
  </w:endnote>
  <w:endnote w:type="continuationSeparator" w:id="0">
    <w:p w14:paraId="0D81AEBF" w14:textId="77777777" w:rsidR="0004310D" w:rsidRDefault="0004310D">
      <w:r>
        <w:rPr>
          <w:rStyle w:val="PleaseReviewParagraphId"/>
        </w:rPr>
        <w:t>[]</w:t>
      </w:r>
      <w:r>
        <w:continuationSeparator/>
      </w:r>
    </w:p>
  </w:endnote>
  <w:endnote w:type="continuationNotice" w:id="1">
    <w:p w14:paraId="45388CCF" w14:textId="77777777" w:rsidR="0004310D" w:rsidRDefault="0004310D">
      <w:r>
        <w:rPr>
          <w:rStyle w:val="PleaseReviewParagraphId"/>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AdvPSHEL-B">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CA136" w14:textId="2D346522" w:rsidR="0004310D" w:rsidRPr="00F87E30" w:rsidRDefault="0004310D" w:rsidP="00F87E30">
    <w:pPr>
      <w:pStyle w:val="IPPFooter"/>
    </w:pPr>
    <w:r w:rsidRPr="00F87E30">
      <w:t xml:space="preserve">Page </w:t>
    </w:r>
    <w:r w:rsidRPr="00F87E30">
      <w:fldChar w:fldCharType="begin"/>
    </w:r>
    <w:r w:rsidRPr="00F87E30">
      <w:instrText xml:space="preserve"> PAGE </w:instrText>
    </w:r>
    <w:r w:rsidRPr="00F87E30">
      <w:fldChar w:fldCharType="separate"/>
    </w:r>
    <w:r w:rsidR="00F87E30">
      <w:rPr>
        <w:noProof/>
      </w:rPr>
      <w:t>4</w:t>
    </w:r>
    <w:r w:rsidRPr="00F87E30">
      <w:fldChar w:fldCharType="end"/>
    </w:r>
    <w:r w:rsidRPr="00F87E30">
      <w:t xml:space="preserve"> of </w:t>
    </w:r>
    <w:r w:rsidRPr="00F87E30">
      <w:fldChar w:fldCharType="begin"/>
    </w:r>
    <w:r w:rsidRPr="00F87E30">
      <w:instrText xml:space="preserve"> NUMPAGES </w:instrText>
    </w:r>
    <w:r w:rsidRPr="00F87E30">
      <w:fldChar w:fldCharType="separate"/>
    </w:r>
    <w:r w:rsidR="00F87E30">
      <w:rPr>
        <w:noProof/>
      </w:rPr>
      <w:t>37</w:t>
    </w:r>
    <w:r w:rsidRPr="00F87E30">
      <w:fldChar w:fldCharType="end"/>
    </w:r>
    <w:r w:rsidR="00F87E30">
      <w:t xml:space="preserve"> </w:t>
    </w:r>
    <w:r w:rsidR="00F87E30">
      <w:tab/>
    </w:r>
    <w:bookmarkStart w:id="126" w:name="_GoBack"/>
    <w:bookmarkEnd w:id="126"/>
    <w:r w:rsidRPr="00F87E30">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3AD76" w14:textId="3642AFAC" w:rsidR="0004310D" w:rsidRPr="00D2172C" w:rsidRDefault="0004310D" w:rsidP="00D2172C">
    <w:pPr>
      <w:pStyle w:val="IPPFooter"/>
      <w:rPr>
        <w:b w:val="0"/>
      </w:rPr>
    </w:pPr>
    <w:r w:rsidRPr="00714F8A">
      <w:t>International Plant Protection Convention</w:t>
    </w:r>
    <w:r>
      <w:tab/>
    </w:r>
    <w:r w:rsidRPr="005C3D8E">
      <w:rPr>
        <w:rFonts w:eastAsia="Arial" w:cs="Arial"/>
        <w:color w:val="000000"/>
        <w:szCs w:val="18"/>
      </w:rPr>
      <w:t xml:space="preserve">Page </w:t>
    </w:r>
    <w:r w:rsidRPr="005C3D8E">
      <w:rPr>
        <w:rFonts w:eastAsia="Arial" w:cs="Arial"/>
        <w:color w:val="000000"/>
        <w:szCs w:val="18"/>
      </w:rPr>
      <w:fldChar w:fldCharType="begin"/>
    </w:r>
    <w:r w:rsidRPr="005C3D8E">
      <w:rPr>
        <w:rFonts w:eastAsia="Arial" w:cs="Arial"/>
        <w:color w:val="000000"/>
        <w:szCs w:val="18"/>
      </w:rPr>
      <w:instrText xml:space="preserve"> PAGE </w:instrText>
    </w:r>
    <w:r w:rsidRPr="005C3D8E">
      <w:rPr>
        <w:rFonts w:eastAsia="Arial" w:cs="Arial"/>
        <w:color w:val="000000"/>
        <w:szCs w:val="18"/>
      </w:rPr>
      <w:fldChar w:fldCharType="separate"/>
    </w:r>
    <w:r w:rsidR="00F87E30">
      <w:rPr>
        <w:rFonts w:eastAsia="Arial" w:cs="Arial"/>
        <w:noProof/>
        <w:color w:val="000000"/>
        <w:szCs w:val="18"/>
      </w:rPr>
      <w:t>31</w:t>
    </w:r>
    <w:r w:rsidRPr="005C3D8E">
      <w:rPr>
        <w:rFonts w:eastAsia="Arial" w:cs="Arial"/>
        <w:color w:val="000000"/>
        <w:szCs w:val="18"/>
        <w:lang w:val="en-GB"/>
      </w:rPr>
      <w:fldChar w:fldCharType="end"/>
    </w:r>
    <w:r w:rsidRPr="005C3D8E">
      <w:rPr>
        <w:rFonts w:eastAsia="Arial" w:cs="Arial"/>
        <w:color w:val="000000"/>
        <w:szCs w:val="18"/>
      </w:rPr>
      <w:t xml:space="preserve"> of </w:t>
    </w:r>
    <w:r w:rsidRPr="005C3D8E">
      <w:rPr>
        <w:rFonts w:eastAsia="Arial" w:cs="Arial"/>
        <w:color w:val="000000"/>
        <w:szCs w:val="18"/>
      </w:rPr>
      <w:fldChar w:fldCharType="begin"/>
    </w:r>
    <w:r w:rsidRPr="005C3D8E">
      <w:rPr>
        <w:rFonts w:eastAsia="Arial" w:cs="Arial"/>
        <w:color w:val="000000"/>
        <w:szCs w:val="18"/>
      </w:rPr>
      <w:instrText xml:space="preserve"> NUMPAGES </w:instrText>
    </w:r>
    <w:r w:rsidRPr="005C3D8E">
      <w:rPr>
        <w:rFonts w:eastAsia="Arial" w:cs="Arial"/>
        <w:color w:val="000000"/>
        <w:szCs w:val="18"/>
      </w:rPr>
      <w:fldChar w:fldCharType="separate"/>
    </w:r>
    <w:r w:rsidR="00F87E30">
      <w:rPr>
        <w:rFonts w:eastAsia="Arial" w:cs="Arial"/>
        <w:noProof/>
        <w:color w:val="000000"/>
        <w:szCs w:val="18"/>
      </w:rPr>
      <w:t>37</w:t>
    </w:r>
    <w:r w:rsidRPr="005C3D8E">
      <w:rPr>
        <w:rFonts w:eastAsia="Arial" w:cs="Arial"/>
        <w:color w:val="000000"/>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16024" w14:textId="1B29C7BC" w:rsidR="0004310D" w:rsidRPr="00D2172C" w:rsidRDefault="0004310D" w:rsidP="00D2172C">
    <w:pPr>
      <w:pStyle w:val="IPPFooter"/>
      <w:rPr>
        <w:b w:val="0"/>
      </w:rPr>
    </w:pPr>
    <w:r w:rsidRPr="00714F8A">
      <w:t>Internati</w:t>
    </w:r>
    <w:r>
      <w:t>onal Plant Protection Convention</w:t>
    </w:r>
    <w:r>
      <w:tab/>
    </w:r>
    <w:r w:rsidRPr="00C80FED">
      <w:rPr>
        <w:rFonts w:eastAsia="Arial" w:cs="Arial"/>
        <w:color w:val="000000"/>
        <w:szCs w:val="18"/>
      </w:rPr>
      <w:t xml:space="preserve">Page </w:t>
    </w:r>
    <w:r w:rsidRPr="00C80FED">
      <w:rPr>
        <w:rFonts w:eastAsia="Arial" w:cs="Arial"/>
        <w:b w:val="0"/>
        <w:color w:val="000000"/>
        <w:szCs w:val="18"/>
      </w:rPr>
      <w:fldChar w:fldCharType="begin"/>
    </w:r>
    <w:r w:rsidRPr="00C80FED">
      <w:rPr>
        <w:rFonts w:eastAsia="Arial" w:cs="Arial"/>
        <w:color w:val="000000"/>
        <w:szCs w:val="18"/>
      </w:rPr>
      <w:instrText xml:space="preserve"> PAGE </w:instrText>
    </w:r>
    <w:r w:rsidRPr="00C80FED">
      <w:rPr>
        <w:rFonts w:eastAsia="Arial" w:cs="Arial"/>
        <w:b w:val="0"/>
        <w:color w:val="000000"/>
        <w:szCs w:val="18"/>
      </w:rPr>
      <w:fldChar w:fldCharType="separate"/>
    </w:r>
    <w:r w:rsidR="00F87E30">
      <w:rPr>
        <w:rFonts w:eastAsia="Arial" w:cs="Arial"/>
        <w:noProof/>
        <w:color w:val="000000"/>
        <w:szCs w:val="18"/>
      </w:rPr>
      <w:t>1</w:t>
    </w:r>
    <w:r w:rsidRPr="00C80FED">
      <w:rPr>
        <w:rFonts w:eastAsia="Arial" w:cs="Arial"/>
        <w:b w:val="0"/>
        <w:color w:val="000000"/>
        <w:szCs w:val="18"/>
      </w:rPr>
      <w:fldChar w:fldCharType="end"/>
    </w:r>
    <w:r w:rsidRPr="00C80FED">
      <w:rPr>
        <w:rFonts w:eastAsia="Arial" w:cs="Arial"/>
        <w:color w:val="000000"/>
        <w:szCs w:val="18"/>
      </w:rPr>
      <w:t xml:space="preserve"> of </w:t>
    </w:r>
    <w:r w:rsidRPr="00C80FED">
      <w:rPr>
        <w:rFonts w:eastAsia="Arial" w:cs="Arial"/>
        <w:b w:val="0"/>
        <w:color w:val="000000"/>
        <w:szCs w:val="18"/>
      </w:rPr>
      <w:fldChar w:fldCharType="begin"/>
    </w:r>
    <w:r w:rsidRPr="00C80FED">
      <w:rPr>
        <w:rFonts w:eastAsia="Arial" w:cs="Arial"/>
        <w:color w:val="000000"/>
        <w:szCs w:val="18"/>
      </w:rPr>
      <w:instrText xml:space="preserve"> NUMPAGES </w:instrText>
    </w:r>
    <w:r w:rsidRPr="00C80FED">
      <w:rPr>
        <w:rFonts w:eastAsia="Arial" w:cs="Arial"/>
        <w:b w:val="0"/>
        <w:color w:val="000000"/>
        <w:szCs w:val="18"/>
      </w:rPr>
      <w:fldChar w:fldCharType="separate"/>
    </w:r>
    <w:r w:rsidR="00F87E30">
      <w:rPr>
        <w:rFonts w:eastAsia="Arial" w:cs="Arial"/>
        <w:noProof/>
        <w:color w:val="000000"/>
        <w:szCs w:val="18"/>
      </w:rPr>
      <w:t>37</w:t>
    </w:r>
    <w:r w:rsidRPr="00C80FED">
      <w:rPr>
        <w:rFonts w:eastAsia="Arial" w:cs="Arial"/>
        <w:b w:val="0"/>
        <w:color w:val="000000"/>
        <w:szCs w:val="18"/>
      </w:rPr>
      <w:fldChar w:fldCharType="end"/>
    </w:r>
    <w:r>
      <w:rPr>
        <w:rFonts w:eastAsia="Arial" w:cs="Arial"/>
        <w:color w:val="000000"/>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EF5D3" w14:textId="77777777" w:rsidR="0004310D" w:rsidRDefault="0004310D">
      <w:r>
        <w:separator/>
      </w:r>
    </w:p>
  </w:footnote>
  <w:footnote w:type="continuationSeparator" w:id="0">
    <w:p w14:paraId="6A468D7D" w14:textId="77777777" w:rsidR="0004310D" w:rsidRDefault="0004310D">
      <w:r>
        <w:rPr>
          <w:rStyle w:val="PleaseReviewParagraphId"/>
        </w:rPr>
        <w:t>[]</w:t>
      </w:r>
      <w:r>
        <w:continuationSeparator/>
      </w:r>
    </w:p>
  </w:footnote>
  <w:footnote w:type="continuationNotice" w:id="1">
    <w:p w14:paraId="6130D327" w14:textId="77777777" w:rsidR="0004310D" w:rsidRDefault="0004310D">
      <w:r>
        <w:rPr>
          <w:rStyle w:val="FootnoteReference"/>
        </w:rPr>
        <w:footnoteRef/>
      </w:r>
      <w:r>
        <w:rPr>
          <w:rStyle w:val="PleaseReviewParagraphId"/>
        </w:rPr>
        <w:t>[]</w:t>
      </w:r>
    </w:p>
  </w:footnote>
  <w:footnote w:id="2">
    <w:p w14:paraId="263C9041" w14:textId="24F9879F" w:rsidR="0004310D" w:rsidRDefault="0004310D" w:rsidP="00A66AEE">
      <w:pPr>
        <w:pStyle w:val="IPPFootnote"/>
        <w:rPr>
          <w:lang w:val="en-US"/>
        </w:rPr>
      </w:pPr>
      <w:r>
        <w:rPr>
          <w:rStyle w:val="FootnoteReference"/>
        </w:rPr>
        <w:footnoteRef/>
      </w:r>
      <w:r>
        <w:t xml:space="preserve"> The use of names of reagents, chemicals or equipment in these diagnostic protocols implies no approval of them to the exclusion of others that may also be suitable. </w:t>
      </w:r>
    </w:p>
  </w:footnote>
  <w:footnote w:id="3">
    <w:p w14:paraId="7C76CD00" w14:textId="13D49217" w:rsidR="0004310D" w:rsidRDefault="0004310D" w:rsidP="00D1016B">
      <w:pPr>
        <w:pStyle w:val="IPPFootnote"/>
        <w:rPr>
          <w:lang w:val="en-US"/>
        </w:rPr>
      </w:pPr>
      <w:r>
        <w:rPr>
          <w:rStyle w:val="FootnoteReference"/>
        </w:rPr>
        <w:footnoteRef/>
      </w:r>
      <w:r>
        <w:t xml:space="preserve"> When using LAMP on a regular basis in an area which has a patent system such as Japan (Patent Nos. 3,313,358, 3,974,441 and 4,139,424), the United States of America (US6,410,278, US6,974,670 and US7,494,790), the European Union (Nos. 1,020,534, 1,873,260, 2,045,337 and 2,287,338), China (ZL008818262), the Republic of Korea (Patent No, 10-0612551), Australia (No. 779160), and the Russian Federation (No. 2,252,964), it is necessary for users to receive a license from Eiken Chemical Co., Ltd. before use.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BA496" w14:textId="79974114" w:rsidR="0004310D" w:rsidRPr="0004310D" w:rsidRDefault="00F87E30" w:rsidP="00F87E30">
    <w:pPr>
      <w:pStyle w:val="IPPHeader"/>
      <w:rPr>
        <w:b/>
      </w:rPr>
    </w:pPr>
    <w:r>
      <w:rPr>
        <w:rFonts w:eastAsia="Times"/>
        <w:bCs/>
      </w:rPr>
      <w:t>2021-003</w:t>
    </w:r>
    <w:r>
      <w:t xml:space="preserve"> </w:t>
    </w:r>
    <w:r w:rsidR="00F9118E">
      <w:t>(6.1)</w:t>
    </w:r>
    <w:r>
      <w:tab/>
    </w:r>
    <w:r w:rsidR="0004310D" w:rsidRPr="0004310D">
      <w:rPr>
        <w:rStyle w:val="Strong"/>
        <w:rFonts w:cs="Arial"/>
        <w:b w:val="0"/>
        <w:szCs w:val="18"/>
      </w:rPr>
      <w:t xml:space="preserve">Draft </w:t>
    </w:r>
    <w:r w:rsidR="0004310D" w:rsidRPr="0004310D">
      <w:t xml:space="preserve">Revision of DP 25: </w:t>
    </w:r>
    <w:r w:rsidR="0004310D" w:rsidRPr="0004310D">
      <w:rPr>
        <w:i/>
      </w:rPr>
      <w:t>Xylella fastidiosa</w:t>
    </w:r>
    <w:r w:rsidR="0004310D">
      <w:rPr>
        <w:i/>
      </w:rPr>
      <w:t xml:space="preserve"> </w:t>
    </w:r>
    <w:r w:rsidR="0004310D" w:rsidRPr="0004310D">
      <w:t>(2021-003)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A5608" w14:textId="6277BF06" w:rsidR="0004310D" w:rsidRPr="00D2172C" w:rsidRDefault="0004310D" w:rsidP="00F87E30">
    <w:pPr>
      <w:pStyle w:val="IPPHeader"/>
      <w:rPr>
        <w:b/>
      </w:rPr>
    </w:pPr>
    <w:r w:rsidRPr="0004310D">
      <w:rPr>
        <w:rStyle w:val="Strong"/>
        <w:rFonts w:cs="Arial"/>
        <w:b w:val="0"/>
        <w:szCs w:val="18"/>
      </w:rPr>
      <w:t xml:space="preserve">Draft </w:t>
    </w:r>
    <w:r w:rsidRPr="0004310D">
      <w:t xml:space="preserve">Revision of DP 25: </w:t>
    </w:r>
    <w:r w:rsidRPr="0004310D">
      <w:rPr>
        <w:i/>
      </w:rPr>
      <w:t>Xylella fastidiosa</w:t>
    </w:r>
    <w:r>
      <w:rPr>
        <w:i/>
      </w:rPr>
      <w:t xml:space="preserve"> </w:t>
    </w:r>
    <w:r w:rsidRPr="0004310D">
      <w:t>(2021-003</w:t>
    </w:r>
    <w:r w:rsidRPr="00F9118E">
      <w:t>)</w:t>
    </w:r>
    <w:r w:rsidR="00F87E30">
      <w:tab/>
    </w:r>
    <w:r w:rsidR="00F87E30">
      <w:rPr>
        <w:rFonts w:eastAsia="Times"/>
        <w:bCs/>
      </w:rPr>
      <w:t>2021-003</w:t>
    </w:r>
    <w:r w:rsidR="00F87E30" w:rsidRPr="00F9118E">
      <w:t xml:space="preserve"> </w:t>
    </w:r>
    <w:r w:rsidR="00F9118E" w:rsidRPr="00F9118E">
      <w:t>(6</w:t>
    </w:r>
    <w:r w:rsidR="00F9118E">
      <w:t>.1</w:t>
    </w:r>
    <w:r w:rsidR="00F87E30">
      <w:t>)</w:t>
    </w:r>
    <w:r w:rsidRPr="0004310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27C91" w14:textId="0D1796E9" w:rsidR="0004310D" w:rsidRDefault="0004310D" w:rsidP="0004310D">
    <w:pPr>
      <w:pBdr>
        <w:bottom w:val="single" w:sz="4" w:space="4" w:color="auto"/>
      </w:pBdr>
      <w:tabs>
        <w:tab w:val="left" w:pos="1134"/>
        <w:tab w:val="left" w:pos="6923"/>
      </w:tabs>
      <w:jc w:val="left"/>
      <w:rPr>
        <w:rFonts w:ascii="Arial" w:hAnsi="Arial"/>
        <w:sz w:val="18"/>
        <w:lang w:val="en-US"/>
      </w:rPr>
    </w:pPr>
    <w:r w:rsidRPr="005C3D8E">
      <w:rPr>
        <w:rFonts w:ascii="Arial" w:hAnsi="Arial"/>
        <w:noProof/>
        <w:sz w:val="18"/>
        <w:lang w:val="en-US"/>
      </w:rPr>
      <w:drawing>
        <wp:anchor distT="0" distB="0" distL="114300" distR="114300" simplePos="0" relativeHeight="251656704" behindDoc="0" locked="0" layoutInCell="1" allowOverlap="1" wp14:anchorId="57AF2328" wp14:editId="74E48999">
          <wp:simplePos x="0" y="0"/>
          <wp:positionH relativeFrom="margin">
            <wp:posOffset>8890</wp:posOffset>
          </wp:positionH>
          <wp:positionV relativeFrom="margin">
            <wp:posOffset>-444500</wp:posOffset>
          </wp:positionV>
          <wp:extent cx="647065" cy="333375"/>
          <wp:effectExtent l="0" t="0" r="635" b="9525"/>
          <wp:wrapSquare wrapText="bothSides"/>
          <wp:docPr id="7" name="Picture 7"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CLogo"/>
                  <pic:cNvPicPr>
                    <a:picLocks noChangeAspect="1" noChangeArrowheads="1"/>
                  </pic:cNvPicPr>
                </pic:nvPicPr>
                <pic:blipFill>
                  <a:blip r:embed="rId1"/>
                  <a:srcRect/>
                  <a:stretch>
                    <a:fillRect/>
                  </a:stretch>
                </pic:blipFill>
                <pic:spPr bwMode="auto">
                  <a:xfrm>
                    <a:off x="0" y="0"/>
                    <a:ext cx="647065" cy="333375"/>
                  </a:xfrm>
                  <a:prstGeom prst="rect">
                    <a:avLst/>
                  </a:prstGeom>
                  <a:noFill/>
                  <a:ln w="9525">
                    <a:noFill/>
                    <a:miter lim="800000"/>
                    <a:headEnd/>
                    <a:tailEnd/>
                  </a:ln>
                </pic:spPr>
              </pic:pic>
            </a:graphicData>
          </a:graphic>
        </wp:anchor>
      </w:drawing>
    </w:r>
    <w:r w:rsidRPr="005C3D8E">
      <w:rPr>
        <w:rFonts w:ascii="Arial" w:hAnsi="Arial"/>
        <w:noProof/>
        <w:sz w:val="18"/>
        <w:lang w:val="en-US"/>
      </w:rPr>
      <w:drawing>
        <wp:anchor distT="0" distB="0" distL="114300" distR="114300" simplePos="0" relativeHeight="251657728" behindDoc="0" locked="0" layoutInCell="1" allowOverlap="0" wp14:anchorId="7E7FAB23" wp14:editId="02D567F6">
          <wp:simplePos x="0" y="0"/>
          <wp:positionH relativeFrom="page">
            <wp:posOffset>3175</wp:posOffset>
          </wp:positionH>
          <wp:positionV relativeFrom="paragraph">
            <wp:posOffset>-557473</wp:posOffset>
          </wp:positionV>
          <wp:extent cx="7555925" cy="463550"/>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pc-banner-background-web-1.jpg"/>
                  <pic:cNvPicPr/>
                </pic:nvPicPr>
                <pic:blipFill>
                  <a:blip r:embed="rId2">
                    <a:extLst>
                      <a:ext uri="{28A0092B-C50C-407E-A947-70E740481C1C}">
                        <a14:useLocalDpi xmlns:a14="http://schemas.microsoft.com/office/drawing/2010/main" val="0"/>
                      </a:ext>
                    </a:extLst>
                  </a:blip>
                  <a:stretch>
                    <a:fillRect/>
                  </a:stretch>
                </pic:blipFill>
                <pic:spPr>
                  <a:xfrm>
                    <a:off x="0" y="0"/>
                    <a:ext cx="7555925" cy="463550"/>
                  </a:xfrm>
                  <a:prstGeom prst="rect">
                    <a:avLst/>
                  </a:prstGeom>
                </pic:spPr>
              </pic:pic>
            </a:graphicData>
          </a:graphic>
        </wp:anchor>
      </w:drawing>
    </w:r>
    <w:r w:rsidRPr="005C3D8E">
      <w:rPr>
        <w:rFonts w:ascii="Arial" w:hAnsi="Arial"/>
        <w:sz w:val="18"/>
        <w:lang w:val="en-US"/>
      </w:rPr>
      <w:t>International Plant Protection Convention</w:t>
    </w:r>
    <w:r w:rsidR="000D78FD">
      <w:rPr>
        <w:rFonts w:ascii="Arial" w:hAnsi="Arial"/>
        <w:sz w:val="18"/>
        <w:lang w:val="en-US"/>
      </w:rPr>
      <w:t xml:space="preserve">                 </w:t>
    </w:r>
    <w:r w:rsidR="00E477DC">
      <w:rPr>
        <w:rFonts w:ascii="Arial" w:hAnsi="Arial"/>
        <w:sz w:val="18"/>
        <w:lang w:val="en-US"/>
      </w:rPr>
      <w:t xml:space="preserve">                               </w:t>
    </w:r>
    <w:r w:rsidR="000D78FD">
      <w:rPr>
        <w:rFonts w:ascii="Arial" w:hAnsi="Arial"/>
        <w:sz w:val="18"/>
        <w:lang w:val="en-US"/>
      </w:rPr>
      <w:t xml:space="preserve"> </w:t>
    </w:r>
    <w:r w:rsidR="00F87E30">
      <w:rPr>
        <w:rFonts w:ascii="Arial" w:hAnsi="Arial"/>
        <w:sz w:val="18"/>
        <w:lang w:val="en-US"/>
      </w:rPr>
      <w:tab/>
    </w:r>
    <w:r w:rsidR="00F87E30">
      <w:rPr>
        <w:rFonts w:ascii="Arial" w:hAnsi="Arial"/>
        <w:sz w:val="18"/>
        <w:lang w:val="en-US"/>
      </w:rPr>
      <w:tab/>
    </w:r>
    <w:r w:rsidR="00F87E30" w:rsidRPr="00F87E30">
      <w:rPr>
        <w:rFonts w:ascii="Arial" w:hAnsi="Arial"/>
        <w:sz w:val="18"/>
        <w:lang w:val="en-US"/>
      </w:rPr>
      <w:t>2021-003</w:t>
    </w:r>
  </w:p>
  <w:p w14:paraId="642A4441" w14:textId="78DBFA02" w:rsidR="0004310D" w:rsidRPr="0004310D" w:rsidRDefault="0004310D" w:rsidP="0004310D">
    <w:pPr>
      <w:pBdr>
        <w:bottom w:val="single" w:sz="4" w:space="4" w:color="auto"/>
      </w:pBdr>
      <w:tabs>
        <w:tab w:val="left" w:pos="1134"/>
        <w:tab w:val="left" w:pos="6766"/>
        <w:tab w:val="right" w:pos="9072"/>
      </w:tabs>
      <w:jc w:val="left"/>
      <w:rPr>
        <w:rFonts w:ascii="Arial" w:hAnsi="Arial"/>
        <w:sz w:val="18"/>
        <w:lang w:val="en-US"/>
      </w:rPr>
    </w:pPr>
    <w:r w:rsidRPr="0004310D">
      <w:rPr>
        <w:rFonts w:ascii="Arial" w:hAnsi="Arial"/>
        <w:sz w:val="18"/>
        <w:lang w:val="en-US"/>
      </w:rPr>
      <w:t xml:space="preserve">Draft Revision of DP 25: </w:t>
    </w:r>
    <w:r w:rsidRPr="0004310D">
      <w:rPr>
        <w:rFonts w:ascii="Arial" w:hAnsi="Arial"/>
        <w:i/>
        <w:sz w:val="18"/>
        <w:lang w:val="en-US"/>
      </w:rPr>
      <w:t xml:space="preserve">Xylella fastidiosa (2021-003)                                            </w:t>
    </w:r>
    <w:r w:rsidRPr="0004310D">
      <w:rPr>
        <w:rFonts w:ascii="Arial" w:hAnsi="Arial"/>
        <w:i/>
        <w:sz w:val="18"/>
      </w:rPr>
      <w:t xml:space="preserve">Agenda item: </w:t>
    </w:r>
    <w:r w:rsidR="00F9118E">
      <w:rPr>
        <w:rFonts w:ascii="Arial" w:hAnsi="Arial"/>
        <w:i/>
        <w:sz w:val="18"/>
      </w:rPr>
      <w:t>6.1</w:t>
    </w:r>
    <w:r w:rsidR="00F87E30">
      <w:rPr>
        <w:rFonts w:ascii="Arial" w:hAnsi="Arial"/>
        <w:i/>
        <w:sz w:val="18"/>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F04C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E4C3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366B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EAF7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0CF7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3A9F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2EE9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8898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0CDD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9A25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C0A6C"/>
    <w:multiLevelType w:val="multilevel"/>
    <w:tmpl w:val="06E871E4"/>
    <w:numStyleLink w:val="IPPParagraphnumberedlist"/>
  </w:abstractNum>
  <w:abstractNum w:abstractNumId="11"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C8411D"/>
    <w:multiLevelType w:val="hybridMultilevel"/>
    <w:tmpl w:val="2026CF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C3C7F15"/>
    <w:multiLevelType w:val="hybridMultilevel"/>
    <w:tmpl w:val="56F6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AB3264"/>
    <w:multiLevelType w:val="multilevel"/>
    <w:tmpl w:val="C3C4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F261E4"/>
    <w:multiLevelType w:val="multilevel"/>
    <w:tmpl w:val="6FDA60A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7F54B64"/>
    <w:multiLevelType w:val="multilevel"/>
    <w:tmpl w:val="5AEC6DA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27563FCE"/>
    <w:multiLevelType w:val="multilevel"/>
    <w:tmpl w:val="182CCF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8115AA6"/>
    <w:multiLevelType w:val="hybridMultilevel"/>
    <w:tmpl w:val="A96621D2"/>
    <w:lvl w:ilvl="0" w:tplc="4970D5CE">
      <w:start w:val="1"/>
      <w:numFmt w:val="bullet"/>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E73A19"/>
    <w:multiLevelType w:val="hybridMultilevel"/>
    <w:tmpl w:val="1040ED64"/>
    <w:lvl w:ilvl="0" w:tplc="4970D5CE">
      <w:start w:val="1"/>
      <w:numFmt w:val="bullet"/>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676FB7"/>
    <w:multiLevelType w:val="hybridMultilevel"/>
    <w:tmpl w:val="010A4B88"/>
    <w:lvl w:ilvl="0" w:tplc="4970D5CE">
      <w:start w:val="1"/>
      <w:numFmt w:val="bullet"/>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987147"/>
    <w:multiLevelType w:val="multilevel"/>
    <w:tmpl w:val="EBD8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23"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0214CB"/>
    <w:multiLevelType w:val="multilevel"/>
    <w:tmpl w:val="D124D97C"/>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3A776E5"/>
    <w:multiLevelType w:val="hybridMultilevel"/>
    <w:tmpl w:val="D076D0AE"/>
    <w:lvl w:ilvl="0" w:tplc="599C137E">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15:restartNumberingAfterBreak="0">
    <w:nsid w:val="59880E93"/>
    <w:multiLevelType w:val="hybridMultilevel"/>
    <w:tmpl w:val="AA2E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961CD"/>
    <w:multiLevelType w:val="hybridMultilevel"/>
    <w:tmpl w:val="DFAC73DE"/>
    <w:lvl w:ilvl="0" w:tplc="AD90D94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925362"/>
    <w:multiLevelType w:val="multilevel"/>
    <w:tmpl w:val="4054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54850"/>
    <w:multiLevelType w:val="hybridMultilevel"/>
    <w:tmpl w:val="E196BC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597BB7"/>
    <w:multiLevelType w:val="multilevel"/>
    <w:tmpl w:val="BD0CF61A"/>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72F327FB"/>
    <w:multiLevelType w:val="hybridMultilevel"/>
    <w:tmpl w:val="FD7E9608"/>
    <w:lvl w:ilvl="0" w:tplc="4970D5CE">
      <w:start w:val="1"/>
      <w:numFmt w:val="bullet"/>
      <w:lvlText w:val="-"/>
      <w:lvlJc w:val="left"/>
      <w:pPr>
        <w:ind w:left="720" w:hanging="360"/>
      </w:pPr>
      <w:rPr>
        <w:rFonts w:ascii="Times New Roman" w:hAnsi="Times New Roman" w:cs="Times New Roman"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4E2401"/>
    <w:multiLevelType w:val="hybridMultilevel"/>
    <w:tmpl w:val="DE2AAA16"/>
    <w:lvl w:ilvl="0" w:tplc="4970D5CE">
      <w:start w:val="1"/>
      <w:numFmt w:val="bullet"/>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E37372"/>
    <w:multiLevelType w:val="hybridMultilevel"/>
    <w:tmpl w:val="2026CF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D6557BF"/>
    <w:multiLevelType w:val="hybridMultilevel"/>
    <w:tmpl w:val="FABA60E6"/>
    <w:lvl w:ilvl="0" w:tplc="4970D5CE">
      <w:start w:val="1"/>
      <w:numFmt w:val="bullet"/>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9"/>
  </w:num>
  <w:num w:numId="2">
    <w:abstractNumId w:val="11"/>
  </w:num>
  <w:num w:numId="3">
    <w:abstractNumId w:val="22"/>
  </w:num>
  <w:num w:numId="4">
    <w:abstractNumId w:val="34"/>
  </w:num>
  <w:num w:numId="5">
    <w:abstractNumId w:val="25"/>
  </w:num>
  <w:num w:numId="6">
    <w:abstractNumId w:val="23"/>
  </w:num>
  <w:num w:numId="7">
    <w:abstractNumId w:val="38"/>
  </w:num>
  <w:num w:numId="8">
    <w:abstractNumId w:val="10"/>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9">
    <w:abstractNumId w:val="31"/>
  </w:num>
  <w:num w:numId="10">
    <w:abstractNumId w:val="33"/>
  </w:num>
  <w:num w:numId="11">
    <w:abstractNumId w:val="20"/>
  </w:num>
  <w:num w:numId="12">
    <w:abstractNumId w:val="19"/>
  </w:num>
  <w:num w:numId="13">
    <w:abstractNumId w:val="35"/>
  </w:num>
  <w:num w:numId="14">
    <w:abstractNumId w:val="37"/>
  </w:num>
  <w:num w:numId="15">
    <w:abstractNumId w:val="18"/>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5"/>
  </w:num>
  <w:num w:numId="35">
    <w:abstractNumId w:val="12"/>
  </w:num>
  <w:num w:numId="36">
    <w:abstractNumId w:val="21"/>
  </w:num>
  <w:num w:numId="37">
    <w:abstractNumId w:val="28"/>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7"/>
  </w:num>
  <w:num w:numId="41">
    <w:abstractNumId w:val="36"/>
  </w:num>
  <w:num w:numId="42">
    <w:abstractNumId w:val="14"/>
  </w:num>
  <w:num w:numId="43">
    <w:abstractNumId w:val="30"/>
  </w:num>
  <w:num w:numId="44">
    <w:abstractNumId w:val="13"/>
  </w:num>
  <w:num w:numId="45">
    <w:abstractNumId w:val="2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esbron">
    <w15:presenceInfo w15:providerId="Windows Live" w15:userId="690184598e416c6d"/>
  </w15:person>
  <w15:person w15:author="LEGENDRE Bruno">
    <w15:presenceInfo w15:providerId="AD" w15:userId="S-1-5-21-1482476501-1993962763-1801674531-130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it-IT" w:vendorID="64" w:dllVersion="0" w:nlCheck="1" w:checkStyle="0"/>
  <w:activeWritingStyle w:appName="MSWord" w:lang="en-GB" w:vendorID="64" w:dllVersion="0" w:nlCheck="1" w:checkStyle="0"/>
  <w:activeWritingStyle w:appName="MSWord" w:lang="en-NZ" w:vendorID="64" w:dllVersion="0" w:nlCheck="1" w:checkStyle="0"/>
  <w:activeWritingStyle w:appName="MSWord" w:lang="en-US" w:vendorID="64" w:dllVersion="0" w:nlCheck="1" w:checkStyle="0"/>
  <w:activeWritingStyle w:appName="MSWord" w:lang="es-ES" w:vendorID="64" w:dllVersion="0" w:nlCheck="1" w:checkStyle="1"/>
  <w:activeWritingStyle w:appName="MSWord" w:lang="de-DE" w:vendorID="64" w:dllVersion="0" w:nlCheck="1" w:checkStyle="1"/>
  <w:activeWritingStyle w:appName="MSWord" w:lang="es-SV" w:vendorID="64" w:dllVersion="0" w:nlCheck="1" w:checkStyle="0"/>
  <w:activeWritingStyle w:appName="MSWord" w:lang="fr-FR" w:vendorID="64" w:dllVersion="0" w:nlCheck="1" w:checkStyle="0"/>
  <w:activeWritingStyle w:appName="MSWord" w:lang="nl-NL"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it-IT" w:vendorID="64" w:dllVersion="6" w:nlCheck="1" w:checkStyle="0"/>
  <w:activeWritingStyle w:appName="MSWord" w:lang="es-ES" w:vendorID="64" w:dllVersion="6" w:nlCheck="1" w:checkStyle="0"/>
  <w:activeWritingStyle w:appName="MSWord" w:lang="en-NZ" w:vendorID="64" w:dllVersion="6" w:nlCheck="1" w:checkStyle="1"/>
  <w:activeWritingStyle w:appName="MSWord" w:lang="es-SV"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s-SV" w:vendorID="64" w:dllVersion="4096" w:nlCheck="1" w:checkStyle="0"/>
  <w:activeWritingStyle w:appName="MSWord" w:lang="en-NZ" w:vendorID="64" w:dllVersion="4096" w:nlCheck="1" w:checkStyle="0"/>
  <w:activeWritingStyle w:appName="MSWord" w:lang="fr-FR" w:vendorID="64" w:dllVersion="4096" w:nlCheck="1" w:checkStyle="0"/>
  <w:activeWritingStyle w:appName="MSWord" w:lang="en-AU" w:vendorID="64" w:dllVersion="6" w:nlCheck="1" w:checkStyle="1"/>
  <w:activeWritingStyle w:appName="MSWord" w:lang="es-AR" w:vendorID="64" w:dllVersion="6" w:nlCheck="1" w:checkStyle="0"/>
  <w:activeWritingStyle w:appName="MSWord" w:lang="es-AR" w:vendorID="64" w:dllVersion="4096" w:nlCheck="1" w:checkStyle="0"/>
  <w:activeWritingStyle w:appName="MSWord" w:lang="es-ES" w:vendorID="64" w:dllVersion="4096" w:nlCheck="1" w:checkStyle="0"/>
  <w:activeWritingStyle w:appName="MSWord" w:lang="nl-NL" w:vendorID="64" w:dllVersion="4096" w:nlCheck="1" w:checkStyle="0"/>
  <w:activeWritingStyle w:appName="MSWord" w:lang="nl-NL" w:vendorID="64" w:dllVersion="6"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fr-BE" w:vendorID="64" w:dllVersion="131078" w:nlCheck="1" w:checkStyle="0"/>
  <w:attachedTemplate r:id="rId1"/>
  <w:linkStyles/>
  <w:defaultTabStop w:val="720"/>
  <w:hyphenationZone w:val="425"/>
  <w:evenAndOddHeaders/>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ztTA0MTM3MDK1sDBV0lEKTi0uzszPAykwrwUA3CIA/ywAAAA="/>
  </w:docVars>
  <w:rsids>
    <w:rsidRoot w:val="007A7A97"/>
    <w:rsid w:val="00000EF3"/>
    <w:rsid w:val="000019EF"/>
    <w:rsid w:val="00001BC8"/>
    <w:rsid w:val="0000232D"/>
    <w:rsid w:val="000024AB"/>
    <w:rsid w:val="00002BEC"/>
    <w:rsid w:val="00002DDA"/>
    <w:rsid w:val="000036E7"/>
    <w:rsid w:val="000053E9"/>
    <w:rsid w:val="000058B8"/>
    <w:rsid w:val="00006321"/>
    <w:rsid w:val="000078B0"/>
    <w:rsid w:val="00011704"/>
    <w:rsid w:val="00011FAE"/>
    <w:rsid w:val="00012147"/>
    <w:rsid w:val="0001476E"/>
    <w:rsid w:val="0001640B"/>
    <w:rsid w:val="00016BAC"/>
    <w:rsid w:val="00016DF6"/>
    <w:rsid w:val="0002006C"/>
    <w:rsid w:val="00021436"/>
    <w:rsid w:val="00021F04"/>
    <w:rsid w:val="00022A6F"/>
    <w:rsid w:val="000237DB"/>
    <w:rsid w:val="00025DE6"/>
    <w:rsid w:val="00026E9C"/>
    <w:rsid w:val="00027E9D"/>
    <w:rsid w:val="00030B6F"/>
    <w:rsid w:val="0003262A"/>
    <w:rsid w:val="0003262D"/>
    <w:rsid w:val="00032916"/>
    <w:rsid w:val="00032937"/>
    <w:rsid w:val="000330D6"/>
    <w:rsid w:val="000333CD"/>
    <w:rsid w:val="000336D9"/>
    <w:rsid w:val="00033B1F"/>
    <w:rsid w:val="00034325"/>
    <w:rsid w:val="00034E87"/>
    <w:rsid w:val="00036A73"/>
    <w:rsid w:val="00040405"/>
    <w:rsid w:val="0004044B"/>
    <w:rsid w:val="00041DBB"/>
    <w:rsid w:val="00042CA9"/>
    <w:rsid w:val="0004310D"/>
    <w:rsid w:val="00043980"/>
    <w:rsid w:val="00043E4A"/>
    <w:rsid w:val="000441C1"/>
    <w:rsid w:val="0004449E"/>
    <w:rsid w:val="0004527D"/>
    <w:rsid w:val="00045B52"/>
    <w:rsid w:val="00046232"/>
    <w:rsid w:val="000464A1"/>
    <w:rsid w:val="0004660D"/>
    <w:rsid w:val="00046BA9"/>
    <w:rsid w:val="00046E56"/>
    <w:rsid w:val="0004749F"/>
    <w:rsid w:val="00050F43"/>
    <w:rsid w:val="00052A18"/>
    <w:rsid w:val="000530A5"/>
    <w:rsid w:val="00053897"/>
    <w:rsid w:val="00053D2A"/>
    <w:rsid w:val="00053F11"/>
    <w:rsid w:val="00054E1F"/>
    <w:rsid w:val="00056147"/>
    <w:rsid w:val="00057C35"/>
    <w:rsid w:val="00057EB1"/>
    <w:rsid w:val="000603EC"/>
    <w:rsid w:val="00060B37"/>
    <w:rsid w:val="0006190C"/>
    <w:rsid w:val="00062BF8"/>
    <w:rsid w:val="00063339"/>
    <w:rsid w:val="00063520"/>
    <w:rsid w:val="00064603"/>
    <w:rsid w:val="0006640E"/>
    <w:rsid w:val="00067A06"/>
    <w:rsid w:val="00067B2E"/>
    <w:rsid w:val="00067C84"/>
    <w:rsid w:val="000710AA"/>
    <w:rsid w:val="000719E0"/>
    <w:rsid w:val="000721D2"/>
    <w:rsid w:val="000722D6"/>
    <w:rsid w:val="0007413A"/>
    <w:rsid w:val="000749A4"/>
    <w:rsid w:val="00074F4E"/>
    <w:rsid w:val="00075341"/>
    <w:rsid w:val="0007572C"/>
    <w:rsid w:val="00076105"/>
    <w:rsid w:val="00076158"/>
    <w:rsid w:val="00080991"/>
    <w:rsid w:val="00080ADD"/>
    <w:rsid w:val="0008198A"/>
    <w:rsid w:val="000825D3"/>
    <w:rsid w:val="00083232"/>
    <w:rsid w:val="0008432F"/>
    <w:rsid w:val="000852BA"/>
    <w:rsid w:val="000857ED"/>
    <w:rsid w:val="000860F1"/>
    <w:rsid w:val="0008674D"/>
    <w:rsid w:val="00087899"/>
    <w:rsid w:val="000906D7"/>
    <w:rsid w:val="00090CF7"/>
    <w:rsid w:val="00090DE9"/>
    <w:rsid w:val="00091D97"/>
    <w:rsid w:val="0009265D"/>
    <w:rsid w:val="00093311"/>
    <w:rsid w:val="00094144"/>
    <w:rsid w:val="00094F06"/>
    <w:rsid w:val="00096DE3"/>
    <w:rsid w:val="00096ED7"/>
    <w:rsid w:val="00097045"/>
    <w:rsid w:val="0009712D"/>
    <w:rsid w:val="00097695"/>
    <w:rsid w:val="00097F9E"/>
    <w:rsid w:val="000A2624"/>
    <w:rsid w:val="000A4AA1"/>
    <w:rsid w:val="000A53E1"/>
    <w:rsid w:val="000A63B6"/>
    <w:rsid w:val="000A7150"/>
    <w:rsid w:val="000B03E3"/>
    <w:rsid w:val="000B18EB"/>
    <w:rsid w:val="000B197F"/>
    <w:rsid w:val="000B1A2E"/>
    <w:rsid w:val="000B1F0D"/>
    <w:rsid w:val="000B24EB"/>
    <w:rsid w:val="000B2742"/>
    <w:rsid w:val="000B3A65"/>
    <w:rsid w:val="000B7797"/>
    <w:rsid w:val="000C01E7"/>
    <w:rsid w:val="000C02FC"/>
    <w:rsid w:val="000C0EE2"/>
    <w:rsid w:val="000C1C08"/>
    <w:rsid w:val="000C25DC"/>
    <w:rsid w:val="000C2AA0"/>
    <w:rsid w:val="000C319B"/>
    <w:rsid w:val="000C3FC8"/>
    <w:rsid w:val="000C4D2E"/>
    <w:rsid w:val="000C56DA"/>
    <w:rsid w:val="000C5726"/>
    <w:rsid w:val="000C6126"/>
    <w:rsid w:val="000C6E28"/>
    <w:rsid w:val="000C6E2D"/>
    <w:rsid w:val="000C72BD"/>
    <w:rsid w:val="000C7A0A"/>
    <w:rsid w:val="000D07CE"/>
    <w:rsid w:val="000D1FDC"/>
    <w:rsid w:val="000D2137"/>
    <w:rsid w:val="000D26D1"/>
    <w:rsid w:val="000D275E"/>
    <w:rsid w:val="000D2C36"/>
    <w:rsid w:val="000D30A5"/>
    <w:rsid w:val="000D387B"/>
    <w:rsid w:val="000D39D3"/>
    <w:rsid w:val="000D3C15"/>
    <w:rsid w:val="000D3D85"/>
    <w:rsid w:val="000D4E92"/>
    <w:rsid w:val="000D559F"/>
    <w:rsid w:val="000D5985"/>
    <w:rsid w:val="000D6582"/>
    <w:rsid w:val="000D681C"/>
    <w:rsid w:val="000D7006"/>
    <w:rsid w:val="000D78FD"/>
    <w:rsid w:val="000E03A3"/>
    <w:rsid w:val="000E04E6"/>
    <w:rsid w:val="000E090D"/>
    <w:rsid w:val="000E12E2"/>
    <w:rsid w:val="000E179E"/>
    <w:rsid w:val="000E1887"/>
    <w:rsid w:val="000E3A26"/>
    <w:rsid w:val="000E41DC"/>
    <w:rsid w:val="000E4210"/>
    <w:rsid w:val="000E523D"/>
    <w:rsid w:val="000E5A6C"/>
    <w:rsid w:val="000E6380"/>
    <w:rsid w:val="000E70BB"/>
    <w:rsid w:val="000E7712"/>
    <w:rsid w:val="000E7C84"/>
    <w:rsid w:val="000F2222"/>
    <w:rsid w:val="000F226E"/>
    <w:rsid w:val="000F2924"/>
    <w:rsid w:val="000F2D58"/>
    <w:rsid w:val="000F4274"/>
    <w:rsid w:val="000F555E"/>
    <w:rsid w:val="000F5665"/>
    <w:rsid w:val="000F56BE"/>
    <w:rsid w:val="000F6B83"/>
    <w:rsid w:val="00100048"/>
    <w:rsid w:val="00100C22"/>
    <w:rsid w:val="00100E4C"/>
    <w:rsid w:val="00100E56"/>
    <w:rsid w:val="0010277A"/>
    <w:rsid w:val="00102C57"/>
    <w:rsid w:val="0010357C"/>
    <w:rsid w:val="001039D4"/>
    <w:rsid w:val="00105EFE"/>
    <w:rsid w:val="00106EE9"/>
    <w:rsid w:val="001074C0"/>
    <w:rsid w:val="0010794F"/>
    <w:rsid w:val="0010796A"/>
    <w:rsid w:val="00107B63"/>
    <w:rsid w:val="00107F01"/>
    <w:rsid w:val="0011036F"/>
    <w:rsid w:val="001106C6"/>
    <w:rsid w:val="0011087E"/>
    <w:rsid w:val="00110FB2"/>
    <w:rsid w:val="00111BBF"/>
    <w:rsid w:val="001136A0"/>
    <w:rsid w:val="00114964"/>
    <w:rsid w:val="00114EB2"/>
    <w:rsid w:val="00115514"/>
    <w:rsid w:val="001163E9"/>
    <w:rsid w:val="001166C0"/>
    <w:rsid w:val="00120AB1"/>
    <w:rsid w:val="00120E4B"/>
    <w:rsid w:val="00121980"/>
    <w:rsid w:val="00122521"/>
    <w:rsid w:val="00122BCB"/>
    <w:rsid w:val="0012351B"/>
    <w:rsid w:val="001236D5"/>
    <w:rsid w:val="00124B39"/>
    <w:rsid w:val="001254A2"/>
    <w:rsid w:val="0012694C"/>
    <w:rsid w:val="00127DD7"/>
    <w:rsid w:val="00130A88"/>
    <w:rsid w:val="00130AF1"/>
    <w:rsid w:val="00130DD5"/>
    <w:rsid w:val="001312B4"/>
    <w:rsid w:val="00131619"/>
    <w:rsid w:val="00132074"/>
    <w:rsid w:val="00132229"/>
    <w:rsid w:val="001333BF"/>
    <w:rsid w:val="0013374F"/>
    <w:rsid w:val="00133C4E"/>
    <w:rsid w:val="00133D6E"/>
    <w:rsid w:val="00134BF0"/>
    <w:rsid w:val="00134CD3"/>
    <w:rsid w:val="00135318"/>
    <w:rsid w:val="001358A4"/>
    <w:rsid w:val="0013597C"/>
    <w:rsid w:val="00136179"/>
    <w:rsid w:val="00136A10"/>
    <w:rsid w:val="00136F33"/>
    <w:rsid w:val="001374A9"/>
    <w:rsid w:val="00140153"/>
    <w:rsid w:val="001401CD"/>
    <w:rsid w:val="00141478"/>
    <w:rsid w:val="001416D6"/>
    <w:rsid w:val="00142F5B"/>
    <w:rsid w:val="00143FC7"/>
    <w:rsid w:val="00144064"/>
    <w:rsid w:val="001440CC"/>
    <w:rsid w:val="00144AE3"/>
    <w:rsid w:val="001457F3"/>
    <w:rsid w:val="00145A65"/>
    <w:rsid w:val="00146FA2"/>
    <w:rsid w:val="00150DA3"/>
    <w:rsid w:val="00151BEF"/>
    <w:rsid w:val="001529E4"/>
    <w:rsid w:val="00153557"/>
    <w:rsid w:val="0015502D"/>
    <w:rsid w:val="00155929"/>
    <w:rsid w:val="00155C78"/>
    <w:rsid w:val="00156402"/>
    <w:rsid w:val="00162658"/>
    <w:rsid w:val="00163899"/>
    <w:rsid w:val="001646C2"/>
    <w:rsid w:val="00164DD2"/>
    <w:rsid w:val="0016758B"/>
    <w:rsid w:val="0017154B"/>
    <w:rsid w:val="00172523"/>
    <w:rsid w:val="00172D7D"/>
    <w:rsid w:val="00174225"/>
    <w:rsid w:val="0017518C"/>
    <w:rsid w:val="00175F84"/>
    <w:rsid w:val="00176361"/>
    <w:rsid w:val="001766D6"/>
    <w:rsid w:val="00176C76"/>
    <w:rsid w:val="00177111"/>
    <w:rsid w:val="00177EE9"/>
    <w:rsid w:val="00182950"/>
    <w:rsid w:val="001834C7"/>
    <w:rsid w:val="0018365A"/>
    <w:rsid w:val="00183D31"/>
    <w:rsid w:val="001844C3"/>
    <w:rsid w:val="00185924"/>
    <w:rsid w:val="00186057"/>
    <w:rsid w:val="00186B56"/>
    <w:rsid w:val="00187505"/>
    <w:rsid w:val="00187B78"/>
    <w:rsid w:val="00190F45"/>
    <w:rsid w:val="001910EA"/>
    <w:rsid w:val="0019114A"/>
    <w:rsid w:val="00191C0C"/>
    <w:rsid w:val="00191F78"/>
    <w:rsid w:val="00192967"/>
    <w:rsid w:val="001959EE"/>
    <w:rsid w:val="00195A0E"/>
    <w:rsid w:val="00195BB5"/>
    <w:rsid w:val="0019694A"/>
    <w:rsid w:val="0019698F"/>
    <w:rsid w:val="00196D2A"/>
    <w:rsid w:val="001A1073"/>
    <w:rsid w:val="001A2505"/>
    <w:rsid w:val="001A371D"/>
    <w:rsid w:val="001A3D6D"/>
    <w:rsid w:val="001A4BD8"/>
    <w:rsid w:val="001A4D57"/>
    <w:rsid w:val="001A517E"/>
    <w:rsid w:val="001A72EC"/>
    <w:rsid w:val="001A72F1"/>
    <w:rsid w:val="001A79A7"/>
    <w:rsid w:val="001B05D8"/>
    <w:rsid w:val="001B0D43"/>
    <w:rsid w:val="001B134D"/>
    <w:rsid w:val="001B1612"/>
    <w:rsid w:val="001B1683"/>
    <w:rsid w:val="001B1CCB"/>
    <w:rsid w:val="001B1D9E"/>
    <w:rsid w:val="001B2FA6"/>
    <w:rsid w:val="001B3EED"/>
    <w:rsid w:val="001B3FD6"/>
    <w:rsid w:val="001B4E29"/>
    <w:rsid w:val="001B55F4"/>
    <w:rsid w:val="001B58CD"/>
    <w:rsid w:val="001B5E62"/>
    <w:rsid w:val="001B6980"/>
    <w:rsid w:val="001B71AF"/>
    <w:rsid w:val="001C08B6"/>
    <w:rsid w:val="001C167A"/>
    <w:rsid w:val="001C1D69"/>
    <w:rsid w:val="001C1FC8"/>
    <w:rsid w:val="001C24EB"/>
    <w:rsid w:val="001C2596"/>
    <w:rsid w:val="001C30CB"/>
    <w:rsid w:val="001C42C4"/>
    <w:rsid w:val="001C45CB"/>
    <w:rsid w:val="001C5926"/>
    <w:rsid w:val="001C5928"/>
    <w:rsid w:val="001C5A4E"/>
    <w:rsid w:val="001C5A98"/>
    <w:rsid w:val="001C602C"/>
    <w:rsid w:val="001C6EF5"/>
    <w:rsid w:val="001C794C"/>
    <w:rsid w:val="001C7DCD"/>
    <w:rsid w:val="001D039B"/>
    <w:rsid w:val="001D3BC5"/>
    <w:rsid w:val="001D4742"/>
    <w:rsid w:val="001D4DD1"/>
    <w:rsid w:val="001D5503"/>
    <w:rsid w:val="001D5626"/>
    <w:rsid w:val="001D67B1"/>
    <w:rsid w:val="001D6BF6"/>
    <w:rsid w:val="001E0442"/>
    <w:rsid w:val="001E0A3B"/>
    <w:rsid w:val="001E0D39"/>
    <w:rsid w:val="001E1310"/>
    <w:rsid w:val="001E287F"/>
    <w:rsid w:val="001E3231"/>
    <w:rsid w:val="001E4610"/>
    <w:rsid w:val="001E48E5"/>
    <w:rsid w:val="001E54AF"/>
    <w:rsid w:val="001E5D92"/>
    <w:rsid w:val="001E69B0"/>
    <w:rsid w:val="001E6D83"/>
    <w:rsid w:val="001E6E25"/>
    <w:rsid w:val="001E70BC"/>
    <w:rsid w:val="001E7F0B"/>
    <w:rsid w:val="001F0815"/>
    <w:rsid w:val="001F1192"/>
    <w:rsid w:val="001F1757"/>
    <w:rsid w:val="001F23DD"/>
    <w:rsid w:val="001F278D"/>
    <w:rsid w:val="001F33A0"/>
    <w:rsid w:val="001F54B4"/>
    <w:rsid w:val="001F55F2"/>
    <w:rsid w:val="001F60FB"/>
    <w:rsid w:val="001F6B5E"/>
    <w:rsid w:val="001F6E3E"/>
    <w:rsid w:val="001F7523"/>
    <w:rsid w:val="001F7EAE"/>
    <w:rsid w:val="00200053"/>
    <w:rsid w:val="00202EFC"/>
    <w:rsid w:val="002040B0"/>
    <w:rsid w:val="00206A15"/>
    <w:rsid w:val="0020760D"/>
    <w:rsid w:val="00210872"/>
    <w:rsid w:val="00210E8F"/>
    <w:rsid w:val="0021116D"/>
    <w:rsid w:val="00211A82"/>
    <w:rsid w:val="002134BA"/>
    <w:rsid w:val="00213DC2"/>
    <w:rsid w:val="00214705"/>
    <w:rsid w:val="0021579E"/>
    <w:rsid w:val="00215A92"/>
    <w:rsid w:val="00215CD8"/>
    <w:rsid w:val="00216C5D"/>
    <w:rsid w:val="00217818"/>
    <w:rsid w:val="00217E6B"/>
    <w:rsid w:val="002201B6"/>
    <w:rsid w:val="0022084F"/>
    <w:rsid w:val="00220992"/>
    <w:rsid w:val="00220F7B"/>
    <w:rsid w:val="002211B8"/>
    <w:rsid w:val="00222DFB"/>
    <w:rsid w:val="0022350D"/>
    <w:rsid w:val="00223B98"/>
    <w:rsid w:val="00223C3C"/>
    <w:rsid w:val="00223F3B"/>
    <w:rsid w:val="002248A0"/>
    <w:rsid w:val="0022565B"/>
    <w:rsid w:val="00225D72"/>
    <w:rsid w:val="00226471"/>
    <w:rsid w:val="00232409"/>
    <w:rsid w:val="00232954"/>
    <w:rsid w:val="00232DDC"/>
    <w:rsid w:val="00233958"/>
    <w:rsid w:val="00234553"/>
    <w:rsid w:val="00235783"/>
    <w:rsid w:val="00235F83"/>
    <w:rsid w:val="002364C7"/>
    <w:rsid w:val="002364E4"/>
    <w:rsid w:val="002365AB"/>
    <w:rsid w:val="00236CA4"/>
    <w:rsid w:val="002374D9"/>
    <w:rsid w:val="002411B5"/>
    <w:rsid w:val="00241729"/>
    <w:rsid w:val="0024174F"/>
    <w:rsid w:val="00241860"/>
    <w:rsid w:val="00241A2C"/>
    <w:rsid w:val="00242368"/>
    <w:rsid w:val="00242586"/>
    <w:rsid w:val="00243F33"/>
    <w:rsid w:val="0024400C"/>
    <w:rsid w:val="002452E3"/>
    <w:rsid w:val="00245527"/>
    <w:rsid w:val="00246A6E"/>
    <w:rsid w:val="00250E37"/>
    <w:rsid w:val="00251821"/>
    <w:rsid w:val="00252404"/>
    <w:rsid w:val="00254100"/>
    <w:rsid w:val="00254A8D"/>
    <w:rsid w:val="00254A95"/>
    <w:rsid w:val="002559EB"/>
    <w:rsid w:val="0025654B"/>
    <w:rsid w:val="00256A9A"/>
    <w:rsid w:val="00256B05"/>
    <w:rsid w:val="00261DA8"/>
    <w:rsid w:val="00261EAF"/>
    <w:rsid w:val="00262336"/>
    <w:rsid w:val="0026488F"/>
    <w:rsid w:val="002667F1"/>
    <w:rsid w:val="00266874"/>
    <w:rsid w:val="00267CB0"/>
    <w:rsid w:val="00270CF5"/>
    <w:rsid w:val="002710F9"/>
    <w:rsid w:val="002713D5"/>
    <w:rsid w:val="0027164E"/>
    <w:rsid w:val="00271B6B"/>
    <w:rsid w:val="00271C14"/>
    <w:rsid w:val="0027253C"/>
    <w:rsid w:val="00272765"/>
    <w:rsid w:val="00272D2F"/>
    <w:rsid w:val="002733A7"/>
    <w:rsid w:val="00273CE0"/>
    <w:rsid w:val="00274D0F"/>
    <w:rsid w:val="0027519D"/>
    <w:rsid w:val="00275DC0"/>
    <w:rsid w:val="00276124"/>
    <w:rsid w:val="00276342"/>
    <w:rsid w:val="00276819"/>
    <w:rsid w:val="00276DCD"/>
    <w:rsid w:val="00277DEC"/>
    <w:rsid w:val="00280A67"/>
    <w:rsid w:val="002813FF"/>
    <w:rsid w:val="00282622"/>
    <w:rsid w:val="002833B8"/>
    <w:rsid w:val="00283FB5"/>
    <w:rsid w:val="0028460F"/>
    <w:rsid w:val="00285B66"/>
    <w:rsid w:val="00286751"/>
    <w:rsid w:val="0028764C"/>
    <w:rsid w:val="00291857"/>
    <w:rsid w:val="00292E33"/>
    <w:rsid w:val="00293DD2"/>
    <w:rsid w:val="002942D1"/>
    <w:rsid w:val="00294773"/>
    <w:rsid w:val="00294A15"/>
    <w:rsid w:val="00296B91"/>
    <w:rsid w:val="002A07B6"/>
    <w:rsid w:val="002A1528"/>
    <w:rsid w:val="002A24B7"/>
    <w:rsid w:val="002A395A"/>
    <w:rsid w:val="002A3C74"/>
    <w:rsid w:val="002A3DBC"/>
    <w:rsid w:val="002A40E1"/>
    <w:rsid w:val="002A4E3A"/>
    <w:rsid w:val="002A521D"/>
    <w:rsid w:val="002A66E8"/>
    <w:rsid w:val="002A7A89"/>
    <w:rsid w:val="002B01A6"/>
    <w:rsid w:val="002B0231"/>
    <w:rsid w:val="002B16BB"/>
    <w:rsid w:val="002B287F"/>
    <w:rsid w:val="002B32D4"/>
    <w:rsid w:val="002B3E7F"/>
    <w:rsid w:val="002B4D11"/>
    <w:rsid w:val="002B4ECB"/>
    <w:rsid w:val="002B4F78"/>
    <w:rsid w:val="002B5E56"/>
    <w:rsid w:val="002B740D"/>
    <w:rsid w:val="002B7699"/>
    <w:rsid w:val="002B77FF"/>
    <w:rsid w:val="002B793C"/>
    <w:rsid w:val="002C00BF"/>
    <w:rsid w:val="002C080F"/>
    <w:rsid w:val="002C1558"/>
    <w:rsid w:val="002C1F5C"/>
    <w:rsid w:val="002C2FC4"/>
    <w:rsid w:val="002C3593"/>
    <w:rsid w:val="002C3C59"/>
    <w:rsid w:val="002C5006"/>
    <w:rsid w:val="002C523B"/>
    <w:rsid w:val="002C54AE"/>
    <w:rsid w:val="002C566E"/>
    <w:rsid w:val="002C634A"/>
    <w:rsid w:val="002C71F1"/>
    <w:rsid w:val="002D461A"/>
    <w:rsid w:val="002D48B0"/>
    <w:rsid w:val="002D56A6"/>
    <w:rsid w:val="002D692A"/>
    <w:rsid w:val="002D7D4E"/>
    <w:rsid w:val="002E02E5"/>
    <w:rsid w:val="002E0ABD"/>
    <w:rsid w:val="002E3D75"/>
    <w:rsid w:val="002E49E7"/>
    <w:rsid w:val="002E50C0"/>
    <w:rsid w:val="002E5940"/>
    <w:rsid w:val="002E779C"/>
    <w:rsid w:val="002E7DD1"/>
    <w:rsid w:val="002F17F3"/>
    <w:rsid w:val="002F4805"/>
    <w:rsid w:val="002F48C6"/>
    <w:rsid w:val="002F4B2F"/>
    <w:rsid w:val="002F4B3E"/>
    <w:rsid w:val="002F56C7"/>
    <w:rsid w:val="002F740C"/>
    <w:rsid w:val="00300679"/>
    <w:rsid w:val="00301577"/>
    <w:rsid w:val="00303670"/>
    <w:rsid w:val="003042D8"/>
    <w:rsid w:val="003060A8"/>
    <w:rsid w:val="003067B4"/>
    <w:rsid w:val="00306C46"/>
    <w:rsid w:val="003075A4"/>
    <w:rsid w:val="003075B7"/>
    <w:rsid w:val="00311A8E"/>
    <w:rsid w:val="00311B6B"/>
    <w:rsid w:val="00313174"/>
    <w:rsid w:val="00314522"/>
    <w:rsid w:val="003146F9"/>
    <w:rsid w:val="00314F55"/>
    <w:rsid w:val="00314FDD"/>
    <w:rsid w:val="00315717"/>
    <w:rsid w:val="00315914"/>
    <w:rsid w:val="00315CE6"/>
    <w:rsid w:val="003179F0"/>
    <w:rsid w:val="00317AAE"/>
    <w:rsid w:val="003200B7"/>
    <w:rsid w:val="00321062"/>
    <w:rsid w:val="0032177D"/>
    <w:rsid w:val="00323A41"/>
    <w:rsid w:val="00323CD5"/>
    <w:rsid w:val="00324C2A"/>
    <w:rsid w:val="0032543B"/>
    <w:rsid w:val="00325EB4"/>
    <w:rsid w:val="00327BF0"/>
    <w:rsid w:val="003306A8"/>
    <w:rsid w:val="0033194B"/>
    <w:rsid w:val="0033486B"/>
    <w:rsid w:val="0033663A"/>
    <w:rsid w:val="0033745E"/>
    <w:rsid w:val="00337A40"/>
    <w:rsid w:val="00340B36"/>
    <w:rsid w:val="00344A2C"/>
    <w:rsid w:val="0034635F"/>
    <w:rsid w:val="0034666D"/>
    <w:rsid w:val="003501CE"/>
    <w:rsid w:val="0035112B"/>
    <w:rsid w:val="00353389"/>
    <w:rsid w:val="003543EE"/>
    <w:rsid w:val="003548F2"/>
    <w:rsid w:val="003556E3"/>
    <w:rsid w:val="00355ECB"/>
    <w:rsid w:val="0035644C"/>
    <w:rsid w:val="00356BC3"/>
    <w:rsid w:val="0035707C"/>
    <w:rsid w:val="00357E82"/>
    <w:rsid w:val="0036015D"/>
    <w:rsid w:val="0036280E"/>
    <w:rsid w:val="00362D27"/>
    <w:rsid w:val="00363215"/>
    <w:rsid w:val="00363685"/>
    <w:rsid w:val="00363943"/>
    <w:rsid w:val="00363A67"/>
    <w:rsid w:val="00363E46"/>
    <w:rsid w:val="00364441"/>
    <w:rsid w:val="00366158"/>
    <w:rsid w:val="003670D1"/>
    <w:rsid w:val="00367529"/>
    <w:rsid w:val="00367D44"/>
    <w:rsid w:val="00370496"/>
    <w:rsid w:val="00370B48"/>
    <w:rsid w:val="00371122"/>
    <w:rsid w:val="0037175B"/>
    <w:rsid w:val="00371967"/>
    <w:rsid w:val="00373901"/>
    <w:rsid w:val="003757D5"/>
    <w:rsid w:val="00377EC6"/>
    <w:rsid w:val="003826B9"/>
    <w:rsid w:val="00382A72"/>
    <w:rsid w:val="00383423"/>
    <w:rsid w:val="00385555"/>
    <w:rsid w:val="00385D6D"/>
    <w:rsid w:val="0038623C"/>
    <w:rsid w:val="003905BC"/>
    <w:rsid w:val="00390758"/>
    <w:rsid w:val="00390B8A"/>
    <w:rsid w:val="00393D03"/>
    <w:rsid w:val="00394608"/>
    <w:rsid w:val="003949C3"/>
    <w:rsid w:val="003955F1"/>
    <w:rsid w:val="00397BE6"/>
    <w:rsid w:val="00397F64"/>
    <w:rsid w:val="003A0043"/>
    <w:rsid w:val="003A0D83"/>
    <w:rsid w:val="003A11D3"/>
    <w:rsid w:val="003A1258"/>
    <w:rsid w:val="003A12CA"/>
    <w:rsid w:val="003A1E03"/>
    <w:rsid w:val="003A2EF9"/>
    <w:rsid w:val="003A33E6"/>
    <w:rsid w:val="003A3643"/>
    <w:rsid w:val="003A36B3"/>
    <w:rsid w:val="003A3C91"/>
    <w:rsid w:val="003A4021"/>
    <w:rsid w:val="003A58C6"/>
    <w:rsid w:val="003A5AC0"/>
    <w:rsid w:val="003A6BBE"/>
    <w:rsid w:val="003A740D"/>
    <w:rsid w:val="003B0A51"/>
    <w:rsid w:val="003B1E35"/>
    <w:rsid w:val="003B29FF"/>
    <w:rsid w:val="003B2C2D"/>
    <w:rsid w:val="003B2FDD"/>
    <w:rsid w:val="003B3834"/>
    <w:rsid w:val="003B50C3"/>
    <w:rsid w:val="003B5143"/>
    <w:rsid w:val="003B5A38"/>
    <w:rsid w:val="003B5C08"/>
    <w:rsid w:val="003B5EF5"/>
    <w:rsid w:val="003B772C"/>
    <w:rsid w:val="003C1297"/>
    <w:rsid w:val="003C1674"/>
    <w:rsid w:val="003C1A4E"/>
    <w:rsid w:val="003C39FD"/>
    <w:rsid w:val="003C3E29"/>
    <w:rsid w:val="003C597E"/>
    <w:rsid w:val="003C5C68"/>
    <w:rsid w:val="003C5E55"/>
    <w:rsid w:val="003C61E0"/>
    <w:rsid w:val="003C72C8"/>
    <w:rsid w:val="003C7558"/>
    <w:rsid w:val="003D137F"/>
    <w:rsid w:val="003D138A"/>
    <w:rsid w:val="003D1399"/>
    <w:rsid w:val="003D22F0"/>
    <w:rsid w:val="003D2849"/>
    <w:rsid w:val="003D30B2"/>
    <w:rsid w:val="003D41D0"/>
    <w:rsid w:val="003D4321"/>
    <w:rsid w:val="003D450E"/>
    <w:rsid w:val="003D4A4C"/>
    <w:rsid w:val="003D4FBB"/>
    <w:rsid w:val="003D7334"/>
    <w:rsid w:val="003D7B30"/>
    <w:rsid w:val="003E06C5"/>
    <w:rsid w:val="003E10B3"/>
    <w:rsid w:val="003E1753"/>
    <w:rsid w:val="003E222A"/>
    <w:rsid w:val="003E2B77"/>
    <w:rsid w:val="003E330D"/>
    <w:rsid w:val="003E3495"/>
    <w:rsid w:val="003E4DAA"/>
    <w:rsid w:val="003E538C"/>
    <w:rsid w:val="003E56A9"/>
    <w:rsid w:val="003E70C1"/>
    <w:rsid w:val="003E73AB"/>
    <w:rsid w:val="003F202E"/>
    <w:rsid w:val="003F21AF"/>
    <w:rsid w:val="003F2CDE"/>
    <w:rsid w:val="003F2EC6"/>
    <w:rsid w:val="003F32B9"/>
    <w:rsid w:val="003F3E57"/>
    <w:rsid w:val="003F439C"/>
    <w:rsid w:val="003F4466"/>
    <w:rsid w:val="003F5739"/>
    <w:rsid w:val="003F5897"/>
    <w:rsid w:val="003F6A37"/>
    <w:rsid w:val="003F794D"/>
    <w:rsid w:val="003F7B7E"/>
    <w:rsid w:val="003F7C91"/>
    <w:rsid w:val="0040016F"/>
    <w:rsid w:val="00400A0D"/>
    <w:rsid w:val="004012C9"/>
    <w:rsid w:val="004015DA"/>
    <w:rsid w:val="00402386"/>
    <w:rsid w:val="00403ABF"/>
    <w:rsid w:val="00403CB1"/>
    <w:rsid w:val="004046AC"/>
    <w:rsid w:val="004050BC"/>
    <w:rsid w:val="004052FE"/>
    <w:rsid w:val="004056C3"/>
    <w:rsid w:val="00406C7F"/>
    <w:rsid w:val="0040729D"/>
    <w:rsid w:val="00407467"/>
    <w:rsid w:val="0041117E"/>
    <w:rsid w:val="00411642"/>
    <w:rsid w:val="00411D69"/>
    <w:rsid w:val="00412847"/>
    <w:rsid w:val="00412C88"/>
    <w:rsid w:val="00413275"/>
    <w:rsid w:val="00413BD2"/>
    <w:rsid w:val="00413F22"/>
    <w:rsid w:val="004179F9"/>
    <w:rsid w:val="00421D32"/>
    <w:rsid w:val="00423089"/>
    <w:rsid w:val="00425984"/>
    <w:rsid w:val="00425C2E"/>
    <w:rsid w:val="00425CF7"/>
    <w:rsid w:val="0042606E"/>
    <w:rsid w:val="0042729C"/>
    <w:rsid w:val="0042750B"/>
    <w:rsid w:val="004308FE"/>
    <w:rsid w:val="004311D0"/>
    <w:rsid w:val="0043178F"/>
    <w:rsid w:val="00432F92"/>
    <w:rsid w:val="004330A8"/>
    <w:rsid w:val="00433642"/>
    <w:rsid w:val="00433918"/>
    <w:rsid w:val="0043432E"/>
    <w:rsid w:val="0043446D"/>
    <w:rsid w:val="00435199"/>
    <w:rsid w:val="00435ADC"/>
    <w:rsid w:val="00436B28"/>
    <w:rsid w:val="00437215"/>
    <w:rsid w:val="004375B8"/>
    <w:rsid w:val="004375D3"/>
    <w:rsid w:val="00440B6A"/>
    <w:rsid w:val="0044169A"/>
    <w:rsid w:val="0044175A"/>
    <w:rsid w:val="004421D1"/>
    <w:rsid w:val="00443B95"/>
    <w:rsid w:val="0044410E"/>
    <w:rsid w:val="00444956"/>
    <w:rsid w:val="00444F11"/>
    <w:rsid w:val="00445360"/>
    <w:rsid w:val="00446439"/>
    <w:rsid w:val="0044728E"/>
    <w:rsid w:val="00450232"/>
    <w:rsid w:val="004509DB"/>
    <w:rsid w:val="00451496"/>
    <w:rsid w:val="00452AD3"/>
    <w:rsid w:val="00453283"/>
    <w:rsid w:val="00454E3B"/>
    <w:rsid w:val="004550F5"/>
    <w:rsid w:val="00455C0A"/>
    <w:rsid w:val="00456050"/>
    <w:rsid w:val="00457366"/>
    <w:rsid w:val="004609D5"/>
    <w:rsid w:val="00460E88"/>
    <w:rsid w:val="0046133B"/>
    <w:rsid w:val="00461BE1"/>
    <w:rsid w:val="00461D06"/>
    <w:rsid w:val="00462B10"/>
    <w:rsid w:val="004634AF"/>
    <w:rsid w:val="00463922"/>
    <w:rsid w:val="00464E4D"/>
    <w:rsid w:val="00465685"/>
    <w:rsid w:val="004710C7"/>
    <w:rsid w:val="004718B4"/>
    <w:rsid w:val="00471CE0"/>
    <w:rsid w:val="00471DF0"/>
    <w:rsid w:val="00471F71"/>
    <w:rsid w:val="004722BF"/>
    <w:rsid w:val="00472746"/>
    <w:rsid w:val="00472833"/>
    <w:rsid w:val="00472884"/>
    <w:rsid w:val="00472DF3"/>
    <w:rsid w:val="00472ED6"/>
    <w:rsid w:val="004744E8"/>
    <w:rsid w:val="004752F0"/>
    <w:rsid w:val="004761EA"/>
    <w:rsid w:val="0048085F"/>
    <w:rsid w:val="00480A74"/>
    <w:rsid w:val="004812D8"/>
    <w:rsid w:val="004823E9"/>
    <w:rsid w:val="00482E46"/>
    <w:rsid w:val="004841A5"/>
    <w:rsid w:val="004849B9"/>
    <w:rsid w:val="0048521E"/>
    <w:rsid w:val="0048539C"/>
    <w:rsid w:val="0048613E"/>
    <w:rsid w:val="00486326"/>
    <w:rsid w:val="004867BE"/>
    <w:rsid w:val="00486ED0"/>
    <w:rsid w:val="00490D7B"/>
    <w:rsid w:val="00490FDA"/>
    <w:rsid w:val="004918EF"/>
    <w:rsid w:val="00491CAC"/>
    <w:rsid w:val="00492171"/>
    <w:rsid w:val="0049289C"/>
    <w:rsid w:val="004952FF"/>
    <w:rsid w:val="00496D8F"/>
    <w:rsid w:val="004A11FE"/>
    <w:rsid w:val="004A316C"/>
    <w:rsid w:val="004A3666"/>
    <w:rsid w:val="004A4F1A"/>
    <w:rsid w:val="004A516B"/>
    <w:rsid w:val="004A6B4E"/>
    <w:rsid w:val="004A7E32"/>
    <w:rsid w:val="004B0F3C"/>
    <w:rsid w:val="004B2FC2"/>
    <w:rsid w:val="004B36C5"/>
    <w:rsid w:val="004B3A24"/>
    <w:rsid w:val="004B3D83"/>
    <w:rsid w:val="004B494A"/>
    <w:rsid w:val="004B5B8F"/>
    <w:rsid w:val="004B6281"/>
    <w:rsid w:val="004B62BE"/>
    <w:rsid w:val="004B72FE"/>
    <w:rsid w:val="004B7CAA"/>
    <w:rsid w:val="004C1B1F"/>
    <w:rsid w:val="004C1DB2"/>
    <w:rsid w:val="004C253E"/>
    <w:rsid w:val="004C2964"/>
    <w:rsid w:val="004C3974"/>
    <w:rsid w:val="004C3ED3"/>
    <w:rsid w:val="004C4C36"/>
    <w:rsid w:val="004C516E"/>
    <w:rsid w:val="004C54AF"/>
    <w:rsid w:val="004C5618"/>
    <w:rsid w:val="004C5922"/>
    <w:rsid w:val="004C59C2"/>
    <w:rsid w:val="004C5B28"/>
    <w:rsid w:val="004C5D29"/>
    <w:rsid w:val="004C5F6C"/>
    <w:rsid w:val="004C725C"/>
    <w:rsid w:val="004D334D"/>
    <w:rsid w:val="004D3445"/>
    <w:rsid w:val="004D3FEF"/>
    <w:rsid w:val="004D47DB"/>
    <w:rsid w:val="004D4B6B"/>
    <w:rsid w:val="004D5640"/>
    <w:rsid w:val="004D5B6B"/>
    <w:rsid w:val="004D73F8"/>
    <w:rsid w:val="004E16AC"/>
    <w:rsid w:val="004E1C32"/>
    <w:rsid w:val="004E270E"/>
    <w:rsid w:val="004E27A6"/>
    <w:rsid w:val="004E32F6"/>
    <w:rsid w:val="004E3D3C"/>
    <w:rsid w:val="004E5215"/>
    <w:rsid w:val="004E699C"/>
    <w:rsid w:val="004E6C4F"/>
    <w:rsid w:val="004E7053"/>
    <w:rsid w:val="004F0737"/>
    <w:rsid w:val="004F1BE1"/>
    <w:rsid w:val="004F3034"/>
    <w:rsid w:val="004F3CE7"/>
    <w:rsid w:val="004F4AC8"/>
    <w:rsid w:val="004F6558"/>
    <w:rsid w:val="004F6A1C"/>
    <w:rsid w:val="005000D4"/>
    <w:rsid w:val="005005DC"/>
    <w:rsid w:val="0050116D"/>
    <w:rsid w:val="00501268"/>
    <w:rsid w:val="00502AA7"/>
    <w:rsid w:val="005031E5"/>
    <w:rsid w:val="00503FE9"/>
    <w:rsid w:val="00504A52"/>
    <w:rsid w:val="0050529B"/>
    <w:rsid w:val="0050556B"/>
    <w:rsid w:val="005059DD"/>
    <w:rsid w:val="00505AEC"/>
    <w:rsid w:val="00506502"/>
    <w:rsid w:val="005066A4"/>
    <w:rsid w:val="00506C5C"/>
    <w:rsid w:val="00506D4C"/>
    <w:rsid w:val="0050709A"/>
    <w:rsid w:val="00507B51"/>
    <w:rsid w:val="00510CEF"/>
    <w:rsid w:val="0051119C"/>
    <w:rsid w:val="00511295"/>
    <w:rsid w:val="00511755"/>
    <w:rsid w:val="00511994"/>
    <w:rsid w:val="00512419"/>
    <w:rsid w:val="00512429"/>
    <w:rsid w:val="00513593"/>
    <w:rsid w:val="00513CFA"/>
    <w:rsid w:val="00514D12"/>
    <w:rsid w:val="00514FD9"/>
    <w:rsid w:val="0051510A"/>
    <w:rsid w:val="00516BA2"/>
    <w:rsid w:val="005215B2"/>
    <w:rsid w:val="00521BD5"/>
    <w:rsid w:val="00521DB1"/>
    <w:rsid w:val="0052201A"/>
    <w:rsid w:val="00523237"/>
    <w:rsid w:val="005238D5"/>
    <w:rsid w:val="00523D92"/>
    <w:rsid w:val="005246C1"/>
    <w:rsid w:val="00524D69"/>
    <w:rsid w:val="00527CC0"/>
    <w:rsid w:val="0053039E"/>
    <w:rsid w:val="005304EE"/>
    <w:rsid w:val="00530BAA"/>
    <w:rsid w:val="00530D92"/>
    <w:rsid w:val="005319E2"/>
    <w:rsid w:val="00532923"/>
    <w:rsid w:val="00532DB3"/>
    <w:rsid w:val="00533D8F"/>
    <w:rsid w:val="00534261"/>
    <w:rsid w:val="00535173"/>
    <w:rsid w:val="00535CE9"/>
    <w:rsid w:val="00536043"/>
    <w:rsid w:val="005364E7"/>
    <w:rsid w:val="00537319"/>
    <w:rsid w:val="00537830"/>
    <w:rsid w:val="00537971"/>
    <w:rsid w:val="005402E6"/>
    <w:rsid w:val="005416FD"/>
    <w:rsid w:val="005433B0"/>
    <w:rsid w:val="00543674"/>
    <w:rsid w:val="00545173"/>
    <w:rsid w:val="00545ED2"/>
    <w:rsid w:val="0054644D"/>
    <w:rsid w:val="00547032"/>
    <w:rsid w:val="00553EA4"/>
    <w:rsid w:val="005547A0"/>
    <w:rsid w:val="00555539"/>
    <w:rsid w:val="0055585F"/>
    <w:rsid w:val="00556EFC"/>
    <w:rsid w:val="00560E84"/>
    <w:rsid w:val="00561ECF"/>
    <w:rsid w:val="005624C6"/>
    <w:rsid w:val="005643FD"/>
    <w:rsid w:val="00564E3E"/>
    <w:rsid w:val="00566A31"/>
    <w:rsid w:val="005674B0"/>
    <w:rsid w:val="005674D4"/>
    <w:rsid w:val="00570072"/>
    <w:rsid w:val="0057013A"/>
    <w:rsid w:val="0057120E"/>
    <w:rsid w:val="00571331"/>
    <w:rsid w:val="005727D6"/>
    <w:rsid w:val="00572E30"/>
    <w:rsid w:val="005731D0"/>
    <w:rsid w:val="00573DF1"/>
    <w:rsid w:val="00574529"/>
    <w:rsid w:val="005753B7"/>
    <w:rsid w:val="005769AB"/>
    <w:rsid w:val="00576D51"/>
    <w:rsid w:val="005774FB"/>
    <w:rsid w:val="0058048D"/>
    <w:rsid w:val="005824D9"/>
    <w:rsid w:val="00583BB6"/>
    <w:rsid w:val="00583C94"/>
    <w:rsid w:val="00587BD0"/>
    <w:rsid w:val="00591368"/>
    <w:rsid w:val="00592A71"/>
    <w:rsid w:val="00592EA4"/>
    <w:rsid w:val="00592F8B"/>
    <w:rsid w:val="0059402F"/>
    <w:rsid w:val="00594B82"/>
    <w:rsid w:val="00594CCA"/>
    <w:rsid w:val="005954AD"/>
    <w:rsid w:val="00596573"/>
    <w:rsid w:val="00596E15"/>
    <w:rsid w:val="00596EFB"/>
    <w:rsid w:val="00597C4C"/>
    <w:rsid w:val="005A1B8B"/>
    <w:rsid w:val="005A1CDF"/>
    <w:rsid w:val="005A2368"/>
    <w:rsid w:val="005A28EF"/>
    <w:rsid w:val="005A2FEA"/>
    <w:rsid w:val="005A401E"/>
    <w:rsid w:val="005A4231"/>
    <w:rsid w:val="005A4A88"/>
    <w:rsid w:val="005A601C"/>
    <w:rsid w:val="005A6087"/>
    <w:rsid w:val="005A618C"/>
    <w:rsid w:val="005A6C97"/>
    <w:rsid w:val="005A781A"/>
    <w:rsid w:val="005A7D4F"/>
    <w:rsid w:val="005B06D4"/>
    <w:rsid w:val="005B11B0"/>
    <w:rsid w:val="005B13AD"/>
    <w:rsid w:val="005B3F4F"/>
    <w:rsid w:val="005B457F"/>
    <w:rsid w:val="005B5005"/>
    <w:rsid w:val="005B5CCB"/>
    <w:rsid w:val="005B62AC"/>
    <w:rsid w:val="005B775D"/>
    <w:rsid w:val="005C179E"/>
    <w:rsid w:val="005C1EF4"/>
    <w:rsid w:val="005C2341"/>
    <w:rsid w:val="005C3D8E"/>
    <w:rsid w:val="005C3ED3"/>
    <w:rsid w:val="005C4047"/>
    <w:rsid w:val="005C41E0"/>
    <w:rsid w:val="005C43C7"/>
    <w:rsid w:val="005C523C"/>
    <w:rsid w:val="005C597D"/>
    <w:rsid w:val="005C6369"/>
    <w:rsid w:val="005C6423"/>
    <w:rsid w:val="005C7DAA"/>
    <w:rsid w:val="005D0C8B"/>
    <w:rsid w:val="005D1643"/>
    <w:rsid w:val="005D1C89"/>
    <w:rsid w:val="005D20ED"/>
    <w:rsid w:val="005D2E77"/>
    <w:rsid w:val="005D2F89"/>
    <w:rsid w:val="005D3E3B"/>
    <w:rsid w:val="005D4978"/>
    <w:rsid w:val="005D503A"/>
    <w:rsid w:val="005D558B"/>
    <w:rsid w:val="005D5C15"/>
    <w:rsid w:val="005D66A6"/>
    <w:rsid w:val="005D689D"/>
    <w:rsid w:val="005D71B9"/>
    <w:rsid w:val="005D71CA"/>
    <w:rsid w:val="005E09AC"/>
    <w:rsid w:val="005E1CFC"/>
    <w:rsid w:val="005E2AD3"/>
    <w:rsid w:val="005E2B19"/>
    <w:rsid w:val="005E2BCE"/>
    <w:rsid w:val="005E3BD3"/>
    <w:rsid w:val="005E4540"/>
    <w:rsid w:val="005E4A7B"/>
    <w:rsid w:val="005E5ABB"/>
    <w:rsid w:val="005E6219"/>
    <w:rsid w:val="005E6C76"/>
    <w:rsid w:val="005E6EB9"/>
    <w:rsid w:val="005E734E"/>
    <w:rsid w:val="005E7A49"/>
    <w:rsid w:val="005F0855"/>
    <w:rsid w:val="005F0ED6"/>
    <w:rsid w:val="005F0FAD"/>
    <w:rsid w:val="005F2C69"/>
    <w:rsid w:val="005F371F"/>
    <w:rsid w:val="005F4180"/>
    <w:rsid w:val="005F4BDD"/>
    <w:rsid w:val="005F58D8"/>
    <w:rsid w:val="005F6244"/>
    <w:rsid w:val="005F7F29"/>
    <w:rsid w:val="00600284"/>
    <w:rsid w:val="00600B12"/>
    <w:rsid w:val="006035DB"/>
    <w:rsid w:val="0060377D"/>
    <w:rsid w:val="00603B7E"/>
    <w:rsid w:val="00603FEB"/>
    <w:rsid w:val="00604086"/>
    <w:rsid w:val="0060470C"/>
    <w:rsid w:val="00605570"/>
    <w:rsid w:val="00606A99"/>
    <w:rsid w:val="006070D8"/>
    <w:rsid w:val="006100F4"/>
    <w:rsid w:val="0061033F"/>
    <w:rsid w:val="00610DE2"/>
    <w:rsid w:val="006113B9"/>
    <w:rsid w:val="00611F64"/>
    <w:rsid w:val="00612D8C"/>
    <w:rsid w:val="00614823"/>
    <w:rsid w:val="00614E8A"/>
    <w:rsid w:val="00617783"/>
    <w:rsid w:val="006203F0"/>
    <w:rsid w:val="00620AE6"/>
    <w:rsid w:val="00620EA7"/>
    <w:rsid w:val="00622330"/>
    <w:rsid w:val="0062259F"/>
    <w:rsid w:val="00622B9A"/>
    <w:rsid w:val="00624674"/>
    <w:rsid w:val="0062694F"/>
    <w:rsid w:val="00631160"/>
    <w:rsid w:val="00631926"/>
    <w:rsid w:val="006334F7"/>
    <w:rsid w:val="00634080"/>
    <w:rsid w:val="00634FCC"/>
    <w:rsid w:val="00635CE8"/>
    <w:rsid w:val="00635F5E"/>
    <w:rsid w:val="00636C81"/>
    <w:rsid w:val="00637D8B"/>
    <w:rsid w:val="00640901"/>
    <w:rsid w:val="00643986"/>
    <w:rsid w:val="00644825"/>
    <w:rsid w:val="00645C16"/>
    <w:rsid w:val="00645FEF"/>
    <w:rsid w:val="006477CC"/>
    <w:rsid w:val="00647CA6"/>
    <w:rsid w:val="00647FFE"/>
    <w:rsid w:val="00650733"/>
    <w:rsid w:val="00650D9B"/>
    <w:rsid w:val="0065150D"/>
    <w:rsid w:val="00651AF0"/>
    <w:rsid w:val="00652BAC"/>
    <w:rsid w:val="00653F8A"/>
    <w:rsid w:val="00655589"/>
    <w:rsid w:val="00655F7E"/>
    <w:rsid w:val="00660882"/>
    <w:rsid w:val="00661161"/>
    <w:rsid w:val="0066117A"/>
    <w:rsid w:val="006622EA"/>
    <w:rsid w:val="00662891"/>
    <w:rsid w:val="00663BB9"/>
    <w:rsid w:val="00664282"/>
    <w:rsid w:val="006658EC"/>
    <w:rsid w:val="006663AC"/>
    <w:rsid w:val="00666BE9"/>
    <w:rsid w:val="00667489"/>
    <w:rsid w:val="0066759D"/>
    <w:rsid w:val="006711C2"/>
    <w:rsid w:val="006724F9"/>
    <w:rsid w:val="00672FCE"/>
    <w:rsid w:val="00673B50"/>
    <w:rsid w:val="00674591"/>
    <w:rsid w:val="0067483C"/>
    <w:rsid w:val="00674B8F"/>
    <w:rsid w:val="00674F68"/>
    <w:rsid w:val="00676D60"/>
    <w:rsid w:val="00676E6A"/>
    <w:rsid w:val="00677D46"/>
    <w:rsid w:val="00680393"/>
    <w:rsid w:val="006804FD"/>
    <w:rsid w:val="006812C1"/>
    <w:rsid w:val="00683D8B"/>
    <w:rsid w:val="006845FB"/>
    <w:rsid w:val="00684AD7"/>
    <w:rsid w:val="00684B67"/>
    <w:rsid w:val="00684EA8"/>
    <w:rsid w:val="00685AFB"/>
    <w:rsid w:val="006866AF"/>
    <w:rsid w:val="00687578"/>
    <w:rsid w:val="0068774F"/>
    <w:rsid w:val="00690309"/>
    <w:rsid w:val="00690EBB"/>
    <w:rsid w:val="006935EC"/>
    <w:rsid w:val="00693852"/>
    <w:rsid w:val="00693AFE"/>
    <w:rsid w:val="00693FB2"/>
    <w:rsid w:val="006942E2"/>
    <w:rsid w:val="0069520F"/>
    <w:rsid w:val="006955CC"/>
    <w:rsid w:val="00697F8E"/>
    <w:rsid w:val="006A069C"/>
    <w:rsid w:val="006A07E9"/>
    <w:rsid w:val="006A0A2E"/>
    <w:rsid w:val="006A2677"/>
    <w:rsid w:val="006A401C"/>
    <w:rsid w:val="006A4446"/>
    <w:rsid w:val="006A4C8C"/>
    <w:rsid w:val="006A4D07"/>
    <w:rsid w:val="006A5A4B"/>
    <w:rsid w:val="006A78B9"/>
    <w:rsid w:val="006A7E69"/>
    <w:rsid w:val="006A7FC0"/>
    <w:rsid w:val="006B03CE"/>
    <w:rsid w:val="006B04D8"/>
    <w:rsid w:val="006B0D43"/>
    <w:rsid w:val="006B101E"/>
    <w:rsid w:val="006B17ED"/>
    <w:rsid w:val="006B2397"/>
    <w:rsid w:val="006B2402"/>
    <w:rsid w:val="006B3C15"/>
    <w:rsid w:val="006B502C"/>
    <w:rsid w:val="006B5469"/>
    <w:rsid w:val="006B7A80"/>
    <w:rsid w:val="006C0544"/>
    <w:rsid w:val="006C088E"/>
    <w:rsid w:val="006C0CBB"/>
    <w:rsid w:val="006C174D"/>
    <w:rsid w:val="006C1ACE"/>
    <w:rsid w:val="006C1DB5"/>
    <w:rsid w:val="006C1E28"/>
    <w:rsid w:val="006C1F6B"/>
    <w:rsid w:val="006C3196"/>
    <w:rsid w:val="006C4445"/>
    <w:rsid w:val="006C5209"/>
    <w:rsid w:val="006C58FC"/>
    <w:rsid w:val="006C651F"/>
    <w:rsid w:val="006C6BC6"/>
    <w:rsid w:val="006C72B5"/>
    <w:rsid w:val="006C7582"/>
    <w:rsid w:val="006D0DEE"/>
    <w:rsid w:val="006D17DB"/>
    <w:rsid w:val="006D18C1"/>
    <w:rsid w:val="006D230C"/>
    <w:rsid w:val="006D2F88"/>
    <w:rsid w:val="006D3776"/>
    <w:rsid w:val="006D4EBD"/>
    <w:rsid w:val="006D5EF3"/>
    <w:rsid w:val="006D7016"/>
    <w:rsid w:val="006D73FD"/>
    <w:rsid w:val="006D77C7"/>
    <w:rsid w:val="006D7EA3"/>
    <w:rsid w:val="006E02D0"/>
    <w:rsid w:val="006E035E"/>
    <w:rsid w:val="006E1350"/>
    <w:rsid w:val="006E1DB0"/>
    <w:rsid w:val="006E297C"/>
    <w:rsid w:val="006E3220"/>
    <w:rsid w:val="006E3A6E"/>
    <w:rsid w:val="006E4424"/>
    <w:rsid w:val="006E468D"/>
    <w:rsid w:val="006E5EAA"/>
    <w:rsid w:val="006E68A5"/>
    <w:rsid w:val="006E70A3"/>
    <w:rsid w:val="006E7895"/>
    <w:rsid w:val="006F0550"/>
    <w:rsid w:val="006F1190"/>
    <w:rsid w:val="006F1BBE"/>
    <w:rsid w:val="006F30A5"/>
    <w:rsid w:val="006F3181"/>
    <w:rsid w:val="006F419A"/>
    <w:rsid w:val="006F429D"/>
    <w:rsid w:val="006F4630"/>
    <w:rsid w:val="006F4A1D"/>
    <w:rsid w:val="006F5191"/>
    <w:rsid w:val="006F52E4"/>
    <w:rsid w:val="006F6367"/>
    <w:rsid w:val="006F684B"/>
    <w:rsid w:val="006F6EE1"/>
    <w:rsid w:val="006F6EE2"/>
    <w:rsid w:val="006F7D90"/>
    <w:rsid w:val="007003A2"/>
    <w:rsid w:val="00700C2F"/>
    <w:rsid w:val="00701BB9"/>
    <w:rsid w:val="007025C9"/>
    <w:rsid w:val="00703471"/>
    <w:rsid w:val="00704102"/>
    <w:rsid w:val="00706727"/>
    <w:rsid w:val="007070D1"/>
    <w:rsid w:val="007101EE"/>
    <w:rsid w:val="00710612"/>
    <w:rsid w:val="0071083F"/>
    <w:rsid w:val="00712252"/>
    <w:rsid w:val="0071247E"/>
    <w:rsid w:val="00712E2E"/>
    <w:rsid w:val="007147B4"/>
    <w:rsid w:val="00715CE1"/>
    <w:rsid w:val="0071615A"/>
    <w:rsid w:val="00716623"/>
    <w:rsid w:val="00716DFC"/>
    <w:rsid w:val="00716DFF"/>
    <w:rsid w:val="00716E8D"/>
    <w:rsid w:val="0071702D"/>
    <w:rsid w:val="00717893"/>
    <w:rsid w:val="00720558"/>
    <w:rsid w:val="00721731"/>
    <w:rsid w:val="00722034"/>
    <w:rsid w:val="007223DD"/>
    <w:rsid w:val="00723766"/>
    <w:rsid w:val="00723CC0"/>
    <w:rsid w:val="00726D22"/>
    <w:rsid w:val="00727D0F"/>
    <w:rsid w:val="00727FD0"/>
    <w:rsid w:val="00730302"/>
    <w:rsid w:val="00732479"/>
    <w:rsid w:val="00733A9C"/>
    <w:rsid w:val="00733CA4"/>
    <w:rsid w:val="00734911"/>
    <w:rsid w:val="0073498D"/>
    <w:rsid w:val="00736FD3"/>
    <w:rsid w:val="0073702F"/>
    <w:rsid w:val="00737753"/>
    <w:rsid w:val="00737FEC"/>
    <w:rsid w:val="00740667"/>
    <w:rsid w:val="0074084F"/>
    <w:rsid w:val="00740D17"/>
    <w:rsid w:val="00741878"/>
    <w:rsid w:val="00741E4D"/>
    <w:rsid w:val="00742AEE"/>
    <w:rsid w:val="00743E9C"/>
    <w:rsid w:val="007454BC"/>
    <w:rsid w:val="007457B7"/>
    <w:rsid w:val="00745E15"/>
    <w:rsid w:val="00746512"/>
    <w:rsid w:val="00746BDB"/>
    <w:rsid w:val="00747E5B"/>
    <w:rsid w:val="0075067D"/>
    <w:rsid w:val="00751B3D"/>
    <w:rsid w:val="007520CE"/>
    <w:rsid w:val="00752BC3"/>
    <w:rsid w:val="007531D0"/>
    <w:rsid w:val="00753AF7"/>
    <w:rsid w:val="0075483F"/>
    <w:rsid w:val="00754F69"/>
    <w:rsid w:val="00755A71"/>
    <w:rsid w:val="00757BCC"/>
    <w:rsid w:val="00760522"/>
    <w:rsid w:val="007607E9"/>
    <w:rsid w:val="00761938"/>
    <w:rsid w:val="00761B0B"/>
    <w:rsid w:val="00761B41"/>
    <w:rsid w:val="007629F0"/>
    <w:rsid w:val="0076338F"/>
    <w:rsid w:val="007640DA"/>
    <w:rsid w:val="00764A59"/>
    <w:rsid w:val="00764BC0"/>
    <w:rsid w:val="00764C7C"/>
    <w:rsid w:val="00765279"/>
    <w:rsid w:val="00766B5B"/>
    <w:rsid w:val="00772BFD"/>
    <w:rsid w:val="00772CC5"/>
    <w:rsid w:val="0077324D"/>
    <w:rsid w:val="0077361E"/>
    <w:rsid w:val="007759B6"/>
    <w:rsid w:val="00775A35"/>
    <w:rsid w:val="00775AB1"/>
    <w:rsid w:val="00775FBA"/>
    <w:rsid w:val="00776174"/>
    <w:rsid w:val="00776954"/>
    <w:rsid w:val="00776F6C"/>
    <w:rsid w:val="0077741B"/>
    <w:rsid w:val="007776FC"/>
    <w:rsid w:val="007806C6"/>
    <w:rsid w:val="007809E6"/>
    <w:rsid w:val="0078130B"/>
    <w:rsid w:val="00782F61"/>
    <w:rsid w:val="00783759"/>
    <w:rsid w:val="00784CAD"/>
    <w:rsid w:val="007853C7"/>
    <w:rsid w:val="00785BF4"/>
    <w:rsid w:val="00786AC8"/>
    <w:rsid w:val="00787BDF"/>
    <w:rsid w:val="00790497"/>
    <w:rsid w:val="00790C23"/>
    <w:rsid w:val="00791B47"/>
    <w:rsid w:val="007930ED"/>
    <w:rsid w:val="0079357B"/>
    <w:rsid w:val="00793F45"/>
    <w:rsid w:val="007959E1"/>
    <w:rsid w:val="007959E6"/>
    <w:rsid w:val="00795FED"/>
    <w:rsid w:val="00796AD6"/>
    <w:rsid w:val="00796F56"/>
    <w:rsid w:val="007972E0"/>
    <w:rsid w:val="00797AC0"/>
    <w:rsid w:val="00797AE8"/>
    <w:rsid w:val="00797BAA"/>
    <w:rsid w:val="007A03DD"/>
    <w:rsid w:val="007A24AD"/>
    <w:rsid w:val="007A2894"/>
    <w:rsid w:val="007A3851"/>
    <w:rsid w:val="007A5DEB"/>
    <w:rsid w:val="007A5F64"/>
    <w:rsid w:val="007A62B7"/>
    <w:rsid w:val="007A6D3C"/>
    <w:rsid w:val="007A6E9C"/>
    <w:rsid w:val="007A7A97"/>
    <w:rsid w:val="007A7C25"/>
    <w:rsid w:val="007B013F"/>
    <w:rsid w:val="007B0248"/>
    <w:rsid w:val="007B0B72"/>
    <w:rsid w:val="007B0FEA"/>
    <w:rsid w:val="007B1EE6"/>
    <w:rsid w:val="007B2887"/>
    <w:rsid w:val="007B2FAA"/>
    <w:rsid w:val="007B32B0"/>
    <w:rsid w:val="007B3E6D"/>
    <w:rsid w:val="007B3EFA"/>
    <w:rsid w:val="007B4290"/>
    <w:rsid w:val="007B5CCA"/>
    <w:rsid w:val="007B62E5"/>
    <w:rsid w:val="007B7B62"/>
    <w:rsid w:val="007C0E1E"/>
    <w:rsid w:val="007C104C"/>
    <w:rsid w:val="007C2088"/>
    <w:rsid w:val="007C277F"/>
    <w:rsid w:val="007C40F6"/>
    <w:rsid w:val="007C5106"/>
    <w:rsid w:val="007C59CD"/>
    <w:rsid w:val="007C63A1"/>
    <w:rsid w:val="007D1312"/>
    <w:rsid w:val="007D1615"/>
    <w:rsid w:val="007D1CAF"/>
    <w:rsid w:val="007D2735"/>
    <w:rsid w:val="007D278C"/>
    <w:rsid w:val="007D2D4A"/>
    <w:rsid w:val="007D3411"/>
    <w:rsid w:val="007D34E6"/>
    <w:rsid w:val="007D5F44"/>
    <w:rsid w:val="007D60CA"/>
    <w:rsid w:val="007D685F"/>
    <w:rsid w:val="007D6A3B"/>
    <w:rsid w:val="007D6CAF"/>
    <w:rsid w:val="007D6CDF"/>
    <w:rsid w:val="007D7C6B"/>
    <w:rsid w:val="007E00A7"/>
    <w:rsid w:val="007E05FF"/>
    <w:rsid w:val="007E1B5C"/>
    <w:rsid w:val="007E1BDC"/>
    <w:rsid w:val="007E1DED"/>
    <w:rsid w:val="007E2509"/>
    <w:rsid w:val="007E28E8"/>
    <w:rsid w:val="007E3307"/>
    <w:rsid w:val="007E4721"/>
    <w:rsid w:val="007E60D9"/>
    <w:rsid w:val="007E62D6"/>
    <w:rsid w:val="007E6D2C"/>
    <w:rsid w:val="007F1308"/>
    <w:rsid w:val="007F23F0"/>
    <w:rsid w:val="007F2A5E"/>
    <w:rsid w:val="007F34F7"/>
    <w:rsid w:val="007F4184"/>
    <w:rsid w:val="007F50F3"/>
    <w:rsid w:val="007F5E40"/>
    <w:rsid w:val="007F636D"/>
    <w:rsid w:val="007F6428"/>
    <w:rsid w:val="00800E5A"/>
    <w:rsid w:val="0080110C"/>
    <w:rsid w:val="00801506"/>
    <w:rsid w:val="008019F6"/>
    <w:rsid w:val="0080246F"/>
    <w:rsid w:val="0080274F"/>
    <w:rsid w:val="008027D1"/>
    <w:rsid w:val="00802ACD"/>
    <w:rsid w:val="00803F08"/>
    <w:rsid w:val="00804499"/>
    <w:rsid w:val="00804725"/>
    <w:rsid w:val="0080491A"/>
    <w:rsid w:val="00804ABE"/>
    <w:rsid w:val="00804BC2"/>
    <w:rsid w:val="00805CFE"/>
    <w:rsid w:val="00805DCE"/>
    <w:rsid w:val="00805EB3"/>
    <w:rsid w:val="0080675F"/>
    <w:rsid w:val="00806A5C"/>
    <w:rsid w:val="00806C31"/>
    <w:rsid w:val="00806DBB"/>
    <w:rsid w:val="0080751F"/>
    <w:rsid w:val="008075EC"/>
    <w:rsid w:val="008079DA"/>
    <w:rsid w:val="00810B33"/>
    <w:rsid w:val="00811C48"/>
    <w:rsid w:val="008121AF"/>
    <w:rsid w:val="0081263F"/>
    <w:rsid w:val="0081293E"/>
    <w:rsid w:val="00813BDB"/>
    <w:rsid w:val="00814352"/>
    <w:rsid w:val="00814488"/>
    <w:rsid w:val="008152B0"/>
    <w:rsid w:val="0081549F"/>
    <w:rsid w:val="008154FA"/>
    <w:rsid w:val="008156B7"/>
    <w:rsid w:val="00815BCF"/>
    <w:rsid w:val="0081740B"/>
    <w:rsid w:val="00817CC0"/>
    <w:rsid w:val="00820572"/>
    <w:rsid w:val="00820E40"/>
    <w:rsid w:val="00821B18"/>
    <w:rsid w:val="008220DE"/>
    <w:rsid w:val="00822668"/>
    <w:rsid w:val="00822B12"/>
    <w:rsid w:val="00822D44"/>
    <w:rsid w:val="0082451C"/>
    <w:rsid w:val="008255FD"/>
    <w:rsid w:val="00825A12"/>
    <w:rsid w:val="008268D5"/>
    <w:rsid w:val="00827CEF"/>
    <w:rsid w:val="00830044"/>
    <w:rsid w:val="0083075C"/>
    <w:rsid w:val="00830CE1"/>
    <w:rsid w:val="00830E1D"/>
    <w:rsid w:val="00833484"/>
    <w:rsid w:val="008335CF"/>
    <w:rsid w:val="008337C1"/>
    <w:rsid w:val="00834FD3"/>
    <w:rsid w:val="008352D2"/>
    <w:rsid w:val="0083589E"/>
    <w:rsid w:val="00836598"/>
    <w:rsid w:val="00837083"/>
    <w:rsid w:val="008400E3"/>
    <w:rsid w:val="00840741"/>
    <w:rsid w:val="008407CC"/>
    <w:rsid w:val="00840B73"/>
    <w:rsid w:val="00840F87"/>
    <w:rsid w:val="008415C2"/>
    <w:rsid w:val="0084330D"/>
    <w:rsid w:val="00843385"/>
    <w:rsid w:val="00843A6A"/>
    <w:rsid w:val="00844236"/>
    <w:rsid w:val="00844B73"/>
    <w:rsid w:val="00844CCD"/>
    <w:rsid w:val="008462BF"/>
    <w:rsid w:val="00846E7A"/>
    <w:rsid w:val="00847159"/>
    <w:rsid w:val="00847D1D"/>
    <w:rsid w:val="00852155"/>
    <w:rsid w:val="008539FF"/>
    <w:rsid w:val="00853B44"/>
    <w:rsid w:val="00853C59"/>
    <w:rsid w:val="00854362"/>
    <w:rsid w:val="00854ED6"/>
    <w:rsid w:val="00854F70"/>
    <w:rsid w:val="008554DE"/>
    <w:rsid w:val="0085573B"/>
    <w:rsid w:val="00855877"/>
    <w:rsid w:val="00855F27"/>
    <w:rsid w:val="0085638A"/>
    <w:rsid w:val="00856751"/>
    <w:rsid w:val="00856772"/>
    <w:rsid w:val="00856A3B"/>
    <w:rsid w:val="00857AE4"/>
    <w:rsid w:val="00857EB9"/>
    <w:rsid w:val="00860001"/>
    <w:rsid w:val="008601BE"/>
    <w:rsid w:val="008602A4"/>
    <w:rsid w:val="0086052F"/>
    <w:rsid w:val="00860756"/>
    <w:rsid w:val="00860A14"/>
    <w:rsid w:val="00861231"/>
    <w:rsid w:val="00863921"/>
    <w:rsid w:val="00863E7B"/>
    <w:rsid w:val="00864237"/>
    <w:rsid w:val="008645C4"/>
    <w:rsid w:val="008672E0"/>
    <w:rsid w:val="008677F7"/>
    <w:rsid w:val="008708FA"/>
    <w:rsid w:val="0087136F"/>
    <w:rsid w:val="0087146B"/>
    <w:rsid w:val="008727FC"/>
    <w:rsid w:val="008729A2"/>
    <w:rsid w:val="00873D38"/>
    <w:rsid w:val="008758F9"/>
    <w:rsid w:val="008769AC"/>
    <w:rsid w:val="00876E19"/>
    <w:rsid w:val="00876FC4"/>
    <w:rsid w:val="00880C61"/>
    <w:rsid w:val="0088190C"/>
    <w:rsid w:val="00882B19"/>
    <w:rsid w:val="00882BDD"/>
    <w:rsid w:val="00882D8A"/>
    <w:rsid w:val="008831E2"/>
    <w:rsid w:val="00883737"/>
    <w:rsid w:val="00885187"/>
    <w:rsid w:val="00885326"/>
    <w:rsid w:val="00891AA9"/>
    <w:rsid w:val="00891BA3"/>
    <w:rsid w:val="00893BDC"/>
    <w:rsid w:val="00893F6C"/>
    <w:rsid w:val="00894820"/>
    <w:rsid w:val="00895E53"/>
    <w:rsid w:val="008970AD"/>
    <w:rsid w:val="00897931"/>
    <w:rsid w:val="00897C00"/>
    <w:rsid w:val="00897DE3"/>
    <w:rsid w:val="008A086E"/>
    <w:rsid w:val="008A1443"/>
    <w:rsid w:val="008A2DB9"/>
    <w:rsid w:val="008A2DC9"/>
    <w:rsid w:val="008A30FD"/>
    <w:rsid w:val="008A3ADA"/>
    <w:rsid w:val="008A4667"/>
    <w:rsid w:val="008A468B"/>
    <w:rsid w:val="008A588E"/>
    <w:rsid w:val="008A5CC5"/>
    <w:rsid w:val="008A5E20"/>
    <w:rsid w:val="008A5F27"/>
    <w:rsid w:val="008A6145"/>
    <w:rsid w:val="008A66C3"/>
    <w:rsid w:val="008A7B98"/>
    <w:rsid w:val="008B08BA"/>
    <w:rsid w:val="008B15E9"/>
    <w:rsid w:val="008B1D69"/>
    <w:rsid w:val="008B2ED7"/>
    <w:rsid w:val="008B4014"/>
    <w:rsid w:val="008B5C70"/>
    <w:rsid w:val="008B689C"/>
    <w:rsid w:val="008B693D"/>
    <w:rsid w:val="008B726D"/>
    <w:rsid w:val="008B797F"/>
    <w:rsid w:val="008C12DF"/>
    <w:rsid w:val="008C1A92"/>
    <w:rsid w:val="008C4A6D"/>
    <w:rsid w:val="008C578C"/>
    <w:rsid w:val="008C591E"/>
    <w:rsid w:val="008C685C"/>
    <w:rsid w:val="008C69D1"/>
    <w:rsid w:val="008C7AA2"/>
    <w:rsid w:val="008C7DC3"/>
    <w:rsid w:val="008D076D"/>
    <w:rsid w:val="008D10D0"/>
    <w:rsid w:val="008D2C7C"/>
    <w:rsid w:val="008D3BD9"/>
    <w:rsid w:val="008D409D"/>
    <w:rsid w:val="008D47EC"/>
    <w:rsid w:val="008D4CB1"/>
    <w:rsid w:val="008D61C0"/>
    <w:rsid w:val="008D61CD"/>
    <w:rsid w:val="008D6DA5"/>
    <w:rsid w:val="008E02E6"/>
    <w:rsid w:val="008E1CE3"/>
    <w:rsid w:val="008E305B"/>
    <w:rsid w:val="008E40CC"/>
    <w:rsid w:val="008E47E9"/>
    <w:rsid w:val="008E5B36"/>
    <w:rsid w:val="008E5E77"/>
    <w:rsid w:val="008E6998"/>
    <w:rsid w:val="008E71C0"/>
    <w:rsid w:val="008E7F9B"/>
    <w:rsid w:val="008F03B0"/>
    <w:rsid w:val="008F1795"/>
    <w:rsid w:val="008F27F5"/>
    <w:rsid w:val="008F2D1B"/>
    <w:rsid w:val="008F3160"/>
    <w:rsid w:val="008F41B5"/>
    <w:rsid w:val="008F47D7"/>
    <w:rsid w:val="008F4F22"/>
    <w:rsid w:val="008F72E5"/>
    <w:rsid w:val="008F798B"/>
    <w:rsid w:val="0090005B"/>
    <w:rsid w:val="00901854"/>
    <w:rsid w:val="00901AC0"/>
    <w:rsid w:val="00902C06"/>
    <w:rsid w:val="009040B3"/>
    <w:rsid w:val="00904204"/>
    <w:rsid w:val="00904347"/>
    <w:rsid w:val="0090625E"/>
    <w:rsid w:val="009066CE"/>
    <w:rsid w:val="00907A12"/>
    <w:rsid w:val="00907BA0"/>
    <w:rsid w:val="00910CAD"/>
    <w:rsid w:val="00910F54"/>
    <w:rsid w:val="00910F9E"/>
    <w:rsid w:val="00912118"/>
    <w:rsid w:val="009122E5"/>
    <w:rsid w:val="0091250C"/>
    <w:rsid w:val="009127A5"/>
    <w:rsid w:val="00916C28"/>
    <w:rsid w:val="00917276"/>
    <w:rsid w:val="00917951"/>
    <w:rsid w:val="00917B92"/>
    <w:rsid w:val="00917ECA"/>
    <w:rsid w:val="009200B8"/>
    <w:rsid w:val="009214FD"/>
    <w:rsid w:val="00922F39"/>
    <w:rsid w:val="0092381B"/>
    <w:rsid w:val="00923BD0"/>
    <w:rsid w:val="00925B48"/>
    <w:rsid w:val="00926640"/>
    <w:rsid w:val="009277FF"/>
    <w:rsid w:val="00927D01"/>
    <w:rsid w:val="00927DD0"/>
    <w:rsid w:val="009312AB"/>
    <w:rsid w:val="00931736"/>
    <w:rsid w:val="00932AEB"/>
    <w:rsid w:val="00933A63"/>
    <w:rsid w:val="00933B73"/>
    <w:rsid w:val="0093448B"/>
    <w:rsid w:val="0093517F"/>
    <w:rsid w:val="00935591"/>
    <w:rsid w:val="0093564A"/>
    <w:rsid w:val="009358D5"/>
    <w:rsid w:val="00936489"/>
    <w:rsid w:val="00937D73"/>
    <w:rsid w:val="00937EA6"/>
    <w:rsid w:val="00940233"/>
    <w:rsid w:val="009413EB"/>
    <w:rsid w:val="00942AA2"/>
    <w:rsid w:val="00942B90"/>
    <w:rsid w:val="0094340D"/>
    <w:rsid w:val="00946427"/>
    <w:rsid w:val="009464B4"/>
    <w:rsid w:val="009468C6"/>
    <w:rsid w:val="00946D25"/>
    <w:rsid w:val="00947FE9"/>
    <w:rsid w:val="009518D7"/>
    <w:rsid w:val="00951BCE"/>
    <w:rsid w:val="00951CDE"/>
    <w:rsid w:val="00952621"/>
    <w:rsid w:val="00953C82"/>
    <w:rsid w:val="00953CD1"/>
    <w:rsid w:val="009542F0"/>
    <w:rsid w:val="00955ADE"/>
    <w:rsid w:val="00955F3E"/>
    <w:rsid w:val="00956741"/>
    <w:rsid w:val="00956E32"/>
    <w:rsid w:val="00957687"/>
    <w:rsid w:val="009578FB"/>
    <w:rsid w:val="00957B74"/>
    <w:rsid w:val="00960E22"/>
    <w:rsid w:val="00961023"/>
    <w:rsid w:val="00961AE4"/>
    <w:rsid w:val="00962EF2"/>
    <w:rsid w:val="00964F99"/>
    <w:rsid w:val="00965156"/>
    <w:rsid w:val="009656FD"/>
    <w:rsid w:val="00965F51"/>
    <w:rsid w:val="00967F70"/>
    <w:rsid w:val="00970254"/>
    <w:rsid w:val="00971146"/>
    <w:rsid w:val="00971626"/>
    <w:rsid w:val="0097245F"/>
    <w:rsid w:val="009732B1"/>
    <w:rsid w:val="00973613"/>
    <w:rsid w:val="00973DDA"/>
    <w:rsid w:val="009748A0"/>
    <w:rsid w:val="00975531"/>
    <w:rsid w:val="00975CDB"/>
    <w:rsid w:val="009761D8"/>
    <w:rsid w:val="009761DB"/>
    <w:rsid w:val="00977A77"/>
    <w:rsid w:val="0098019A"/>
    <w:rsid w:val="009812B1"/>
    <w:rsid w:val="00981703"/>
    <w:rsid w:val="0098186E"/>
    <w:rsid w:val="009835B3"/>
    <w:rsid w:val="00983FD0"/>
    <w:rsid w:val="00984B4D"/>
    <w:rsid w:val="00984BEE"/>
    <w:rsid w:val="00984C5E"/>
    <w:rsid w:val="00985C82"/>
    <w:rsid w:val="00986682"/>
    <w:rsid w:val="009867CD"/>
    <w:rsid w:val="0098695F"/>
    <w:rsid w:val="00990F4B"/>
    <w:rsid w:val="00991D53"/>
    <w:rsid w:val="009956FE"/>
    <w:rsid w:val="00995EDD"/>
    <w:rsid w:val="00997B70"/>
    <w:rsid w:val="009A0072"/>
    <w:rsid w:val="009A0493"/>
    <w:rsid w:val="009A0BA4"/>
    <w:rsid w:val="009A1588"/>
    <w:rsid w:val="009A1B2E"/>
    <w:rsid w:val="009A1BF1"/>
    <w:rsid w:val="009A2552"/>
    <w:rsid w:val="009A2B9B"/>
    <w:rsid w:val="009A307A"/>
    <w:rsid w:val="009A38ED"/>
    <w:rsid w:val="009A5120"/>
    <w:rsid w:val="009A52D8"/>
    <w:rsid w:val="009A54CD"/>
    <w:rsid w:val="009A693C"/>
    <w:rsid w:val="009A6CE9"/>
    <w:rsid w:val="009A7438"/>
    <w:rsid w:val="009B0C04"/>
    <w:rsid w:val="009B0DA2"/>
    <w:rsid w:val="009B12CC"/>
    <w:rsid w:val="009B12D4"/>
    <w:rsid w:val="009B3BD4"/>
    <w:rsid w:val="009B4B14"/>
    <w:rsid w:val="009B4ED1"/>
    <w:rsid w:val="009B560C"/>
    <w:rsid w:val="009B5A15"/>
    <w:rsid w:val="009B5BBA"/>
    <w:rsid w:val="009B6D7F"/>
    <w:rsid w:val="009B6E22"/>
    <w:rsid w:val="009B7AF9"/>
    <w:rsid w:val="009B7FD5"/>
    <w:rsid w:val="009C0225"/>
    <w:rsid w:val="009C0802"/>
    <w:rsid w:val="009C09A0"/>
    <w:rsid w:val="009C12A9"/>
    <w:rsid w:val="009C3DE4"/>
    <w:rsid w:val="009C4D49"/>
    <w:rsid w:val="009C5151"/>
    <w:rsid w:val="009C5DA3"/>
    <w:rsid w:val="009C6BA9"/>
    <w:rsid w:val="009C6CF1"/>
    <w:rsid w:val="009C6DC9"/>
    <w:rsid w:val="009C75E1"/>
    <w:rsid w:val="009C7E7A"/>
    <w:rsid w:val="009D1479"/>
    <w:rsid w:val="009D2E67"/>
    <w:rsid w:val="009D3006"/>
    <w:rsid w:val="009D36A7"/>
    <w:rsid w:val="009D4668"/>
    <w:rsid w:val="009D5D9B"/>
    <w:rsid w:val="009D61BF"/>
    <w:rsid w:val="009E0383"/>
    <w:rsid w:val="009E3AAF"/>
    <w:rsid w:val="009E514B"/>
    <w:rsid w:val="009E5BE9"/>
    <w:rsid w:val="009E7008"/>
    <w:rsid w:val="009E704A"/>
    <w:rsid w:val="009E7511"/>
    <w:rsid w:val="009E783B"/>
    <w:rsid w:val="009F0961"/>
    <w:rsid w:val="009F15E4"/>
    <w:rsid w:val="009F2526"/>
    <w:rsid w:val="009F25CB"/>
    <w:rsid w:val="009F3BB7"/>
    <w:rsid w:val="009F3C06"/>
    <w:rsid w:val="009F3C18"/>
    <w:rsid w:val="009F5739"/>
    <w:rsid w:val="009F5B6D"/>
    <w:rsid w:val="009F65F2"/>
    <w:rsid w:val="009F714C"/>
    <w:rsid w:val="009F73AC"/>
    <w:rsid w:val="00A001B6"/>
    <w:rsid w:val="00A01BA9"/>
    <w:rsid w:val="00A02262"/>
    <w:rsid w:val="00A023C0"/>
    <w:rsid w:val="00A0326A"/>
    <w:rsid w:val="00A036F7"/>
    <w:rsid w:val="00A04DDB"/>
    <w:rsid w:val="00A06867"/>
    <w:rsid w:val="00A07C30"/>
    <w:rsid w:val="00A11254"/>
    <w:rsid w:val="00A112CF"/>
    <w:rsid w:val="00A11A1B"/>
    <w:rsid w:val="00A11CA9"/>
    <w:rsid w:val="00A12312"/>
    <w:rsid w:val="00A1340E"/>
    <w:rsid w:val="00A13FC4"/>
    <w:rsid w:val="00A149E4"/>
    <w:rsid w:val="00A1588A"/>
    <w:rsid w:val="00A15FB2"/>
    <w:rsid w:val="00A16781"/>
    <w:rsid w:val="00A17CAE"/>
    <w:rsid w:val="00A17F5D"/>
    <w:rsid w:val="00A20C12"/>
    <w:rsid w:val="00A20C33"/>
    <w:rsid w:val="00A20C84"/>
    <w:rsid w:val="00A20CE3"/>
    <w:rsid w:val="00A2269B"/>
    <w:rsid w:val="00A23378"/>
    <w:rsid w:val="00A23B6C"/>
    <w:rsid w:val="00A23CDC"/>
    <w:rsid w:val="00A23EDD"/>
    <w:rsid w:val="00A26823"/>
    <w:rsid w:val="00A26C9A"/>
    <w:rsid w:val="00A27537"/>
    <w:rsid w:val="00A27C57"/>
    <w:rsid w:val="00A302C9"/>
    <w:rsid w:val="00A313CE"/>
    <w:rsid w:val="00A31CE8"/>
    <w:rsid w:val="00A31EC0"/>
    <w:rsid w:val="00A32DED"/>
    <w:rsid w:val="00A334DD"/>
    <w:rsid w:val="00A33C02"/>
    <w:rsid w:val="00A34B14"/>
    <w:rsid w:val="00A37893"/>
    <w:rsid w:val="00A405E6"/>
    <w:rsid w:val="00A406AA"/>
    <w:rsid w:val="00A40E35"/>
    <w:rsid w:val="00A41768"/>
    <w:rsid w:val="00A41970"/>
    <w:rsid w:val="00A4199D"/>
    <w:rsid w:val="00A41A77"/>
    <w:rsid w:val="00A41C54"/>
    <w:rsid w:val="00A41DE5"/>
    <w:rsid w:val="00A426B2"/>
    <w:rsid w:val="00A429A7"/>
    <w:rsid w:val="00A42C92"/>
    <w:rsid w:val="00A4361D"/>
    <w:rsid w:val="00A4443A"/>
    <w:rsid w:val="00A44DA3"/>
    <w:rsid w:val="00A458C7"/>
    <w:rsid w:val="00A474C9"/>
    <w:rsid w:val="00A50C11"/>
    <w:rsid w:val="00A50C1E"/>
    <w:rsid w:val="00A52DF2"/>
    <w:rsid w:val="00A53433"/>
    <w:rsid w:val="00A53C91"/>
    <w:rsid w:val="00A558C1"/>
    <w:rsid w:val="00A5743B"/>
    <w:rsid w:val="00A608CB"/>
    <w:rsid w:val="00A6180E"/>
    <w:rsid w:val="00A62C99"/>
    <w:rsid w:val="00A63BE6"/>
    <w:rsid w:val="00A64BA9"/>
    <w:rsid w:val="00A64DB7"/>
    <w:rsid w:val="00A65E1F"/>
    <w:rsid w:val="00A66AEE"/>
    <w:rsid w:val="00A66B37"/>
    <w:rsid w:val="00A6747F"/>
    <w:rsid w:val="00A67513"/>
    <w:rsid w:val="00A70901"/>
    <w:rsid w:val="00A70FE5"/>
    <w:rsid w:val="00A718D6"/>
    <w:rsid w:val="00A7216C"/>
    <w:rsid w:val="00A73D9D"/>
    <w:rsid w:val="00A73E36"/>
    <w:rsid w:val="00A74649"/>
    <w:rsid w:val="00A75709"/>
    <w:rsid w:val="00A75986"/>
    <w:rsid w:val="00A75E90"/>
    <w:rsid w:val="00A760AD"/>
    <w:rsid w:val="00A77020"/>
    <w:rsid w:val="00A803F1"/>
    <w:rsid w:val="00A80BAD"/>
    <w:rsid w:val="00A812BD"/>
    <w:rsid w:val="00A8161D"/>
    <w:rsid w:val="00A81A50"/>
    <w:rsid w:val="00A82537"/>
    <w:rsid w:val="00A8371B"/>
    <w:rsid w:val="00A84382"/>
    <w:rsid w:val="00A84A24"/>
    <w:rsid w:val="00A84D35"/>
    <w:rsid w:val="00A8646D"/>
    <w:rsid w:val="00A86774"/>
    <w:rsid w:val="00A86FA5"/>
    <w:rsid w:val="00A904F6"/>
    <w:rsid w:val="00A90F51"/>
    <w:rsid w:val="00A91023"/>
    <w:rsid w:val="00A91558"/>
    <w:rsid w:val="00A924F0"/>
    <w:rsid w:val="00A9289A"/>
    <w:rsid w:val="00A92B0E"/>
    <w:rsid w:val="00A944AA"/>
    <w:rsid w:val="00A94F49"/>
    <w:rsid w:val="00A95FF8"/>
    <w:rsid w:val="00A96214"/>
    <w:rsid w:val="00A970FB"/>
    <w:rsid w:val="00A97806"/>
    <w:rsid w:val="00A97834"/>
    <w:rsid w:val="00A97A7B"/>
    <w:rsid w:val="00AA0448"/>
    <w:rsid w:val="00AA04AD"/>
    <w:rsid w:val="00AA0BE6"/>
    <w:rsid w:val="00AA10EB"/>
    <w:rsid w:val="00AA2DE6"/>
    <w:rsid w:val="00AA5B41"/>
    <w:rsid w:val="00AA6518"/>
    <w:rsid w:val="00AA7767"/>
    <w:rsid w:val="00AA7863"/>
    <w:rsid w:val="00AA7EBB"/>
    <w:rsid w:val="00AB0FD3"/>
    <w:rsid w:val="00AB1791"/>
    <w:rsid w:val="00AB20D9"/>
    <w:rsid w:val="00AB3118"/>
    <w:rsid w:val="00AB34F7"/>
    <w:rsid w:val="00AB3BB4"/>
    <w:rsid w:val="00AB3E51"/>
    <w:rsid w:val="00AB40BE"/>
    <w:rsid w:val="00AB40D7"/>
    <w:rsid w:val="00AB4999"/>
    <w:rsid w:val="00AB5451"/>
    <w:rsid w:val="00AB7E47"/>
    <w:rsid w:val="00AC092D"/>
    <w:rsid w:val="00AC0E2A"/>
    <w:rsid w:val="00AC11AB"/>
    <w:rsid w:val="00AC152F"/>
    <w:rsid w:val="00AC2A12"/>
    <w:rsid w:val="00AC2BB8"/>
    <w:rsid w:val="00AC2EC0"/>
    <w:rsid w:val="00AC31CF"/>
    <w:rsid w:val="00AC487B"/>
    <w:rsid w:val="00AC4F37"/>
    <w:rsid w:val="00AC4F77"/>
    <w:rsid w:val="00AC7513"/>
    <w:rsid w:val="00AC790E"/>
    <w:rsid w:val="00AC7F71"/>
    <w:rsid w:val="00AD0628"/>
    <w:rsid w:val="00AD0F80"/>
    <w:rsid w:val="00AD177A"/>
    <w:rsid w:val="00AD1B57"/>
    <w:rsid w:val="00AD2C53"/>
    <w:rsid w:val="00AD2F3B"/>
    <w:rsid w:val="00AD3CE8"/>
    <w:rsid w:val="00AD41F9"/>
    <w:rsid w:val="00AD46D9"/>
    <w:rsid w:val="00AD487A"/>
    <w:rsid w:val="00AD4985"/>
    <w:rsid w:val="00AD5660"/>
    <w:rsid w:val="00AD6901"/>
    <w:rsid w:val="00AD6ACE"/>
    <w:rsid w:val="00AD72F6"/>
    <w:rsid w:val="00AD75D9"/>
    <w:rsid w:val="00AE164C"/>
    <w:rsid w:val="00AE168D"/>
    <w:rsid w:val="00AE1DA2"/>
    <w:rsid w:val="00AE2BF7"/>
    <w:rsid w:val="00AE3E3F"/>
    <w:rsid w:val="00AE3EEB"/>
    <w:rsid w:val="00AE452B"/>
    <w:rsid w:val="00AE4710"/>
    <w:rsid w:val="00AE5799"/>
    <w:rsid w:val="00AE61DC"/>
    <w:rsid w:val="00AE6871"/>
    <w:rsid w:val="00AE744D"/>
    <w:rsid w:val="00AF0799"/>
    <w:rsid w:val="00AF1A88"/>
    <w:rsid w:val="00AF1A95"/>
    <w:rsid w:val="00AF1E6C"/>
    <w:rsid w:val="00AF230A"/>
    <w:rsid w:val="00AF25BD"/>
    <w:rsid w:val="00AF2DC9"/>
    <w:rsid w:val="00AF3094"/>
    <w:rsid w:val="00AF44C8"/>
    <w:rsid w:val="00AF4CB2"/>
    <w:rsid w:val="00AF4F05"/>
    <w:rsid w:val="00AF5400"/>
    <w:rsid w:val="00AF5B38"/>
    <w:rsid w:val="00AF7651"/>
    <w:rsid w:val="00AF7DEC"/>
    <w:rsid w:val="00B003EF"/>
    <w:rsid w:val="00B00F38"/>
    <w:rsid w:val="00B010F8"/>
    <w:rsid w:val="00B0388B"/>
    <w:rsid w:val="00B05FF9"/>
    <w:rsid w:val="00B06594"/>
    <w:rsid w:val="00B066E5"/>
    <w:rsid w:val="00B06813"/>
    <w:rsid w:val="00B06C41"/>
    <w:rsid w:val="00B06F8F"/>
    <w:rsid w:val="00B0741E"/>
    <w:rsid w:val="00B10059"/>
    <w:rsid w:val="00B10596"/>
    <w:rsid w:val="00B12B0F"/>
    <w:rsid w:val="00B13B62"/>
    <w:rsid w:val="00B14030"/>
    <w:rsid w:val="00B15D58"/>
    <w:rsid w:val="00B15F45"/>
    <w:rsid w:val="00B164E0"/>
    <w:rsid w:val="00B176EE"/>
    <w:rsid w:val="00B179BA"/>
    <w:rsid w:val="00B21232"/>
    <w:rsid w:val="00B21C11"/>
    <w:rsid w:val="00B220AF"/>
    <w:rsid w:val="00B22577"/>
    <w:rsid w:val="00B22B35"/>
    <w:rsid w:val="00B22C29"/>
    <w:rsid w:val="00B233AD"/>
    <w:rsid w:val="00B25317"/>
    <w:rsid w:val="00B2586E"/>
    <w:rsid w:val="00B2620E"/>
    <w:rsid w:val="00B26424"/>
    <w:rsid w:val="00B26901"/>
    <w:rsid w:val="00B26BB6"/>
    <w:rsid w:val="00B304B8"/>
    <w:rsid w:val="00B30C89"/>
    <w:rsid w:val="00B30DEB"/>
    <w:rsid w:val="00B32A59"/>
    <w:rsid w:val="00B32AC7"/>
    <w:rsid w:val="00B32C12"/>
    <w:rsid w:val="00B32F60"/>
    <w:rsid w:val="00B331AA"/>
    <w:rsid w:val="00B33404"/>
    <w:rsid w:val="00B34BB0"/>
    <w:rsid w:val="00B35AD1"/>
    <w:rsid w:val="00B35E77"/>
    <w:rsid w:val="00B35E98"/>
    <w:rsid w:val="00B361D3"/>
    <w:rsid w:val="00B36BC2"/>
    <w:rsid w:val="00B36FA4"/>
    <w:rsid w:val="00B37A7F"/>
    <w:rsid w:val="00B37EB1"/>
    <w:rsid w:val="00B41323"/>
    <w:rsid w:val="00B41BB1"/>
    <w:rsid w:val="00B4227C"/>
    <w:rsid w:val="00B42AD2"/>
    <w:rsid w:val="00B431E8"/>
    <w:rsid w:val="00B43458"/>
    <w:rsid w:val="00B43647"/>
    <w:rsid w:val="00B44C17"/>
    <w:rsid w:val="00B45BD6"/>
    <w:rsid w:val="00B4730E"/>
    <w:rsid w:val="00B47351"/>
    <w:rsid w:val="00B47DEC"/>
    <w:rsid w:val="00B5010B"/>
    <w:rsid w:val="00B508DD"/>
    <w:rsid w:val="00B50B08"/>
    <w:rsid w:val="00B51E3F"/>
    <w:rsid w:val="00B52E24"/>
    <w:rsid w:val="00B53030"/>
    <w:rsid w:val="00B5379B"/>
    <w:rsid w:val="00B54885"/>
    <w:rsid w:val="00B54C36"/>
    <w:rsid w:val="00B554E3"/>
    <w:rsid w:val="00B555FB"/>
    <w:rsid w:val="00B559C2"/>
    <w:rsid w:val="00B55E35"/>
    <w:rsid w:val="00B57199"/>
    <w:rsid w:val="00B57CA6"/>
    <w:rsid w:val="00B60196"/>
    <w:rsid w:val="00B61168"/>
    <w:rsid w:val="00B628BD"/>
    <w:rsid w:val="00B636F3"/>
    <w:rsid w:val="00B63F18"/>
    <w:rsid w:val="00B6409A"/>
    <w:rsid w:val="00B6495F"/>
    <w:rsid w:val="00B66528"/>
    <w:rsid w:val="00B67F3E"/>
    <w:rsid w:val="00B70439"/>
    <w:rsid w:val="00B70C88"/>
    <w:rsid w:val="00B717A7"/>
    <w:rsid w:val="00B72E94"/>
    <w:rsid w:val="00B72F9B"/>
    <w:rsid w:val="00B73849"/>
    <w:rsid w:val="00B73A3E"/>
    <w:rsid w:val="00B75967"/>
    <w:rsid w:val="00B762EF"/>
    <w:rsid w:val="00B7647B"/>
    <w:rsid w:val="00B77510"/>
    <w:rsid w:val="00B7786C"/>
    <w:rsid w:val="00B81C93"/>
    <w:rsid w:val="00B8388E"/>
    <w:rsid w:val="00B83B59"/>
    <w:rsid w:val="00B84E5A"/>
    <w:rsid w:val="00B866C7"/>
    <w:rsid w:val="00B8684A"/>
    <w:rsid w:val="00B907D7"/>
    <w:rsid w:val="00B909F4"/>
    <w:rsid w:val="00B9211A"/>
    <w:rsid w:val="00B93DE5"/>
    <w:rsid w:val="00B95429"/>
    <w:rsid w:val="00B95B3A"/>
    <w:rsid w:val="00B968F4"/>
    <w:rsid w:val="00B9695E"/>
    <w:rsid w:val="00B96EBF"/>
    <w:rsid w:val="00B97D10"/>
    <w:rsid w:val="00BA0639"/>
    <w:rsid w:val="00BA0EB7"/>
    <w:rsid w:val="00BA19FC"/>
    <w:rsid w:val="00BA3263"/>
    <w:rsid w:val="00BA4366"/>
    <w:rsid w:val="00BA4A83"/>
    <w:rsid w:val="00BA59E6"/>
    <w:rsid w:val="00BA6519"/>
    <w:rsid w:val="00BA7949"/>
    <w:rsid w:val="00BA7BC6"/>
    <w:rsid w:val="00BA7C62"/>
    <w:rsid w:val="00BB064A"/>
    <w:rsid w:val="00BB19EB"/>
    <w:rsid w:val="00BB25C3"/>
    <w:rsid w:val="00BB2818"/>
    <w:rsid w:val="00BB34D1"/>
    <w:rsid w:val="00BB428A"/>
    <w:rsid w:val="00BB4ACC"/>
    <w:rsid w:val="00BB4F7E"/>
    <w:rsid w:val="00BB6747"/>
    <w:rsid w:val="00BC218E"/>
    <w:rsid w:val="00BC2F41"/>
    <w:rsid w:val="00BC3520"/>
    <w:rsid w:val="00BC3C47"/>
    <w:rsid w:val="00BC4AC6"/>
    <w:rsid w:val="00BC6100"/>
    <w:rsid w:val="00BC70E5"/>
    <w:rsid w:val="00BC76D4"/>
    <w:rsid w:val="00BC76DE"/>
    <w:rsid w:val="00BC77EC"/>
    <w:rsid w:val="00BD0366"/>
    <w:rsid w:val="00BD0C19"/>
    <w:rsid w:val="00BD12AA"/>
    <w:rsid w:val="00BD16B2"/>
    <w:rsid w:val="00BD24C8"/>
    <w:rsid w:val="00BD3E37"/>
    <w:rsid w:val="00BD4EEF"/>
    <w:rsid w:val="00BD5142"/>
    <w:rsid w:val="00BD546A"/>
    <w:rsid w:val="00BD634A"/>
    <w:rsid w:val="00BD702D"/>
    <w:rsid w:val="00BD7969"/>
    <w:rsid w:val="00BD7C07"/>
    <w:rsid w:val="00BD7E28"/>
    <w:rsid w:val="00BD7FB0"/>
    <w:rsid w:val="00BE169B"/>
    <w:rsid w:val="00BE170D"/>
    <w:rsid w:val="00BE2282"/>
    <w:rsid w:val="00BE3C1B"/>
    <w:rsid w:val="00BE5390"/>
    <w:rsid w:val="00BE5E6C"/>
    <w:rsid w:val="00BE7A3E"/>
    <w:rsid w:val="00BE7B0E"/>
    <w:rsid w:val="00BE7D6B"/>
    <w:rsid w:val="00BF00BD"/>
    <w:rsid w:val="00BF06DE"/>
    <w:rsid w:val="00BF074C"/>
    <w:rsid w:val="00BF0C8A"/>
    <w:rsid w:val="00BF1955"/>
    <w:rsid w:val="00BF1FE0"/>
    <w:rsid w:val="00BF2EB4"/>
    <w:rsid w:val="00BF3177"/>
    <w:rsid w:val="00BF443C"/>
    <w:rsid w:val="00BF49AF"/>
    <w:rsid w:val="00BF5127"/>
    <w:rsid w:val="00BF5A0A"/>
    <w:rsid w:val="00BF6D00"/>
    <w:rsid w:val="00C00D26"/>
    <w:rsid w:val="00C04029"/>
    <w:rsid w:val="00C04C01"/>
    <w:rsid w:val="00C0568C"/>
    <w:rsid w:val="00C064CE"/>
    <w:rsid w:val="00C07C30"/>
    <w:rsid w:val="00C10F15"/>
    <w:rsid w:val="00C11058"/>
    <w:rsid w:val="00C12977"/>
    <w:rsid w:val="00C1402F"/>
    <w:rsid w:val="00C14FA8"/>
    <w:rsid w:val="00C1552E"/>
    <w:rsid w:val="00C15F9D"/>
    <w:rsid w:val="00C173AB"/>
    <w:rsid w:val="00C17B85"/>
    <w:rsid w:val="00C201BD"/>
    <w:rsid w:val="00C20F05"/>
    <w:rsid w:val="00C21FDF"/>
    <w:rsid w:val="00C23076"/>
    <w:rsid w:val="00C23B94"/>
    <w:rsid w:val="00C23CF5"/>
    <w:rsid w:val="00C23D56"/>
    <w:rsid w:val="00C245F0"/>
    <w:rsid w:val="00C26E05"/>
    <w:rsid w:val="00C27C5F"/>
    <w:rsid w:val="00C30870"/>
    <w:rsid w:val="00C30956"/>
    <w:rsid w:val="00C30A22"/>
    <w:rsid w:val="00C319BC"/>
    <w:rsid w:val="00C31B2B"/>
    <w:rsid w:val="00C33515"/>
    <w:rsid w:val="00C352D1"/>
    <w:rsid w:val="00C40A9E"/>
    <w:rsid w:val="00C41AC0"/>
    <w:rsid w:val="00C42557"/>
    <w:rsid w:val="00C4328D"/>
    <w:rsid w:val="00C44360"/>
    <w:rsid w:val="00C45684"/>
    <w:rsid w:val="00C4793B"/>
    <w:rsid w:val="00C50084"/>
    <w:rsid w:val="00C503E8"/>
    <w:rsid w:val="00C5087A"/>
    <w:rsid w:val="00C53709"/>
    <w:rsid w:val="00C555DC"/>
    <w:rsid w:val="00C55A45"/>
    <w:rsid w:val="00C56E0A"/>
    <w:rsid w:val="00C57244"/>
    <w:rsid w:val="00C57286"/>
    <w:rsid w:val="00C579F1"/>
    <w:rsid w:val="00C57F5E"/>
    <w:rsid w:val="00C606BC"/>
    <w:rsid w:val="00C607C8"/>
    <w:rsid w:val="00C60B80"/>
    <w:rsid w:val="00C61CA8"/>
    <w:rsid w:val="00C62651"/>
    <w:rsid w:val="00C62BBC"/>
    <w:rsid w:val="00C6306C"/>
    <w:rsid w:val="00C63F58"/>
    <w:rsid w:val="00C6580D"/>
    <w:rsid w:val="00C65B95"/>
    <w:rsid w:val="00C6639F"/>
    <w:rsid w:val="00C67A88"/>
    <w:rsid w:val="00C70122"/>
    <w:rsid w:val="00C70438"/>
    <w:rsid w:val="00C7152A"/>
    <w:rsid w:val="00C71764"/>
    <w:rsid w:val="00C71C49"/>
    <w:rsid w:val="00C73CFB"/>
    <w:rsid w:val="00C746C5"/>
    <w:rsid w:val="00C753A5"/>
    <w:rsid w:val="00C75D25"/>
    <w:rsid w:val="00C76972"/>
    <w:rsid w:val="00C76B4B"/>
    <w:rsid w:val="00C77665"/>
    <w:rsid w:val="00C8060C"/>
    <w:rsid w:val="00C8254C"/>
    <w:rsid w:val="00C82BFF"/>
    <w:rsid w:val="00C830BF"/>
    <w:rsid w:val="00C855A5"/>
    <w:rsid w:val="00C90B73"/>
    <w:rsid w:val="00C90BF2"/>
    <w:rsid w:val="00C91671"/>
    <w:rsid w:val="00C91F5B"/>
    <w:rsid w:val="00C92AA4"/>
    <w:rsid w:val="00C93939"/>
    <w:rsid w:val="00C97F09"/>
    <w:rsid w:val="00CA2D4C"/>
    <w:rsid w:val="00CA301E"/>
    <w:rsid w:val="00CA30B6"/>
    <w:rsid w:val="00CA4EF9"/>
    <w:rsid w:val="00CA58A9"/>
    <w:rsid w:val="00CA5B7F"/>
    <w:rsid w:val="00CA5E9E"/>
    <w:rsid w:val="00CA604B"/>
    <w:rsid w:val="00CA642F"/>
    <w:rsid w:val="00CA7E9B"/>
    <w:rsid w:val="00CB0F9D"/>
    <w:rsid w:val="00CB1004"/>
    <w:rsid w:val="00CB1AF7"/>
    <w:rsid w:val="00CB1BA7"/>
    <w:rsid w:val="00CB2CBC"/>
    <w:rsid w:val="00CB2DFE"/>
    <w:rsid w:val="00CB3112"/>
    <w:rsid w:val="00CB5933"/>
    <w:rsid w:val="00CB599B"/>
    <w:rsid w:val="00CB6C91"/>
    <w:rsid w:val="00CC192E"/>
    <w:rsid w:val="00CC25C1"/>
    <w:rsid w:val="00CC27C6"/>
    <w:rsid w:val="00CC3443"/>
    <w:rsid w:val="00CC4233"/>
    <w:rsid w:val="00CC4C6C"/>
    <w:rsid w:val="00CC4ED6"/>
    <w:rsid w:val="00CC60E6"/>
    <w:rsid w:val="00CC613F"/>
    <w:rsid w:val="00CC6A8C"/>
    <w:rsid w:val="00CC6CBA"/>
    <w:rsid w:val="00CC7A05"/>
    <w:rsid w:val="00CC7B3A"/>
    <w:rsid w:val="00CD1557"/>
    <w:rsid w:val="00CD21B8"/>
    <w:rsid w:val="00CD3CDF"/>
    <w:rsid w:val="00CD758A"/>
    <w:rsid w:val="00CE205C"/>
    <w:rsid w:val="00CE3057"/>
    <w:rsid w:val="00CE4426"/>
    <w:rsid w:val="00CE4E2F"/>
    <w:rsid w:val="00CE5867"/>
    <w:rsid w:val="00CE5A42"/>
    <w:rsid w:val="00CE5F1F"/>
    <w:rsid w:val="00CE6579"/>
    <w:rsid w:val="00CE6D99"/>
    <w:rsid w:val="00CE72D4"/>
    <w:rsid w:val="00CF0BB0"/>
    <w:rsid w:val="00CF24AA"/>
    <w:rsid w:val="00CF2867"/>
    <w:rsid w:val="00CF2ABF"/>
    <w:rsid w:val="00CF2F87"/>
    <w:rsid w:val="00CF31A4"/>
    <w:rsid w:val="00CF4B1C"/>
    <w:rsid w:val="00CF69B6"/>
    <w:rsid w:val="00CF7B05"/>
    <w:rsid w:val="00D02271"/>
    <w:rsid w:val="00D035CC"/>
    <w:rsid w:val="00D044B3"/>
    <w:rsid w:val="00D05E89"/>
    <w:rsid w:val="00D06C21"/>
    <w:rsid w:val="00D06E1D"/>
    <w:rsid w:val="00D07355"/>
    <w:rsid w:val="00D075BA"/>
    <w:rsid w:val="00D07649"/>
    <w:rsid w:val="00D1016B"/>
    <w:rsid w:val="00D104A6"/>
    <w:rsid w:val="00D110C2"/>
    <w:rsid w:val="00D1137C"/>
    <w:rsid w:val="00D1167B"/>
    <w:rsid w:val="00D11C1F"/>
    <w:rsid w:val="00D12BD1"/>
    <w:rsid w:val="00D13B37"/>
    <w:rsid w:val="00D13BBC"/>
    <w:rsid w:val="00D14211"/>
    <w:rsid w:val="00D15514"/>
    <w:rsid w:val="00D15C9E"/>
    <w:rsid w:val="00D1700E"/>
    <w:rsid w:val="00D1715F"/>
    <w:rsid w:val="00D1796B"/>
    <w:rsid w:val="00D20BB2"/>
    <w:rsid w:val="00D20D7E"/>
    <w:rsid w:val="00D2119A"/>
    <w:rsid w:val="00D21651"/>
    <w:rsid w:val="00D2172C"/>
    <w:rsid w:val="00D21A32"/>
    <w:rsid w:val="00D22905"/>
    <w:rsid w:val="00D23195"/>
    <w:rsid w:val="00D24B4B"/>
    <w:rsid w:val="00D267DA"/>
    <w:rsid w:val="00D26EC8"/>
    <w:rsid w:val="00D26F06"/>
    <w:rsid w:val="00D27235"/>
    <w:rsid w:val="00D273ED"/>
    <w:rsid w:val="00D275C1"/>
    <w:rsid w:val="00D27756"/>
    <w:rsid w:val="00D2795F"/>
    <w:rsid w:val="00D27FBB"/>
    <w:rsid w:val="00D3119C"/>
    <w:rsid w:val="00D31EC3"/>
    <w:rsid w:val="00D337AE"/>
    <w:rsid w:val="00D368AE"/>
    <w:rsid w:val="00D37524"/>
    <w:rsid w:val="00D377F6"/>
    <w:rsid w:val="00D404A5"/>
    <w:rsid w:val="00D40AC1"/>
    <w:rsid w:val="00D415AF"/>
    <w:rsid w:val="00D42A9E"/>
    <w:rsid w:val="00D45FA4"/>
    <w:rsid w:val="00D46633"/>
    <w:rsid w:val="00D471AA"/>
    <w:rsid w:val="00D51742"/>
    <w:rsid w:val="00D51FAD"/>
    <w:rsid w:val="00D5203F"/>
    <w:rsid w:val="00D5309F"/>
    <w:rsid w:val="00D55057"/>
    <w:rsid w:val="00D55A2A"/>
    <w:rsid w:val="00D560B1"/>
    <w:rsid w:val="00D564F8"/>
    <w:rsid w:val="00D6032A"/>
    <w:rsid w:val="00D6071C"/>
    <w:rsid w:val="00D61167"/>
    <w:rsid w:val="00D62F49"/>
    <w:rsid w:val="00D6503B"/>
    <w:rsid w:val="00D6552E"/>
    <w:rsid w:val="00D66305"/>
    <w:rsid w:val="00D671CF"/>
    <w:rsid w:val="00D67795"/>
    <w:rsid w:val="00D6786E"/>
    <w:rsid w:val="00D67DEC"/>
    <w:rsid w:val="00D729BC"/>
    <w:rsid w:val="00D74315"/>
    <w:rsid w:val="00D751D0"/>
    <w:rsid w:val="00D76312"/>
    <w:rsid w:val="00D76A47"/>
    <w:rsid w:val="00D80115"/>
    <w:rsid w:val="00D80491"/>
    <w:rsid w:val="00D80A5F"/>
    <w:rsid w:val="00D80A68"/>
    <w:rsid w:val="00D80A7F"/>
    <w:rsid w:val="00D83039"/>
    <w:rsid w:val="00D834AB"/>
    <w:rsid w:val="00D834AE"/>
    <w:rsid w:val="00D83882"/>
    <w:rsid w:val="00D851CF"/>
    <w:rsid w:val="00D8637F"/>
    <w:rsid w:val="00D863E8"/>
    <w:rsid w:val="00D86982"/>
    <w:rsid w:val="00D87391"/>
    <w:rsid w:val="00D87E31"/>
    <w:rsid w:val="00D91DFE"/>
    <w:rsid w:val="00D921CA"/>
    <w:rsid w:val="00D9292B"/>
    <w:rsid w:val="00D93AAD"/>
    <w:rsid w:val="00D93BAD"/>
    <w:rsid w:val="00D93BFD"/>
    <w:rsid w:val="00D93E2B"/>
    <w:rsid w:val="00D9540A"/>
    <w:rsid w:val="00D962F0"/>
    <w:rsid w:val="00D968AC"/>
    <w:rsid w:val="00D9690E"/>
    <w:rsid w:val="00D96918"/>
    <w:rsid w:val="00D9696A"/>
    <w:rsid w:val="00D96AF2"/>
    <w:rsid w:val="00D970EF"/>
    <w:rsid w:val="00D97646"/>
    <w:rsid w:val="00DA03BE"/>
    <w:rsid w:val="00DA04DF"/>
    <w:rsid w:val="00DA0C4E"/>
    <w:rsid w:val="00DA189D"/>
    <w:rsid w:val="00DA19AC"/>
    <w:rsid w:val="00DA29B2"/>
    <w:rsid w:val="00DA2E04"/>
    <w:rsid w:val="00DA3EE3"/>
    <w:rsid w:val="00DA4AEF"/>
    <w:rsid w:val="00DA5BF2"/>
    <w:rsid w:val="00DA6424"/>
    <w:rsid w:val="00DA65BE"/>
    <w:rsid w:val="00DA7BB2"/>
    <w:rsid w:val="00DB017C"/>
    <w:rsid w:val="00DB1041"/>
    <w:rsid w:val="00DB1479"/>
    <w:rsid w:val="00DB1E69"/>
    <w:rsid w:val="00DB27BE"/>
    <w:rsid w:val="00DB2B4A"/>
    <w:rsid w:val="00DB36C2"/>
    <w:rsid w:val="00DB3BB3"/>
    <w:rsid w:val="00DB726F"/>
    <w:rsid w:val="00DC0151"/>
    <w:rsid w:val="00DC07C8"/>
    <w:rsid w:val="00DC1CC7"/>
    <w:rsid w:val="00DC1D74"/>
    <w:rsid w:val="00DC220D"/>
    <w:rsid w:val="00DC2332"/>
    <w:rsid w:val="00DC28E4"/>
    <w:rsid w:val="00DC2E0C"/>
    <w:rsid w:val="00DC4764"/>
    <w:rsid w:val="00DC5AFA"/>
    <w:rsid w:val="00DC5FF1"/>
    <w:rsid w:val="00DC64EE"/>
    <w:rsid w:val="00DC73CD"/>
    <w:rsid w:val="00DC748B"/>
    <w:rsid w:val="00DC7AA5"/>
    <w:rsid w:val="00DC7AD6"/>
    <w:rsid w:val="00DC7BA6"/>
    <w:rsid w:val="00DD136D"/>
    <w:rsid w:val="00DD14F4"/>
    <w:rsid w:val="00DD1E6D"/>
    <w:rsid w:val="00DD27B1"/>
    <w:rsid w:val="00DD2B10"/>
    <w:rsid w:val="00DD3BC2"/>
    <w:rsid w:val="00DD7145"/>
    <w:rsid w:val="00DD7435"/>
    <w:rsid w:val="00DD766D"/>
    <w:rsid w:val="00DD7C94"/>
    <w:rsid w:val="00DE0E5B"/>
    <w:rsid w:val="00DE6EB7"/>
    <w:rsid w:val="00DE71A0"/>
    <w:rsid w:val="00DE779D"/>
    <w:rsid w:val="00DE789E"/>
    <w:rsid w:val="00DE7B10"/>
    <w:rsid w:val="00DE7F25"/>
    <w:rsid w:val="00DF02CF"/>
    <w:rsid w:val="00DF12F8"/>
    <w:rsid w:val="00DF2629"/>
    <w:rsid w:val="00DF34F9"/>
    <w:rsid w:val="00DF3720"/>
    <w:rsid w:val="00DF476E"/>
    <w:rsid w:val="00DF52E2"/>
    <w:rsid w:val="00DF5977"/>
    <w:rsid w:val="00DF66CF"/>
    <w:rsid w:val="00DF6A55"/>
    <w:rsid w:val="00DF6D25"/>
    <w:rsid w:val="00DF7048"/>
    <w:rsid w:val="00DF704D"/>
    <w:rsid w:val="00DF792A"/>
    <w:rsid w:val="00DF7938"/>
    <w:rsid w:val="00E004BE"/>
    <w:rsid w:val="00E014E7"/>
    <w:rsid w:val="00E0182F"/>
    <w:rsid w:val="00E01A0A"/>
    <w:rsid w:val="00E01C6E"/>
    <w:rsid w:val="00E028F2"/>
    <w:rsid w:val="00E030BA"/>
    <w:rsid w:val="00E033AB"/>
    <w:rsid w:val="00E03C37"/>
    <w:rsid w:val="00E05254"/>
    <w:rsid w:val="00E05763"/>
    <w:rsid w:val="00E06DAF"/>
    <w:rsid w:val="00E1014C"/>
    <w:rsid w:val="00E10604"/>
    <w:rsid w:val="00E11F84"/>
    <w:rsid w:val="00E1367F"/>
    <w:rsid w:val="00E1485B"/>
    <w:rsid w:val="00E14E3B"/>
    <w:rsid w:val="00E14F12"/>
    <w:rsid w:val="00E1635F"/>
    <w:rsid w:val="00E16835"/>
    <w:rsid w:val="00E16981"/>
    <w:rsid w:val="00E20466"/>
    <w:rsid w:val="00E222B1"/>
    <w:rsid w:val="00E22394"/>
    <w:rsid w:val="00E22C02"/>
    <w:rsid w:val="00E230FA"/>
    <w:rsid w:val="00E24823"/>
    <w:rsid w:val="00E24916"/>
    <w:rsid w:val="00E252C4"/>
    <w:rsid w:val="00E2558E"/>
    <w:rsid w:val="00E265EE"/>
    <w:rsid w:val="00E26AAB"/>
    <w:rsid w:val="00E26BC1"/>
    <w:rsid w:val="00E26D57"/>
    <w:rsid w:val="00E2755E"/>
    <w:rsid w:val="00E275EE"/>
    <w:rsid w:val="00E30B51"/>
    <w:rsid w:val="00E31AAD"/>
    <w:rsid w:val="00E31BBD"/>
    <w:rsid w:val="00E31C3A"/>
    <w:rsid w:val="00E32B08"/>
    <w:rsid w:val="00E331B0"/>
    <w:rsid w:val="00E33ED4"/>
    <w:rsid w:val="00E34EA3"/>
    <w:rsid w:val="00E3504E"/>
    <w:rsid w:val="00E35152"/>
    <w:rsid w:val="00E35D00"/>
    <w:rsid w:val="00E35F2A"/>
    <w:rsid w:val="00E3658A"/>
    <w:rsid w:val="00E36E5A"/>
    <w:rsid w:val="00E37776"/>
    <w:rsid w:val="00E37A54"/>
    <w:rsid w:val="00E40038"/>
    <w:rsid w:val="00E401FE"/>
    <w:rsid w:val="00E40213"/>
    <w:rsid w:val="00E41664"/>
    <w:rsid w:val="00E437C9"/>
    <w:rsid w:val="00E457EA"/>
    <w:rsid w:val="00E45E9C"/>
    <w:rsid w:val="00E46556"/>
    <w:rsid w:val="00E47769"/>
    <w:rsid w:val="00E477DC"/>
    <w:rsid w:val="00E47D9E"/>
    <w:rsid w:val="00E504C0"/>
    <w:rsid w:val="00E50710"/>
    <w:rsid w:val="00E52176"/>
    <w:rsid w:val="00E5275C"/>
    <w:rsid w:val="00E53109"/>
    <w:rsid w:val="00E561D0"/>
    <w:rsid w:val="00E56E78"/>
    <w:rsid w:val="00E575B8"/>
    <w:rsid w:val="00E601E1"/>
    <w:rsid w:val="00E6052C"/>
    <w:rsid w:val="00E60C48"/>
    <w:rsid w:val="00E61030"/>
    <w:rsid w:val="00E618F9"/>
    <w:rsid w:val="00E61AF1"/>
    <w:rsid w:val="00E623E9"/>
    <w:rsid w:val="00E627DB"/>
    <w:rsid w:val="00E63B5F"/>
    <w:rsid w:val="00E64239"/>
    <w:rsid w:val="00E659E0"/>
    <w:rsid w:val="00E66162"/>
    <w:rsid w:val="00E66D5B"/>
    <w:rsid w:val="00E670CB"/>
    <w:rsid w:val="00E67918"/>
    <w:rsid w:val="00E67BD1"/>
    <w:rsid w:val="00E7048D"/>
    <w:rsid w:val="00E70E19"/>
    <w:rsid w:val="00E71136"/>
    <w:rsid w:val="00E713A3"/>
    <w:rsid w:val="00E72DDC"/>
    <w:rsid w:val="00E73910"/>
    <w:rsid w:val="00E75131"/>
    <w:rsid w:val="00E75E8B"/>
    <w:rsid w:val="00E7700A"/>
    <w:rsid w:val="00E77B0E"/>
    <w:rsid w:val="00E80A6A"/>
    <w:rsid w:val="00E80C36"/>
    <w:rsid w:val="00E8148E"/>
    <w:rsid w:val="00E81F2A"/>
    <w:rsid w:val="00E85CC0"/>
    <w:rsid w:val="00E86964"/>
    <w:rsid w:val="00E86E2C"/>
    <w:rsid w:val="00E87752"/>
    <w:rsid w:val="00E878C0"/>
    <w:rsid w:val="00E90A93"/>
    <w:rsid w:val="00E91C6D"/>
    <w:rsid w:val="00E91E08"/>
    <w:rsid w:val="00E92407"/>
    <w:rsid w:val="00E93213"/>
    <w:rsid w:val="00E94B76"/>
    <w:rsid w:val="00E94EFA"/>
    <w:rsid w:val="00E9558B"/>
    <w:rsid w:val="00EA0565"/>
    <w:rsid w:val="00EA2D57"/>
    <w:rsid w:val="00EA378D"/>
    <w:rsid w:val="00EA3839"/>
    <w:rsid w:val="00EA3F64"/>
    <w:rsid w:val="00EA41EF"/>
    <w:rsid w:val="00EA4382"/>
    <w:rsid w:val="00EA51B2"/>
    <w:rsid w:val="00EA54D1"/>
    <w:rsid w:val="00EA597D"/>
    <w:rsid w:val="00EA668D"/>
    <w:rsid w:val="00EA75BF"/>
    <w:rsid w:val="00EB0AB3"/>
    <w:rsid w:val="00EB1AD2"/>
    <w:rsid w:val="00EB1FB8"/>
    <w:rsid w:val="00EB2374"/>
    <w:rsid w:val="00EB2DA7"/>
    <w:rsid w:val="00EB30F7"/>
    <w:rsid w:val="00EB3C34"/>
    <w:rsid w:val="00EB542B"/>
    <w:rsid w:val="00EB5ED7"/>
    <w:rsid w:val="00EB6FCC"/>
    <w:rsid w:val="00EB7408"/>
    <w:rsid w:val="00EB7D52"/>
    <w:rsid w:val="00EC1008"/>
    <w:rsid w:val="00EC1A90"/>
    <w:rsid w:val="00EC23EC"/>
    <w:rsid w:val="00EC3494"/>
    <w:rsid w:val="00EC3B18"/>
    <w:rsid w:val="00EC3B7F"/>
    <w:rsid w:val="00EC3E49"/>
    <w:rsid w:val="00EC3E4A"/>
    <w:rsid w:val="00EC3EFE"/>
    <w:rsid w:val="00EC42EE"/>
    <w:rsid w:val="00EC52D2"/>
    <w:rsid w:val="00EC5376"/>
    <w:rsid w:val="00EC5A2E"/>
    <w:rsid w:val="00EC6025"/>
    <w:rsid w:val="00EC64C4"/>
    <w:rsid w:val="00EC663C"/>
    <w:rsid w:val="00EC6A04"/>
    <w:rsid w:val="00EC6D48"/>
    <w:rsid w:val="00EC6E06"/>
    <w:rsid w:val="00EC7531"/>
    <w:rsid w:val="00EC7F87"/>
    <w:rsid w:val="00ED10AE"/>
    <w:rsid w:val="00ED3ABF"/>
    <w:rsid w:val="00ED5772"/>
    <w:rsid w:val="00ED5BBE"/>
    <w:rsid w:val="00ED5D37"/>
    <w:rsid w:val="00ED7118"/>
    <w:rsid w:val="00ED73FC"/>
    <w:rsid w:val="00EE0449"/>
    <w:rsid w:val="00EE05A3"/>
    <w:rsid w:val="00EE0672"/>
    <w:rsid w:val="00EE0F42"/>
    <w:rsid w:val="00EE1179"/>
    <w:rsid w:val="00EE16FD"/>
    <w:rsid w:val="00EE2349"/>
    <w:rsid w:val="00EE5226"/>
    <w:rsid w:val="00EE52AD"/>
    <w:rsid w:val="00EE56E8"/>
    <w:rsid w:val="00EE69CC"/>
    <w:rsid w:val="00EE6A93"/>
    <w:rsid w:val="00EE7FF0"/>
    <w:rsid w:val="00EF03FA"/>
    <w:rsid w:val="00EF07CE"/>
    <w:rsid w:val="00EF1848"/>
    <w:rsid w:val="00EF2F3B"/>
    <w:rsid w:val="00EF3869"/>
    <w:rsid w:val="00EF3DAD"/>
    <w:rsid w:val="00EF5B7B"/>
    <w:rsid w:val="00EF65E0"/>
    <w:rsid w:val="00EF6EBF"/>
    <w:rsid w:val="00EF7423"/>
    <w:rsid w:val="00EF77BB"/>
    <w:rsid w:val="00F010E4"/>
    <w:rsid w:val="00F01AF6"/>
    <w:rsid w:val="00F03526"/>
    <w:rsid w:val="00F05B62"/>
    <w:rsid w:val="00F0662A"/>
    <w:rsid w:val="00F0700F"/>
    <w:rsid w:val="00F07E24"/>
    <w:rsid w:val="00F07FA6"/>
    <w:rsid w:val="00F105E9"/>
    <w:rsid w:val="00F10EC4"/>
    <w:rsid w:val="00F111A4"/>
    <w:rsid w:val="00F11365"/>
    <w:rsid w:val="00F1271F"/>
    <w:rsid w:val="00F13C7A"/>
    <w:rsid w:val="00F15204"/>
    <w:rsid w:val="00F1621B"/>
    <w:rsid w:val="00F16F7B"/>
    <w:rsid w:val="00F17015"/>
    <w:rsid w:val="00F17D35"/>
    <w:rsid w:val="00F17E0D"/>
    <w:rsid w:val="00F20FB8"/>
    <w:rsid w:val="00F2254C"/>
    <w:rsid w:val="00F22C8D"/>
    <w:rsid w:val="00F22F84"/>
    <w:rsid w:val="00F240E9"/>
    <w:rsid w:val="00F275CE"/>
    <w:rsid w:val="00F30C90"/>
    <w:rsid w:val="00F313AC"/>
    <w:rsid w:val="00F31E6B"/>
    <w:rsid w:val="00F34792"/>
    <w:rsid w:val="00F34CD7"/>
    <w:rsid w:val="00F3636B"/>
    <w:rsid w:val="00F36A58"/>
    <w:rsid w:val="00F36B57"/>
    <w:rsid w:val="00F36EDB"/>
    <w:rsid w:val="00F37423"/>
    <w:rsid w:val="00F402B0"/>
    <w:rsid w:val="00F40B12"/>
    <w:rsid w:val="00F430E4"/>
    <w:rsid w:val="00F4326A"/>
    <w:rsid w:val="00F4360A"/>
    <w:rsid w:val="00F43DCC"/>
    <w:rsid w:val="00F43EB4"/>
    <w:rsid w:val="00F45746"/>
    <w:rsid w:val="00F46156"/>
    <w:rsid w:val="00F4720F"/>
    <w:rsid w:val="00F507C7"/>
    <w:rsid w:val="00F5167E"/>
    <w:rsid w:val="00F51753"/>
    <w:rsid w:val="00F533CB"/>
    <w:rsid w:val="00F53558"/>
    <w:rsid w:val="00F53A69"/>
    <w:rsid w:val="00F54F64"/>
    <w:rsid w:val="00F5522B"/>
    <w:rsid w:val="00F55EBF"/>
    <w:rsid w:val="00F564A5"/>
    <w:rsid w:val="00F56F4C"/>
    <w:rsid w:val="00F60110"/>
    <w:rsid w:val="00F60918"/>
    <w:rsid w:val="00F6417F"/>
    <w:rsid w:val="00F6434A"/>
    <w:rsid w:val="00F649AD"/>
    <w:rsid w:val="00F64B13"/>
    <w:rsid w:val="00F6586D"/>
    <w:rsid w:val="00F6768A"/>
    <w:rsid w:val="00F706B2"/>
    <w:rsid w:val="00F715B6"/>
    <w:rsid w:val="00F71DCD"/>
    <w:rsid w:val="00F72500"/>
    <w:rsid w:val="00F72FEF"/>
    <w:rsid w:val="00F73218"/>
    <w:rsid w:val="00F7389B"/>
    <w:rsid w:val="00F73FF7"/>
    <w:rsid w:val="00F74520"/>
    <w:rsid w:val="00F74BB2"/>
    <w:rsid w:val="00F757C8"/>
    <w:rsid w:val="00F75B48"/>
    <w:rsid w:val="00F7661C"/>
    <w:rsid w:val="00F76651"/>
    <w:rsid w:val="00F76ED2"/>
    <w:rsid w:val="00F777F8"/>
    <w:rsid w:val="00F77DD4"/>
    <w:rsid w:val="00F80F01"/>
    <w:rsid w:val="00F818D9"/>
    <w:rsid w:val="00F82056"/>
    <w:rsid w:val="00F831BF"/>
    <w:rsid w:val="00F86962"/>
    <w:rsid w:val="00F87E30"/>
    <w:rsid w:val="00F9014E"/>
    <w:rsid w:val="00F903B7"/>
    <w:rsid w:val="00F90B10"/>
    <w:rsid w:val="00F90C01"/>
    <w:rsid w:val="00F9118E"/>
    <w:rsid w:val="00F91444"/>
    <w:rsid w:val="00F9163F"/>
    <w:rsid w:val="00F929D7"/>
    <w:rsid w:val="00F92B1E"/>
    <w:rsid w:val="00F92D38"/>
    <w:rsid w:val="00F93D61"/>
    <w:rsid w:val="00F9475A"/>
    <w:rsid w:val="00F94A0F"/>
    <w:rsid w:val="00F95406"/>
    <w:rsid w:val="00F956B6"/>
    <w:rsid w:val="00F95D14"/>
    <w:rsid w:val="00F96D30"/>
    <w:rsid w:val="00FA25F4"/>
    <w:rsid w:val="00FA2DC5"/>
    <w:rsid w:val="00FA2F02"/>
    <w:rsid w:val="00FA3CCC"/>
    <w:rsid w:val="00FA4D5E"/>
    <w:rsid w:val="00FA50C9"/>
    <w:rsid w:val="00FA6CA5"/>
    <w:rsid w:val="00FA7A34"/>
    <w:rsid w:val="00FB02A7"/>
    <w:rsid w:val="00FB063A"/>
    <w:rsid w:val="00FB06DC"/>
    <w:rsid w:val="00FB088A"/>
    <w:rsid w:val="00FB12BD"/>
    <w:rsid w:val="00FB2693"/>
    <w:rsid w:val="00FB4095"/>
    <w:rsid w:val="00FB632B"/>
    <w:rsid w:val="00FB7FB1"/>
    <w:rsid w:val="00FC0201"/>
    <w:rsid w:val="00FC246F"/>
    <w:rsid w:val="00FC27F4"/>
    <w:rsid w:val="00FC41C8"/>
    <w:rsid w:val="00FC483B"/>
    <w:rsid w:val="00FC4ED9"/>
    <w:rsid w:val="00FC5059"/>
    <w:rsid w:val="00FC5995"/>
    <w:rsid w:val="00FC5F0F"/>
    <w:rsid w:val="00FD0139"/>
    <w:rsid w:val="00FD03B2"/>
    <w:rsid w:val="00FD1650"/>
    <w:rsid w:val="00FD25A1"/>
    <w:rsid w:val="00FD30D2"/>
    <w:rsid w:val="00FD4CB1"/>
    <w:rsid w:val="00FD5AA7"/>
    <w:rsid w:val="00FE1521"/>
    <w:rsid w:val="00FE176A"/>
    <w:rsid w:val="00FE22CF"/>
    <w:rsid w:val="00FE289C"/>
    <w:rsid w:val="00FE2CFE"/>
    <w:rsid w:val="00FE36C1"/>
    <w:rsid w:val="00FE3B96"/>
    <w:rsid w:val="00FE3C4D"/>
    <w:rsid w:val="00FE549B"/>
    <w:rsid w:val="00FE5BD3"/>
    <w:rsid w:val="00FE6BC2"/>
    <w:rsid w:val="00FF0B76"/>
    <w:rsid w:val="00FF1D55"/>
    <w:rsid w:val="00FF3BBB"/>
    <w:rsid w:val="00FF3D11"/>
    <w:rsid w:val="00FF3E04"/>
    <w:rsid w:val="00FF4026"/>
    <w:rsid w:val="00FF471E"/>
    <w:rsid w:val="00FF4828"/>
    <w:rsid w:val="00FF5BA5"/>
    <w:rsid w:val="00FF6C0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B6A93C"/>
  <w15:docId w15:val="{6789CD37-D8E2-4CCE-96C2-760B5B2F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Times New Roman" w:eastAsia="MS Mincho" w:hAnsi="Times New Roman" w:cs="Times New Roman"/>
      <w:szCs w:val="24"/>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NormalWeb">
    <w:name w:val="Normal (Web)"/>
    <w:basedOn w:val="Normal"/>
    <w:uiPriority w:val="99"/>
    <w:unhideWhenUsed/>
    <w:pPr>
      <w:spacing w:before="100" w:beforeAutospacing="1" w:after="100" w:afterAutospacing="1"/>
    </w:pPr>
  </w:style>
  <w:style w:type="character" w:customStyle="1" w:styleId="IPPNormalChar">
    <w:name w:val="IPP Normal Char"/>
    <w:link w:val="IPPNormal"/>
    <w:locked/>
    <w:rPr>
      <w:rFonts w:ascii="Times New Roman" w:eastAsia="Times" w:hAnsi="Times New Roman" w:cs="Times New Roman"/>
      <w:szCs w:val="24"/>
    </w:rPr>
  </w:style>
  <w:style w:type="paragraph" w:customStyle="1" w:styleId="IPPNormal">
    <w:name w:val="IPP Normal"/>
    <w:basedOn w:val="Normal"/>
    <w:link w:val="IPPNormalChar"/>
    <w:qFormat/>
    <w:pPr>
      <w:spacing w:after="180"/>
    </w:pPr>
    <w:rPr>
      <w:rFonts w:eastAsia="Times"/>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paragraph" w:customStyle="1" w:styleId="IPPNormalCloseSpace">
    <w:name w:val="IPP NormalCloseSpace"/>
    <w:basedOn w:val="Normal"/>
    <w:qFormat/>
    <w:pPr>
      <w:keepNext/>
      <w:spacing w:after="60"/>
    </w:pPr>
  </w:style>
  <w:style w:type="character" w:customStyle="1" w:styleId="IPPHeading2Char">
    <w:name w:val="IPP Heading2 Char"/>
    <w:link w:val="IPPHeading2"/>
    <w:locked/>
    <w:rPr>
      <w:rFonts w:ascii="Times New Roman" w:eastAsia="Times" w:hAnsi="Times New Roman" w:cs="Times New Roman"/>
      <w:b/>
      <w:sz w:val="24"/>
      <w:szCs w:val="24"/>
    </w:rPr>
  </w:style>
  <w:style w:type="paragraph" w:customStyle="1" w:styleId="IPPHeading2">
    <w:name w:val="IPP Heading2"/>
    <w:basedOn w:val="IPPNormal"/>
    <w:next w:val="IPPNormal"/>
    <w:link w:val="IPPHeading2Char"/>
    <w:qFormat/>
    <w:pPr>
      <w:keepNext/>
      <w:tabs>
        <w:tab w:val="left" w:pos="567"/>
      </w:tabs>
      <w:spacing w:before="120" w:after="120"/>
      <w:ind w:left="567" w:hanging="567"/>
      <w:jc w:val="left"/>
      <w:outlineLvl w:val="2"/>
    </w:pPr>
    <w:rPr>
      <w:b/>
      <w:sz w:val="24"/>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ing3">
    <w:name w:val="IPP Heading3"/>
    <w:basedOn w:val="IPPNormal"/>
    <w:qFormat/>
    <w:pPr>
      <w:keepNext/>
      <w:tabs>
        <w:tab w:val="left" w:pos="567"/>
      </w:tabs>
      <w:spacing w:before="120" w:after="120"/>
      <w:ind w:left="567" w:hanging="567"/>
    </w:pPr>
    <w:rPr>
      <w:b/>
      <w:i/>
    </w:rPr>
  </w:style>
  <w:style w:type="paragraph" w:customStyle="1" w:styleId="names">
    <w:name w:val="names"/>
    <w:basedOn w:val="Normal"/>
    <w:uiPriority w:val="99"/>
    <w:pPr>
      <w:tabs>
        <w:tab w:val="left" w:pos="2268"/>
      </w:tabs>
      <w:spacing w:after="60"/>
    </w:pPr>
    <w:rPr>
      <w:szCs w:val="20"/>
      <w:lang w:eastAsia="nl-NL"/>
    </w:rPr>
  </w:style>
  <w:style w:type="paragraph" w:customStyle="1" w:styleId="IPPQuote">
    <w:name w:val="IPP Quote"/>
    <w:basedOn w:val="IPPNormal"/>
    <w:qFormat/>
    <w:pPr>
      <w:ind w:left="851" w:right="851"/>
    </w:pPr>
    <w:rPr>
      <w:sz w:val="18"/>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MS Mincho" w:hAnsi="Times New Roman" w:cs="Times New Roman"/>
      <w:szCs w:val="24"/>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eastAsia="MS Mincho" w:hAnsi="Times New Roman" w:cs="Times New Roman"/>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qFormat/>
    <w:rPr>
      <w:rFonts w:eastAsia="Times New Roman"/>
      <w:sz w:val="20"/>
      <w:szCs w:val="20"/>
      <w:lang w:val="nl-NL" w:eastAsia="nl-NL"/>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nl-NL" w:eastAsia="nl-NL"/>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nl-NL" w:eastAsia="nl-NL"/>
    </w:rPr>
  </w:style>
  <w:style w:type="paragraph" w:styleId="BodyText2">
    <w:name w:val="Body Text 2"/>
    <w:basedOn w:val="Normal"/>
    <w:link w:val="BodyText2Char"/>
    <w:pPr>
      <w:spacing w:line="240" w:lineRule="exact"/>
    </w:pPr>
    <w:rPr>
      <w:rFonts w:eastAsia="Times New Roman"/>
      <w:lang w:eastAsia="fr-FR"/>
    </w:rPr>
  </w:style>
  <w:style w:type="character" w:customStyle="1" w:styleId="BodyText2Char">
    <w:name w:val="Body Text 2 Char"/>
    <w:basedOn w:val="DefaultParagraphFont"/>
    <w:link w:val="BodyText2"/>
    <w:rPr>
      <w:rFonts w:ascii="Times New Roman" w:eastAsia="Times New Roman" w:hAnsi="Times New Roman" w:cs="Times New Roman"/>
      <w:szCs w:val="24"/>
      <w:lang w:eastAsia="fr-FR"/>
    </w:rPr>
  </w:style>
  <w:style w:type="character" w:styleId="Emphasis">
    <w:name w:val="Emphasis"/>
    <w:basedOn w:val="DefaultParagraphFont"/>
    <w:uiPriority w:val="20"/>
    <w:qFormat/>
    <w:rPr>
      <w:i/>
      <w:iCs/>
    </w:rPr>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lang w:val="en-NZ"/>
    </w:rPr>
  </w:style>
  <w:style w:type="character" w:customStyle="1" w:styleId="apple-converted-space">
    <w:name w:val="apple-converted-space"/>
    <w:basedOn w:val="DefaultParagraphFont"/>
  </w:style>
  <w:style w:type="paragraph" w:customStyle="1" w:styleId="Style8">
    <w:name w:val="Style 8"/>
    <w:basedOn w:val="Normal"/>
    <w:pPr>
      <w:widowControl w:val="0"/>
      <w:autoSpaceDE w:val="0"/>
      <w:autoSpaceDN w:val="0"/>
      <w:spacing w:before="72"/>
      <w:ind w:left="72" w:right="72" w:firstLine="648"/>
    </w:pPr>
    <w:rPr>
      <w:rFonts w:eastAsia="Times New Roman"/>
      <w:sz w:val="24"/>
      <w:lang w:val="en-U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customStyle="1" w:styleId="EndNoteBibliography">
    <w:name w:val="EndNote Bibliography"/>
    <w:basedOn w:val="Normal"/>
    <w:link w:val="EndNoteBibliographyZchn"/>
    <w:pPr>
      <w:spacing w:after="200"/>
    </w:pPr>
    <w:rPr>
      <w:rFonts w:ascii="Calibri" w:hAnsi="Calibri"/>
      <w:lang w:val="en-US"/>
    </w:rPr>
  </w:style>
  <w:style w:type="character" w:customStyle="1" w:styleId="EndNoteBibliographyZchn">
    <w:name w:val="EndNote Bibliography Zchn"/>
    <w:basedOn w:val="DefaultParagraphFont"/>
    <w:link w:val="EndNoteBibliography"/>
    <w:rPr>
      <w:rFonts w:ascii="Calibri" w:hAnsi="Calibri"/>
      <w:lang w:val="en-US"/>
    </w:rPr>
  </w:style>
  <w:style w:type="character" w:customStyle="1" w:styleId="Heading1Char">
    <w:name w:val="Heading 1 Char"/>
    <w:basedOn w:val="DefaultParagraphFont"/>
    <w:link w:val="Heading1"/>
    <w:rPr>
      <w:rFonts w:ascii="Times New Roman" w:eastAsia="MS Mincho" w:hAnsi="Times New Roman" w:cs="Times New Roman"/>
      <w:b/>
      <w:bCs/>
      <w:szCs w:val="24"/>
    </w:rPr>
  </w:style>
  <w:style w:type="character" w:customStyle="1" w:styleId="Heading2Char">
    <w:name w:val="Heading 2 Char"/>
    <w:basedOn w:val="DefaultParagraphFont"/>
    <w:link w:val="Heading2"/>
    <w:rPr>
      <w:rFonts w:ascii="Calibri" w:eastAsia="MS Mincho" w:hAnsi="Calibri" w:cs="Times New Roman"/>
      <w:b/>
      <w:bCs/>
      <w:i/>
      <w:iCs/>
      <w:sz w:val="28"/>
      <w:szCs w:val="28"/>
    </w:rPr>
  </w:style>
  <w:style w:type="character" w:customStyle="1" w:styleId="Heading3Char">
    <w:name w:val="Heading 3 Char"/>
    <w:basedOn w:val="DefaultParagraphFont"/>
    <w:link w:val="Heading3"/>
    <w:uiPriority w:val="9"/>
    <w:rPr>
      <w:rFonts w:ascii="Calibri" w:eastAsia="MS Mincho" w:hAnsi="Calibri" w:cs="Times New Roman"/>
      <w:b/>
      <w:bCs/>
      <w:sz w:val="26"/>
      <w:szCs w:val="26"/>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ascii="Times New Roman" w:eastAsia="MS Mincho" w:hAnsi="Times New Roman" w:cs="Times New Roman"/>
      <w:sz w:val="20"/>
      <w:szCs w:val="24"/>
    </w:rPr>
  </w:style>
  <w:style w:type="character" w:styleId="FootnoteReference">
    <w:name w:val="footnote reference"/>
    <w:aliases w:val="Footnote text,Ref,de nota al pie,Footnote Reference1,Ref1,de nota al pie1,註腳內容,de nota al pie + (Asian) MS Mincho,11 pt,16 Point,Superscript 6 Point"/>
    <w:basedOn w:val="DefaultParagraphFont"/>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Pr>
      <w:rFonts w:ascii="Arial" w:hAnsi="Arial"/>
      <w:b/>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table" w:styleId="TableGrid">
    <w:name w:val="Table Grid"/>
    <w:basedOn w:val="TableNormal"/>
    <w:uiPriority w:val="59"/>
    <w:pPr>
      <w:spacing w:after="0" w:line="240" w:lineRule="auto"/>
    </w:pPr>
    <w:rPr>
      <w:rFonts w:ascii="Cambria" w:eastAsia="MS Mincho"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PBullet2">
    <w:name w:val="IPP Bullet2"/>
    <w:basedOn w:val="IPPNormal"/>
    <w:next w:val="IPPBullet1"/>
    <w:qFormat/>
    <w:pPr>
      <w:numPr>
        <w:numId w:val="4"/>
      </w:numPr>
      <w:tabs>
        <w:tab w:val="left" w:pos="1134"/>
      </w:tabs>
      <w:spacing w:after="60"/>
      <w:ind w:left="1134" w:hanging="567"/>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character" w:customStyle="1" w:styleId="IPPnormalitalics">
    <w:name w:val="IPP normal italics"/>
    <w:basedOn w:val="DefaultParagraphFont"/>
    <w:rPr>
      <w:rFonts w:ascii="Times New Roman" w:hAnsi="Times New Roman"/>
      <w:i/>
      <w:sz w:val="22"/>
      <w:lang w:val="en-US"/>
    </w:rPr>
  </w:style>
  <w:style w:type="character" w:customStyle="1" w:styleId="IPPNormalbold">
    <w:name w:val="IPP Normal bold"/>
    <w:basedOn w:val="PlainTextChar"/>
    <w:rPr>
      <w:rFonts w:ascii="Times New Roman" w:eastAsia="Times" w:hAnsi="Times New Roman" w:cs="Times New Roman"/>
      <w:b/>
      <w:sz w:val="22"/>
      <w:szCs w:val="21"/>
      <w:lang w:val="en-AU"/>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en-US"/>
    </w:rPr>
  </w:style>
  <w:style w:type="paragraph" w:customStyle="1" w:styleId="IPPBullet1">
    <w:name w:val="IPP Bullet1"/>
    <w:basedOn w:val="IPPBullet1Last"/>
    <w:qFormat/>
    <w:pPr>
      <w:numPr>
        <w:numId w:val="9"/>
      </w:numPr>
      <w:spacing w:after="60"/>
      <w:ind w:left="567" w:hanging="567"/>
    </w:pPr>
    <w:rPr>
      <w:lang w:val="en-US"/>
    </w:rPr>
  </w:style>
  <w:style w:type="paragraph" w:customStyle="1" w:styleId="IPPBullet1Last">
    <w:name w:val="IPP Bullet1Last"/>
    <w:basedOn w:val="IPPNormal"/>
    <w:next w:val="IPPNormal"/>
    <w:autoRedefine/>
    <w:qFormat/>
    <w:rsid w:val="00067B2E"/>
    <w:pPr>
      <w:numPr>
        <w:numId w:val="5"/>
      </w:numPr>
    </w:pPr>
    <w:rPr>
      <w:szCs w:val="22"/>
    </w:r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lang w:val="en-US"/>
    </w:rPr>
  </w:style>
  <w:style w:type="numbering" w:customStyle="1" w:styleId="IPPParagraphnumberedlist">
    <w:name w:val="IPP Paragraph numbered list"/>
    <w:pPr>
      <w:numPr>
        <w:numId w:val="3"/>
      </w:numPr>
    </w:p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rsid w:val="004A3666"/>
    <w:pPr>
      <w:keepNext w:val="0"/>
      <w:tabs>
        <w:tab w:val="left" w:pos="425"/>
      </w:tabs>
      <w:spacing w:before="120" w:after="0"/>
      <w:ind w:left="425" w:hanging="425"/>
    </w:pPr>
  </w:style>
  <w:style w:type="paragraph" w:styleId="TOC3">
    <w:name w:val="toc 3"/>
    <w:basedOn w:val="TOC2"/>
    <w:next w:val="Normal"/>
    <w:autoRedefine/>
    <w:uiPriority w:val="39"/>
    <w:rsid w:val="000D30A5"/>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lang w:val="en-AU"/>
    </w:rPr>
  </w:style>
  <w:style w:type="paragraph" w:styleId="TOC5">
    <w:name w:val="toc 5"/>
    <w:basedOn w:val="Normal"/>
    <w:next w:val="Normal"/>
    <w:autoRedefine/>
    <w:uiPriority w:val="39"/>
    <w:pPr>
      <w:spacing w:after="120"/>
      <w:ind w:left="880"/>
    </w:pPr>
    <w:rPr>
      <w:rFonts w:eastAsia="Times"/>
      <w:lang w:val="en-AU"/>
    </w:rPr>
  </w:style>
  <w:style w:type="paragraph" w:styleId="TOC6">
    <w:name w:val="toc 6"/>
    <w:basedOn w:val="Normal"/>
    <w:next w:val="Normal"/>
    <w:autoRedefine/>
    <w:uiPriority w:val="39"/>
    <w:pPr>
      <w:spacing w:after="120"/>
      <w:ind w:left="1100"/>
    </w:pPr>
    <w:rPr>
      <w:rFonts w:eastAsia="Times"/>
      <w:lang w:val="en-AU"/>
    </w:rPr>
  </w:style>
  <w:style w:type="paragraph" w:styleId="TOC7">
    <w:name w:val="toc 7"/>
    <w:basedOn w:val="Normal"/>
    <w:next w:val="Normal"/>
    <w:autoRedefine/>
    <w:uiPriority w:val="39"/>
    <w:pPr>
      <w:spacing w:after="120"/>
      <w:ind w:left="1320"/>
    </w:pPr>
    <w:rPr>
      <w:rFonts w:eastAsia="Times"/>
      <w:lang w:val="en-AU"/>
    </w:rPr>
  </w:style>
  <w:style w:type="paragraph" w:styleId="TOC8">
    <w:name w:val="toc 8"/>
    <w:basedOn w:val="Normal"/>
    <w:next w:val="Normal"/>
    <w:autoRedefine/>
    <w:uiPriority w:val="39"/>
    <w:pPr>
      <w:spacing w:after="120"/>
      <w:ind w:left="1540"/>
    </w:pPr>
    <w:rPr>
      <w:rFonts w:eastAsia="Times"/>
      <w:lang w:val="en-AU"/>
    </w:rPr>
  </w:style>
  <w:style w:type="paragraph" w:styleId="TOC9">
    <w:name w:val="toc 9"/>
    <w:basedOn w:val="Normal"/>
    <w:next w:val="Normal"/>
    <w:autoRedefine/>
    <w:uiPriority w:val="39"/>
    <w:pPr>
      <w:spacing w:after="120"/>
      <w:ind w:left="1760"/>
    </w:pPr>
    <w:rPr>
      <w:rFonts w:eastAsia="Times"/>
      <w:lang w:val="en-AU"/>
    </w:r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styleId="PlainText">
    <w:name w:val="Plain Text"/>
    <w:basedOn w:val="Normal"/>
    <w:link w:val="PlainTextChar"/>
    <w:uiPriority w:val="99"/>
    <w:unhideWhenUsed/>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Pr>
      <w:rFonts w:ascii="Courier" w:eastAsia="Times" w:hAnsi="Courier" w:cs="Times New Roman"/>
      <w:sz w:val="21"/>
      <w:szCs w:val="21"/>
      <w:lang w:val="en-AU"/>
    </w:rPr>
  </w:style>
  <w:style w:type="paragraph" w:customStyle="1" w:styleId="IPPLetterList">
    <w:name w:val="IPP LetterList"/>
    <w:basedOn w:val="IPPBullet2"/>
    <w:qFormat/>
    <w:pPr>
      <w:numPr>
        <w:numId w:val="1"/>
      </w:numPr>
      <w:jc w:val="left"/>
    </w:pPr>
  </w:style>
  <w:style w:type="paragraph" w:customStyle="1" w:styleId="IPPLetterListIndent">
    <w:name w:val="IPP LetterList Indent"/>
    <w:basedOn w:val="IPPLetterList"/>
    <w:qFormat/>
    <w:pPr>
      <w:numPr>
        <w:numId w:val="2"/>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6"/>
      </w:numPr>
    </w:pPr>
  </w:style>
  <w:style w:type="paragraph" w:customStyle="1" w:styleId="IPPHdg2Num">
    <w:name w:val="IPP Hdg2Num"/>
    <w:basedOn w:val="IPPHeading2"/>
    <w:next w:val="IPPNormal"/>
    <w:qFormat/>
    <w:pPr>
      <w:numPr>
        <w:ilvl w:val="1"/>
        <w:numId w:val="7"/>
      </w:numPr>
    </w:pPr>
  </w:style>
  <w:style w:type="paragraph" w:customStyle="1" w:styleId="IPPNumberedList">
    <w:name w:val="IPP NumberedList"/>
    <w:basedOn w:val="IPPBullet1"/>
    <w:qFormat/>
    <w:pPr>
      <w:tabs>
        <w:tab w:val="num" w:pos="567"/>
      </w:tabs>
    </w:pPr>
  </w:style>
  <w:style w:type="character" w:styleId="Strong">
    <w:name w:val="Strong"/>
    <w:basedOn w:val="DefaultParagraphFont"/>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val="nl-NL" w:eastAsia="nl-NL"/>
    </w:rPr>
  </w:style>
  <w:style w:type="paragraph" w:customStyle="1" w:styleId="IPPParagraphnumbering">
    <w:name w:val="IPP Paragraph numbering"/>
    <w:basedOn w:val="IPPNormal"/>
    <w:qFormat/>
    <w:pPr>
      <w:numPr>
        <w:numId w:val="8"/>
      </w:numPr>
    </w:pPr>
    <w:rPr>
      <w:lang w:val="en-US"/>
    </w:rPr>
  </w:style>
  <w:style w:type="paragraph" w:customStyle="1" w:styleId="IPPParagraphnumberingclose">
    <w:name w:val="IPP Paragraph numbering close"/>
    <w:basedOn w:val="IPPParagraphnumbering"/>
    <w:qFormat/>
    <w:pPr>
      <w:keepNext/>
      <w:spacing w:after="60"/>
    </w:pPr>
  </w:style>
  <w:style w:type="paragraph" w:customStyle="1" w:styleId="IPPNumberedListLast">
    <w:name w:val="IPP NumberedListLast"/>
    <w:basedOn w:val="IPPNumberedList"/>
    <w:qFormat/>
    <w:pPr>
      <w:spacing w:after="180"/>
    </w:pPr>
  </w:style>
  <w:style w:type="paragraph" w:styleId="Revision">
    <w:name w:val="Revision"/>
    <w:hidden/>
    <w:uiPriority w:val="99"/>
    <w:semiHidden/>
    <w:pPr>
      <w:spacing w:after="0" w:line="240" w:lineRule="auto"/>
    </w:pPr>
    <w:rPr>
      <w:rFonts w:ascii="Times New Roman" w:eastAsia="MS Mincho" w:hAnsi="Times New Roman" w:cs="Times New Roman"/>
      <w:szCs w:val="24"/>
    </w:rPr>
  </w:style>
  <w:style w:type="character" w:styleId="PlaceholderText">
    <w:name w:val="Placeholder Text"/>
    <w:basedOn w:val="DefaultParagraphFont"/>
    <w:uiPriority w:val="99"/>
    <w:semiHidden/>
    <w:rPr>
      <w:color w:val="808080"/>
    </w:rPr>
  </w:style>
  <w:style w:type="character" w:customStyle="1" w:styleId="PleaseReviewParagraphId">
    <w:name w:val="PleaseReviewParagraphId"/>
    <w:rPr>
      <w:rFonts w:ascii="Arial" w:hAnsi="Arial"/>
      <w:b w:val="0"/>
      <w:i w:val="0"/>
      <w:color w:val="000080"/>
      <w:sz w:val="16"/>
      <w:u w:val="none"/>
    </w:rPr>
  </w:style>
  <w:style w:type="character" w:customStyle="1" w:styleId="A4">
    <w:name w:val="A4"/>
    <w:uiPriority w:val="99"/>
    <w:rPr>
      <w:rFonts w:cs="Palatino"/>
      <w:b/>
      <w:bCs/>
      <w:color w:val="000000"/>
      <w:sz w:val="22"/>
      <w:szCs w:val="22"/>
    </w:rPr>
  </w:style>
  <w:style w:type="character" w:customStyle="1" w:styleId="UnresolvedMention1">
    <w:name w:val="Unresolved Mention1"/>
    <w:basedOn w:val="DefaultParagraphFont"/>
    <w:uiPriority w:val="99"/>
    <w:semiHidden/>
    <w:unhideWhenUsed/>
    <w:rsid w:val="00150DA3"/>
    <w:rPr>
      <w:color w:val="808080"/>
      <w:shd w:val="clear" w:color="auto" w:fill="E6E6E6"/>
    </w:rPr>
  </w:style>
  <w:style w:type="character" w:customStyle="1" w:styleId="fontstyle01">
    <w:name w:val="fontstyle01"/>
    <w:basedOn w:val="DefaultParagraphFont"/>
    <w:rsid w:val="00B43647"/>
    <w:rPr>
      <w:rFonts w:ascii="AdvPSHEL-B" w:hAnsi="AdvPSHEL-B" w:hint="default"/>
      <w:b w:val="0"/>
      <w:bCs w:val="0"/>
      <w:i w:val="0"/>
      <w:iCs w:val="0"/>
      <w:color w:val="231F20"/>
      <w:sz w:val="28"/>
      <w:szCs w:val="28"/>
    </w:rPr>
  </w:style>
  <w:style w:type="paragraph" w:styleId="EndnoteText">
    <w:name w:val="endnote text"/>
    <w:basedOn w:val="Normal"/>
    <w:link w:val="EndnoteTextChar"/>
    <w:uiPriority w:val="99"/>
    <w:semiHidden/>
    <w:unhideWhenUsed/>
    <w:rsid w:val="00761938"/>
    <w:pPr>
      <w:jc w:val="left"/>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61938"/>
    <w:rPr>
      <w:rFonts w:eastAsiaTheme="minorHAnsi"/>
      <w:sz w:val="20"/>
      <w:szCs w:val="20"/>
    </w:rPr>
  </w:style>
  <w:style w:type="character" w:customStyle="1" w:styleId="ippcfootnotetext">
    <w:name w:val="ippcfootnotetext"/>
    <w:rsid w:val="00511295"/>
  </w:style>
  <w:style w:type="paragraph" w:styleId="NoSpacing">
    <w:name w:val="No Spacing"/>
    <w:uiPriority w:val="1"/>
    <w:qFormat/>
    <w:rsid w:val="00C60B80"/>
    <w:pPr>
      <w:spacing w:after="0" w:line="240" w:lineRule="auto"/>
    </w:pPr>
    <w:rPr>
      <w:rFonts w:ascii="Times New Roman" w:eastAsia="Times New Roman" w:hAnsi="Times New Roman" w:cs="Times New Roman"/>
      <w:sz w:val="24"/>
      <w:szCs w:val="24"/>
    </w:rPr>
  </w:style>
  <w:style w:type="character" w:customStyle="1" w:styleId="html-italic">
    <w:name w:val="html-italic"/>
    <w:basedOn w:val="DefaultParagraphFont"/>
    <w:rsid w:val="0033194B"/>
  </w:style>
  <w:style w:type="paragraph" w:customStyle="1" w:styleId="ECVSectionDetails">
    <w:name w:val="_ECV_SectionDetails"/>
    <w:basedOn w:val="Normal"/>
    <w:rsid w:val="00096ED7"/>
    <w:pPr>
      <w:widowControl w:val="0"/>
      <w:suppressLineNumbers/>
      <w:suppressAutoHyphens/>
      <w:autoSpaceDE w:val="0"/>
      <w:spacing w:before="28" w:line="100" w:lineRule="atLeast"/>
      <w:jc w:val="left"/>
    </w:pPr>
    <w:rPr>
      <w:rFonts w:ascii="Arial" w:eastAsia="SimSun" w:hAnsi="Arial" w:cs="Mangal"/>
      <w:color w:val="3F3A38"/>
      <w:spacing w:val="-6"/>
      <w:kern w:val="1"/>
      <w:sz w:val="18"/>
      <w:lang w:val="fr-FR" w:eastAsia="hi-IN" w:bidi="hi-IN"/>
    </w:rPr>
  </w:style>
  <w:style w:type="character" w:customStyle="1" w:styleId="nlmstring-name">
    <w:name w:val="nlm_string-name"/>
    <w:rsid w:val="00C76972"/>
  </w:style>
  <w:style w:type="character" w:customStyle="1" w:styleId="nlmx">
    <w:name w:val="nlm_x"/>
    <w:rsid w:val="00C76972"/>
  </w:style>
  <w:style w:type="paragraph" w:customStyle="1" w:styleId="nova-legacy-e-listitem">
    <w:name w:val="nova-legacy-e-list__item"/>
    <w:basedOn w:val="Normal"/>
    <w:rsid w:val="002211B8"/>
    <w:pPr>
      <w:spacing w:before="100" w:beforeAutospacing="1" w:after="100" w:afterAutospacing="1"/>
      <w:jc w:val="left"/>
    </w:pPr>
    <w:rPr>
      <w:rFonts w:eastAsia="Times New Roman"/>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0412">
      <w:bodyDiv w:val="1"/>
      <w:marLeft w:val="0"/>
      <w:marRight w:val="0"/>
      <w:marTop w:val="0"/>
      <w:marBottom w:val="0"/>
      <w:divBdr>
        <w:top w:val="none" w:sz="0" w:space="0" w:color="auto"/>
        <w:left w:val="none" w:sz="0" w:space="0" w:color="auto"/>
        <w:bottom w:val="none" w:sz="0" w:space="0" w:color="auto"/>
        <w:right w:val="none" w:sz="0" w:space="0" w:color="auto"/>
      </w:divBdr>
    </w:div>
    <w:div w:id="98915720">
      <w:bodyDiv w:val="1"/>
      <w:marLeft w:val="0"/>
      <w:marRight w:val="0"/>
      <w:marTop w:val="0"/>
      <w:marBottom w:val="0"/>
      <w:divBdr>
        <w:top w:val="none" w:sz="0" w:space="0" w:color="auto"/>
        <w:left w:val="none" w:sz="0" w:space="0" w:color="auto"/>
        <w:bottom w:val="none" w:sz="0" w:space="0" w:color="auto"/>
        <w:right w:val="none" w:sz="0" w:space="0" w:color="auto"/>
      </w:divBdr>
    </w:div>
    <w:div w:id="210777401">
      <w:bodyDiv w:val="1"/>
      <w:marLeft w:val="0"/>
      <w:marRight w:val="0"/>
      <w:marTop w:val="0"/>
      <w:marBottom w:val="0"/>
      <w:divBdr>
        <w:top w:val="none" w:sz="0" w:space="0" w:color="auto"/>
        <w:left w:val="none" w:sz="0" w:space="0" w:color="auto"/>
        <w:bottom w:val="none" w:sz="0" w:space="0" w:color="auto"/>
        <w:right w:val="none" w:sz="0" w:space="0" w:color="auto"/>
      </w:divBdr>
    </w:div>
    <w:div w:id="214588435">
      <w:bodyDiv w:val="1"/>
      <w:marLeft w:val="0"/>
      <w:marRight w:val="0"/>
      <w:marTop w:val="0"/>
      <w:marBottom w:val="0"/>
      <w:divBdr>
        <w:top w:val="none" w:sz="0" w:space="0" w:color="auto"/>
        <w:left w:val="none" w:sz="0" w:space="0" w:color="auto"/>
        <w:bottom w:val="none" w:sz="0" w:space="0" w:color="auto"/>
        <w:right w:val="none" w:sz="0" w:space="0" w:color="auto"/>
      </w:divBdr>
    </w:div>
    <w:div w:id="300110704">
      <w:bodyDiv w:val="1"/>
      <w:marLeft w:val="0"/>
      <w:marRight w:val="0"/>
      <w:marTop w:val="0"/>
      <w:marBottom w:val="0"/>
      <w:divBdr>
        <w:top w:val="none" w:sz="0" w:space="0" w:color="auto"/>
        <w:left w:val="none" w:sz="0" w:space="0" w:color="auto"/>
        <w:bottom w:val="none" w:sz="0" w:space="0" w:color="auto"/>
        <w:right w:val="none" w:sz="0" w:space="0" w:color="auto"/>
      </w:divBdr>
    </w:div>
    <w:div w:id="340206594">
      <w:bodyDiv w:val="1"/>
      <w:marLeft w:val="0"/>
      <w:marRight w:val="0"/>
      <w:marTop w:val="0"/>
      <w:marBottom w:val="0"/>
      <w:divBdr>
        <w:top w:val="none" w:sz="0" w:space="0" w:color="auto"/>
        <w:left w:val="none" w:sz="0" w:space="0" w:color="auto"/>
        <w:bottom w:val="none" w:sz="0" w:space="0" w:color="auto"/>
        <w:right w:val="none" w:sz="0" w:space="0" w:color="auto"/>
      </w:divBdr>
    </w:div>
    <w:div w:id="369427794">
      <w:bodyDiv w:val="1"/>
      <w:marLeft w:val="0"/>
      <w:marRight w:val="0"/>
      <w:marTop w:val="0"/>
      <w:marBottom w:val="0"/>
      <w:divBdr>
        <w:top w:val="none" w:sz="0" w:space="0" w:color="auto"/>
        <w:left w:val="none" w:sz="0" w:space="0" w:color="auto"/>
        <w:bottom w:val="none" w:sz="0" w:space="0" w:color="auto"/>
        <w:right w:val="none" w:sz="0" w:space="0" w:color="auto"/>
      </w:divBdr>
    </w:div>
    <w:div w:id="466052111">
      <w:bodyDiv w:val="1"/>
      <w:marLeft w:val="0"/>
      <w:marRight w:val="0"/>
      <w:marTop w:val="0"/>
      <w:marBottom w:val="0"/>
      <w:divBdr>
        <w:top w:val="none" w:sz="0" w:space="0" w:color="auto"/>
        <w:left w:val="none" w:sz="0" w:space="0" w:color="auto"/>
        <w:bottom w:val="none" w:sz="0" w:space="0" w:color="auto"/>
        <w:right w:val="none" w:sz="0" w:space="0" w:color="auto"/>
      </w:divBdr>
    </w:div>
    <w:div w:id="747921662">
      <w:bodyDiv w:val="1"/>
      <w:marLeft w:val="0"/>
      <w:marRight w:val="0"/>
      <w:marTop w:val="0"/>
      <w:marBottom w:val="0"/>
      <w:divBdr>
        <w:top w:val="none" w:sz="0" w:space="0" w:color="auto"/>
        <w:left w:val="none" w:sz="0" w:space="0" w:color="auto"/>
        <w:bottom w:val="none" w:sz="0" w:space="0" w:color="auto"/>
        <w:right w:val="none" w:sz="0" w:space="0" w:color="auto"/>
      </w:divBdr>
    </w:div>
    <w:div w:id="778909502">
      <w:bodyDiv w:val="1"/>
      <w:marLeft w:val="0"/>
      <w:marRight w:val="0"/>
      <w:marTop w:val="0"/>
      <w:marBottom w:val="0"/>
      <w:divBdr>
        <w:top w:val="none" w:sz="0" w:space="0" w:color="auto"/>
        <w:left w:val="none" w:sz="0" w:space="0" w:color="auto"/>
        <w:bottom w:val="none" w:sz="0" w:space="0" w:color="auto"/>
        <w:right w:val="none" w:sz="0" w:space="0" w:color="auto"/>
      </w:divBdr>
      <w:divsChild>
        <w:div w:id="1377925617">
          <w:marLeft w:val="0"/>
          <w:marRight w:val="0"/>
          <w:marTop w:val="0"/>
          <w:marBottom w:val="0"/>
          <w:divBdr>
            <w:top w:val="none" w:sz="0" w:space="0" w:color="auto"/>
            <w:left w:val="none" w:sz="0" w:space="0" w:color="auto"/>
            <w:bottom w:val="none" w:sz="0" w:space="0" w:color="auto"/>
            <w:right w:val="none" w:sz="0" w:space="0" w:color="auto"/>
          </w:divBdr>
          <w:divsChild>
            <w:div w:id="1366174875">
              <w:marLeft w:val="0"/>
              <w:marRight w:val="0"/>
              <w:marTop w:val="0"/>
              <w:marBottom w:val="0"/>
              <w:divBdr>
                <w:top w:val="none" w:sz="0" w:space="0" w:color="auto"/>
                <w:left w:val="none" w:sz="0" w:space="0" w:color="auto"/>
                <w:bottom w:val="none" w:sz="0" w:space="0" w:color="auto"/>
                <w:right w:val="none" w:sz="0" w:space="0" w:color="auto"/>
              </w:divBdr>
              <w:divsChild>
                <w:div w:id="418789389">
                  <w:marLeft w:val="0"/>
                  <w:marRight w:val="0"/>
                  <w:marTop w:val="0"/>
                  <w:marBottom w:val="0"/>
                  <w:divBdr>
                    <w:top w:val="none" w:sz="0" w:space="0" w:color="auto"/>
                    <w:left w:val="none" w:sz="0" w:space="0" w:color="auto"/>
                    <w:bottom w:val="none" w:sz="0" w:space="0" w:color="auto"/>
                    <w:right w:val="none" w:sz="0" w:space="0" w:color="auto"/>
                  </w:divBdr>
                  <w:divsChild>
                    <w:div w:id="1881285678">
                      <w:marLeft w:val="0"/>
                      <w:marRight w:val="0"/>
                      <w:marTop w:val="0"/>
                      <w:marBottom w:val="0"/>
                      <w:divBdr>
                        <w:top w:val="none" w:sz="0" w:space="0" w:color="auto"/>
                        <w:left w:val="none" w:sz="0" w:space="0" w:color="auto"/>
                        <w:bottom w:val="none" w:sz="0" w:space="0" w:color="auto"/>
                        <w:right w:val="none" w:sz="0" w:space="0" w:color="auto"/>
                      </w:divBdr>
                      <w:divsChild>
                        <w:div w:id="216402801">
                          <w:marLeft w:val="0"/>
                          <w:marRight w:val="0"/>
                          <w:marTop w:val="0"/>
                          <w:marBottom w:val="0"/>
                          <w:divBdr>
                            <w:top w:val="none" w:sz="0" w:space="0" w:color="auto"/>
                            <w:left w:val="none" w:sz="0" w:space="0" w:color="auto"/>
                            <w:bottom w:val="none" w:sz="0" w:space="0" w:color="auto"/>
                            <w:right w:val="none" w:sz="0" w:space="0" w:color="auto"/>
                          </w:divBdr>
                          <w:divsChild>
                            <w:div w:id="808474700">
                              <w:marLeft w:val="0"/>
                              <w:marRight w:val="0"/>
                              <w:marTop w:val="0"/>
                              <w:marBottom w:val="0"/>
                              <w:divBdr>
                                <w:top w:val="none" w:sz="0" w:space="0" w:color="auto"/>
                                <w:left w:val="none" w:sz="0" w:space="0" w:color="auto"/>
                                <w:bottom w:val="none" w:sz="0" w:space="0" w:color="auto"/>
                                <w:right w:val="none" w:sz="0" w:space="0" w:color="auto"/>
                              </w:divBdr>
                              <w:divsChild>
                                <w:div w:id="20250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155638">
      <w:bodyDiv w:val="1"/>
      <w:marLeft w:val="0"/>
      <w:marRight w:val="0"/>
      <w:marTop w:val="0"/>
      <w:marBottom w:val="0"/>
      <w:divBdr>
        <w:top w:val="none" w:sz="0" w:space="0" w:color="auto"/>
        <w:left w:val="none" w:sz="0" w:space="0" w:color="auto"/>
        <w:bottom w:val="none" w:sz="0" w:space="0" w:color="auto"/>
        <w:right w:val="none" w:sz="0" w:space="0" w:color="auto"/>
      </w:divBdr>
    </w:div>
    <w:div w:id="938102348">
      <w:bodyDiv w:val="1"/>
      <w:marLeft w:val="0"/>
      <w:marRight w:val="0"/>
      <w:marTop w:val="0"/>
      <w:marBottom w:val="0"/>
      <w:divBdr>
        <w:top w:val="none" w:sz="0" w:space="0" w:color="auto"/>
        <w:left w:val="none" w:sz="0" w:space="0" w:color="auto"/>
        <w:bottom w:val="none" w:sz="0" w:space="0" w:color="auto"/>
        <w:right w:val="none" w:sz="0" w:space="0" w:color="auto"/>
      </w:divBdr>
    </w:div>
    <w:div w:id="1053696774">
      <w:bodyDiv w:val="1"/>
      <w:marLeft w:val="0"/>
      <w:marRight w:val="0"/>
      <w:marTop w:val="0"/>
      <w:marBottom w:val="0"/>
      <w:divBdr>
        <w:top w:val="none" w:sz="0" w:space="0" w:color="auto"/>
        <w:left w:val="none" w:sz="0" w:space="0" w:color="auto"/>
        <w:bottom w:val="none" w:sz="0" w:space="0" w:color="auto"/>
        <w:right w:val="none" w:sz="0" w:space="0" w:color="auto"/>
      </w:divBdr>
    </w:div>
    <w:div w:id="1189835302">
      <w:bodyDiv w:val="1"/>
      <w:marLeft w:val="0"/>
      <w:marRight w:val="0"/>
      <w:marTop w:val="0"/>
      <w:marBottom w:val="0"/>
      <w:divBdr>
        <w:top w:val="none" w:sz="0" w:space="0" w:color="auto"/>
        <w:left w:val="none" w:sz="0" w:space="0" w:color="auto"/>
        <w:bottom w:val="none" w:sz="0" w:space="0" w:color="auto"/>
        <w:right w:val="none" w:sz="0" w:space="0" w:color="auto"/>
      </w:divBdr>
    </w:div>
    <w:div w:id="1781102222">
      <w:bodyDiv w:val="1"/>
      <w:marLeft w:val="0"/>
      <w:marRight w:val="0"/>
      <w:marTop w:val="0"/>
      <w:marBottom w:val="0"/>
      <w:divBdr>
        <w:top w:val="none" w:sz="0" w:space="0" w:color="auto"/>
        <w:left w:val="none" w:sz="0" w:space="0" w:color="auto"/>
        <w:bottom w:val="none" w:sz="0" w:space="0" w:color="auto"/>
        <w:right w:val="none" w:sz="0" w:space="0" w:color="auto"/>
      </w:divBdr>
      <w:divsChild>
        <w:div w:id="1758017642">
          <w:marLeft w:val="0"/>
          <w:marRight w:val="0"/>
          <w:marTop w:val="0"/>
          <w:marBottom w:val="0"/>
          <w:divBdr>
            <w:top w:val="none" w:sz="0" w:space="0" w:color="auto"/>
            <w:left w:val="none" w:sz="0" w:space="0" w:color="auto"/>
            <w:bottom w:val="none" w:sz="0" w:space="0" w:color="auto"/>
            <w:right w:val="none" w:sz="0" w:space="0" w:color="auto"/>
          </w:divBdr>
        </w:div>
        <w:div w:id="1431193429">
          <w:marLeft w:val="0"/>
          <w:marRight w:val="0"/>
          <w:marTop w:val="0"/>
          <w:marBottom w:val="0"/>
          <w:divBdr>
            <w:top w:val="none" w:sz="0" w:space="0" w:color="auto"/>
            <w:left w:val="none" w:sz="0" w:space="0" w:color="auto"/>
            <w:bottom w:val="none" w:sz="0" w:space="0" w:color="auto"/>
            <w:right w:val="none" w:sz="0" w:space="0" w:color="auto"/>
          </w:divBdr>
        </w:div>
        <w:div w:id="483205132">
          <w:marLeft w:val="0"/>
          <w:marRight w:val="0"/>
          <w:marTop w:val="0"/>
          <w:marBottom w:val="0"/>
          <w:divBdr>
            <w:top w:val="none" w:sz="0" w:space="0" w:color="auto"/>
            <w:left w:val="none" w:sz="0" w:space="0" w:color="auto"/>
            <w:bottom w:val="none" w:sz="0" w:space="0" w:color="auto"/>
            <w:right w:val="none" w:sz="0" w:space="0" w:color="auto"/>
          </w:divBdr>
        </w:div>
        <w:div w:id="276370539">
          <w:marLeft w:val="0"/>
          <w:marRight w:val="0"/>
          <w:marTop w:val="0"/>
          <w:marBottom w:val="0"/>
          <w:divBdr>
            <w:top w:val="none" w:sz="0" w:space="0" w:color="auto"/>
            <w:left w:val="none" w:sz="0" w:space="0" w:color="auto"/>
            <w:bottom w:val="none" w:sz="0" w:space="0" w:color="auto"/>
            <w:right w:val="none" w:sz="0" w:space="0" w:color="auto"/>
          </w:divBdr>
        </w:div>
        <w:div w:id="1563520022">
          <w:marLeft w:val="0"/>
          <w:marRight w:val="0"/>
          <w:marTop w:val="0"/>
          <w:marBottom w:val="0"/>
          <w:divBdr>
            <w:top w:val="none" w:sz="0" w:space="0" w:color="auto"/>
            <w:left w:val="none" w:sz="0" w:space="0" w:color="auto"/>
            <w:bottom w:val="none" w:sz="0" w:space="0" w:color="auto"/>
            <w:right w:val="none" w:sz="0" w:space="0" w:color="auto"/>
          </w:divBdr>
        </w:div>
        <w:div w:id="750005195">
          <w:marLeft w:val="0"/>
          <w:marRight w:val="0"/>
          <w:marTop w:val="0"/>
          <w:marBottom w:val="0"/>
          <w:divBdr>
            <w:top w:val="none" w:sz="0" w:space="0" w:color="auto"/>
            <w:left w:val="none" w:sz="0" w:space="0" w:color="auto"/>
            <w:bottom w:val="none" w:sz="0" w:space="0" w:color="auto"/>
            <w:right w:val="none" w:sz="0" w:space="0" w:color="auto"/>
          </w:divBdr>
        </w:div>
        <w:div w:id="792552989">
          <w:marLeft w:val="0"/>
          <w:marRight w:val="0"/>
          <w:marTop w:val="0"/>
          <w:marBottom w:val="0"/>
          <w:divBdr>
            <w:top w:val="none" w:sz="0" w:space="0" w:color="auto"/>
            <w:left w:val="none" w:sz="0" w:space="0" w:color="auto"/>
            <w:bottom w:val="none" w:sz="0" w:space="0" w:color="auto"/>
            <w:right w:val="none" w:sz="0" w:space="0" w:color="auto"/>
          </w:divBdr>
        </w:div>
        <w:div w:id="259412410">
          <w:marLeft w:val="0"/>
          <w:marRight w:val="0"/>
          <w:marTop w:val="0"/>
          <w:marBottom w:val="0"/>
          <w:divBdr>
            <w:top w:val="none" w:sz="0" w:space="0" w:color="auto"/>
            <w:left w:val="none" w:sz="0" w:space="0" w:color="auto"/>
            <w:bottom w:val="none" w:sz="0" w:space="0" w:color="auto"/>
            <w:right w:val="none" w:sz="0" w:space="0" w:color="auto"/>
          </w:divBdr>
        </w:div>
      </w:divsChild>
    </w:div>
    <w:div w:id="1801654458">
      <w:bodyDiv w:val="1"/>
      <w:marLeft w:val="0"/>
      <w:marRight w:val="0"/>
      <w:marTop w:val="0"/>
      <w:marBottom w:val="0"/>
      <w:divBdr>
        <w:top w:val="none" w:sz="0" w:space="0" w:color="auto"/>
        <w:left w:val="none" w:sz="0" w:space="0" w:color="auto"/>
        <w:bottom w:val="none" w:sz="0" w:space="0" w:color="auto"/>
        <w:right w:val="none" w:sz="0" w:space="0" w:color="auto"/>
      </w:divBdr>
    </w:div>
    <w:div w:id="1808931537">
      <w:bodyDiv w:val="1"/>
      <w:marLeft w:val="0"/>
      <w:marRight w:val="0"/>
      <w:marTop w:val="0"/>
      <w:marBottom w:val="0"/>
      <w:divBdr>
        <w:top w:val="none" w:sz="0" w:space="0" w:color="auto"/>
        <w:left w:val="none" w:sz="0" w:space="0" w:color="auto"/>
        <w:bottom w:val="none" w:sz="0" w:space="0" w:color="auto"/>
        <w:right w:val="none" w:sz="0" w:space="0" w:color="auto"/>
      </w:divBdr>
    </w:div>
    <w:div w:id="1832672622">
      <w:bodyDiv w:val="1"/>
      <w:marLeft w:val="0"/>
      <w:marRight w:val="0"/>
      <w:marTop w:val="0"/>
      <w:marBottom w:val="0"/>
      <w:divBdr>
        <w:top w:val="none" w:sz="0" w:space="0" w:color="auto"/>
        <w:left w:val="none" w:sz="0" w:space="0" w:color="auto"/>
        <w:bottom w:val="none" w:sz="0" w:space="0" w:color="auto"/>
        <w:right w:val="none" w:sz="0" w:space="0" w:color="auto"/>
      </w:divBdr>
    </w:div>
    <w:div w:id="1906909945">
      <w:bodyDiv w:val="1"/>
      <w:marLeft w:val="0"/>
      <w:marRight w:val="0"/>
      <w:marTop w:val="0"/>
      <w:marBottom w:val="0"/>
      <w:divBdr>
        <w:top w:val="none" w:sz="0" w:space="0" w:color="auto"/>
        <w:left w:val="none" w:sz="0" w:space="0" w:color="auto"/>
        <w:bottom w:val="none" w:sz="0" w:space="0" w:color="auto"/>
        <w:right w:val="none" w:sz="0" w:space="0" w:color="auto"/>
      </w:divBdr>
    </w:div>
    <w:div w:id="1912421809">
      <w:bodyDiv w:val="1"/>
      <w:marLeft w:val="0"/>
      <w:marRight w:val="0"/>
      <w:marTop w:val="0"/>
      <w:marBottom w:val="0"/>
      <w:divBdr>
        <w:top w:val="none" w:sz="0" w:space="0" w:color="auto"/>
        <w:left w:val="none" w:sz="0" w:space="0" w:color="auto"/>
        <w:bottom w:val="none" w:sz="0" w:space="0" w:color="auto"/>
        <w:right w:val="none" w:sz="0" w:space="0" w:color="auto"/>
      </w:divBdr>
    </w:div>
    <w:div w:id="2031368602">
      <w:bodyDiv w:val="1"/>
      <w:marLeft w:val="0"/>
      <w:marRight w:val="0"/>
      <w:marTop w:val="0"/>
      <w:marBottom w:val="0"/>
      <w:divBdr>
        <w:top w:val="none" w:sz="0" w:space="0" w:color="auto"/>
        <w:left w:val="none" w:sz="0" w:space="0" w:color="auto"/>
        <w:bottom w:val="none" w:sz="0" w:space="0" w:color="auto"/>
        <w:right w:val="none" w:sz="0" w:space="0" w:color="auto"/>
      </w:divBdr>
      <w:divsChild>
        <w:div w:id="1820225311">
          <w:marLeft w:val="-75"/>
          <w:marRight w:val="-75"/>
          <w:marTop w:val="0"/>
          <w:marBottom w:val="0"/>
          <w:divBdr>
            <w:top w:val="none" w:sz="0" w:space="0" w:color="auto"/>
            <w:left w:val="none" w:sz="0" w:space="0" w:color="auto"/>
            <w:bottom w:val="none" w:sz="0" w:space="0" w:color="auto"/>
            <w:right w:val="none" w:sz="0" w:space="0" w:color="auto"/>
          </w:divBdr>
          <w:divsChild>
            <w:div w:id="475729770">
              <w:marLeft w:val="0"/>
              <w:marRight w:val="0"/>
              <w:marTop w:val="0"/>
              <w:marBottom w:val="0"/>
              <w:divBdr>
                <w:top w:val="none" w:sz="0" w:space="0" w:color="auto"/>
                <w:left w:val="none" w:sz="0" w:space="0" w:color="auto"/>
                <w:bottom w:val="none" w:sz="0" w:space="0" w:color="auto"/>
                <w:right w:val="none" w:sz="0" w:space="0" w:color="auto"/>
              </w:divBdr>
            </w:div>
          </w:divsChild>
        </w:div>
        <w:div w:id="1597518891">
          <w:marLeft w:val="0"/>
          <w:marRight w:val="0"/>
          <w:marTop w:val="0"/>
          <w:marBottom w:val="0"/>
          <w:divBdr>
            <w:top w:val="none" w:sz="0" w:space="0" w:color="auto"/>
            <w:left w:val="none" w:sz="0" w:space="0" w:color="auto"/>
            <w:bottom w:val="none" w:sz="0" w:space="0" w:color="auto"/>
            <w:right w:val="none" w:sz="0" w:space="0" w:color="auto"/>
          </w:divBdr>
        </w:div>
      </w:divsChild>
    </w:div>
    <w:div w:id="211347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ture.berkeley.edu/xylella" TargetMode="External"/><Relationship Id="rId18" Type="http://schemas.openxmlformats.org/officeDocument/2006/relationships/hyperlink" Target="http://www.ncbi.nlm.nih.gov/" TargetMode="External"/><Relationship Id="rId26" Type="http://schemas.openxmlformats.org/officeDocument/2006/relationships/hyperlink" Target="mailto:ippc@fao.org" TargetMode="External"/><Relationship Id="rId39" Type="http://schemas.openxmlformats.org/officeDocument/2006/relationships/hyperlink" Target="http://edis.ifas.ufl.edu/in174" TargetMode="External"/><Relationship Id="rId3" Type="http://schemas.openxmlformats.org/officeDocument/2006/relationships/customXml" Target="../customXml/item3.xml"/><Relationship Id="rId21" Type="http://schemas.openxmlformats.org/officeDocument/2006/relationships/hyperlink" Target="http://www.ncbi.nlm.nih.gov/" TargetMode="External"/><Relationship Id="rId34" Type="http://schemas.openxmlformats.org/officeDocument/2006/relationships/hyperlink" Target="https://gd.eppo.int/taxon/XYLEFA" TargetMode="External"/><Relationship Id="rId42" Type="http://schemas.openxmlformats.org/officeDocument/2006/relationships/header" Target="header2.xml"/><Relationship Id="rId47" Type="http://schemas.openxmlformats.org/officeDocument/2006/relationships/fontTable" Target="fontTable.xml"/><Relationship Id="rId50"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gd.eppo.int/taxon/XYLEFA/photos" TargetMode="External"/><Relationship Id="rId17" Type="http://schemas.openxmlformats.org/officeDocument/2006/relationships/hyperlink" Target="http://dc.eppo.int/validationlist.php" TargetMode="External"/><Relationship Id="rId25" Type="http://schemas.openxmlformats.org/officeDocument/2006/relationships/hyperlink" Target="mailto:Wenbin.li@aphis.usda.gov" TargetMode="External"/><Relationship Id="rId33" Type="http://schemas.openxmlformats.org/officeDocument/2006/relationships/hyperlink" Target="http://www.cabi.org/cpc/datasheet/57195" TargetMode="External"/><Relationship Id="rId38" Type="http://schemas.openxmlformats.org/officeDocument/2006/relationships/hyperlink" Target="https://doi.org/10.1094/PHYTO-99-5-0582" TargetMode="External"/><Relationship Id="rId46" Type="http://schemas.openxmlformats.org/officeDocument/2006/relationships/footer" Target="foot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pubmlst.org/xfastidiosa/" TargetMode="External"/><Relationship Id="rId29" Type="http://schemas.openxmlformats.org/officeDocument/2006/relationships/hyperlink" Target="https://gd.eppo.int/taxon/XYLEFA/photo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rontiersin.org/articles/10.3389/fpls.2019.01732/full" TargetMode="External"/><Relationship Id="rId24" Type="http://schemas.openxmlformats.org/officeDocument/2006/relationships/hyperlink" Target="mailto:John.hartung@ars.usda.gov" TargetMode="External"/><Relationship Id="rId32" Type="http://schemas.openxmlformats.org/officeDocument/2006/relationships/hyperlink" Target="http://extension.uga.edu/publications/files/pdf/C%20922_4.PDF" TargetMode="External"/><Relationship Id="rId37" Type="http://schemas.openxmlformats.org/officeDocument/2006/relationships/hyperlink" Target="https://ec.europa.eu/food/plant/plant_health_biosecurity/legislation/emergency_measures/xylella-fastidiosa_en" TargetMode="External"/><Relationship Id="rId40" Type="http://schemas.openxmlformats.org/officeDocument/2006/relationships/hyperlink" Target="http://cartografia.sit.puglia.it/doc/Workshop_Manual_Insects.pdf"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mailto:Robert.taylor@mpi.govt.nz" TargetMode="External"/><Relationship Id="rId28" Type="http://schemas.openxmlformats.org/officeDocument/2006/relationships/hyperlink" Target="https://www.dpi.nsw.gov.au/about-us/research-development/centres/emai" TargetMode="External"/><Relationship Id="rId36" Type="http://schemas.openxmlformats.org/officeDocument/2006/relationships/hyperlink" Target="https://ec.europa.eu/food/sites/food/files/plant/docs/ph_biosec_legis_guidelines_xylella-survey.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pubmlst.org/xfastidiosa/" TargetMode="External"/><Relationship Id="rId31" Type="http://schemas.openxmlformats.org/officeDocument/2006/relationships/hyperlink" Target="http://plantpath.caes.uga.edu/extension/documents/BlueberryXylella.pdf"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d.eppo.int/taxon/XYLEFA/photos" TargetMode="External"/><Relationship Id="rId22" Type="http://schemas.openxmlformats.org/officeDocument/2006/relationships/hyperlink" Target="mailto:Helga.reisenzein@ages.at" TargetMode="External"/><Relationship Id="rId27" Type="http://schemas.openxmlformats.org/officeDocument/2006/relationships/hyperlink" Target="https://www.researchgate.net/institution/Instituto_Agronomico_de_Campinas" TargetMode="External"/><Relationship Id="rId30" Type="http://schemas.openxmlformats.org/officeDocument/2006/relationships/hyperlink" Target="https://www.ippc.int/core-activities/standards-setting/ispms" TargetMode="External"/><Relationship Id="rId35" Type="http://schemas.openxmlformats.org/officeDocument/2006/relationships/hyperlink" Target="http://dc.eppo.int/validationlist.php" TargetMode="External"/><Relationship Id="rId43" Type="http://schemas.openxmlformats.org/officeDocument/2006/relationships/footer" Target="footer1.xml"/><Relationship Id="rId48" Type="http://schemas.microsoft.com/office/2011/relationships/people" Target="people.xml"/><Relationship Id="rId8" Type="http://schemas.openxmlformats.org/officeDocument/2006/relationships/webSettings" Target="webSettings.xml"/><Relationship Id="rId51"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LODARCZYK\AppData\Roaming\Microsoft\Templates\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7" ma:contentTypeDescription="Create a new document." ma:contentTypeScope="" ma:versionID="b97c355e8ddb83b53e10132d4d0c39dd">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7ee668c2352abc57114714e7d7c6a8d9"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4.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15B59749-8885-46CA-8CB0-26C6431007F4}">
  <ds:schemaRefs>
    <ds:schemaRef ds:uri="http://schemas.microsoft.com/sharepoint/v3/contenttype/forms"/>
  </ds:schemaRefs>
</ds:datastoreItem>
</file>

<file path=customXml/itemProps2.xml><?xml version="1.0" encoding="utf-8"?>
<ds:datastoreItem xmlns:ds="http://schemas.openxmlformats.org/officeDocument/2006/customXml" ds:itemID="{B2EC1DED-165E-4290-B370-4197865E8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E34BB9-D253-4850-8397-F52169C3239B}">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ea6feb38-a85a-45e8-92e9-814486bbe375"/>
    <ds:schemaRef ds:uri="a05d7f75-f42e-4288-8809-604fd4d9691f"/>
    <ds:schemaRef ds:uri="http://www.w3.org/XML/1998/namespace"/>
    <ds:schemaRef ds:uri="http://purl.org/dc/dcmitype/"/>
  </ds:schemaRefs>
</ds:datastoreItem>
</file>

<file path=customXml/itemProps4.xml><?xml version="1.0" encoding="utf-8"?>
<ds:datastoreItem xmlns:ds="http://schemas.openxmlformats.org/officeDocument/2006/customXml" ds:itemID="{4393A18A-EA72-4CAA-875D-B1BD681A0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43</TotalTime>
  <Pages>37</Pages>
  <Words>18021</Words>
  <Characters>102720</Characters>
  <Application>Microsoft Office Word</Application>
  <DocSecurity>0</DocSecurity>
  <Lines>856</Lines>
  <Paragraphs>240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FAO of the UN</Company>
  <LinksUpToDate>false</LinksUpToDate>
  <CharactersWithSpaces>120501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Farren, Martin (AGDI)</dc:creator>
  <cp:lastModifiedBy>Adriana Moreira</cp:lastModifiedBy>
  <cp:revision>14</cp:revision>
  <cp:lastPrinted>2022-08-18T07:48:00Z</cp:lastPrinted>
  <dcterms:created xsi:type="dcterms:W3CDTF">2022-09-26T09:39:00Z</dcterms:created>
  <dcterms:modified xsi:type="dcterms:W3CDTF">2022-10-23T20:09:00Z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