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rPr>
        <w:id w:val="1575315730"/>
        <w:docPartObj>
          <w:docPartGallery w:val="Cover Pages"/>
          <w:docPartUnique/>
        </w:docPartObj>
      </w:sdtPr>
      <w:sdtEndPr>
        <w:rPr>
          <w:rStyle w:val="normaltextrun"/>
          <w:b/>
          <w:bCs/>
        </w:rPr>
      </w:sdtEndPr>
      <w:sdtContent>
        <w:p w14:paraId="20233853" w14:textId="0FCAA0E9" w:rsidR="00F41E8D" w:rsidRPr="00FC0C00" w:rsidRDefault="00F41E8D">
          <w:pPr>
            <w:rPr>
              <w:rFonts w:ascii="Times New Roman" w:hAnsi="Times New Roman" w:cs="Times New Roman"/>
            </w:rPr>
          </w:pPr>
          <w:r w:rsidRPr="00FC0C00">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62F3A9BD" wp14:editId="0616E8D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58CC1" w14:textId="2845C7C6" w:rsidR="007932B6" w:rsidRDefault="007932B6">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2F3A9BD" id="_x0000_t202" coordsize="21600,21600" o:spt="202" path="m,l,21600r21600,l21600,xe">
                    <v:stroke joinstyle="miter"/>
                    <v:path gradientshapeok="t" o:connecttype="rect"/>
                  </v:shapetype>
                  <v:shape id="Text Box 152" o:spid="_x0000_s1026" type="#_x0000_t202" style="position:absolute;margin-left:0;margin-top:0;width:8in;height:1in;z-index:25165568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0BE58CC1" w14:textId="2845C7C6" w:rsidR="007932B6" w:rsidRDefault="007932B6">
                          <w:pPr>
                            <w:pStyle w:val="NoSpacing"/>
                            <w:jc w:val="right"/>
                            <w:rPr>
                              <w:color w:val="595959" w:themeColor="text1" w:themeTint="A6"/>
                              <w:sz w:val="18"/>
                              <w:szCs w:val="18"/>
                            </w:rPr>
                          </w:pPr>
                        </w:p>
                      </w:txbxContent>
                    </v:textbox>
                    <w10:wrap type="square" anchorx="page" anchory="page"/>
                  </v:shape>
                </w:pict>
              </mc:Fallback>
            </mc:AlternateContent>
          </w:r>
          <w:r w:rsidRPr="00FC0C00">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41BD2CA8" wp14:editId="03310EC3">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4F816" w14:textId="77777777" w:rsidR="007932B6" w:rsidRDefault="007932B6">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FEE4374" w14:textId="361BBCE9" w:rsidR="007932B6" w:rsidRDefault="007932B6">
                                    <w:pPr>
                                      <w:pStyle w:val="NoSpacing"/>
                                      <w:jc w:val="right"/>
                                      <w:rPr>
                                        <w:color w:val="595959" w:themeColor="text1" w:themeTint="A6"/>
                                        <w:sz w:val="20"/>
                                        <w:szCs w:val="20"/>
                                      </w:rPr>
                                    </w:pPr>
                                    <w:r>
                                      <w:rPr>
                                        <w:color w:val="595959" w:themeColor="text1" w:themeTint="A6"/>
                                        <w:sz w:val="20"/>
                                        <w:szCs w:val="20"/>
                                      </w:rPr>
                                      <w:t>Recommendations for the CPM for implementation timeline, budgetary considerations, and monitoring of the eight development agenda items of the strategic framework.</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1BD2CA8" id="Text Box 153" o:spid="_x0000_s1027" type="#_x0000_t202" style="position:absolute;margin-left:0;margin-top:0;width:8in;height:79.5pt;z-index:25165772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6B44F816" w14:textId="77777777" w:rsidR="007932B6" w:rsidRDefault="007932B6">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FEE4374" w14:textId="361BBCE9" w:rsidR="007932B6" w:rsidRDefault="007932B6">
                              <w:pPr>
                                <w:pStyle w:val="NoSpacing"/>
                                <w:jc w:val="right"/>
                                <w:rPr>
                                  <w:color w:val="595959" w:themeColor="text1" w:themeTint="A6"/>
                                  <w:sz w:val="20"/>
                                  <w:szCs w:val="20"/>
                                </w:rPr>
                              </w:pPr>
                              <w:r>
                                <w:rPr>
                                  <w:color w:val="595959" w:themeColor="text1" w:themeTint="A6"/>
                                  <w:sz w:val="20"/>
                                  <w:szCs w:val="20"/>
                                </w:rPr>
                                <w:t>Recommendations for the CPM for implementation timeline, budgetary considerations, and monitoring of the eight development agenda items of the strategic framework.</w:t>
                              </w:r>
                            </w:p>
                          </w:sdtContent>
                        </w:sdt>
                      </w:txbxContent>
                    </v:textbox>
                    <w10:wrap type="square" anchorx="page" anchory="page"/>
                  </v:shape>
                </w:pict>
              </mc:Fallback>
            </mc:AlternateContent>
          </w:r>
          <w:r w:rsidRPr="00FC0C00">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355C53EA" wp14:editId="0C0FFC2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D4716" w14:textId="4E3EFD99" w:rsidR="007932B6" w:rsidRDefault="00EB722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32B6">
                                      <w:rPr>
                                        <w:caps/>
                                        <w:color w:val="4472C4" w:themeColor="accent1"/>
                                        <w:sz w:val="64"/>
                                        <w:szCs w:val="64"/>
                                      </w:rPr>
                                      <w:t>IPPC Strategic Framework 2020-2030 Developmental agenda Items Implementation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DCC2FB" w14:textId="7511E517" w:rsidR="007932B6" w:rsidRDefault="00752587">
                                    <w:pPr>
                                      <w:jc w:val="right"/>
                                      <w:rPr>
                                        <w:smallCaps/>
                                        <w:color w:val="404040" w:themeColor="text1" w:themeTint="BF"/>
                                        <w:sz w:val="36"/>
                                        <w:szCs w:val="36"/>
                                      </w:rPr>
                                    </w:pPr>
                                    <w:r>
                                      <w:rPr>
                                        <w:color w:val="404040" w:themeColor="text1" w:themeTint="BF"/>
                                        <w:sz w:val="36"/>
                                        <w:szCs w:val="36"/>
                                      </w:rPr>
                                      <w:t>August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55C53EA" id="Text Box 154" o:spid="_x0000_s1028" type="#_x0000_t202" style="position:absolute;margin-left:0;margin-top:0;width:8in;height:286.5pt;z-index:251653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73D4716" w14:textId="4E3EFD99" w:rsidR="007932B6" w:rsidRDefault="00EB722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32B6">
                                <w:rPr>
                                  <w:caps/>
                                  <w:color w:val="4472C4" w:themeColor="accent1"/>
                                  <w:sz w:val="64"/>
                                  <w:szCs w:val="64"/>
                                </w:rPr>
                                <w:t>IPPC Strategic Framework 2020-2030 Developmental agenda Items Implementation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DCC2FB" w14:textId="7511E517" w:rsidR="007932B6" w:rsidRDefault="00752587">
                              <w:pPr>
                                <w:jc w:val="right"/>
                                <w:rPr>
                                  <w:smallCaps/>
                                  <w:color w:val="404040" w:themeColor="text1" w:themeTint="BF"/>
                                  <w:sz w:val="36"/>
                                  <w:szCs w:val="36"/>
                                </w:rPr>
                              </w:pPr>
                              <w:r>
                                <w:rPr>
                                  <w:color w:val="404040" w:themeColor="text1" w:themeTint="BF"/>
                                  <w:sz w:val="36"/>
                                  <w:szCs w:val="36"/>
                                </w:rPr>
                                <w:t>August 2022</w:t>
                              </w:r>
                            </w:p>
                          </w:sdtContent>
                        </w:sdt>
                      </w:txbxContent>
                    </v:textbox>
                    <w10:wrap type="square" anchorx="page" anchory="page"/>
                  </v:shape>
                </w:pict>
              </mc:Fallback>
            </mc:AlternateContent>
          </w:r>
        </w:p>
        <w:p w14:paraId="30C40CCA" w14:textId="65D8CA7C" w:rsidR="00F41E8D" w:rsidRPr="00FC0C00" w:rsidRDefault="00A166D7">
          <w:pPr>
            <w:rPr>
              <w:rStyle w:val="normaltextrun"/>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800" behindDoc="0" locked="0" layoutInCell="1" allowOverlap="1" wp14:anchorId="48DCF706" wp14:editId="658B1C81">
                    <wp:simplePos x="0" y="0"/>
                    <wp:positionH relativeFrom="column">
                      <wp:posOffset>-921327</wp:posOffset>
                    </wp:positionH>
                    <wp:positionV relativeFrom="paragraph">
                      <wp:posOffset>410846</wp:posOffset>
                    </wp:positionV>
                    <wp:extent cx="7315200" cy="1215390"/>
                    <wp:effectExtent l="0" t="0" r="0" b="3810"/>
                    <wp:wrapNone/>
                    <wp:docPr id="151" name="Rectangle 151"/>
                    <wp:cNvGraphicFramePr/>
                    <a:graphic xmlns:a="http://schemas.openxmlformats.org/drawingml/2006/main">
                      <a:graphicData uri="http://schemas.microsoft.com/office/word/2010/wordprocessingShape">
                        <wps:wsp>
                          <wps:cNvSpPr/>
                          <wps:spPr>
                            <a:xfrm>
                              <a:off x="0" y="0"/>
                              <a:ext cx="7315200" cy="1215390"/>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696FF" id="Rectangle 151" o:spid="_x0000_s1026" style="position:absolute;margin-left:-72.55pt;margin-top:32.35pt;width:8in;height:95.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" stroked="f" strokeweight="1pt">
                    <v:fill r:id="rId13" o:title="" recolor="t" rotate="t" type="frame"/>
                  </v:rect>
                </w:pict>
              </mc:Fallback>
            </mc:AlternateContent>
          </w:r>
          <w:r w:rsidR="00F41E8D" w:rsidRPr="00FC0C00">
            <w:rPr>
              <w:rStyle w:val="normaltextrun"/>
              <w:rFonts w:ascii="Times New Roman" w:hAnsi="Times New Roman" w:cs="Times New Roman"/>
              <w:b/>
              <w:bCs/>
            </w:rPr>
            <w:br w:type="page"/>
          </w:r>
        </w:p>
      </w:sdtContent>
    </w:sdt>
    <w:p w14:paraId="4DA070BD" w14:textId="77777777" w:rsidR="00D524EF" w:rsidRPr="00D524EF" w:rsidRDefault="00D524EF" w:rsidP="00D524EF">
      <w:pPr>
        <w:rPr>
          <w:b/>
          <w:bCs/>
          <w:lang w:val="en-NZ"/>
        </w:rPr>
      </w:pPr>
      <w:r w:rsidRPr="00D524EF">
        <w:rPr>
          <w:b/>
          <w:bCs/>
          <w:lang w:val="en-NZ"/>
        </w:rPr>
        <w:lastRenderedPageBreak/>
        <w:t>Outline for Report on Overarching Integrated Plan for Implementation of SFDAIs</w:t>
      </w:r>
    </w:p>
    <w:p w14:paraId="1F11D216" w14:textId="77777777" w:rsidR="00D524EF" w:rsidRPr="00D524EF" w:rsidRDefault="00D524EF" w:rsidP="00D524EF">
      <w:pPr>
        <w:rPr>
          <w:lang w:val="en-NZ"/>
        </w:rPr>
      </w:pPr>
      <w:r w:rsidRPr="00D524EF">
        <w:rPr>
          <w:lang w:val="en-NZ"/>
        </w:rPr>
        <w:t>This would be a stand-alone report.  When presented to CPM it would have a coversheet with brief background and requesting CPM note the report and agree to a list of recommendations that have been explained in the report.</w:t>
      </w:r>
    </w:p>
    <w:p w14:paraId="6CA8454C" w14:textId="644BE2E8" w:rsidR="009121C0" w:rsidRPr="009121C0" w:rsidRDefault="00D524EF" w:rsidP="008E1DF2">
      <w:pPr>
        <w:pStyle w:val="Heading1"/>
        <w:rPr>
          <w:lang w:val="en-NZ"/>
        </w:rPr>
      </w:pPr>
      <w:bookmarkStart w:id="1" w:name="_Toc114566361"/>
      <w:r>
        <w:rPr>
          <w:lang w:val="en-NZ"/>
        </w:rPr>
        <w:t>E</w:t>
      </w:r>
      <w:r w:rsidR="009121C0" w:rsidRPr="009121C0">
        <w:rPr>
          <w:lang w:val="en-NZ"/>
        </w:rPr>
        <w:t>xec Summary</w:t>
      </w:r>
      <w:bookmarkEnd w:id="1"/>
    </w:p>
    <w:p w14:paraId="770FF4B1" w14:textId="7F0BE7DF" w:rsidR="00ED5D69" w:rsidRPr="00911EA0" w:rsidRDefault="009121C0" w:rsidP="009121C0">
      <w:pPr>
        <w:rPr>
          <w:color w:val="FF0000"/>
          <w:lang w:val="en-NZ"/>
        </w:rPr>
      </w:pPr>
      <w:r w:rsidRPr="00911EA0">
        <w:rPr>
          <w:color w:val="FF0000"/>
          <w:lang w:val="en-NZ"/>
        </w:rPr>
        <w:t>A 1- or 2-page summary of the report</w:t>
      </w:r>
      <w:r w:rsidR="00911EA0" w:rsidRPr="00911EA0">
        <w:rPr>
          <w:color w:val="FF0000"/>
          <w:lang w:val="en-NZ"/>
        </w:rPr>
        <w:t xml:space="preserve"> – To be completed after SPG.</w:t>
      </w:r>
    </w:p>
    <w:p w14:paraId="330F34EF" w14:textId="696E9002" w:rsidR="009121C0" w:rsidRDefault="009121C0" w:rsidP="009121C0">
      <w:pPr>
        <w:rPr>
          <w:lang w:val="en-NZ"/>
        </w:rPr>
      </w:pPr>
    </w:p>
    <w:p w14:paraId="6C301185" w14:textId="0B1D1228" w:rsidR="009121C0" w:rsidRDefault="009121C0" w:rsidP="009121C0">
      <w:pPr>
        <w:rPr>
          <w:lang w:val="en-NZ"/>
        </w:rPr>
      </w:pPr>
    </w:p>
    <w:p w14:paraId="754E3F4D" w14:textId="55DF64B5" w:rsidR="009121C0" w:rsidRDefault="009121C0" w:rsidP="009121C0">
      <w:pPr>
        <w:rPr>
          <w:lang w:val="en-NZ"/>
        </w:rPr>
      </w:pPr>
    </w:p>
    <w:p w14:paraId="762757C8" w14:textId="5E5F804D" w:rsidR="009121C0" w:rsidRDefault="009121C0" w:rsidP="009121C0">
      <w:pPr>
        <w:rPr>
          <w:lang w:val="en-NZ"/>
        </w:rPr>
      </w:pPr>
    </w:p>
    <w:p w14:paraId="10C9F280" w14:textId="2E68DAE3" w:rsidR="009121C0" w:rsidRDefault="009121C0" w:rsidP="009121C0">
      <w:pPr>
        <w:rPr>
          <w:lang w:val="en-NZ"/>
        </w:rPr>
      </w:pPr>
    </w:p>
    <w:p w14:paraId="07A20DC3" w14:textId="6EF69667" w:rsidR="009121C0" w:rsidRDefault="009121C0" w:rsidP="009121C0">
      <w:pPr>
        <w:rPr>
          <w:lang w:val="en-NZ"/>
        </w:rPr>
      </w:pPr>
    </w:p>
    <w:p w14:paraId="04F4DFD6" w14:textId="413BD64E" w:rsidR="009121C0" w:rsidRDefault="009121C0" w:rsidP="009121C0">
      <w:pPr>
        <w:rPr>
          <w:lang w:val="en-NZ"/>
        </w:rPr>
      </w:pPr>
    </w:p>
    <w:p w14:paraId="2F9945B4" w14:textId="2613DC4A" w:rsidR="009121C0" w:rsidRDefault="009121C0" w:rsidP="009121C0">
      <w:pPr>
        <w:rPr>
          <w:lang w:val="en-NZ"/>
        </w:rPr>
      </w:pPr>
    </w:p>
    <w:p w14:paraId="62F6CAD0" w14:textId="30CF75CA" w:rsidR="009121C0" w:rsidRDefault="009121C0" w:rsidP="009121C0">
      <w:pPr>
        <w:rPr>
          <w:lang w:val="en-NZ"/>
        </w:rPr>
      </w:pPr>
    </w:p>
    <w:p w14:paraId="21E69343" w14:textId="25AC32C1" w:rsidR="009121C0" w:rsidRDefault="009121C0" w:rsidP="009121C0">
      <w:pPr>
        <w:rPr>
          <w:lang w:val="en-NZ"/>
        </w:rPr>
      </w:pPr>
    </w:p>
    <w:p w14:paraId="5A23DF8B" w14:textId="2D43B1A3" w:rsidR="009121C0" w:rsidRDefault="009121C0" w:rsidP="009121C0">
      <w:pPr>
        <w:rPr>
          <w:lang w:val="en-NZ"/>
        </w:rPr>
      </w:pPr>
    </w:p>
    <w:p w14:paraId="19028166" w14:textId="102AEEF7" w:rsidR="009121C0" w:rsidRDefault="009121C0" w:rsidP="009121C0">
      <w:pPr>
        <w:rPr>
          <w:lang w:val="en-NZ"/>
        </w:rPr>
      </w:pPr>
    </w:p>
    <w:p w14:paraId="5A1E2317" w14:textId="51350D62" w:rsidR="009121C0" w:rsidRDefault="009121C0" w:rsidP="009121C0">
      <w:pPr>
        <w:rPr>
          <w:lang w:val="en-NZ"/>
        </w:rPr>
      </w:pPr>
    </w:p>
    <w:p w14:paraId="7B4F553F" w14:textId="2D863A43" w:rsidR="009121C0" w:rsidRDefault="009121C0" w:rsidP="009121C0">
      <w:pPr>
        <w:rPr>
          <w:lang w:val="en-NZ"/>
        </w:rPr>
      </w:pPr>
    </w:p>
    <w:p w14:paraId="1175F73B" w14:textId="759A5292" w:rsidR="009121C0" w:rsidRDefault="009121C0" w:rsidP="009121C0">
      <w:pPr>
        <w:rPr>
          <w:lang w:val="en-NZ"/>
        </w:rPr>
      </w:pPr>
    </w:p>
    <w:p w14:paraId="3C5E9776" w14:textId="13E55D6A" w:rsidR="009121C0" w:rsidRDefault="009121C0" w:rsidP="009121C0">
      <w:pPr>
        <w:rPr>
          <w:lang w:val="en-NZ"/>
        </w:rPr>
      </w:pPr>
    </w:p>
    <w:p w14:paraId="613D734A" w14:textId="0D7CB82D" w:rsidR="009121C0" w:rsidRDefault="009121C0" w:rsidP="009121C0">
      <w:pPr>
        <w:rPr>
          <w:lang w:val="en-NZ"/>
        </w:rPr>
      </w:pPr>
    </w:p>
    <w:p w14:paraId="04B2451B" w14:textId="4611DD79" w:rsidR="009121C0" w:rsidRDefault="009121C0" w:rsidP="009121C0">
      <w:pPr>
        <w:rPr>
          <w:lang w:val="en-NZ"/>
        </w:rPr>
      </w:pPr>
    </w:p>
    <w:sdt>
      <w:sdtPr>
        <w:rPr>
          <w:rFonts w:asciiTheme="minorHAnsi" w:eastAsiaTheme="minorHAnsi" w:hAnsiTheme="minorHAnsi" w:cstheme="minorBidi"/>
          <w:color w:val="auto"/>
          <w:sz w:val="22"/>
          <w:szCs w:val="22"/>
        </w:rPr>
        <w:id w:val="653572246"/>
        <w:docPartObj>
          <w:docPartGallery w:val="Table of Contents"/>
          <w:docPartUnique/>
        </w:docPartObj>
      </w:sdtPr>
      <w:sdtEndPr>
        <w:rPr>
          <w:b/>
          <w:bCs/>
          <w:noProof/>
        </w:rPr>
      </w:sdtEndPr>
      <w:sdtContent>
        <w:p w14:paraId="1995B381" w14:textId="77777777" w:rsidR="006B7789" w:rsidRDefault="006B7789">
          <w:pPr>
            <w:pStyle w:val="TOCHeading"/>
            <w:rPr>
              <w:rFonts w:asciiTheme="minorHAnsi" w:eastAsiaTheme="minorHAnsi" w:hAnsiTheme="minorHAnsi" w:cstheme="minorBidi"/>
              <w:color w:val="auto"/>
              <w:sz w:val="22"/>
              <w:szCs w:val="22"/>
            </w:rPr>
          </w:pPr>
        </w:p>
        <w:p w14:paraId="5F2A5373" w14:textId="77777777" w:rsidR="006B7789" w:rsidRDefault="006B7789">
          <w:r>
            <w:br w:type="page"/>
          </w:r>
        </w:p>
        <w:p w14:paraId="24D47D38" w14:textId="1F140C58" w:rsidR="000D7940" w:rsidRDefault="000D7940">
          <w:pPr>
            <w:pStyle w:val="TOCHeading"/>
          </w:pPr>
          <w:r>
            <w:lastRenderedPageBreak/>
            <w:t>Table of Contents</w:t>
          </w:r>
        </w:p>
        <w:p w14:paraId="7CAB7936" w14:textId="59E23392" w:rsidR="003E7D95" w:rsidRDefault="000D7940">
          <w:pPr>
            <w:pStyle w:val="TOC1"/>
            <w:tabs>
              <w:tab w:val="right" w:leader="dot" w:pos="9350"/>
            </w:tabs>
            <w:rPr>
              <w:rFonts w:eastAsiaTheme="minorEastAsia"/>
              <w:noProof/>
              <w:lang w:val="en-NZ" w:eastAsia="en-NZ"/>
            </w:rPr>
          </w:pPr>
          <w:r>
            <w:fldChar w:fldCharType="begin"/>
          </w:r>
          <w:r>
            <w:instrText xml:space="preserve"> TOC \o "1-3" \h \z \u </w:instrText>
          </w:r>
          <w:r>
            <w:fldChar w:fldCharType="separate"/>
          </w:r>
          <w:hyperlink w:anchor="_Toc114566361" w:history="1">
            <w:r w:rsidR="003E7D95" w:rsidRPr="00F50864">
              <w:rPr>
                <w:rStyle w:val="Hyperlink"/>
                <w:noProof/>
                <w:lang w:val="en-NZ"/>
              </w:rPr>
              <w:t>Exec Summary</w:t>
            </w:r>
            <w:r w:rsidR="003E7D95">
              <w:rPr>
                <w:noProof/>
                <w:webHidden/>
              </w:rPr>
              <w:tab/>
            </w:r>
            <w:r w:rsidR="003E7D95">
              <w:rPr>
                <w:noProof/>
                <w:webHidden/>
              </w:rPr>
              <w:fldChar w:fldCharType="begin"/>
            </w:r>
            <w:r w:rsidR="003E7D95">
              <w:rPr>
                <w:noProof/>
                <w:webHidden/>
              </w:rPr>
              <w:instrText xml:space="preserve"> PAGEREF _Toc114566361 \h </w:instrText>
            </w:r>
            <w:r w:rsidR="003E7D95">
              <w:rPr>
                <w:noProof/>
                <w:webHidden/>
              </w:rPr>
            </w:r>
            <w:r w:rsidR="003E7D95">
              <w:rPr>
                <w:noProof/>
                <w:webHidden/>
              </w:rPr>
              <w:fldChar w:fldCharType="separate"/>
            </w:r>
            <w:r w:rsidR="003E7D95">
              <w:rPr>
                <w:noProof/>
                <w:webHidden/>
              </w:rPr>
              <w:t>1</w:t>
            </w:r>
            <w:r w:rsidR="003E7D95">
              <w:rPr>
                <w:noProof/>
                <w:webHidden/>
              </w:rPr>
              <w:fldChar w:fldCharType="end"/>
            </w:r>
          </w:hyperlink>
        </w:p>
        <w:p w14:paraId="595612BD" w14:textId="37D3E511" w:rsidR="003E7D95" w:rsidRDefault="00EB7221">
          <w:pPr>
            <w:pStyle w:val="TOC1"/>
            <w:tabs>
              <w:tab w:val="right" w:leader="dot" w:pos="9350"/>
            </w:tabs>
            <w:rPr>
              <w:rFonts w:eastAsiaTheme="minorEastAsia"/>
              <w:noProof/>
              <w:lang w:val="en-NZ" w:eastAsia="en-NZ"/>
            </w:rPr>
          </w:pPr>
          <w:hyperlink w:anchor="_Toc114566362" w:history="1">
            <w:r w:rsidR="003E7D95" w:rsidRPr="00F50864">
              <w:rPr>
                <w:rStyle w:val="Hyperlink"/>
                <w:noProof/>
              </w:rPr>
              <w:t>Background and Introduction</w:t>
            </w:r>
            <w:r w:rsidR="003E7D95">
              <w:rPr>
                <w:noProof/>
                <w:webHidden/>
              </w:rPr>
              <w:tab/>
            </w:r>
            <w:r w:rsidR="003E7D95">
              <w:rPr>
                <w:noProof/>
                <w:webHidden/>
              </w:rPr>
              <w:fldChar w:fldCharType="begin"/>
            </w:r>
            <w:r w:rsidR="003E7D95">
              <w:rPr>
                <w:noProof/>
                <w:webHidden/>
              </w:rPr>
              <w:instrText xml:space="preserve"> PAGEREF _Toc114566362 \h </w:instrText>
            </w:r>
            <w:r w:rsidR="003E7D95">
              <w:rPr>
                <w:noProof/>
                <w:webHidden/>
              </w:rPr>
            </w:r>
            <w:r w:rsidR="003E7D95">
              <w:rPr>
                <w:noProof/>
                <w:webHidden/>
              </w:rPr>
              <w:fldChar w:fldCharType="separate"/>
            </w:r>
            <w:r w:rsidR="003E7D95">
              <w:rPr>
                <w:noProof/>
                <w:webHidden/>
              </w:rPr>
              <w:t>3</w:t>
            </w:r>
            <w:r w:rsidR="003E7D95">
              <w:rPr>
                <w:noProof/>
                <w:webHidden/>
              </w:rPr>
              <w:fldChar w:fldCharType="end"/>
            </w:r>
          </w:hyperlink>
        </w:p>
        <w:p w14:paraId="5619BBE5" w14:textId="171E2542" w:rsidR="003E7D95" w:rsidRDefault="00EB7221">
          <w:pPr>
            <w:pStyle w:val="TOC1"/>
            <w:tabs>
              <w:tab w:val="right" w:leader="dot" w:pos="9350"/>
            </w:tabs>
            <w:rPr>
              <w:rFonts w:eastAsiaTheme="minorEastAsia"/>
              <w:noProof/>
              <w:lang w:val="en-NZ" w:eastAsia="en-NZ"/>
            </w:rPr>
          </w:pPr>
          <w:hyperlink w:anchor="_Toc114566363" w:history="1">
            <w:r w:rsidR="003E7D95" w:rsidRPr="00F50864">
              <w:rPr>
                <w:rStyle w:val="Hyperlink"/>
                <w:noProof/>
              </w:rPr>
              <w:t>Developing the Implementation Plan</w:t>
            </w:r>
            <w:r w:rsidR="003E7D95">
              <w:rPr>
                <w:noProof/>
                <w:webHidden/>
              </w:rPr>
              <w:tab/>
            </w:r>
            <w:r w:rsidR="003E7D95">
              <w:rPr>
                <w:noProof/>
                <w:webHidden/>
              </w:rPr>
              <w:fldChar w:fldCharType="begin"/>
            </w:r>
            <w:r w:rsidR="003E7D95">
              <w:rPr>
                <w:noProof/>
                <w:webHidden/>
              </w:rPr>
              <w:instrText xml:space="preserve"> PAGEREF _Toc114566363 \h </w:instrText>
            </w:r>
            <w:r w:rsidR="003E7D95">
              <w:rPr>
                <w:noProof/>
                <w:webHidden/>
              </w:rPr>
            </w:r>
            <w:r w:rsidR="003E7D95">
              <w:rPr>
                <w:noProof/>
                <w:webHidden/>
              </w:rPr>
              <w:fldChar w:fldCharType="separate"/>
            </w:r>
            <w:r w:rsidR="003E7D95">
              <w:rPr>
                <w:noProof/>
                <w:webHidden/>
              </w:rPr>
              <w:t>6</w:t>
            </w:r>
            <w:r w:rsidR="003E7D95">
              <w:rPr>
                <w:noProof/>
                <w:webHidden/>
              </w:rPr>
              <w:fldChar w:fldCharType="end"/>
            </w:r>
          </w:hyperlink>
        </w:p>
        <w:p w14:paraId="344A14DD" w14:textId="4B0177B6" w:rsidR="003E7D95" w:rsidRDefault="00EB7221">
          <w:pPr>
            <w:pStyle w:val="TOC1"/>
            <w:tabs>
              <w:tab w:val="right" w:leader="dot" w:pos="9350"/>
            </w:tabs>
            <w:rPr>
              <w:rFonts w:eastAsiaTheme="minorEastAsia"/>
              <w:noProof/>
              <w:lang w:val="en-NZ" w:eastAsia="en-NZ"/>
            </w:rPr>
          </w:pPr>
          <w:hyperlink w:anchor="_Toc114566364" w:history="1">
            <w:r w:rsidR="003E7D95" w:rsidRPr="00F50864">
              <w:rPr>
                <w:rStyle w:val="Hyperlink"/>
                <w:noProof/>
              </w:rPr>
              <w:t>Sequencing the Development Agenda Items</w:t>
            </w:r>
            <w:r w:rsidR="003E7D95">
              <w:rPr>
                <w:noProof/>
                <w:webHidden/>
              </w:rPr>
              <w:tab/>
            </w:r>
            <w:r w:rsidR="003E7D95">
              <w:rPr>
                <w:noProof/>
                <w:webHidden/>
              </w:rPr>
              <w:fldChar w:fldCharType="begin"/>
            </w:r>
            <w:r w:rsidR="003E7D95">
              <w:rPr>
                <w:noProof/>
                <w:webHidden/>
              </w:rPr>
              <w:instrText xml:space="preserve"> PAGEREF _Toc114566364 \h </w:instrText>
            </w:r>
            <w:r w:rsidR="003E7D95">
              <w:rPr>
                <w:noProof/>
                <w:webHidden/>
              </w:rPr>
            </w:r>
            <w:r w:rsidR="003E7D95">
              <w:rPr>
                <w:noProof/>
                <w:webHidden/>
              </w:rPr>
              <w:fldChar w:fldCharType="separate"/>
            </w:r>
            <w:r w:rsidR="003E7D95">
              <w:rPr>
                <w:noProof/>
                <w:webHidden/>
              </w:rPr>
              <w:t>7</w:t>
            </w:r>
            <w:r w:rsidR="003E7D95">
              <w:rPr>
                <w:noProof/>
                <w:webHidden/>
              </w:rPr>
              <w:fldChar w:fldCharType="end"/>
            </w:r>
          </w:hyperlink>
        </w:p>
        <w:p w14:paraId="190F1F81" w14:textId="68F5588F" w:rsidR="003E7D95" w:rsidRDefault="00EB7221">
          <w:pPr>
            <w:pStyle w:val="TOC1"/>
            <w:tabs>
              <w:tab w:val="right" w:leader="dot" w:pos="9350"/>
            </w:tabs>
            <w:rPr>
              <w:rFonts w:eastAsiaTheme="minorEastAsia"/>
              <w:noProof/>
              <w:lang w:val="en-NZ" w:eastAsia="en-NZ"/>
            </w:rPr>
          </w:pPr>
          <w:hyperlink w:anchor="_Toc114566365" w:history="1">
            <w:r w:rsidR="003E7D95" w:rsidRPr="00F50864">
              <w:rPr>
                <w:rStyle w:val="Hyperlink"/>
                <w:noProof/>
                <w:lang w:val="en-NZ"/>
              </w:rPr>
              <w:t>Financial and Resource Plan</w:t>
            </w:r>
            <w:r w:rsidR="003E7D95">
              <w:rPr>
                <w:noProof/>
                <w:webHidden/>
              </w:rPr>
              <w:tab/>
            </w:r>
            <w:r w:rsidR="003E7D95">
              <w:rPr>
                <w:noProof/>
                <w:webHidden/>
              </w:rPr>
              <w:fldChar w:fldCharType="begin"/>
            </w:r>
            <w:r w:rsidR="003E7D95">
              <w:rPr>
                <w:noProof/>
                <w:webHidden/>
              </w:rPr>
              <w:instrText xml:space="preserve"> PAGEREF _Toc114566365 \h </w:instrText>
            </w:r>
            <w:r w:rsidR="003E7D95">
              <w:rPr>
                <w:noProof/>
                <w:webHidden/>
              </w:rPr>
            </w:r>
            <w:r w:rsidR="003E7D95">
              <w:rPr>
                <w:noProof/>
                <w:webHidden/>
              </w:rPr>
              <w:fldChar w:fldCharType="separate"/>
            </w:r>
            <w:r w:rsidR="003E7D95">
              <w:rPr>
                <w:noProof/>
                <w:webHidden/>
              </w:rPr>
              <w:t>8</w:t>
            </w:r>
            <w:r w:rsidR="003E7D95">
              <w:rPr>
                <w:noProof/>
                <w:webHidden/>
              </w:rPr>
              <w:fldChar w:fldCharType="end"/>
            </w:r>
          </w:hyperlink>
        </w:p>
        <w:p w14:paraId="74385AB2" w14:textId="2AD034AF" w:rsidR="003E7D95" w:rsidRDefault="00EB7221">
          <w:pPr>
            <w:pStyle w:val="TOC1"/>
            <w:tabs>
              <w:tab w:val="right" w:leader="dot" w:pos="9350"/>
            </w:tabs>
            <w:rPr>
              <w:rFonts w:eastAsiaTheme="minorEastAsia"/>
              <w:noProof/>
              <w:lang w:val="en-NZ" w:eastAsia="en-NZ"/>
            </w:rPr>
          </w:pPr>
          <w:hyperlink w:anchor="_Toc114566366" w:history="1">
            <w:r w:rsidR="003E7D95" w:rsidRPr="00F50864">
              <w:rPr>
                <w:rStyle w:val="Hyperlink"/>
                <w:noProof/>
                <w:lang w:val="en-NZ"/>
              </w:rPr>
              <w:t>Monitoring &amp; Evaluation Framework</w:t>
            </w:r>
            <w:r w:rsidR="003E7D95">
              <w:rPr>
                <w:noProof/>
                <w:webHidden/>
              </w:rPr>
              <w:tab/>
            </w:r>
            <w:r w:rsidR="003E7D95">
              <w:rPr>
                <w:noProof/>
                <w:webHidden/>
              </w:rPr>
              <w:fldChar w:fldCharType="begin"/>
            </w:r>
            <w:r w:rsidR="003E7D95">
              <w:rPr>
                <w:noProof/>
                <w:webHidden/>
              </w:rPr>
              <w:instrText xml:space="preserve"> PAGEREF _Toc114566366 \h </w:instrText>
            </w:r>
            <w:r w:rsidR="003E7D95">
              <w:rPr>
                <w:noProof/>
                <w:webHidden/>
              </w:rPr>
            </w:r>
            <w:r w:rsidR="003E7D95">
              <w:rPr>
                <w:noProof/>
                <w:webHidden/>
              </w:rPr>
              <w:fldChar w:fldCharType="separate"/>
            </w:r>
            <w:r w:rsidR="003E7D95">
              <w:rPr>
                <w:noProof/>
                <w:webHidden/>
              </w:rPr>
              <w:t>10</w:t>
            </w:r>
            <w:r w:rsidR="003E7D95">
              <w:rPr>
                <w:noProof/>
                <w:webHidden/>
              </w:rPr>
              <w:fldChar w:fldCharType="end"/>
            </w:r>
          </w:hyperlink>
        </w:p>
        <w:p w14:paraId="30FC5FC4" w14:textId="407109AE" w:rsidR="003E7D95" w:rsidRDefault="00EB7221">
          <w:pPr>
            <w:pStyle w:val="TOC2"/>
            <w:tabs>
              <w:tab w:val="right" w:leader="dot" w:pos="9350"/>
            </w:tabs>
            <w:rPr>
              <w:rFonts w:eastAsiaTheme="minorEastAsia"/>
              <w:noProof/>
              <w:lang w:val="en-NZ" w:eastAsia="en-NZ"/>
            </w:rPr>
          </w:pPr>
          <w:hyperlink w:anchor="_Toc114566367" w:history="1">
            <w:r w:rsidR="003E7D95" w:rsidRPr="00F50864">
              <w:rPr>
                <w:rStyle w:val="Hyperlink"/>
                <w:noProof/>
                <w:lang w:val="en-NZ"/>
              </w:rPr>
              <w:t>Governance</w:t>
            </w:r>
            <w:r w:rsidR="003E7D95">
              <w:rPr>
                <w:noProof/>
                <w:webHidden/>
              </w:rPr>
              <w:tab/>
            </w:r>
            <w:r w:rsidR="003E7D95">
              <w:rPr>
                <w:noProof/>
                <w:webHidden/>
              </w:rPr>
              <w:fldChar w:fldCharType="begin"/>
            </w:r>
            <w:r w:rsidR="003E7D95">
              <w:rPr>
                <w:noProof/>
                <w:webHidden/>
              </w:rPr>
              <w:instrText xml:space="preserve"> PAGEREF _Toc114566367 \h </w:instrText>
            </w:r>
            <w:r w:rsidR="003E7D95">
              <w:rPr>
                <w:noProof/>
                <w:webHidden/>
              </w:rPr>
            </w:r>
            <w:r w:rsidR="003E7D95">
              <w:rPr>
                <w:noProof/>
                <w:webHidden/>
              </w:rPr>
              <w:fldChar w:fldCharType="separate"/>
            </w:r>
            <w:r w:rsidR="003E7D95">
              <w:rPr>
                <w:noProof/>
                <w:webHidden/>
              </w:rPr>
              <w:t>10</w:t>
            </w:r>
            <w:r w:rsidR="003E7D95">
              <w:rPr>
                <w:noProof/>
                <w:webHidden/>
              </w:rPr>
              <w:fldChar w:fldCharType="end"/>
            </w:r>
          </w:hyperlink>
        </w:p>
        <w:p w14:paraId="5CF2BAD8" w14:textId="1C1A4713" w:rsidR="003E7D95" w:rsidRDefault="00EB7221">
          <w:pPr>
            <w:pStyle w:val="TOC2"/>
            <w:tabs>
              <w:tab w:val="right" w:leader="dot" w:pos="9350"/>
            </w:tabs>
            <w:rPr>
              <w:rFonts w:eastAsiaTheme="minorEastAsia"/>
              <w:noProof/>
              <w:lang w:val="en-NZ" w:eastAsia="en-NZ"/>
            </w:rPr>
          </w:pPr>
          <w:hyperlink w:anchor="_Toc114566368" w:history="1">
            <w:r w:rsidR="003E7D95" w:rsidRPr="00F50864">
              <w:rPr>
                <w:rStyle w:val="Hyperlink"/>
                <w:noProof/>
                <w:lang w:val="en-NZ"/>
              </w:rPr>
              <w:t>Review</w:t>
            </w:r>
            <w:r w:rsidR="003E7D95">
              <w:rPr>
                <w:noProof/>
                <w:webHidden/>
              </w:rPr>
              <w:tab/>
            </w:r>
            <w:r w:rsidR="003E7D95">
              <w:rPr>
                <w:noProof/>
                <w:webHidden/>
              </w:rPr>
              <w:fldChar w:fldCharType="begin"/>
            </w:r>
            <w:r w:rsidR="003E7D95">
              <w:rPr>
                <w:noProof/>
                <w:webHidden/>
              </w:rPr>
              <w:instrText xml:space="preserve"> PAGEREF _Toc114566368 \h </w:instrText>
            </w:r>
            <w:r w:rsidR="003E7D95">
              <w:rPr>
                <w:noProof/>
                <w:webHidden/>
              </w:rPr>
            </w:r>
            <w:r w:rsidR="003E7D95">
              <w:rPr>
                <w:noProof/>
                <w:webHidden/>
              </w:rPr>
              <w:fldChar w:fldCharType="separate"/>
            </w:r>
            <w:r w:rsidR="003E7D95">
              <w:rPr>
                <w:noProof/>
                <w:webHidden/>
              </w:rPr>
              <w:t>12</w:t>
            </w:r>
            <w:r w:rsidR="003E7D95">
              <w:rPr>
                <w:noProof/>
                <w:webHidden/>
              </w:rPr>
              <w:fldChar w:fldCharType="end"/>
            </w:r>
          </w:hyperlink>
        </w:p>
        <w:p w14:paraId="66F6C5BC" w14:textId="3A2601E2" w:rsidR="003E7D95" w:rsidRDefault="00EB7221">
          <w:pPr>
            <w:pStyle w:val="TOC2"/>
            <w:tabs>
              <w:tab w:val="right" w:leader="dot" w:pos="9350"/>
            </w:tabs>
            <w:rPr>
              <w:rFonts w:eastAsiaTheme="minorEastAsia"/>
              <w:noProof/>
              <w:lang w:val="en-NZ" w:eastAsia="en-NZ"/>
            </w:rPr>
          </w:pPr>
          <w:hyperlink w:anchor="_Toc114566369" w:history="1">
            <w:r w:rsidR="003E7D95" w:rsidRPr="00F50864">
              <w:rPr>
                <w:rStyle w:val="Hyperlink"/>
                <w:noProof/>
                <w:lang w:val="en-NZ"/>
              </w:rPr>
              <w:t>Monitoring and evaluation</w:t>
            </w:r>
            <w:r w:rsidR="003E7D95">
              <w:rPr>
                <w:noProof/>
                <w:webHidden/>
              </w:rPr>
              <w:tab/>
            </w:r>
            <w:r w:rsidR="003E7D95">
              <w:rPr>
                <w:noProof/>
                <w:webHidden/>
              </w:rPr>
              <w:fldChar w:fldCharType="begin"/>
            </w:r>
            <w:r w:rsidR="003E7D95">
              <w:rPr>
                <w:noProof/>
                <w:webHidden/>
              </w:rPr>
              <w:instrText xml:space="preserve"> PAGEREF _Toc114566369 \h </w:instrText>
            </w:r>
            <w:r w:rsidR="003E7D95">
              <w:rPr>
                <w:noProof/>
                <w:webHidden/>
              </w:rPr>
            </w:r>
            <w:r w:rsidR="003E7D95">
              <w:rPr>
                <w:noProof/>
                <w:webHidden/>
              </w:rPr>
              <w:fldChar w:fldCharType="separate"/>
            </w:r>
            <w:r w:rsidR="003E7D95">
              <w:rPr>
                <w:noProof/>
                <w:webHidden/>
              </w:rPr>
              <w:t>13</w:t>
            </w:r>
            <w:r w:rsidR="003E7D95">
              <w:rPr>
                <w:noProof/>
                <w:webHidden/>
              </w:rPr>
              <w:fldChar w:fldCharType="end"/>
            </w:r>
          </w:hyperlink>
        </w:p>
        <w:p w14:paraId="240CB243" w14:textId="3264C6E9" w:rsidR="003E7D95" w:rsidRDefault="00EB7221">
          <w:pPr>
            <w:pStyle w:val="TOC1"/>
            <w:tabs>
              <w:tab w:val="right" w:leader="dot" w:pos="9350"/>
            </w:tabs>
            <w:rPr>
              <w:rFonts w:eastAsiaTheme="minorEastAsia"/>
              <w:noProof/>
              <w:lang w:val="en-NZ" w:eastAsia="en-NZ"/>
            </w:rPr>
          </w:pPr>
          <w:hyperlink w:anchor="_Toc114566370" w:history="1">
            <w:r w:rsidR="003E7D95" w:rsidRPr="00F50864">
              <w:rPr>
                <w:rStyle w:val="Hyperlink"/>
                <w:noProof/>
              </w:rPr>
              <w:t>Plan Summaries for SFDAIs</w:t>
            </w:r>
            <w:r w:rsidR="003E7D95">
              <w:rPr>
                <w:noProof/>
                <w:webHidden/>
              </w:rPr>
              <w:tab/>
            </w:r>
            <w:r w:rsidR="003E7D95">
              <w:rPr>
                <w:noProof/>
                <w:webHidden/>
              </w:rPr>
              <w:fldChar w:fldCharType="begin"/>
            </w:r>
            <w:r w:rsidR="003E7D95">
              <w:rPr>
                <w:noProof/>
                <w:webHidden/>
              </w:rPr>
              <w:instrText xml:space="preserve"> PAGEREF _Toc114566370 \h </w:instrText>
            </w:r>
            <w:r w:rsidR="003E7D95">
              <w:rPr>
                <w:noProof/>
                <w:webHidden/>
              </w:rPr>
            </w:r>
            <w:r w:rsidR="003E7D95">
              <w:rPr>
                <w:noProof/>
                <w:webHidden/>
              </w:rPr>
              <w:fldChar w:fldCharType="separate"/>
            </w:r>
            <w:r w:rsidR="003E7D95">
              <w:rPr>
                <w:noProof/>
                <w:webHidden/>
              </w:rPr>
              <w:t>15</w:t>
            </w:r>
            <w:r w:rsidR="003E7D95">
              <w:rPr>
                <w:noProof/>
                <w:webHidden/>
              </w:rPr>
              <w:fldChar w:fldCharType="end"/>
            </w:r>
          </w:hyperlink>
        </w:p>
        <w:p w14:paraId="161F7C93" w14:textId="01EB095B" w:rsidR="003E7D95" w:rsidRDefault="00EB7221">
          <w:pPr>
            <w:pStyle w:val="TOC2"/>
            <w:tabs>
              <w:tab w:val="right" w:leader="dot" w:pos="9350"/>
            </w:tabs>
            <w:rPr>
              <w:rFonts w:eastAsiaTheme="minorEastAsia"/>
              <w:noProof/>
              <w:lang w:val="en-NZ" w:eastAsia="en-NZ"/>
            </w:rPr>
          </w:pPr>
          <w:hyperlink w:anchor="_Toc114566371" w:history="1">
            <w:r w:rsidR="003E7D95" w:rsidRPr="00F50864">
              <w:rPr>
                <w:rStyle w:val="Hyperlink"/>
                <w:noProof/>
              </w:rPr>
              <w:t>Harmonization of electronic data exchange</w:t>
            </w:r>
            <w:r w:rsidR="003E7D95">
              <w:rPr>
                <w:noProof/>
                <w:webHidden/>
              </w:rPr>
              <w:tab/>
            </w:r>
            <w:r w:rsidR="003E7D95">
              <w:rPr>
                <w:noProof/>
                <w:webHidden/>
              </w:rPr>
              <w:fldChar w:fldCharType="begin"/>
            </w:r>
            <w:r w:rsidR="003E7D95">
              <w:rPr>
                <w:noProof/>
                <w:webHidden/>
              </w:rPr>
              <w:instrText xml:space="preserve"> PAGEREF _Toc114566371 \h </w:instrText>
            </w:r>
            <w:r w:rsidR="003E7D95">
              <w:rPr>
                <w:noProof/>
                <w:webHidden/>
              </w:rPr>
            </w:r>
            <w:r w:rsidR="003E7D95">
              <w:rPr>
                <w:noProof/>
                <w:webHidden/>
              </w:rPr>
              <w:fldChar w:fldCharType="separate"/>
            </w:r>
            <w:r w:rsidR="003E7D95">
              <w:rPr>
                <w:noProof/>
                <w:webHidden/>
              </w:rPr>
              <w:t>15</w:t>
            </w:r>
            <w:r w:rsidR="003E7D95">
              <w:rPr>
                <w:noProof/>
                <w:webHidden/>
              </w:rPr>
              <w:fldChar w:fldCharType="end"/>
            </w:r>
          </w:hyperlink>
        </w:p>
        <w:p w14:paraId="50FACAC6" w14:textId="6C770B7D" w:rsidR="003E7D95" w:rsidRDefault="00EB7221">
          <w:pPr>
            <w:pStyle w:val="TOC2"/>
            <w:tabs>
              <w:tab w:val="right" w:leader="dot" w:pos="9350"/>
            </w:tabs>
            <w:rPr>
              <w:rFonts w:eastAsiaTheme="minorEastAsia"/>
              <w:noProof/>
              <w:lang w:val="en-NZ" w:eastAsia="en-NZ"/>
            </w:rPr>
          </w:pPr>
          <w:hyperlink w:anchor="_Toc114566372" w:history="1">
            <w:r w:rsidR="003E7D95" w:rsidRPr="00F50864">
              <w:rPr>
                <w:rStyle w:val="Hyperlink"/>
                <w:noProof/>
              </w:rPr>
              <w:t>Commodity-specific ISPMs</w:t>
            </w:r>
            <w:r w:rsidR="003E7D95">
              <w:rPr>
                <w:noProof/>
                <w:webHidden/>
              </w:rPr>
              <w:tab/>
            </w:r>
            <w:r w:rsidR="003E7D95">
              <w:rPr>
                <w:noProof/>
                <w:webHidden/>
              </w:rPr>
              <w:fldChar w:fldCharType="begin"/>
            </w:r>
            <w:r w:rsidR="003E7D95">
              <w:rPr>
                <w:noProof/>
                <w:webHidden/>
              </w:rPr>
              <w:instrText xml:space="preserve"> PAGEREF _Toc114566372 \h </w:instrText>
            </w:r>
            <w:r w:rsidR="003E7D95">
              <w:rPr>
                <w:noProof/>
                <w:webHidden/>
              </w:rPr>
            </w:r>
            <w:r w:rsidR="003E7D95">
              <w:rPr>
                <w:noProof/>
                <w:webHidden/>
              </w:rPr>
              <w:fldChar w:fldCharType="separate"/>
            </w:r>
            <w:r w:rsidR="003E7D95">
              <w:rPr>
                <w:noProof/>
                <w:webHidden/>
              </w:rPr>
              <w:t>15</w:t>
            </w:r>
            <w:r w:rsidR="003E7D95">
              <w:rPr>
                <w:noProof/>
                <w:webHidden/>
              </w:rPr>
              <w:fldChar w:fldCharType="end"/>
            </w:r>
          </w:hyperlink>
        </w:p>
        <w:p w14:paraId="4041F0AF" w14:textId="399BFF2D" w:rsidR="003E7D95" w:rsidRDefault="00EB7221">
          <w:pPr>
            <w:pStyle w:val="TOC2"/>
            <w:tabs>
              <w:tab w:val="right" w:leader="dot" w:pos="9350"/>
            </w:tabs>
            <w:rPr>
              <w:rFonts w:eastAsiaTheme="minorEastAsia"/>
              <w:noProof/>
              <w:lang w:val="en-NZ" w:eastAsia="en-NZ"/>
            </w:rPr>
          </w:pPr>
          <w:hyperlink w:anchor="_Toc114566373" w:history="1">
            <w:r w:rsidR="003E7D95" w:rsidRPr="00F50864">
              <w:rPr>
                <w:rStyle w:val="Hyperlink"/>
                <w:noProof/>
              </w:rPr>
              <w:t>Management of e-commerce and postal and courier pathways</w:t>
            </w:r>
            <w:r w:rsidR="003E7D95">
              <w:rPr>
                <w:noProof/>
                <w:webHidden/>
              </w:rPr>
              <w:tab/>
            </w:r>
            <w:r w:rsidR="003E7D95">
              <w:rPr>
                <w:noProof/>
                <w:webHidden/>
              </w:rPr>
              <w:fldChar w:fldCharType="begin"/>
            </w:r>
            <w:r w:rsidR="003E7D95">
              <w:rPr>
                <w:noProof/>
                <w:webHidden/>
              </w:rPr>
              <w:instrText xml:space="preserve"> PAGEREF _Toc114566373 \h </w:instrText>
            </w:r>
            <w:r w:rsidR="003E7D95">
              <w:rPr>
                <w:noProof/>
                <w:webHidden/>
              </w:rPr>
            </w:r>
            <w:r w:rsidR="003E7D95">
              <w:rPr>
                <w:noProof/>
                <w:webHidden/>
              </w:rPr>
              <w:fldChar w:fldCharType="separate"/>
            </w:r>
            <w:r w:rsidR="003E7D95">
              <w:rPr>
                <w:noProof/>
                <w:webHidden/>
              </w:rPr>
              <w:t>17</w:t>
            </w:r>
            <w:r w:rsidR="003E7D95">
              <w:rPr>
                <w:noProof/>
                <w:webHidden/>
              </w:rPr>
              <w:fldChar w:fldCharType="end"/>
            </w:r>
          </w:hyperlink>
        </w:p>
        <w:p w14:paraId="3CBB52D9" w14:textId="765E0453" w:rsidR="003E7D95" w:rsidRDefault="00EB7221">
          <w:pPr>
            <w:pStyle w:val="TOC2"/>
            <w:tabs>
              <w:tab w:val="right" w:leader="dot" w:pos="9350"/>
            </w:tabs>
            <w:rPr>
              <w:rFonts w:eastAsiaTheme="minorEastAsia"/>
              <w:noProof/>
              <w:lang w:val="en-NZ" w:eastAsia="en-NZ"/>
            </w:rPr>
          </w:pPr>
          <w:hyperlink w:anchor="_Toc114566374" w:history="1">
            <w:r w:rsidR="003E7D95" w:rsidRPr="00F50864">
              <w:rPr>
                <w:rStyle w:val="Hyperlink"/>
                <w:noProof/>
              </w:rPr>
              <w:t>Developing guidance on the use of third-party entities</w:t>
            </w:r>
            <w:r w:rsidR="003E7D95">
              <w:rPr>
                <w:noProof/>
                <w:webHidden/>
              </w:rPr>
              <w:tab/>
            </w:r>
            <w:r w:rsidR="003E7D95">
              <w:rPr>
                <w:noProof/>
                <w:webHidden/>
              </w:rPr>
              <w:fldChar w:fldCharType="begin"/>
            </w:r>
            <w:r w:rsidR="003E7D95">
              <w:rPr>
                <w:noProof/>
                <w:webHidden/>
              </w:rPr>
              <w:instrText xml:space="preserve"> PAGEREF _Toc114566374 \h </w:instrText>
            </w:r>
            <w:r w:rsidR="003E7D95">
              <w:rPr>
                <w:noProof/>
                <w:webHidden/>
              </w:rPr>
            </w:r>
            <w:r w:rsidR="003E7D95">
              <w:rPr>
                <w:noProof/>
                <w:webHidden/>
              </w:rPr>
              <w:fldChar w:fldCharType="separate"/>
            </w:r>
            <w:r w:rsidR="003E7D95">
              <w:rPr>
                <w:noProof/>
                <w:webHidden/>
              </w:rPr>
              <w:t>18</w:t>
            </w:r>
            <w:r w:rsidR="003E7D95">
              <w:rPr>
                <w:noProof/>
                <w:webHidden/>
              </w:rPr>
              <w:fldChar w:fldCharType="end"/>
            </w:r>
          </w:hyperlink>
        </w:p>
        <w:p w14:paraId="79663089" w14:textId="78EEADEF" w:rsidR="003E7D95" w:rsidRDefault="00EB7221">
          <w:pPr>
            <w:pStyle w:val="TOC2"/>
            <w:tabs>
              <w:tab w:val="right" w:leader="dot" w:pos="9350"/>
            </w:tabs>
            <w:rPr>
              <w:rFonts w:eastAsiaTheme="minorEastAsia"/>
              <w:noProof/>
              <w:lang w:val="en-NZ" w:eastAsia="en-NZ"/>
            </w:rPr>
          </w:pPr>
          <w:hyperlink w:anchor="_Toc114566375" w:history="1">
            <w:r w:rsidR="003E7D95" w:rsidRPr="00F50864">
              <w:rPr>
                <w:rStyle w:val="Hyperlink"/>
                <w:noProof/>
              </w:rPr>
              <w:t>Strengthening pest outbreak alert and response systems (POARS)</w:t>
            </w:r>
            <w:r w:rsidR="003E7D95">
              <w:rPr>
                <w:noProof/>
                <w:webHidden/>
              </w:rPr>
              <w:tab/>
            </w:r>
            <w:r w:rsidR="003E7D95">
              <w:rPr>
                <w:noProof/>
                <w:webHidden/>
              </w:rPr>
              <w:fldChar w:fldCharType="begin"/>
            </w:r>
            <w:r w:rsidR="003E7D95">
              <w:rPr>
                <w:noProof/>
                <w:webHidden/>
              </w:rPr>
              <w:instrText xml:space="preserve"> PAGEREF _Toc114566375 \h </w:instrText>
            </w:r>
            <w:r w:rsidR="003E7D95">
              <w:rPr>
                <w:noProof/>
                <w:webHidden/>
              </w:rPr>
            </w:r>
            <w:r w:rsidR="003E7D95">
              <w:rPr>
                <w:noProof/>
                <w:webHidden/>
              </w:rPr>
              <w:fldChar w:fldCharType="separate"/>
            </w:r>
            <w:r w:rsidR="003E7D95">
              <w:rPr>
                <w:noProof/>
                <w:webHidden/>
              </w:rPr>
              <w:t>19</w:t>
            </w:r>
            <w:r w:rsidR="003E7D95">
              <w:rPr>
                <w:noProof/>
                <w:webHidden/>
              </w:rPr>
              <w:fldChar w:fldCharType="end"/>
            </w:r>
          </w:hyperlink>
        </w:p>
        <w:p w14:paraId="6060F293" w14:textId="24918CA1" w:rsidR="003E7D95" w:rsidRDefault="00EB7221">
          <w:pPr>
            <w:pStyle w:val="TOC2"/>
            <w:tabs>
              <w:tab w:val="right" w:leader="dot" w:pos="9350"/>
            </w:tabs>
            <w:rPr>
              <w:rFonts w:eastAsiaTheme="minorEastAsia"/>
              <w:noProof/>
              <w:lang w:val="en-NZ" w:eastAsia="en-NZ"/>
            </w:rPr>
          </w:pPr>
          <w:hyperlink w:anchor="_Toc114566376" w:history="1">
            <w:r w:rsidR="003E7D95" w:rsidRPr="00F50864">
              <w:rPr>
                <w:rStyle w:val="Hyperlink"/>
                <w:noProof/>
              </w:rPr>
              <w:t>Assessment and management of climate change impacts on plant health</w:t>
            </w:r>
            <w:r w:rsidR="003E7D95">
              <w:rPr>
                <w:noProof/>
                <w:webHidden/>
              </w:rPr>
              <w:tab/>
            </w:r>
            <w:r w:rsidR="003E7D95">
              <w:rPr>
                <w:noProof/>
                <w:webHidden/>
              </w:rPr>
              <w:fldChar w:fldCharType="begin"/>
            </w:r>
            <w:r w:rsidR="003E7D95">
              <w:rPr>
                <w:noProof/>
                <w:webHidden/>
              </w:rPr>
              <w:instrText xml:space="preserve"> PAGEREF _Toc114566376 \h </w:instrText>
            </w:r>
            <w:r w:rsidR="003E7D95">
              <w:rPr>
                <w:noProof/>
                <w:webHidden/>
              </w:rPr>
            </w:r>
            <w:r w:rsidR="003E7D95">
              <w:rPr>
                <w:noProof/>
                <w:webHidden/>
              </w:rPr>
              <w:fldChar w:fldCharType="separate"/>
            </w:r>
            <w:r w:rsidR="003E7D95">
              <w:rPr>
                <w:noProof/>
                <w:webHidden/>
              </w:rPr>
              <w:t>21</w:t>
            </w:r>
            <w:r w:rsidR="003E7D95">
              <w:rPr>
                <w:noProof/>
                <w:webHidden/>
              </w:rPr>
              <w:fldChar w:fldCharType="end"/>
            </w:r>
          </w:hyperlink>
        </w:p>
        <w:p w14:paraId="0246E685" w14:textId="5CA4B215" w:rsidR="003E7D95" w:rsidRDefault="00EB7221">
          <w:pPr>
            <w:pStyle w:val="TOC2"/>
            <w:tabs>
              <w:tab w:val="right" w:leader="dot" w:pos="9350"/>
            </w:tabs>
            <w:rPr>
              <w:rFonts w:eastAsiaTheme="minorEastAsia"/>
              <w:noProof/>
              <w:lang w:val="en-NZ" w:eastAsia="en-NZ"/>
            </w:rPr>
          </w:pPr>
          <w:hyperlink w:anchor="_Toc114566377" w:history="1">
            <w:r w:rsidR="003E7D95" w:rsidRPr="00F50864">
              <w:rPr>
                <w:rStyle w:val="Hyperlink"/>
                <w:noProof/>
              </w:rPr>
              <w:t>Global phytosanitary research coordination</w:t>
            </w:r>
            <w:r w:rsidR="003E7D95">
              <w:rPr>
                <w:noProof/>
                <w:webHidden/>
              </w:rPr>
              <w:tab/>
            </w:r>
            <w:r w:rsidR="003E7D95">
              <w:rPr>
                <w:noProof/>
                <w:webHidden/>
              </w:rPr>
              <w:fldChar w:fldCharType="begin"/>
            </w:r>
            <w:r w:rsidR="003E7D95">
              <w:rPr>
                <w:noProof/>
                <w:webHidden/>
              </w:rPr>
              <w:instrText xml:space="preserve"> PAGEREF _Toc114566377 \h </w:instrText>
            </w:r>
            <w:r w:rsidR="003E7D95">
              <w:rPr>
                <w:noProof/>
                <w:webHidden/>
              </w:rPr>
            </w:r>
            <w:r w:rsidR="003E7D95">
              <w:rPr>
                <w:noProof/>
                <w:webHidden/>
              </w:rPr>
              <w:fldChar w:fldCharType="separate"/>
            </w:r>
            <w:r w:rsidR="003E7D95">
              <w:rPr>
                <w:noProof/>
                <w:webHidden/>
              </w:rPr>
              <w:t>22</w:t>
            </w:r>
            <w:r w:rsidR="003E7D95">
              <w:rPr>
                <w:noProof/>
                <w:webHidden/>
              </w:rPr>
              <w:fldChar w:fldCharType="end"/>
            </w:r>
          </w:hyperlink>
        </w:p>
        <w:p w14:paraId="75062C1E" w14:textId="3AE25068" w:rsidR="003E7D95" w:rsidRDefault="00EB7221">
          <w:pPr>
            <w:pStyle w:val="TOC2"/>
            <w:tabs>
              <w:tab w:val="right" w:leader="dot" w:pos="9350"/>
            </w:tabs>
            <w:rPr>
              <w:rFonts w:eastAsiaTheme="minorEastAsia"/>
              <w:noProof/>
              <w:lang w:val="en-NZ" w:eastAsia="en-NZ"/>
            </w:rPr>
          </w:pPr>
          <w:hyperlink w:anchor="_Toc114566378" w:history="1">
            <w:r w:rsidR="003E7D95" w:rsidRPr="00F50864">
              <w:rPr>
                <w:rStyle w:val="Hyperlink"/>
                <w:noProof/>
              </w:rPr>
              <w:t>Diagnostic laboratory networking</w:t>
            </w:r>
            <w:r w:rsidR="003E7D95">
              <w:rPr>
                <w:noProof/>
                <w:webHidden/>
              </w:rPr>
              <w:tab/>
            </w:r>
            <w:r w:rsidR="003E7D95">
              <w:rPr>
                <w:noProof/>
                <w:webHidden/>
              </w:rPr>
              <w:fldChar w:fldCharType="begin"/>
            </w:r>
            <w:r w:rsidR="003E7D95">
              <w:rPr>
                <w:noProof/>
                <w:webHidden/>
              </w:rPr>
              <w:instrText xml:space="preserve"> PAGEREF _Toc114566378 \h </w:instrText>
            </w:r>
            <w:r w:rsidR="003E7D95">
              <w:rPr>
                <w:noProof/>
                <w:webHidden/>
              </w:rPr>
            </w:r>
            <w:r w:rsidR="003E7D95">
              <w:rPr>
                <w:noProof/>
                <w:webHidden/>
              </w:rPr>
              <w:fldChar w:fldCharType="separate"/>
            </w:r>
            <w:r w:rsidR="003E7D95">
              <w:rPr>
                <w:noProof/>
                <w:webHidden/>
              </w:rPr>
              <w:t>22</w:t>
            </w:r>
            <w:r w:rsidR="003E7D95">
              <w:rPr>
                <w:noProof/>
                <w:webHidden/>
              </w:rPr>
              <w:fldChar w:fldCharType="end"/>
            </w:r>
          </w:hyperlink>
        </w:p>
        <w:p w14:paraId="08D776C3" w14:textId="67D6C9C4" w:rsidR="003E7D95" w:rsidRDefault="00EB7221">
          <w:pPr>
            <w:pStyle w:val="TOC1"/>
            <w:tabs>
              <w:tab w:val="right" w:leader="dot" w:pos="9350"/>
            </w:tabs>
            <w:rPr>
              <w:rFonts w:eastAsiaTheme="minorEastAsia"/>
              <w:noProof/>
              <w:lang w:val="en-NZ" w:eastAsia="en-NZ"/>
            </w:rPr>
          </w:pPr>
          <w:hyperlink w:anchor="_Toc114566379" w:history="1">
            <w:r w:rsidR="003E7D95" w:rsidRPr="00F50864">
              <w:rPr>
                <w:rStyle w:val="Hyperlink"/>
                <w:noProof/>
                <w:lang w:val="en-NZ"/>
              </w:rPr>
              <w:t>Investment Prospectus</w:t>
            </w:r>
            <w:r w:rsidR="003E7D95">
              <w:rPr>
                <w:noProof/>
                <w:webHidden/>
              </w:rPr>
              <w:tab/>
            </w:r>
            <w:r w:rsidR="003E7D95">
              <w:rPr>
                <w:noProof/>
                <w:webHidden/>
              </w:rPr>
              <w:fldChar w:fldCharType="begin"/>
            </w:r>
            <w:r w:rsidR="003E7D95">
              <w:rPr>
                <w:noProof/>
                <w:webHidden/>
              </w:rPr>
              <w:instrText xml:space="preserve"> PAGEREF _Toc114566379 \h </w:instrText>
            </w:r>
            <w:r w:rsidR="003E7D95">
              <w:rPr>
                <w:noProof/>
                <w:webHidden/>
              </w:rPr>
            </w:r>
            <w:r w:rsidR="003E7D95">
              <w:rPr>
                <w:noProof/>
                <w:webHidden/>
              </w:rPr>
              <w:fldChar w:fldCharType="separate"/>
            </w:r>
            <w:r w:rsidR="003E7D95">
              <w:rPr>
                <w:noProof/>
                <w:webHidden/>
              </w:rPr>
              <w:t>23</w:t>
            </w:r>
            <w:r w:rsidR="003E7D95">
              <w:rPr>
                <w:noProof/>
                <w:webHidden/>
              </w:rPr>
              <w:fldChar w:fldCharType="end"/>
            </w:r>
          </w:hyperlink>
        </w:p>
        <w:p w14:paraId="4CF3C49F" w14:textId="6867745C" w:rsidR="003E7D95" w:rsidRDefault="00EB7221">
          <w:pPr>
            <w:pStyle w:val="TOC1"/>
            <w:tabs>
              <w:tab w:val="right" w:leader="dot" w:pos="9350"/>
            </w:tabs>
            <w:rPr>
              <w:rFonts w:eastAsiaTheme="minorEastAsia"/>
              <w:noProof/>
              <w:lang w:val="en-NZ" w:eastAsia="en-NZ"/>
            </w:rPr>
          </w:pPr>
          <w:hyperlink w:anchor="_Toc114566380" w:history="1">
            <w:r w:rsidR="003E7D95" w:rsidRPr="00F50864">
              <w:rPr>
                <w:rStyle w:val="Hyperlink"/>
                <w:noProof/>
                <w:lang w:val="en-NZ"/>
              </w:rPr>
              <w:t>Conclusions</w:t>
            </w:r>
            <w:r w:rsidR="003E7D95">
              <w:rPr>
                <w:noProof/>
                <w:webHidden/>
              </w:rPr>
              <w:tab/>
            </w:r>
            <w:r w:rsidR="003E7D95">
              <w:rPr>
                <w:noProof/>
                <w:webHidden/>
              </w:rPr>
              <w:fldChar w:fldCharType="begin"/>
            </w:r>
            <w:r w:rsidR="003E7D95">
              <w:rPr>
                <w:noProof/>
                <w:webHidden/>
              </w:rPr>
              <w:instrText xml:space="preserve"> PAGEREF _Toc114566380 \h </w:instrText>
            </w:r>
            <w:r w:rsidR="003E7D95">
              <w:rPr>
                <w:noProof/>
                <w:webHidden/>
              </w:rPr>
            </w:r>
            <w:r w:rsidR="003E7D95">
              <w:rPr>
                <w:noProof/>
                <w:webHidden/>
              </w:rPr>
              <w:fldChar w:fldCharType="separate"/>
            </w:r>
            <w:r w:rsidR="003E7D95">
              <w:rPr>
                <w:noProof/>
                <w:webHidden/>
              </w:rPr>
              <w:t>23</w:t>
            </w:r>
            <w:r w:rsidR="003E7D95">
              <w:rPr>
                <w:noProof/>
                <w:webHidden/>
              </w:rPr>
              <w:fldChar w:fldCharType="end"/>
            </w:r>
          </w:hyperlink>
        </w:p>
        <w:p w14:paraId="3ECAE0ED" w14:textId="2299B193" w:rsidR="003E7D95" w:rsidRDefault="00EB7221">
          <w:pPr>
            <w:pStyle w:val="TOC1"/>
            <w:tabs>
              <w:tab w:val="right" w:leader="dot" w:pos="9350"/>
            </w:tabs>
            <w:rPr>
              <w:rFonts w:eastAsiaTheme="minorEastAsia"/>
              <w:noProof/>
              <w:lang w:val="en-NZ" w:eastAsia="en-NZ"/>
            </w:rPr>
          </w:pPr>
          <w:hyperlink w:anchor="_Toc114566381" w:history="1">
            <w:r w:rsidR="003E7D95" w:rsidRPr="00F50864">
              <w:rPr>
                <w:rStyle w:val="Hyperlink"/>
                <w:noProof/>
              </w:rPr>
              <w:t>APPENDIX A - Agenda Item #1 - Harmonization of electronic data exchange</w:t>
            </w:r>
            <w:r w:rsidR="003E7D95">
              <w:rPr>
                <w:noProof/>
                <w:webHidden/>
              </w:rPr>
              <w:tab/>
            </w:r>
            <w:r w:rsidR="003E7D95">
              <w:rPr>
                <w:noProof/>
                <w:webHidden/>
              </w:rPr>
              <w:fldChar w:fldCharType="begin"/>
            </w:r>
            <w:r w:rsidR="003E7D95">
              <w:rPr>
                <w:noProof/>
                <w:webHidden/>
              </w:rPr>
              <w:instrText xml:space="preserve"> PAGEREF _Toc114566381 \h </w:instrText>
            </w:r>
            <w:r w:rsidR="003E7D95">
              <w:rPr>
                <w:noProof/>
                <w:webHidden/>
              </w:rPr>
            </w:r>
            <w:r w:rsidR="003E7D95">
              <w:rPr>
                <w:noProof/>
                <w:webHidden/>
              </w:rPr>
              <w:fldChar w:fldCharType="separate"/>
            </w:r>
            <w:r w:rsidR="003E7D95">
              <w:rPr>
                <w:noProof/>
                <w:webHidden/>
              </w:rPr>
              <w:t>24</w:t>
            </w:r>
            <w:r w:rsidR="003E7D95">
              <w:rPr>
                <w:noProof/>
                <w:webHidden/>
              </w:rPr>
              <w:fldChar w:fldCharType="end"/>
            </w:r>
          </w:hyperlink>
        </w:p>
        <w:p w14:paraId="0823C3C9" w14:textId="0504A2CF" w:rsidR="003E7D95" w:rsidRDefault="00EB7221">
          <w:pPr>
            <w:pStyle w:val="TOC1"/>
            <w:tabs>
              <w:tab w:val="right" w:leader="dot" w:pos="9350"/>
            </w:tabs>
            <w:rPr>
              <w:rFonts w:eastAsiaTheme="minorEastAsia"/>
              <w:noProof/>
              <w:lang w:val="en-NZ" w:eastAsia="en-NZ"/>
            </w:rPr>
          </w:pPr>
          <w:hyperlink w:anchor="_Toc114566382" w:history="1">
            <w:r w:rsidR="003E7D95" w:rsidRPr="00F50864">
              <w:rPr>
                <w:rStyle w:val="Hyperlink"/>
                <w:noProof/>
              </w:rPr>
              <w:t>APPENDIX B - Agenda Item #2 - Commodity and pathway specific ISPMs</w:t>
            </w:r>
            <w:r w:rsidR="003E7D95">
              <w:rPr>
                <w:noProof/>
                <w:webHidden/>
              </w:rPr>
              <w:tab/>
            </w:r>
            <w:r w:rsidR="003E7D95">
              <w:rPr>
                <w:noProof/>
                <w:webHidden/>
              </w:rPr>
              <w:fldChar w:fldCharType="begin"/>
            </w:r>
            <w:r w:rsidR="003E7D95">
              <w:rPr>
                <w:noProof/>
                <w:webHidden/>
              </w:rPr>
              <w:instrText xml:space="preserve"> PAGEREF _Toc114566382 \h </w:instrText>
            </w:r>
            <w:r w:rsidR="003E7D95">
              <w:rPr>
                <w:noProof/>
                <w:webHidden/>
              </w:rPr>
            </w:r>
            <w:r w:rsidR="003E7D95">
              <w:rPr>
                <w:noProof/>
                <w:webHidden/>
              </w:rPr>
              <w:fldChar w:fldCharType="separate"/>
            </w:r>
            <w:r w:rsidR="003E7D95">
              <w:rPr>
                <w:noProof/>
                <w:webHidden/>
              </w:rPr>
              <w:t>24</w:t>
            </w:r>
            <w:r w:rsidR="003E7D95">
              <w:rPr>
                <w:noProof/>
                <w:webHidden/>
              </w:rPr>
              <w:fldChar w:fldCharType="end"/>
            </w:r>
          </w:hyperlink>
        </w:p>
        <w:p w14:paraId="5F1AA7C5" w14:textId="6FAF9D76" w:rsidR="003E7D95" w:rsidRDefault="00EB7221">
          <w:pPr>
            <w:pStyle w:val="TOC1"/>
            <w:tabs>
              <w:tab w:val="right" w:leader="dot" w:pos="9350"/>
            </w:tabs>
            <w:rPr>
              <w:rFonts w:eastAsiaTheme="minorEastAsia"/>
              <w:noProof/>
              <w:lang w:val="en-NZ" w:eastAsia="en-NZ"/>
            </w:rPr>
          </w:pPr>
          <w:hyperlink w:anchor="_Toc114566383" w:history="1">
            <w:r w:rsidR="003E7D95" w:rsidRPr="00F50864">
              <w:rPr>
                <w:rStyle w:val="Hyperlink"/>
                <w:noProof/>
              </w:rPr>
              <w:t>APPENDIX C - Agenda Item #3 - Management of e-commerce and postal courier pathways</w:t>
            </w:r>
            <w:r w:rsidR="003E7D95">
              <w:rPr>
                <w:noProof/>
                <w:webHidden/>
              </w:rPr>
              <w:tab/>
            </w:r>
            <w:r w:rsidR="003E7D95">
              <w:rPr>
                <w:noProof/>
                <w:webHidden/>
              </w:rPr>
              <w:fldChar w:fldCharType="begin"/>
            </w:r>
            <w:r w:rsidR="003E7D95">
              <w:rPr>
                <w:noProof/>
                <w:webHidden/>
              </w:rPr>
              <w:instrText xml:space="preserve"> PAGEREF _Toc114566383 \h </w:instrText>
            </w:r>
            <w:r w:rsidR="003E7D95">
              <w:rPr>
                <w:noProof/>
                <w:webHidden/>
              </w:rPr>
            </w:r>
            <w:r w:rsidR="003E7D95">
              <w:rPr>
                <w:noProof/>
                <w:webHidden/>
              </w:rPr>
              <w:fldChar w:fldCharType="separate"/>
            </w:r>
            <w:r w:rsidR="003E7D95">
              <w:rPr>
                <w:noProof/>
                <w:webHidden/>
              </w:rPr>
              <w:t>25</w:t>
            </w:r>
            <w:r w:rsidR="003E7D95">
              <w:rPr>
                <w:noProof/>
                <w:webHidden/>
              </w:rPr>
              <w:fldChar w:fldCharType="end"/>
            </w:r>
          </w:hyperlink>
        </w:p>
        <w:p w14:paraId="1CA321C9" w14:textId="2865265A" w:rsidR="003E7D95" w:rsidRDefault="00EB7221">
          <w:pPr>
            <w:pStyle w:val="TOC1"/>
            <w:tabs>
              <w:tab w:val="right" w:leader="dot" w:pos="9350"/>
            </w:tabs>
            <w:rPr>
              <w:rFonts w:eastAsiaTheme="minorEastAsia"/>
              <w:noProof/>
              <w:lang w:val="en-NZ" w:eastAsia="en-NZ"/>
            </w:rPr>
          </w:pPr>
          <w:hyperlink w:anchor="_Toc114566384" w:history="1">
            <w:r w:rsidR="003E7D95" w:rsidRPr="00F50864">
              <w:rPr>
                <w:rStyle w:val="Hyperlink"/>
                <w:noProof/>
              </w:rPr>
              <w:t>APPENDIX D - Agenda Item #4 - Developing guidance on the use of third-party entities</w:t>
            </w:r>
            <w:r w:rsidR="003E7D95">
              <w:rPr>
                <w:noProof/>
                <w:webHidden/>
              </w:rPr>
              <w:tab/>
            </w:r>
            <w:r w:rsidR="003E7D95">
              <w:rPr>
                <w:noProof/>
                <w:webHidden/>
              </w:rPr>
              <w:fldChar w:fldCharType="begin"/>
            </w:r>
            <w:r w:rsidR="003E7D95">
              <w:rPr>
                <w:noProof/>
                <w:webHidden/>
              </w:rPr>
              <w:instrText xml:space="preserve"> PAGEREF _Toc114566384 \h </w:instrText>
            </w:r>
            <w:r w:rsidR="003E7D95">
              <w:rPr>
                <w:noProof/>
                <w:webHidden/>
              </w:rPr>
            </w:r>
            <w:r w:rsidR="003E7D95">
              <w:rPr>
                <w:noProof/>
                <w:webHidden/>
              </w:rPr>
              <w:fldChar w:fldCharType="separate"/>
            </w:r>
            <w:r w:rsidR="003E7D95">
              <w:rPr>
                <w:noProof/>
                <w:webHidden/>
              </w:rPr>
              <w:t>28</w:t>
            </w:r>
            <w:r w:rsidR="003E7D95">
              <w:rPr>
                <w:noProof/>
                <w:webHidden/>
              </w:rPr>
              <w:fldChar w:fldCharType="end"/>
            </w:r>
          </w:hyperlink>
        </w:p>
        <w:p w14:paraId="3953E11B" w14:textId="01F9047B" w:rsidR="003E7D95" w:rsidRDefault="00EB7221">
          <w:pPr>
            <w:pStyle w:val="TOC1"/>
            <w:tabs>
              <w:tab w:val="right" w:leader="dot" w:pos="9350"/>
            </w:tabs>
            <w:rPr>
              <w:rFonts w:eastAsiaTheme="minorEastAsia"/>
              <w:noProof/>
              <w:lang w:val="en-NZ" w:eastAsia="en-NZ"/>
            </w:rPr>
          </w:pPr>
          <w:hyperlink w:anchor="_Toc114566385" w:history="1">
            <w:r w:rsidR="003E7D95" w:rsidRPr="00F50864">
              <w:rPr>
                <w:rStyle w:val="Hyperlink"/>
                <w:noProof/>
              </w:rPr>
              <w:t>APPENDIX E - Agenda Item #5 - Strengthening pest outbreak alert and response systems</w:t>
            </w:r>
            <w:r w:rsidR="003E7D95">
              <w:rPr>
                <w:noProof/>
                <w:webHidden/>
              </w:rPr>
              <w:tab/>
            </w:r>
            <w:r w:rsidR="003E7D95">
              <w:rPr>
                <w:noProof/>
                <w:webHidden/>
              </w:rPr>
              <w:fldChar w:fldCharType="begin"/>
            </w:r>
            <w:r w:rsidR="003E7D95">
              <w:rPr>
                <w:noProof/>
                <w:webHidden/>
              </w:rPr>
              <w:instrText xml:space="preserve"> PAGEREF _Toc114566385 \h </w:instrText>
            </w:r>
            <w:r w:rsidR="003E7D95">
              <w:rPr>
                <w:noProof/>
                <w:webHidden/>
              </w:rPr>
            </w:r>
            <w:r w:rsidR="003E7D95">
              <w:rPr>
                <w:noProof/>
                <w:webHidden/>
              </w:rPr>
              <w:fldChar w:fldCharType="separate"/>
            </w:r>
            <w:r w:rsidR="003E7D95">
              <w:rPr>
                <w:noProof/>
                <w:webHidden/>
              </w:rPr>
              <w:t>28</w:t>
            </w:r>
            <w:r w:rsidR="003E7D95">
              <w:rPr>
                <w:noProof/>
                <w:webHidden/>
              </w:rPr>
              <w:fldChar w:fldCharType="end"/>
            </w:r>
          </w:hyperlink>
        </w:p>
        <w:p w14:paraId="61EF8E6A" w14:textId="4F1ED006" w:rsidR="003E7D95" w:rsidRDefault="00EB7221">
          <w:pPr>
            <w:pStyle w:val="TOC1"/>
            <w:tabs>
              <w:tab w:val="right" w:leader="dot" w:pos="9350"/>
            </w:tabs>
            <w:rPr>
              <w:rFonts w:eastAsiaTheme="minorEastAsia"/>
              <w:noProof/>
              <w:lang w:val="en-NZ" w:eastAsia="en-NZ"/>
            </w:rPr>
          </w:pPr>
          <w:hyperlink w:anchor="_Toc114566386" w:history="1">
            <w:r w:rsidR="003E7D95" w:rsidRPr="00F50864">
              <w:rPr>
                <w:rStyle w:val="Hyperlink"/>
                <w:noProof/>
              </w:rPr>
              <w:t>APPENDIX F - Agenda Item #6 - Assessment and management of climate change impacts on plant health</w:t>
            </w:r>
            <w:r w:rsidR="003E7D95">
              <w:rPr>
                <w:noProof/>
                <w:webHidden/>
              </w:rPr>
              <w:tab/>
            </w:r>
            <w:r w:rsidR="003E7D95">
              <w:rPr>
                <w:noProof/>
                <w:webHidden/>
              </w:rPr>
              <w:fldChar w:fldCharType="begin"/>
            </w:r>
            <w:r w:rsidR="003E7D95">
              <w:rPr>
                <w:noProof/>
                <w:webHidden/>
              </w:rPr>
              <w:instrText xml:space="preserve"> PAGEREF _Toc114566386 \h </w:instrText>
            </w:r>
            <w:r w:rsidR="003E7D95">
              <w:rPr>
                <w:noProof/>
                <w:webHidden/>
              </w:rPr>
            </w:r>
            <w:r w:rsidR="003E7D95">
              <w:rPr>
                <w:noProof/>
                <w:webHidden/>
              </w:rPr>
              <w:fldChar w:fldCharType="separate"/>
            </w:r>
            <w:r w:rsidR="003E7D95">
              <w:rPr>
                <w:noProof/>
                <w:webHidden/>
              </w:rPr>
              <w:t>30</w:t>
            </w:r>
            <w:r w:rsidR="003E7D95">
              <w:rPr>
                <w:noProof/>
                <w:webHidden/>
              </w:rPr>
              <w:fldChar w:fldCharType="end"/>
            </w:r>
          </w:hyperlink>
        </w:p>
        <w:p w14:paraId="3E376EE5" w14:textId="686423A9" w:rsidR="003E7D95" w:rsidRDefault="00EB7221">
          <w:pPr>
            <w:pStyle w:val="TOC1"/>
            <w:tabs>
              <w:tab w:val="right" w:leader="dot" w:pos="9350"/>
            </w:tabs>
            <w:rPr>
              <w:rFonts w:eastAsiaTheme="minorEastAsia"/>
              <w:noProof/>
              <w:lang w:val="en-NZ" w:eastAsia="en-NZ"/>
            </w:rPr>
          </w:pPr>
          <w:hyperlink w:anchor="_Toc114566387" w:history="1">
            <w:r w:rsidR="003E7D95" w:rsidRPr="00F50864">
              <w:rPr>
                <w:rStyle w:val="Hyperlink"/>
                <w:noProof/>
              </w:rPr>
              <w:t>APPENDIX G - Agenda Item #7 - Global phytosanitary research coordination</w:t>
            </w:r>
            <w:r w:rsidR="003E7D95">
              <w:rPr>
                <w:noProof/>
                <w:webHidden/>
              </w:rPr>
              <w:tab/>
            </w:r>
            <w:r w:rsidR="003E7D95">
              <w:rPr>
                <w:noProof/>
                <w:webHidden/>
              </w:rPr>
              <w:fldChar w:fldCharType="begin"/>
            </w:r>
            <w:r w:rsidR="003E7D95">
              <w:rPr>
                <w:noProof/>
                <w:webHidden/>
              </w:rPr>
              <w:instrText xml:space="preserve"> PAGEREF _Toc114566387 \h </w:instrText>
            </w:r>
            <w:r w:rsidR="003E7D95">
              <w:rPr>
                <w:noProof/>
                <w:webHidden/>
              </w:rPr>
            </w:r>
            <w:r w:rsidR="003E7D95">
              <w:rPr>
                <w:noProof/>
                <w:webHidden/>
              </w:rPr>
              <w:fldChar w:fldCharType="separate"/>
            </w:r>
            <w:r w:rsidR="003E7D95">
              <w:rPr>
                <w:noProof/>
                <w:webHidden/>
              </w:rPr>
              <w:t>32</w:t>
            </w:r>
            <w:r w:rsidR="003E7D95">
              <w:rPr>
                <w:noProof/>
                <w:webHidden/>
              </w:rPr>
              <w:fldChar w:fldCharType="end"/>
            </w:r>
          </w:hyperlink>
        </w:p>
        <w:p w14:paraId="6FA620BA" w14:textId="0CFECCA9" w:rsidR="003E7D95" w:rsidRDefault="00EB7221">
          <w:pPr>
            <w:pStyle w:val="TOC1"/>
            <w:tabs>
              <w:tab w:val="right" w:leader="dot" w:pos="9350"/>
            </w:tabs>
            <w:rPr>
              <w:rFonts w:eastAsiaTheme="minorEastAsia"/>
              <w:noProof/>
              <w:lang w:val="en-NZ" w:eastAsia="en-NZ"/>
            </w:rPr>
          </w:pPr>
          <w:hyperlink w:anchor="_Toc114566388" w:history="1">
            <w:r w:rsidR="003E7D95" w:rsidRPr="00F50864">
              <w:rPr>
                <w:rStyle w:val="Hyperlink"/>
                <w:noProof/>
              </w:rPr>
              <w:t>APPENDIX H - Agenda Item #8 - Diagnostic laboratory networking</w:t>
            </w:r>
            <w:r w:rsidR="003E7D95">
              <w:rPr>
                <w:noProof/>
                <w:webHidden/>
              </w:rPr>
              <w:tab/>
            </w:r>
            <w:r w:rsidR="003E7D95">
              <w:rPr>
                <w:noProof/>
                <w:webHidden/>
              </w:rPr>
              <w:fldChar w:fldCharType="begin"/>
            </w:r>
            <w:r w:rsidR="003E7D95">
              <w:rPr>
                <w:noProof/>
                <w:webHidden/>
              </w:rPr>
              <w:instrText xml:space="preserve"> PAGEREF _Toc114566388 \h </w:instrText>
            </w:r>
            <w:r w:rsidR="003E7D95">
              <w:rPr>
                <w:noProof/>
                <w:webHidden/>
              </w:rPr>
            </w:r>
            <w:r w:rsidR="003E7D95">
              <w:rPr>
                <w:noProof/>
                <w:webHidden/>
              </w:rPr>
              <w:fldChar w:fldCharType="separate"/>
            </w:r>
            <w:r w:rsidR="003E7D95">
              <w:rPr>
                <w:noProof/>
                <w:webHidden/>
              </w:rPr>
              <w:t>32</w:t>
            </w:r>
            <w:r w:rsidR="003E7D95">
              <w:rPr>
                <w:noProof/>
                <w:webHidden/>
              </w:rPr>
              <w:fldChar w:fldCharType="end"/>
            </w:r>
          </w:hyperlink>
        </w:p>
        <w:p w14:paraId="53428218" w14:textId="1E8A80BF" w:rsidR="003E7D95" w:rsidRDefault="00EB7221">
          <w:pPr>
            <w:pStyle w:val="TOC1"/>
            <w:tabs>
              <w:tab w:val="right" w:leader="dot" w:pos="9350"/>
            </w:tabs>
            <w:rPr>
              <w:rFonts w:eastAsiaTheme="minorEastAsia"/>
              <w:noProof/>
              <w:lang w:val="en-NZ" w:eastAsia="en-NZ"/>
            </w:rPr>
          </w:pPr>
          <w:hyperlink w:anchor="_Toc114566389" w:history="1">
            <w:r w:rsidR="003E7D95" w:rsidRPr="00F50864">
              <w:rPr>
                <w:rStyle w:val="Hyperlink"/>
                <w:noProof/>
              </w:rPr>
              <w:t>APPENDIX I – SFDAI reporting template</w:t>
            </w:r>
            <w:r w:rsidR="003E7D95">
              <w:rPr>
                <w:noProof/>
                <w:webHidden/>
              </w:rPr>
              <w:tab/>
            </w:r>
            <w:r w:rsidR="003E7D95">
              <w:rPr>
                <w:noProof/>
                <w:webHidden/>
              </w:rPr>
              <w:fldChar w:fldCharType="begin"/>
            </w:r>
            <w:r w:rsidR="003E7D95">
              <w:rPr>
                <w:noProof/>
                <w:webHidden/>
              </w:rPr>
              <w:instrText xml:space="preserve"> PAGEREF _Toc114566389 \h </w:instrText>
            </w:r>
            <w:r w:rsidR="003E7D95">
              <w:rPr>
                <w:noProof/>
                <w:webHidden/>
              </w:rPr>
            </w:r>
            <w:r w:rsidR="003E7D95">
              <w:rPr>
                <w:noProof/>
                <w:webHidden/>
              </w:rPr>
              <w:fldChar w:fldCharType="separate"/>
            </w:r>
            <w:r w:rsidR="003E7D95">
              <w:rPr>
                <w:noProof/>
                <w:webHidden/>
              </w:rPr>
              <w:t>33</w:t>
            </w:r>
            <w:r w:rsidR="003E7D95">
              <w:rPr>
                <w:noProof/>
                <w:webHidden/>
              </w:rPr>
              <w:fldChar w:fldCharType="end"/>
            </w:r>
          </w:hyperlink>
        </w:p>
        <w:p w14:paraId="3985BCBE" w14:textId="3A1C0B71" w:rsidR="003E7D95" w:rsidRDefault="00EB7221">
          <w:pPr>
            <w:pStyle w:val="TOC1"/>
            <w:tabs>
              <w:tab w:val="right" w:leader="dot" w:pos="9350"/>
            </w:tabs>
            <w:rPr>
              <w:rFonts w:eastAsiaTheme="minorEastAsia"/>
              <w:noProof/>
              <w:lang w:val="en-NZ" w:eastAsia="en-NZ"/>
            </w:rPr>
          </w:pPr>
          <w:hyperlink w:anchor="_Toc114566390" w:history="1">
            <w:r w:rsidR="003E7D95" w:rsidRPr="00F50864">
              <w:rPr>
                <w:rStyle w:val="Hyperlink"/>
                <w:noProof/>
              </w:rPr>
              <w:t>APPENDIX J – CPM Focus Group membership</w:t>
            </w:r>
            <w:r w:rsidR="003E7D95">
              <w:rPr>
                <w:noProof/>
                <w:webHidden/>
              </w:rPr>
              <w:tab/>
            </w:r>
            <w:r w:rsidR="003E7D95">
              <w:rPr>
                <w:noProof/>
                <w:webHidden/>
              </w:rPr>
              <w:fldChar w:fldCharType="begin"/>
            </w:r>
            <w:r w:rsidR="003E7D95">
              <w:rPr>
                <w:noProof/>
                <w:webHidden/>
              </w:rPr>
              <w:instrText xml:space="preserve"> PAGEREF _Toc114566390 \h </w:instrText>
            </w:r>
            <w:r w:rsidR="003E7D95">
              <w:rPr>
                <w:noProof/>
                <w:webHidden/>
              </w:rPr>
            </w:r>
            <w:r w:rsidR="003E7D95">
              <w:rPr>
                <w:noProof/>
                <w:webHidden/>
              </w:rPr>
              <w:fldChar w:fldCharType="separate"/>
            </w:r>
            <w:r w:rsidR="003E7D95">
              <w:rPr>
                <w:noProof/>
                <w:webHidden/>
              </w:rPr>
              <w:t>33</w:t>
            </w:r>
            <w:r w:rsidR="003E7D95">
              <w:rPr>
                <w:noProof/>
                <w:webHidden/>
              </w:rPr>
              <w:fldChar w:fldCharType="end"/>
            </w:r>
          </w:hyperlink>
        </w:p>
        <w:p w14:paraId="06D48D56" w14:textId="5AA69FAF" w:rsidR="000D7940" w:rsidRDefault="000D7940">
          <w:r>
            <w:rPr>
              <w:b/>
              <w:bCs/>
              <w:noProof/>
            </w:rPr>
            <w:fldChar w:fldCharType="end"/>
          </w:r>
        </w:p>
      </w:sdtContent>
    </w:sdt>
    <w:p w14:paraId="4D1CBBAB" w14:textId="77777777" w:rsidR="00A660FC" w:rsidRDefault="00A660FC">
      <w:pPr>
        <w:rPr>
          <w:rStyle w:val="normaltextrun"/>
          <w:rFonts w:asciiTheme="majorHAnsi" w:eastAsiaTheme="majorEastAsia" w:hAnsiTheme="majorHAnsi" w:cstheme="majorBidi"/>
          <w:color w:val="2F5496" w:themeColor="accent1" w:themeShade="BF"/>
          <w:sz w:val="32"/>
          <w:szCs w:val="32"/>
        </w:rPr>
      </w:pPr>
      <w:r>
        <w:rPr>
          <w:rStyle w:val="normaltextrun"/>
        </w:rPr>
        <w:lastRenderedPageBreak/>
        <w:br w:type="page"/>
      </w:r>
    </w:p>
    <w:p w14:paraId="30985E95" w14:textId="04BF67C1" w:rsidR="00F72534" w:rsidRPr="008E1DF2" w:rsidRDefault="00F72534" w:rsidP="008E1DF2">
      <w:pPr>
        <w:pStyle w:val="Heading1"/>
        <w:rPr>
          <w:rStyle w:val="normaltextrun"/>
        </w:rPr>
      </w:pPr>
      <w:bookmarkStart w:id="2" w:name="_Toc114566362"/>
      <w:r w:rsidRPr="008E1DF2">
        <w:rPr>
          <w:rStyle w:val="normaltextrun"/>
        </w:rPr>
        <w:lastRenderedPageBreak/>
        <w:t>B</w:t>
      </w:r>
      <w:r w:rsidR="00ED5D69" w:rsidRPr="008E1DF2">
        <w:rPr>
          <w:rStyle w:val="normaltextrun"/>
        </w:rPr>
        <w:t>ackground</w:t>
      </w:r>
      <w:r w:rsidR="00941D92" w:rsidRPr="008E1DF2">
        <w:rPr>
          <w:rStyle w:val="normaltextrun"/>
        </w:rPr>
        <w:t xml:space="preserve"> and </w:t>
      </w:r>
      <w:r w:rsidR="00CB3B78">
        <w:rPr>
          <w:rStyle w:val="normaltextrun"/>
        </w:rPr>
        <w:t>I</w:t>
      </w:r>
      <w:r w:rsidR="00941D92" w:rsidRPr="008E1DF2">
        <w:rPr>
          <w:rStyle w:val="normaltextrun"/>
        </w:rPr>
        <w:t>ntroduction</w:t>
      </w:r>
      <w:bookmarkEnd w:id="2"/>
    </w:p>
    <w:p w14:paraId="679A18FD" w14:textId="1DA99BBA" w:rsidR="00FD6322" w:rsidRPr="00FD6322" w:rsidRDefault="00CF6958" w:rsidP="00FD6322">
      <w:pPr>
        <w:rPr>
          <w:lang w:val="en-GB"/>
        </w:rPr>
      </w:pPr>
      <w:r>
        <w:t xml:space="preserve">Non-native plant pests threaten the health of the world’s plants. Some of these, such as </w:t>
      </w:r>
      <w:r w:rsidRPr="00CF6958">
        <w:rPr>
          <w:i/>
          <w:iCs/>
        </w:rPr>
        <w:t>Spodoptera frugiperda</w:t>
      </w:r>
      <w:r>
        <w:t xml:space="preserve"> (fall armyworm)</w:t>
      </w:r>
      <w:r w:rsidR="00FD6322">
        <w:t xml:space="preserve"> and tomato brown rugose fruit virus</w:t>
      </w:r>
      <w:r>
        <w:t>, impact food</w:t>
      </w:r>
      <w:r w:rsidR="0026314B">
        <w:t xml:space="preserve"> security and economic prosperity</w:t>
      </w:r>
      <w:r>
        <w:t xml:space="preserve">, while others, such as </w:t>
      </w:r>
      <w:r w:rsidRPr="00CF6958">
        <w:rPr>
          <w:i/>
          <w:iCs/>
        </w:rPr>
        <w:t>Agrilus planipennis</w:t>
      </w:r>
      <w:r>
        <w:t xml:space="preserve"> (emerald ash borer)</w:t>
      </w:r>
      <w:r w:rsidR="00FD6322">
        <w:t xml:space="preserve"> and </w:t>
      </w:r>
      <w:r w:rsidR="00FD6322" w:rsidRPr="00FD6322">
        <w:rPr>
          <w:i/>
          <w:iCs/>
        </w:rPr>
        <w:t>Anoplophora glabripennis</w:t>
      </w:r>
      <w:r w:rsidR="00FD6322">
        <w:t xml:space="preserve"> (Asian longhorn beetle)</w:t>
      </w:r>
      <w:r>
        <w:t>, impact the</w:t>
      </w:r>
      <w:r w:rsidR="0026314B" w:rsidRPr="0026314B">
        <w:t xml:space="preserve"> productivity and biodiversity of forests and the wild flora of the natural environment</w:t>
      </w:r>
      <w:r>
        <w:t xml:space="preserve">. </w:t>
      </w:r>
      <w:r w:rsidR="00FD6322" w:rsidRPr="00FD6322">
        <w:rPr>
          <w:lang w:val="en-GB"/>
        </w:rPr>
        <w:t xml:space="preserve">The likelihood of </w:t>
      </w:r>
      <w:r w:rsidR="00FD6322">
        <w:rPr>
          <w:lang w:val="en-GB"/>
        </w:rPr>
        <w:t xml:space="preserve">these pests </w:t>
      </w:r>
      <w:r w:rsidR="00FD6322" w:rsidRPr="00FD6322">
        <w:rPr>
          <w:lang w:val="en-GB"/>
        </w:rPr>
        <w:t xml:space="preserve">being introduced into </w:t>
      </w:r>
      <w:r w:rsidR="00FD6322">
        <w:rPr>
          <w:lang w:val="en-GB"/>
        </w:rPr>
        <w:t xml:space="preserve">new countries </w:t>
      </w:r>
      <w:r w:rsidR="00FD6322" w:rsidRPr="00FD6322">
        <w:rPr>
          <w:lang w:val="en-GB"/>
        </w:rPr>
        <w:t xml:space="preserve">has increased with the globalisation of trade, as the volume and diversity of plants, plant products and other objects </w:t>
      </w:r>
      <w:r w:rsidR="00FD6322">
        <w:rPr>
          <w:lang w:val="en-GB"/>
        </w:rPr>
        <w:t xml:space="preserve">moving around the world </w:t>
      </w:r>
      <w:r w:rsidR="00FD6322" w:rsidRPr="00FD6322">
        <w:rPr>
          <w:lang w:val="en-GB"/>
        </w:rPr>
        <w:t>has grown. The risk has also increased with climate change</w:t>
      </w:r>
      <w:r w:rsidR="00EE78FA">
        <w:rPr>
          <w:lang w:val="en-GB"/>
        </w:rPr>
        <w:t>,</w:t>
      </w:r>
      <w:r w:rsidR="00FD6322" w:rsidRPr="00FD6322">
        <w:rPr>
          <w:lang w:val="en-GB"/>
        </w:rPr>
        <w:t xml:space="preserve"> </w:t>
      </w:r>
      <w:r w:rsidR="00EE78FA">
        <w:rPr>
          <w:lang w:val="en-GB"/>
        </w:rPr>
        <w:t>a</w:t>
      </w:r>
      <w:r w:rsidR="00FD6322" w:rsidRPr="00FD6322">
        <w:rPr>
          <w:lang w:val="en-GB"/>
        </w:rPr>
        <w:t xml:space="preserve">s the climate of </w:t>
      </w:r>
      <w:r w:rsidR="00FD6322">
        <w:rPr>
          <w:lang w:val="en-GB"/>
        </w:rPr>
        <w:t>parts of the world</w:t>
      </w:r>
      <w:r w:rsidR="00FD6322" w:rsidRPr="00FD6322">
        <w:rPr>
          <w:lang w:val="en-GB"/>
        </w:rPr>
        <w:t xml:space="preserve"> </w:t>
      </w:r>
      <w:r w:rsidR="00FD6322">
        <w:rPr>
          <w:lang w:val="en-GB"/>
        </w:rPr>
        <w:t xml:space="preserve">have </w:t>
      </w:r>
      <w:r w:rsidR="00FD6322" w:rsidRPr="00FD6322">
        <w:rPr>
          <w:lang w:val="en-GB"/>
        </w:rPr>
        <w:t>become more suitable for the establishment and spread of non-native species, and new trade pathways</w:t>
      </w:r>
      <w:r w:rsidR="00FD6322">
        <w:rPr>
          <w:lang w:val="en-GB"/>
        </w:rPr>
        <w:t xml:space="preserve"> have</w:t>
      </w:r>
      <w:r w:rsidR="00FD6322" w:rsidRPr="00FD6322">
        <w:rPr>
          <w:lang w:val="en-GB"/>
        </w:rPr>
        <w:t xml:space="preserve"> open</w:t>
      </w:r>
      <w:r w:rsidR="00FD6322">
        <w:rPr>
          <w:lang w:val="en-GB"/>
        </w:rPr>
        <w:t xml:space="preserve">ed </w:t>
      </w:r>
      <w:r w:rsidR="00FD6322" w:rsidRPr="00FD6322">
        <w:rPr>
          <w:lang w:val="en-GB"/>
        </w:rPr>
        <w:t>up due to global changes in plant distribution and production.</w:t>
      </w:r>
    </w:p>
    <w:p w14:paraId="561E1F65" w14:textId="7B57DFC5" w:rsidR="00CF6958" w:rsidRDefault="00D1410C" w:rsidP="00CF6958">
      <w:pPr>
        <w:rPr>
          <w:lang w:val="en-GB"/>
        </w:rPr>
      </w:pPr>
      <w:r w:rsidRPr="00D1410C">
        <w:rPr>
          <w:lang w:val="en-GB"/>
        </w:rPr>
        <w:t xml:space="preserve">It is therefore more important than ever that we tackle this issue </w:t>
      </w:r>
      <w:r w:rsidR="007B6373">
        <w:rPr>
          <w:lang w:val="en-GB"/>
        </w:rPr>
        <w:t xml:space="preserve">with a </w:t>
      </w:r>
      <w:r w:rsidR="001D78E0">
        <w:rPr>
          <w:lang w:val="en-GB"/>
        </w:rPr>
        <w:t>coordinated global effort</w:t>
      </w:r>
      <w:r w:rsidRPr="00D1410C">
        <w:rPr>
          <w:lang w:val="en-GB"/>
        </w:rPr>
        <w:t>.</w:t>
      </w:r>
      <w:r>
        <w:rPr>
          <w:lang w:val="en-GB"/>
        </w:rPr>
        <w:t xml:space="preserve"> This is recognised in the Strategic Framework for the International Plant Protection Convention (IPPC) 2020-2030, which sets out the following mission, vision</w:t>
      </w:r>
      <w:r w:rsidR="00493E72">
        <w:rPr>
          <w:lang w:val="en-GB"/>
        </w:rPr>
        <w:t>,</w:t>
      </w:r>
      <w:r>
        <w:rPr>
          <w:lang w:val="en-GB"/>
        </w:rPr>
        <w:t xml:space="preserve"> goal</w:t>
      </w:r>
      <w:r w:rsidR="00493E72">
        <w:rPr>
          <w:lang w:val="en-GB"/>
        </w:rPr>
        <w:t xml:space="preserve"> and strategic </w:t>
      </w:r>
      <w:r w:rsidR="00F37650">
        <w:rPr>
          <w:lang w:val="en-GB"/>
        </w:rPr>
        <w:t>objective</w:t>
      </w:r>
      <w:r w:rsidR="00EE78FA">
        <w:rPr>
          <w:lang w:val="en-GB"/>
        </w:rPr>
        <w:t>s</w:t>
      </w:r>
      <w:r>
        <w:rPr>
          <w:lang w:val="en-GB"/>
        </w:rPr>
        <w:t>:</w:t>
      </w:r>
    </w:p>
    <w:p w14:paraId="13155301" w14:textId="1F5A03E3" w:rsidR="00D1410C" w:rsidRDefault="00D1410C" w:rsidP="00D1410C">
      <w:pPr>
        <w:ind w:left="720"/>
        <w:rPr>
          <w:lang w:val="en-GB"/>
        </w:rPr>
      </w:pPr>
      <w:r w:rsidRPr="00D1410C">
        <w:rPr>
          <w:b/>
          <w:bCs/>
          <w:lang w:val="en-GB"/>
        </w:rPr>
        <w:t>Mission</w:t>
      </w:r>
      <w:r>
        <w:rPr>
          <w:lang w:val="en-GB"/>
        </w:rPr>
        <w:t xml:space="preserve"> – Protect global plant resources and facilitate safe trade</w:t>
      </w:r>
    </w:p>
    <w:p w14:paraId="5B53D72E" w14:textId="1121A998" w:rsidR="00D1410C" w:rsidRDefault="00D1410C" w:rsidP="00D1410C">
      <w:pPr>
        <w:ind w:left="720"/>
      </w:pPr>
      <w:r w:rsidRPr="00D1410C">
        <w:rPr>
          <w:b/>
          <w:bCs/>
          <w:lang w:val="en-GB"/>
        </w:rPr>
        <w:t>Vision</w:t>
      </w:r>
      <w:r>
        <w:rPr>
          <w:lang w:val="en-GB"/>
        </w:rPr>
        <w:t xml:space="preserve"> – </w:t>
      </w:r>
      <w:r w:rsidRPr="00D1410C">
        <w:t>The spread of plant pests is minimized and their impacts within countries are effectively managed</w:t>
      </w:r>
    </w:p>
    <w:p w14:paraId="3D63749B" w14:textId="2E7AFDAE" w:rsidR="00D1410C" w:rsidRDefault="00D1410C" w:rsidP="00D1410C">
      <w:pPr>
        <w:ind w:left="720"/>
      </w:pPr>
      <w:r w:rsidRPr="00D1410C">
        <w:rPr>
          <w:b/>
          <w:bCs/>
        </w:rPr>
        <w:t>Goal</w:t>
      </w:r>
      <w:r>
        <w:t xml:space="preserve"> – </w:t>
      </w:r>
      <w:r w:rsidRPr="00D1410C">
        <w:t>All</w:t>
      </w:r>
      <w:r>
        <w:t xml:space="preserve"> </w:t>
      </w:r>
      <w:r w:rsidRPr="00D1410C">
        <w:t>countries have the capacity to implement harmonized measures to prevent pest introductions and spread, and minimize the impacts of pests on food security, trade, economic growth, and the environment</w:t>
      </w:r>
      <w:r>
        <w:t>.</w:t>
      </w:r>
    </w:p>
    <w:p w14:paraId="7669480A" w14:textId="0D251847" w:rsidR="00F37650" w:rsidRDefault="00F37650" w:rsidP="00D1410C">
      <w:pPr>
        <w:ind w:left="720"/>
        <w:rPr>
          <w:b/>
          <w:bCs/>
        </w:rPr>
      </w:pPr>
      <w:r>
        <w:rPr>
          <w:b/>
          <w:bCs/>
        </w:rPr>
        <w:t>Strategic Objectives</w:t>
      </w:r>
      <w:r w:rsidR="00EF6944">
        <w:rPr>
          <w:b/>
          <w:bCs/>
        </w:rPr>
        <w:t xml:space="preserve"> – </w:t>
      </w:r>
    </w:p>
    <w:p w14:paraId="778564AA" w14:textId="6C9E95AB" w:rsidR="0056335A" w:rsidRDefault="0056335A" w:rsidP="0056335A">
      <w:pPr>
        <w:pStyle w:val="ListParagraph"/>
        <w:numPr>
          <w:ilvl w:val="0"/>
          <w:numId w:val="18"/>
        </w:numPr>
      </w:pPr>
      <w:r>
        <w:t xml:space="preserve">Enhance global food security </w:t>
      </w:r>
      <w:r w:rsidR="00880C5D">
        <w:t>&amp; increase sustainable agricultural productivity.</w:t>
      </w:r>
    </w:p>
    <w:p w14:paraId="3AB8E6A9" w14:textId="7DF8730A" w:rsidR="00880C5D" w:rsidRDefault="00880C5D" w:rsidP="0056335A">
      <w:pPr>
        <w:pStyle w:val="ListParagraph"/>
        <w:numPr>
          <w:ilvl w:val="0"/>
          <w:numId w:val="18"/>
        </w:numPr>
      </w:pPr>
      <w:r>
        <w:t>Protect forests and the environment</w:t>
      </w:r>
      <w:r w:rsidR="00BB3B5B">
        <w:t xml:space="preserve"> from the impacts of plant pests.</w:t>
      </w:r>
    </w:p>
    <w:p w14:paraId="3A1BBC48" w14:textId="5C3EAF43" w:rsidR="00BB3B5B" w:rsidRDefault="00BB3B5B" w:rsidP="0056335A">
      <w:pPr>
        <w:pStyle w:val="ListParagraph"/>
        <w:numPr>
          <w:ilvl w:val="0"/>
          <w:numId w:val="18"/>
        </w:numPr>
      </w:pPr>
      <w:r>
        <w:t xml:space="preserve">Facilitate safe trade &amp; </w:t>
      </w:r>
      <w:r w:rsidR="00EF6944">
        <w:t>economic growth.</w:t>
      </w:r>
    </w:p>
    <w:p w14:paraId="2CA797E6" w14:textId="77777777" w:rsidR="001D78E0" w:rsidRDefault="005C25F7" w:rsidP="00D1410C">
      <w:r>
        <w:t>These will be achieved in part through the core activities of the IPPC, including</w:t>
      </w:r>
      <w:r w:rsidR="001D78E0">
        <w:t>:</w:t>
      </w:r>
    </w:p>
    <w:p w14:paraId="6940859A" w14:textId="1FE7A9E5" w:rsidR="001D78E0" w:rsidRDefault="005C25F7" w:rsidP="001D78E0">
      <w:pPr>
        <w:pStyle w:val="ListParagraph"/>
        <w:numPr>
          <w:ilvl w:val="0"/>
          <w:numId w:val="14"/>
        </w:numPr>
      </w:pPr>
      <w:r>
        <w:t>develop</w:t>
      </w:r>
      <w:r w:rsidR="00B0500F">
        <w:t>ment</w:t>
      </w:r>
      <w:r>
        <w:t xml:space="preserve"> of international standards recognized </w:t>
      </w:r>
      <w:r w:rsidR="001925C1">
        <w:t>by</w:t>
      </w:r>
      <w:r>
        <w:t xml:space="preserve"> the WTO-SPS agreement as </w:t>
      </w:r>
      <w:r w:rsidR="00C73B92">
        <w:t>providing technically</w:t>
      </w:r>
      <w:r w:rsidR="009B3BD8">
        <w:t xml:space="preserve"> justified and </w:t>
      </w:r>
      <w:r w:rsidR="005C706A">
        <w:t>harmonized</w:t>
      </w:r>
      <w:r>
        <w:t xml:space="preserve"> phytosanitary measures</w:t>
      </w:r>
      <w:r w:rsidR="00C73B92">
        <w:t xml:space="preserve"> for trade</w:t>
      </w:r>
      <w:r w:rsidR="00AD78BB">
        <w:t xml:space="preserve"> to manage the pest and disease risks </w:t>
      </w:r>
      <w:r w:rsidR="009B3BD8">
        <w:t>to plants</w:t>
      </w:r>
      <w:r>
        <w:t xml:space="preserve">; </w:t>
      </w:r>
    </w:p>
    <w:p w14:paraId="517E05CE" w14:textId="42356F03" w:rsidR="001D78E0" w:rsidRDefault="005C25F7" w:rsidP="001D78E0">
      <w:pPr>
        <w:pStyle w:val="ListParagraph"/>
        <w:numPr>
          <w:ilvl w:val="0"/>
          <w:numId w:val="14"/>
        </w:numPr>
      </w:pPr>
      <w:r>
        <w:t xml:space="preserve">implementation of standards and </w:t>
      </w:r>
      <w:r w:rsidR="00B0500F">
        <w:t xml:space="preserve">capacity development </w:t>
      </w:r>
      <w:r w:rsidR="004C3BB2">
        <w:t>by</w:t>
      </w:r>
      <w:r>
        <w:t xml:space="preserve"> contracting parties, </w:t>
      </w:r>
      <w:r w:rsidR="0020278B">
        <w:t xml:space="preserve">through </w:t>
      </w:r>
      <w:r w:rsidR="00B0500F">
        <w:t xml:space="preserve">the </w:t>
      </w:r>
      <w:r w:rsidR="0020278B">
        <w:t>us</w:t>
      </w:r>
      <w:r w:rsidR="00B0500F">
        <w:t>e of</w:t>
      </w:r>
      <w:r w:rsidR="0020278B">
        <w:t xml:space="preserve"> the phytosanitary capacity development tool, produc</w:t>
      </w:r>
      <w:r w:rsidR="00B0500F">
        <w:t>tion of</w:t>
      </w:r>
      <w:r w:rsidR="0020278B">
        <w:t xml:space="preserve"> guidance material</w:t>
      </w:r>
      <w:r w:rsidR="00702A26">
        <w:t>s</w:t>
      </w:r>
      <w:r w:rsidR="0020278B">
        <w:t xml:space="preserve"> and coordinati</w:t>
      </w:r>
      <w:r w:rsidR="00B0500F">
        <w:t>on of</w:t>
      </w:r>
      <w:r w:rsidR="0020278B">
        <w:t xml:space="preserve"> training; and </w:t>
      </w:r>
    </w:p>
    <w:p w14:paraId="3F62B6F5" w14:textId="5BBDFDA3" w:rsidR="00D1410C" w:rsidRDefault="00864851" w:rsidP="001D78E0">
      <w:pPr>
        <w:pStyle w:val="ListParagraph"/>
        <w:numPr>
          <w:ilvl w:val="0"/>
          <w:numId w:val="14"/>
        </w:numPr>
      </w:pPr>
      <w:r>
        <w:t xml:space="preserve">communication </w:t>
      </w:r>
      <w:r w:rsidR="0020278B">
        <w:t>of the IPPC</w:t>
      </w:r>
      <w:r>
        <w:t>’s principles</w:t>
      </w:r>
      <w:r w:rsidR="0020278B">
        <w:t xml:space="preserve"> and the importance of protecting plants from plant pests. </w:t>
      </w:r>
    </w:p>
    <w:p w14:paraId="07FB311C" w14:textId="68B47195" w:rsidR="00702A26" w:rsidRDefault="00702A26" w:rsidP="00D1410C">
      <w:r>
        <w:t>The strategic framework also outlines eight new development agenda items (or work programmes) aligned to the mission, vision</w:t>
      </w:r>
      <w:r w:rsidR="00EE78FA">
        <w:t xml:space="preserve">, </w:t>
      </w:r>
      <w:r>
        <w:t>goal</w:t>
      </w:r>
      <w:r w:rsidR="00EE78FA">
        <w:t xml:space="preserve"> and strategic objectives</w:t>
      </w:r>
      <w:r>
        <w:t xml:space="preserve">. These have been identified </w:t>
      </w:r>
      <w:r w:rsidRPr="00702A26">
        <w:t xml:space="preserve">based on the </w:t>
      </w:r>
      <w:r>
        <w:t xml:space="preserve">anticipated </w:t>
      </w:r>
      <w:r w:rsidRPr="00702A26">
        <w:t>changes to the operational environment of national, regional, and global plant protection organizations</w:t>
      </w:r>
      <w:r w:rsidR="009576ED">
        <w:t>, and the associated opportunities and challenges</w:t>
      </w:r>
      <w:r w:rsidR="00864851">
        <w:t>.</w:t>
      </w:r>
      <w:r w:rsidR="009576ED">
        <w:t xml:space="preserve"> </w:t>
      </w:r>
      <w:r w:rsidR="0021148A">
        <w:t xml:space="preserve">They are designed to deliver tangible benefits to implementing countries. </w:t>
      </w:r>
      <w:r w:rsidR="009576ED">
        <w:t>In brief, these eight development agenda items are:</w:t>
      </w:r>
    </w:p>
    <w:p w14:paraId="4FECA203" w14:textId="53F45C5A" w:rsidR="009576ED" w:rsidRPr="004403E4" w:rsidRDefault="009576ED" w:rsidP="009576ED">
      <w:pPr>
        <w:pStyle w:val="ListParagraph"/>
        <w:numPr>
          <w:ilvl w:val="0"/>
          <w:numId w:val="12"/>
        </w:numPr>
      </w:pPr>
      <w:r w:rsidRPr="009576ED">
        <w:rPr>
          <w:b/>
          <w:bCs/>
        </w:rPr>
        <w:lastRenderedPageBreak/>
        <w:t>Harmonization of electronic data exchange</w:t>
      </w:r>
      <w:r>
        <w:t xml:space="preserve"> – </w:t>
      </w:r>
      <w:r w:rsidRPr="009576ED">
        <w:rPr>
          <w:lang w:val="en-GB"/>
        </w:rPr>
        <w:t>A global system for production and exchange of electronic phytosanitary certificate information</w:t>
      </w:r>
      <w:r>
        <w:rPr>
          <w:lang w:val="en-GB"/>
        </w:rPr>
        <w:t>.</w:t>
      </w:r>
    </w:p>
    <w:p w14:paraId="45E3E587" w14:textId="77777777" w:rsidR="004403E4" w:rsidRPr="009576ED" w:rsidRDefault="004403E4" w:rsidP="004403E4">
      <w:pPr>
        <w:pStyle w:val="ListParagraph"/>
      </w:pPr>
    </w:p>
    <w:p w14:paraId="5C5867AF" w14:textId="5BCFD003" w:rsidR="004403E4" w:rsidRPr="004403E4" w:rsidRDefault="009576ED" w:rsidP="004403E4">
      <w:pPr>
        <w:pStyle w:val="ListParagraph"/>
        <w:numPr>
          <w:ilvl w:val="0"/>
          <w:numId w:val="12"/>
        </w:numPr>
      </w:pPr>
      <w:r w:rsidRPr="00900ED2">
        <w:rPr>
          <w:b/>
          <w:bCs/>
        </w:rPr>
        <w:t xml:space="preserve">Commodity- and pathway-specific </w:t>
      </w:r>
      <w:r w:rsidR="00900ED2" w:rsidRPr="00900ED2">
        <w:rPr>
          <w:b/>
          <w:bCs/>
        </w:rPr>
        <w:t>ISPMs</w:t>
      </w:r>
      <w:r>
        <w:t xml:space="preserve"> </w:t>
      </w:r>
      <w:r w:rsidR="00900ED2">
        <w:t>–</w:t>
      </w:r>
      <w:r w:rsidR="00900ED2">
        <w:rPr>
          <w:lang w:val="en-GB"/>
        </w:rPr>
        <w:t xml:space="preserve"> The </w:t>
      </w:r>
      <w:r w:rsidR="00900ED2" w:rsidRPr="00900ED2">
        <w:rPr>
          <w:lang w:val="en-GB"/>
        </w:rPr>
        <w:t>adopt</w:t>
      </w:r>
      <w:r w:rsidR="00900ED2">
        <w:rPr>
          <w:lang w:val="en-GB"/>
        </w:rPr>
        <w:t>ion</w:t>
      </w:r>
      <w:r w:rsidR="00900ED2" w:rsidRPr="00900ED2">
        <w:rPr>
          <w:lang w:val="en-GB"/>
        </w:rPr>
        <w:t xml:space="preserve"> and implement</w:t>
      </w:r>
      <w:r w:rsidR="00900ED2">
        <w:rPr>
          <w:lang w:val="en-GB"/>
        </w:rPr>
        <w:t>ation</w:t>
      </w:r>
      <w:r w:rsidR="00900ED2" w:rsidRPr="00900ED2">
        <w:rPr>
          <w:lang w:val="en-GB"/>
        </w:rPr>
        <w:t xml:space="preserve"> </w:t>
      </w:r>
      <w:r w:rsidR="00900ED2">
        <w:rPr>
          <w:lang w:val="en-GB"/>
        </w:rPr>
        <w:t>of international standards for</w:t>
      </w:r>
      <w:r w:rsidR="00900ED2" w:rsidRPr="00900ED2">
        <w:rPr>
          <w:lang w:val="en-GB"/>
        </w:rPr>
        <w:t xml:space="preserve"> specific commodities and pathways, with accompanying diagnostic protocols and phytosanitary treatments to support implementation. </w:t>
      </w:r>
    </w:p>
    <w:p w14:paraId="64A67196" w14:textId="77777777" w:rsidR="004403E4" w:rsidRDefault="004403E4" w:rsidP="004403E4">
      <w:pPr>
        <w:pStyle w:val="ListParagraph"/>
      </w:pPr>
    </w:p>
    <w:p w14:paraId="0FB13942" w14:textId="18D5F2E7" w:rsidR="00900ED2" w:rsidRPr="00900ED2" w:rsidRDefault="00900ED2" w:rsidP="009576ED">
      <w:pPr>
        <w:pStyle w:val="ListParagraph"/>
        <w:numPr>
          <w:ilvl w:val="0"/>
          <w:numId w:val="12"/>
        </w:numPr>
      </w:pPr>
      <w:r w:rsidRPr="00900ED2">
        <w:rPr>
          <w:b/>
          <w:bCs/>
        </w:rPr>
        <w:t>Management of e-commerce and postal and courier pathways</w:t>
      </w:r>
      <w:r>
        <w:t xml:space="preserve"> – </w:t>
      </w:r>
      <w:r w:rsidRPr="00900ED2">
        <w:rPr>
          <w:lang w:val="en-GB"/>
        </w:rPr>
        <w:t xml:space="preserve">A coordinated international effort </w:t>
      </w:r>
      <w:r>
        <w:rPr>
          <w:lang w:val="en-GB"/>
        </w:rPr>
        <w:t xml:space="preserve">to </w:t>
      </w:r>
      <w:r w:rsidRPr="00900ED2">
        <w:rPr>
          <w:lang w:val="en-GB"/>
        </w:rPr>
        <w:t>substantially reduce the spread of pests and pest host material sold through e-commerce and distributed through mail and courier pathways.</w:t>
      </w:r>
    </w:p>
    <w:p w14:paraId="4B6A258D" w14:textId="77777777" w:rsidR="00072F53" w:rsidRPr="00072F53" w:rsidRDefault="00072F53" w:rsidP="00072F53">
      <w:pPr>
        <w:pStyle w:val="ListParagraph"/>
      </w:pPr>
    </w:p>
    <w:p w14:paraId="014F6138" w14:textId="447EB171" w:rsidR="00900ED2" w:rsidRPr="00900ED2" w:rsidRDefault="00900ED2" w:rsidP="009576ED">
      <w:pPr>
        <w:pStyle w:val="ListParagraph"/>
        <w:numPr>
          <w:ilvl w:val="0"/>
          <w:numId w:val="12"/>
        </w:numPr>
      </w:pPr>
      <w:r w:rsidRPr="00900ED2">
        <w:rPr>
          <w:b/>
          <w:bCs/>
        </w:rPr>
        <w:t>Developing guidance on the use of third</w:t>
      </w:r>
      <w:r>
        <w:rPr>
          <w:b/>
          <w:bCs/>
        </w:rPr>
        <w:t>-</w:t>
      </w:r>
      <w:r w:rsidRPr="00900ED2">
        <w:rPr>
          <w:b/>
          <w:bCs/>
        </w:rPr>
        <w:t>party entities</w:t>
      </w:r>
      <w:r>
        <w:t xml:space="preserve"> – The </w:t>
      </w:r>
      <w:r>
        <w:rPr>
          <w:lang w:val="en-GB"/>
        </w:rPr>
        <w:t xml:space="preserve">implementation of ISPM 45 Requirements for national plant protection organizations using third party entities to perform phytosanitary actions. </w:t>
      </w:r>
    </w:p>
    <w:p w14:paraId="2EE1840A" w14:textId="77777777" w:rsidR="00072F53" w:rsidRPr="00072F53" w:rsidRDefault="00072F53" w:rsidP="00072F53">
      <w:pPr>
        <w:pStyle w:val="ListParagraph"/>
        <w:rPr>
          <w:rFonts w:cstheme="minorHAnsi"/>
        </w:rPr>
      </w:pPr>
    </w:p>
    <w:p w14:paraId="031AF212" w14:textId="64023820" w:rsidR="00CF6958" w:rsidRPr="00B265FA" w:rsidRDefault="00900ED2" w:rsidP="00F41E8D">
      <w:pPr>
        <w:pStyle w:val="ListParagraph"/>
        <w:numPr>
          <w:ilvl w:val="0"/>
          <w:numId w:val="12"/>
        </w:numPr>
        <w:rPr>
          <w:rFonts w:cstheme="minorHAnsi"/>
        </w:rPr>
      </w:pPr>
      <w:r w:rsidRPr="00B265FA">
        <w:rPr>
          <w:b/>
          <w:bCs/>
        </w:rPr>
        <w:t>Strengthening pest outbreak alert and response systems</w:t>
      </w:r>
      <w:r>
        <w:t xml:space="preserve"> - </w:t>
      </w:r>
      <w:r w:rsidR="00B265FA" w:rsidRPr="00B265FA">
        <w:rPr>
          <w:lang w:val="en-GB"/>
        </w:rPr>
        <w:t xml:space="preserve">A system to evaluate and communicate </w:t>
      </w:r>
      <w:r w:rsidR="009B19E5">
        <w:rPr>
          <w:lang w:val="en-GB"/>
        </w:rPr>
        <w:t xml:space="preserve">timely information on </w:t>
      </w:r>
      <w:r w:rsidR="00B265FA" w:rsidRPr="00B265FA">
        <w:rPr>
          <w:lang w:val="en-GB"/>
        </w:rPr>
        <w:t>emerging pest risks</w:t>
      </w:r>
      <w:r w:rsidR="00B265FA">
        <w:rPr>
          <w:lang w:val="en-GB"/>
        </w:rPr>
        <w:t xml:space="preserve"> and </w:t>
      </w:r>
      <w:r w:rsidR="00FC0F09">
        <w:rPr>
          <w:lang w:val="en-GB"/>
        </w:rPr>
        <w:t xml:space="preserve">assist </w:t>
      </w:r>
      <w:r w:rsidR="00B265FA">
        <w:rPr>
          <w:lang w:val="en-GB"/>
        </w:rPr>
        <w:t xml:space="preserve">countries </w:t>
      </w:r>
      <w:r w:rsidR="00FC0F09">
        <w:rPr>
          <w:lang w:val="en-GB"/>
        </w:rPr>
        <w:t xml:space="preserve">to secure </w:t>
      </w:r>
      <w:r w:rsidR="00B265FA" w:rsidRPr="00B265FA">
        <w:rPr>
          <w:lang w:val="en-GB"/>
        </w:rPr>
        <w:t>funds, expertise</w:t>
      </w:r>
      <w:r w:rsidR="000126C7">
        <w:rPr>
          <w:lang w:val="en-GB"/>
        </w:rPr>
        <w:t>,</w:t>
      </w:r>
      <w:r w:rsidR="00B265FA" w:rsidRPr="00B265FA">
        <w:rPr>
          <w:lang w:val="en-GB"/>
        </w:rPr>
        <w:t xml:space="preserve"> and resources to respond quickly and effectively to an outbreak</w:t>
      </w:r>
      <w:r w:rsidR="00B265FA">
        <w:rPr>
          <w:lang w:val="en-GB"/>
        </w:rPr>
        <w:t>.</w:t>
      </w:r>
    </w:p>
    <w:p w14:paraId="588EBDF5" w14:textId="77777777" w:rsidR="00072F53" w:rsidRPr="00072F53" w:rsidRDefault="00072F53" w:rsidP="00072F53">
      <w:pPr>
        <w:pStyle w:val="ListParagraph"/>
        <w:rPr>
          <w:rStyle w:val="normaltextrun"/>
          <w:rFonts w:cstheme="minorHAnsi"/>
        </w:rPr>
      </w:pPr>
    </w:p>
    <w:p w14:paraId="1B0076C5" w14:textId="1C93436F" w:rsidR="00B265FA" w:rsidRPr="00B265FA" w:rsidRDefault="00B265FA" w:rsidP="00F41E8D">
      <w:pPr>
        <w:pStyle w:val="ListParagraph"/>
        <w:numPr>
          <w:ilvl w:val="0"/>
          <w:numId w:val="12"/>
        </w:numPr>
        <w:rPr>
          <w:rFonts w:cstheme="minorHAnsi"/>
        </w:rPr>
      </w:pPr>
      <w:r w:rsidRPr="53A62607">
        <w:rPr>
          <w:rStyle w:val="normaltextrun"/>
          <w:b/>
        </w:rPr>
        <w:t>Assessment and management of climate change impacts on plant health</w:t>
      </w:r>
      <w:r w:rsidRPr="53A62607">
        <w:rPr>
          <w:rStyle w:val="normaltextrun"/>
        </w:rPr>
        <w:t xml:space="preserve"> </w:t>
      </w:r>
      <w:r w:rsidR="00220B63" w:rsidRPr="53A62607">
        <w:rPr>
          <w:rStyle w:val="normaltextrun"/>
        </w:rPr>
        <w:t>–</w:t>
      </w:r>
      <w:r w:rsidRPr="53A62607">
        <w:rPr>
          <w:rStyle w:val="normaltextrun"/>
        </w:rPr>
        <w:t xml:space="preserve"> </w:t>
      </w:r>
      <w:r w:rsidRPr="53A62607">
        <w:rPr>
          <w:lang w:val="en-GB"/>
        </w:rPr>
        <w:t>To raise awareness of climate change impacts on plant health; enhance how these impacts are evaluated and managed in plant health; and raise the profile of these impacts in the international climate change debate.</w:t>
      </w:r>
    </w:p>
    <w:p w14:paraId="465D4BCB" w14:textId="77777777" w:rsidR="00072F53" w:rsidRPr="00072F53" w:rsidRDefault="00072F53" w:rsidP="00072F53">
      <w:pPr>
        <w:pStyle w:val="ListParagraph"/>
        <w:rPr>
          <w:rStyle w:val="normaltextrun"/>
          <w:rFonts w:cstheme="minorHAnsi"/>
        </w:rPr>
      </w:pPr>
    </w:p>
    <w:p w14:paraId="023DD712" w14:textId="771A4887" w:rsidR="00B265FA" w:rsidRPr="00B914B4" w:rsidRDefault="00220B63" w:rsidP="00F41E8D">
      <w:pPr>
        <w:pStyle w:val="ListParagraph"/>
        <w:numPr>
          <w:ilvl w:val="0"/>
          <w:numId w:val="12"/>
        </w:numPr>
        <w:rPr>
          <w:rFonts w:cstheme="minorHAnsi"/>
        </w:rPr>
      </w:pPr>
      <w:r w:rsidRPr="53A62607">
        <w:rPr>
          <w:rStyle w:val="normaltextrun"/>
          <w:b/>
        </w:rPr>
        <w:t>Global phytosanitary research coordination</w:t>
      </w:r>
      <w:r w:rsidRPr="53A62607">
        <w:rPr>
          <w:rStyle w:val="normaltextrun"/>
        </w:rPr>
        <w:t xml:space="preserve"> </w:t>
      </w:r>
      <w:r w:rsidR="00B914B4" w:rsidRPr="53A62607">
        <w:rPr>
          <w:rStyle w:val="normaltextrun"/>
        </w:rPr>
        <w:t>–</w:t>
      </w:r>
      <w:r w:rsidRPr="53A62607">
        <w:rPr>
          <w:rStyle w:val="normaltextrun"/>
        </w:rPr>
        <w:t xml:space="preserve"> </w:t>
      </w:r>
      <w:r w:rsidR="00B914B4" w:rsidRPr="53A62607">
        <w:rPr>
          <w:lang w:val="en-GB"/>
        </w:rPr>
        <w:t xml:space="preserve">An analysis of international phytosanitary research structures and policies to explore how </w:t>
      </w:r>
      <w:r w:rsidR="00B34FD6" w:rsidRPr="53A62607">
        <w:rPr>
          <w:lang w:val="en-GB"/>
        </w:rPr>
        <w:t xml:space="preserve">improved </w:t>
      </w:r>
      <w:r w:rsidR="00B914B4" w:rsidRPr="53A62607">
        <w:rPr>
          <w:lang w:val="en-GB"/>
        </w:rPr>
        <w:t>international coordination of plant health research could help countries to avoid overlap in research activities and to utilize research resources in the most efficient and effective manner.</w:t>
      </w:r>
    </w:p>
    <w:p w14:paraId="7A5C444D" w14:textId="77777777" w:rsidR="00072F53" w:rsidRPr="00072F53" w:rsidRDefault="00072F53" w:rsidP="00072F53">
      <w:pPr>
        <w:pStyle w:val="ListParagraph"/>
        <w:rPr>
          <w:rStyle w:val="normaltextrun"/>
          <w:rFonts w:cstheme="minorHAnsi"/>
        </w:rPr>
      </w:pPr>
    </w:p>
    <w:p w14:paraId="246A2B40" w14:textId="04318231" w:rsidR="008563CA" w:rsidRPr="008563CA" w:rsidRDefault="00B914B4" w:rsidP="00B914B4">
      <w:pPr>
        <w:pStyle w:val="ListParagraph"/>
        <w:numPr>
          <w:ilvl w:val="0"/>
          <w:numId w:val="12"/>
        </w:numPr>
        <w:rPr>
          <w:rFonts w:cstheme="minorHAnsi"/>
        </w:rPr>
      </w:pPr>
      <w:r w:rsidRPr="53A62607">
        <w:rPr>
          <w:rStyle w:val="normaltextrun"/>
          <w:b/>
        </w:rPr>
        <w:t>Diagnostic laboratory networking</w:t>
      </w:r>
      <w:r w:rsidRPr="53A62607">
        <w:rPr>
          <w:rStyle w:val="normaltextrun"/>
        </w:rPr>
        <w:t xml:space="preserve"> – </w:t>
      </w:r>
      <w:r w:rsidRPr="53A62607">
        <w:rPr>
          <w:lang w:val="en-GB"/>
        </w:rPr>
        <w:t>Establish</w:t>
      </w:r>
      <w:r w:rsidR="00364341" w:rsidRPr="53A62607">
        <w:rPr>
          <w:lang w:val="en-GB"/>
        </w:rPr>
        <w:t>ing</w:t>
      </w:r>
      <w:r w:rsidRPr="53A62607">
        <w:rPr>
          <w:lang w:val="en-GB"/>
        </w:rPr>
        <w:t xml:space="preserve"> a network of diagnostic laboratory services and diagnostic protocols to help countries identify pests in a more reliable and timely manner.</w:t>
      </w:r>
    </w:p>
    <w:p w14:paraId="5077C94F" w14:textId="474A583E" w:rsidR="008563CA" w:rsidRDefault="008563CA" w:rsidP="008563CA">
      <w:pPr>
        <w:pStyle w:val="ListParagraph"/>
        <w:rPr>
          <w:rStyle w:val="normaltextrun"/>
          <w:rFonts w:cstheme="minorHAnsi"/>
        </w:rPr>
      </w:pPr>
    </w:p>
    <w:p w14:paraId="1E64384E" w14:textId="41EBE11B" w:rsidR="00A520E1" w:rsidRDefault="0095189C" w:rsidP="00072F53">
      <w:pPr>
        <w:pStyle w:val="ListParagraph"/>
        <w:ind w:left="0"/>
        <w:rPr>
          <w:rStyle w:val="normaltextrun"/>
          <w:rFonts w:cstheme="minorHAnsi"/>
        </w:rPr>
      </w:pPr>
      <w:r w:rsidRPr="009960E3">
        <w:rPr>
          <w:rStyle w:val="normaltextrun"/>
          <w:rFonts w:cstheme="minorHAnsi"/>
        </w:rPr>
        <w:t>The</w:t>
      </w:r>
      <w:r w:rsidR="00177AF0" w:rsidRPr="009960E3">
        <w:rPr>
          <w:rStyle w:val="normaltextrun"/>
          <w:rFonts w:cstheme="minorHAnsi"/>
        </w:rPr>
        <w:t>se development agenda items are ambitious, complex</w:t>
      </w:r>
      <w:r w:rsidR="009932F9" w:rsidRPr="009960E3">
        <w:rPr>
          <w:rStyle w:val="normaltextrun"/>
          <w:rFonts w:cstheme="minorHAnsi"/>
        </w:rPr>
        <w:t>,</w:t>
      </w:r>
      <w:r w:rsidR="00177AF0" w:rsidRPr="009960E3">
        <w:rPr>
          <w:rStyle w:val="normaltextrun"/>
          <w:rFonts w:cstheme="minorHAnsi"/>
        </w:rPr>
        <w:t xml:space="preserve"> and will require significant funding and resources to complete. </w:t>
      </w:r>
      <w:r w:rsidR="00211772" w:rsidRPr="009960E3">
        <w:rPr>
          <w:rStyle w:val="normaltextrun"/>
          <w:rFonts w:cstheme="minorHAnsi"/>
        </w:rPr>
        <w:t>All have the potential to significantly advance IPPC Strategic Objectives</w:t>
      </w:r>
      <w:r w:rsidR="00D8476E">
        <w:rPr>
          <w:rStyle w:val="normaltextrun"/>
          <w:rFonts w:cstheme="minorHAnsi"/>
        </w:rPr>
        <w:t>, as visualized in Figure 1</w:t>
      </w:r>
      <w:r w:rsidR="00211772" w:rsidRPr="009960E3">
        <w:rPr>
          <w:rStyle w:val="normaltextrun"/>
          <w:rFonts w:cstheme="minorHAnsi"/>
        </w:rPr>
        <w:t xml:space="preserve">. </w:t>
      </w:r>
      <w:r w:rsidR="00803217">
        <w:rPr>
          <w:rStyle w:val="normaltextrun"/>
          <w:rFonts w:cstheme="minorHAnsi"/>
        </w:rPr>
        <w:t xml:space="preserve">Some may be more </w:t>
      </w:r>
      <w:r w:rsidR="00FD1F3E">
        <w:rPr>
          <w:rStyle w:val="normaltextrun"/>
          <w:rFonts w:cstheme="minorHAnsi"/>
        </w:rPr>
        <w:t xml:space="preserve">complex or difficult to implement than others.  In Figure 1, complexity of implementation is referring to how challenging it will be for the IPPC to </w:t>
      </w:r>
      <w:r w:rsidR="000069E8">
        <w:rPr>
          <w:rStyle w:val="normaltextrun"/>
          <w:rFonts w:cstheme="minorHAnsi"/>
        </w:rPr>
        <w:t xml:space="preserve">establish the necessary policies, standards, and other mechanisms to develop and implement </w:t>
      </w:r>
      <w:r w:rsidR="00306F31">
        <w:rPr>
          <w:rStyle w:val="normaltextrun"/>
          <w:rFonts w:cstheme="minorHAnsi"/>
        </w:rPr>
        <w:t xml:space="preserve">the initiative.  </w:t>
      </w:r>
      <w:r w:rsidR="00CE0D26">
        <w:rPr>
          <w:rStyle w:val="normaltextrun"/>
          <w:rFonts w:cstheme="minorHAnsi"/>
        </w:rPr>
        <w:t>However, f</w:t>
      </w:r>
      <w:r w:rsidR="00306F31">
        <w:rPr>
          <w:rStyle w:val="normaltextrun"/>
          <w:rFonts w:cstheme="minorHAnsi"/>
        </w:rPr>
        <w:t xml:space="preserve">or some </w:t>
      </w:r>
      <w:r w:rsidR="00CE0D26">
        <w:rPr>
          <w:rStyle w:val="normaltextrun"/>
          <w:rFonts w:cstheme="minorHAnsi"/>
        </w:rPr>
        <w:t xml:space="preserve">individual </w:t>
      </w:r>
      <w:r w:rsidR="00306F31">
        <w:rPr>
          <w:rStyle w:val="normaltextrun"/>
          <w:rFonts w:cstheme="minorHAnsi"/>
        </w:rPr>
        <w:t xml:space="preserve">countries implementation may be much more challenging or much less challenging, e.g. for countries already using </w:t>
      </w:r>
      <w:r w:rsidR="00D23D46">
        <w:rPr>
          <w:rStyle w:val="normaltextrun"/>
          <w:rFonts w:cstheme="minorHAnsi"/>
        </w:rPr>
        <w:t>the ephyto solution</w:t>
      </w:r>
      <w:r w:rsidR="000F38FF">
        <w:rPr>
          <w:rStyle w:val="normaltextrun"/>
          <w:rFonts w:cstheme="minorHAnsi"/>
        </w:rPr>
        <w:t xml:space="preserve"> implementation may now be quite straightforward while for others it may be a </w:t>
      </w:r>
      <w:r w:rsidR="00A520E1">
        <w:rPr>
          <w:rStyle w:val="normaltextrun"/>
          <w:rFonts w:cstheme="minorHAnsi"/>
        </w:rPr>
        <w:t>major challenge.</w:t>
      </w:r>
      <w:r w:rsidR="00CE0D26">
        <w:rPr>
          <w:rStyle w:val="normaltextrun"/>
          <w:rFonts w:cstheme="minorHAnsi"/>
        </w:rPr>
        <w:t xml:space="preserve">  Each country may </w:t>
      </w:r>
      <w:r w:rsidR="009C3006">
        <w:rPr>
          <w:rStyle w:val="normaltextrun"/>
          <w:rFonts w:cstheme="minorHAnsi"/>
        </w:rPr>
        <w:t xml:space="preserve">be able to create their own </w:t>
      </w:r>
      <w:r w:rsidR="00BD68B4">
        <w:rPr>
          <w:rStyle w:val="normaltextrun"/>
          <w:rFonts w:cstheme="minorHAnsi"/>
        </w:rPr>
        <w:t>illustration</w:t>
      </w:r>
      <w:r w:rsidR="009C3006">
        <w:rPr>
          <w:rStyle w:val="normaltextrun"/>
          <w:rFonts w:cstheme="minorHAnsi"/>
        </w:rPr>
        <w:t xml:space="preserve"> of </w:t>
      </w:r>
      <w:r w:rsidR="00BD68B4">
        <w:rPr>
          <w:rStyle w:val="normaltextrun"/>
          <w:rFonts w:cstheme="minorHAnsi"/>
        </w:rPr>
        <w:t>impact, complexity, and resourcing required</w:t>
      </w:r>
      <w:r w:rsidR="00BD430E">
        <w:rPr>
          <w:rStyle w:val="normaltextrun"/>
          <w:rFonts w:cstheme="minorHAnsi"/>
        </w:rPr>
        <w:t>, for implementation in their own country.</w:t>
      </w:r>
      <w:r w:rsidR="00BD68B4">
        <w:rPr>
          <w:rStyle w:val="normaltextrun"/>
          <w:rFonts w:cstheme="minorHAnsi"/>
        </w:rPr>
        <w:t xml:space="preserve"> </w:t>
      </w:r>
    </w:p>
    <w:p w14:paraId="0256B745" w14:textId="77777777" w:rsidR="00A520E1" w:rsidRDefault="00A520E1" w:rsidP="00072F53">
      <w:pPr>
        <w:pStyle w:val="ListParagraph"/>
        <w:ind w:left="0"/>
        <w:rPr>
          <w:rStyle w:val="normaltextrun"/>
          <w:rFonts w:cstheme="minorHAnsi"/>
        </w:rPr>
      </w:pPr>
    </w:p>
    <w:p w14:paraId="0AEBE504" w14:textId="54E8A21B" w:rsidR="00B914B4" w:rsidRPr="009960E3" w:rsidRDefault="00177AF0" w:rsidP="00072F53">
      <w:pPr>
        <w:pStyle w:val="ListParagraph"/>
        <w:ind w:left="0"/>
        <w:rPr>
          <w:rStyle w:val="normaltextrun"/>
          <w:rFonts w:cstheme="minorHAnsi"/>
        </w:rPr>
      </w:pPr>
      <w:r w:rsidRPr="009960E3">
        <w:rPr>
          <w:rStyle w:val="normaltextrun"/>
          <w:rFonts w:cstheme="minorHAnsi"/>
        </w:rPr>
        <w:t xml:space="preserve">This document sets out how </w:t>
      </w:r>
      <w:r w:rsidR="003B71B9" w:rsidRPr="009960E3">
        <w:rPr>
          <w:rStyle w:val="normaltextrun"/>
          <w:rFonts w:cstheme="minorHAnsi"/>
        </w:rPr>
        <w:t>each of these</w:t>
      </w:r>
      <w:r w:rsidRPr="009960E3">
        <w:rPr>
          <w:rStyle w:val="normaltextrun"/>
          <w:rFonts w:cstheme="minorHAnsi"/>
        </w:rPr>
        <w:t xml:space="preserve"> </w:t>
      </w:r>
      <w:r w:rsidR="00980BE7" w:rsidRPr="009960E3">
        <w:rPr>
          <w:rStyle w:val="normaltextrun"/>
          <w:rFonts w:cstheme="minorHAnsi"/>
        </w:rPr>
        <w:t>agenda</w:t>
      </w:r>
      <w:r w:rsidR="00EE78FA">
        <w:rPr>
          <w:rStyle w:val="normaltextrun"/>
          <w:rFonts w:cstheme="minorHAnsi"/>
        </w:rPr>
        <w:t xml:space="preserve"> items</w:t>
      </w:r>
      <w:r w:rsidRPr="009960E3">
        <w:rPr>
          <w:rStyle w:val="normaltextrun"/>
          <w:rFonts w:cstheme="minorHAnsi"/>
        </w:rPr>
        <w:t xml:space="preserve"> will be</w:t>
      </w:r>
      <w:r w:rsidR="003B71B9" w:rsidRPr="009960E3">
        <w:rPr>
          <w:rStyle w:val="normaltextrun"/>
          <w:rFonts w:cstheme="minorHAnsi"/>
        </w:rPr>
        <w:t xml:space="preserve"> achieved as part of an overarching implementation plan. The plan includes</w:t>
      </w:r>
      <w:r w:rsidRPr="009960E3">
        <w:rPr>
          <w:rStyle w:val="normaltextrun"/>
          <w:rFonts w:cstheme="minorHAnsi"/>
        </w:rPr>
        <w:t xml:space="preserve"> </w:t>
      </w:r>
      <w:r w:rsidR="003B71B9" w:rsidRPr="009960E3">
        <w:rPr>
          <w:rStyle w:val="normaltextrun"/>
          <w:rFonts w:cstheme="minorHAnsi"/>
        </w:rPr>
        <w:t>clear</w:t>
      </w:r>
      <w:r w:rsidRPr="009960E3">
        <w:rPr>
          <w:rStyle w:val="normaltextrun"/>
          <w:rFonts w:cstheme="minorHAnsi"/>
        </w:rPr>
        <w:t xml:space="preserve"> milestones</w:t>
      </w:r>
      <w:r w:rsidR="003B71B9" w:rsidRPr="009960E3">
        <w:rPr>
          <w:rStyle w:val="normaltextrun"/>
          <w:rFonts w:cstheme="minorHAnsi"/>
        </w:rPr>
        <w:t xml:space="preserve"> and</w:t>
      </w:r>
      <w:r w:rsidRPr="009960E3">
        <w:rPr>
          <w:rStyle w:val="normaltextrun"/>
          <w:rFonts w:cstheme="minorHAnsi"/>
        </w:rPr>
        <w:t xml:space="preserve"> activities</w:t>
      </w:r>
      <w:r w:rsidR="003B71B9" w:rsidRPr="009960E3">
        <w:rPr>
          <w:rStyle w:val="normaltextrun"/>
          <w:rFonts w:cstheme="minorHAnsi"/>
        </w:rPr>
        <w:t xml:space="preserve"> with realistic timeframes for each </w:t>
      </w:r>
      <w:r w:rsidR="003B71B9" w:rsidRPr="009960E3">
        <w:rPr>
          <w:rStyle w:val="normaltextrun"/>
          <w:rFonts w:cstheme="minorHAnsi"/>
        </w:rPr>
        <w:lastRenderedPageBreak/>
        <w:t>item, and the</w:t>
      </w:r>
      <w:r w:rsidRPr="009960E3">
        <w:rPr>
          <w:rStyle w:val="normaltextrun"/>
          <w:rFonts w:cstheme="minorHAnsi"/>
        </w:rPr>
        <w:t xml:space="preserve"> funding and resources needed for completion</w:t>
      </w:r>
      <w:r w:rsidR="00900791">
        <w:rPr>
          <w:rStyle w:val="normaltextrun"/>
          <w:rFonts w:cstheme="minorHAnsi"/>
        </w:rPr>
        <w:t xml:space="preserve">.  </w:t>
      </w:r>
      <w:r w:rsidRPr="009960E3">
        <w:rPr>
          <w:rStyle w:val="normaltextrun"/>
          <w:rFonts w:cstheme="minorHAnsi"/>
        </w:rPr>
        <w:t xml:space="preserve">Given the competing demands of the IPPC Secretariat and contracting parties, these development agenda items cannot be carried out simultaneously, so this </w:t>
      </w:r>
      <w:r w:rsidR="003B71B9" w:rsidRPr="009960E3">
        <w:rPr>
          <w:rStyle w:val="normaltextrun"/>
          <w:rFonts w:cstheme="minorHAnsi"/>
        </w:rPr>
        <w:t>plan</w:t>
      </w:r>
      <w:r w:rsidRPr="009960E3">
        <w:rPr>
          <w:rStyle w:val="normaltextrun"/>
          <w:rFonts w:cstheme="minorHAnsi"/>
        </w:rPr>
        <w:t xml:space="preserve"> also describes how they will be sequenced out until 2030. </w:t>
      </w:r>
    </w:p>
    <w:p w14:paraId="6B871FD5" w14:textId="227D540E" w:rsidR="006037FA" w:rsidRDefault="003B71B9" w:rsidP="00A660FC">
      <w:r w:rsidRPr="00EE78FA">
        <w:rPr>
          <w:rStyle w:val="normaltextrun"/>
        </w:rPr>
        <w:t xml:space="preserve">This plan </w:t>
      </w:r>
      <w:r w:rsidR="00900791">
        <w:rPr>
          <w:rStyle w:val="normaltextrun"/>
        </w:rPr>
        <w:t>should</w:t>
      </w:r>
      <w:r w:rsidR="00EE78FA" w:rsidRPr="00EE78FA">
        <w:rPr>
          <w:rStyle w:val="normaltextrun"/>
        </w:rPr>
        <w:t xml:space="preserve"> be</w:t>
      </w:r>
      <w:r w:rsidRPr="00EE78FA">
        <w:rPr>
          <w:rStyle w:val="normaltextrun"/>
        </w:rPr>
        <w:t xml:space="preserve"> accompanied by an investment prospectus</w:t>
      </w:r>
      <w:r w:rsidRPr="53A62607">
        <w:rPr>
          <w:rStyle w:val="normaltextrun"/>
        </w:rPr>
        <w:t>, which</w:t>
      </w:r>
      <w:r w:rsidRPr="53A62607">
        <w:t xml:space="preserve"> </w:t>
      </w:r>
      <w:r w:rsidR="00900791">
        <w:t xml:space="preserve">would </w:t>
      </w:r>
      <w:r w:rsidRPr="53A62607">
        <w:t xml:space="preserve">outline each of the development agenda items with timelines, deliverables, impacts and resource needs. This publication </w:t>
      </w:r>
      <w:r w:rsidR="007228C7" w:rsidRPr="53A62607">
        <w:t>c</w:t>
      </w:r>
      <w:r w:rsidR="00900791">
        <w:t>ould</w:t>
      </w:r>
      <w:r w:rsidR="007228C7" w:rsidRPr="53A62607">
        <w:t xml:space="preserve"> </w:t>
      </w:r>
      <w:r w:rsidRPr="53A62607">
        <w:t>be used with donor organizations to attract resources for individual projects and the overall programme of work.</w:t>
      </w:r>
    </w:p>
    <w:p w14:paraId="3BE77BDE" w14:textId="619F0536" w:rsidR="00D8476E" w:rsidRPr="00E23BE6" w:rsidRDefault="00E23BE6">
      <w:pPr>
        <w:rPr>
          <w:rFonts w:cstheme="minorHAnsi"/>
        </w:rPr>
      </w:pPr>
      <w:r>
        <w:rPr>
          <w:rFonts w:cstheme="minorHAnsi"/>
          <w:noProof/>
        </w:rPr>
        <w:drawing>
          <wp:inline distT="0" distB="0" distL="0" distR="0" wp14:anchorId="3D224FA0" wp14:editId="2F465E62">
            <wp:extent cx="5895340" cy="557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340" cy="5572125"/>
                    </a:xfrm>
                    <a:prstGeom prst="rect">
                      <a:avLst/>
                    </a:prstGeom>
                    <a:noFill/>
                  </pic:spPr>
                </pic:pic>
              </a:graphicData>
            </a:graphic>
          </wp:inline>
        </w:drawing>
      </w:r>
    </w:p>
    <w:p w14:paraId="7784E382" w14:textId="68151AC0" w:rsidR="00C523F8" w:rsidRDefault="00D8476E" w:rsidP="00C523F8">
      <w:r w:rsidRPr="00D8476E">
        <w:rPr>
          <w:b/>
          <w:bCs/>
        </w:rPr>
        <w:t>Figure 1</w:t>
      </w:r>
      <w:r w:rsidR="00B8790C">
        <w:rPr>
          <w:b/>
          <w:bCs/>
        </w:rPr>
        <w:t>.</w:t>
      </w:r>
      <w:r w:rsidRPr="00D8476E">
        <w:rPr>
          <w:b/>
          <w:bCs/>
        </w:rPr>
        <w:t xml:space="preserve"> </w:t>
      </w:r>
      <w:r w:rsidRPr="00D8476E">
        <w:t>IPPC Strategic Framework Development Agenda Item</w:t>
      </w:r>
      <w:r w:rsidR="005F153B">
        <w:t>:</w:t>
      </w:r>
      <w:r w:rsidRPr="00B8790C">
        <w:t xml:space="preserve"> </w:t>
      </w:r>
      <w:r w:rsidR="005F153B">
        <w:t xml:space="preserve">Illustrative degree of </w:t>
      </w:r>
      <w:r w:rsidRPr="00B8790C">
        <w:t xml:space="preserve">complexity vs. impact on IPPC strategic objectives. </w:t>
      </w:r>
      <w:r w:rsidR="005930D8">
        <w:t xml:space="preserve">The size of the circle illustrates the relative </w:t>
      </w:r>
      <w:r w:rsidR="00223ABF">
        <w:t>amount of r</w:t>
      </w:r>
      <w:r w:rsidR="005930D8" w:rsidRPr="005930D8">
        <w:t>esource required to deliver the project.</w:t>
      </w:r>
      <w:r w:rsidR="00223ABF">
        <w:t xml:space="preserve">  </w:t>
      </w:r>
    </w:p>
    <w:p w14:paraId="164BBF3A" w14:textId="4197CC49" w:rsidR="00FA2500" w:rsidRPr="00C523F8" w:rsidRDefault="00FA2500" w:rsidP="00C523F8">
      <w:pPr>
        <w:pStyle w:val="Heading1"/>
        <w:rPr>
          <w:b/>
          <w:bCs/>
        </w:rPr>
      </w:pPr>
      <w:bookmarkStart w:id="3" w:name="_Toc114566363"/>
      <w:r w:rsidRPr="00F331FF">
        <w:lastRenderedPageBreak/>
        <w:t>Develop</w:t>
      </w:r>
      <w:r w:rsidR="00BB7265" w:rsidRPr="00F331FF">
        <w:t xml:space="preserve">ing the </w:t>
      </w:r>
      <w:r w:rsidR="00B13C8A" w:rsidRPr="00F331FF">
        <w:t>Implementation Plan</w:t>
      </w:r>
      <w:bookmarkEnd w:id="3"/>
    </w:p>
    <w:p w14:paraId="7E109825" w14:textId="130331BE" w:rsidR="00052F9B" w:rsidRDefault="00BB7265" w:rsidP="00F76958">
      <w:pPr>
        <w:rPr>
          <w:rFonts w:eastAsiaTheme="majorEastAsia" w:cstheme="minorHAnsi"/>
          <w:lang w:val="en-GB"/>
        </w:rPr>
      </w:pPr>
      <w:r>
        <w:rPr>
          <w:rFonts w:eastAsiaTheme="majorEastAsia" w:cstheme="minorHAnsi"/>
          <w:lang w:val="en-NZ"/>
        </w:rPr>
        <w:t>T</w:t>
      </w:r>
      <w:r w:rsidR="00FA2500">
        <w:rPr>
          <w:rFonts w:eastAsiaTheme="majorEastAsia" w:cstheme="minorHAnsi"/>
          <w:lang w:val="en-NZ"/>
        </w:rPr>
        <w:t xml:space="preserve">he development agenda items in the </w:t>
      </w:r>
      <w:r w:rsidR="00FA2500" w:rsidRPr="00FA2500">
        <w:rPr>
          <w:rFonts w:eastAsiaTheme="majorEastAsia" w:cstheme="minorHAnsi"/>
          <w:lang w:val="en-GB"/>
        </w:rPr>
        <w:t>Strategic Framework for the International Plant Protection Convention (IPPC) 2020-2030</w:t>
      </w:r>
      <w:r w:rsidR="00FA2500">
        <w:rPr>
          <w:rFonts w:eastAsiaTheme="majorEastAsia" w:cstheme="minorHAnsi"/>
          <w:lang w:val="en-GB"/>
        </w:rPr>
        <w:t xml:space="preserve"> present great opportunities to progress the mission of the IPPC</w:t>
      </w:r>
      <w:r w:rsidR="00052F9B">
        <w:rPr>
          <w:rFonts w:eastAsiaTheme="majorEastAsia" w:cstheme="minorHAnsi"/>
          <w:lang w:val="en-GB"/>
        </w:rPr>
        <w:t xml:space="preserve"> and to deliver tangible benefits to implementing countries. However,</w:t>
      </w:r>
      <w:r w:rsidR="00FA2500">
        <w:rPr>
          <w:rFonts w:eastAsiaTheme="majorEastAsia" w:cstheme="minorHAnsi"/>
          <w:lang w:val="en-GB"/>
        </w:rPr>
        <w:t xml:space="preserve"> work on these development agenda items is dependent on adequate funding and resources being secured. </w:t>
      </w:r>
      <w:r w:rsidR="00432B58">
        <w:rPr>
          <w:rFonts w:eastAsiaTheme="majorEastAsia" w:cstheme="minorHAnsi"/>
          <w:lang w:val="en-GB"/>
        </w:rPr>
        <w:t>Without significant cuts in the existing core work programme of the IPPC</w:t>
      </w:r>
      <w:r w:rsidR="00264559">
        <w:rPr>
          <w:rFonts w:eastAsiaTheme="majorEastAsia" w:cstheme="minorHAnsi"/>
          <w:lang w:val="en-GB"/>
        </w:rPr>
        <w:t>,</w:t>
      </w:r>
      <w:r w:rsidR="00432B58">
        <w:rPr>
          <w:rFonts w:eastAsiaTheme="majorEastAsia" w:cstheme="minorHAnsi"/>
          <w:lang w:val="en-GB"/>
        </w:rPr>
        <w:t xml:space="preserve"> </w:t>
      </w:r>
      <w:r w:rsidR="00737A68" w:rsidRPr="005D5568">
        <w:rPr>
          <w:rFonts w:eastAsiaTheme="majorEastAsia" w:cstheme="minorHAnsi"/>
          <w:lang w:val="en-GB"/>
        </w:rPr>
        <w:t xml:space="preserve">regular </w:t>
      </w:r>
      <w:r w:rsidR="00432B58" w:rsidRPr="005D5568">
        <w:rPr>
          <w:rFonts w:eastAsiaTheme="majorEastAsia" w:cstheme="minorHAnsi"/>
          <w:lang w:val="en-GB"/>
        </w:rPr>
        <w:t xml:space="preserve">programme </w:t>
      </w:r>
      <w:r w:rsidR="00737A68" w:rsidRPr="005D5568">
        <w:rPr>
          <w:rFonts w:eastAsiaTheme="majorEastAsia" w:cstheme="minorHAnsi"/>
          <w:lang w:val="en-GB"/>
        </w:rPr>
        <w:t xml:space="preserve">funds </w:t>
      </w:r>
      <w:r w:rsidR="009A2087" w:rsidRPr="005D5568">
        <w:rPr>
          <w:rFonts w:eastAsiaTheme="majorEastAsia" w:cstheme="minorHAnsi"/>
          <w:lang w:val="en-GB"/>
        </w:rPr>
        <w:t xml:space="preserve">are inadequate to </w:t>
      </w:r>
      <w:r w:rsidR="00013727" w:rsidRPr="005D5568">
        <w:rPr>
          <w:rFonts w:eastAsiaTheme="majorEastAsia" w:cstheme="minorHAnsi"/>
          <w:lang w:val="en-GB"/>
        </w:rPr>
        <w:t xml:space="preserve">deliver the </w:t>
      </w:r>
      <w:r w:rsidR="0030504E" w:rsidRPr="005D5568">
        <w:rPr>
          <w:rFonts w:eastAsiaTheme="majorEastAsia" w:cstheme="minorHAnsi"/>
          <w:lang w:val="en-GB"/>
        </w:rPr>
        <w:t>strategic initiatives</w:t>
      </w:r>
      <w:r w:rsidR="00013727" w:rsidRPr="005D5568">
        <w:rPr>
          <w:rFonts w:eastAsiaTheme="majorEastAsia" w:cstheme="minorHAnsi"/>
          <w:lang w:val="en-GB"/>
        </w:rPr>
        <w:t xml:space="preserve"> within reasonable timeframes.</w:t>
      </w:r>
      <w:r w:rsidR="00737A68" w:rsidRPr="005D5568">
        <w:rPr>
          <w:rFonts w:eastAsiaTheme="majorEastAsia" w:cstheme="minorHAnsi"/>
          <w:lang w:val="en-GB"/>
        </w:rPr>
        <w:t xml:space="preserve"> </w:t>
      </w:r>
      <w:r w:rsidR="0030504E" w:rsidRPr="005D5568">
        <w:rPr>
          <w:rFonts w:eastAsiaTheme="majorEastAsia" w:cstheme="minorHAnsi"/>
          <w:lang w:val="en-GB"/>
        </w:rPr>
        <w:t xml:space="preserve">Additional funds must be sourced </w:t>
      </w:r>
      <w:r w:rsidR="00214E7C" w:rsidRPr="005D5568">
        <w:rPr>
          <w:rFonts w:eastAsiaTheme="majorEastAsia" w:cstheme="minorHAnsi"/>
          <w:lang w:val="en-GB"/>
        </w:rPr>
        <w:t>from either</w:t>
      </w:r>
      <w:r w:rsidR="00737A68" w:rsidRPr="005D5568">
        <w:rPr>
          <w:rFonts w:eastAsiaTheme="majorEastAsia" w:cstheme="minorHAnsi"/>
          <w:lang w:val="en-GB"/>
        </w:rPr>
        <w:t xml:space="preserve">: </w:t>
      </w:r>
      <w:r w:rsidR="00214E7C" w:rsidRPr="005D5568">
        <w:rPr>
          <w:rFonts w:eastAsiaTheme="majorEastAsia" w:cstheme="minorHAnsi"/>
          <w:lang w:val="en-GB"/>
        </w:rPr>
        <w:t xml:space="preserve">the FAO, </w:t>
      </w:r>
      <w:r w:rsidR="00453E8E" w:rsidRPr="005D5568">
        <w:rPr>
          <w:rFonts w:eastAsiaTheme="majorEastAsia" w:cstheme="minorHAnsi"/>
          <w:lang w:val="en-GB"/>
        </w:rPr>
        <w:t xml:space="preserve">member country </w:t>
      </w:r>
      <w:r w:rsidR="00214E7C" w:rsidRPr="005D5568">
        <w:rPr>
          <w:rFonts w:eastAsiaTheme="majorEastAsia" w:cstheme="minorHAnsi"/>
          <w:lang w:val="en-GB"/>
        </w:rPr>
        <w:t xml:space="preserve">voluntary </w:t>
      </w:r>
      <w:r w:rsidR="00453E8E" w:rsidRPr="005D5568">
        <w:rPr>
          <w:rFonts w:eastAsiaTheme="majorEastAsia" w:cstheme="minorHAnsi"/>
          <w:lang w:val="en-GB"/>
        </w:rPr>
        <w:t>contributions, donor organisations</w:t>
      </w:r>
      <w:r w:rsidR="00413B83" w:rsidRPr="005D5568">
        <w:rPr>
          <w:rFonts w:eastAsiaTheme="majorEastAsia" w:cstheme="minorHAnsi"/>
          <w:lang w:val="en-GB"/>
        </w:rPr>
        <w:t xml:space="preserve"> (</w:t>
      </w:r>
      <w:r w:rsidR="00214E7C" w:rsidRPr="005D5568">
        <w:rPr>
          <w:rFonts w:eastAsiaTheme="majorEastAsia" w:cstheme="minorHAnsi"/>
          <w:lang w:val="en-GB"/>
        </w:rPr>
        <w:t xml:space="preserve">e.g. </w:t>
      </w:r>
      <w:r w:rsidR="00413B83" w:rsidRPr="005D5568">
        <w:rPr>
          <w:rFonts w:eastAsiaTheme="majorEastAsia" w:cstheme="minorHAnsi"/>
          <w:lang w:val="en-GB"/>
        </w:rPr>
        <w:t>STDF, World Bank)</w:t>
      </w:r>
      <w:r w:rsidR="00453E8E" w:rsidRPr="005D5568">
        <w:rPr>
          <w:rFonts w:eastAsiaTheme="majorEastAsia" w:cstheme="minorHAnsi"/>
          <w:lang w:val="en-GB"/>
        </w:rPr>
        <w:t>,</w:t>
      </w:r>
      <w:r w:rsidR="00413B83" w:rsidRPr="005D5568">
        <w:rPr>
          <w:rFonts w:eastAsiaTheme="majorEastAsia" w:cstheme="minorHAnsi"/>
          <w:lang w:val="en-GB"/>
        </w:rPr>
        <w:t xml:space="preserve"> </w:t>
      </w:r>
      <w:r w:rsidR="00656D89" w:rsidRPr="005D5568">
        <w:rPr>
          <w:rFonts w:eastAsiaTheme="majorEastAsia" w:cstheme="minorHAnsi"/>
          <w:lang w:val="en-GB"/>
        </w:rPr>
        <w:t xml:space="preserve">or </w:t>
      </w:r>
      <w:r w:rsidR="00413B83" w:rsidRPr="005D5568">
        <w:rPr>
          <w:rFonts w:eastAsiaTheme="majorEastAsia" w:cstheme="minorHAnsi"/>
          <w:lang w:val="en-GB"/>
        </w:rPr>
        <w:t>new funding arrangements (</w:t>
      </w:r>
      <w:r w:rsidR="00334E12" w:rsidRPr="005D5568">
        <w:rPr>
          <w:rFonts w:eastAsiaTheme="majorEastAsia" w:cstheme="minorHAnsi"/>
          <w:lang w:val="en-GB"/>
        </w:rPr>
        <w:t xml:space="preserve">e.g. a new mechanism to reimburse the cost of </w:t>
      </w:r>
      <w:r w:rsidR="005D5568" w:rsidRPr="005D5568">
        <w:rPr>
          <w:rFonts w:eastAsiaTheme="majorEastAsia" w:cstheme="minorHAnsi"/>
          <w:lang w:val="en-GB"/>
        </w:rPr>
        <w:t>delivering the e</w:t>
      </w:r>
      <w:r w:rsidR="005D5568">
        <w:rPr>
          <w:rFonts w:eastAsiaTheme="majorEastAsia" w:cstheme="minorHAnsi"/>
          <w:lang w:val="en-GB"/>
        </w:rPr>
        <w:t>P</w:t>
      </w:r>
      <w:r w:rsidR="005D5568" w:rsidRPr="005D5568">
        <w:rPr>
          <w:rFonts w:eastAsiaTheme="majorEastAsia" w:cstheme="minorHAnsi"/>
          <w:lang w:val="en-GB"/>
        </w:rPr>
        <w:t>hyto solution).</w:t>
      </w:r>
      <w:r w:rsidR="00CD1C37">
        <w:rPr>
          <w:rFonts w:eastAsiaTheme="majorEastAsia" w:cstheme="minorHAnsi"/>
          <w:lang w:val="en-GB"/>
        </w:rPr>
        <w:t xml:space="preserve"> </w:t>
      </w:r>
      <w:r w:rsidR="0085009A">
        <w:rPr>
          <w:rFonts w:eastAsiaTheme="majorEastAsia" w:cstheme="minorHAnsi"/>
          <w:lang w:val="en-GB"/>
        </w:rPr>
        <w:t>Contracting party r</w:t>
      </w:r>
      <w:r w:rsidR="00CD1C37">
        <w:rPr>
          <w:rFonts w:eastAsiaTheme="majorEastAsia" w:cstheme="minorHAnsi"/>
          <w:lang w:val="en-GB"/>
        </w:rPr>
        <w:t>esourcing is also</w:t>
      </w:r>
      <w:r w:rsidR="00FD7ECF">
        <w:rPr>
          <w:rFonts w:eastAsiaTheme="majorEastAsia" w:cstheme="minorHAnsi"/>
          <w:lang w:val="en-GB"/>
        </w:rPr>
        <w:t xml:space="preserve"> </w:t>
      </w:r>
      <w:r w:rsidR="00CD1C37">
        <w:rPr>
          <w:rFonts w:eastAsiaTheme="majorEastAsia" w:cstheme="minorHAnsi"/>
          <w:lang w:val="en-GB"/>
        </w:rPr>
        <w:t>an</w:t>
      </w:r>
      <w:r w:rsidR="00FD7ECF">
        <w:rPr>
          <w:rFonts w:eastAsiaTheme="majorEastAsia" w:cstheme="minorHAnsi"/>
          <w:lang w:val="en-GB"/>
        </w:rPr>
        <w:t xml:space="preserve"> issue</w:t>
      </w:r>
      <w:r w:rsidR="00CD1C37">
        <w:rPr>
          <w:rFonts w:eastAsiaTheme="majorEastAsia" w:cstheme="minorHAnsi"/>
          <w:lang w:val="en-GB"/>
        </w:rPr>
        <w:t>, as often</w:t>
      </w:r>
      <w:r w:rsidR="00FD7ECF">
        <w:rPr>
          <w:rFonts w:eastAsiaTheme="majorEastAsia" w:cstheme="minorHAnsi"/>
          <w:lang w:val="en-GB"/>
        </w:rPr>
        <w:t xml:space="preserve"> </w:t>
      </w:r>
      <w:r w:rsidR="0085009A">
        <w:rPr>
          <w:rFonts w:eastAsiaTheme="majorEastAsia" w:cstheme="minorHAnsi"/>
          <w:lang w:val="en-GB"/>
        </w:rPr>
        <w:t xml:space="preserve">capacity and </w:t>
      </w:r>
      <w:r w:rsidR="00FA5B43">
        <w:rPr>
          <w:rFonts w:eastAsiaTheme="majorEastAsia" w:cstheme="minorHAnsi"/>
          <w:lang w:val="en-GB"/>
        </w:rPr>
        <w:t xml:space="preserve">capability of </w:t>
      </w:r>
      <w:r w:rsidR="00FD7ECF">
        <w:rPr>
          <w:rFonts w:eastAsiaTheme="majorEastAsia" w:cstheme="minorHAnsi"/>
          <w:lang w:val="en-GB"/>
        </w:rPr>
        <w:t xml:space="preserve">contracting </w:t>
      </w:r>
      <w:r w:rsidR="00A47881">
        <w:rPr>
          <w:rFonts w:eastAsiaTheme="majorEastAsia" w:cstheme="minorHAnsi"/>
          <w:lang w:val="en-GB"/>
        </w:rPr>
        <w:t>parties</w:t>
      </w:r>
      <w:r w:rsidR="00FD7ECF">
        <w:rPr>
          <w:rFonts w:eastAsiaTheme="majorEastAsia" w:cstheme="minorHAnsi"/>
          <w:lang w:val="en-GB"/>
        </w:rPr>
        <w:t xml:space="preserve"> to engage</w:t>
      </w:r>
      <w:r w:rsidR="00CD1C37">
        <w:rPr>
          <w:rFonts w:eastAsiaTheme="majorEastAsia" w:cstheme="minorHAnsi"/>
          <w:lang w:val="en-GB"/>
        </w:rPr>
        <w:t xml:space="preserve"> with IPPC activities is limited when balanced against other </w:t>
      </w:r>
      <w:r w:rsidR="00036278">
        <w:rPr>
          <w:rFonts w:eastAsiaTheme="majorEastAsia" w:cstheme="minorHAnsi"/>
          <w:lang w:val="en-GB"/>
        </w:rPr>
        <w:t xml:space="preserve">priorities </w:t>
      </w:r>
      <w:r w:rsidR="00FA5B43">
        <w:rPr>
          <w:rFonts w:eastAsiaTheme="majorEastAsia" w:cstheme="minorHAnsi"/>
          <w:lang w:val="en-GB"/>
        </w:rPr>
        <w:t>with</w:t>
      </w:r>
      <w:r w:rsidR="00036278">
        <w:rPr>
          <w:rFonts w:eastAsiaTheme="majorEastAsia" w:cstheme="minorHAnsi"/>
          <w:lang w:val="en-GB"/>
        </w:rPr>
        <w:t>in their countries</w:t>
      </w:r>
      <w:r w:rsidR="00EB04B0">
        <w:rPr>
          <w:rFonts w:eastAsiaTheme="majorEastAsia" w:cstheme="minorHAnsi"/>
          <w:lang w:val="en-GB"/>
        </w:rPr>
        <w:t>.</w:t>
      </w:r>
      <w:r w:rsidR="00036278">
        <w:rPr>
          <w:rFonts w:eastAsiaTheme="majorEastAsia" w:cstheme="minorHAnsi"/>
          <w:lang w:val="en-GB"/>
        </w:rPr>
        <w:t xml:space="preserve"> </w:t>
      </w:r>
      <w:r w:rsidR="001C5D84">
        <w:rPr>
          <w:rFonts w:eastAsiaTheme="majorEastAsia" w:cstheme="minorHAnsi"/>
          <w:lang w:val="en-GB"/>
        </w:rPr>
        <w:t xml:space="preserve">This often means </w:t>
      </w:r>
      <w:r w:rsidR="00036278">
        <w:rPr>
          <w:rFonts w:eastAsiaTheme="majorEastAsia" w:cstheme="minorHAnsi"/>
          <w:lang w:val="en-GB"/>
        </w:rPr>
        <w:t>the bulk of the work rests with the IPPC Secretariat and a small number of countries</w:t>
      </w:r>
      <w:r w:rsidR="008858BD">
        <w:rPr>
          <w:rFonts w:eastAsiaTheme="majorEastAsia" w:cstheme="minorHAnsi"/>
          <w:lang w:val="en-GB"/>
        </w:rPr>
        <w:t>.</w:t>
      </w:r>
      <w:r w:rsidR="00FD7ECF">
        <w:rPr>
          <w:rFonts w:eastAsiaTheme="majorEastAsia" w:cstheme="minorHAnsi"/>
          <w:lang w:val="en-GB"/>
        </w:rPr>
        <w:t xml:space="preserve"> </w:t>
      </w:r>
      <w:r w:rsidR="00453E8E">
        <w:rPr>
          <w:rFonts w:eastAsiaTheme="majorEastAsia" w:cstheme="minorHAnsi"/>
          <w:lang w:val="en-GB"/>
        </w:rPr>
        <w:t xml:space="preserve"> </w:t>
      </w:r>
    </w:p>
    <w:p w14:paraId="19A2BA8B" w14:textId="542F6F25" w:rsidR="00431682" w:rsidRDefault="00036278" w:rsidP="00F76958">
      <w:pPr>
        <w:rPr>
          <w:rFonts w:eastAsiaTheme="majorEastAsia" w:cstheme="minorHAnsi"/>
          <w:lang w:val="en-GB"/>
        </w:rPr>
      </w:pPr>
      <w:r>
        <w:rPr>
          <w:rFonts w:eastAsiaTheme="majorEastAsia" w:cstheme="minorHAnsi"/>
          <w:lang w:val="en-GB"/>
        </w:rPr>
        <w:t>When the Strategic Framework was presented to CPM-14 in 2019, a paper proposing a high</w:t>
      </w:r>
      <w:r w:rsidR="001C5D84">
        <w:rPr>
          <w:rFonts w:eastAsiaTheme="majorEastAsia" w:cstheme="minorHAnsi"/>
          <w:lang w:val="en-GB"/>
        </w:rPr>
        <w:t>-</w:t>
      </w:r>
      <w:r>
        <w:rPr>
          <w:rFonts w:eastAsiaTheme="majorEastAsia" w:cstheme="minorHAnsi"/>
          <w:lang w:val="en-GB"/>
        </w:rPr>
        <w:t>level five</w:t>
      </w:r>
      <w:r w:rsidR="00431682">
        <w:rPr>
          <w:rFonts w:eastAsiaTheme="majorEastAsia" w:cstheme="minorHAnsi"/>
          <w:lang w:val="en-GB"/>
        </w:rPr>
        <w:t>-</w:t>
      </w:r>
      <w:r>
        <w:rPr>
          <w:rFonts w:eastAsiaTheme="majorEastAsia" w:cstheme="minorHAnsi"/>
          <w:lang w:val="en-GB"/>
        </w:rPr>
        <w:t xml:space="preserve">year budget for the IPPC Secretariat was presented, but this was only noted by the CPM and not taken further. </w:t>
      </w:r>
      <w:r w:rsidR="00431682">
        <w:rPr>
          <w:rFonts w:eastAsiaTheme="majorEastAsia" w:cstheme="minorHAnsi"/>
          <w:lang w:val="en-GB"/>
        </w:rPr>
        <w:t xml:space="preserve">However, some </w:t>
      </w:r>
      <w:r w:rsidR="000A74C6">
        <w:rPr>
          <w:rFonts w:eastAsiaTheme="majorEastAsia" w:cstheme="minorHAnsi"/>
          <w:lang w:val="en-GB"/>
        </w:rPr>
        <w:t>c</w:t>
      </w:r>
      <w:r w:rsidR="00431682">
        <w:rPr>
          <w:rFonts w:eastAsiaTheme="majorEastAsia" w:cstheme="minorHAnsi"/>
          <w:lang w:val="en-GB"/>
        </w:rPr>
        <w:t xml:space="preserve">ontracting </w:t>
      </w:r>
      <w:r w:rsidR="000A74C6">
        <w:rPr>
          <w:rFonts w:eastAsiaTheme="majorEastAsia" w:cstheme="minorHAnsi"/>
          <w:lang w:val="en-GB"/>
        </w:rPr>
        <w:t>p</w:t>
      </w:r>
      <w:r w:rsidR="00431682">
        <w:rPr>
          <w:rFonts w:eastAsiaTheme="majorEastAsia" w:cstheme="minorHAnsi"/>
          <w:lang w:val="en-GB"/>
        </w:rPr>
        <w:t xml:space="preserve">arties did recommend during the session of the CPM that </w:t>
      </w:r>
      <w:r w:rsidR="00431682" w:rsidRPr="00431682">
        <w:rPr>
          <w:rFonts w:eastAsiaTheme="majorEastAsia" w:cstheme="minorHAnsi"/>
        </w:rPr>
        <w:t>a detailed and costed operational plan</w:t>
      </w:r>
      <w:r w:rsidR="00431682">
        <w:rPr>
          <w:rFonts w:eastAsiaTheme="majorEastAsia" w:cstheme="minorHAnsi"/>
        </w:rPr>
        <w:t xml:space="preserve"> should</w:t>
      </w:r>
      <w:r w:rsidR="00431682" w:rsidRPr="00431682">
        <w:rPr>
          <w:rFonts w:eastAsiaTheme="majorEastAsia" w:cstheme="minorHAnsi"/>
        </w:rPr>
        <w:t xml:space="preserve"> be developed for the implementation of the entire Strategic Framework 2020</w:t>
      </w:r>
      <w:r w:rsidR="00431682">
        <w:rPr>
          <w:rFonts w:eastAsiaTheme="majorEastAsia" w:cstheme="minorHAnsi"/>
        </w:rPr>
        <w:t xml:space="preserve"> </w:t>
      </w:r>
      <w:r w:rsidR="00431682" w:rsidRPr="00431682">
        <w:rPr>
          <w:rFonts w:eastAsiaTheme="majorEastAsia" w:cstheme="minorHAnsi"/>
        </w:rPr>
        <w:t>- 2030</w:t>
      </w:r>
      <w:r w:rsidR="00431682">
        <w:rPr>
          <w:rFonts w:eastAsiaTheme="majorEastAsia" w:cstheme="minorHAnsi"/>
        </w:rPr>
        <w:t>.</w:t>
      </w:r>
    </w:p>
    <w:p w14:paraId="747E2304" w14:textId="3AC7AED7" w:rsidR="00FA2500" w:rsidRPr="00431682" w:rsidRDefault="007B56FB" w:rsidP="00F76958">
      <w:pPr>
        <w:rPr>
          <w:rFonts w:eastAsiaTheme="majorEastAsia" w:cstheme="minorHAnsi"/>
          <w:highlight w:val="yellow"/>
          <w:lang w:val="en-GB"/>
        </w:rPr>
      </w:pPr>
      <w:r>
        <w:rPr>
          <w:rFonts w:eastAsiaTheme="majorEastAsia" w:cstheme="minorHAnsi"/>
          <w:lang w:val="en-GB"/>
        </w:rPr>
        <w:t>T</w:t>
      </w:r>
      <w:r w:rsidR="00FA2500">
        <w:rPr>
          <w:rFonts w:eastAsiaTheme="majorEastAsia" w:cstheme="minorHAnsi"/>
          <w:lang w:val="en-GB"/>
        </w:rPr>
        <w:t>he Strategic Planning Group (SPG) in 2020</w:t>
      </w:r>
      <w:r w:rsidR="00D06B70">
        <w:rPr>
          <w:rFonts w:eastAsiaTheme="majorEastAsia" w:cstheme="minorHAnsi"/>
          <w:lang w:val="en-GB"/>
        </w:rPr>
        <w:t xml:space="preserve"> </w:t>
      </w:r>
      <w:r w:rsidR="00431682">
        <w:rPr>
          <w:rFonts w:eastAsiaTheme="majorEastAsia" w:cstheme="minorHAnsi"/>
          <w:lang w:val="en-GB"/>
        </w:rPr>
        <w:t xml:space="preserve">also </w:t>
      </w:r>
      <w:r w:rsidR="00D06B70">
        <w:rPr>
          <w:rFonts w:eastAsiaTheme="majorEastAsia" w:cstheme="minorHAnsi"/>
          <w:lang w:val="en-GB"/>
        </w:rPr>
        <w:t>highlighted</w:t>
      </w:r>
      <w:r w:rsidR="00FA2500">
        <w:rPr>
          <w:rFonts w:eastAsiaTheme="majorEastAsia" w:cstheme="minorHAnsi"/>
          <w:lang w:val="en-GB"/>
        </w:rPr>
        <w:t xml:space="preserve"> the need to sequence </w:t>
      </w:r>
      <w:r w:rsidR="00613D6D">
        <w:rPr>
          <w:rFonts w:eastAsiaTheme="majorEastAsia" w:cstheme="minorHAnsi"/>
          <w:lang w:val="en-GB"/>
        </w:rPr>
        <w:t xml:space="preserve">out and carefully plan the implementation of the development agenda items. </w:t>
      </w:r>
      <w:r w:rsidR="009F6A2A">
        <w:rPr>
          <w:rFonts w:eastAsiaTheme="majorEastAsia" w:cstheme="minorHAnsi"/>
          <w:lang w:val="en-GB"/>
        </w:rPr>
        <w:t xml:space="preserve">CPM 15 in 2021 </w:t>
      </w:r>
      <w:r w:rsidR="00431682">
        <w:rPr>
          <w:rFonts w:eastAsiaTheme="majorEastAsia" w:cstheme="minorHAnsi"/>
          <w:lang w:val="en-GB"/>
        </w:rPr>
        <w:t>therefore</w:t>
      </w:r>
      <w:r w:rsidR="00D436C1">
        <w:rPr>
          <w:rFonts w:eastAsiaTheme="majorEastAsia" w:cstheme="minorHAnsi"/>
          <w:lang w:val="en-GB"/>
        </w:rPr>
        <w:t>,</w:t>
      </w:r>
      <w:r w:rsidR="00431682">
        <w:rPr>
          <w:rFonts w:eastAsiaTheme="majorEastAsia" w:cstheme="minorHAnsi"/>
          <w:lang w:val="en-GB"/>
        </w:rPr>
        <w:t xml:space="preserve"> </w:t>
      </w:r>
      <w:r w:rsidR="00613D6D">
        <w:rPr>
          <w:rFonts w:eastAsiaTheme="majorEastAsia" w:cstheme="minorHAnsi"/>
          <w:lang w:val="en-GB"/>
        </w:rPr>
        <w:t xml:space="preserve">agreed to establish a CPM </w:t>
      </w:r>
      <w:r w:rsidR="00CF305D">
        <w:rPr>
          <w:rFonts w:eastAsiaTheme="majorEastAsia" w:cstheme="minorHAnsi"/>
          <w:lang w:val="en-GB"/>
        </w:rPr>
        <w:t>F</w:t>
      </w:r>
      <w:r w:rsidR="00613D6D">
        <w:rPr>
          <w:rFonts w:eastAsiaTheme="majorEastAsia" w:cstheme="minorHAnsi"/>
          <w:lang w:val="en-GB"/>
        </w:rPr>
        <w:t xml:space="preserve">ocus </w:t>
      </w:r>
      <w:r w:rsidR="00CF305D">
        <w:rPr>
          <w:rFonts w:eastAsiaTheme="majorEastAsia" w:cstheme="minorHAnsi"/>
          <w:lang w:val="en-GB"/>
        </w:rPr>
        <w:t>G</w:t>
      </w:r>
      <w:r w:rsidR="00613D6D">
        <w:rPr>
          <w:rFonts w:eastAsiaTheme="majorEastAsia" w:cstheme="minorHAnsi"/>
          <w:lang w:val="en-GB"/>
        </w:rPr>
        <w:t>roup to develop an overarching implementation plan</w:t>
      </w:r>
      <w:r w:rsidR="000E16CC">
        <w:rPr>
          <w:rFonts w:eastAsiaTheme="majorEastAsia" w:cstheme="minorHAnsi"/>
          <w:lang w:val="en-GB"/>
        </w:rPr>
        <w:t>, with clear</w:t>
      </w:r>
      <w:r w:rsidR="000E16CC" w:rsidRPr="000E16CC">
        <w:rPr>
          <w:color w:val="000000"/>
          <w:shd w:val="clear" w:color="auto" w:fill="FFFFFF"/>
        </w:rPr>
        <w:t xml:space="preserve"> </w:t>
      </w:r>
      <w:r w:rsidR="000E16CC">
        <w:rPr>
          <w:color w:val="000000"/>
          <w:shd w:val="clear" w:color="auto" w:fill="FFFFFF"/>
        </w:rPr>
        <w:t>development agenda item s</w:t>
      </w:r>
      <w:r w:rsidR="000E16CC" w:rsidRPr="000E16CC">
        <w:rPr>
          <w:rFonts w:eastAsiaTheme="majorEastAsia" w:cstheme="minorHAnsi"/>
        </w:rPr>
        <w:t>tart dates, milestones, timeline</w:t>
      </w:r>
      <w:r w:rsidR="000E16CC">
        <w:rPr>
          <w:rFonts w:eastAsiaTheme="majorEastAsia" w:cstheme="minorHAnsi"/>
        </w:rPr>
        <w:t>s</w:t>
      </w:r>
      <w:r w:rsidR="000E16CC" w:rsidRPr="000E16CC">
        <w:rPr>
          <w:rFonts w:eastAsiaTheme="majorEastAsia" w:cstheme="minorHAnsi"/>
        </w:rPr>
        <w:t>, monitoring and evaluation framework</w:t>
      </w:r>
      <w:r w:rsidR="000E16CC">
        <w:rPr>
          <w:rFonts w:eastAsiaTheme="majorEastAsia" w:cstheme="minorHAnsi"/>
        </w:rPr>
        <w:t>s</w:t>
      </w:r>
      <w:r w:rsidR="000E16CC" w:rsidRPr="000E16CC">
        <w:rPr>
          <w:rFonts w:eastAsiaTheme="majorEastAsia" w:cstheme="minorHAnsi"/>
        </w:rPr>
        <w:t>,</w:t>
      </w:r>
      <w:r w:rsidR="000E16CC">
        <w:rPr>
          <w:rFonts w:eastAsiaTheme="majorEastAsia" w:cstheme="minorHAnsi"/>
        </w:rPr>
        <w:t xml:space="preserve"> and</w:t>
      </w:r>
      <w:r w:rsidR="000E16CC" w:rsidRPr="000E16CC">
        <w:rPr>
          <w:rFonts w:eastAsiaTheme="majorEastAsia" w:cstheme="minorHAnsi"/>
        </w:rPr>
        <w:t xml:space="preserve"> estimation</w:t>
      </w:r>
      <w:r w:rsidR="000E16CC">
        <w:rPr>
          <w:rFonts w:eastAsiaTheme="majorEastAsia" w:cstheme="minorHAnsi"/>
        </w:rPr>
        <w:t>s</w:t>
      </w:r>
      <w:r w:rsidR="000E16CC" w:rsidRPr="000E16CC">
        <w:rPr>
          <w:rFonts w:eastAsiaTheme="majorEastAsia" w:cstheme="minorHAnsi"/>
        </w:rPr>
        <w:t xml:space="preserve"> of required budget and </w:t>
      </w:r>
      <w:r w:rsidR="000E16CC">
        <w:rPr>
          <w:rFonts w:eastAsiaTheme="majorEastAsia" w:cstheme="minorHAnsi"/>
        </w:rPr>
        <w:t>resources</w:t>
      </w:r>
      <w:r w:rsidR="00613D6D">
        <w:rPr>
          <w:rFonts w:eastAsiaTheme="majorEastAsia" w:cstheme="minorHAnsi"/>
          <w:lang w:val="en-GB"/>
        </w:rPr>
        <w:t xml:space="preserve">. </w:t>
      </w:r>
    </w:p>
    <w:p w14:paraId="0E272299" w14:textId="6D25C989" w:rsidR="000E16CC" w:rsidRDefault="000E16CC" w:rsidP="00F76958">
      <w:pPr>
        <w:rPr>
          <w:rFonts w:eastAsiaTheme="majorEastAsia" w:cstheme="minorHAnsi"/>
          <w:lang w:val="en-NZ"/>
        </w:rPr>
      </w:pPr>
      <w:r>
        <w:rPr>
          <w:rFonts w:eastAsiaTheme="majorEastAsia" w:cstheme="minorHAnsi"/>
          <w:lang w:val="en-NZ"/>
        </w:rPr>
        <w:t xml:space="preserve">The CPM </w:t>
      </w:r>
      <w:r w:rsidR="00CF305D">
        <w:rPr>
          <w:rFonts w:eastAsiaTheme="majorEastAsia" w:cstheme="minorHAnsi"/>
          <w:lang w:val="en-NZ"/>
        </w:rPr>
        <w:t>F</w:t>
      </w:r>
      <w:r>
        <w:rPr>
          <w:rFonts w:eastAsiaTheme="majorEastAsia" w:cstheme="minorHAnsi"/>
          <w:lang w:val="en-NZ"/>
        </w:rPr>
        <w:t xml:space="preserve">ocus </w:t>
      </w:r>
      <w:r w:rsidR="00CF305D">
        <w:rPr>
          <w:rFonts w:eastAsiaTheme="majorEastAsia" w:cstheme="minorHAnsi"/>
          <w:lang w:val="en-NZ"/>
        </w:rPr>
        <w:t>G</w:t>
      </w:r>
      <w:r>
        <w:rPr>
          <w:rFonts w:eastAsiaTheme="majorEastAsia" w:cstheme="minorHAnsi"/>
          <w:lang w:val="en-NZ"/>
        </w:rPr>
        <w:t>roup</w:t>
      </w:r>
      <w:r w:rsidR="00431682">
        <w:rPr>
          <w:rFonts w:eastAsiaTheme="majorEastAsia" w:cstheme="minorHAnsi"/>
          <w:lang w:val="en-NZ"/>
        </w:rPr>
        <w:t xml:space="preserve"> was established in September 2021 and</w:t>
      </w:r>
      <w:r>
        <w:rPr>
          <w:rFonts w:eastAsiaTheme="majorEastAsia" w:cstheme="minorHAnsi"/>
          <w:lang w:val="en-NZ"/>
        </w:rPr>
        <w:t xml:space="preserve"> included representatives from NPPOs of the FAO regions, one representative from the ten RPPOs, one representative from the CPM Bureau, one representative from the Standards Committee, and one representative from </w:t>
      </w:r>
      <w:r w:rsidR="00EB3C1C">
        <w:rPr>
          <w:rFonts w:eastAsiaTheme="majorEastAsia" w:cstheme="minorHAnsi"/>
          <w:lang w:val="en-NZ"/>
        </w:rPr>
        <w:t xml:space="preserve">the Implementation and Capacity Development Committee (see </w:t>
      </w:r>
      <w:r w:rsidR="00E17121">
        <w:rPr>
          <w:rFonts w:eastAsiaTheme="majorEastAsia" w:cstheme="minorHAnsi"/>
          <w:lang w:val="en-NZ"/>
        </w:rPr>
        <w:t>Appendix J</w:t>
      </w:r>
      <w:r w:rsidR="00EB3C1C">
        <w:rPr>
          <w:rFonts w:eastAsiaTheme="majorEastAsia" w:cstheme="minorHAnsi"/>
          <w:lang w:val="en-NZ"/>
        </w:rPr>
        <w:t>)</w:t>
      </w:r>
      <w:r w:rsidR="00CF305D">
        <w:rPr>
          <w:rFonts w:eastAsiaTheme="majorEastAsia" w:cstheme="minorHAnsi"/>
          <w:lang w:val="en-NZ"/>
        </w:rPr>
        <w:t>.</w:t>
      </w:r>
      <w:r w:rsidR="00530996">
        <w:rPr>
          <w:rFonts w:eastAsiaTheme="majorEastAsia" w:cstheme="minorHAnsi"/>
          <w:lang w:val="en-NZ"/>
        </w:rPr>
        <w:t xml:space="preserve"> Members of the IPPC Secretariat also provided support to the group.</w:t>
      </w:r>
    </w:p>
    <w:p w14:paraId="5D96717B" w14:textId="7EC5AC93" w:rsidR="00CF305D" w:rsidRDefault="00231D5C" w:rsidP="00F76958">
      <w:pPr>
        <w:rPr>
          <w:rFonts w:eastAsiaTheme="majorEastAsia" w:cstheme="minorHAnsi"/>
        </w:rPr>
      </w:pPr>
      <w:r>
        <w:rPr>
          <w:rFonts w:eastAsiaTheme="majorEastAsia" w:cstheme="minorHAnsi"/>
          <w:lang w:val="en-NZ"/>
        </w:rPr>
        <w:t xml:space="preserve">Some agenda items </w:t>
      </w:r>
      <w:r w:rsidR="00E17121">
        <w:rPr>
          <w:rFonts w:eastAsiaTheme="majorEastAsia" w:cstheme="minorHAnsi"/>
          <w:lang w:val="en-NZ"/>
        </w:rPr>
        <w:t>were</w:t>
      </w:r>
      <w:r>
        <w:rPr>
          <w:rFonts w:eastAsiaTheme="majorEastAsia" w:cstheme="minorHAnsi"/>
          <w:lang w:val="en-NZ"/>
        </w:rPr>
        <w:t xml:space="preserve"> well advanced and others ha</w:t>
      </w:r>
      <w:r w:rsidR="00D909BD">
        <w:rPr>
          <w:rFonts w:eastAsiaTheme="majorEastAsia" w:cstheme="minorHAnsi"/>
          <w:lang w:val="en-NZ"/>
        </w:rPr>
        <w:t>d</w:t>
      </w:r>
      <w:r>
        <w:rPr>
          <w:rFonts w:eastAsiaTheme="majorEastAsia" w:cstheme="minorHAnsi"/>
          <w:lang w:val="en-NZ"/>
        </w:rPr>
        <w:t xml:space="preserve"> not yet started</w:t>
      </w:r>
      <w:r w:rsidR="00D909BD">
        <w:rPr>
          <w:rFonts w:eastAsiaTheme="majorEastAsia" w:cstheme="minorHAnsi"/>
          <w:lang w:val="en-NZ"/>
        </w:rPr>
        <w:t>.</w:t>
      </w:r>
      <w:r w:rsidR="00494268">
        <w:rPr>
          <w:rFonts w:eastAsiaTheme="majorEastAsia" w:cstheme="minorHAnsi"/>
          <w:lang w:val="en-NZ"/>
        </w:rPr>
        <w:t xml:space="preserve"> Some had funding and short-term plans in place while others had yet to begin. </w:t>
      </w:r>
      <w:r w:rsidR="00080E7C">
        <w:rPr>
          <w:rFonts w:eastAsiaTheme="majorEastAsia" w:cstheme="minorHAnsi"/>
          <w:lang w:val="en-NZ"/>
        </w:rPr>
        <w:t>No agenda items had</w:t>
      </w:r>
      <w:r w:rsidR="00494268">
        <w:rPr>
          <w:rFonts w:eastAsiaTheme="majorEastAsia" w:cstheme="minorHAnsi"/>
          <w:lang w:val="en-NZ"/>
        </w:rPr>
        <w:t xml:space="preserve"> </w:t>
      </w:r>
      <w:r w:rsidR="00494268" w:rsidRPr="00494268">
        <w:rPr>
          <w:rFonts w:eastAsiaTheme="majorEastAsia" w:cstheme="minorHAnsi"/>
        </w:rPr>
        <w:t>clear goals, deliverables</w:t>
      </w:r>
      <w:r w:rsidR="00866E8A">
        <w:rPr>
          <w:rFonts w:eastAsiaTheme="majorEastAsia" w:cstheme="minorHAnsi"/>
        </w:rPr>
        <w:t>,</w:t>
      </w:r>
      <w:r w:rsidR="00494268" w:rsidRPr="00494268">
        <w:rPr>
          <w:rFonts w:eastAsiaTheme="majorEastAsia" w:cstheme="minorHAnsi"/>
        </w:rPr>
        <w:t xml:space="preserve"> </w:t>
      </w:r>
      <w:r w:rsidR="00A152A4">
        <w:rPr>
          <w:rFonts w:eastAsiaTheme="majorEastAsia" w:cstheme="minorHAnsi"/>
        </w:rPr>
        <w:t>or</w:t>
      </w:r>
      <w:r w:rsidR="00494268" w:rsidRPr="00494268">
        <w:rPr>
          <w:rFonts w:eastAsiaTheme="majorEastAsia" w:cstheme="minorHAnsi"/>
        </w:rPr>
        <w:t xml:space="preserve"> budgets </w:t>
      </w:r>
      <w:r w:rsidR="00494268">
        <w:rPr>
          <w:rFonts w:eastAsiaTheme="majorEastAsia" w:cstheme="minorHAnsi"/>
        </w:rPr>
        <w:t>over</w:t>
      </w:r>
      <w:r w:rsidR="00494268" w:rsidRPr="00494268">
        <w:rPr>
          <w:rFonts w:eastAsiaTheme="majorEastAsia" w:cstheme="minorHAnsi"/>
        </w:rPr>
        <w:t xml:space="preserve"> the </w:t>
      </w:r>
      <w:r w:rsidR="00494268">
        <w:rPr>
          <w:rFonts w:eastAsiaTheme="majorEastAsia" w:cstheme="minorHAnsi"/>
        </w:rPr>
        <w:t xml:space="preserve">long-term. </w:t>
      </w:r>
      <w:r w:rsidR="00F36BAF">
        <w:rPr>
          <w:rFonts w:eastAsiaTheme="majorEastAsia" w:cstheme="minorHAnsi"/>
        </w:rPr>
        <w:t xml:space="preserve">Typically planning did not extend beyond a </w:t>
      </w:r>
      <w:r w:rsidR="00E17121">
        <w:rPr>
          <w:rFonts w:eastAsiaTheme="majorEastAsia" w:cstheme="minorHAnsi"/>
        </w:rPr>
        <w:t>two-year</w:t>
      </w:r>
      <w:r w:rsidR="00F36BAF">
        <w:rPr>
          <w:rFonts w:eastAsiaTheme="majorEastAsia" w:cstheme="minorHAnsi"/>
        </w:rPr>
        <w:t xml:space="preserve"> horizon. </w:t>
      </w:r>
      <w:r w:rsidR="00494268">
        <w:rPr>
          <w:rFonts w:eastAsiaTheme="majorEastAsia" w:cstheme="minorHAnsi"/>
        </w:rPr>
        <w:t xml:space="preserve">The CPM Focus Group worked with the IPPC Secretariat, subsidiary bodies, other focus groups and steering committees to </w:t>
      </w:r>
      <w:r w:rsidR="00494268" w:rsidRPr="00494268">
        <w:rPr>
          <w:rFonts w:eastAsiaTheme="majorEastAsia" w:cstheme="minorHAnsi"/>
        </w:rPr>
        <w:t>develop more detailed long</w:t>
      </w:r>
      <w:r w:rsidR="00DA0DF7">
        <w:rPr>
          <w:rFonts w:eastAsiaTheme="majorEastAsia" w:cstheme="minorHAnsi"/>
        </w:rPr>
        <w:t xml:space="preserve">-term </w:t>
      </w:r>
      <w:r w:rsidR="00494268" w:rsidRPr="00494268">
        <w:rPr>
          <w:rFonts w:eastAsiaTheme="majorEastAsia" w:cstheme="minorHAnsi"/>
        </w:rPr>
        <w:t xml:space="preserve">plans for each of the </w:t>
      </w:r>
      <w:r w:rsidR="001B03C7">
        <w:rPr>
          <w:rFonts w:eastAsiaTheme="majorEastAsia" w:cstheme="minorHAnsi"/>
        </w:rPr>
        <w:t xml:space="preserve">development agenda items. </w:t>
      </w:r>
      <w:r w:rsidR="00E17121">
        <w:rPr>
          <w:rFonts w:eastAsiaTheme="majorEastAsia" w:cstheme="minorHAnsi"/>
        </w:rPr>
        <w:t>This involved the following stages:</w:t>
      </w:r>
    </w:p>
    <w:p w14:paraId="274BFA8F" w14:textId="0A9C97FC" w:rsidR="00E17121" w:rsidRDefault="00ED4D67" w:rsidP="00E17121">
      <w:pPr>
        <w:pStyle w:val="ListParagraph"/>
        <w:numPr>
          <w:ilvl w:val="0"/>
          <w:numId w:val="20"/>
        </w:numPr>
        <w:rPr>
          <w:rFonts w:eastAsiaTheme="majorEastAsia" w:cstheme="minorHAnsi"/>
        </w:rPr>
      </w:pPr>
      <w:r>
        <w:rPr>
          <w:rFonts w:eastAsiaTheme="majorEastAsia" w:cstheme="minorHAnsi"/>
        </w:rPr>
        <w:t>The IPPC Secretariat prepared a</w:t>
      </w:r>
      <w:r w:rsidR="00E17121">
        <w:rPr>
          <w:rFonts w:eastAsiaTheme="majorEastAsia" w:cstheme="minorHAnsi"/>
        </w:rPr>
        <w:t xml:space="preserve"> summary </w:t>
      </w:r>
      <w:r>
        <w:rPr>
          <w:rFonts w:eastAsiaTheme="majorEastAsia" w:cstheme="minorHAnsi"/>
        </w:rPr>
        <w:t>of</w:t>
      </w:r>
      <w:r w:rsidR="00E17121">
        <w:rPr>
          <w:rFonts w:eastAsiaTheme="majorEastAsia" w:cstheme="minorHAnsi"/>
        </w:rPr>
        <w:t xml:space="preserve"> the </w:t>
      </w:r>
      <w:r>
        <w:rPr>
          <w:rFonts w:eastAsiaTheme="majorEastAsia" w:cstheme="minorHAnsi"/>
        </w:rPr>
        <w:t xml:space="preserve">current state of </w:t>
      </w:r>
      <w:r w:rsidR="00E17121">
        <w:rPr>
          <w:rFonts w:eastAsiaTheme="majorEastAsia" w:cstheme="minorHAnsi"/>
        </w:rPr>
        <w:t xml:space="preserve">development agenda items </w:t>
      </w:r>
    </w:p>
    <w:p w14:paraId="679FB005" w14:textId="5F605D51" w:rsidR="00E17121" w:rsidRDefault="00ED4D67" w:rsidP="00E17121">
      <w:pPr>
        <w:pStyle w:val="ListParagraph"/>
        <w:numPr>
          <w:ilvl w:val="0"/>
          <w:numId w:val="20"/>
        </w:numPr>
        <w:rPr>
          <w:rFonts w:eastAsiaTheme="majorEastAsia" w:cstheme="minorHAnsi"/>
        </w:rPr>
      </w:pPr>
      <w:r>
        <w:rPr>
          <w:rFonts w:eastAsiaTheme="majorEastAsia" w:cstheme="minorHAnsi"/>
        </w:rPr>
        <w:t>The CPM Focus Group brainstormed milestones and activities for the development agenda items to inform planning</w:t>
      </w:r>
    </w:p>
    <w:p w14:paraId="588C37DF" w14:textId="1958FEC6" w:rsidR="00ED4D67" w:rsidRDefault="00ED4D67" w:rsidP="00E17121">
      <w:pPr>
        <w:pStyle w:val="ListParagraph"/>
        <w:numPr>
          <w:ilvl w:val="0"/>
          <w:numId w:val="20"/>
        </w:numPr>
        <w:rPr>
          <w:rFonts w:eastAsiaTheme="majorEastAsia" w:cstheme="minorHAnsi"/>
        </w:rPr>
      </w:pPr>
      <w:r>
        <w:rPr>
          <w:rFonts w:eastAsiaTheme="majorEastAsia" w:cstheme="minorHAnsi"/>
        </w:rPr>
        <w:t>The CPM Focus Group developed two templates to capture planning information for the development agenda items: a high-level planning template, which included information on the delivery groups, stage of implementation, outcomes, issues and risks; and a milestones and resources template, which included information on the milestones, activities, funding and resources</w:t>
      </w:r>
    </w:p>
    <w:p w14:paraId="62D9DF81" w14:textId="440AFDAE" w:rsidR="00ED4D67" w:rsidRDefault="00ED4D67" w:rsidP="00E17121">
      <w:pPr>
        <w:pStyle w:val="ListParagraph"/>
        <w:numPr>
          <w:ilvl w:val="0"/>
          <w:numId w:val="20"/>
        </w:numPr>
        <w:rPr>
          <w:rFonts w:eastAsiaTheme="majorEastAsia" w:cstheme="minorHAnsi"/>
        </w:rPr>
      </w:pPr>
      <w:r>
        <w:rPr>
          <w:rFonts w:eastAsiaTheme="majorEastAsia" w:cstheme="minorHAnsi"/>
        </w:rPr>
        <w:lastRenderedPageBreak/>
        <w:t xml:space="preserve">The CPM Focus Group worked with the IPPC Secretariat and other relevant bodies to fill in the templates </w:t>
      </w:r>
    </w:p>
    <w:p w14:paraId="74B2E016" w14:textId="25EFC226" w:rsidR="00ED4D67" w:rsidRPr="00E17121" w:rsidRDefault="00ED4D67" w:rsidP="00E17121">
      <w:pPr>
        <w:pStyle w:val="ListParagraph"/>
        <w:numPr>
          <w:ilvl w:val="0"/>
          <w:numId w:val="20"/>
        </w:numPr>
        <w:rPr>
          <w:rFonts w:eastAsiaTheme="majorEastAsia" w:cstheme="minorHAnsi"/>
        </w:rPr>
      </w:pPr>
      <w:r>
        <w:rPr>
          <w:rFonts w:eastAsiaTheme="majorEastAsia" w:cstheme="minorHAnsi"/>
        </w:rPr>
        <w:t xml:space="preserve">The CPM Focus Group </w:t>
      </w:r>
      <w:r w:rsidR="003E6DBE">
        <w:rPr>
          <w:rFonts w:eastAsiaTheme="majorEastAsia" w:cstheme="minorHAnsi"/>
        </w:rPr>
        <w:t xml:space="preserve">and IPPC Secretariat </w:t>
      </w:r>
      <w:r>
        <w:rPr>
          <w:rFonts w:eastAsiaTheme="majorEastAsia" w:cstheme="minorHAnsi"/>
        </w:rPr>
        <w:t>used the information in these templates to plan out the development agenda items to 2030, including estimations of funding and resources</w:t>
      </w:r>
    </w:p>
    <w:p w14:paraId="3CAF301F" w14:textId="7EA7CC34" w:rsidR="00F76958" w:rsidRDefault="000811E7" w:rsidP="000811E7">
      <w:pPr>
        <w:rPr>
          <w:rFonts w:eastAsiaTheme="majorEastAsia" w:cstheme="minorHAnsi"/>
        </w:rPr>
      </w:pPr>
      <w:r>
        <w:rPr>
          <w:rFonts w:eastAsiaTheme="majorEastAsia" w:cstheme="minorHAnsi"/>
        </w:rPr>
        <w:t>The development of long-term plans for each of the development agenda items allowed the CPM Focus Group to sequence the various activities and ensure that the IPPC Secretariat and other bodies do not become overwhelmed over the course of the Strategic Framework. The monitoring and evaluation framework for the overarching implementation plan was developed in parallel.</w:t>
      </w:r>
    </w:p>
    <w:p w14:paraId="0651DBEF" w14:textId="77777777" w:rsidR="00F40CC2" w:rsidRDefault="00F40CC2" w:rsidP="000811E7">
      <w:pPr>
        <w:rPr>
          <w:rFonts w:eastAsiaTheme="majorEastAsia" w:cstheme="minorHAnsi"/>
        </w:rPr>
      </w:pPr>
    </w:p>
    <w:p w14:paraId="76F44579" w14:textId="2EB5155C" w:rsidR="000D2A88" w:rsidRPr="00C523F8" w:rsidRDefault="000D2A88" w:rsidP="00C523F8">
      <w:pPr>
        <w:pStyle w:val="Heading1"/>
      </w:pPr>
      <w:bookmarkStart w:id="4" w:name="_Toc114566364"/>
      <w:r w:rsidRPr="009D1A54">
        <w:t>Sequenc</w:t>
      </w:r>
      <w:r w:rsidR="00F2681C">
        <w:t xml:space="preserve">ing the </w:t>
      </w:r>
      <w:r w:rsidR="00CB3B78">
        <w:t>D</w:t>
      </w:r>
      <w:r w:rsidR="00F2681C">
        <w:t xml:space="preserve">evelopment </w:t>
      </w:r>
      <w:r w:rsidR="00CB3B78">
        <w:t>A</w:t>
      </w:r>
      <w:r w:rsidR="00F2681C">
        <w:t xml:space="preserve">genda </w:t>
      </w:r>
      <w:r w:rsidR="00CB3B78">
        <w:t>I</w:t>
      </w:r>
      <w:r w:rsidR="00F2681C">
        <w:t>tems</w:t>
      </w:r>
      <w:bookmarkEnd w:id="4"/>
    </w:p>
    <w:p w14:paraId="09D5BDE5" w14:textId="1712F34D" w:rsidR="005E280A" w:rsidRDefault="00267931" w:rsidP="000811E7">
      <w:pPr>
        <w:rPr>
          <w:rFonts w:eastAsiaTheme="majorEastAsia" w:cstheme="minorHAnsi"/>
        </w:rPr>
      </w:pPr>
      <w:r>
        <w:rPr>
          <w:rFonts w:eastAsiaTheme="majorEastAsia" w:cstheme="minorHAnsi"/>
        </w:rPr>
        <w:t xml:space="preserve">Implementation of </w:t>
      </w:r>
      <w:r w:rsidR="001722AF">
        <w:rPr>
          <w:rFonts w:eastAsiaTheme="majorEastAsia" w:cstheme="minorHAnsi"/>
        </w:rPr>
        <w:t>some</w:t>
      </w:r>
      <w:r w:rsidR="00B46EB0">
        <w:rPr>
          <w:rFonts w:eastAsiaTheme="majorEastAsia" w:cstheme="minorHAnsi"/>
        </w:rPr>
        <w:t xml:space="preserve"> agenda items c</w:t>
      </w:r>
      <w:r>
        <w:rPr>
          <w:rFonts w:eastAsiaTheme="majorEastAsia" w:cstheme="minorHAnsi"/>
        </w:rPr>
        <w:t xml:space="preserve">ommenced </w:t>
      </w:r>
      <w:r w:rsidR="00310BC5">
        <w:rPr>
          <w:rFonts w:eastAsiaTheme="majorEastAsia" w:cstheme="minorHAnsi"/>
        </w:rPr>
        <w:t xml:space="preserve">while the </w:t>
      </w:r>
      <w:r w:rsidR="00B46EB0">
        <w:rPr>
          <w:rFonts w:eastAsiaTheme="majorEastAsia" w:cstheme="minorHAnsi"/>
        </w:rPr>
        <w:t xml:space="preserve">Strategic Framework </w:t>
      </w:r>
      <w:r w:rsidR="00BB1890">
        <w:rPr>
          <w:rFonts w:eastAsiaTheme="majorEastAsia" w:cstheme="minorHAnsi"/>
        </w:rPr>
        <w:t xml:space="preserve">was </w:t>
      </w:r>
      <w:r w:rsidR="00F97784">
        <w:rPr>
          <w:rFonts w:eastAsiaTheme="majorEastAsia" w:cstheme="minorHAnsi"/>
        </w:rPr>
        <w:t xml:space="preserve">being </w:t>
      </w:r>
      <w:r w:rsidR="00310BC5">
        <w:rPr>
          <w:rFonts w:eastAsiaTheme="majorEastAsia" w:cstheme="minorHAnsi"/>
        </w:rPr>
        <w:t>drafted</w:t>
      </w:r>
      <w:r w:rsidR="001722AF">
        <w:rPr>
          <w:rFonts w:eastAsiaTheme="majorEastAsia" w:cstheme="minorHAnsi"/>
        </w:rPr>
        <w:t xml:space="preserve">. Others commenced as soon as CPM endorsed the draft </w:t>
      </w:r>
      <w:r w:rsidR="00110814">
        <w:rPr>
          <w:rFonts w:eastAsiaTheme="majorEastAsia" w:cstheme="minorHAnsi"/>
        </w:rPr>
        <w:t>Strategic Framework</w:t>
      </w:r>
      <w:r w:rsidR="009F6E2D">
        <w:rPr>
          <w:rFonts w:eastAsiaTheme="majorEastAsia" w:cstheme="minorHAnsi"/>
        </w:rPr>
        <w:t xml:space="preserve"> in 2019</w:t>
      </w:r>
      <w:r w:rsidR="00110814">
        <w:rPr>
          <w:rFonts w:eastAsiaTheme="majorEastAsia" w:cstheme="minorHAnsi"/>
        </w:rPr>
        <w:t>.</w:t>
      </w:r>
      <w:r w:rsidR="004B2D8C">
        <w:rPr>
          <w:rFonts w:eastAsiaTheme="majorEastAsia" w:cstheme="minorHAnsi"/>
        </w:rPr>
        <w:t xml:space="preserve"> This urgency to deliver</w:t>
      </w:r>
      <w:r w:rsidR="00D52989">
        <w:rPr>
          <w:rFonts w:eastAsiaTheme="majorEastAsia" w:cstheme="minorHAnsi"/>
        </w:rPr>
        <w:t xml:space="preserve"> </w:t>
      </w:r>
      <w:r w:rsidR="000A74C6">
        <w:rPr>
          <w:rFonts w:eastAsiaTheme="majorEastAsia" w:cstheme="minorHAnsi"/>
        </w:rPr>
        <w:t xml:space="preserve">provides </w:t>
      </w:r>
      <w:r w:rsidR="00D52989">
        <w:rPr>
          <w:rFonts w:eastAsiaTheme="majorEastAsia" w:cstheme="minorHAnsi"/>
        </w:rPr>
        <w:t>evidence</w:t>
      </w:r>
      <w:r w:rsidR="000A74C6">
        <w:rPr>
          <w:rFonts w:eastAsiaTheme="majorEastAsia" w:cstheme="minorHAnsi"/>
        </w:rPr>
        <w:t xml:space="preserve"> of</w:t>
      </w:r>
      <w:r w:rsidR="00D52989">
        <w:rPr>
          <w:rFonts w:eastAsiaTheme="majorEastAsia" w:cstheme="minorHAnsi"/>
        </w:rPr>
        <w:t xml:space="preserve"> the value contracting parties see in the new development agenda items.  However, </w:t>
      </w:r>
      <w:r w:rsidR="00725508">
        <w:rPr>
          <w:rFonts w:eastAsiaTheme="majorEastAsia" w:cstheme="minorHAnsi"/>
        </w:rPr>
        <w:t>pressure on</w:t>
      </w:r>
      <w:r w:rsidR="00E26A07">
        <w:rPr>
          <w:rFonts w:eastAsiaTheme="majorEastAsia" w:cstheme="minorHAnsi"/>
        </w:rPr>
        <w:t xml:space="preserve"> IPPC Secretariat and</w:t>
      </w:r>
      <w:r w:rsidR="00725508">
        <w:rPr>
          <w:rFonts w:eastAsiaTheme="majorEastAsia" w:cstheme="minorHAnsi"/>
        </w:rPr>
        <w:t xml:space="preserve"> contracting party resources, both time and funding</w:t>
      </w:r>
      <w:r w:rsidR="00E26A07">
        <w:rPr>
          <w:rFonts w:eastAsiaTheme="majorEastAsia" w:cstheme="minorHAnsi"/>
        </w:rPr>
        <w:t xml:space="preserve">, mean that </w:t>
      </w:r>
      <w:r w:rsidR="00277F45">
        <w:rPr>
          <w:rFonts w:eastAsiaTheme="majorEastAsia" w:cstheme="minorHAnsi"/>
        </w:rPr>
        <w:t xml:space="preserve">it is difficult to work on </w:t>
      </w:r>
      <w:r w:rsidR="00F0553A">
        <w:rPr>
          <w:rFonts w:eastAsiaTheme="majorEastAsia" w:cstheme="minorHAnsi"/>
        </w:rPr>
        <w:t>all</w:t>
      </w:r>
      <w:r w:rsidR="00277F45">
        <w:rPr>
          <w:rFonts w:eastAsiaTheme="majorEastAsia" w:cstheme="minorHAnsi"/>
        </w:rPr>
        <w:t xml:space="preserve"> the </w:t>
      </w:r>
      <w:r w:rsidR="00E26A07">
        <w:rPr>
          <w:rFonts w:eastAsiaTheme="majorEastAsia" w:cstheme="minorHAnsi"/>
        </w:rPr>
        <w:t xml:space="preserve">development agenda items simultaneously. Sequencing </w:t>
      </w:r>
      <w:r w:rsidR="00277F45">
        <w:rPr>
          <w:rFonts w:eastAsiaTheme="majorEastAsia" w:cstheme="minorHAnsi"/>
        </w:rPr>
        <w:t>therefore needs consideration</w:t>
      </w:r>
      <w:r w:rsidR="00E26A07">
        <w:rPr>
          <w:rFonts w:eastAsiaTheme="majorEastAsia" w:cstheme="minorHAnsi"/>
        </w:rPr>
        <w:t>.</w:t>
      </w:r>
    </w:p>
    <w:p w14:paraId="0CFDBDE8" w14:textId="59886F43" w:rsidR="001E6D19" w:rsidRDefault="00776EA1" w:rsidP="00960E24">
      <w:pPr>
        <w:rPr>
          <w:rFonts w:eastAsiaTheme="majorEastAsia" w:cstheme="minorHAnsi"/>
        </w:rPr>
      </w:pPr>
      <w:r>
        <w:rPr>
          <w:rFonts w:eastAsiaTheme="majorEastAsia" w:cstheme="minorHAnsi"/>
        </w:rPr>
        <w:t>Five phases a</w:t>
      </w:r>
      <w:r w:rsidR="0076358C">
        <w:rPr>
          <w:rFonts w:eastAsiaTheme="majorEastAsia" w:cstheme="minorHAnsi"/>
        </w:rPr>
        <w:t>re</w:t>
      </w:r>
      <w:r>
        <w:rPr>
          <w:rFonts w:eastAsiaTheme="majorEastAsia" w:cstheme="minorHAnsi"/>
        </w:rPr>
        <w:t xml:space="preserve"> used to describe </w:t>
      </w:r>
      <w:r w:rsidR="007932B6">
        <w:rPr>
          <w:rFonts w:eastAsiaTheme="majorEastAsia" w:cstheme="minorHAnsi"/>
        </w:rPr>
        <w:t xml:space="preserve">the work to implement the </w:t>
      </w:r>
      <w:r w:rsidR="00F2681C">
        <w:rPr>
          <w:rFonts w:eastAsiaTheme="majorEastAsia" w:cstheme="minorHAnsi"/>
        </w:rPr>
        <w:t>development agenda items</w:t>
      </w:r>
      <w:r w:rsidR="007932B6">
        <w:rPr>
          <w:rFonts w:eastAsiaTheme="majorEastAsia"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CC5D4A" w14:paraId="44295BE3" w14:textId="77777777" w:rsidTr="00927303">
        <w:tc>
          <w:tcPr>
            <w:tcW w:w="1696" w:type="dxa"/>
          </w:tcPr>
          <w:p w14:paraId="2A2C5FBA" w14:textId="57203A96" w:rsidR="00CC5D4A" w:rsidRDefault="00CC5D4A" w:rsidP="000811E7">
            <w:pPr>
              <w:rPr>
                <w:rFonts w:eastAsiaTheme="majorEastAsia" w:cstheme="minorHAnsi"/>
              </w:rPr>
            </w:pPr>
            <w:r w:rsidRPr="00E13214">
              <w:rPr>
                <w:rFonts w:eastAsiaTheme="majorEastAsia" w:cstheme="minorHAnsi"/>
                <w:b/>
                <w:bCs/>
              </w:rPr>
              <w:t>Not Started</w:t>
            </w:r>
            <w:r>
              <w:rPr>
                <w:rFonts w:eastAsiaTheme="majorEastAsia" w:cstheme="minorHAnsi"/>
                <w:b/>
                <w:bCs/>
              </w:rPr>
              <w:t>:</w:t>
            </w:r>
          </w:p>
        </w:tc>
        <w:tc>
          <w:tcPr>
            <w:tcW w:w="7654" w:type="dxa"/>
          </w:tcPr>
          <w:p w14:paraId="03613B37" w14:textId="0C78039E" w:rsidR="00CC5D4A" w:rsidRDefault="00E26A07" w:rsidP="000811E7">
            <w:pPr>
              <w:rPr>
                <w:rFonts w:eastAsiaTheme="majorEastAsia" w:cstheme="minorHAnsi"/>
              </w:rPr>
            </w:pPr>
            <w:r>
              <w:rPr>
                <w:rFonts w:eastAsiaTheme="majorEastAsia" w:cstheme="minorHAnsi"/>
              </w:rPr>
              <w:t>W</w:t>
            </w:r>
            <w:r w:rsidR="00CC5D4A">
              <w:rPr>
                <w:rFonts w:eastAsiaTheme="majorEastAsia" w:cstheme="minorHAnsi"/>
              </w:rPr>
              <w:t>ork has not yet commenced. Initial resources need to be allocated prior to moving into Scope and Plan phase.</w:t>
            </w:r>
          </w:p>
        </w:tc>
      </w:tr>
      <w:tr w:rsidR="00CC5D4A" w14:paraId="31976985" w14:textId="77777777" w:rsidTr="00927303">
        <w:tc>
          <w:tcPr>
            <w:tcW w:w="1696" w:type="dxa"/>
          </w:tcPr>
          <w:p w14:paraId="01B6E212" w14:textId="00D82E63" w:rsidR="00CC5D4A" w:rsidRDefault="00CC5D4A" w:rsidP="000811E7">
            <w:pPr>
              <w:rPr>
                <w:rFonts w:eastAsiaTheme="majorEastAsia" w:cstheme="minorHAnsi"/>
              </w:rPr>
            </w:pPr>
            <w:r w:rsidRPr="00E13214">
              <w:rPr>
                <w:rFonts w:eastAsiaTheme="majorEastAsia" w:cstheme="minorHAnsi"/>
                <w:b/>
                <w:bCs/>
              </w:rPr>
              <w:t>Scope and Plan</w:t>
            </w:r>
            <w:r>
              <w:rPr>
                <w:rFonts w:eastAsiaTheme="majorEastAsia" w:cstheme="minorHAnsi"/>
              </w:rPr>
              <w:t>:</w:t>
            </w:r>
          </w:p>
        </w:tc>
        <w:tc>
          <w:tcPr>
            <w:tcW w:w="7654" w:type="dxa"/>
          </w:tcPr>
          <w:p w14:paraId="600B6E68" w14:textId="2D2C1F0B" w:rsidR="00CC5D4A" w:rsidRDefault="00E26A07" w:rsidP="000811E7">
            <w:pPr>
              <w:rPr>
                <w:rFonts w:eastAsiaTheme="majorEastAsia" w:cstheme="minorHAnsi"/>
              </w:rPr>
            </w:pPr>
            <w:r>
              <w:rPr>
                <w:rFonts w:eastAsiaTheme="majorEastAsia" w:cstheme="minorHAnsi"/>
              </w:rPr>
              <w:t>W</w:t>
            </w:r>
            <w:r w:rsidR="00CC5D4A" w:rsidRPr="00CC5D4A">
              <w:rPr>
                <w:rFonts w:eastAsiaTheme="majorEastAsia" w:cstheme="minorHAnsi"/>
              </w:rPr>
              <w:t xml:space="preserve">ork is underway to understand the opportunity, needs, and scope of work required and to establish a plan that will deliver an effective programme of work. A focus group or steering group supported by the </w:t>
            </w:r>
            <w:r w:rsidR="00960E24">
              <w:rPr>
                <w:rFonts w:eastAsiaTheme="majorEastAsia" w:cstheme="minorHAnsi"/>
              </w:rPr>
              <w:t xml:space="preserve">IPPC </w:t>
            </w:r>
            <w:r w:rsidR="00CC5D4A" w:rsidRPr="00CC5D4A">
              <w:rPr>
                <w:rFonts w:eastAsiaTheme="majorEastAsia" w:cstheme="minorHAnsi"/>
              </w:rPr>
              <w:t>Secretariat usually leads this phase. At the end of the planning stage</w:t>
            </w:r>
            <w:r w:rsidR="00960E24">
              <w:rPr>
                <w:rFonts w:eastAsiaTheme="majorEastAsia" w:cstheme="minorHAnsi"/>
              </w:rPr>
              <w:t xml:space="preserve">, </w:t>
            </w:r>
            <w:r w:rsidR="00CC5D4A" w:rsidRPr="00CC5D4A">
              <w:rPr>
                <w:rFonts w:eastAsiaTheme="majorEastAsia" w:cstheme="minorHAnsi"/>
              </w:rPr>
              <w:t>CPM or Bureau approval is</w:t>
            </w:r>
            <w:r w:rsidR="00960E24">
              <w:rPr>
                <w:rFonts w:eastAsiaTheme="majorEastAsia" w:cstheme="minorHAnsi"/>
              </w:rPr>
              <w:t xml:space="preserve"> typically</w:t>
            </w:r>
            <w:r w:rsidR="00CC5D4A" w:rsidRPr="00CC5D4A">
              <w:rPr>
                <w:rFonts w:eastAsiaTheme="majorEastAsia" w:cstheme="minorHAnsi"/>
              </w:rPr>
              <w:t xml:space="preserve"> granted before delivery starts.</w:t>
            </w:r>
          </w:p>
        </w:tc>
      </w:tr>
      <w:tr w:rsidR="00CC5D4A" w14:paraId="3584B6AF" w14:textId="77777777" w:rsidTr="00927303">
        <w:tc>
          <w:tcPr>
            <w:tcW w:w="1696" w:type="dxa"/>
          </w:tcPr>
          <w:p w14:paraId="18B7E6B7" w14:textId="3A18484E" w:rsidR="00CC5D4A" w:rsidRDefault="00CC5D4A" w:rsidP="000811E7">
            <w:pPr>
              <w:rPr>
                <w:rFonts w:eastAsiaTheme="majorEastAsia" w:cstheme="minorHAnsi"/>
              </w:rPr>
            </w:pPr>
            <w:r w:rsidRPr="00E13214">
              <w:rPr>
                <w:rFonts w:eastAsiaTheme="majorEastAsia" w:cstheme="minorHAnsi"/>
                <w:b/>
                <w:bCs/>
              </w:rPr>
              <w:t>Delivery</w:t>
            </w:r>
            <w:r>
              <w:rPr>
                <w:rFonts w:eastAsiaTheme="majorEastAsia" w:cstheme="minorHAnsi"/>
              </w:rPr>
              <w:t>:</w:t>
            </w:r>
          </w:p>
        </w:tc>
        <w:tc>
          <w:tcPr>
            <w:tcW w:w="7654" w:type="dxa"/>
          </w:tcPr>
          <w:p w14:paraId="621AB453" w14:textId="7BB63D0F" w:rsidR="00CC5D4A" w:rsidRDefault="00960E24" w:rsidP="000811E7">
            <w:pPr>
              <w:rPr>
                <w:rFonts w:eastAsiaTheme="majorEastAsia" w:cstheme="minorHAnsi"/>
              </w:rPr>
            </w:pPr>
            <w:r>
              <w:rPr>
                <w:rFonts w:eastAsiaTheme="majorEastAsia" w:cstheme="minorHAnsi"/>
              </w:rPr>
              <w:t>T</w:t>
            </w:r>
            <w:r w:rsidR="00CC5D4A" w:rsidRPr="00CC5D4A">
              <w:rPr>
                <w:rFonts w:eastAsiaTheme="majorEastAsia" w:cstheme="minorHAnsi"/>
              </w:rPr>
              <w:t xml:space="preserve">he approved plan is being implemented, milestones are being achieved, and benefits are being delivered. </w:t>
            </w:r>
            <w:r w:rsidR="006F1DC4">
              <w:rPr>
                <w:rFonts w:eastAsiaTheme="majorEastAsia" w:cstheme="minorHAnsi"/>
              </w:rPr>
              <w:t>The work is delivered using project management disciplines</w:t>
            </w:r>
            <w:r w:rsidR="00564140">
              <w:rPr>
                <w:rFonts w:eastAsiaTheme="majorEastAsia" w:cstheme="minorHAnsi"/>
              </w:rPr>
              <w:t xml:space="preserve">.  It is not yet a core or </w:t>
            </w:r>
            <w:r w:rsidR="005D325F">
              <w:rPr>
                <w:rFonts w:eastAsiaTheme="majorEastAsia" w:cstheme="minorHAnsi"/>
              </w:rPr>
              <w:t>‘</w:t>
            </w:r>
            <w:r w:rsidR="00564140">
              <w:rPr>
                <w:rFonts w:eastAsiaTheme="majorEastAsia" w:cstheme="minorHAnsi"/>
              </w:rPr>
              <w:t>business as usual</w:t>
            </w:r>
            <w:r w:rsidR="005D325F">
              <w:rPr>
                <w:rFonts w:eastAsiaTheme="majorEastAsia" w:cstheme="minorHAnsi"/>
              </w:rPr>
              <w:t>’</w:t>
            </w:r>
            <w:r w:rsidR="00564140">
              <w:rPr>
                <w:rFonts w:eastAsiaTheme="majorEastAsia" w:cstheme="minorHAnsi"/>
              </w:rPr>
              <w:t xml:space="preserve"> part of the Secretariat work programme.</w:t>
            </w:r>
          </w:p>
        </w:tc>
      </w:tr>
      <w:tr w:rsidR="00CC5D4A" w14:paraId="58A16915" w14:textId="77777777" w:rsidTr="00927303">
        <w:tc>
          <w:tcPr>
            <w:tcW w:w="1696" w:type="dxa"/>
          </w:tcPr>
          <w:p w14:paraId="3F612BF2" w14:textId="1670CAF0" w:rsidR="00CC5D4A" w:rsidRDefault="00CC5D4A" w:rsidP="000811E7">
            <w:pPr>
              <w:rPr>
                <w:rFonts w:eastAsiaTheme="majorEastAsia" w:cstheme="minorHAnsi"/>
              </w:rPr>
            </w:pPr>
            <w:r w:rsidRPr="00E13214">
              <w:rPr>
                <w:rFonts w:eastAsiaTheme="majorEastAsia" w:cstheme="minorHAnsi"/>
                <w:b/>
                <w:bCs/>
              </w:rPr>
              <w:t>Transition</w:t>
            </w:r>
            <w:r>
              <w:rPr>
                <w:rFonts w:eastAsiaTheme="majorEastAsia" w:cstheme="minorHAnsi"/>
              </w:rPr>
              <w:t>:</w:t>
            </w:r>
          </w:p>
        </w:tc>
        <w:tc>
          <w:tcPr>
            <w:tcW w:w="7654" w:type="dxa"/>
          </w:tcPr>
          <w:p w14:paraId="0DDFAAA0" w14:textId="52EC9409" w:rsidR="00CC5D4A" w:rsidRDefault="00960E24" w:rsidP="000811E7">
            <w:pPr>
              <w:rPr>
                <w:rFonts w:eastAsiaTheme="majorEastAsia" w:cstheme="minorHAnsi"/>
              </w:rPr>
            </w:pPr>
            <w:r>
              <w:rPr>
                <w:rFonts w:eastAsiaTheme="majorEastAsia" w:cstheme="minorHAnsi"/>
              </w:rPr>
              <w:t>I</w:t>
            </w:r>
            <w:r w:rsidR="00CC5D4A" w:rsidRPr="00CC5D4A">
              <w:rPr>
                <w:rFonts w:eastAsiaTheme="majorEastAsia" w:cstheme="minorHAnsi"/>
              </w:rPr>
              <w:t>n this phase</w:t>
            </w:r>
            <w:r>
              <w:rPr>
                <w:rFonts w:eastAsiaTheme="majorEastAsia" w:cstheme="minorHAnsi"/>
              </w:rPr>
              <w:t>,</w:t>
            </w:r>
            <w:r w:rsidR="00CC5D4A" w:rsidRPr="00CC5D4A">
              <w:rPr>
                <w:rFonts w:eastAsiaTheme="majorEastAsia" w:cstheme="minorHAnsi"/>
              </w:rPr>
              <w:t xml:space="preserve"> the major change components of the work are completed, and benefits are </w:t>
            </w:r>
            <w:r w:rsidR="000832E8">
              <w:rPr>
                <w:rFonts w:eastAsiaTheme="majorEastAsia" w:cstheme="minorHAnsi"/>
              </w:rPr>
              <w:t xml:space="preserve">starting to </w:t>
            </w:r>
            <w:r w:rsidR="00CC5D4A" w:rsidRPr="00CC5D4A">
              <w:rPr>
                <w:rFonts w:eastAsiaTheme="majorEastAsia" w:cstheme="minorHAnsi"/>
              </w:rPr>
              <w:t xml:space="preserve">be realized. Planning is required to move from project-based work to a more </w:t>
            </w:r>
            <w:r w:rsidR="00E160D2">
              <w:rPr>
                <w:rFonts w:eastAsiaTheme="majorEastAsia" w:cstheme="minorHAnsi"/>
              </w:rPr>
              <w:t>‘</w:t>
            </w:r>
            <w:r w:rsidR="00CC5D4A" w:rsidRPr="00CC5D4A">
              <w:rPr>
                <w:rFonts w:eastAsiaTheme="majorEastAsia" w:cstheme="minorHAnsi"/>
              </w:rPr>
              <w:t>business as usual</w:t>
            </w:r>
            <w:r w:rsidR="00E160D2">
              <w:rPr>
                <w:rFonts w:eastAsiaTheme="majorEastAsia" w:cstheme="minorHAnsi"/>
              </w:rPr>
              <w:t>’</w:t>
            </w:r>
            <w:r w:rsidR="00CC5D4A" w:rsidRPr="00CC5D4A">
              <w:rPr>
                <w:rFonts w:eastAsiaTheme="majorEastAsia" w:cstheme="minorHAnsi"/>
              </w:rPr>
              <w:t xml:space="preserve"> approach to delivery. As part of the transition, CPM will establish clear resource allocations, expectations, and monitoring and reporting requirements for the </w:t>
            </w:r>
            <w:r>
              <w:rPr>
                <w:rFonts w:eastAsiaTheme="majorEastAsia" w:cstheme="minorHAnsi"/>
              </w:rPr>
              <w:t xml:space="preserve">IPPC </w:t>
            </w:r>
            <w:r w:rsidR="00CC5D4A" w:rsidRPr="00CC5D4A">
              <w:rPr>
                <w:rFonts w:eastAsiaTheme="majorEastAsia" w:cstheme="minorHAnsi"/>
              </w:rPr>
              <w:t>Secretariat</w:t>
            </w:r>
            <w:r>
              <w:rPr>
                <w:rFonts w:eastAsiaTheme="majorEastAsia" w:cstheme="minorHAnsi"/>
              </w:rPr>
              <w:t>’</w:t>
            </w:r>
            <w:r w:rsidR="00CC5D4A" w:rsidRPr="00CC5D4A">
              <w:rPr>
                <w:rFonts w:eastAsiaTheme="majorEastAsia" w:cstheme="minorHAnsi"/>
              </w:rPr>
              <w:t xml:space="preserve">s ongoing delivery of the work.    </w:t>
            </w:r>
          </w:p>
        </w:tc>
      </w:tr>
      <w:tr w:rsidR="00CC5D4A" w14:paraId="458377F8" w14:textId="77777777" w:rsidTr="00927303">
        <w:tc>
          <w:tcPr>
            <w:tcW w:w="1696" w:type="dxa"/>
          </w:tcPr>
          <w:p w14:paraId="434923DE" w14:textId="3F4A47C9" w:rsidR="00CC5D4A" w:rsidRDefault="00CC5D4A" w:rsidP="000811E7">
            <w:pPr>
              <w:rPr>
                <w:rFonts w:eastAsiaTheme="majorEastAsia" w:cstheme="minorHAnsi"/>
              </w:rPr>
            </w:pPr>
            <w:r w:rsidRPr="00E13214">
              <w:rPr>
                <w:rFonts w:eastAsiaTheme="majorEastAsia" w:cstheme="minorHAnsi"/>
                <w:b/>
                <w:bCs/>
              </w:rPr>
              <w:t>Ongoing core activity</w:t>
            </w:r>
            <w:r w:rsidRPr="00DB7580">
              <w:rPr>
                <w:rFonts w:eastAsiaTheme="majorEastAsia" w:cstheme="minorHAnsi"/>
              </w:rPr>
              <w:t>:</w:t>
            </w:r>
          </w:p>
        </w:tc>
        <w:tc>
          <w:tcPr>
            <w:tcW w:w="7654" w:type="dxa"/>
          </w:tcPr>
          <w:p w14:paraId="67F1E24C" w14:textId="14E6642E" w:rsidR="00CC5D4A" w:rsidRPr="00CC5D4A" w:rsidRDefault="00960E24" w:rsidP="00960E24">
            <w:pPr>
              <w:spacing w:after="160"/>
              <w:rPr>
                <w:rFonts w:eastAsiaTheme="majorEastAsia" w:cstheme="minorHAnsi"/>
                <w:b/>
                <w:bCs/>
              </w:rPr>
            </w:pPr>
            <w:r>
              <w:rPr>
                <w:rFonts w:eastAsiaTheme="majorEastAsia" w:cstheme="minorHAnsi"/>
              </w:rPr>
              <w:t>A</w:t>
            </w:r>
            <w:r w:rsidR="00CC5D4A" w:rsidRPr="00CC5D4A">
              <w:rPr>
                <w:rFonts w:eastAsiaTheme="majorEastAsia" w:cstheme="minorHAnsi"/>
              </w:rPr>
              <w:t xml:space="preserve"> regular rhythm of work within scope of the </w:t>
            </w:r>
            <w:r>
              <w:rPr>
                <w:rFonts w:eastAsiaTheme="majorEastAsia" w:cstheme="minorHAnsi"/>
              </w:rPr>
              <w:t>development agenda item</w:t>
            </w:r>
            <w:r w:rsidR="00CC5D4A" w:rsidRPr="00CC5D4A">
              <w:rPr>
                <w:rFonts w:eastAsiaTheme="majorEastAsia" w:cstheme="minorHAnsi"/>
              </w:rPr>
              <w:t xml:space="preserve"> is being delivered, commonly led by the</w:t>
            </w:r>
            <w:r>
              <w:rPr>
                <w:rFonts w:eastAsiaTheme="majorEastAsia" w:cstheme="minorHAnsi"/>
              </w:rPr>
              <w:t xml:space="preserve"> IPPC</w:t>
            </w:r>
            <w:r w:rsidR="00CC5D4A" w:rsidRPr="00CC5D4A">
              <w:rPr>
                <w:rFonts w:eastAsiaTheme="majorEastAsia" w:cstheme="minorHAnsi"/>
              </w:rPr>
              <w:t xml:space="preserve"> Secretariat but </w:t>
            </w:r>
            <w:r w:rsidR="005707A8">
              <w:rPr>
                <w:rFonts w:eastAsiaTheme="majorEastAsia" w:cstheme="minorHAnsi"/>
              </w:rPr>
              <w:t>may</w:t>
            </w:r>
            <w:r w:rsidR="00CC5D4A" w:rsidRPr="00CC5D4A">
              <w:rPr>
                <w:rFonts w:eastAsiaTheme="majorEastAsia" w:cstheme="minorHAnsi"/>
              </w:rPr>
              <w:t xml:space="preserve"> still </w:t>
            </w:r>
            <w:r w:rsidR="007705CF">
              <w:rPr>
                <w:rFonts w:eastAsiaTheme="majorEastAsia" w:cstheme="minorHAnsi"/>
              </w:rPr>
              <w:t xml:space="preserve">be </w:t>
            </w:r>
            <w:r w:rsidR="00CC5D4A" w:rsidRPr="00CC5D4A">
              <w:rPr>
                <w:rFonts w:eastAsiaTheme="majorEastAsia" w:cstheme="minorHAnsi"/>
              </w:rPr>
              <w:t xml:space="preserve">guided by a steering group or subsidiary body. </w:t>
            </w:r>
            <w:r w:rsidR="007705CF">
              <w:rPr>
                <w:rFonts w:eastAsiaTheme="majorEastAsia" w:cstheme="minorHAnsi"/>
              </w:rPr>
              <w:t xml:space="preserve">The work has become </w:t>
            </w:r>
            <w:r w:rsidR="00A1566D">
              <w:rPr>
                <w:rFonts w:eastAsiaTheme="majorEastAsia" w:cstheme="minorHAnsi"/>
              </w:rPr>
              <w:t>‘business as usual’ for the Secretariat</w:t>
            </w:r>
            <w:r w:rsidR="007705CF">
              <w:rPr>
                <w:rFonts w:eastAsiaTheme="majorEastAsia" w:cstheme="minorHAnsi"/>
              </w:rPr>
              <w:t xml:space="preserve">.  </w:t>
            </w:r>
            <w:r w:rsidR="00CC5D4A" w:rsidRPr="00CC5D4A">
              <w:rPr>
                <w:rFonts w:eastAsiaTheme="majorEastAsia" w:cstheme="minorHAnsi"/>
              </w:rPr>
              <w:t xml:space="preserve">Contracting parties </w:t>
            </w:r>
            <w:r w:rsidR="009F336B">
              <w:rPr>
                <w:rFonts w:eastAsiaTheme="majorEastAsia" w:cstheme="minorHAnsi"/>
              </w:rPr>
              <w:t xml:space="preserve">carry out implementation efforts in their own countries are being </w:t>
            </w:r>
            <w:r w:rsidR="002A1221">
              <w:rPr>
                <w:rFonts w:eastAsiaTheme="majorEastAsia" w:cstheme="minorHAnsi"/>
              </w:rPr>
              <w:t>supported by Secretariat advice and resources developed during earlier stages.</w:t>
            </w:r>
            <w:r w:rsidR="00CC5D4A" w:rsidRPr="00CC5D4A">
              <w:rPr>
                <w:rFonts w:eastAsiaTheme="majorEastAsia" w:cstheme="minorHAnsi"/>
              </w:rPr>
              <w:t xml:space="preserve"> The</w:t>
            </w:r>
            <w:r>
              <w:rPr>
                <w:rFonts w:eastAsiaTheme="majorEastAsia" w:cstheme="minorHAnsi"/>
              </w:rPr>
              <w:t xml:space="preserve"> </w:t>
            </w:r>
            <w:r w:rsidR="00CC5D4A" w:rsidRPr="00CC5D4A">
              <w:rPr>
                <w:rFonts w:eastAsiaTheme="majorEastAsia" w:cstheme="minorHAnsi"/>
              </w:rPr>
              <w:t>Secretariat monitor</w:t>
            </w:r>
            <w:r>
              <w:rPr>
                <w:rFonts w:eastAsiaTheme="majorEastAsia" w:cstheme="minorHAnsi"/>
              </w:rPr>
              <w:t>s</w:t>
            </w:r>
            <w:r w:rsidR="00CC5D4A" w:rsidRPr="00CC5D4A">
              <w:rPr>
                <w:rFonts w:eastAsiaTheme="majorEastAsia" w:cstheme="minorHAnsi"/>
              </w:rPr>
              <w:t xml:space="preserve"> and report</w:t>
            </w:r>
            <w:r>
              <w:rPr>
                <w:rFonts w:eastAsiaTheme="majorEastAsia" w:cstheme="minorHAnsi"/>
              </w:rPr>
              <w:t>s</w:t>
            </w:r>
            <w:r w:rsidR="00CC5D4A" w:rsidRPr="00CC5D4A">
              <w:rPr>
                <w:rFonts w:eastAsiaTheme="majorEastAsia" w:cstheme="minorHAnsi"/>
              </w:rPr>
              <w:t xml:space="preserve"> on delivery of the work and benefits.</w:t>
            </w:r>
          </w:p>
        </w:tc>
      </w:tr>
    </w:tbl>
    <w:p w14:paraId="2E2FFEEF" w14:textId="494A8A3C" w:rsidR="004573E3" w:rsidRDefault="00960E24" w:rsidP="004573E3">
      <w:pPr>
        <w:rPr>
          <w:rFonts w:eastAsiaTheme="majorEastAsia" w:cstheme="minorHAnsi"/>
        </w:rPr>
      </w:pPr>
      <w:r>
        <w:rPr>
          <w:rFonts w:eastAsiaTheme="majorEastAsia" w:cstheme="minorHAnsi"/>
        </w:rPr>
        <w:lastRenderedPageBreak/>
        <w:t>It should be n</w:t>
      </w:r>
      <w:r w:rsidR="004573E3">
        <w:rPr>
          <w:rFonts w:eastAsiaTheme="majorEastAsia" w:cstheme="minorHAnsi"/>
        </w:rPr>
        <w:t>ote</w:t>
      </w:r>
      <w:r>
        <w:rPr>
          <w:rFonts w:eastAsiaTheme="majorEastAsia" w:cstheme="minorHAnsi"/>
        </w:rPr>
        <w:t>d that</w:t>
      </w:r>
      <w:r w:rsidR="004573E3">
        <w:rPr>
          <w:rFonts w:eastAsiaTheme="majorEastAsia" w:cstheme="minorHAnsi"/>
        </w:rPr>
        <w:t xml:space="preserve"> the</w:t>
      </w:r>
      <w:r w:rsidR="00852B50">
        <w:rPr>
          <w:rFonts w:eastAsiaTheme="majorEastAsia" w:cstheme="minorHAnsi"/>
        </w:rPr>
        <w:t>se</w:t>
      </w:r>
      <w:r w:rsidR="004573E3">
        <w:rPr>
          <w:rFonts w:eastAsiaTheme="majorEastAsia" w:cstheme="minorHAnsi"/>
        </w:rPr>
        <w:t xml:space="preserve"> phases</w:t>
      </w:r>
      <w:r w:rsidR="00927303">
        <w:rPr>
          <w:rFonts w:eastAsiaTheme="majorEastAsia" w:cstheme="minorHAnsi"/>
        </w:rPr>
        <w:t xml:space="preserve"> </w:t>
      </w:r>
      <w:r w:rsidR="00C24621">
        <w:rPr>
          <w:rFonts w:eastAsiaTheme="majorEastAsia" w:cstheme="minorHAnsi"/>
        </w:rPr>
        <w:t xml:space="preserve">reference </w:t>
      </w:r>
      <w:r w:rsidR="004573E3">
        <w:rPr>
          <w:rFonts w:eastAsiaTheme="majorEastAsia" w:cstheme="minorHAnsi"/>
        </w:rPr>
        <w:t xml:space="preserve">work at the level of the </w:t>
      </w:r>
      <w:r w:rsidR="00A009CD">
        <w:rPr>
          <w:rFonts w:eastAsiaTheme="majorEastAsia" w:cstheme="minorHAnsi"/>
        </w:rPr>
        <w:t>CPM</w:t>
      </w:r>
      <w:r w:rsidR="004573E3">
        <w:rPr>
          <w:rFonts w:eastAsiaTheme="majorEastAsia" w:cstheme="minorHAnsi"/>
        </w:rPr>
        <w:t xml:space="preserve"> and not work that may be done by contracting parties to implement</w:t>
      </w:r>
      <w:r w:rsidR="00C24621">
        <w:rPr>
          <w:rFonts w:eastAsiaTheme="majorEastAsia" w:cstheme="minorHAnsi"/>
        </w:rPr>
        <w:t xml:space="preserve"> the </w:t>
      </w:r>
      <w:r>
        <w:rPr>
          <w:rFonts w:eastAsiaTheme="majorEastAsia" w:cstheme="minorHAnsi"/>
        </w:rPr>
        <w:t>development agenda item</w:t>
      </w:r>
      <w:r w:rsidR="00C24621">
        <w:rPr>
          <w:rFonts w:eastAsiaTheme="majorEastAsia" w:cstheme="minorHAnsi"/>
        </w:rPr>
        <w:t xml:space="preserve"> within their countr</w:t>
      </w:r>
      <w:r>
        <w:rPr>
          <w:rFonts w:eastAsiaTheme="majorEastAsia" w:cstheme="minorHAnsi"/>
        </w:rPr>
        <w:t>ies</w:t>
      </w:r>
      <w:r w:rsidR="004573E3">
        <w:rPr>
          <w:rFonts w:eastAsiaTheme="majorEastAsia" w:cstheme="minorHAnsi"/>
        </w:rPr>
        <w:t>. For example</w:t>
      </w:r>
      <w:r w:rsidR="00A009CD">
        <w:rPr>
          <w:rFonts w:eastAsiaTheme="majorEastAsia" w:cstheme="minorHAnsi"/>
        </w:rPr>
        <w:t>,</w:t>
      </w:r>
      <w:r w:rsidR="00215CD0">
        <w:rPr>
          <w:rFonts w:eastAsiaTheme="majorEastAsia" w:cstheme="minorHAnsi"/>
        </w:rPr>
        <w:t xml:space="preserve"> implementing</w:t>
      </w:r>
      <w:r w:rsidR="004573E3">
        <w:rPr>
          <w:rFonts w:eastAsiaTheme="majorEastAsia" w:cstheme="minorHAnsi"/>
        </w:rPr>
        <w:t xml:space="preserve"> </w:t>
      </w:r>
      <w:r w:rsidR="00C0019B" w:rsidRPr="002A29AD">
        <w:rPr>
          <w:rFonts w:eastAsiaTheme="majorEastAsia" w:cstheme="minorHAnsi"/>
          <w:i/>
          <w:iCs/>
        </w:rPr>
        <w:t xml:space="preserve">DAI </w:t>
      </w:r>
      <w:r w:rsidR="002A29AD" w:rsidRPr="002A29AD">
        <w:rPr>
          <w:rFonts w:eastAsiaTheme="majorEastAsia" w:cstheme="minorHAnsi"/>
          <w:i/>
          <w:iCs/>
        </w:rPr>
        <w:t>4:</w:t>
      </w:r>
      <w:r w:rsidR="002A29AD">
        <w:rPr>
          <w:rFonts w:eastAsiaTheme="majorEastAsia" w:cstheme="minorHAnsi"/>
        </w:rPr>
        <w:t xml:space="preserve"> </w:t>
      </w:r>
      <w:r w:rsidR="006B7175" w:rsidRPr="00C0019B">
        <w:rPr>
          <w:rFonts w:eastAsiaTheme="majorEastAsia" w:cstheme="minorHAnsi"/>
          <w:i/>
          <w:iCs/>
        </w:rPr>
        <w:t>Developing guidance on the use of third</w:t>
      </w:r>
      <w:r w:rsidR="00021361" w:rsidRPr="00C0019B">
        <w:rPr>
          <w:rFonts w:eastAsiaTheme="majorEastAsia" w:cstheme="minorHAnsi"/>
          <w:i/>
          <w:iCs/>
        </w:rPr>
        <w:t>-party entities</w:t>
      </w:r>
      <w:r w:rsidR="00021361">
        <w:rPr>
          <w:rFonts w:eastAsiaTheme="majorEastAsia" w:cstheme="minorHAnsi"/>
        </w:rPr>
        <w:t xml:space="preserve"> may enter the </w:t>
      </w:r>
      <w:r w:rsidR="00D6248A">
        <w:rPr>
          <w:rFonts w:eastAsiaTheme="majorEastAsia" w:cstheme="minorHAnsi"/>
        </w:rPr>
        <w:t>del</w:t>
      </w:r>
      <w:r w:rsidR="00365FFA">
        <w:rPr>
          <w:rFonts w:eastAsiaTheme="majorEastAsia" w:cstheme="minorHAnsi"/>
        </w:rPr>
        <w:t xml:space="preserve">ivery </w:t>
      </w:r>
      <w:r w:rsidR="00021361">
        <w:rPr>
          <w:rFonts w:eastAsiaTheme="majorEastAsia" w:cstheme="minorHAnsi"/>
        </w:rPr>
        <w:t xml:space="preserve">phase </w:t>
      </w:r>
      <w:r w:rsidR="00797030">
        <w:rPr>
          <w:rFonts w:eastAsiaTheme="majorEastAsia" w:cstheme="minorHAnsi"/>
        </w:rPr>
        <w:t>in</w:t>
      </w:r>
      <w:r w:rsidR="00365FFA">
        <w:rPr>
          <w:rFonts w:eastAsiaTheme="majorEastAsia" w:cstheme="minorHAnsi"/>
        </w:rPr>
        <w:t xml:space="preserve"> 2027 for</w:t>
      </w:r>
      <w:r w:rsidR="003F3F46">
        <w:rPr>
          <w:rFonts w:eastAsiaTheme="majorEastAsia" w:cstheme="minorHAnsi"/>
        </w:rPr>
        <w:t xml:space="preserve"> the work programme of the CPM</w:t>
      </w:r>
      <w:r w:rsidR="00021361">
        <w:rPr>
          <w:rFonts w:eastAsiaTheme="majorEastAsia" w:cstheme="minorHAnsi"/>
        </w:rPr>
        <w:t>,</w:t>
      </w:r>
      <w:r w:rsidR="00797030">
        <w:rPr>
          <w:rFonts w:eastAsiaTheme="majorEastAsia" w:cstheme="minorHAnsi"/>
        </w:rPr>
        <w:t xml:space="preserve"> while some </w:t>
      </w:r>
      <w:r w:rsidR="00021361">
        <w:rPr>
          <w:rFonts w:eastAsiaTheme="majorEastAsia" w:cstheme="minorHAnsi"/>
        </w:rPr>
        <w:t>individual co</w:t>
      </w:r>
      <w:r w:rsidR="001E0926">
        <w:rPr>
          <w:rFonts w:eastAsiaTheme="majorEastAsia" w:cstheme="minorHAnsi"/>
        </w:rPr>
        <w:t>ntracting parties</w:t>
      </w:r>
      <w:r w:rsidR="00021361">
        <w:rPr>
          <w:rFonts w:eastAsiaTheme="majorEastAsia" w:cstheme="minorHAnsi"/>
        </w:rPr>
        <w:t xml:space="preserve"> may </w:t>
      </w:r>
      <w:r w:rsidR="00821505">
        <w:rPr>
          <w:rFonts w:eastAsiaTheme="majorEastAsia" w:cstheme="minorHAnsi"/>
        </w:rPr>
        <w:t>have already</w:t>
      </w:r>
      <w:r w:rsidR="0007753D">
        <w:rPr>
          <w:rFonts w:eastAsiaTheme="majorEastAsia" w:cstheme="minorHAnsi"/>
        </w:rPr>
        <w:t xml:space="preserve"> implement</w:t>
      </w:r>
      <w:r w:rsidR="00821505">
        <w:rPr>
          <w:rFonts w:eastAsiaTheme="majorEastAsia" w:cstheme="minorHAnsi"/>
        </w:rPr>
        <w:t>ed</w:t>
      </w:r>
      <w:r w:rsidR="0007753D">
        <w:rPr>
          <w:rFonts w:eastAsiaTheme="majorEastAsia" w:cstheme="minorHAnsi"/>
        </w:rPr>
        <w:t xml:space="preserve"> the use of third-parties consistent with I</w:t>
      </w:r>
      <w:r w:rsidR="008A5881">
        <w:rPr>
          <w:rFonts w:eastAsiaTheme="majorEastAsia" w:cstheme="minorHAnsi"/>
        </w:rPr>
        <w:t>S</w:t>
      </w:r>
      <w:r w:rsidR="0007753D">
        <w:rPr>
          <w:rFonts w:eastAsiaTheme="majorEastAsia" w:cstheme="minorHAnsi"/>
        </w:rPr>
        <w:t xml:space="preserve">PM </w:t>
      </w:r>
      <w:r w:rsidR="00EB3827">
        <w:rPr>
          <w:rFonts w:eastAsiaTheme="majorEastAsia" w:cstheme="minorHAnsi"/>
        </w:rPr>
        <w:t>45</w:t>
      </w:r>
      <w:r w:rsidR="00C85770">
        <w:rPr>
          <w:rFonts w:eastAsiaTheme="majorEastAsia" w:cstheme="minorHAnsi"/>
        </w:rPr>
        <w:t xml:space="preserve">, </w:t>
      </w:r>
      <w:r w:rsidR="00821505">
        <w:rPr>
          <w:rFonts w:eastAsiaTheme="majorEastAsia" w:cstheme="minorHAnsi"/>
        </w:rPr>
        <w:t>and</w:t>
      </w:r>
      <w:r w:rsidR="007A6ACB">
        <w:rPr>
          <w:rFonts w:eastAsiaTheme="majorEastAsia" w:cstheme="minorHAnsi"/>
        </w:rPr>
        <w:t xml:space="preserve"> other</w:t>
      </w:r>
      <w:r w:rsidR="00C85770">
        <w:rPr>
          <w:rFonts w:eastAsiaTheme="majorEastAsia" w:cstheme="minorHAnsi"/>
        </w:rPr>
        <w:t xml:space="preserve"> contracting parties </w:t>
      </w:r>
      <w:r w:rsidR="007A6ACB">
        <w:rPr>
          <w:rFonts w:eastAsiaTheme="majorEastAsia" w:cstheme="minorHAnsi"/>
        </w:rPr>
        <w:t xml:space="preserve">may </w:t>
      </w:r>
      <w:r w:rsidR="00BE0ED7">
        <w:rPr>
          <w:rFonts w:eastAsiaTheme="majorEastAsia" w:cstheme="minorHAnsi"/>
        </w:rPr>
        <w:t xml:space="preserve">never </w:t>
      </w:r>
      <w:r w:rsidR="007A6ACB">
        <w:rPr>
          <w:rFonts w:eastAsiaTheme="majorEastAsia" w:cstheme="minorHAnsi"/>
        </w:rPr>
        <w:t xml:space="preserve">consider </w:t>
      </w:r>
      <w:r w:rsidR="00BE0ED7">
        <w:rPr>
          <w:rFonts w:eastAsiaTheme="majorEastAsia" w:cstheme="minorHAnsi"/>
        </w:rPr>
        <w:t xml:space="preserve">the </w:t>
      </w:r>
      <w:r w:rsidR="007A6ACB">
        <w:rPr>
          <w:rFonts w:eastAsiaTheme="majorEastAsia" w:cstheme="minorHAnsi"/>
        </w:rPr>
        <w:t xml:space="preserve">use of third-parties </w:t>
      </w:r>
      <w:r w:rsidR="00BE0ED7">
        <w:rPr>
          <w:rFonts w:eastAsiaTheme="majorEastAsia" w:cstheme="minorHAnsi"/>
        </w:rPr>
        <w:t>in their countr</w:t>
      </w:r>
      <w:r w:rsidR="00010225">
        <w:rPr>
          <w:rFonts w:eastAsiaTheme="majorEastAsia" w:cstheme="minorHAnsi"/>
        </w:rPr>
        <w:t>ies</w:t>
      </w:r>
      <w:r w:rsidR="009E0097">
        <w:rPr>
          <w:rFonts w:eastAsiaTheme="majorEastAsia" w:cstheme="minorHAnsi"/>
        </w:rPr>
        <w:t>.</w:t>
      </w:r>
    </w:p>
    <w:p w14:paraId="21095E32" w14:textId="22320FF7" w:rsidR="00E45D3C" w:rsidRDefault="00E45D3C" w:rsidP="00E45D3C">
      <w:pPr>
        <w:rPr>
          <w:rFonts w:eastAsiaTheme="majorEastAsia" w:cstheme="minorHAnsi"/>
        </w:rPr>
      </w:pPr>
      <w:r>
        <w:rPr>
          <w:rFonts w:eastAsiaTheme="majorEastAsia" w:cstheme="minorHAnsi"/>
        </w:rPr>
        <w:t>Having examined the state of the work under each of the development agenda item</w:t>
      </w:r>
      <w:r w:rsidR="00960E24">
        <w:rPr>
          <w:rFonts w:eastAsiaTheme="majorEastAsia" w:cstheme="minorHAnsi"/>
        </w:rPr>
        <w:t>s</w:t>
      </w:r>
      <w:r>
        <w:rPr>
          <w:rFonts w:eastAsiaTheme="majorEastAsia" w:cstheme="minorHAnsi"/>
        </w:rPr>
        <w:t xml:space="preserve">, there are limited opportunities or benefits from substantially resequencing the </w:t>
      </w:r>
      <w:r w:rsidR="00D176FA">
        <w:rPr>
          <w:rFonts w:eastAsiaTheme="majorEastAsia" w:cstheme="minorHAnsi"/>
        </w:rPr>
        <w:t>development agenda items</w:t>
      </w:r>
      <w:r>
        <w:rPr>
          <w:rFonts w:eastAsiaTheme="majorEastAsia" w:cstheme="minorHAnsi"/>
        </w:rPr>
        <w:t xml:space="preserve">. The first six </w:t>
      </w:r>
      <w:r w:rsidR="00960E24">
        <w:rPr>
          <w:rFonts w:eastAsiaTheme="majorEastAsia" w:cstheme="minorHAnsi"/>
        </w:rPr>
        <w:t>development agenda items</w:t>
      </w:r>
      <w:r>
        <w:rPr>
          <w:rFonts w:eastAsiaTheme="majorEastAsia" w:cstheme="minorHAnsi"/>
        </w:rPr>
        <w:t xml:space="preserve"> are already in Delivery phase and should continue. Three of the six are important but relatively small and low complexity topics.</w:t>
      </w:r>
      <w:r w:rsidR="00D176FA">
        <w:rPr>
          <w:rFonts w:eastAsiaTheme="majorEastAsia" w:cstheme="minorHAnsi"/>
        </w:rPr>
        <w:t xml:space="preserve"> </w:t>
      </w:r>
      <w:r w:rsidR="00D176FA" w:rsidRPr="00D176FA">
        <w:rPr>
          <w:rFonts w:eastAsiaTheme="majorEastAsia" w:cstheme="minorHAnsi"/>
        </w:rPr>
        <w:t xml:space="preserve">The current phase </w:t>
      </w:r>
      <w:r w:rsidR="004B3603">
        <w:rPr>
          <w:rFonts w:eastAsiaTheme="majorEastAsia" w:cstheme="minorHAnsi"/>
        </w:rPr>
        <w:t xml:space="preserve">for </w:t>
      </w:r>
      <w:r w:rsidR="00D176FA" w:rsidRPr="00D176FA">
        <w:rPr>
          <w:rFonts w:eastAsiaTheme="majorEastAsia" w:cstheme="minorHAnsi"/>
        </w:rPr>
        <w:t xml:space="preserve">each development agenda item and the </w:t>
      </w:r>
      <w:r w:rsidR="00AB7FB5">
        <w:rPr>
          <w:rFonts w:eastAsiaTheme="majorEastAsia" w:cstheme="minorHAnsi"/>
        </w:rPr>
        <w:t xml:space="preserve">proposed </w:t>
      </w:r>
      <w:r w:rsidR="001E51B7">
        <w:rPr>
          <w:rFonts w:eastAsiaTheme="majorEastAsia" w:cstheme="minorHAnsi"/>
        </w:rPr>
        <w:t>timing of phases out</w:t>
      </w:r>
      <w:r w:rsidR="00D176FA" w:rsidRPr="00D176FA">
        <w:rPr>
          <w:rFonts w:eastAsiaTheme="majorEastAsia" w:cstheme="minorHAnsi"/>
        </w:rPr>
        <w:t xml:space="preserve"> to 2030 are illustrated in Figure 2.</w:t>
      </w:r>
    </w:p>
    <w:p w14:paraId="6E7CDCB2" w14:textId="4B3D248A" w:rsidR="00810C14" w:rsidRDefault="00810C14" w:rsidP="004573E3">
      <w:pPr>
        <w:rPr>
          <w:rFonts w:eastAsiaTheme="majorEastAsia" w:cstheme="minorHAnsi"/>
        </w:rPr>
      </w:pPr>
    </w:p>
    <w:p w14:paraId="6F4EE5BD" w14:textId="7CC70B47" w:rsidR="001B4E05" w:rsidRPr="00F40CC2" w:rsidRDefault="00915A23" w:rsidP="000811E7">
      <w:pPr>
        <w:rPr>
          <w:rFonts w:eastAsiaTheme="majorEastAsia" w:cstheme="minorHAnsi"/>
        </w:rPr>
      </w:pPr>
      <w:r w:rsidRPr="00915A23">
        <w:rPr>
          <w:noProof/>
        </w:rPr>
        <w:drawing>
          <wp:inline distT="0" distB="0" distL="0" distR="0" wp14:anchorId="3428C758" wp14:editId="43826FC5">
            <wp:extent cx="5943600" cy="31362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36265"/>
                    </a:xfrm>
                    <a:prstGeom prst="rect">
                      <a:avLst/>
                    </a:prstGeom>
                    <a:noFill/>
                    <a:ln>
                      <a:noFill/>
                    </a:ln>
                  </pic:spPr>
                </pic:pic>
              </a:graphicData>
            </a:graphic>
          </wp:inline>
        </w:drawing>
      </w:r>
    </w:p>
    <w:p w14:paraId="0F914A3F" w14:textId="646D70D9" w:rsidR="00D176FA" w:rsidRPr="00D176FA" w:rsidRDefault="00D176FA" w:rsidP="000811E7">
      <w:pPr>
        <w:rPr>
          <w:rFonts w:eastAsiaTheme="majorEastAsia" w:cstheme="minorHAnsi"/>
        </w:rPr>
      </w:pPr>
      <w:r w:rsidRPr="00D176FA">
        <w:rPr>
          <w:rFonts w:eastAsiaTheme="majorEastAsia" w:cstheme="minorHAnsi"/>
          <w:b/>
          <w:bCs/>
        </w:rPr>
        <w:t xml:space="preserve">Figure </w:t>
      </w:r>
      <w:r>
        <w:rPr>
          <w:rFonts w:eastAsiaTheme="majorEastAsia" w:cstheme="minorHAnsi"/>
          <w:b/>
          <w:bCs/>
        </w:rPr>
        <w:t>2.</w:t>
      </w:r>
      <w:r w:rsidRPr="00D176FA">
        <w:rPr>
          <w:rFonts w:eastAsiaTheme="majorEastAsia" w:cstheme="minorHAnsi"/>
          <w:b/>
          <w:bCs/>
        </w:rPr>
        <w:t xml:space="preserve"> </w:t>
      </w:r>
      <w:r w:rsidR="00BD294E" w:rsidRPr="00BD294E">
        <w:rPr>
          <w:rFonts w:eastAsiaTheme="majorEastAsia" w:cstheme="minorHAnsi"/>
        </w:rPr>
        <w:t xml:space="preserve">Proposed </w:t>
      </w:r>
      <w:r w:rsidRPr="00D176FA">
        <w:rPr>
          <w:rFonts w:eastAsiaTheme="majorEastAsia" w:cstheme="minorHAnsi"/>
        </w:rPr>
        <w:t>Sequencing of development agenda items and approximate programme phasing.</w:t>
      </w:r>
    </w:p>
    <w:p w14:paraId="70000C29" w14:textId="7B08AB02" w:rsidR="005E6CF4" w:rsidRDefault="00A62983" w:rsidP="005E6CF4">
      <w:pPr>
        <w:rPr>
          <w:rFonts w:eastAsiaTheme="majorEastAsia" w:cstheme="minorHAnsi"/>
        </w:rPr>
      </w:pPr>
      <w:r>
        <w:rPr>
          <w:rFonts w:eastAsiaTheme="majorEastAsia" w:cstheme="minorHAnsi"/>
        </w:rPr>
        <w:t xml:space="preserve">Note that </w:t>
      </w:r>
      <w:r w:rsidR="005D03B9">
        <w:rPr>
          <w:rFonts w:eastAsiaTheme="majorEastAsia" w:cstheme="minorHAnsi"/>
        </w:rPr>
        <w:t xml:space="preserve">for some projects the FG SFDAI </w:t>
      </w:r>
      <w:r w:rsidR="004D2858">
        <w:rPr>
          <w:rFonts w:eastAsiaTheme="majorEastAsia" w:cstheme="minorHAnsi"/>
        </w:rPr>
        <w:t xml:space="preserve">there may be </w:t>
      </w:r>
      <w:r w:rsidR="007845A5">
        <w:rPr>
          <w:rFonts w:eastAsiaTheme="majorEastAsia" w:cstheme="minorHAnsi"/>
        </w:rPr>
        <w:t xml:space="preserve">value in delivering what is already planned, then conducting a new Scope &amp; Plan phase to </w:t>
      </w:r>
      <w:r w:rsidR="005D03B9">
        <w:rPr>
          <w:rFonts w:eastAsiaTheme="majorEastAsia" w:cstheme="minorHAnsi"/>
        </w:rPr>
        <w:t>consider</w:t>
      </w:r>
      <w:r w:rsidR="007845A5">
        <w:rPr>
          <w:rFonts w:eastAsiaTheme="majorEastAsia" w:cstheme="minorHAnsi"/>
        </w:rPr>
        <w:t xml:space="preserve"> whether more </w:t>
      </w:r>
      <w:r w:rsidR="00A86600">
        <w:rPr>
          <w:rFonts w:eastAsiaTheme="majorEastAsia" w:cstheme="minorHAnsi"/>
        </w:rPr>
        <w:t>activity would add additional value.</w:t>
      </w:r>
      <w:r w:rsidR="005D03B9">
        <w:rPr>
          <w:rFonts w:eastAsiaTheme="majorEastAsia" w:cstheme="minorHAnsi"/>
        </w:rPr>
        <w:t xml:space="preserve"> </w:t>
      </w:r>
      <w:r w:rsidR="005C5B6F">
        <w:rPr>
          <w:rFonts w:eastAsiaTheme="majorEastAsia" w:cstheme="minorHAnsi"/>
        </w:rPr>
        <w:t xml:space="preserve">The status, long-term plans and sequencing recommendations for each development agenda item are </w:t>
      </w:r>
      <w:r w:rsidR="0077755D">
        <w:rPr>
          <w:rFonts w:eastAsiaTheme="majorEastAsia" w:cstheme="minorHAnsi"/>
        </w:rPr>
        <w:t xml:space="preserve">discussed in the section </w:t>
      </w:r>
      <w:r w:rsidR="00444163">
        <w:rPr>
          <w:rFonts w:eastAsiaTheme="majorEastAsia" w:cstheme="minorHAnsi"/>
        </w:rPr>
        <w:t>‘</w:t>
      </w:r>
      <w:r w:rsidR="0077755D" w:rsidRPr="0077755D">
        <w:rPr>
          <w:rFonts w:eastAsiaTheme="majorEastAsia" w:cstheme="minorHAnsi"/>
        </w:rPr>
        <w:t>Plan Summaries for SFDAIs</w:t>
      </w:r>
      <w:r w:rsidR="00444163">
        <w:rPr>
          <w:rFonts w:eastAsiaTheme="majorEastAsia" w:cstheme="minorHAnsi"/>
        </w:rPr>
        <w:t>’</w:t>
      </w:r>
      <w:r w:rsidR="005C5B6F">
        <w:rPr>
          <w:rFonts w:eastAsiaTheme="majorEastAsia" w:cstheme="minorHAnsi"/>
        </w:rPr>
        <w:t>. For further detail on each development agenda item, see Appendix A-H.</w:t>
      </w:r>
    </w:p>
    <w:p w14:paraId="169574A0" w14:textId="77777777" w:rsidR="00F40CC2" w:rsidRDefault="00F40CC2" w:rsidP="005E6CF4">
      <w:pPr>
        <w:rPr>
          <w:rFonts w:eastAsiaTheme="majorEastAsia" w:cstheme="minorHAnsi"/>
        </w:rPr>
      </w:pPr>
    </w:p>
    <w:p w14:paraId="22D773B9" w14:textId="6F039740" w:rsidR="00C95F66" w:rsidRDefault="00C95F66" w:rsidP="00C95F66">
      <w:pPr>
        <w:pStyle w:val="Heading1"/>
        <w:rPr>
          <w:lang w:val="en-NZ"/>
        </w:rPr>
      </w:pPr>
      <w:bookmarkStart w:id="5" w:name="_Toc114566365"/>
      <w:r w:rsidRPr="0095511E">
        <w:rPr>
          <w:lang w:val="en-NZ"/>
        </w:rPr>
        <w:t>Financial</w:t>
      </w:r>
      <w:r>
        <w:rPr>
          <w:lang w:val="en-NZ"/>
        </w:rPr>
        <w:t xml:space="preserve"> and </w:t>
      </w:r>
      <w:r w:rsidRPr="0095511E">
        <w:rPr>
          <w:lang w:val="en-NZ"/>
        </w:rPr>
        <w:t xml:space="preserve">Resource </w:t>
      </w:r>
      <w:r w:rsidR="00CB3B78">
        <w:rPr>
          <w:lang w:val="en-NZ"/>
        </w:rPr>
        <w:t>P</w:t>
      </w:r>
      <w:r w:rsidRPr="0095511E">
        <w:rPr>
          <w:lang w:val="en-NZ"/>
        </w:rPr>
        <w:t>lan</w:t>
      </w:r>
      <w:bookmarkEnd w:id="5"/>
    </w:p>
    <w:p w14:paraId="50860B14" w14:textId="0A62FAAB" w:rsidR="000849C1" w:rsidRPr="000849C1" w:rsidRDefault="00C95F66" w:rsidP="000849C1">
      <w:pPr>
        <w:rPr>
          <w:lang w:val="en-NZ"/>
        </w:rPr>
      </w:pPr>
      <w:r>
        <w:rPr>
          <w:lang w:val="en-NZ"/>
        </w:rPr>
        <w:t xml:space="preserve">Budgets have been developed </w:t>
      </w:r>
      <w:r w:rsidR="006C31E3">
        <w:rPr>
          <w:lang w:val="en-NZ"/>
        </w:rPr>
        <w:t>for each SFDAI.  They have been b</w:t>
      </w:r>
      <w:r>
        <w:rPr>
          <w:lang w:val="en-NZ"/>
        </w:rPr>
        <w:t>uilt bottom</w:t>
      </w:r>
      <w:r w:rsidR="006C31E3">
        <w:rPr>
          <w:lang w:val="en-NZ"/>
        </w:rPr>
        <w:t>-</w:t>
      </w:r>
      <w:r>
        <w:rPr>
          <w:lang w:val="en-NZ"/>
        </w:rPr>
        <w:t xml:space="preserve">up </w:t>
      </w:r>
      <w:r w:rsidR="00104972">
        <w:rPr>
          <w:lang w:val="en-NZ"/>
        </w:rPr>
        <w:t xml:space="preserve">by estimating the resources required to deliver the </w:t>
      </w:r>
      <w:r>
        <w:rPr>
          <w:lang w:val="en-NZ"/>
        </w:rPr>
        <w:t>milestones.</w:t>
      </w:r>
      <w:r w:rsidR="006A2FFE">
        <w:rPr>
          <w:lang w:val="en-NZ"/>
        </w:rPr>
        <w:t xml:space="preserve"> B</w:t>
      </w:r>
      <w:r>
        <w:rPr>
          <w:lang w:val="en-NZ"/>
        </w:rPr>
        <w:t xml:space="preserve">udgets include secretariat resources, contract costs, </w:t>
      </w:r>
      <w:r>
        <w:rPr>
          <w:lang w:val="en-NZ"/>
        </w:rPr>
        <w:lastRenderedPageBreak/>
        <w:t>publication costs etc</w:t>
      </w:r>
      <w:r w:rsidR="006A2FFE">
        <w:rPr>
          <w:lang w:val="en-NZ"/>
        </w:rPr>
        <w:t xml:space="preserve">. </w:t>
      </w:r>
      <w:r w:rsidR="000849C1">
        <w:rPr>
          <w:lang w:val="en-NZ"/>
        </w:rPr>
        <w:t xml:space="preserve">Budgets do not include </w:t>
      </w:r>
      <w:r w:rsidR="0089436C">
        <w:rPr>
          <w:lang w:val="en-NZ"/>
        </w:rPr>
        <w:t xml:space="preserve">provision for </w:t>
      </w:r>
      <w:r w:rsidR="000849C1">
        <w:rPr>
          <w:lang w:val="en-NZ"/>
        </w:rPr>
        <w:t xml:space="preserve">the </w:t>
      </w:r>
      <w:r w:rsidR="000849C1" w:rsidRPr="000849C1">
        <w:rPr>
          <w:lang w:val="en-NZ"/>
        </w:rPr>
        <w:t xml:space="preserve">time and direct costs incurred by contracting parties as they engage in the </w:t>
      </w:r>
      <w:r w:rsidR="00FC56C4">
        <w:rPr>
          <w:lang w:val="en-NZ"/>
        </w:rPr>
        <w:t xml:space="preserve">CPM work programme to </w:t>
      </w:r>
      <w:r w:rsidR="0089436C">
        <w:rPr>
          <w:lang w:val="en-NZ"/>
        </w:rPr>
        <w:t>deliver these SFDAI’s</w:t>
      </w:r>
      <w:r w:rsidR="0011510B">
        <w:rPr>
          <w:lang w:val="en-NZ"/>
        </w:rPr>
        <w:t xml:space="preserve">.  </w:t>
      </w:r>
    </w:p>
    <w:p w14:paraId="23C21BB8" w14:textId="4FDEBADA" w:rsidR="0064516F" w:rsidRDefault="008B6649" w:rsidP="000849C1">
      <w:pPr>
        <w:rPr>
          <w:lang w:val="en-NZ"/>
        </w:rPr>
      </w:pPr>
      <w:r>
        <w:rPr>
          <w:lang w:val="en-NZ"/>
        </w:rPr>
        <w:t xml:space="preserve">The budgets also do not </w:t>
      </w:r>
      <w:r w:rsidR="000849C1" w:rsidRPr="000849C1">
        <w:rPr>
          <w:lang w:val="en-NZ"/>
        </w:rPr>
        <w:t xml:space="preserve">include </w:t>
      </w:r>
      <w:r w:rsidR="00B81E28">
        <w:rPr>
          <w:lang w:val="en-NZ"/>
        </w:rPr>
        <w:t>country</w:t>
      </w:r>
      <w:r w:rsidR="00A31DFA">
        <w:rPr>
          <w:lang w:val="en-NZ"/>
        </w:rPr>
        <w:t>-</w:t>
      </w:r>
      <w:r w:rsidR="00B81E28">
        <w:rPr>
          <w:lang w:val="en-NZ"/>
        </w:rPr>
        <w:t xml:space="preserve">specific </w:t>
      </w:r>
      <w:r w:rsidR="00831BDF">
        <w:rPr>
          <w:lang w:val="en-NZ"/>
        </w:rPr>
        <w:t>capacity building projects organised by co</w:t>
      </w:r>
      <w:r w:rsidR="00A31DFA">
        <w:rPr>
          <w:lang w:val="en-NZ"/>
        </w:rPr>
        <w:t>ntracting parties</w:t>
      </w:r>
      <w:r w:rsidR="00831BDF">
        <w:rPr>
          <w:lang w:val="en-NZ"/>
        </w:rPr>
        <w:t xml:space="preserve"> to implemen</w:t>
      </w:r>
      <w:r w:rsidR="00B81E28">
        <w:rPr>
          <w:lang w:val="en-NZ"/>
        </w:rPr>
        <w:t>t</w:t>
      </w:r>
      <w:r w:rsidR="00A31DFA">
        <w:rPr>
          <w:lang w:val="en-NZ"/>
        </w:rPr>
        <w:t xml:space="preserve"> SFDAIs</w:t>
      </w:r>
      <w:r w:rsidR="00B81E28">
        <w:rPr>
          <w:lang w:val="en-NZ"/>
        </w:rPr>
        <w:t xml:space="preserve"> </w:t>
      </w:r>
      <w:r w:rsidR="00A31DFA">
        <w:rPr>
          <w:lang w:val="en-NZ"/>
        </w:rPr>
        <w:t>in their own countries.</w:t>
      </w:r>
    </w:p>
    <w:p w14:paraId="62757428" w14:textId="2B3FFC3A" w:rsidR="00C95F66" w:rsidRDefault="006A2FFE" w:rsidP="00C95F66">
      <w:pPr>
        <w:rPr>
          <w:lang w:val="en-NZ"/>
        </w:rPr>
      </w:pPr>
      <w:r>
        <w:rPr>
          <w:lang w:val="en-NZ"/>
        </w:rPr>
        <w:t xml:space="preserve">The </w:t>
      </w:r>
      <w:r w:rsidR="00C95F66">
        <w:rPr>
          <w:lang w:val="en-NZ"/>
        </w:rPr>
        <w:t xml:space="preserve">Secretariat </w:t>
      </w:r>
      <w:r w:rsidR="00562F3D">
        <w:rPr>
          <w:lang w:val="en-NZ"/>
        </w:rPr>
        <w:t>staff costs</w:t>
      </w:r>
      <w:r w:rsidR="00C95F66">
        <w:rPr>
          <w:lang w:val="en-NZ"/>
        </w:rPr>
        <w:t xml:space="preserve"> </w:t>
      </w:r>
      <w:r>
        <w:rPr>
          <w:lang w:val="en-NZ"/>
        </w:rPr>
        <w:t xml:space="preserve">identified are </w:t>
      </w:r>
      <w:r w:rsidR="00C95F66">
        <w:rPr>
          <w:lang w:val="en-NZ"/>
        </w:rPr>
        <w:t>additional to existing</w:t>
      </w:r>
      <w:r>
        <w:rPr>
          <w:lang w:val="en-NZ"/>
        </w:rPr>
        <w:t xml:space="preserve"> </w:t>
      </w:r>
      <w:r w:rsidR="00562F3D">
        <w:rPr>
          <w:lang w:val="en-NZ"/>
        </w:rPr>
        <w:t>staff costs</w:t>
      </w:r>
      <w:r>
        <w:rPr>
          <w:lang w:val="en-NZ"/>
        </w:rPr>
        <w:t xml:space="preserve"> except where specified.</w:t>
      </w:r>
      <w:r w:rsidR="0064516F">
        <w:rPr>
          <w:lang w:val="en-NZ"/>
        </w:rPr>
        <w:t xml:space="preserve">  </w:t>
      </w:r>
      <w:r w:rsidR="00562F3D">
        <w:rPr>
          <w:lang w:val="en-NZ"/>
        </w:rPr>
        <w:t>Proposed b</w:t>
      </w:r>
      <w:r w:rsidR="0064516F">
        <w:rPr>
          <w:lang w:val="en-NZ"/>
        </w:rPr>
        <w:t>udget</w:t>
      </w:r>
      <w:r w:rsidR="00562F3D">
        <w:rPr>
          <w:lang w:val="en-NZ"/>
        </w:rPr>
        <w:t>s</w:t>
      </w:r>
      <w:r w:rsidR="0064516F">
        <w:rPr>
          <w:lang w:val="en-NZ"/>
        </w:rPr>
        <w:t xml:space="preserve"> for </w:t>
      </w:r>
      <w:r w:rsidR="00562F3D">
        <w:rPr>
          <w:lang w:val="en-NZ"/>
        </w:rPr>
        <w:t xml:space="preserve">additional </w:t>
      </w:r>
      <w:r w:rsidR="0064516F">
        <w:rPr>
          <w:lang w:val="en-NZ"/>
        </w:rPr>
        <w:t xml:space="preserve">Secretariat </w:t>
      </w:r>
      <w:r w:rsidR="00562F3D">
        <w:rPr>
          <w:lang w:val="en-NZ"/>
        </w:rPr>
        <w:t xml:space="preserve">staff </w:t>
      </w:r>
      <w:r w:rsidR="00C95F66">
        <w:rPr>
          <w:lang w:val="en-NZ"/>
        </w:rPr>
        <w:t>us</w:t>
      </w:r>
      <w:r w:rsidR="00A63893">
        <w:rPr>
          <w:lang w:val="en-NZ"/>
        </w:rPr>
        <w:t>e</w:t>
      </w:r>
      <w:r w:rsidR="00C95F66">
        <w:rPr>
          <w:lang w:val="en-NZ"/>
        </w:rPr>
        <w:t xml:space="preserve"> </w:t>
      </w:r>
      <w:r w:rsidR="00562F3D">
        <w:rPr>
          <w:lang w:val="en-NZ"/>
        </w:rPr>
        <w:t xml:space="preserve">current </w:t>
      </w:r>
      <w:r w:rsidR="009A13F9">
        <w:rPr>
          <w:lang w:val="en-NZ"/>
        </w:rPr>
        <w:t xml:space="preserve">standardized </w:t>
      </w:r>
      <w:r w:rsidR="00562F3D">
        <w:rPr>
          <w:lang w:val="en-NZ"/>
        </w:rPr>
        <w:t>FAO costings</w:t>
      </w:r>
      <w:r w:rsidR="004F7FE3">
        <w:rPr>
          <w:lang w:val="en-NZ"/>
        </w:rPr>
        <w:t xml:space="preserve">.  It is </w:t>
      </w:r>
      <w:r w:rsidR="00C95F66">
        <w:rPr>
          <w:lang w:val="en-NZ"/>
        </w:rPr>
        <w:t>recognise</w:t>
      </w:r>
      <w:r w:rsidR="004F7FE3">
        <w:rPr>
          <w:lang w:val="en-NZ"/>
        </w:rPr>
        <w:t>d</w:t>
      </w:r>
      <w:r w:rsidR="00C95F66">
        <w:rPr>
          <w:lang w:val="en-NZ"/>
        </w:rPr>
        <w:t xml:space="preserve"> some people deployed to the work </w:t>
      </w:r>
      <w:r w:rsidR="009A13F9">
        <w:rPr>
          <w:lang w:val="en-NZ"/>
        </w:rPr>
        <w:t xml:space="preserve">may </w:t>
      </w:r>
      <w:r w:rsidR="00C95F66">
        <w:rPr>
          <w:lang w:val="en-NZ"/>
        </w:rPr>
        <w:t xml:space="preserve">be </w:t>
      </w:r>
      <w:r w:rsidR="00B14C7F">
        <w:rPr>
          <w:lang w:val="en-NZ"/>
        </w:rPr>
        <w:t xml:space="preserve">lower cost </w:t>
      </w:r>
      <w:r w:rsidR="00C95F66">
        <w:rPr>
          <w:lang w:val="en-NZ"/>
        </w:rPr>
        <w:t>contractors or in-kind staff provided by contracting parties</w:t>
      </w:r>
      <w:r w:rsidR="00A31DFA">
        <w:rPr>
          <w:lang w:val="en-NZ"/>
        </w:rPr>
        <w:t>. However</w:t>
      </w:r>
      <w:r w:rsidR="00B14C7F">
        <w:rPr>
          <w:lang w:val="en-NZ"/>
        </w:rPr>
        <w:t xml:space="preserve">, at this stage we are unable to </w:t>
      </w:r>
      <w:r w:rsidR="00D12E2F">
        <w:rPr>
          <w:lang w:val="en-NZ"/>
        </w:rPr>
        <w:t>predict for each component of the work whether it should be performed by a</w:t>
      </w:r>
      <w:r w:rsidR="004504FF">
        <w:rPr>
          <w:lang w:val="en-NZ"/>
        </w:rPr>
        <w:t xml:space="preserve"> permanent member of staff, a contractor, or an </w:t>
      </w:r>
      <w:r w:rsidR="006C2169">
        <w:rPr>
          <w:lang w:val="en-NZ"/>
        </w:rPr>
        <w:t>‘</w:t>
      </w:r>
      <w:r w:rsidR="004504FF">
        <w:rPr>
          <w:lang w:val="en-NZ"/>
        </w:rPr>
        <w:t>in-kind</w:t>
      </w:r>
      <w:r w:rsidR="006C2169">
        <w:rPr>
          <w:lang w:val="en-NZ"/>
        </w:rPr>
        <w:t>’</w:t>
      </w:r>
      <w:r w:rsidR="004504FF">
        <w:rPr>
          <w:lang w:val="en-NZ"/>
        </w:rPr>
        <w:t xml:space="preserve"> person </w:t>
      </w:r>
      <w:r w:rsidR="006C2169">
        <w:rPr>
          <w:lang w:val="en-NZ"/>
        </w:rPr>
        <w:t>provided from a contracting party</w:t>
      </w:r>
      <w:r w:rsidR="008A3714">
        <w:rPr>
          <w:lang w:val="en-NZ"/>
        </w:rPr>
        <w:t>.</w:t>
      </w:r>
    </w:p>
    <w:p w14:paraId="774FA83E" w14:textId="0DBACCE0" w:rsidR="00754050" w:rsidRDefault="001C45A2" w:rsidP="00C95F66">
      <w:pPr>
        <w:rPr>
          <w:lang w:val="en-NZ"/>
        </w:rPr>
      </w:pPr>
      <w:r>
        <w:rPr>
          <w:lang w:val="en-NZ"/>
        </w:rPr>
        <w:t>For some SFDAIs</w:t>
      </w:r>
      <w:r w:rsidR="00834490">
        <w:rPr>
          <w:lang w:val="en-NZ"/>
        </w:rPr>
        <w:t>,</w:t>
      </w:r>
      <w:r>
        <w:rPr>
          <w:lang w:val="en-NZ"/>
        </w:rPr>
        <w:t xml:space="preserve"> funding from </w:t>
      </w:r>
      <w:r w:rsidR="004B1B9D">
        <w:rPr>
          <w:lang w:val="en-NZ"/>
        </w:rPr>
        <w:t>sources other than the regular programme budget</w:t>
      </w:r>
      <w:r w:rsidR="00834490">
        <w:rPr>
          <w:lang w:val="en-NZ"/>
        </w:rPr>
        <w:t xml:space="preserve"> have been identified in the early stages of the work.  Typically</w:t>
      </w:r>
      <w:r w:rsidR="000E2888">
        <w:rPr>
          <w:lang w:val="en-NZ"/>
        </w:rPr>
        <w:t>,</w:t>
      </w:r>
      <w:r w:rsidR="00834490">
        <w:rPr>
          <w:lang w:val="en-NZ"/>
        </w:rPr>
        <w:t xml:space="preserve"> this is funding or in-kind staff have already been committed to the programme.</w:t>
      </w:r>
      <w:r w:rsidR="004B1B9D">
        <w:rPr>
          <w:lang w:val="en-NZ"/>
        </w:rPr>
        <w:t xml:space="preserve"> </w:t>
      </w:r>
      <w:r w:rsidR="0010003B">
        <w:rPr>
          <w:lang w:val="en-NZ"/>
        </w:rPr>
        <w:t>Beyond this t</w:t>
      </w:r>
      <w:r w:rsidR="00754050" w:rsidRPr="00754050">
        <w:rPr>
          <w:lang w:val="en-NZ"/>
        </w:rPr>
        <w:t xml:space="preserve">he FG SFDAI has not attempted to determine which budget components should </w:t>
      </w:r>
      <w:r w:rsidR="00646C84">
        <w:rPr>
          <w:lang w:val="en-NZ"/>
        </w:rPr>
        <w:t xml:space="preserve">be funded </w:t>
      </w:r>
      <w:r w:rsidR="00754050" w:rsidRPr="00754050">
        <w:rPr>
          <w:lang w:val="en-NZ"/>
        </w:rPr>
        <w:t>from regular programme verses trust funds or other sources</w:t>
      </w:r>
      <w:r w:rsidR="009D3023">
        <w:rPr>
          <w:lang w:val="en-NZ"/>
        </w:rPr>
        <w:t xml:space="preserve"> (</w:t>
      </w:r>
      <w:r w:rsidR="0076109A">
        <w:rPr>
          <w:lang w:val="en-NZ"/>
        </w:rPr>
        <w:t xml:space="preserve">an </w:t>
      </w:r>
      <w:r w:rsidR="009D3023">
        <w:rPr>
          <w:lang w:val="en-NZ"/>
        </w:rPr>
        <w:t xml:space="preserve">exception is </w:t>
      </w:r>
      <w:r w:rsidR="00554FA6">
        <w:rPr>
          <w:lang w:val="en-NZ"/>
        </w:rPr>
        <w:t xml:space="preserve">for </w:t>
      </w:r>
      <w:r w:rsidR="0076109A">
        <w:rPr>
          <w:lang w:val="en-NZ"/>
        </w:rPr>
        <w:t>harmonisation of electronic data exchange</w:t>
      </w:r>
      <w:r w:rsidR="00554FA6">
        <w:rPr>
          <w:lang w:val="en-NZ"/>
        </w:rPr>
        <w:t xml:space="preserve"> where it is assumed no funding is coming from </w:t>
      </w:r>
      <w:r w:rsidR="0076109A">
        <w:rPr>
          <w:lang w:val="en-NZ"/>
        </w:rPr>
        <w:t>regular programme)</w:t>
      </w:r>
      <w:r w:rsidR="00754050" w:rsidRPr="00754050">
        <w:rPr>
          <w:lang w:val="en-NZ"/>
        </w:rPr>
        <w:t xml:space="preserve">.  Some flexibility exists around where regular programme resources are allocated.  The Secretariat with the CPM Bureau Finance Committee </w:t>
      </w:r>
      <w:r w:rsidR="00C02F99">
        <w:rPr>
          <w:lang w:val="en-NZ"/>
        </w:rPr>
        <w:t xml:space="preserve">is best placed to </w:t>
      </w:r>
      <w:r w:rsidR="00754050" w:rsidRPr="00754050">
        <w:rPr>
          <w:lang w:val="en-NZ"/>
        </w:rPr>
        <w:t>under-take analysis of the budgets developed and propose how regular programme funds are allocated.  The remainder of the budget will need to be provided from other sources.</w:t>
      </w:r>
    </w:p>
    <w:p w14:paraId="4BD2CA72" w14:textId="0392DBEF" w:rsidR="000E2888" w:rsidRDefault="00E249DD" w:rsidP="00C95F66">
      <w:pPr>
        <w:rPr>
          <w:lang w:val="en-NZ"/>
        </w:rPr>
      </w:pPr>
      <w:r>
        <w:rPr>
          <w:lang w:val="en-NZ"/>
        </w:rPr>
        <w:t xml:space="preserve">Although not agreed by CPM, a request was made during CPM-16 (2022) for the FG SFDAI to </w:t>
      </w:r>
      <w:r w:rsidR="0032173A">
        <w:rPr>
          <w:lang w:val="en-NZ"/>
        </w:rPr>
        <w:t xml:space="preserve">develop two funding scenarios, one </w:t>
      </w:r>
      <w:r w:rsidR="00D60BA4">
        <w:rPr>
          <w:lang w:val="en-NZ"/>
        </w:rPr>
        <w:t>optimal and the other minimal</w:t>
      </w:r>
      <w:r w:rsidR="00D0211B">
        <w:rPr>
          <w:lang w:val="en-NZ"/>
        </w:rPr>
        <w:t>.</w:t>
      </w:r>
      <w:r w:rsidR="00D60BA4">
        <w:rPr>
          <w:lang w:val="en-NZ"/>
        </w:rPr>
        <w:t xml:space="preserve">  </w:t>
      </w:r>
      <w:r w:rsidR="0065633C">
        <w:rPr>
          <w:lang w:val="en-NZ"/>
        </w:rPr>
        <w:t>Only one scenario has been developed</w:t>
      </w:r>
      <w:r w:rsidR="005A3A4B">
        <w:rPr>
          <w:lang w:val="en-NZ"/>
        </w:rPr>
        <w:t xml:space="preserve">. It is </w:t>
      </w:r>
      <w:r w:rsidR="00381C69">
        <w:rPr>
          <w:lang w:val="en-NZ"/>
        </w:rPr>
        <w:t>s</w:t>
      </w:r>
      <w:r w:rsidR="005A3A4B">
        <w:rPr>
          <w:lang w:val="en-NZ"/>
        </w:rPr>
        <w:t xml:space="preserve">imply the </w:t>
      </w:r>
      <w:r w:rsidR="001B3AEA">
        <w:rPr>
          <w:lang w:val="en-NZ"/>
        </w:rPr>
        <w:t>best estimate of the logical steps required to implement</w:t>
      </w:r>
      <w:r w:rsidR="00092C85">
        <w:rPr>
          <w:lang w:val="en-NZ"/>
        </w:rPr>
        <w:t xml:space="preserve"> each SFDAI</w:t>
      </w:r>
      <w:r w:rsidR="009F2BFE">
        <w:rPr>
          <w:lang w:val="en-NZ"/>
        </w:rPr>
        <w:t xml:space="preserve"> at a pace we think the CPM could </w:t>
      </w:r>
      <w:r w:rsidR="00381C69">
        <w:rPr>
          <w:lang w:val="en-NZ"/>
        </w:rPr>
        <w:t>support.</w:t>
      </w:r>
      <w:r w:rsidR="00092C85">
        <w:rPr>
          <w:lang w:val="en-NZ"/>
        </w:rPr>
        <w:t xml:space="preserve"> </w:t>
      </w:r>
      <w:r w:rsidR="00E825BE">
        <w:rPr>
          <w:lang w:val="en-NZ"/>
        </w:rPr>
        <w:t>For most SFDAIs the</w:t>
      </w:r>
      <w:r w:rsidR="00305BA2">
        <w:rPr>
          <w:lang w:val="en-NZ"/>
        </w:rPr>
        <w:t xml:space="preserve"> proposed steps represent </w:t>
      </w:r>
      <w:r w:rsidR="00996C97">
        <w:rPr>
          <w:lang w:val="en-NZ"/>
        </w:rPr>
        <w:t xml:space="preserve">the </w:t>
      </w:r>
      <w:r w:rsidR="00305BA2">
        <w:rPr>
          <w:lang w:val="en-NZ"/>
        </w:rPr>
        <w:t>minim</w:t>
      </w:r>
      <w:r w:rsidR="00FF1850">
        <w:rPr>
          <w:lang w:val="en-NZ"/>
        </w:rPr>
        <w:t>um</w:t>
      </w:r>
      <w:r w:rsidR="00305BA2">
        <w:rPr>
          <w:lang w:val="en-NZ"/>
        </w:rPr>
        <w:t xml:space="preserve"> requirements for successful implementation.</w:t>
      </w:r>
      <w:r w:rsidR="00381C69">
        <w:rPr>
          <w:lang w:val="en-NZ"/>
        </w:rPr>
        <w:t xml:space="preserve">  </w:t>
      </w:r>
      <w:r w:rsidR="00881B11">
        <w:rPr>
          <w:lang w:val="en-NZ"/>
        </w:rPr>
        <w:t>The level of resources required to support implementation could be examined further</w:t>
      </w:r>
      <w:r w:rsidR="00EE38C4">
        <w:rPr>
          <w:lang w:val="en-NZ"/>
        </w:rPr>
        <w:t>,</w:t>
      </w:r>
      <w:r w:rsidR="00881B11">
        <w:rPr>
          <w:lang w:val="en-NZ"/>
        </w:rPr>
        <w:t xml:space="preserve"> but </w:t>
      </w:r>
      <w:r w:rsidR="00EE38C4">
        <w:rPr>
          <w:lang w:val="en-NZ"/>
        </w:rPr>
        <w:t xml:space="preserve">this would best be done </w:t>
      </w:r>
      <w:r w:rsidR="009A445A">
        <w:rPr>
          <w:lang w:val="en-NZ"/>
        </w:rPr>
        <w:t>by the Bureau finance committee working with the Secretariat.</w:t>
      </w:r>
      <w:r w:rsidR="00EE38C4">
        <w:rPr>
          <w:lang w:val="en-NZ"/>
        </w:rPr>
        <w:t xml:space="preserve">  The FG SFDAI is mindful that </w:t>
      </w:r>
      <w:r w:rsidR="00B90AF6">
        <w:rPr>
          <w:lang w:val="en-NZ"/>
        </w:rPr>
        <w:t xml:space="preserve">unless the SFDAIs are properly resourced, either the Secretariat will be put under </w:t>
      </w:r>
      <w:r w:rsidR="006D5D3C">
        <w:rPr>
          <w:lang w:val="en-NZ"/>
        </w:rPr>
        <w:t>increased pressure and core programmes could suffer or</w:t>
      </w:r>
      <w:r w:rsidR="00F15C2F">
        <w:rPr>
          <w:lang w:val="en-NZ"/>
        </w:rPr>
        <w:t>,</w:t>
      </w:r>
      <w:r w:rsidR="006D5D3C">
        <w:rPr>
          <w:lang w:val="en-NZ"/>
        </w:rPr>
        <w:t xml:space="preserve"> implementation</w:t>
      </w:r>
      <w:r w:rsidR="0081419C">
        <w:rPr>
          <w:lang w:val="en-NZ"/>
        </w:rPr>
        <w:t xml:space="preserve"> at the IPPC level </w:t>
      </w:r>
      <w:r w:rsidR="006D5D3C">
        <w:rPr>
          <w:lang w:val="en-NZ"/>
        </w:rPr>
        <w:t xml:space="preserve">will be poor </w:t>
      </w:r>
      <w:r w:rsidR="00F15C2F">
        <w:rPr>
          <w:lang w:val="en-NZ"/>
        </w:rPr>
        <w:t xml:space="preserve">and </w:t>
      </w:r>
      <w:r w:rsidR="0081419C">
        <w:rPr>
          <w:lang w:val="en-NZ"/>
        </w:rPr>
        <w:t>contracting parties will find it more difficult to implement in their countries.</w:t>
      </w:r>
    </w:p>
    <w:p w14:paraId="6E44C99C" w14:textId="32AF72EC" w:rsidR="009A13F9" w:rsidRDefault="009A13F9" w:rsidP="00C95F66">
      <w:pPr>
        <w:rPr>
          <w:lang w:val="en-NZ"/>
        </w:rPr>
      </w:pPr>
      <w:r>
        <w:rPr>
          <w:lang w:val="en-NZ"/>
        </w:rPr>
        <w:t xml:space="preserve">Note that </w:t>
      </w:r>
      <w:r w:rsidR="002E5E3D">
        <w:rPr>
          <w:lang w:val="en-NZ"/>
        </w:rPr>
        <w:t xml:space="preserve">budget estimates for </w:t>
      </w:r>
      <w:r w:rsidR="009E446D">
        <w:rPr>
          <w:lang w:val="en-NZ"/>
        </w:rPr>
        <w:t xml:space="preserve">SFDAIs that are </w:t>
      </w:r>
      <w:r w:rsidR="002E5E3D">
        <w:rPr>
          <w:lang w:val="en-NZ"/>
        </w:rPr>
        <w:t>less advanced,</w:t>
      </w:r>
      <w:r w:rsidR="0095532E">
        <w:rPr>
          <w:lang w:val="en-NZ"/>
        </w:rPr>
        <w:t xml:space="preserve"> e.g. </w:t>
      </w:r>
      <w:r w:rsidR="006C0230">
        <w:rPr>
          <w:lang w:val="en-NZ"/>
        </w:rPr>
        <w:t>not started, are less detailed and likely to be less accurate than for projects in advanced stages of delivery.</w:t>
      </w:r>
    </w:p>
    <w:p w14:paraId="4EF611B9" w14:textId="02AB8C28" w:rsidR="00C95F66" w:rsidRDefault="00C95F66" w:rsidP="00C95F66">
      <w:pPr>
        <w:rPr>
          <w:lang w:val="en-NZ"/>
        </w:rPr>
      </w:pPr>
      <w:r>
        <w:rPr>
          <w:lang w:val="en-NZ"/>
        </w:rPr>
        <w:t>Total cost of the SFDAI programme is approx</w:t>
      </w:r>
      <w:r w:rsidR="008A3714">
        <w:rPr>
          <w:lang w:val="en-NZ"/>
        </w:rPr>
        <w:t>imately</w:t>
      </w:r>
      <w:r>
        <w:rPr>
          <w:lang w:val="en-NZ"/>
        </w:rPr>
        <w:t xml:space="preserve"> $2</w:t>
      </w:r>
      <w:r w:rsidR="009D2A3C">
        <w:rPr>
          <w:lang w:val="en-NZ"/>
        </w:rPr>
        <w:t>4.5</w:t>
      </w:r>
      <w:r>
        <w:rPr>
          <w:lang w:val="en-NZ"/>
        </w:rPr>
        <w:t xml:space="preserve"> million over </w:t>
      </w:r>
      <w:r w:rsidR="00D358C0">
        <w:rPr>
          <w:lang w:val="en-NZ"/>
        </w:rPr>
        <w:t>8</w:t>
      </w:r>
      <w:r>
        <w:rPr>
          <w:lang w:val="en-NZ"/>
        </w:rPr>
        <w:t xml:space="preserve"> years</w:t>
      </w:r>
      <w:r w:rsidR="00D358C0">
        <w:rPr>
          <w:lang w:val="en-NZ"/>
        </w:rPr>
        <w:t xml:space="preserve"> (including 2022)</w:t>
      </w:r>
      <w:r>
        <w:rPr>
          <w:lang w:val="en-NZ"/>
        </w:rPr>
        <w:t xml:space="preserve">. Half the </w:t>
      </w:r>
      <w:r w:rsidR="00E71BB1">
        <w:rPr>
          <w:lang w:val="en-NZ"/>
        </w:rPr>
        <w:t xml:space="preserve">budget </w:t>
      </w:r>
      <w:r>
        <w:rPr>
          <w:lang w:val="en-NZ"/>
        </w:rPr>
        <w:t xml:space="preserve">cost is </w:t>
      </w:r>
      <w:r w:rsidR="00C64161">
        <w:rPr>
          <w:lang w:val="en-NZ"/>
        </w:rPr>
        <w:t xml:space="preserve">for the </w:t>
      </w:r>
      <w:r>
        <w:rPr>
          <w:lang w:val="en-NZ"/>
        </w:rPr>
        <w:t>e</w:t>
      </w:r>
      <w:r w:rsidR="00C64161">
        <w:rPr>
          <w:lang w:val="en-NZ"/>
        </w:rPr>
        <w:t>P</w:t>
      </w:r>
      <w:r>
        <w:rPr>
          <w:lang w:val="en-NZ"/>
        </w:rPr>
        <w:t>hyto</w:t>
      </w:r>
      <w:r w:rsidR="00C64161">
        <w:rPr>
          <w:lang w:val="en-NZ"/>
        </w:rPr>
        <w:t xml:space="preserve"> Solution</w:t>
      </w:r>
      <w:r>
        <w:rPr>
          <w:lang w:val="en-NZ"/>
        </w:rPr>
        <w:t xml:space="preserve"> for which a sustainable funding </w:t>
      </w:r>
      <w:r w:rsidR="00C64161">
        <w:rPr>
          <w:lang w:val="en-NZ"/>
        </w:rPr>
        <w:t>mechanism</w:t>
      </w:r>
      <w:r>
        <w:rPr>
          <w:lang w:val="en-NZ"/>
        </w:rPr>
        <w:t xml:space="preserve"> is being developed.</w:t>
      </w:r>
    </w:p>
    <w:p w14:paraId="5112D553" w14:textId="514A7EAF" w:rsidR="00C95F66" w:rsidRDefault="00C95F66" w:rsidP="00C95F66">
      <w:pPr>
        <w:rPr>
          <w:lang w:val="en-NZ"/>
        </w:rPr>
      </w:pPr>
      <w:r>
        <w:rPr>
          <w:lang w:val="en-NZ"/>
        </w:rPr>
        <w:t>Annually the cost of the programme ranges from $1.0 – 1.8 million per annum</w:t>
      </w:r>
      <w:r w:rsidR="00E71BB1">
        <w:rPr>
          <w:lang w:val="en-NZ"/>
        </w:rPr>
        <w:t xml:space="preserve"> (excluding </w:t>
      </w:r>
      <w:r w:rsidR="00AE6471">
        <w:rPr>
          <w:lang w:val="en-NZ"/>
        </w:rPr>
        <w:t xml:space="preserve">the </w:t>
      </w:r>
      <w:r w:rsidR="00E71BB1">
        <w:rPr>
          <w:lang w:val="en-NZ"/>
        </w:rPr>
        <w:t>ePhyto</w:t>
      </w:r>
      <w:r w:rsidR="00AE6471">
        <w:rPr>
          <w:lang w:val="en-NZ"/>
        </w:rPr>
        <w:t xml:space="preserve"> Solution)</w:t>
      </w:r>
      <w:r>
        <w:rPr>
          <w:lang w:val="en-NZ"/>
        </w:rPr>
        <w:t>.</w:t>
      </w:r>
    </w:p>
    <w:p w14:paraId="6BCCC91F" w14:textId="77777777" w:rsidR="00B82B57" w:rsidRPr="00D87E6F" w:rsidRDefault="00B82B57" w:rsidP="00B82B57">
      <w:pPr>
        <w:rPr>
          <w:rFonts w:eastAsiaTheme="majorEastAsia" w:cstheme="minorHAnsi"/>
        </w:rPr>
      </w:pPr>
      <w:r w:rsidRPr="00D87E6F">
        <w:rPr>
          <w:rFonts w:eastAsiaTheme="majorEastAsia" w:cstheme="minorHAnsi"/>
        </w:rPr>
        <w:t>It CPM chooses to proceed with implementation at the pace proposed</w:t>
      </w:r>
      <w:r>
        <w:rPr>
          <w:rFonts w:eastAsiaTheme="majorEastAsia" w:cstheme="minorHAnsi"/>
        </w:rPr>
        <w:t>,</w:t>
      </w:r>
      <w:r w:rsidRPr="00D87E6F">
        <w:rPr>
          <w:rFonts w:eastAsiaTheme="majorEastAsia" w:cstheme="minorHAnsi"/>
        </w:rPr>
        <w:t xml:space="preserve"> additional resources will need to be mobilized.</w:t>
      </w:r>
      <w:r>
        <w:rPr>
          <w:rFonts w:eastAsiaTheme="majorEastAsia" w:cstheme="minorHAnsi"/>
        </w:rPr>
        <w:t xml:space="preserve">  Resource mobilization planning for each SFDAI should be part of the Scope &amp; Plan phase.  Projects should not proceed to Delivery phase until sufficient resources have been secured to support delivery.</w:t>
      </w:r>
    </w:p>
    <w:p w14:paraId="31EAF07E" w14:textId="4FA50FED" w:rsidR="00B82B57" w:rsidRDefault="004212B8" w:rsidP="00C95F66">
      <w:pPr>
        <w:rPr>
          <w:lang w:val="en-NZ"/>
        </w:rPr>
      </w:pPr>
      <w:r w:rsidRPr="004212B8">
        <w:rPr>
          <w:noProof/>
        </w:rPr>
        <w:lastRenderedPageBreak/>
        <w:drawing>
          <wp:inline distT="0" distB="0" distL="0" distR="0" wp14:anchorId="0A31F018" wp14:editId="1CE96098">
            <wp:extent cx="5943600" cy="6282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282690"/>
                    </a:xfrm>
                    <a:prstGeom prst="rect">
                      <a:avLst/>
                    </a:prstGeom>
                    <a:noFill/>
                    <a:ln>
                      <a:noFill/>
                    </a:ln>
                  </pic:spPr>
                </pic:pic>
              </a:graphicData>
            </a:graphic>
          </wp:inline>
        </w:drawing>
      </w:r>
    </w:p>
    <w:p w14:paraId="5A8EB94D" w14:textId="083322BE" w:rsidR="00C95F66" w:rsidRDefault="003346BD" w:rsidP="00C95F66">
      <w:pPr>
        <w:rPr>
          <w:lang w:val="en-NZ"/>
        </w:rPr>
      </w:pPr>
      <w:r w:rsidRPr="009E0B92">
        <w:rPr>
          <w:b/>
          <w:bCs/>
          <w:lang w:val="en-NZ"/>
        </w:rPr>
        <w:t>Figure 3:</w:t>
      </w:r>
      <w:r>
        <w:rPr>
          <w:lang w:val="en-NZ"/>
        </w:rPr>
        <w:t xml:space="preserve"> </w:t>
      </w:r>
      <w:r w:rsidR="009E0B92">
        <w:rPr>
          <w:lang w:val="en-NZ"/>
        </w:rPr>
        <w:t>Summary of proposed</w:t>
      </w:r>
      <w:r w:rsidR="004212B8">
        <w:rPr>
          <w:lang w:val="en-NZ"/>
        </w:rPr>
        <w:t xml:space="preserve"> </w:t>
      </w:r>
      <w:r w:rsidR="009E0B92">
        <w:rPr>
          <w:lang w:val="en-NZ"/>
        </w:rPr>
        <w:t>implementation budget</w:t>
      </w:r>
    </w:p>
    <w:p w14:paraId="64D30516" w14:textId="77777777" w:rsidR="00C95F66" w:rsidRDefault="00C95F66" w:rsidP="00C95F66">
      <w:pPr>
        <w:rPr>
          <w:lang w:val="en-NZ"/>
        </w:rPr>
      </w:pPr>
    </w:p>
    <w:p w14:paraId="6FA36FCE" w14:textId="7C3BA4A2" w:rsidR="00EC4B6C" w:rsidRDefault="00EC4B6C" w:rsidP="00EC4B6C">
      <w:pPr>
        <w:pStyle w:val="Heading1"/>
        <w:rPr>
          <w:lang w:val="en-NZ"/>
        </w:rPr>
      </w:pPr>
      <w:bookmarkStart w:id="6" w:name="_Toc114566366"/>
      <w:r w:rsidRPr="0095511E">
        <w:rPr>
          <w:lang w:val="en-NZ"/>
        </w:rPr>
        <w:t xml:space="preserve">Monitoring &amp; Evaluation </w:t>
      </w:r>
      <w:r>
        <w:rPr>
          <w:lang w:val="en-NZ"/>
        </w:rPr>
        <w:t>Framework</w:t>
      </w:r>
      <w:bookmarkEnd w:id="6"/>
    </w:p>
    <w:p w14:paraId="1727E7CB" w14:textId="77777777" w:rsidR="00F40CC2" w:rsidRPr="00F40CC2" w:rsidRDefault="00F40CC2" w:rsidP="00F40CC2">
      <w:pPr>
        <w:rPr>
          <w:lang w:val="en-NZ"/>
        </w:rPr>
      </w:pPr>
    </w:p>
    <w:p w14:paraId="6C05363B" w14:textId="77777777" w:rsidR="00EC4B6C" w:rsidRPr="00573DB9" w:rsidRDefault="00EC4B6C" w:rsidP="00EC4B6C">
      <w:pPr>
        <w:pStyle w:val="Heading2"/>
        <w:rPr>
          <w:sz w:val="28"/>
          <w:szCs w:val="28"/>
          <w:lang w:val="en-NZ"/>
        </w:rPr>
      </w:pPr>
      <w:bookmarkStart w:id="7" w:name="_Toc114566367"/>
      <w:r w:rsidRPr="00573DB9">
        <w:rPr>
          <w:lang w:val="en-NZ"/>
        </w:rPr>
        <w:t>Governance</w:t>
      </w:r>
      <w:bookmarkEnd w:id="7"/>
    </w:p>
    <w:p w14:paraId="1EFE7424" w14:textId="77777777" w:rsidR="00EC4B6C" w:rsidRDefault="00EC4B6C" w:rsidP="00EC4B6C">
      <w:pPr>
        <w:rPr>
          <w:lang w:val="en-GB"/>
        </w:rPr>
      </w:pPr>
      <w:r>
        <w:rPr>
          <w:lang w:val="en-NZ"/>
        </w:rPr>
        <w:t>Ownership of the overarching implementation plan for the Strategic Framework development agenda items rests with the Commission of Phytosanitary Measures (CPM)</w:t>
      </w:r>
      <w:r>
        <w:rPr>
          <w:lang w:val="en-GB"/>
        </w:rPr>
        <w:t>.</w:t>
      </w:r>
    </w:p>
    <w:p w14:paraId="22BA428D" w14:textId="0CF51992" w:rsidR="00EC4B6C" w:rsidRDefault="00EC4B6C" w:rsidP="00EC4B6C">
      <w:pPr>
        <w:rPr>
          <w:lang w:val="en-NZ"/>
        </w:rPr>
      </w:pPr>
      <w:r>
        <w:rPr>
          <w:lang w:val="en-GB"/>
        </w:rPr>
        <w:lastRenderedPageBreak/>
        <w:t xml:space="preserve">As the CPM’s executive body, </w:t>
      </w:r>
      <w:r w:rsidR="00B97D54">
        <w:rPr>
          <w:lang w:val="en-GB"/>
        </w:rPr>
        <w:t xml:space="preserve">between CPM meetings, </w:t>
      </w:r>
      <w:r>
        <w:rPr>
          <w:lang w:val="en-GB"/>
        </w:rPr>
        <w:t xml:space="preserve">the CPM Bureau will provide oversight and strategic direction for the overarching implementation plan. </w:t>
      </w:r>
    </w:p>
    <w:p w14:paraId="5E97DAE9" w14:textId="19E15E6C" w:rsidR="00EC4B6C" w:rsidRDefault="00EC4B6C" w:rsidP="00EC4B6C">
      <w:pPr>
        <w:rPr>
          <w:lang w:val="en-NZ"/>
        </w:rPr>
      </w:pPr>
      <w:r>
        <w:rPr>
          <w:lang w:val="en-NZ"/>
        </w:rPr>
        <w:t>The Standards Committee (SC) and the Implementation and Capacity Development Committee (IC) will report to the CPM Bureau on the development agenda items and will help to coordinate their activities. The SC will be responsible for commodity and pathway specific ISPMs and the IC will be responsible for e-commerce, third party entities, pest outbreak alert and response system, climate change, global phytosanitary research coordination and diagnostic networking. The CPM Bureau will be responsible for e-phyto.</w:t>
      </w:r>
    </w:p>
    <w:p w14:paraId="02B605A0" w14:textId="77777777" w:rsidR="00EC4B6C" w:rsidRDefault="00EC4B6C" w:rsidP="00EC4B6C">
      <w:pPr>
        <w:rPr>
          <w:lang w:val="en-NZ"/>
        </w:rPr>
      </w:pPr>
      <w:r>
        <w:rPr>
          <w:lang w:val="en-NZ"/>
        </w:rPr>
        <w:t>Each development agenda item will have its own implementation group as follows:</w:t>
      </w:r>
    </w:p>
    <w:p w14:paraId="1C026A99" w14:textId="1939A9DD" w:rsidR="00EC4B6C" w:rsidRPr="0088603A" w:rsidRDefault="00EC4B6C" w:rsidP="00EC4B6C">
      <w:pPr>
        <w:pStyle w:val="ListParagraph"/>
        <w:numPr>
          <w:ilvl w:val="0"/>
          <w:numId w:val="13"/>
        </w:numPr>
        <w:rPr>
          <w:lang w:val="en-NZ"/>
        </w:rPr>
      </w:pPr>
      <w:r w:rsidRPr="0088603A">
        <w:rPr>
          <w:b/>
          <w:bCs/>
        </w:rPr>
        <w:t>Harmonization of electronic data exchange</w:t>
      </w:r>
      <w:r>
        <w:rPr>
          <w:b/>
          <w:bCs/>
        </w:rPr>
        <w:t xml:space="preserve"> </w:t>
      </w:r>
      <w:r>
        <w:t xml:space="preserve">– the E-phyto Steering Group, which </w:t>
      </w:r>
      <w:r>
        <w:rPr>
          <w:lang w:val="en-GB"/>
        </w:rPr>
        <w:t>p</w:t>
      </w:r>
      <w:r w:rsidRPr="0088603A">
        <w:rPr>
          <w:lang w:val="en-GB"/>
        </w:rPr>
        <w:t>rovid</w:t>
      </w:r>
      <w:r>
        <w:rPr>
          <w:lang w:val="en-GB"/>
        </w:rPr>
        <w:t>es</w:t>
      </w:r>
      <w:r w:rsidRPr="0088603A">
        <w:rPr>
          <w:lang w:val="en-GB"/>
        </w:rPr>
        <w:t xml:space="preserve"> guidance and advice on IPPC efforts to facilitate the international exchange of electronic phytosanitary information among contracting parties</w:t>
      </w:r>
      <w:r w:rsidR="00DC7351">
        <w:rPr>
          <w:lang w:val="en-GB"/>
        </w:rPr>
        <w:t>.</w:t>
      </w:r>
    </w:p>
    <w:p w14:paraId="23C02E27" w14:textId="77777777" w:rsidR="00EC4B6C" w:rsidRPr="0088603A" w:rsidRDefault="00EC4B6C" w:rsidP="00EC4B6C">
      <w:pPr>
        <w:pStyle w:val="ListParagraph"/>
        <w:rPr>
          <w:lang w:val="en-NZ"/>
        </w:rPr>
      </w:pPr>
    </w:p>
    <w:p w14:paraId="1EB74BFC" w14:textId="54363E41" w:rsidR="00EC4B6C" w:rsidRPr="0088603A" w:rsidRDefault="00EC4B6C" w:rsidP="00EC4B6C">
      <w:pPr>
        <w:pStyle w:val="ListParagraph"/>
        <w:numPr>
          <w:ilvl w:val="0"/>
          <w:numId w:val="13"/>
        </w:numPr>
        <w:rPr>
          <w:lang w:val="en-NZ"/>
        </w:rPr>
      </w:pPr>
      <w:r w:rsidRPr="0088603A">
        <w:rPr>
          <w:b/>
          <w:bCs/>
        </w:rPr>
        <w:t>Commodity</w:t>
      </w:r>
      <w:r w:rsidRPr="0088603A">
        <w:rPr>
          <w:b/>
          <w:bCs/>
          <w:lang w:val="en-NZ"/>
        </w:rPr>
        <w:t>- and pathway-specific ISPMS</w:t>
      </w:r>
      <w:r>
        <w:rPr>
          <w:lang w:val="en-NZ"/>
        </w:rPr>
        <w:t xml:space="preserve"> – the Technical Panel on Commodity Standards (TPCS), which </w:t>
      </w:r>
      <w:r>
        <w:rPr>
          <w:lang w:val="en-GB"/>
        </w:rPr>
        <w:t>d</w:t>
      </w:r>
      <w:r w:rsidRPr="0088603A">
        <w:rPr>
          <w:lang w:val="en-GB"/>
        </w:rPr>
        <w:t>evelops and updates commodity standards within the framework of the concept standard and develops guidance on related aspects</w:t>
      </w:r>
      <w:r w:rsidR="00DC7351">
        <w:rPr>
          <w:lang w:val="en-GB"/>
        </w:rPr>
        <w:t>.</w:t>
      </w:r>
    </w:p>
    <w:p w14:paraId="78EAD6C3" w14:textId="77777777" w:rsidR="00EC4B6C" w:rsidRPr="0088603A" w:rsidRDefault="00EC4B6C" w:rsidP="00EC4B6C">
      <w:pPr>
        <w:pStyle w:val="ListParagraph"/>
        <w:rPr>
          <w:lang w:val="en-NZ"/>
        </w:rPr>
      </w:pPr>
    </w:p>
    <w:p w14:paraId="643DFD56" w14:textId="1220DC00" w:rsidR="00EC4B6C" w:rsidRPr="0058555A" w:rsidRDefault="00EC4B6C" w:rsidP="00EC4B6C">
      <w:pPr>
        <w:pStyle w:val="ListParagraph"/>
        <w:numPr>
          <w:ilvl w:val="0"/>
          <w:numId w:val="13"/>
        </w:numPr>
        <w:rPr>
          <w:lang w:val="en-NZ"/>
        </w:rPr>
      </w:pPr>
      <w:r w:rsidRPr="00FC2D7D">
        <w:rPr>
          <w:b/>
          <w:bCs/>
        </w:rPr>
        <w:t>Management of e-commerce and postal and courier pathways</w:t>
      </w:r>
      <w:r>
        <w:rPr>
          <w:b/>
          <w:bCs/>
        </w:rPr>
        <w:t xml:space="preserve"> – </w:t>
      </w:r>
      <w:r>
        <w:t>The IC team on e-commerce, which helps to guide the work on e-commerce</w:t>
      </w:r>
      <w:r w:rsidR="00ED3958">
        <w:t>.</w:t>
      </w:r>
    </w:p>
    <w:p w14:paraId="392CA7E1" w14:textId="77777777" w:rsidR="00EC4B6C" w:rsidRDefault="00EC4B6C" w:rsidP="00EC4B6C">
      <w:pPr>
        <w:pStyle w:val="ListParagraph"/>
      </w:pPr>
    </w:p>
    <w:p w14:paraId="01314233" w14:textId="11A4A433" w:rsidR="00EC4B6C" w:rsidRPr="0058555A" w:rsidRDefault="00EC4B6C" w:rsidP="00EC4B6C">
      <w:pPr>
        <w:pStyle w:val="ListParagraph"/>
        <w:numPr>
          <w:ilvl w:val="0"/>
          <w:numId w:val="13"/>
        </w:numPr>
        <w:rPr>
          <w:lang w:val="en-NZ"/>
        </w:rPr>
      </w:pPr>
      <w:r w:rsidRPr="0058555A">
        <w:rPr>
          <w:b/>
          <w:bCs/>
        </w:rPr>
        <w:t>Developing guidance on the use of third-party entities</w:t>
      </w:r>
      <w:r>
        <w:rPr>
          <w:b/>
          <w:bCs/>
        </w:rPr>
        <w:t xml:space="preserve"> </w:t>
      </w:r>
      <w:r>
        <w:t>– the IC team on developing guidance on the use of third-party entities</w:t>
      </w:r>
      <w:r w:rsidR="00ED3958">
        <w:t>.</w:t>
      </w:r>
    </w:p>
    <w:p w14:paraId="59C561BD" w14:textId="77777777" w:rsidR="00EC4B6C" w:rsidRPr="0058555A" w:rsidRDefault="00EC4B6C" w:rsidP="00EC4B6C">
      <w:pPr>
        <w:pStyle w:val="ListParagraph"/>
        <w:rPr>
          <w:lang w:val="en-NZ"/>
        </w:rPr>
      </w:pPr>
    </w:p>
    <w:p w14:paraId="044366E2" w14:textId="743BF4D7" w:rsidR="00EC4B6C" w:rsidRPr="00451FFD" w:rsidRDefault="00EC4B6C" w:rsidP="00EC4B6C">
      <w:pPr>
        <w:pStyle w:val="ListParagraph"/>
        <w:numPr>
          <w:ilvl w:val="0"/>
          <w:numId w:val="13"/>
        </w:numPr>
        <w:rPr>
          <w:lang w:val="en-NZ"/>
        </w:rPr>
      </w:pPr>
      <w:r w:rsidRPr="0058555A">
        <w:rPr>
          <w:b/>
          <w:bCs/>
        </w:rPr>
        <w:t>Strengthening pest outbreak alert and response systems</w:t>
      </w:r>
      <w:r>
        <w:rPr>
          <w:b/>
          <w:bCs/>
        </w:rPr>
        <w:t xml:space="preserve"> </w:t>
      </w:r>
      <w:r>
        <w:t xml:space="preserve">– the POARS Steering Group, which </w:t>
      </w:r>
      <w:r w:rsidRPr="0058555A">
        <w:t>will provide coordination, guidance and advice on IPPC actions to develop and implement a Global Pest Outbreak Alert and Response System, avoiding duplication and building synergies with other systems</w:t>
      </w:r>
      <w:r w:rsidR="00ED3958">
        <w:t>.</w:t>
      </w:r>
    </w:p>
    <w:p w14:paraId="28CE952A" w14:textId="77777777" w:rsidR="00EC4B6C" w:rsidRPr="00451FFD" w:rsidRDefault="00EC4B6C" w:rsidP="00EC4B6C">
      <w:pPr>
        <w:pStyle w:val="ListParagraph"/>
        <w:rPr>
          <w:lang w:val="en-NZ"/>
        </w:rPr>
      </w:pPr>
    </w:p>
    <w:p w14:paraId="183D346B" w14:textId="2AD549C7" w:rsidR="00EC4B6C" w:rsidRPr="00451FFD" w:rsidRDefault="00EC4B6C" w:rsidP="00EC4B6C">
      <w:pPr>
        <w:pStyle w:val="ListParagraph"/>
        <w:numPr>
          <w:ilvl w:val="0"/>
          <w:numId w:val="13"/>
        </w:numPr>
        <w:rPr>
          <w:lang w:val="en-NZ"/>
        </w:rPr>
      </w:pPr>
      <w:r w:rsidRPr="00451FFD">
        <w:rPr>
          <w:b/>
          <w:bCs/>
        </w:rPr>
        <w:t>Assessment and management of climate change impacts on plant health</w:t>
      </w:r>
      <w:r>
        <w:rPr>
          <w:b/>
          <w:bCs/>
        </w:rPr>
        <w:t xml:space="preserve"> </w:t>
      </w:r>
      <w:r>
        <w:t xml:space="preserve">- </w:t>
      </w:r>
      <w:r w:rsidRPr="00451FFD">
        <w:t xml:space="preserve">The </w:t>
      </w:r>
      <w:r>
        <w:t>CPM Focus Group on Climate Change and Phytosanitary Issues, which</w:t>
      </w:r>
      <w:r w:rsidRPr="00451FFD">
        <w:t xml:space="preserve"> will coordinate the development and support the implementation of the IPPC’s action plan on climate change</w:t>
      </w:r>
      <w:r>
        <w:t xml:space="preserve"> to</w:t>
      </w:r>
      <w:r w:rsidRPr="00451FFD">
        <w:t xml:space="preserve"> 1) raise awareness of the impacts of climate change on plant health; 2) enhance evaluation and management of risks of climate change to plant health and 3) enhance the adequate recognition of phytosanitary matters in the international climate change debate</w:t>
      </w:r>
      <w:r w:rsidR="0057351F">
        <w:t>.</w:t>
      </w:r>
    </w:p>
    <w:p w14:paraId="7F109D45" w14:textId="77777777" w:rsidR="00EC4B6C" w:rsidRPr="00451FFD" w:rsidRDefault="00EC4B6C" w:rsidP="00EC4B6C">
      <w:pPr>
        <w:pStyle w:val="ListParagraph"/>
        <w:rPr>
          <w:lang w:val="en-NZ"/>
        </w:rPr>
      </w:pPr>
    </w:p>
    <w:p w14:paraId="3B6E6D4F" w14:textId="0CB8A359" w:rsidR="00EC4B6C" w:rsidRPr="00451FFD" w:rsidRDefault="00EC4B6C" w:rsidP="00EC4B6C">
      <w:pPr>
        <w:pStyle w:val="ListParagraph"/>
        <w:numPr>
          <w:ilvl w:val="0"/>
          <w:numId w:val="13"/>
        </w:numPr>
        <w:rPr>
          <w:lang w:val="en-NZ"/>
        </w:rPr>
      </w:pPr>
      <w:r w:rsidRPr="00451FFD">
        <w:rPr>
          <w:b/>
          <w:bCs/>
        </w:rPr>
        <w:t>Global phytosanitary research coordination</w:t>
      </w:r>
      <w:r>
        <w:rPr>
          <w:b/>
          <w:bCs/>
        </w:rPr>
        <w:t xml:space="preserve"> </w:t>
      </w:r>
      <w:r>
        <w:t xml:space="preserve">– </w:t>
      </w:r>
      <w:r w:rsidR="0057351F">
        <w:t>a</w:t>
      </w:r>
      <w:r>
        <w:t xml:space="preserve"> CPM Focus Group on Global Phytosanitary Research Coordination (yet to be established)</w:t>
      </w:r>
      <w:r w:rsidR="0057351F">
        <w:t>.</w:t>
      </w:r>
    </w:p>
    <w:p w14:paraId="16643250" w14:textId="77777777" w:rsidR="00EC4B6C" w:rsidRPr="00451FFD" w:rsidRDefault="00EC4B6C" w:rsidP="00EC4B6C">
      <w:pPr>
        <w:pStyle w:val="ListParagraph"/>
        <w:rPr>
          <w:lang w:val="en-NZ"/>
        </w:rPr>
      </w:pPr>
    </w:p>
    <w:p w14:paraId="1CEAECE6" w14:textId="26A0C142" w:rsidR="00EC4B6C" w:rsidRPr="00930E3A" w:rsidRDefault="00EC4B6C" w:rsidP="00EC4B6C">
      <w:pPr>
        <w:pStyle w:val="ListParagraph"/>
        <w:numPr>
          <w:ilvl w:val="0"/>
          <w:numId w:val="13"/>
        </w:numPr>
        <w:rPr>
          <w:lang w:val="en-NZ"/>
        </w:rPr>
      </w:pPr>
      <w:r w:rsidRPr="00451FFD">
        <w:rPr>
          <w:b/>
          <w:bCs/>
          <w:lang w:val="en-NZ"/>
        </w:rPr>
        <w:t>Diagnostic laboratory networking</w:t>
      </w:r>
      <w:r>
        <w:rPr>
          <w:lang w:val="en-NZ"/>
        </w:rPr>
        <w:t xml:space="preserve"> – </w:t>
      </w:r>
      <w:r w:rsidR="0057351F">
        <w:rPr>
          <w:lang w:val="en-NZ"/>
        </w:rPr>
        <w:t>a</w:t>
      </w:r>
      <w:r>
        <w:rPr>
          <w:lang w:val="en-NZ"/>
        </w:rPr>
        <w:t xml:space="preserve"> CPM Focus Group on Diagnostic Laboratory Networking (yet to be established)</w:t>
      </w:r>
      <w:r w:rsidR="0057351F">
        <w:rPr>
          <w:lang w:val="en-NZ"/>
        </w:rPr>
        <w:t>.</w:t>
      </w:r>
    </w:p>
    <w:p w14:paraId="7B8EF21E" w14:textId="7BC39D2B" w:rsidR="00EC4B6C" w:rsidRDefault="00EC4B6C" w:rsidP="00EC4B6C">
      <w:pPr>
        <w:rPr>
          <w:lang w:val="en-NZ"/>
        </w:rPr>
      </w:pPr>
      <w:r>
        <w:rPr>
          <w:lang w:val="en-NZ"/>
        </w:rPr>
        <w:t xml:space="preserve">Each of these groups will be led by a member of a contracting party and will be supported by </w:t>
      </w:r>
      <w:r w:rsidR="006E4BA4">
        <w:rPr>
          <w:lang w:val="en-NZ"/>
        </w:rPr>
        <w:t>one or more</w:t>
      </w:r>
      <w:r>
        <w:rPr>
          <w:lang w:val="en-NZ"/>
        </w:rPr>
        <w:t xml:space="preserve"> member</w:t>
      </w:r>
      <w:r w:rsidR="006E4BA4">
        <w:rPr>
          <w:lang w:val="en-NZ"/>
        </w:rPr>
        <w:t>s</w:t>
      </w:r>
      <w:r>
        <w:rPr>
          <w:lang w:val="en-NZ"/>
        </w:rPr>
        <w:t xml:space="preserve"> of the IPPC Secretariat. The groups will be responsible for developing monitoring and </w:t>
      </w:r>
      <w:r>
        <w:rPr>
          <w:lang w:val="en-NZ"/>
        </w:rPr>
        <w:lastRenderedPageBreak/>
        <w:t xml:space="preserve">evaluation plans for their respective development agenda items. </w:t>
      </w:r>
      <w:r w:rsidR="005528E8">
        <w:rPr>
          <w:lang w:val="en-NZ"/>
        </w:rPr>
        <w:t xml:space="preserve">The IPPC Secretariat will be responsible for coordinating </w:t>
      </w:r>
      <w:r w:rsidR="00A00889">
        <w:rPr>
          <w:lang w:val="en-NZ"/>
        </w:rPr>
        <w:t>development of monitoring and evaluation plans and reporting results to CPM.</w:t>
      </w:r>
    </w:p>
    <w:p w14:paraId="35EB5C70" w14:textId="0F6575D1" w:rsidR="00EC4B6C" w:rsidRDefault="00EC4B6C" w:rsidP="00EC4B6C">
      <w:pPr>
        <w:rPr>
          <w:lang w:val="en-NZ"/>
        </w:rPr>
      </w:pPr>
      <w:r>
        <w:rPr>
          <w:lang w:val="en-NZ"/>
        </w:rPr>
        <w:t xml:space="preserve">See Figure </w:t>
      </w:r>
      <w:r w:rsidR="007635E1">
        <w:rPr>
          <w:lang w:val="en-NZ"/>
        </w:rPr>
        <w:t>4</w:t>
      </w:r>
      <w:r>
        <w:rPr>
          <w:lang w:val="en-NZ"/>
        </w:rPr>
        <w:t xml:space="preserve"> for reporting lines.</w:t>
      </w:r>
    </w:p>
    <w:p w14:paraId="21461220" w14:textId="77777777" w:rsidR="00EC4B6C" w:rsidRDefault="00EC4B6C" w:rsidP="00EC4B6C">
      <w:pPr>
        <w:rPr>
          <w:lang w:val="en-NZ"/>
        </w:rPr>
      </w:pPr>
      <w:r w:rsidRPr="008A5F89">
        <w:rPr>
          <w:noProof/>
        </w:rPr>
        <w:drawing>
          <wp:inline distT="0" distB="0" distL="0" distR="0" wp14:anchorId="58E36346" wp14:editId="266466C6">
            <wp:extent cx="5943600" cy="334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0100"/>
                    </a:xfrm>
                    <a:prstGeom prst="rect">
                      <a:avLst/>
                    </a:prstGeom>
                  </pic:spPr>
                </pic:pic>
              </a:graphicData>
            </a:graphic>
          </wp:inline>
        </w:drawing>
      </w:r>
    </w:p>
    <w:p w14:paraId="18321C83" w14:textId="275DB3DD" w:rsidR="00EC4B6C" w:rsidRDefault="00EC4B6C" w:rsidP="00EC4B6C">
      <w:pPr>
        <w:rPr>
          <w:lang w:val="en-NZ"/>
        </w:rPr>
      </w:pPr>
      <w:r w:rsidRPr="00DC60B1">
        <w:rPr>
          <w:b/>
          <w:bCs/>
          <w:lang w:val="en-NZ"/>
        </w:rPr>
        <w:t xml:space="preserve">Figure </w:t>
      </w:r>
      <w:r w:rsidR="007635E1">
        <w:rPr>
          <w:b/>
          <w:bCs/>
          <w:lang w:val="en-NZ"/>
        </w:rPr>
        <w:t>4</w:t>
      </w:r>
      <w:r w:rsidR="00E00776">
        <w:rPr>
          <w:b/>
          <w:bCs/>
          <w:lang w:val="en-NZ"/>
        </w:rPr>
        <w:t>:</w:t>
      </w:r>
      <w:r w:rsidRPr="00DC60B1">
        <w:rPr>
          <w:lang w:val="en-NZ"/>
        </w:rPr>
        <w:t xml:space="preserve"> Governance structure and reporting lines for the overarching implementation plan for the Strategic Framework development agenda items.</w:t>
      </w:r>
    </w:p>
    <w:p w14:paraId="557C7A9F" w14:textId="77777777" w:rsidR="00EC4B6C" w:rsidRPr="0095511E" w:rsidRDefault="00EC4B6C" w:rsidP="00EC4B6C">
      <w:pPr>
        <w:pStyle w:val="Heading2"/>
        <w:rPr>
          <w:sz w:val="32"/>
          <w:szCs w:val="32"/>
          <w:lang w:val="en-NZ"/>
        </w:rPr>
      </w:pPr>
      <w:bookmarkStart w:id="8" w:name="_Toc114566368"/>
      <w:r>
        <w:rPr>
          <w:lang w:val="en-NZ"/>
        </w:rPr>
        <w:t>Review</w:t>
      </w:r>
      <w:bookmarkEnd w:id="8"/>
    </w:p>
    <w:p w14:paraId="237905F9" w14:textId="188DC161" w:rsidR="00EC4B6C" w:rsidRDefault="00EC4B6C" w:rsidP="00EC4B6C">
      <w:pPr>
        <w:rPr>
          <w:lang w:val="en-NZ"/>
        </w:rPr>
      </w:pPr>
      <w:r>
        <w:rPr>
          <w:lang w:val="en-NZ"/>
        </w:rPr>
        <w:t xml:space="preserve">To ensure the overarching implementation plan is progressing well and remains fit for purpose, the plan </w:t>
      </w:r>
      <w:r w:rsidR="00BF1DD7">
        <w:rPr>
          <w:lang w:val="en-NZ"/>
        </w:rPr>
        <w:t>will</w:t>
      </w:r>
      <w:r>
        <w:rPr>
          <w:lang w:val="en-NZ"/>
        </w:rPr>
        <w:t xml:space="preserve"> be reviewed on a regular basis. These reviews should include plan refreshes prior to the start of each FAO bienni</w:t>
      </w:r>
      <w:r w:rsidR="00BF1DD7">
        <w:rPr>
          <w:lang w:val="en-NZ"/>
        </w:rPr>
        <w:t>um</w:t>
      </w:r>
      <w:r>
        <w:rPr>
          <w:lang w:val="en-NZ"/>
        </w:rPr>
        <w:t xml:space="preserve"> and a more substantial review half-way through the Strategic Framework period.</w:t>
      </w:r>
    </w:p>
    <w:p w14:paraId="74E6DD9F" w14:textId="77777777" w:rsidR="00EC4B6C" w:rsidRDefault="00EC4B6C" w:rsidP="00EC4B6C">
      <w:pPr>
        <w:rPr>
          <w:lang w:val="en-NZ"/>
        </w:rPr>
      </w:pPr>
      <w:r>
        <w:rPr>
          <w:lang w:val="en-NZ"/>
        </w:rPr>
        <w:t>The plan refreshes should be carried out for each development agenda item by the respective implementation group. These refreshes will allow the progress of the development agenda items to be tracked and will provide the opportunity to develop more detailed short- and medium-term plans for subsequent years. By holding these refreshes prior to each FAO biennia, it will allow for any changes in funding and resources to be considered prior to the finalisation of the budget. The FAO biennia for the period of the implementation plan are 2022-23, 24-25, 26-27, 28-29 and 30-31. Any significant changes to funding and resources identified by an implementation group should be raised with the responsible group (SC or IC) and CPM Bureau as appropriate.</w:t>
      </w:r>
    </w:p>
    <w:p w14:paraId="57D1177E" w14:textId="209C15F4" w:rsidR="00EC4B6C" w:rsidRDefault="00EC4B6C" w:rsidP="00EC4B6C">
      <w:pPr>
        <w:rPr>
          <w:lang w:val="en-NZ"/>
        </w:rPr>
      </w:pPr>
      <w:r>
        <w:rPr>
          <w:lang w:val="en-NZ"/>
        </w:rPr>
        <w:t xml:space="preserve">The more substantive review carried out half-way through the Strategic Framework period will be carried out by the CPM Bureau in 2025. In addition to assessing the progress of the development agenda items, this review will consider all development agenda items together and will identify where further sequencing of activities is required and whether there are </w:t>
      </w:r>
      <w:r w:rsidR="006014E1">
        <w:rPr>
          <w:lang w:val="en-NZ"/>
        </w:rPr>
        <w:t>areas of interest</w:t>
      </w:r>
      <w:r>
        <w:rPr>
          <w:lang w:val="en-NZ"/>
        </w:rPr>
        <w:t xml:space="preserve"> that should be </w:t>
      </w:r>
      <w:r w:rsidR="00025BDD">
        <w:rPr>
          <w:lang w:val="en-NZ"/>
        </w:rPr>
        <w:t>included</w:t>
      </w:r>
      <w:r w:rsidR="006014E1">
        <w:rPr>
          <w:lang w:val="en-NZ"/>
        </w:rPr>
        <w:t xml:space="preserve"> as</w:t>
      </w:r>
      <w:r>
        <w:rPr>
          <w:lang w:val="en-NZ"/>
        </w:rPr>
        <w:t xml:space="preserve"> development agenda items. The results of the review should be tested with the SPG and agreed by the CPM in 2026. If considered necessary, a CPM Focus Group could be established to carry out this review.</w:t>
      </w:r>
    </w:p>
    <w:p w14:paraId="0B7F2AFF" w14:textId="77777777" w:rsidR="00EC4B6C" w:rsidRPr="00573DB9" w:rsidRDefault="00EC4B6C" w:rsidP="00EC4B6C">
      <w:pPr>
        <w:pStyle w:val="Heading2"/>
        <w:rPr>
          <w:sz w:val="28"/>
          <w:szCs w:val="28"/>
          <w:lang w:val="en-NZ"/>
        </w:rPr>
      </w:pPr>
      <w:bookmarkStart w:id="9" w:name="_Toc114566369"/>
      <w:r>
        <w:rPr>
          <w:lang w:val="en-NZ"/>
        </w:rPr>
        <w:lastRenderedPageBreak/>
        <w:t>Monitoring and evaluation</w:t>
      </w:r>
      <w:bookmarkEnd w:id="9"/>
    </w:p>
    <w:p w14:paraId="28A13388" w14:textId="77777777" w:rsidR="00EC4B6C" w:rsidRDefault="00EC4B6C" w:rsidP="00EC4B6C">
      <w:pPr>
        <w:rPr>
          <w:lang w:val="en-NZ"/>
        </w:rPr>
      </w:pPr>
      <w:r>
        <w:rPr>
          <w:lang w:val="en-NZ"/>
        </w:rPr>
        <w:t>For reviews to be carried out as in the previous section, monitoring and evaluation plans should be developed for each development agenda item and for the overarching implementation plan as a whole.</w:t>
      </w:r>
    </w:p>
    <w:p w14:paraId="4B42B967" w14:textId="77777777" w:rsidR="00EC4B6C" w:rsidRDefault="00EC4B6C" w:rsidP="00EC4B6C">
      <w:pPr>
        <w:rPr>
          <w:lang w:val="en-NZ"/>
        </w:rPr>
      </w:pPr>
      <w:r>
        <w:rPr>
          <w:lang w:val="en-NZ"/>
        </w:rPr>
        <w:t xml:space="preserve">Monitoring and evaluation plans for each development agenda item should be developed by the respective implementation group. These plans should be developed as soon as possible after the start of the development agenda item work programme or, if the work programme has already started, as soon as possible following April 2023. </w:t>
      </w:r>
    </w:p>
    <w:p w14:paraId="59CF8BD1" w14:textId="77777777" w:rsidR="00EC4B6C" w:rsidRDefault="00EC4B6C" w:rsidP="00EC4B6C">
      <w:pPr>
        <w:rPr>
          <w:lang w:val="en-NZ"/>
        </w:rPr>
      </w:pPr>
      <w:r>
        <w:rPr>
          <w:lang w:val="en-NZ"/>
        </w:rPr>
        <w:t>Progress of the development agenda items should be monitored against Key Performance Indicators (KPIs), which will be focussed on milestones and deliverables. The following essential milestones and deliverables should be considered as KPIs for the development agenda items:</w:t>
      </w:r>
    </w:p>
    <w:p w14:paraId="0A33C43E" w14:textId="77777777" w:rsidR="00EC4B6C" w:rsidRPr="00A75A3A" w:rsidRDefault="00EC4B6C" w:rsidP="00EC4B6C">
      <w:pPr>
        <w:pStyle w:val="ListParagraph"/>
        <w:numPr>
          <w:ilvl w:val="0"/>
          <w:numId w:val="16"/>
        </w:numPr>
        <w:rPr>
          <w:lang w:val="en-NZ"/>
        </w:rPr>
      </w:pPr>
      <w:r w:rsidRPr="009C7416">
        <w:rPr>
          <w:b/>
          <w:bCs/>
        </w:rPr>
        <w:t>Harmonization of electronic data exchange</w:t>
      </w:r>
      <w:r>
        <w:rPr>
          <w:b/>
          <w:bCs/>
        </w:rPr>
        <w:t xml:space="preserve"> </w:t>
      </w:r>
    </w:p>
    <w:p w14:paraId="7EFC46E7" w14:textId="77777777" w:rsidR="00EC4B6C" w:rsidRPr="00A75A3A" w:rsidRDefault="00EC4B6C" w:rsidP="00EC4B6C">
      <w:pPr>
        <w:pStyle w:val="ListParagraph"/>
        <w:numPr>
          <w:ilvl w:val="1"/>
          <w:numId w:val="16"/>
        </w:numPr>
        <w:rPr>
          <w:lang w:val="en-NZ"/>
        </w:rPr>
      </w:pPr>
      <w:r>
        <w:t>Translation of GENS into Arabic, Spanish and Russian by December 2023</w:t>
      </w:r>
    </w:p>
    <w:p w14:paraId="2F38F797" w14:textId="6FA0920A" w:rsidR="00EC4B6C" w:rsidRPr="00A75A3A" w:rsidRDefault="00555579" w:rsidP="00EC4B6C">
      <w:pPr>
        <w:pStyle w:val="ListParagraph"/>
        <w:numPr>
          <w:ilvl w:val="1"/>
          <w:numId w:val="16"/>
        </w:numPr>
        <w:rPr>
          <w:lang w:val="en-NZ"/>
        </w:rPr>
      </w:pPr>
      <w:r>
        <w:t>Approval</w:t>
      </w:r>
      <w:r w:rsidR="00EC4B6C">
        <w:t xml:space="preserve"> of sustainable funding mechanism by December 2024</w:t>
      </w:r>
    </w:p>
    <w:p w14:paraId="377F3672" w14:textId="6648614D" w:rsidR="00EC4B6C" w:rsidRPr="00DC60B1" w:rsidRDefault="00804DAD" w:rsidP="00EC4B6C">
      <w:pPr>
        <w:pStyle w:val="ListParagraph"/>
        <w:numPr>
          <w:ilvl w:val="1"/>
          <w:numId w:val="16"/>
        </w:numPr>
        <w:rPr>
          <w:lang w:val="en-NZ"/>
        </w:rPr>
      </w:pPr>
      <w:r>
        <w:t xml:space="preserve">Second </w:t>
      </w:r>
      <w:r w:rsidR="00D652AC">
        <w:t>international ePhyto solution conference by</w:t>
      </w:r>
      <w:r w:rsidR="00EC4B6C">
        <w:t xml:space="preserve"> 2027</w:t>
      </w:r>
    </w:p>
    <w:p w14:paraId="26587E0B" w14:textId="77777777" w:rsidR="00EC4B6C" w:rsidRPr="009755BA" w:rsidRDefault="00EC4B6C" w:rsidP="00EC4B6C">
      <w:pPr>
        <w:pStyle w:val="ListParagraph"/>
        <w:numPr>
          <w:ilvl w:val="1"/>
          <w:numId w:val="16"/>
        </w:numPr>
        <w:rPr>
          <w:lang w:val="en-NZ"/>
        </w:rPr>
      </w:pPr>
      <w:r>
        <w:t>112 countries exchanging in production by 2030</w:t>
      </w:r>
    </w:p>
    <w:p w14:paraId="2BE8428A" w14:textId="77777777" w:rsidR="00EC4B6C" w:rsidRPr="009755BA" w:rsidRDefault="00EC4B6C" w:rsidP="00EC4B6C">
      <w:pPr>
        <w:pStyle w:val="ListParagraph"/>
        <w:ind w:left="1440"/>
        <w:rPr>
          <w:lang w:val="en-NZ"/>
        </w:rPr>
      </w:pPr>
    </w:p>
    <w:p w14:paraId="084D7A1C" w14:textId="77777777" w:rsidR="00EC4B6C" w:rsidRDefault="00EC4B6C" w:rsidP="00EC4B6C">
      <w:pPr>
        <w:pStyle w:val="ListParagraph"/>
        <w:numPr>
          <w:ilvl w:val="0"/>
          <w:numId w:val="16"/>
        </w:numPr>
        <w:rPr>
          <w:lang w:val="en-NZ"/>
        </w:rPr>
      </w:pPr>
      <w:r w:rsidRPr="009755BA">
        <w:rPr>
          <w:b/>
          <w:bCs/>
        </w:rPr>
        <w:t>Commodity</w:t>
      </w:r>
      <w:r w:rsidRPr="009755BA">
        <w:rPr>
          <w:b/>
          <w:bCs/>
          <w:lang w:val="en-NZ"/>
        </w:rPr>
        <w:t>- and pathway-specific ISPMS</w:t>
      </w:r>
    </w:p>
    <w:p w14:paraId="1F522CB6" w14:textId="271CA06C" w:rsidR="00EC4B6C" w:rsidRDefault="00EC4B6C" w:rsidP="00EC4B6C">
      <w:pPr>
        <w:pStyle w:val="ListParagraph"/>
        <w:numPr>
          <w:ilvl w:val="1"/>
          <w:numId w:val="16"/>
        </w:numPr>
        <w:rPr>
          <w:lang w:val="en-NZ"/>
        </w:rPr>
      </w:pPr>
      <w:r>
        <w:rPr>
          <w:lang w:val="en-NZ"/>
        </w:rPr>
        <w:t>Prioritisation of commodity-specific annexes by April 202</w:t>
      </w:r>
      <w:r w:rsidR="00204307">
        <w:rPr>
          <w:lang w:val="en-NZ"/>
        </w:rPr>
        <w:t>4</w:t>
      </w:r>
    </w:p>
    <w:p w14:paraId="7F29682B" w14:textId="77777777" w:rsidR="00EC4B6C" w:rsidRDefault="00EC4B6C" w:rsidP="00EC4B6C">
      <w:pPr>
        <w:pStyle w:val="ListParagraph"/>
        <w:numPr>
          <w:ilvl w:val="1"/>
          <w:numId w:val="16"/>
        </w:numPr>
        <w:rPr>
          <w:lang w:val="en-NZ"/>
        </w:rPr>
      </w:pPr>
      <w:r>
        <w:rPr>
          <w:lang w:val="en-NZ"/>
        </w:rPr>
        <w:t>Adoption of first ISPM commodity-specific annex by April 2025</w:t>
      </w:r>
    </w:p>
    <w:p w14:paraId="728E443C" w14:textId="789D735A" w:rsidR="00EC4B6C" w:rsidRDefault="000C4F6A" w:rsidP="00EC4B6C">
      <w:pPr>
        <w:pStyle w:val="ListParagraph"/>
        <w:numPr>
          <w:ilvl w:val="1"/>
          <w:numId w:val="16"/>
        </w:numPr>
        <w:rPr>
          <w:lang w:val="en-NZ"/>
        </w:rPr>
      </w:pPr>
      <w:r>
        <w:rPr>
          <w:lang w:val="en-NZ"/>
        </w:rPr>
        <w:t xml:space="preserve">Study to </w:t>
      </w:r>
      <w:r w:rsidR="00FC66F1">
        <w:rPr>
          <w:lang w:val="en-NZ"/>
        </w:rPr>
        <w:t>evaluate the economic, trade and food security benefits from implementation of commodity standards initiated by 2027</w:t>
      </w:r>
      <w:r w:rsidR="00EC4B6C">
        <w:rPr>
          <w:lang w:val="en-NZ"/>
        </w:rPr>
        <w:t xml:space="preserve"> by April 2027</w:t>
      </w:r>
    </w:p>
    <w:p w14:paraId="56DCB37F" w14:textId="2B361D60" w:rsidR="00EC4B6C" w:rsidRDefault="00EC4B6C" w:rsidP="00EC4B6C">
      <w:pPr>
        <w:pStyle w:val="ListParagraph"/>
        <w:numPr>
          <w:ilvl w:val="1"/>
          <w:numId w:val="16"/>
        </w:numPr>
        <w:rPr>
          <w:lang w:val="en-NZ"/>
        </w:rPr>
      </w:pPr>
      <w:r>
        <w:rPr>
          <w:lang w:val="en-NZ"/>
        </w:rPr>
        <w:t>Adoption of diagnostic protocols and phytosanitary treatments for commodity-specific annexes by April 2027</w:t>
      </w:r>
    </w:p>
    <w:p w14:paraId="5611AA4A" w14:textId="689C996C" w:rsidR="00E16CEE" w:rsidRDefault="00E16CEE" w:rsidP="00EC4B6C">
      <w:pPr>
        <w:pStyle w:val="ListParagraph"/>
        <w:numPr>
          <w:ilvl w:val="1"/>
          <w:numId w:val="16"/>
        </w:numPr>
        <w:rPr>
          <w:lang w:val="en-NZ"/>
        </w:rPr>
      </w:pPr>
      <w:r>
        <w:rPr>
          <w:lang w:val="en-NZ"/>
        </w:rPr>
        <w:t xml:space="preserve">Study to evaluate </w:t>
      </w:r>
      <w:r w:rsidR="004821A6">
        <w:rPr>
          <w:lang w:val="en-NZ"/>
        </w:rPr>
        <w:t xml:space="preserve">extent of and barriers to NPPO </w:t>
      </w:r>
      <w:r>
        <w:rPr>
          <w:lang w:val="en-NZ"/>
        </w:rPr>
        <w:t xml:space="preserve">adoption of commodity specific </w:t>
      </w:r>
      <w:r w:rsidR="004821A6">
        <w:rPr>
          <w:lang w:val="en-NZ"/>
        </w:rPr>
        <w:t xml:space="preserve">annexes </w:t>
      </w:r>
      <w:r w:rsidR="006E1E80">
        <w:rPr>
          <w:lang w:val="en-NZ"/>
        </w:rPr>
        <w:t xml:space="preserve">starts </w:t>
      </w:r>
      <w:r w:rsidR="004821A6">
        <w:rPr>
          <w:lang w:val="en-NZ"/>
        </w:rPr>
        <w:t xml:space="preserve">by </w:t>
      </w:r>
      <w:r w:rsidR="006E1E80">
        <w:rPr>
          <w:lang w:val="en-NZ"/>
        </w:rPr>
        <w:t>December 2028</w:t>
      </w:r>
    </w:p>
    <w:p w14:paraId="6BDEF928" w14:textId="77777777" w:rsidR="00EC4B6C" w:rsidRDefault="00EC4B6C" w:rsidP="00EC4B6C">
      <w:pPr>
        <w:pStyle w:val="ListParagraph"/>
        <w:ind w:left="1440"/>
        <w:rPr>
          <w:lang w:val="en-NZ"/>
        </w:rPr>
      </w:pPr>
    </w:p>
    <w:p w14:paraId="6409748E" w14:textId="77777777" w:rsidR="00EC4B6C" w:rsidRPr="009755BA" w:rsidRDefault="00EC4B6C" w:rsidP="00EC4B6C">
      <w:pPr>
        <w:pStyle w:val="ListParagraph"/>
        <w:numPr>
          <w:ilvl w:val="0"/>
          <w:numId w:val="16"/>
        </w:numPr>
        <w:rPr>
          <w:lang w:val="en-NZ"/>
        </w:rPr>
      </w:pPr>
      <w:r w:rsidRPr="009755BA">
        <w:rPr>
          <w:b/>
          <w:bCs/>
        </w:rPr>
        <w:t>Management of e-commerce and postal and courier pathways</w:t>
      </w:r>
    </w:p>
    <w:p w14:paraId="59C963B2" w14:textId="77777777" w:rsidR="00EC4B6C" w:rsidRPr="009755BA" w:rsidRDefault="00EC4B6C" w:rsidP="00EC4B6C">
      <w:pPr>
        <w:pStyle w:val="ListParagraph"/>
        <w:numPr>
          <w:ilvl w:val="1"/>
          <w:numId w:val="16"/>
        </w:numPr>
        <w:rPr>
          <w:lang w:val="en-NZ"/>
        </w:rPr>
      </w:pPr>
      <w:r>
        <w:t>Completion of communications plan for e-commerce by December 2023</w:t>
      </w:r>
    </w:p>
    <w:p w14:paraId="1E028406" w14:textId="79496EF7" w:rsidR="00EC4B6C" w:rsidRPr="009755BA" w:rsidRDefault="00EC4B6C" w:rsidP="00EC4B6C">
      <w:pPr>
        <w:pStyle w:val="ListParagraph"/>
        <w:numPr>
          <w:ilvl w:val="1"/>
          <w:numId w:val="16"/>
        </w:numPr>
        <w:rPr>
          <w:lang w:val="en-NZ"/>
        </w:rPr>
      </w:pPr>
      <w:r>
        <w:t xml:space="preserve">Completion of </w:t>
      </w:r>
      <w:r w:rsidR="00E23BE6">
        <w:t>IPPC Observatory</w:t>
      </w:r>
      <w:r>
        <w:t xml:space="preserve"> study on e-commerce (phase 1) by December 2023</w:t>
      </w:r>
    </w:p>
    <w:p w14:paraId="618FA448" w14:textId="6D154746" w:rsidR="00EC4B6C" w:rsidRPr="00D31CF4" w:rsidRDefault="00EC4B6C" w:rsidP="00EC4B6C">
      <w:pPr>
        <w:pStyle w:val="ListParagraph"/>
        <w:numPr>
          <w:ilvl w:val="1"/>
          <w:numId w:val="16"/>
        </w:numPr>
        <w:rPr>
          <w:lang w:val="en-NZ"/>
        </w:rPr>
      </w:pPr>
      <w:r>
        <w:t xml:space="preserve">Long-term planning based on recommendations from the </w:t>
      </w:r>
      <w:r w:rsidR="00E23BE6">
        <w:t>IPPC Observatory</w:t>
      </w:r>
      <w:r>
        <w:t xml:space="preserve"> study by December 2024</w:t>
      </w:r>
    </w:p>
    <w:p w14:paraId="5E9E50A5" w14:textId="4141B8B5" w:rsidR="00EC4B6C" w:rsidRDefault="00EC4B6C" w:rsidP="00EC4B6C">
      <w:pPr>
        <w:pStyle w:val="ListParagraph"/>
        <w:numPr>
          <w:ilvl w:val="1"/>
          <w:numId w:val="16"/>
        </w:numPr>
        <w:rPr>
          <w:lang w:val="en-NZ"/>
        </w:rPr>
      </w:pPr>
      <w:r>
        <w:t xml:space="preserve">Completion of </w:t>
      </w:r>
      <w:r w:rsidR="00E23BE6">
        <w:t>IPPC Observatory</w:t>
      </w:r>
      <w:r>
        <w:t xml:space="preserve"> study on e-commerce (phase 2) by December 2027</w:t>
      </w:r>
    </w:p>
    <w:p w14:paraId="7A88B8C2" w14:textId="77777777" w:rsidR="00EC4B6C" w:rsidRPr="00D31CF4" w:rsidRDefault="00EC4B6C" w:rsidP="00EC4B6C">
      <w:pPr>
        <w:pStyle w:val="ListParagraph"/>
        <w:ind w:left="1440"/>
        <w:rPr>
          <w:lang w:val="en-NZ"/>
        </w:rPr>
      </w:pPr>
    </w:p>
    <w:p w14:paraId="6A24DD1D" w14:textId="77777777" w:rsidR="00EC4B6C" w:rsidRPr="00D31CF4" w:rsidRDefault="00EC4B6C" w:rsidP="00EC4B6C">
      <w:pPr>
        <w:pStyle w:val="ListParagraph"/>
        <w:numPr>
          <w:ilvl w:val="0"/>
          <w:numId w:val="16"/>
        </w:numPr>
        <w:rPr>
          <w:lang w:val="en-NZ"/>
        </w:rPr>
      </w:pPr>
      <w:r w:rsidRPr="00D31CF4">
        <w:rPr>
          <w:b/>
          <w:bCs/>
        </w:rPr>
        <w:t>Developing guidance on the use of third-party entities</w:t>
      </w:r>
    </w:p>
    <w:p w14:paraId="23439E71" w14:textId="77777777" w:rsidR="00EC4B6C" w:rsidRPr="00D31CF4" w:rsidRDefault="00EC4B6C" w:rsidP="00EC4B6C">
      <w:pPr>
        <w:pStyle w:val="ListParagraph"/>
        <w:numPr>
          <w:ilvl w:val="1"/>
          <w:numId w:val="16"/>
        </w:numPr>
        <w:rPr>
          <w:lang w:val="en-NZ"/>
        </w:rPr>
      </w:pPr>
      <w:r>
        <w:t>Development of training materials by April 2023</w:t>
      </w:r>
    </w:p>
    <w:p w14:paraId="74222705" w14:textId="77777777" w:rsidR="00EC4B6C" w:rsidRPr="00D31CF4" w:rsidRDefault="00EC4B6C" w:rsidP="00EC4B6C">
      <w:pPr>
        <w:pStyle w:val="ListParagraph"/>
        <w:numPr>
          <w:ilvl w:val="1"/>
          <w:numId w:val="16"/>
        </w:numPr>
        <w:rPr>
          <w:lang w:val="en-NZ"/>
        </w:rPr>
      </w:pPr>
      <w:r>
        <w:t>Increase in confidence in the use of third-party entities by April 2024</w:t>
      </w:r>
    </w:p>
    <w:p w14:paraId="5D3FE014" w14:textId="727E3BB1" w:rsidR="00EC4B6C" w:rsidRPr="00B15C80" w:rsidRDefault="00C87B6B" w:rsidP="00EC4B6C">
      <w:pPr>
        <w:pStyle w:val="ListParagraph"/>
        <w:numPr>
          <w:ilvl w:val="1"/>
          <w:numId w:val="16"/>
        </w:numPr>
        <w:rPr>
          <w:lang w:val="en-NZ"/>
        </w:rPr>
      </w:pPr>
      <w:r>
        <w:t>Scope and plan whether further actions are required</w:t>
      </w:r>
      <w:r w:rsidR="00EC4B6C">
        <w:t xml:space="preserve"> by April 2026</w:t>
      </w:r>
    </w:p>
    <w:p w14:paraId="6FC4F520" w14:textId="2C93F08F" w:rsidR="00B15C80" w:rsidRPr="00D31CF4" w:rsidRDefault="00B15C80" w:rsidP="00EC4B6C">
      <w:pPr>
        <w:pStyle w:val="ListParagraph"/>
        <w:numPr>
          <w:ilvl w:val="1"/>
          <w:numId w:val="16"/>
        </w:numPr>
        <w:rPr>
          <w:lang w:val="en-NZ"/>
        </w:rPr>
      </w:pPr>
      <w:r>
        <w:t xml:space="preserve">Subject to CPM decision, start delivery of additional actions from </w:t>
      </w:r>
      <w:r w:rsidR="001216CA">
        <w:t>2027</w:t>
      </w:r>
    </w:p>
    <w:p w14:paraId="76844371" w14:textId="77777777" w:rsidR="00EC4B6C" w:rsidRPr="00D31CF4" w:rsidRDefault="00EC4B6C" w:rsidP="00EC4B6C">
      <w:pPr>
        <w:pStyle w:val="ListParagraph"/>
        <w:ind w:left="1440"/>
        <w:rPr>
          <w:lang w:val="en-NZ"/>
        </w:rPr>
      </w:pPr>
    </w:p>
    <w:p w14:paraId="4B1C40A2" w14:textId="77777777" w:rsidR="00EC4B6C" w:rsidRPr="00D31CF4" w:rsidRDefault="00EC4B6C" w:rsidP="00EC4B6C">
      <w:pPr>
        <w:pStyle w:val="ListParagraph"/>
        <w:numPr>
          <w:ilvl w:val="0"/>
          <w:numId w:val="16"/>
        </w:numPr>
        <w:rPr>
          <w:lang w:val="en-NZ"/>
        </w:rPr>
      </w:pPr>
      <w:r w:rsidRPr="00D31CF4">
        <w:rPr>
          <w:b/>
          <w:bCs/>
        </w:rPr>
        <w:t>Strengthening pest outbreak alert and response systems</w:t>
      </w:r>
    </w:p>
    <w:p w14:paraId="15E866FD" w14:textId="1A4FF014" w:rsidR="00EC4B6C" w:rsidRPr="00D31CF4" w:rsidRDefault="00EC4B6C" w:rsidP="00EC4B6C">
      <w:pPr>
        <w:pStyle w:val="ListParagraph"/>
        <w:numPr>
          <w:ilvl w:val="1"/>
          <w:numId w:val="16"/>
        </w:numPr>
        <w:rPr>
          <w:lang w:val="en-NZ"/>
        </w:rPr>
      </w:pPr>
      <w:r>
        <w:t>Establishment of POARS steering group and operational working groups by April 202</w:t>
      </w:r>
      <w:r w:rsidR="009D53DB">
        <w:t>3</w:t>
      </w:r>
    </w:p>
    <w:p w14:paraId="0FC3AD1D" w14:textId="77777777" w:rsidR="00EC4B6C" w:rsidRPr="00D31CF4" w:rsidRDefault="00EC4B6C" w:rsidP="00EC4B6C">
      <w:pPr>
        <w:pStyle w:val="ListParagraph"/>
        <w:numPr>
          <w:ilvl w:val="1"/>
          <w:numId w:val="16"/>
        </w:numPr>
        <w:rPr>
          <w:lang w:val="en-NZ"/>
        </w:rPr>
      </w:pPr>
      <w:r>
        <w:t>Establishment of POARS information system and toolbox by April 2027</w:t>
      </w:r>
    </w:p>
    <w:p w14:paraId="60D4E3A9" w14:textId="77777777" w:rsidR="00EC4B6C" w:rsidRPr="00D31CF4" w:rsidRDefault="00EC4B6C" w:rsidP="00EC4B6C">
      <w:pPr>
        <w:pStyle w:val="ListParagraph"/>
        <w:numPr>
          <w:ilvl w:val="1"/>
          <w:numId w:val="16"/>
        </w:numPr>
        <w:rPr>
          <w:lang w:val="en-NZ"/>
        </w:rPr>
      </w:pPr>
      <w:r>
        <w:lastRenderedPageBreak/>
        <w:t>Establishment of POARS emergency response facility by April 2027</w:t>
      </w:r>
    </w:p>
    <w:p w14:paraId="622EB816" w14:textId="77777777" w:rsidR="00EC4B6C" w:rsidRPr="00D31CF4" w:rsidRDefault="00EC4B6C" w:rsidP="00EC4B6C">
      <w:pPr>
        <w:pStyle w:val="ListParagraph"/>
        <w:ind w:left="1440"/>
        <w:rPr>
          <w:lang w:val="en-NZ"/>
        </w:rPr>
      </w:pPr>
    </w:p>
    <w:p w14:paraId="35592133" w14:textId="77777777" w:rsidR="00EC4B6C" w:rsidRPr="00D31CF4" w:rsidRDefault="00EC4B6C" w:rsidP="00EC4B6C">
      <w:pPr>
        <w:pStyle w:val="ListParagraph"/>
        <w:numPr>
          <w:ilvl w:val="0"/>
          <w:numId w:val="16"/>
        </w:numPr>
        <w:rPr>
          <w:lang w:val="en-NZ"/>
        </w:rPr>
      </w:pPr>
      <w:r w:rsidRPr="00D31CF4">
        <w:rPr>
          <w:b/>
          <w:bCs/>
        </w:rPr>
        <w:t>Assessment and management of climate change impacts on plant health</w:t>
      </w:r>
    </w:p>
    <w:p w14:paraId="375B6903" w14:textId="4C1C7F74" w:rsidR="00EC4B6C" w:rsidRPr="007429AB" w:rsidRDefault="00EC4B6C" w:rsidP="00EC4B6C">
      <w:pPr>
        <w:pStyle w:val="ListParagraph"/>
        <w:numPr>
          <w:ilvl w:val="1"/>
          <w:numId w:val="16"/>
        </w:numPr>
        <w:rPr>
          <w:lang w:val="en-NZ"/>
        </w:rPr>
      </w:pPr>
      <w:r>
        <w:t>Implementation of climate change action plan by December 2025</w:t>
      </w:r>
    </w:p>
    <w:p w14:paraId="7C526220" w14:textId="354C1B33" w:rsidR="007429AB" w:rsidRPr="007429AB" w:rsidRDefault="007429AB" w:rsidP="00EC4B6C">
      <w:pPr>
        <w:pStyle w:val="ListParagraph"/>
        <w:numPr>
          <w:ilvl w:val="1"/>
          <w:numId w:val="16"/>
        </w:numPr>
        <w:rPr>
          <w:lang w:val="en-NZ"/>
        </w:rPr>
      </w:pPr>
      <w:r>
        <w:t>Scope and plan next steps for CPM proposal by April 2026</w:t>
      </w:r>
    </w:p>
    <w:p w14:paraId="43BC3756" w14:textId="2CB9792A" w:rsidR="007429AB" w:rsidRPr="00DC60B1" w:rsidRDefault="007429AB" w:rsidP="00EC4B6C">
      <w:pPr>
        <w:pStyle w:val="ListParagraph"/>
        <w:numPr>
          <w:ilvl w:val="1"/>
          <w:numId w:val="16"/>
        </w:numPr>
        <w:rPr>
          <w:lang w:val="en-NZ"/>
        </w:rPr>
      </w:pPr>
      <w:r>
        <w:t>Subject to CPM decision</w:t>
      </w:r>
      <w:r w:rsidR="007F7D2D">
        <w:t xml:space="preserve">, </w:t>
      </w:r>
      <w:r w:rsidR="009D53DB">
        <w:t xml:space="preserve">start delivery of </w:t>
      </w:r>
      <w:r w:rsidR="007F7D2D">
        <w:t>deliver second tranche of initiatives to support managing climate change impacts on plant healt</w:t>
      </w:r>
      <w:r w:rsidR="009D53DB">
        <w:t>h by 2027</w:t>
      </w:r>
    </w:p>
    <w:p w14:paraId="48D85681" w14:textId="77777777" w:rsidR="00EC4B6C" w:rsidRPr="00D31CF4" w:rsidRDefault="00EC4B6C" w:rsidP="00EC4B6C">
      <w:pPr>
        <w:pStyle w:val="ListParagraph"/>
        <w:ind w:left="1440"/>
        <w:rPr>
          <w:lang w:val="en-NZ"/>
        </w:rPr>
      </w:pPr>
    </w:p>
    <w:p w14:paraId="2E7B7878" w14:textId="77777777" w:rsidR="00EC4B6C" w:rsidRPr="004B0DB4" w:rsidRDefault="00EC4B6C" w:rsidP="00EC4B6C">
      <w:pPr>
        <w:pStyle w:val="ListParagraph"/>
        <w:numPr>
          <w:ilvl w:val="0"/>
          <w:numId w:val="16"/>
        </w:numPr>
        <w:rPr>
          <w:lang w:val="en-NZ"/>
        </w:rPr>
      </w:pPr>
      <w:r w:rsidRPr="004B0DB4">
        <w:rPr>
          <w:b/>
          <w:bCs/>
        </w:rPr>
        <w:t>Global phytosanitary research coordination</w:t>
      </w:r>
    </w:p>
    <w:p w14:paraId="51C952C2" w14:textId="17547CBB" w:rsidR="00EC4B6C" w:rsidRPr="004B0DB4" w:rsidRDefault="00EC4B6C" w:rsidP="00EC4B6C">
      <w:pPr>
        <w:pStyle w:val="ListParagraph"/>
        <w:numPr>
          <w:ilvl w:val="1"/>
          <w:numId w:val="16"/>
        </w:numPr>
        <w:rPr>
          <w:lang w:val="en-NZ"/>
        </w:rPr>
      </w:pPr>
      <w:r>
        <w:t>Investigation of existing networks by December 202</w:t>
      </w:r>
      <w:r w:rsidR="003F6AD4">
        <w:t>5</w:t>
      </w:r>
    </w:p>
    <w:p w14:paraId="3378BB0A" w14:textId="77777777" w:rsidR="00EC4B6C" w:rsidRPr="004B0DB4" w:rsidRDefault="00EC4B6C" w:rsidP="00EC4B6C">
      <w:pPr>
        <w:pStyle w:val="ListParagraph"/>
        <w:numPr>
          <w:ilvl w:val="1"/>
          <w:numId w:val="16"/>
        </w:numPr>
        <w:rPr>
          <w:lang w:val="en-NZ"/>
        </w:rPr>
      </w:pPr>
      <w:r>
        <w:t>Develop proposal for research coordination by April 2026</w:t>
      </w:r>
    </w:p>
    <w:p w14:paraId="39AC2AF3" w14:textId="79F49262" w:rsidR="00EC4B6C" w:rsidRPr="004B0DB4" w:rsidRDefault="003864CE" w:rsidP="00EC4B6C">
      <w:pPr>
        <w:pStyle w:val="ListParagraph"/>
        <w:numPr>
          <w:ilvl w:val="1"/>
          <w:numId w:val="16"/>
        </w:numPr>
        <w:rPr>
          <w:lang w:val="en-NZ"/>
        </w:rPr>
      </w:pPr>
      <w:r>
        <w:t>Subject to CPM decision, e</w:t>
      </w:r>
      <w:r w:rsidR="00EC4B6C">
        <w:t>stablish global phytosanitary research coordination by December 20</w:t>
      </w:r>
      <w:r w:rsidR="008D5CE1">
        <w:t>27</w:t>
      </w:r>
    </w:p>
    <w:p w14:paraId="1CF88E96" w14:textId="77777777" w:rsidR="00EC4B6C" w:rsidRPr="004B0DB4" w:rsidRDefault="00EC4B6C" w:rsidP="00EC4B6C">
      <w:pPr>
        <w:pStyle w:val="ListParagraph"/>
        <w:ind w:left="1440"/>
        <w:rPr>
          <w:lang w:val="en-NZ"/>
        </w:rPr>
      </w:pPr>
    </w:p>
    <w:p w14:paraId="0682CFF6" w14:textId="77777777" w:rsidR="00EC4B6C" w:rsidRPr="00181981" w:rsidRDefault="00EC4B6C" w:rsidP="00EC4B6C">
      <w:pPr>
        <w:pStyle w:val="ListParagraph"/>
        <w:numPr>
          <w:ilvl w:val="0"/>
          <w:numId w:val="16"/>
        </w:numPr>
        <w:rPr>
          <w:lang w:val="en-NZ"/>
        </w:rPr>
      </w:pPr>
      <w:r w:rsidRPr="00181981">
        <w:rPr>
          <w:b/>
          <w:bCs/>
          <w:lang w:val="en-NZ"/>
        </w:rPr>
        <w:t>Diagnostic laboratory networking</w:t>
      </w:r>
    </w:p>
    <w:p w14:paraId="6370BE12" w14:textId="16902DF5" w:rsidR="00EC4B6C" w:rsidRDefault="00EC4B6C" w:rsidP="00EC4B6C">
      <w:pPr>
        <w:pStyle w:val="ListParagraph"/>
        <w:numPr>
          <w:ilvl w:val="1"/>
          <w:numId w:val="16"/>
        </w:numPr>
        <w:rPr>
          <w:lang w:val="en-NZ"/>
        </w:rPr>
      </w:pPr>
      <w:r>
        <w:rPr>
          <w:lang w:val="en-NZ"/>
        </w:rPr>
        <w:t>Investigation of existing networks by June 202</w:t>
      </w:r>
      <w:r w:rsidR="00D233DE">
        <w:rPr>
          <w:lang w:val="en-NZ"/>
        </w:rPr>
        <w:t>3</w:t>
      </w:r>
    </w:p>
    <w:p w14:paraId="7738B118" w14:textId="10E14D54" w:rsidR="00EC4B6C" w:rsidRDefault="00EC4B6C" w:rsidP="00EC4B6C">
      <w:pPr>
        <w:pStyle w:val="ListParagraph"/>
        <w:numPr>
          <w:ilvl w:val="1"/>
          <w:numId w:val="16"/>
        </w:numPr>
        <w:rPr>
          <w:lang w:val="en-NZ"/>
        </w:rPr>
      </w:pPr>
      <w:r>
        <w:rPr>
          <w:lang w:val="en-NZ"/>
        </w:rPr>
        <w:t>Establishment of CPM Focus Group and development of proposal by April 202</w:t>
      </w:r>
      <w:r w:rsidR="00D233DE">
        <w:rPr>
          <w:lang w:val="en-NZ"/>
        </w:rPr>
        <w:t>4</w:t>
      </w:r>
    </w:p>
    <w:p w14:paraId="54EEEFE3" w14:textId="14DF8EAD" w:rsidR="00EC4B6C" w:rsidRDefault="00EC4B6C" w:rsidP="00EC4B6C">
      <w:pPr>
        <w:pStyle w:val="ListParagraph"/>
        <w:numPr>
          <w:ilvl w:val="1"/>
          <w:numId w:val="16"/>
        </w:numPr>
        <w:rPr>
          <w:lang w:val="en-NZ"/>
        </w:rPr>
      </w:pPr>
      <w:r>
        <w:rPr>
          <w:lang w:val="en-NZ"/>
        </w:rPr>
        <w:t>Development of implementation plan by April 202</w:t>
      </w:r>
      <w:r w:rsidR="005E0D59">
        <w:rPr>
          <w:lang w:val="en-NZ"/>
        </w:rPr>
        <w:t>6</w:t>
      </w:r>
    </w:p>
    <w:p w14:paraId="6D75AF34" w14:textId="004C58E9" w:rsidR="00EC4B6C" w:rsidRDefault="00CA154C" w:rsidP="00EC4B6C">
      <w:pPr>
        <w:pStyle w:val="ListParagraph"/>
        <w:numPr>
          <w:ilvl w:val="1"/>
          <w:numId w:val="16"/>
        </w:numPr>
        <w:rPr>
          <w:lang w:val="en-NZ"/>
        </w:rPr>
      </w:pPr>
      <w:r>
        <w:rPr>
          <w:lang w:val="en-NZ"/>
        </w:rPr>
        <w:t>Subject to CPM decision, d</w:t>
      </w:r>
      <w:r w:rsidR="00EC4B6C">
        <w:rPr>
          <w:lang w:val="en-NZ"/>
        </w:rPr>
        <w:t xml:space="preserve">evelopment of roster of service organisations/experts, administrative arrangements, and </w:t>
      </w:r>
      <w:r w:rsidR="00A74FE7">
        <w:rPr>
          <w:lang w:val="en-NZ"/>
        </w:rPr>
        <w:t xml:space="preserve">template </w:t>
      </w:r>
      <w:r w:rsidR="00EE5E92">
        <w:rPr>
          <w:lang w:val="en-NZ"/>
        </w:rPr>
        <w:t>MOUs</w:t>
      </w:r>
      <w:r w:rsidR="00EC4B6C">
        <w:rPr>
          <w:lang w:val="en-NZ"/>
        </w:rPr>
        <w:t xml:space="preserve"> by December 2027</w:t>
      </w:r>
    </w:p>
    <w:p w14:paraId="56CF52A1" w14:textId="50BBFBCB" w:rsidR="00EC4B6C" w:rsidRDefault="005E0D59" w:rsidP="00EC4B6C">
      <w:pPr>
        <w:pStyle w:val="ListParagraph"/>
        <w:numPr>
          <w:ilvl w:val="1"/>
          <w:numId w:val="16"/>
        </w:numPr>
        <w:rPr>
          <w:lang w:val="en-NZ"/>
        </w:rPr>
      </w:pPr>
      <w:r>
        <w:rPr>
          <w:lang w:val="en-NZ"/>
        </w:rPr>
        <w:t>Pilot</w:t>
      </w:r>
      <w:r w:rsidR="004F2C5D">
        <w:rPr>
          <w:lang w:val="en-NZ"/>
        </w:rPr>
        <w:t xml:space="preserve">ing of </w:t>
      </w:r>
      <w:r>
        <w:rPr>
          <w:lang w:val="en-NZ"/>
        </w:rPr>
        <w:t xml:space="preserve">a first </w:t>
      </w:r>
      <w:r w:rsidR="004F2C5D">
        <w:rPr>
          <w:lang w:val="en-NZ"/>
        </w:rPr>
        <w:t xml:space="preserve">diagnostic laboratory network by </w:t>
      </w:r>
      <w:r w:rsidR="00EC4B6C">
        <w:rPr>
          <w:lang w:val="en-NZ"/>
        </w:rPr>
        <w:t>December 202</w:t>
      </w:r>
      <w:r w:rsidR="004F2C5D">
        <w:rPr>
          <w:lang w:val="en-NZ"/>
        </w:rPr>
        <w:t>8</w:t>
      </w:r>
    </w:p>
    <w:p w14:paraId="6AA1C453" w14:textId="26B03D8B" w:rsidR="00EC4B6C" w:rsidRDefault="00EC4B6C" w:rsidP="00EC4B6C">
      <w:pPr>
        <w:pStyle w:val="ListParagraph"/>
        <w:numPr>
          <w:ilvl w:val="1"/>
          <w:numId w:val="16"/>
        </w:numPr>
        <w:rPr>
          <w:lang w:val="en-NZ"/>
        </w:rPr>
      </w:pPr>
      <w:r>
        <w:rPr>
          <w:lang w:val="en-NZ"/>
        </w:rPr>
        <w:t xml:space="preserve">Launch the </w:t>
      </w:r>
      <w:r w:rsidR="00215877">
        <w:rPr>
          <w:lang w:val="en-NZ"/>
        </w:rPr>
        <w:t xml:space="preserve">initial </w:t>
      </w:r>
      <w:r>
        <w:rPr>
          <w:lang w:val="en-NZ"/>
        </w:rPr>
        <w:t>networks by December 2030</w:t>
      </w:r>
    </w:p>
    <w:p w14:paraId="5AF59C30" w14:textId="77777777" w:rsidR="00EC4B6C" w:rsidRPr="0095511E" w:rsidRDefault="00EC4B6C" w:rsidP="00EC4B6C">
      <w:pPr>
        <w:rPr>
          <w:lang w:val="en-NZ"/>
        </w:rPr>
      </w:pPr>
      <w:r>
        <w:rPr>
          <w:lang w:val="en-NZ"/>
        </w:rPr>
        <w:t>These milestones and deliverables should be monitored regularly by the implementation groups and could be supported by the maintenance of activity logs, with Red-Amber-Green ratings, and risk logs. W</w:t>
      </w:r>
      <w:r w:rsidRPr="0095511E">
        <w:rPr>
          <w:lang w:val="en-NZ"/>
        </w:rPr>
        <w:t>here possible, the current benchmark level of performance for a KPI (or the level prior to the project starting</w:t>
      </w:r>
      <w:r>
        <w:rPr>
          <w:lang w:val="en-NZ"/>
        </w:rPr>
        <w:t xml:space="preserve">) should be established to </w:t>
      </w:r>
      <w:r w:rsidRPr="0095511E">
        <w:rPr>
          <w:lang w:val="en-NZ"/>
        </w:rPr>
        <w:t>help demonstrate impact.</w:t>
      </w:r>
    </w:p>
    <w:p w14:paraId="1B75B6D4" w14:textId="77777777" w:rsidR="00EC4B6C" w:rsidRDefault="00EC4B6C" w:rsidP="00EC4B6C">
      <w:pPr>
        <w:rPr>
          <w:lang w:val="en-NZ"/>
        </w:rPr>
      </w:pPr>
      <w:r>
        <w:rPr>
          <w:lang w:val="en-NZ"/>
        </w:rPr>
        <w:t xml:space="preserve">Reports on progress against milestones and deliverables should be completed at least every 6 months using the template in annex I. Following the completion of a development agenda item or transition to business-as-usual arrangements, a final report should be written, detailing the outcomes and lessons learned from the work. All </w:t>
      </w:r>
      <w:r w:rsidRPr="00FF043B">
        <w:rPr>
          <w:lang w:val="en-NZ"/>
        </w:rPr>
        <w:t>reports should be provided to the responsible group (SC or IC) and to the CPM Bureau.</w:t>
      </w:r>
    </w:p>
    <w:p w14:paraId="0DF3B13F" w14:textId="77777777" w:rsidR="00EC4B6C" w:rsidRPr="0095511E" w:rsidRDefault="00EC4B6C" w:rsidP="00EC4B6C">
      <w:pPr>
        <w:rPr>
          <w:lang w:val="en-NZ"/>
        </w:rPr>
      </w:pPr>
      <w:r>
        <w:rPr>
          <w:lang w:val="en-NZ"/>
        </w:rPr>
        <w:t>In addition to monitoring and evaluation plans for each development agenda item, a plan should also be developed for the overarching implementation plan, covering all development agenda items together.  This plan will be held by the CPM Bureau and will monitor progress against key milestones to allow decision making on sequencing and re-allocation of funding and resources. Reports from the individual development agenda items will form the basis of the overarching monitoring and evaluation plan.</w:t>
      </w:r>
    </w:p>
    <w:p w14:paraId="45B88E12" w14:textId="70F423D8" w:rsidR="00D87E6F" w:rsidRDefault="00D87E6F" w:rsidP="00D87E6F">
      <w:pPr>
        <w:rPr>
          <w:rFonts w:eastAsiaTheme="majorEastAsia" w:cstheme="minorHAnsi"/>
        </w:rPr>
      </w:pPr>
    </w:p>
    <w:p w14:paraId="61101226" w14:textId="1E2D4E6F" w:rsidR="00F40CC2" w:rsidRDefault="00F40CC2" w:rsidP="00D87E6F">
      <w:pPr>
        <w:rPr>
          <w:rFonts w:eastAsiaTheme="majorEastAsia" w:cstheme="minorHAnsi"/>
        </w:rPr>
      </w:pPr>
    </w:p>
    <w:p w14:paraId="4B26A9C7" w14:textId="61114921" w:rsidR="00F40CC2" w:rsidRDefault="00F40CC2" w:rsidP="00D87E6F">
      <w:pPr>
        <w:rPr>
          <w:rFonts w:eastAsiaTheme="majorEastAsia" w:cstheme="minorHAnsi"/>
        </w:rPr>
      </w:pPr>
    </w:p>
    <w:p w14:paraId="6F2F552C" w14:textId="77777777" w:rsidR="00F40CC2" w:rsidRPr="00D87E6F" w:rsidRDefault="00F40CC2" w:rsidP="00D87E6F">
      <w:pPr>
        <w:rPr>
          <w:rFonts w:eastAsiaTheme="majorEastAsia" w:cstheme="minorHAnsi"/>
        </w:rPr>
      </w:pPr>
    </w:p>
    <w:p w14:paraId="270E7483" w14:textId="74C5A648" w:rsidR="00C95F66" w:rsidRDefault="00BB7218" w:rsidP="00BB7218">
      <w:pPr>
        <w:pStyle w:val="Heading1"/>
      </w:pPr>
      <w:bookmarkStart w:id="10" w:name="_Toc114566370"/>
      <w:r>
        <w:lastRenderedPageBreak/>
        <w:t>Plan Summaries</w:t>
      </w:r>
      <w:r w:rsidR="00F848DE">
        <w:t xml:space="preserve"> for SFDAIs</w:t>
      </w:r>
      <w:bookmarkEnd w:id="10"/>
    </w:p>
    <w:p w14:paraId="200EEB9E" w14:textId="77777777" w:rsidR="00C95F66" w:rsidRDefault="00C95F66" w:rsidP="005E6CF4">
      <w:pPr>
        <w:rPr>
          <w:rFonts w:eastAsiaTheme="majorEastAsia" w:cstheme="minorHAnsi"/>
        </w:rPr>
      </w:pPr>
    </w:p>
    <w:p w14:paraId="2FE90C36" w14:textId="77777777" w:rsidR="00C01831" w:rsidRDefault="005E6CF4" w:rsidP="001A257F">
      <w:pPr>
        <w:pStyle w:val="Heading2"/>
      </w:pPr>
      <w:bookmarkStart w:id="11" w:name="_Toc114566371"/>
      <w:r w:rsidRPr="003376E4">
        <w:t>Harmonization of electronic data exchange</w:t>
      </w:r>
      <w:bookmarkEnd w:id="11"/>
    </w:p>
    <w:p w14:paraId="44C5775C" w14:textId="310E98F2" w:rsidR="00C01831" w:rsidRPr="00F2681C" w:rsidRDefault="00C01831" w:rsidP="00F2681C">
      <w:pPr>
        <w:rPr>
          <w:rFonts w:eastAsiaTheme="majorEastAsia" w:cstheme="minorHAnsi"/>
          <w:b/>
          <w:bCs/>
        </w:rPr>
      </w:pPr>
      <w:r>
        <w:rPr>
          <w:rFonts w:eastAsiaTheme="majorEastAsia" w:cstheme="minorHAnsi"/>
          <w:b/>
          <w:bCs/>
        </w:rPr>
        <w:t xml:space="preserve">Status: </w:t>
      </w:r>
      <w:r w:rsidR="006B29AC" w:rsidRPr="00973F15">
        <w:rPr>
          <w:rFonts w:eastAsiaTheme="majorEastAsia" w:cstheme="minorHAnsi"/>
        </w:rPr>
        <w:t>CPM</w:t>
      </w:r>
      <w:r w:rsidR="00277F45">
        <w:rPr>
          <w:rFonts w:eastAsiaTheme="majorEastAsia" w:cstheme="minorHAnsi"/>
        </w:rPr>
        <w:t>-</w:t>
      </w:r>
      <w:r w:rsidR="006B29AC" w:rsidRPr="00973F15">
        <w:rPr>
          <w:rFonts w:eastAsiaTheme="majorEastAsia" w:cstheme="minorHAnsi"/>
        </w:rPr>
        <w:t xml:space="preserve">10 (2014) confirmed support for </w:t>
      </w:r>
      <w:r w:rsidR="00973F15" w:rsidRPr="00973F15">
        <w:rPr>
          <w:rFonts w:eastAsiaTheme="majorEastAsia" w:cstheme="minorHAnsi"/>
        </w:rPr>
        <w:t>developing an ePhyto solution</w:t>
      </w:r>
      <w:r w:rsidR="00973F15" w:rsidRPr="00D70013">
        <w:rPr>
          <w:rFonts w:eastAsiaTheme="majorEastAsia" w:cstheme="minorHAnsi"/>
        </w:rPr>
        <w:t>. Since then</w:t>
      </w:r>
      <w:r w:rsidR="00D70013">
        <w:rPr>
          <w:rFonts w:eastAsiaTheme="majorEastAsia" w:cstheme="minorHAnsi"/>
        </w:rPr>
        <w:t>,</w:t>
      </w:r>
      <w:r w:rsidR="00277F45">
        <w:rPr>
          <w:rFonts w:eastAsiaTheme="majorEastAsia" w:cstheme="minorHAnsi"/>
        </w:rPr>
        <w:t xml:space="preserve"> the</w:t>
      </w:r>
      <w:r w:rsidR="008E1ABD">
        <w:rPr>
          <w:rFonts w:eastAsiaTheme="majorEastAsia" w:cstheme="minorHAnsi"/>
        </w:rPr>
        <w:t xml:space="preserve"> ePhyto</w:t>
      </w:r>
      <w:r w:rsidR="00840ACD">
        <w:rPr>
          <w:rFonts w:eastAsiaTheme="majorEastAsia" w:cstheme="minorHAnsi"/>
        </w:rPr>
        <w:t xml:space="preserve"> </w:t>
      </w:r>
      <w:r w:rsidR="008E1ABD">
        <w:rPr>
          <w:rFonts w:eastAsiaTheme="majorEastAsia" w:cstheme="minorHAnsi"/>
        </w:rPr>
        <w:t>Solution has been buil</w:t>
      </w:r>
      <w:r w:rsidR="00277F45">
        <w:rPr>
          <w:rFonts w:eastAsiaTheme="majorEastAsia" w:cstheme="minorHAnsi"/>
        </w:rPr>
        <w:t>t</w:t>
      </w:r>
      <w:r w:rsidR="008A7122">
        <w:rPr>
          <w:rFonts w:eastAsiaTheme="majorEastAsia" w:cstheme="minorHAnsi"/>
        </w:rPr>
        <w:t xml:space="preserve">, </w:t>
      </w:r>
      <w:r w:rsidR="00294E64" w:rsidRPr="00D70013">
        <w:rPr>
          <w:rFonts w:eastAsiaTheme="majorEastAsia" w:cstheme="minorHAnsi"/>
        </w:rPr>
        <w:t xml:space="preserve">44 countries have deployed the </w:t>
      </w:r>
      <w:r w:rsidR="001E7FFC" w:rsidRPr="00D70013">
        <w:rPr>
          <w:rFonts w:eastAsiaTheme="majorEastAsia" w:cstheme="minorHAnsi"/>
        </w:rPr>
        <w:t>GeNS system and 11</w:t>
      </w:r>
      <w:r w:rsidR="008A5F89">
        <w:rPr>
          <w:rFonts w:eastAsiaTheme="majorEastAsia" w:cstheme="minorHAnsi"/>
        </w:rPr>
        <w:t>2</w:t>
      </w:r>
      <w:r w:rsidR="001E7FFC" w:rsidRPr="00D70013">
        <w:rPr>
          <w:rFonts w:eastAsiaTheme="majorEastAsia" w:cstheme="minorHAnsi"/>
        </w:rPr>
        <w:t xml:space="preserve"> countries have ePhyto Hub connections</w:t>
      </w:r>
      <w:r w:rsidR="00F2681C">
        <w:rPr>
          <w:rFonts w:eastAsiaTheme="majorEastAsia" w:cstheme="minorHAnsi"/>
        </w:rPr>
        <w:t>,</w:t>
      </w:r>
      <w:r w:rsidR="008812D8">
        <w:rPr>
          <w:rFonts w:eastAsiaTheme="majorEastAsia" w:cstheme="minorHAnsi"/>
        </w:rPr>
        <w:t xml:space="preserve"> with 70 countries actively exchanging certificate information through the Hub.</w:t>
      </w:r>
      <w:r w:rsidR="009C685C">
        <w:rPr>
          <w:rFonts w:eastAsiaTheme="majorEastAsia" w:cstheme="minorHAnsi"/>
        </w:rPr>
        <w:t xml:space="preserve"> </w:t>
      </w:r>
      <w:r w:rsidR="00C82A5A">
        <w:rPr>
          <w:rFonts w:eastAsiaTheme="majorEastAsia" w:cstheme="minorHAnsi"/>
        </w:rPr>
        <w:t xml:space="preserve">Over 2.5 million live exchanges </w:t>
      </w:r>
      <w:r w:rsidR="0003473E">
        <w:rPr>
          <w:rFonts w:eastAsiaTheme="majorEastAsia" w:cstheme="minorHAnsi"/>
        </w:rPr>
        <w:t>have been made since going live in 2017</w:t>
      </w:r>
      <w:r w:rsidR="00A94023">
        <w:rPr>
          <w:rFonts w:eastAsiaTheme="majorEastAsia" w:cstheme="minorHAnsi"/>
        </w:rPr>
        <w:t xml:space="preserve"> with a ste</w:t>
      </w:r>
      <w:r w:rsidR="00246A8C">
        <w:rPr>
          <w:rFonts w:eastAsiaTheme="majorEastAsia" w:cstheme="minorHAnsi"/>
        </w:rPr>
        <w:t>e</w:t>
      </w:r>
      <w:r w:rsidR="00A94023">
        <w:rPr>
          <w:rFonts w:eastAsiaTheme="majorEastAsia" w:cstheme="minorHAnsi"/>
        </w:rPr>
        <w:t xml:space="preserve">p increase in usage since </w:t>
      </w:r>
      <w:r w:rsidR="00246A8C">
        <w:rPr>
          <w:rFonts w:eastAsiaTheme="majorEastAsia" w:cstheme="minorHAnsi"/>
        </w:rPr>
        <w:t>early 2020</w:t>
      </w:r>
      <w:r w:rsidR="00A81F1E">
        <w:rPr>
          <w:rFonts w:eastAsiaTheme="majorEastAsia" w:cstheme="minorHAnsi"/>
        </w:rPr>
        <w:t xml:space="preserve">. </w:t>
      </w:r>
      <w:r w:rsidR="00970BDD">
        <w:rPr>
          <w:rFonts w:eastAsiaTheme="majorEastAsia" w:cstheme="minorHAnsi"/>
        </w:rPr>
        <w:t xml:space="preserve">The functionality of the ePhyto solution continues to grow. </w:t>
      </w:r>
      <w:r w:rsidR="001E7555">
        <w:rPr>
          <w:rFonts w:eastAsiaTheme="majorEastAsia" w:cstheme="minorHAnsi"/>
        </w:rPr>
        <w:t xml:space="preserve">Substantial effort is still required </w:t>
      </w:r>
      <w:r w:rsidR="004B368B">
        <w:rPr>
          <w:rFonts w:eastAsiaTheme="majorEastAsia" w:cstheme="minorHAnsi"/>
        </w:rPr>
        <w:t xml:space="preserve">within </w:t>
      </w:r>
      <w:r w:rsidR="001E7555">
        <w:rPr>
          <w:rFonts w:eastAsiaTheme="majorEastAsia" w:cstheme="minorHAnsi"/>
        </w:rPr>
        <w:t xml:space="preserve">countries to </w:t>
      </w:r>
      <w:r w:rsidR="004B368B">
        <w:rPr>
          <w:rFonts w:eastAsiaTheme="majorEastAsia" w:cstheme="minorHAnsi"/>
        </w:rPr>
        <w:t>implement electronic exchange</w:t>
      </w:r>
      <w:r w:rsidR="00F05D69">
        <w:rPr>
          <w:rFonts w:eastAsiaTheme="majorEastAsia" w:cstheme="minorHAnsi"/>
        </w:rPr>
        <w:t>.</w:t>
      </w:r>
    </w:p>
    <w:p w14:paraId="7B67C8DA" w14:textId="27406F4A" w:rsidR="00605027" w:rsidRPr="00605027" w:rsidRDefault="00605027" w:rsidP="00840ACD">
      <w:pPr>
        <w:ind w:left="709" w:hanging="709"/>
        <w:rPr>
          <w:rFonts w:eastAsiaTheme="majorEastAsia" w:cstheme="minorHAnsi"/>
          <w:b/>
          <w:bCs/>
        </w:rPr>
      </w:pPr>
      <w:r w:rsidRPr="00605027">
        <w:rPr>
          <w:rFonts w:eastAsiaTheme="majorEastAsia" w:cstheme="minorHAnsi"/>
          <w:b/>
          <w:bCs/>
        </w:rPr>
        <w:t>Long-term plan</w:t>
      </w:r>
      <w:r>
        <w:rPr>
          <w:rFonts w:eastAsiaTheme="majorEastAsia" w:cstheme="minorHAnsi"/>
          <w:b/>
          <w:bCs/>
        </w:rPr>
        <w:t>:</w:t>
      </w:r>
      <w:r w:rsidR="003827B0">
        <w:rPr>
          <w:rFonts w:eastAsiaTheme="majorEastAsia" w:cstheme="minorHAnsi"/>
          <w:b/>
          <w:bCs/>
        </w:rPr>
        <w:t xml:space="preserve"> </w:t>
      </w:r>
      <w:r w:rsidR="003827B0" w:rsidRPr="003827B0">
        <w:rPr>
          <w:rFonts w:eastAsiaTheme="majorEastAsia" w:cstheme="minorHAnsi"/>
          <w:b/>
          <w:bCs/>
          <w:highlight w:val="yellow"/>
        </w:rPr>
        <w:t>TBC</w:t>
      </w:r>
    </w:p>
    <w:p w14:paraId="29BCEE9E" w14:textId="58984AC5" w:rsidR="003672D4" w:rsidRDefault="00340455" w:rsidP="00F2681C">
      <w:pPr>
        <w:rPr>
          <w:rFonts w:eastAsiaTheme="majorEastAsia" w:cstheme="minorHAnsi"/>
          <w:b/>
          <w:bCs/>
        </w:rPr>
      </w:pPr>
      <w:r>
        <w:rPr>
          <w:rFonts w:eastAsiaTheme="majorEastAsia" w:cstheme="minorHAnsi"/>
          <w:b/>
          <w:bCs/>
        </w:rPr>
        <w:t xml:space="preserve">Financial </w:t>
      </w:r>
      <w:r w:rsidR="003827B0">
        <w:rPr>
          <w:rFonts w:eastAsiaTheme="majorEastAsia" w:cstheme="minorHAnsi"/>
          <w:b/>
          <w:bCs/>
        </w:rPr>
        <w:t>p</w:t>
      </w:r>
      <w:r>
        <w:rPr>
          <w:rFonts w:eastAsiaTheme="majorEastAsia" w:cstheme="minorHAnsi"/>
          <w:b/>
          <w:bCs/>
        </w:rPr>
        <w:t>lan:</w:t>
      </w:r>
      <w:r w:rsidR="00D350DE" w:rsidRPr="00D350DE">
        <w:rPr>
          <w:lang w:val="en-GB"/>
        </w:rPr>
        <w:t xml:space="preserve"> </w:t>
      </w:r>
      <w:r w:rsidR="00D350DE">
        <w:rPr>
          <w:lang w:val="en-GB"/>
        </w:rPr>
        <w:t>To carry out the activities of the work programme, the following funding will be required:</w:t>
      </w:r>
    </w:p>
    <w:tbl>
      <w:tblPr>
        <w:tblStyle w:val="GridTable4-Accent11"/>
        <w:tblW w:w="9503" w:type="dxa"/>
        <w:tblLook w:val="04A0" w:firstRow="1" w:lastRow="0" w:firstColumn="1" w:lastColumn="0" w:noHBand="0" w:noVBand="1"/>
      </w:tblPr>
      <w:tblGrid>
        <w:gridCol w:w="1039"/>
        <w:gridCol w:w="1039"/>
        <w:gridCol w:w="1040"/>
        <w:gridCol w:w="1040"/>
        <w:gridCol w:w="1040"/>
        <w:gridCol w:w="1040"/>
        <w:gridCol w:w="1040"/>
        <w:gridCol w:w="1040"/>
        <w:gridCol w:w="1185"/>
      </w:tblGrid>
      <w:tr w:rsidR="003672D4" w14:paraId="7B29F593" w14:textId="77777777" w:rsidTr="5BC9F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Pr>
          <w:p w14:paraId="77179DF2" w14:textId="77777777" w:rsidR="003672D4" w:rsidRDefault="003672D4" w:rsidP="004C3CBA">
            <w:pPr>
              <w:rPr>
                <w:lang w:val="en-GB"/>
              </w:rPr>
            </w:pPr>
            <w:r>
              <w:rPr>
                <w:b w:val="0"/>
                <w:bCs w:val="0"/>
                <w:lang w:val="en-GB"/>
              </w:rPr>
              <w:t>2023</w:t>
            </w:r>
          </w:p>
          <w:p w14:paraId="60133C2E" w14:textId="77777777" w:rsidR="003672D4" w:rsidRDefault="003672D4" w:rsidP="004C3CBA">
            <w:pPr>
              <w:rPr>
                <w:b w:val="0"/>
                <w:bCs w:val="0"/>
                <w:lang w:val="en-GB"/>
              </w:rPr>
            </w:pPr>
            <w:r w:rsidRPr="00EC4297">
              <w:rPr>
                <w:b w:val="0"/>
                <w:bCs w:val="0"/>
                <w:lang w:val="en-GB"/>
              </w:rPr>
              <w:t>($’000)</w:t>
            </w:r>
          </w:p>
        </w:tc>
        <w:tc>
          <w:tcPr>
            <w:tcW w:w="1039" w:type="dxa"/>
          </w:tcPr>
          <w:p w14:paraId="5CF8A6DF"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4A26A402"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1040" w:type="dxa"/>
          </w:tcPr>
          <w:p w14:paraId="476EC940"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002B8501"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209A284B"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5508902D"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448FE8C9"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5FE24A13"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074099B1"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5454C629"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5342E8D6"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48EB40B2"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041DB62C"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02E270BB"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185" w:type="dxa"/>
          </w:tcPr>
          <w:p w14:paraId="440B78FF"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072D97EC"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E77EB4" w14:paraId="428BCA8D" w14:textId="77777777" w:rsidTr="5BC9F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Pr>
          <w:p w14:paraId="13BEF520" w14:textId="4B6B7567" w:rsidR="00E77EB4" w:rsidRPr="00C544E0" w:rsidRDefault="00E77EB4" w:rsidP="00E77EB4">
            <w:pPr>
              <w:rPr>
                <w:b w:val="0"/>
                <w:bCs w:val="0"/>
                <w:lang w:val="en-GB"/>
              </w:rPr>
            </w:pPr>
            <w:r w:rsidRPr="00C544E0">
              <w:rPr>
                <w:b w:val="0"/>
                <w:bCs w:val="0"/>
              </w:rPr>
              <w:t xml:space="preserve">$1,071 </w:t>
            </w:r>
          </w:p>
        </w:tc>
        <w:tc>
          <w:tcPr>
            <w:tcW w:w="1039" w:type="dxa"/>
          </w:tcPr>
          <w:p w14:paraId="1FCE95AF" w14:textId="32E85BB3"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w:t>
            </w:r>
            <w:r w:rsidR="00C544E0">
              <w:t>$</w:t>
            </w:r>
            <w:r w:rsidRPr="000624D6">
              <w:t>1,147</w:t>
            </w:r>
          </w:p>
        </w:tc>
        <w:tc>
          <w:tcPr>
            <w:tcW w:w="1040" w:type="dxa"/>
          </w:tcPr>
          <w:p w14:paraId="535111DF" w14:textId="70115DB7"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$1,330</w:t>
            </w:r>
          </w:p>
        </w:tc>
        <w:tc>
          <w:tcPr>
            <w:tcW w:w="1040" w:type="dxa"/>
          </w:tcPr>
          <w:p w14:paraId="682773CC" w14:textId="08807D5E"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$1,410</w:t>
            </w:r>
          </w:p>
        </w:tc>
        <w:tc>
          <w:tcPr>
            <w:tcW w:w="1040" w:type="dxa"/>
          </w:tcPr>
          <w:p w14:paraId="4C924681" w14:textId="10320D0B"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w:t>
            </w:r>
            <w:r w:rsidR="00C544E0">
              <w:t>8</w:t>
            </w:r>
            <w:r w:rsidRPr="000624D6">
              <w:t xml:space="preserve"> </w:t>
            </w:r>
          </w:p>
        </w:tc>
        <w:tc>
          <w:tcPr>
            <w:tcW w:w="1040" w:type="dxa"/>
          </w:tcPr>
          <w:p w14:paraId="22A7A432" w14:textId="3969A1B9"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$1,498</w:t>
            </w:r>
          </w:p>
        </w:tc>
        <w:tc>
          <w:tcPr>
            <w:tcW w:w="1040" w:type="dxa"/>
          </w:tcPr>
          <w:p w14:paraId="1452EA22" w14:textId="2A17F240"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w:t>
            </w:r>
            <w:r w:rsidR="00C544E0">
              <w:t>8</w:t>
            </w:r>
            <w:r w:rsidRPr="000624D6">
              <w:t xml:space="preserve"> </w:t>
            </w:r>
          </w:p>
        </w:tc>
        <w:tc>
          <w:tcPr>
            <w:tcW w:w="1040" w:type="dxa"/>
          </w:tcPr>
          <w:p w14:paraId="4BECD745" w14:textId="02D32DB5"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$1,498</w:t>
            </w:r>
          </w:p>
        </w:tc>
        <w:tc>
          <w:tcPr>
            <w:tcW w:w="1185" w:type="dxa"/>
          </w:tcPr>
          <w:p w14:paraId="580B3F64" w14:textId="47DE3FCF"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971868">
              <w:t xml:space="preserve">  </w:t>
            </w:r>
            <w:r w:rsidR="24D65EAF">
              <w:t>$</w:t>
            </w:r>
            <w:r w:rsidR="00C544E0">
              <w:t>11,926</w:t>
            </w:r>
            <w:r w:rsidRPr="00971868">
              <w:t xml:space="preserve"> </w:t>
            </w:r>
          </w:p>
        </w:tc>
      </w:tr>
    </w:tbl>
    <w:p w14:paraId="7175B898" w14:textId="77777777" w:rsidR="0062490D" w:rsidRDefault="0062490D" w:rsidP="0062490D">
      <w:pPr>
        <w:spacing w:after="0"/>
        <w:rPr>
          <w:rFonts w:eastAsiaTheme="majorEastAsia" w:cstheme="minorHAnsi"/>
        </w:rPr>
      </w:pPr>
    </w:p>
    <w:p w14:paraId="5E235B9A" w14:textId="39A10626" w:rsidR="00340455" w:rsidRPr="00D350DE" w:rsidRDefault="00D350DE" w:rsidP="00F2681C">
      <w:pPr>
        <w:rPr>
          <w:rFonts w:eastAsiaTheme="majorEastAsia" w:cstheme="minorHAnsi"/>
        </w:rPr>
      </w:pPr>
      <w:r w:rsidRPr="00D350DE">
        <w:rPr>
          <w:rFonts w:eastAsiaTheme="majorEastAsia" w:cstheme="minorHAnsi"/>
        </w:rPr>
        <w:t xml:space="preserve">Resources will include IPPC Secretariat staff and members of the </w:t>
      </w:r>
      <w:r w:rsidR="00792EB8">
        <w:rPr>
          <w:rFonts w:eastAsiaTheme="majorEastAsia" w:cstheme="minorHAnsi"/>
        </w:rPr>
        <w:t>ePhyto Steering Group</w:t>
      </w:r>
      <w:r w:rsidRPr="00D350DE">
        <w:rPr>
          <w:rFonts w:eastAsiaTheme="majorEastAsia" w:cstheme="minorHAnsi"/>
        </w:rPr>
        <w:t>.</w:t>
      </w:r>
    </w:p>
    <w:p w14:paraId="4CDF7BB4" w14:textId="63C769CD" w:rsidR="005E6CF4" w:rsidRDefault="00193B92" w:rsidP="00F2681C">
      <w:pPr>
        <w:rPr>
          <w:rFonts w:eastAsiaTheme="majorEastAsia" w:cstheme="minorHAnsi"/>
        </w:rPr>
      </w:pPr>
      <w:r>
        <w:rPr>
          <w:rFonts w:eastAsiaTheme="majorEastAsia" w:cstheme="minorHAnsi"/>
          <w:b/>
          <w:bCs/>
        </w:rPr>
        <w:t xml:space="preserve">Sequencing </w:t>
      </w:r>
      <w:r w:rsidR="003827B0">
        <w:rPr>
          <w:rFonts w:eastAsiaTheme="majorEastAsia" w:cstheme="minorHAnsi"/>
          <w:b/>
          <w:bCs/>
        </w:rPr>
        <w:t>r</w:t>
      </w:r>
      <w:r w:rsidR="00C01831">
        <w:rPr>
          <w:rFonts w:eastAsiaTheme="majorEastAsia" w:cstheme="minorHAnsi"/>
          <w:b/>
          <w:bCs/>
        </w:rPr>
        <w:t xml:space="preserve">ecommendation: </w:t>
      </w:r>
      <w:r w:rsidR="007F2CCF" w:rsidRPr="007F2CCF">
        <w:rPr>
          <w:rFonts w:eastAsiaTheme="majorEastAsia" w:cstheme="minorHAnsi"/>
        </w:rPr>
        <w:t>FG SFDAI recommends</w:t>
      </w:r>
      <w:r w:rsidR="00F2681C">
        <w:rPr>
          <w:rFonts w:eastAsiaTheme="majorEastAsia" w:cstheme="minorHAnsi"/>
        </w:rPr>
        <w:t xml:space="preserve"> that this should</w:t>
      </w:r>
      <w:r w:rsidR="007F2CCF" w:rsidRPr="00F2681C">
        <w:rPr>
          <w:rFonts w:eastAsiaTheme="majorEastAsia" w:cstheme="minorHAnsi"/>
        </w:rPr>
        <w:t xml:space="preserve"> c</w:t>
      </w:r>
      <w:r w:rsidR="005D729F" w:rsidRPr="00F2681C">
        <w:rPr>
          <w:rFonts w:eastAsiaTheme="majorEastAsia" w:cstheme="minorHAnsi"/>
        </w:rPr>
        <w:t>ontinue</w:t>
      </w:r>
      <w:r w:rsidR="005D729F">
        <w:rPr>
          <w:rFonts w:eastAsiaTheme="majorEastAsia" w:cstheme="minorHAnsi"/>
        </w:rPr>
        <w:t xml:space="preserve"> in </w:t>
      </w:r>
      <w:r w:rsidR="00F2681C">
        <w:rPr>
          <w:rFonts w:eastAsiaTheme="majorEastAsia" w:cstheme="minorHAnsi"/>
        </w:rPr>
        <w:t>D</w:t>
      </w:r>
      <w:r w:rsidR="005D729F">
        <w:rPr>
          <w:rFonts w:eastAsiaTheme="majorEastAsia" w:cstheme="minorHAnsi"/>
        </w:rPr>
        <w:t xml:space="preserve">elivery phase until sustainable funding arrangements are </w:t>
      </w:r>
      <w:r w:rsidR="00F2681C">
        <w:rPr>
          <w:rFonts w:eastAsiaTheme="majorEastAsia" w:cstheme="minorHAnsi"/>
        </w:rPr>
        <w:t>in place</w:t>
      </w:r>
      <w:r w:rsidR="00A3144D">
        <w:rPr>
          <w:rFonts w:eastAsiaTheme="majorEastAsia" w:cstheme="minorHAnsi"/>
        </w:rPr>
        <w:t xml:space="preserve">, then </w:t>
      </w:r>
      <w:r w:rsidR="00680AB1">
        <w:rPr>
          <w:rFonts w:eastAsiaTheme="majorEastAsia" w:cstheme="minorHAnsi"/>
        </w:rPr>
        <w:t xml:space="preserve">transition to </w:t>
      </w:r>
      <w:r w:rsidR="00797904">
        <w:rPr>
          <w:rFonts w:eastAsiaTheme="majorEastAsia" w:cstheme="minorHAnsi"/>
        </w:rPr>
        <w:t xml:space="preserve">ongoing core activity. During </w:t>
      </w:r>
      <w:r w:rsidR="004F06FD">
        <w:rPr>
          <w:rFonts w:eastAsiaTheme="majorEastAsia" w:cstheme="minorHAnsi"/>
        </w:rPr>
        <w:t xml:space="preserve">or prior to </w:t>
      </w:r>
      <w:r w:rsidR="00797904">
        <w:rPr>
          <w:rFonts w:eastAsiaTheme="majorEastAsia" w:cstheme="minorHAnsi"/>
        </w:rPr>
        <w:t>transi</w:t>
      </w:r>
      <w:r w:rsidR="001420DB">
        <w:rPr>
          <w:rFonts w:eastAsiaTheme="majorEastAsia" w:cstheme="minorHAnsi"/>
        </w:rPr>
        <w:t>tion</w:t>
      </w:r>
      <w:r w:rsidR="00F2681C">
        <w:rPr>
          <w:rFonts w:eastAsiaTheme="majorEastAsia" w:cstheme="minorHAnsi"/>
        </w:rPr>
        <w:t>,</w:t>
      </w:r>
      <w:r w:rsidR="001420DB">
        <w:rPr>
          <w:rFonts w:eastAsiaTheme="majorEastAsia" w:cstheme="minorHAnsi"/>
        </w:rPr>
        <w:t xml:space="preserve"> </w:t>
      </w:r>
      <w:r w:rsidR="00F2681C">
        <w:rPr>
          <w:rFonts w:eastAsiaTheme="majorEastAsia" w:cstheme="minorHAnsi"/>
        </w:rPr>
        <w:t xml:space="preserve">there should be </w:t>
      </w:r>
      <w:r w:rsidR="001420DB">
        <w:rPr>
          <w:rFonts w:eastAsiaTheme="majorEastAsia" w:cstheme="minorHAnsi"/>
        </w:rPr>
        <w:t>consider</w:t>
      </w:r>
      <w:r w:rsidR="00F2681C">
        <w:rPr>
          <w:rFonts w:eastAsiaTheme="majorEastAsia" w:cstheme="minorHAnsi"/>
        </w:rPr>
        <w:t xml:space="preserve">ation </w:t>
      </w:r>
      <w:r w:rsidR="00022AF6">
        <w:rPr>
          <w:rFonts w:eastAsiaTheme="majorEastAsia" w:cstheme="minorHAnsi"/>
        </w:rPr>
        <w:t xml:space="preserve">of the following: </w:t>
      </w:r>
      <w:r w:rsidR="00235CA2">
        <w:rPr>
          <w:rFonts w:eastAsiaTheme="majorEastAsia" w:cstheme="minorHAnsi"/>
        </w:rPr>
        <w:t>to</w:t>
      </w:r>
      <w:r w:rsidR="00F2681C">
        <w:rPr>
          <w:rFonts w:eastAsiaTheme="majorEastAsia" w:cstheme="minorHAnsi"/>
        </w:rPr>
        <w:t xml:space="preserve"> hav</w:t>
      </w:r>
      <w:r w:rsidR="00235CA2">
        <w:rPr>
          <w:rFonts w:eastAsiaTheme="majorEastAsia" w:cstheme="minorHAnsi"/>
        </w:rPr>
        <w:t>e</w:t>
      </w:r>
      <w:r w:rsidR="001420DB">
        <w:rPr>
          <w:rFonts w:eastAsiaTheme="majorEastAsia" w:cstheme="minorHAnsi"/>
        </w:rPr>
        <w:t xml:space="preserve"> </w:t>
      </w:r>
      <w:r w:rsidR="002D798F">
        <w:rPr>
          <w:rFonts w:eastAsiaTheme="majorEastAsia" w:cstheme="minorHAnsi"/>
        </w:rPr>
        <w:t xml:space="preserve">a </w:t>
      </w:r>
      <w:r w:rsidR="009922DC">
        <w:rPr>
          <w:rFonts w:eastAsiaTheme="majorEastAsia" w:cstheme="minorHAnsi"/>
        </w:rPr>
        <w:t xml:space="preserve">permanent staff position to lead </w:t>
      </w:r>
      <w:r w:rsidR="00176852">
        <w:rPr>
          <w:rFonts w:eastAsiaTheme="majorEastAsia" w:cstheme="minorHAnsi"/>
        </w:rPr>
        <w:t xml:space="preserve">the </w:t>
      </w:r>
      <w:r w:rsidR="009922DC">
        <w:rPr>
          <w:rFonts w:eastAsiaTheme="majorEastAsia" w:cstheme="minorHAnsi"/>
        </w:rPr>
        <w:t>Secretariat</w:t>
      </w:r>
      <w:r w:rsidR="00176852">
        <w:rPr>
          <w:rFonts w:eastAsiaTheme="majorEastAsia" w:cstheme="minorHAnsi"/>
        </w:rPr>
        <w:t xml:space="preserve"> ePhyto work programme; </w:t>
      </w:r>
      <w:r w:rsidR="008B6BB3">
        <w:rPr>
          <w:rFonts w:eastAsiaTheme="majorEastAsia" w:cstheme="minorHAnsi"/>
        </w:rPr>
        <w:t xml:space="preserve">future </w:t>
      </w:r>
      <w:r w:rsidR="001420DB">
        <w:rPr>
          <w:rFonts w:eastAsiaTheme="majorEastAsia" w:cstheme="minorHAnsi"/>
        </w:rPr>
        <w:t>governance arrangements</w:t>
      </w:r>
      <w:r w:rsidR="00176852">
        <w:rPr>
          <w:rFonts w:eastAsiaTheme="majorEastAsia" w:cstheme="minorHAnsi"/>
        </w:rPr>
        <w:t>;</w:t>
      </w:r>
      <w:r w:rsidR="003B025D">
        <w:rPr>
          <w:rFonts w:eastAsiaTheme="majorEastAsia" w:cstheme="minorHAnsi"/>
        </w:rPr>
        <w:t xml:space="preserve"> </w:t>
      </w:r>
      <w:r w:rsidR="001807D1">
        <w:rPr>
          <w:rFonts w:eastAsiaTheme="majorEastAsia" w:cstheme="minorHAnsi"/>
        </w:rPr>
        <w:t xml:space="preserve">change control and approval </w:t>
      </w:r>
      <w:r w:rsidR="003376E4">
        <w:rPr>
          <w:rFonts w:eastAsiaTheme="majorEastAsia" w:cstheme="minorHAnsi"/>
        </w:rPr>
        <w:t>processes</w:t>
      </w:r>
      <w:r w:rsidR="00176852">
        <w:rPr>
          <w:rFonts w:eastAsiaTheme="majorEastAsia" w:cstheme="minorHAnsi"/>
        </w:rPr>
        <w:t>;</w:t>
      </w:r>
      <w:r w:rsidR="00A766A3">
        <w:rPr>
          <w:rFonts w:eastAsiaTheme="majorEastAsia" w:cstheme="minorHAnsi"/>
        </w:rPr>
        <w:t xml:space="preserve"> standardized </w:t>
      </w:r>
      <w:r w:rsidR="009D0F63">
        <w:rPr>
          <w:rFonts w:eastAsiaTheme="majorEastAsia" w:cstheme="minorHAnsi"/>
        </w:rPr>
        <w:t>regular reporting</w:t>
      </w:r>
      <w:r w:rsidR="008B6BB3">
        <w:rPr>
          <w:rFonts w:eastAsiaTheme="majorEastAsia" w:cstheme="minorHAnsi"/>
        </w:rPr>
        <w:t>.</w:t>
      </w:r>
    </w:p>
    <w:p w14:paraId="44FC7DD0" w14:textId="3BD109E8" w:rsidR="00152E1A" w:rsidRDefault="007D09BF" w:rsidP="00F2681C">
      <w:pPr>
        <w:rPr>
          <w:rFonts w:eastAsiaTheme="majorEastAsia" w:cstheme="minorHAnsi"/>
        </w:rPr>
      </w:pPr>
      <w:r w:rsidRPr="00C1590B">
        <w:rPr>
          <w:rFonts w:eastAsiaTheme="majorEastAsia" w:cstheme="minorHAnsi"/>
          <w:b/>
          <w:bCs/>
        </w:rPr>
        <w:t>Monitoring &amp; Evaluation</w:t>
      </w:r>
      <w:r w:rsidR="00C1590B" w:rsidRPr="00C1590B">
        <w:rPr>
          <w:rFonts w:eastAsiaTheme="majorEastAsia" w:cstheme="minorHAnsi"/>
          <w:b/>
          <w:bCs/>
        </w:rPr>
        <w:t xml:space="preserve"> KPIs</w:t>
      </w:r>
      <w:r w:rsidRPr="00C1590B">
        <w:rPr>
          <w:rFonts w:eastAsiaTheme="majorEastAsia" w:cstheme="minorHAnsi"/>
          <w:b/>
          <w:bCs/>
        </w:rPr>
        <w:t>:</w:t>
      </w:r>
      <w:r w:rsidR="00C1590B">
        <w:rPr>
          <w:rFonts w:eastAsiaTheme="majorEastAsia" w:cstheme="minorHAnsi"/>
        </w:rPr>
        <w:t xml:space="preserve"> The following KPIs are anticipated.</w:t>
      </w:r>
    </w:p>
    <w:p w14:paraId="14917D1A" w14:textId="4127DAB4" w:rsidR="00004C54"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Translation of GENS into Arabic, Spanish and Russian by December 2023</w:t>
      </w:r>
    </w:p>
    <w:p w14:paraId="2C7909DD" w14:textId="5B6788AA" w:rsidR="00004C54"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Approval of sustainable funding mechanism by December 2024</w:t>
      </w:r>
    </w:p>
    <w:p w14:paraId="3A7C3EB3" w14:textId="297F0F4E" w:rsidR="00004C54"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Second international ePhyto solution conference by 2027</w:t>
      </w:r>
    </w:p>
    <w:p w14:paraId="5D75E78A" w14:textId="4B7E2395" w:rsidR="0052208A"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112 countries exchanging in production by 2030</w:t>
      </w:r>
    </w:p>
    <w:p w14:paraId="5895923B" w14:textId="77777777" w:rsidR="007D09BF" w:rsidRDefault="007D09BF" w:rsidP="00F2681C">
      <w:pPr>
        <w:rPr>
          <w:rFonts w:eastAsiaTheme="majorEastAsia" w:cstheme="minorHAnsi"/>
        </w:rPr>
      </w:pPr>
    </w:p>
    <w:p w14:paraId="1C4AD89E" w14:textId="594A8EED" w:rsidR="00272B89" w:rsidRDefault="005E6CF4" w:rsidP="001A257F">
      <w:pPr>
        <w:pStyle w:val="Heading2"/>
      </w:pPr>
      <w:bookmarkStart w:id="12" w:name="_Toc114566372"/>
      <w:r w:rsidRPr="00F77BE5">
        <w:t>Commodity-specific ISPMs</w:t>
      </w:r>
      <w:bookmarkEnd w:id="12"/>
    </w:p>
    <w:p w14:paraId="34997724" w14:textId="6120F206" w:rsidR="005E6CF4" w:rsidRDefault="00272B89" w:rsidP="00F2681C">
      <w:pPr>
        <w:rPr>
          <w:rFonts w:eastAsiaTheme="majorEastAsia" w:cstheme="minorHAnsi"/>
        </w:rPr>
      </w:pPr>
      <w:r w:rsidRPr="00193B92">
        <w:rPr>
          <w:rFonts w:eastAsiaTheme="majorEastAsia" w:cstheme="minorHAnsi"/>
          <w:b/>
          <w:bCs/>
        </w:rPr>
        <w:t xml:space="preserve">Status: </w:t>
      </w:r>
      <w:r w:rsidR="00306E2F">
        <w:rPr>
          <w:rFonts w:eastAsiaTheme="majorEastAsia" w:cstheme="minorHAnsi"/>
        </w:rPr>
        <w:t xml:space="preserve">ISPM 46 </w:t>
      </w:r>
      <w:r w:rsidR="00860011">
        <w:rPr>
          <w:rFonts w:eastAsiaTheme="majorEastAsia" w:cstheme="minorHAnsi"/>
        </w:rPr>
        <w:t xml:space="preserve">Commodity-specific standards </w:t>
      </w:r>
      <w:r w:rsidR="0084061D">
        <w:rPr>
          <w:rFonts w:eastAsiaTheme="majorEastAsia" w:cstheme="minorHAnsi"/>
        </w:rPr>
        <w:t xml:space="preserve">for phytosanitary measures </w:t>
      </w:r>
      <w:r w:rsidR="000E02CB">
        <w:rPr>
          <w:rFonts w:eastAsiaTheme="majorEastAsia" w:cstheme="minorHAnsi"/>
        </w:rPr>
        <w:t>has been developed and adopted</w:t>
      </w:r>
      <w:r w:rsidR="0084061D">
        <w:rPr>
          <w:rFonts w:eastAsiaTheme="majorEastAsia" w:cstheme="minorHAnsi"/>
        </w:rPr>
        <w:t>. The Technical Panel for Co</w:t>
      </w:r>
      <w:r w:rsidR="00346530">
        <w:rPr>
          <w:rFonts w:eastAsiaTheme="majorEastAsia" w:cstheme="minorHAnsi"/>
        </w:rPr>
        <w:t xml:space="preserve">mmodity Standards </w:t>
      </w:r>
      <w:r w:rsidR="007D7CCB">
        <w:rPr>
          <w:rFonts w:eastAsiaTheme="majorEastAsia" w:cstheme="minorHAnsi"/>
        </w:rPr>
        <w:t xml:space="preserve">(TPCS) </w:t>
      </w:r>
      <w:r w:rsidR="00346530">
        <w:rPr>
          <w:rFonts w:eastAsiaTheme="majorEastAsia" w:cstheme="minorHAnsi"/>
        </w:rPr>
        <w:t xml:space="preserve">has been </w:t>
      </w:r>
      <w:r w:rsidR="009C4589">
        <w:rPr>
          <w:rFonts w:eastAsiaTheme="majorEastAsia" w:cstheme="minorHAnsi"/>
        </w:rPr>
        <w:t>established</w:t>
      </w:r>
      <w:r w:rsidR="00346530">
        <w:rPr>
          <w:rFonts w:eastAsiaTheme="majorEastAsia" w:cstheme="minorHAnsi"/>
        </w:rPr>
        <w:t>.</w:t>
      </w:r>
      <w:r w:rsidR="0084061D">
        <w:rPr>
          <w:rFonts w:eastAsiaTheme="majorEastAsia" w:cstheme="minorHAnsi"/>
        </w:rPr>
        <w:t xml:space="preserve"> </w:t>
      </w:r>
      <w:r w:rsidR="009A284D">
        <w:rPr>
          <w:rFonts w:eastAsiaTheme="majorEastAsia" w:cstheme="minorHAnsi"/>
        </w:rPr>
        <w:t>T</w:t>
      </w:r>
      <w:r w:rsidR="009A284D" w:rsidRPr="009A284D">
        <w:rPr>
          <w:rFonts w:eastAsiaTheme="majorEastAsia" w:cstheme="minorHAnsi"/>
        </w:rPr>
        <w:t>here is one topic in the TPCS work programme</w:t>
      </w:r>
      <w:r w:rsidR="009A284D">
        <w:rPr>
          <w:rFonts w:eastAsiaTheme="majorEastAsia" w:cstheme="minorHAnsi"/>
        </w:rPr>
        <w:t xml:space="preserve"> - </w:t>
      </w:r>
      <w:r w:rsidR="009A284D" w:rsidRPr="009A284D">
        <w:rPr>
          <w:rFonts w:eastAsiaTheme="majorEastAsia" w:cstheme="minorHAnsi"/>
        </w:rPr>
        <w:t>International movement of mango (</w:t>
      </w:r>
      <w:r w:rsidR="009A284D" w:rsidRPr="00EE0001">
        <w:rPr>
          <w:rFonts w:eastAsiaTheme="majorEastAsia" w:cstheme="minorHAnsi"/>
          <w:i/>
          <w:iCs/>
        </w:rPr>
        <w:t>Mangifera indica</w:t>
      </w:r>
      <w:r w:rsidR="009A284D" w:rsidRPr="009A284D">
        <w:rPr>
          <w:rFonts w:eastAsiaTheme="majorEastAsia" w:cstheme="minorHAnsi"/>
        </w:rPr>
        <w:t>)</w:t>
      </w:r>
      <w:r w:rsidR="009A284D">
        <w:rPr>
          <w:rFonts w:eastAsiaTheme="majorEastAsia" w:cstheme="minorHAnsi"/>
        </w:rPr>
        <w:t>.</w:t>
      </w:r>
    </w:p>
    <w:p w14:paraId="47F1B9E8" w14:textId="2AAF34A2" w:rsidR="00EE0001" w:rsidRDefault="00EE0001" w:rsidP="00F2681C">
      <w:pPr>
        <w:rPr>
          <w:lang w:val="en-GB"/>
        </w:rPr>
      </w:pPr>
      <w:r w:rsidRPr="00EE0001">
        <w:rPr>
          <w:rFonts w:eastAsiaTheme="majorEastAsia" w:cstheme="minorHAnsi"/>
          <w:b/>
          <w:bCs/>
        </w:rPr>
        <w:t>Long-term plan:</w:t>
      </w:r>
      <w:r>
        <w:rPr>
          <w:rFonts w:eastAsiaTheme="majorEastAsia" w:cstheme="minorHAnsi"/>
          <w:b/>
          <w:bCs/>
        </w:rPr>
        <w:t xml:space="preserve"> </w:t>
      </w:r>
      <w:r>
        <w:rPr>
          <w:lang w:val="en-GB"/>
        </w:rPr>
        <w:t>T</w:t>
      </w:r>
      <w:r w:rsidRPr="00941D92">
        <w:rPr>
          <w:lang w:val="en-GB"/>
        </w:rPr>
        <w:t>he TPCS will begin to develop the first commodity-specific standard on mango fruit, along with accompanying diagnostic protocols and phytosanitary treatments as appropriate. The aim will be to adopt this standard by 2025. While this standard is being developed, other commodities proposed for a standard will be prioritised, with new standards adopted by 2027 and beyond. To ensure that the TPCS can continue to function and develop commodity-specific standards, a long-term sustainable funding mechanism will be scoped out and adopted.</w:t>
      </w:r>
    </w:p>
    <w:p w14:paraId="5C31C103" w14:textId="16EBC11B" w:rsidR="00B71242" w:rsidRDefault="00B71242" w:rsidP="00F2681C">
      <w:pPr>
        <w:rPr>
          <w:lang w:val="en-GB"/>
        </w:rPr>
      </w:pPr>
      <w:r w:rsidRPr="00B71242">
        <w:rPr>
          <w:noProof/>
        </w:rPr>
        <w:lastRenderedPageBreak/>
        <w:drawing>
          <wp:inline distT="0" distB="0" distL="0" distR="0" wp14:anchorId="3FFB7E1A" wp14:editId="2DD0C07B">
            <wp:extent cx="5286375" cy="2368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8037" cy="2391851"/>
                    </a:xfrm>
                    <a:prstGeom prst="rect">
                      <a:avLst/>
                    </a:prstGeom>
                  </pic:spPr>
                </pic:pic>
              </a:graphicData>
            </a:graphic>
          </wp:inline>
        </w:drawing>
      </w:r>
    </w:p>
    <w:p w14:paraId="6D5BD77D" w14:textId="271B4462" w:rsidR="00B71242" w:rsidRDefault="00B71242" w:rsidP="00F2681C">
      <w:pPr>
        <w:rPr>
          <w:lang w:val="en-GB"/>
        </w:rPr>
      </w:pPr>
      <w:r w:rsidRPr="00B71242">
        <w:rPr>
          <w:b/>
          <w:bCs/>
          <w:lang w:val="en-GB"/>
        </w:rPr>
        <w:t xml:space="preserve">Figure </w:t>
      </w:r>
      <w:r w:rsidR="007B4DA0">
        <w:rPr>
          <w:b/>
          <w:bCs/>
          <w:lang w:val="en-GB"/>
        </w:rPr>
        <w:t>4</w:t>
      </w:r>
      <w:r w:rsidRPr="00B71242">
        <w:rPr>
          <w:b/>
          <w:bCs/>
          <w:lang w:val="en-GB"/>
        </w:rPr>
        <w:t>.</w:t>
      </w:r>
      <w:r>
        <w:rPr>
          <w:lang w:val="en-GB"/>
        </w:rPr>
        <w:t xml:space="preserve"> Timeline of activities for the commodity specific ISPMs development agenda item.</w:t>
      </w:r>
    </w:p>
    <w:p w14:paraId="75C22C2B" w14:textId="61D44E04" w:rsidR="00B71242" w:rsidRDefault="00006723" w:rsidP="00F2681C">
      <w:pPr>
        <w:rPr>
          <w:lang w:val="en-GB"/>
        </w:rPr>
      </w:pPr>
      <w:r w:rsidRPr="00006723">
        <w:rPr>
          <w:lang w:val="en-GB"/>
        </w:rPr>
        <w:t>To encourage implementation of the commodity-specific standards and to assess their use, communication and advocacy material will be developed for contracting parties and an evaluation of the economic, food security, trade and environmental benefits of implementing the commodity-specific standards, as well as an evaluation of the barriers to implementation, will be carried out. The results of these evaluations will identify where support is needed.</w:t>
      </w:r>
    </w:p>
    <w:p w14:paraId="35FB555F" w14:textId="76F48E47" w:rsidR="00F4665B" w:rsidRPr="00EC4297" w:rsidRDefault="00F4665B" w:rsidP="00F4665B">
      <w:pPr>
        <w:rPr>
          <w:lang w:val="en-GB"/>
        </w:rPr>
      </w:pPr>
      <w:r>
        <w:rPr>
          <w:b/>
          <w:bCs/>
          <w:lang w:val="en-GB"/>
        </w:rPr>
        <w:t xml:space="preserve">Financial </w:t>
      </w:r>
      <w:r w:rsidR="003827B0">
        <w:rPr>
          <w:b/>
          <w:bCs/>
          <w:lang w:val="en-GB"/>
        </w:rPr>
        <w:t>p</w:t>
      </w:r>
      <w:r>
        <w:rPr>
          <w:b/>
          <w:bCs/>
          <w:lang w:val="en-GB"/>
        </w:rPr>
        <w:t>lan:</w:t>
      </w:r>
      <w:r w:rsidR="00D350DE">
        <w:rPr>
          <w:b/>
          <w:bCs/>
          <w:lang w:val="en-GB"/>
        </w:rPr>
        <w:t xml:space="preserve"> </w:t>
      </w:r>
      <w:r>
        <w:rPr>
          <w:lang w:val="en-GB"/>
        </w:rPr>
        <w:t>To carry out the activities of the work programme, the following funding will be required:</w:t>
      </w:r>
    </w:p>
    <w:tbl>
      <w:tblPr>
        <w:tblStyle w:val="GridTable4-Accent1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F4665B" w14:paraId="65432972"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0606F063" w14:textId="77777777" w:rsidR="00F4665B" w:rsidRDefault="00F4665B" w:rsidP="004C3CBA">
            <w:pPr>
              <w:rPr>
                <w:lang w:val="en-GB"/>
              </w:rPr>
            </w:pPr>
            <w:r>
              <w:rPr>
                <w:b w:val="0"/>
                <w:bCs w:val="0"/>
                <w:lang w:val="en-GB"/>
              </w:rPr>
              <w:t>2023</w:t>
            </w:r>
          </w:p>
          <w:p w14:paraId="5340B565" w14:textId="77777777" w:rsidR="00F4665B" w:rsidRDefault="00F4665B" w:rsidP="004C3CBA">
            <w:pPr>
              <w:rPr>
                <w:b w:val="0"/>
                <w:bCs w:val="0"/>
                <w:lang w:val="en-GB"/>
              </w:rPr>
            </w:pPr>
            <w:r w:rsidRPr="00EC4297">
              <w:rPr>
                <w:b w:val="0"/>
                <w:bCs w:val="0"/>
                <w:lang w:val="en-GB"/>
              </w:rPr>
              <w:t>($’000)</w:t>
            </w:r>
          </w:p>
        </w:tc>
        <w:tc>
          <w:tcPr>
            <w:tcW w:w="556" w:type="pct"/>
          </w:tcPr>
          <w:p w14:paraId="747BBCB4"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4A033D80"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795B37EE"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3B7D9CE6"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CF8EBB6"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54777BE2"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6D873FB"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38E626B8"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0684612"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6B550996"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385DB2CF"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7DA177A7"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3678344F"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3C7B913E"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B7FC97E"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2061DC0A"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F4665B" w14:paraId="0907B673"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C99F4FF" w14:textId="77777777" w:rsidR="00F4665B" w:rsidRPr="002C219E" w:rsidRDefault="00F4665B" w:rsidP="004C3CBA">
            <w:pPr>
              <w:rPr>
                <w:b w:val="0"/>
                <w:bCs w:val="0"/>
                <w:lang w:val="en-GB"/>
              </w:rPr>
            </w:pPr>
            <w:r w:rsidRPr="002C219E">
              <w:rPr>
                <w:b w:val="0"/>
                <w:bCs w:val="0"/>
                <w:lang w:val="en-GB"/>
              </w:rPr>
              <w:t>254</w:t>
            </w:r>
          </w:p>
        </w:tc>
        <w:tc>
          <w:tcPr>
            <w:tcW w:w="556" w:type="pct"/>
          </w:tcPr>
          <w:p w14:paraId="1958BAC6"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324</w:t>
            </w:r>
          </w:p>
        </w:tc>
        <w:tc>
          <w:tcPr>
            <w:tcW w:w="556" w:type="pct"/>
          </w:tcPr>
          <w:p w14:paraId="7C01F320"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324</w:t>
            </w:r>
          </w:p>
        </w:tc>
        <w:tc>
          <w:tcPr>
            <w:tcW w:w="556" w:type="pct"/>
          </w:tcPr>
          <w:p w14:paraId="71D9117A"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254</w:t>
            </w:r>
          </w:p>
        </w:tc>
        <w:tc>
          <w:tcPr>
            <w:tcW w:w="556" w:type="pct"/>
          </w:tcPr>
          <w:p w14:paraId="2F806317"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324</w:t>
            </w:r>
          </w:p>
        </w:tc>
        <w:tc>
          <w:tcPr>
            <w:tcW w:w="556" w:type="pct"/>
          </w:tcPr>
          <w:p w14:paraId="6B66473D"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309</w:t>
            </w:r>
          </w:p>
        </w:tc>
        <w:tc>
          <w:tcPr>
            <w:tcW w:w="556" w:type="pct"/>
          </w:tcPr>
          <w:p w14:paraId="4DC7DFDA"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239</w:t>
            </w:r>
          </w:p>
        </w:tc>
        <w:tc>
          <w:tcPr>
            <w:tcW w:w="556" w:type="pct"/>
          </w:tcPr>
          <w:p w14:paraId="07E38F3B"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239</w:t>
            </w:r>
          </w:p>
        </w:tc>
        <w:tc>
          <w:tcPr>
            <w:tcW w:w="556" w:type="pct"/>
          </w:tcPr>
          <w:p w14:paraId="3FFA8687"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2,531</w:t>
            </w:r>
          </w:p>
        </w:tc>
      </w:tr>
    </w:tbl>
    <w:p w14:paraId="07EEFF3F" w14:textId="77777777" w:rsidR="00F4665B" w:rsidRDefault="00F4665B" w:rsidP="00F4665B">
      <w:pPr>
        <w:spacing w:after="0"/>
        <w:rPr>
          <w:lang w:val="en-GB"/>
        </w:rPr>
      </w:pPr>
    </w:p>
    <w:p w14:paraId="76C2C077" w14:textId="77777777" w:rsidR="00F4665B" w:rsidRPr="00EC4297" w:rsidRDefault="00F4665B" w:rsidP="00F4665B">
      <w:pPr>
        <w:rPr>
          <w:lang w:val="en-GB"/>
        </w:rPr>
      </w:pPr>
      <w:r>
        <w:rPr>
          <w:lang w:val="en-GB"/>
        </w:rPr>
        <w:t>Resources will include IPPC Secretariat staff and members of the TPCS, SC, SC-7, diagnostic panels and treatment panels.</w:t>
      </w:r>
    </w:p>
    <w:p w14:paraId="2B4F7513" w14:textId="26753287" w:rsidR="00421351" w:rsidRDefault="00193B92" w:rsidP="00F2681C">
      <w:pPr>
        <w:rPr>
          <w:rFonts w:eastAsiaTheme="majorEastAsia" w:cstheme="minorHAnsi"/>
        </w:rPr>
      </w:pPr>
      <w:r w:rsidRPr="006471F4">
        <w:rPr>
          <w:rFonts w:eastAsiaTheme="majorEastAsia" w:cstheme="minorHAnsi"/>
          <w:b/>
          <w:bCs/>
        </w:rPr>
        <w:t xml:space="preserve">Sequencing </w:t>
      </w:r>
      <w:r w:rsidR="00DB3C41">
        <w:rPr>
          <w:rFonts w:eastAsiaTheme="majorEastAsia" w:cstheme="minorHAnsi"/>
          <w:b/>
          <w:bCs/>
        </w:rPr>
        <w:t>r</w:t>
      </w:r>
      <w:r w:rsidRPr="006471F4">
        <w:rPr>
          <w:rFonts w:eastAsiaTheme="majorEastAsia" w:cstheme="minorHAnsi"/>
          <w:b/>
          <w:bCs/>
        </w:rPr>
        <w:t>ecommendation:</w:t>
      </w:r>
      <w:r>
        <w:rPr>
          <w:rFonts w:eastAsiaTheme="majorEastAsia" w:cstheme="minorHAnsi"/>
        </w:rPr>
        <w:t xml:space="preserve"> </w:t>
      </w:r>
      <w:r w:rsidR="004C5097" w:rsidRPr="004C5097">
        <w:rPr>
          <w:rFonts w:eastAsiaTheme="majorEastAsia" w:cstheme="minorHAnsi"/>
        </w:rPr>
        <w:t xml:space="preserve">FG SFDAI recommends </w:t>
      </w:r>
      <w:r w:rsidR="00006723">
        <w:rPr>
          <w:rFonts w:eastAsiaTheme="majorEastAsia" w:cstheme="minorHAnsi"/>
        </w:rPr>
        <w:t xml:space="preserve">that this should </w:t>
      </w:r>
      <w:r w:rsidR="004C5097" w:rsidRPr="004C5097">
        <w:rPr>
          <w:rFonts w:eastAsiaTheme="majorEastAsia" w:cstheme="minorHAnsi"/>
        </w:rPr>
        <w:t>continue</w:t>
      </w:r>
      <w:r>
        <w:rPr>
          <w:rFonts w:eastAsiaTheme="majorEastAsia" w:cstheme="minorHAnsi"/>
        </w:rPr>
        <w:t xml:space="preserve"> in</w:t>
      </w:r>
      <w:r w:rsidR="00006723">
        <w:rPr>
          <w:rFonts w:eastAsiaTheme="majorEastAsia" w:cstheme="minorHAnsi"/>
        </w:rPr>
        <w:t xml:space="preserve"> D</w:t>
      </w:r>
      <w:r>
        <w:rPr>
          <w:rFonts w:eastAsiaTheme="majorEastAsia" w:cstheme="minorHAnsi"/>
        </w:rPr>
        <w:t>elivery phase</w:t>
      </w:r>
      <w:r w:rsidR="003513A9">
        <w:rPr>
          <w:rFonts w:eastAsiaTheme="majorEastAsia" w:cstheme="minorHAnsi"/>
        </w:rPr>
        <w:t xml:space="preserve"> until at least </w:t>
      </w:r>
      <w:r w:rsidR="0095673E">
        <w:rPr>
          <w:rFonts w:eastAsiaTheme="majorEastAsia" w:cstheme="minorHAnsi"/>
        </w:rPr>
        <w:t>two</w:t>
      </w:r>
      <w:r w:rsidR="003513A9">
        <w:rPr>
          <w:rFonts w:eastAsiaTheme="majorEastAsia" w:cstheme="minorHAnsi"/>
        </w:rPr>
        <w:t xml:space="preserve"> </w:t>
      </w:r>
      <w:r w:rsidR="00964672">
        <w:rPr>
          <w:rFonts w:eastAsiaTheme="majorEastAsia" w:cstheme="minorHAnsi"/>
        </w:rPr>
        <w:t>ISPM 46 annexes have been adopted by CPM</w:t>
      </w:r>
      <w:r w:rsidR="0095673E">
        <w:rPr>
          <w:rFonts w:eastAsiaTheme="majorEastAsia" w:cstheme="minorHAnsi"/>
        </w:rPr>
        <w:t>. This will</w:t>
      </w:r>
      <w:r w:rsidR="00964672">
        <w:rPr>
          <w:rFonts w:eastAsiaTheme="majorEastAsia" w:cstheme="minorHAnsi"/>
        </w:rPr>
        <w:t xml:space="preserve"> enable </w:t>
      </w:r>
      <w:r w:rsidR="003E749B">
        <w:rPr>
          <w:rFonts w:eastAsiaTheme="majorEastAsia" w:cstheme="minorHAnsi"/>
        </w:rPr>
        <w:t xml:space="preserve">lessons to be learnt and the standard setting process </w:t>
      </w:r>
      <w:r w:rsidR="0095673E">
        <w:rPr>
          <w:rFonts w:eastAsiaTheme="majorEastAsia" w:cstheme="minorHAnsi"/>
        </w:rPr>
        <w:t xml:space="preserve">to be </w:t>
      </w:r>
      <w:r w:rsidR="003E749B">
        <w:rPr>
          <w:rFonts w:eastAsiaTheme="majorEastAsia" w:cstheme="minorHAnsi"/>
        </w:rPr>
        <w:t>adjusted</w:t>
      </w:r>
      <w:r w:rsidR="00006723">
        <w:rPr>
          <w:rFonts w:eastAsiaTheme="majorEastAsia" w:cstheme="minorHAnsi"/>
        </w:rPr>
        <w:t>,</w:t>
      </w:r>
      <w:r w:rsidR="003E749B">
        <w:rPr>
          <w:rFonts w:eastAsiaTheme="majorEastAsia" w:cstheme="minorHAnsi"/>
        </w:rPr>
        <w:t xml:space="preserve"> if </w:t>
      </w:r>
      <w:r w:rsidR="007F15CC">
        <w:rPr>
          <w:rFonts w:eastAsiaTheme="majorEastAsia" w:cstheme="minorHAnsi"/>
        </w:rPr>
        <w:t>necessary,</w:t>
      </w:r>
      <w:r w:rsidR="003E749B">
        <w:rPr>
          <w:rFonts w:eastAsiaTheme="majorEastAsia" w:cstheme="minorHAnsi"/>
        </w:rPr>
        <w:t xml:space="preserve"> to </w:t>
      </w:r>
      <w:r w:rsidR="00CE4702">
        <w:rPr>
          <w:rFonts w:eastAsiaTheme="majorEastAsia" w:cstheme="minorHAnsi"/>
        </w:rPr>
        <w:t xml:space="preserve">support prioritization of </w:t>
      </w:r>
      <w:r w:rsidR="0095673E">
        <w:rPr>
          <w:rFonts w:eastAsiaTheme="majorEastAsia" w:cstheme="minorHAnsi"/>
        </w:rPr>
        <w:t xml:space="preserve">commodity-specific </w:t>
      </w:r>
      <w:r w:rsidR="00CE4702">
        <w:rPr>
          <w:rFonts w:eastAsiaTheme="majorEastAsia" w:cstheme="minorHAnsi"/>
        </w:rPr>
        <w:t>topics and development of commodity-specific annexes to ISPM 46.</w:t>
      </w:r>
      <w:r w:rsidR="00421351">
        <w:rPr>
          <w:rFonts w:eastAsiaTheme="majorEastAsia" w:cstheme="minorHAnsi"/>
        </w:rPr>
        <w:t xml:space="preserve"> During transition, a </w:t>
      </w:r>
      <w:r w:rsidR="002469EF">
        <w:rPr>
          <w:rFonts w:eastAsiaTheme="majorEastAsia" w:cstheme="minorHAnsi"/>
        </w:rPr>
        <w:t xml:space="preserve">study to evaluate </w:t>
      </w:r>
      <w:r w:rsidR="006F4507">
        <w:rPr>
          <w:rFonts w:eastAsiaTheme="majorEastAsia" w:cstheme="minorHAnsi"/>
        </w:rPr>
        <w:t>the benefits from implementation of com</w:t>
      </w:r>
      <w:r w:rsidR="00AA3973">
        <w:rPr>
          <w:rFonts w:eastAsiaTheme="majorEastAsia" w:cstheme="minorHAnsi"/>
        </w:rPr>
        <w:t>mo</w:t>
      </w:r>
      <w:r w:rsidR="006F4507">
        <w:rPr>
          <w:rFonts w:eastAsiaTheme="majorEastAsia" w:cstheme="minorHAnsi"/>
        </w:rPr>
        <w:t>dity-spec</w:t>
      </w:r>
      <w:r w:rsidR="00AA3973">
        <w:rPr>
          <w:rFonts w:eastAsiaTheme="majorEastAsia" w:cstheme="minorHAnsi"/>
        </w:rPr>
        <w:t>i</w:t>
      </w:r>
      <w:r w:rsidR="006F4507">
        <w:rPr>
          <w:rFonts w:eastAsiaTheme="majorEastAsia" w:cstheme="minorHAnsi"/>
        </w:rPr>
        <w:t>fic standards</w:t>
      </w:r>
      <w:r w:rsidR="00006723">
        <w:rPr>
          <w:rFonts w:eastAsiaTheme="majorEastAsia" w:cstheme="minorHAnsi"/>
        </w:rPr>
        <w:t xml:space="preserve"> is encouraged</w:t>
      </w:r>
      <w:r w:rsidR="00AA3973">
        <w:rPr>
          <w:rFonts w:eastAsiaTheme="majorEastAsia" w:cstheme="minorHAnsi"/>
        </w:rPr>
        <w:t>.</w:t>
      </w:r>
    </w:p>
    <w:p w14:paraId="33655EAB" w14:textId="77777777" w:rsidR="00137E19" w:rsidRDefault="00137E19" w:rsidP="00137E19">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are anticipated.</w:t>
      </w:r>
    </w:p>
    <w:p w14:paraId="367D38A5" w14:textId="7EEB6003" w:rsidR="00137E19" w:rsidRPr="003703BA" w:rsidRDefault="003703BA" w:rsidP="003703BA">
      <w:pPr>
        <w:pStyle w:val="ListParagraph"/>
        <w:numPr>
          <w:ilvl w:val="0"/>
          <w:numId w:val="24"/>
        </w:numPr>
        <w:rPr>
          <w:rFonts w:eastAsiaTheme="majorEastAsia" w:cstheme="minorHAnsi"/>
        </w:rPr>
      </w:pPr>
      <w:r w:rsidRPr="003703BA">
        <w:rPr>
          <w:rFonts w:eastAsiaTheme="majorEastAsia" w:cstheme="minorHAnsi"/>
        </w:rPr>
        <w:t>Prioritization</w:t>
      </w:r>
      <w:r w:rsidR="00137E19" w:rsidRPr="003703BA">
        <w:rPr>
          <w:rFonts w:eastAsiaTheme="majorEastAsia" w:cstheme="minorHAnsi"/>
        </w:rPr>
        <w:t xml:space="preserve"> of commodity-specific annexes by April 2024</w:t>
      </w:r>
    </w:p>
    <w:p w14:paraId="7CF2DAFE" w14:textId="202A1B06" w:rsidR="00137E19" w:rsidRPr="003703BA" w:rsidRDefault="00137E19" w:rsidP="003703BA">
      <w:pPr>
        <w:pStyle w:val="ListParagraph"/>
        <w:numPr>
          <w:ilvl w:val="0"/>
          <w:numId w:val="24"/>
        </w:numPr>
        <w:rPr>
          <w:rFonts w:eastAsiaTheme="majorEastAsia" w:cstheme="minorHAnsi"/>
        </w:rPr>
      </w:pPr>
      <w:r w:rsidRPr="003703BA">
        <w:rPr>
          <w:rFonts w:eastAsiaTheme="majorEastAsia" w:cstheme="minorHAnsi"/>
        </w:rPr>
        <w:t>Adoption of first ISPM commodity-specific annex by April 2025</w:t>
      </w:r>
    </w:p>
    <w:p w14:paraId="0BC8464D" w14:textId="4755F524" w:rsidR="00137E19" w:rsidRPr="003703BA" w:rsidRDefault="00137E19" w:rsidP="003703BA">
      <w:pPr>
        <w:pStyle w:val="ListParagraph"/>
        <w:numPr>
          <w:ilvl w:val="0"/>
          <w:numId w:val="24"/>
        </w:numPr>
        <w:rPr>
          <w:rFonts w:eastAsiaTheme="majorEastAsia" w:cstheme="minorHAnsi"/>
        </w:rPr>
      </w:pPr>
      <w:r w:rsidRPr="003703BA">
        <w:rPr>
          <w:rFonts w:eastAsiaTheme="majorEastAsia" w:cstheme="minorHAnsi"/>
        </w:rPr>
        <w:t>Study to evaluate the economic, trade and food security benefits from implementation of commodity standards initiated by 2027 by April 2027</w:t>
      </w:r>
    </w:p>
    <w:p w14:paraId="40888564" w14:textId="26CF5E15" w:rsidR="00152E1A" w:rsidRDefault="00137E19" w:rsidP="003703BA">
      <w:pPr>
        <w:pStyle w:val="ListParagraph"/>
        <w:numPr>
          <w:ilvl w:val="0"/>
          <w:numId w:val="24"/>
        </w:numPr>
        <w:rPr>
          <w:rFonts w:eastAsiaTheme="majorEastAsia" w:cstheme="minorHAnsi"/>
        </w:rPr>
      </w:pPr>
      <w:r w:rsidRPr="003703BA">
        <w:rPr>
          <w:rFonts w:eastAsiaTheme="majorEastAsia" w:cstheme="minorHAnsi"/>
        </w:rPr>
        <w:t>Study to evaluate extent of and barriers to NPPO adoption of commodity specific annexes starts by December 2028</w:t>
      </w:r>
    </w:p>
    <w:p w14:paraId="7C59235E" w14:textId="77777777" w:rsidR="003703BA" w:rsidRPr="003703BA" w:rsidRDefault="003703BA" w:rsidP="003703BA">
      <w:pPr>
        <w:pStyle w:val="ListParagraph"/>
        <w:rPr>
          <w:rFonts w:eastAsiaTheme="majorEastAsia" w:cstheme="minorHAnsi"/>
        </w:rPr>
      </w:pPr>
    </w:p>
    <w:p w14:paraId="7E7C763E" w14:textId="3646426B" w:rsidR="005E6CF4" w:rsidRDefault="005E6CF4" w:rsidP="00B240BF">
      <w:pPr>
        <w:pStyle w:val="Heading2"/>
      </w:pPr>
      <w:bookmarkStart w:id="13" w:name="_Toc114566373"/>
      <w:r w:rsidRPr="00A51BD0">
        <w:lastRenderedPageBreak/>
        <w:t>Management of e-commerce and postal and courier pathways</w:t>
      </w:r>
      <w:bookmarkEnd w:id="13"/>
      <w:r w:rsidRPr="00A51BD0">
        <w:t xml:space="preserve"> </w:t>
      </w:r>
    </w:p>
    <w:p w14:paraId="406ECEEC" w14:textId="50073291" w:rsidR="00B240BF" w:rsidRDefault="000C4646" w:rsidP="00F2681C">
      <w:pPr>
        <w:rPr>
          <w:rFonts w:eastAsiaTheme="majorEastAsia" w:cstheme="minorHAnsi"/>
        </w:rPr>
      </w:pPr>
      <w:r w:rsidRPr="0047581A">
        <w:rPr>
          <w:rFonts w:eastAsiaTheme="majorEastAsia" w:cstheme="minorHAnsi"/>
          <w:b/>
          <w:bCs/>
        </w:rPr>
        <w:t>Status:</w:t>
      </w:r>
      <w:r>
        <w:rPr>
          <w:rFonts w:eastAsiaTheme="majorEastAsia" w:cstheme="minorHAnsi"/>
        </w:rPr>
        <w:t xml:space="preserve"> </w:t>
      </w:r>
      <w:r w:rsidR="00FF0711">
        <w:rPr>
          <w:rFonts w:eastAsiaTheme="majorEastAsia" w:cstheme="minorHAnsi"/>
        </w:rPr>
        <w:t>T</w:t>
      </w:r>
      <w:r w:rsidR="00DA5F34">
        <w:rPr>
          <w:rFonts w:eastAsiaTheme="majorEastAsia" w:cstheme="minorHAnsi"/>
        </w:rPr>
        <w:t xml:space="preserve">his </w:t>
      </w:r>
      <w:r w:rsidR="0014089A">
        <w:rPr>
          <w:rFonts w:eastAsiaTheme="majorEastAsia" w:cstheme="minorHAnsi"/>
        </w:rPr>
        <w:t xml:space="preserve">is an important but relatively small </w:t>
      </w:r>
      <w:r w:rsidR="00FF0711">
        <w:rPr>
          <w:rFonts w:eastAsiaTheme="majorEastAsia" w:cstheme="minorHAnsi"/>
        </w:rPr>
        <w:t>development agenda item</w:t>
      </w:r>
      <w:r w:rsidR="0047581A">
        <w:rPr>
          <w:rFonts w:eastAsiaTheme="majorEastAsia" w:cstheme="minorHAnsi"/>
        </w:rPr>
        <w:t xml:space="preserve"> </w:t>
      </w:r>
      <w:r w:rsidR="00FE72C8">
        <w:rPr>
          <w:rFonts w:eastAsiaTheme="majorEastAsia" w:cstheme="minorHAnsi"/>
        </w:rPr>
        <w:t xml:space="preserve">work </w:t>
      </w:r>
      <w:r w:rsidR="0047581A">
        <w:rPr>
          <w:rFonts w:eastAsiaTheme="majorEastAsia" w:cstheme="minorHAnsi"/>
        </w:rPr>
        <w:t xml:space="preserve">programme that </w:t>
      </w:r>
      <w:r w:rsidR="00FE72C8">
        <w:rPr>
          <w:rFonts w:eastAsiaTheme="majorEastAsia" w:cstheme="minorHAnsi"/>
        </w:rPr>
        <w:t>commenced following</w:t>
      </w:r>
      <w:r w:rsidR="00EE0EE7">
        <w:rPr>
          <w:rFonts w:eastAsiaTheme="majorEastAsia" w:cstheme="minorHAnsi"/>
        </w:rPr>
        <w:t xml:space="preserve"> the adoption o</w:t>
      </w:r>
      <w:r w:rsidR="005E06DA">
        <w:rPr>
          <w:rFonts w:eastAsiaTheme="majorEastAsia" w:cstheme="minorHAnsi"/>
        </w:rPr>
        <w:t>f</w:t>
      </w:r>
      <w:r w:rsidR="00FE72C8">
        <w:rPr>
          <w:rFonts w:eastAsiaTheme="majorEastAsia" w:cstheme="minorHAnsi"/>
        </w:rPr>
        <w:t xml:space="preserve"> </w:t>
      </w:r>
      <w:r w:rsidR="00517A95">
        <w:rPr>
          <w:rFonts w:eastAsiaTheme="majorEastAsia" w:cstheme="minorHAnsi"/>
        </w:rPr>
        <w:t xml:space="preserve">CPM </w:t>
      </w:r>
      <w:r w:rsidR="00517A95" w:rsidRPr="00517A95">
        <w:rPr>
          <w:rFonts w:eastAsiaTheme="majorEastAsia" w:cstheme="minorHAnsi"/>
          <w:i/>
          <w:iCs/>
        </w:rPr>
        <w:t>Recommendation on Internet trade (e-commerce) in plants and other regulated articles</w:t>
      </w:r>
      <w:r w:rsidR="00517A95">
        <w:rPr>
          <w:rFonts w:eastAsiaTheme="majorEastAsia" w:cstheme="minorHAnsi"/>
          <w:i/>
          <w:iCs/>
        </w:rPr>
        <w:t>.</w:t>
      </w:r>
      <w:r w:rsidR="00517A95">
        <w:rPr>
          <w:rFonts w:eastAsiaTheme="majorEastAsia" w:cstheme="minorHAnsi"/>
        </w:rPr>
        <w:t xml:space="preserve"> </w:t>
      </w:r>
      <w:r w:rsidR="006D4F9B">
        <w:rPr>
          <w:rFonts w:eastAsiaTheme="majorEastAsia" w:cstheme="minorHAnsi"/>
        </w:rPr>
        <w:t>Th</w:t>
      </w:r>
      <w:r w:rsidR="00640BF5">
        <w:rPr>
          <w:rFonts w:eastAsiaTheme="majorEastAsia" w:cstheme="minorHAnsi"/>
        </w:rPr>
        <w:t xml:space="preserve">is </w:t>
      </w:r>
      <w:r w:rsidR="00FF0711">
        <w:rPr>
          <w:rFonts w:eastAsiaTheme="majorEastAsia" w:cstheme="minorHAnsi"/>
        </w:rPr>
        <w:t>development agenda item</w:t>
      </w:r>
      <w:r w:rsidR="00640BF5">
        <w:rPr>
          <w:rFonts w:eastAsiaTheme="majorEastAsia" w:cstheme="minorHAnsi"/>
        </w:rPr>
        <w:t xml:space="preserve"> </w:t>
      </w:r>
      <w:r w:rsidR="00A006F9">
        <w:rPr>
          <w:rFonts w:eastAsiaTheme="majorEastAsia" w:cstheme="minorHAnsi"/>
        </w:rPr>
        <w:t>includes</w:t>
      </w:r>
      <w:r w:rsidR="00640BF5">
        <w:rPr>
          <w:rFonts w:eastAsiaTheme="majorEastAsia" w:cstheme="minorHAnsi"/>
        </w:rPr>
        <w:t xml:space="preserve"> a join</w:t>
      </w:r>
      <w:r w:rsidR="001D0D2D">
        <w:rPr>
          <w:rFonts w:eastAsiaTheme="majorEastAsia" w:cstheme="minorHAnsi"/>
        </w:rPr>
        <w:t>t</w:t>
      </w:r>
      <w:r w:rsidR="00640BF5">
        <w:rPr>
          <w:rFonts w:eastAsiaTheme="majorEastAsia" w:cstheme="minorHAnsi"/>
        </w:rPr>
        <w:t xml:space="preserve"> work programme with the World Customs </w:t>
      </w:r>
      <w:r w:rsidR="001D0D2D">
        <w:rPr>
          <w:rFonts w:eastAsiaTheme="majorEastAsia" w:cstheme="minorHAnsi"/>
        </w:rPr>
        <w:t>O</w:t>
      </w:r>
      <w:r w:rsidR="00640BF5">
        <w:rPr>
          <w:rFonts w:eastAsiaTheme="majorEastAsia" w:cstheme="minorHAnsi"/>
        </w:rPr>
        <w:t>rganisation</w:t>
      </w:r>
      <w:r w:rsidR="001D0D2D">
        <w:rPr>
          <w:rFonts w:eastAsiaTheme="majorEastAsia" w:cstheme="minorHAnsi"/>
        </w:rPr>
        <w:t xml:space="preserve"> (WCO)</w:t>
      </w:r>
      <w:r w:rsidR="00BB6C47">
        <w:rPr>
          <w:rFonts w:eastAsiaTheme="majorEastAsia" w:cstheme="minorHAnsi"/>
        </w:rPr>
        <w:t xml:space="preserve">, </w:t>
      </w:r>
      <w:r w:rsidR="00A006F9">
        <w:rPr>
          <w:rFonts w:eastAsiaTheme="majorEastAsia" w:cstheme="minorHAnsi"/>
        </w:rPr>
        <w:t>t</w:t>
      </w:r>
      <w:r w:rsidR="00640BF5">
        <w:rPr>
          <w:rFonts w:eastAsiaTheme="majorEastAsia" w:cstheme="minorHAnsi"/>
        </w:rPr>
        <w:t xml:space="preserve">he Universal Postal Union </w:t>
      </w:r>
      <w:r w:rsidR="001D0D2D">
        <w:rPr>
          <w:rFonts w:eastAsiaTheme="majorEastAsia" w:cstheme="minorHAnsi"/>
        </w:rPr>
        <w:t xml:space="preserve">(UPU) </w:t>
      </w:r>
      <w:r w:rsidR="00BB6C47">
        <w:rPr>
          <w:rFonts w:eastAsiaTheme="majorEastAsia" w:cstheme="minorHAnsi"/>
        </w:rPr>
        <w:t xml:space="preserve">and International Seed Federation (ISF) </w:t>
      </w:r>
      <w:r w:rsidR="00640BF5">
        <w:rPr>
          <w:rFonts w:eastAsiaTheme="majorEastAsia" w:cstheme="minorHAnsi"/>
        </w:rPr>
        <w:t xml:space="preserve">to </w:t>
      </w:r>
      <w:r w:rsidR="004D01A4">
        <w:rPr>
          <w:rFonts w:eastAsiaTheme="majorEastAsia" w:cstheme="minorHAnsi"/>
        </w:rPr>
        <w:t xml:space="preserve">manage phytosanitary risks associated with </w:t>
      </w:r>
      <w:r w:rsidR="00D959D5">
        <w:rPr>
          <w:rFonts w:eastAsiaTheme="majorEastAsia" w:cstheme="minorHAnsi"/>
        </w:rPr>
        <w:t>e</w:t>
      </w:r>
      <w:r w:rsidR="00FF0711">
        <w:rPr>
          <w:rFonts w:eastAsiaTheme="majorEastAsia" w:cstheme="minorHAnsi"/>
        </w:rPr>
        <w:t>-</w:t>
      </w:r>
      <w:r w:rsidR="00D959D5">
        <w:rPr>
          <w:rFonts w:eastAsiaTheme="majorEastAsia" w:cstheme="minorHAnsi"/>
        </w:rPr>
        <w:t>commerce and the associated postal and courier pathways.</w:t>
      </w:r>
      <w:r w:rsidR="00FF0711">
        <w:rPr>
          <w:rFonts w:eastAsiaTheme="majorEastAsia" w:cstheme="minorHAnsi"/>
        </w:rPr>
        <w:t xml:space="preserve"> </w:t>
      </w:r>
      <w:r w:rsidR="00B349C9">
        <w:rPr>
          <w:rFonts w:eastAsiaTheme="majorEastAsia" w:cstheme="minorHAnsi"/>
        </w:rPr>
        <w:t xml:space="preserve">Technical resources are made available on the IPP and </w:t>
      </w:r>
      <w:r w:rsidR="00971734">
        <w:rPr>
          <w:rFonts w:eastAsiaTheme="majorEastAsia" w:cstheme="minorHAnsi"/>
        </w:rPr>
        <w:t>a new e</w:t>
      </w:r>
      <w:r w:rsidR="00BB6C47">
        <w:rPr>
          <w:rFonts w:eastAsiaTheme="majorEastAsia" w:cstheme="minorHAnsi"/>
        </w:rPr>
        <w:t>-c</w:t>
      </w:r>
      <w:r w:rsidR="00971734">
        <w:rPr>
          <w:rFonts w:eastAsiaTheme="majorEastAsia" w:cstheme="minorHAnsi"/>
        </w:rPr>
        <w:t>ommerce guide</w:t>
      </w:r>
      <w:r w:rsidR="00BB6C47">
        <w:rPr>
          <w:rFonts w:eastAsiaTheme="majorEastAsia" w:cstheme="minorHAnsi"/>
        </w:rPr>
        <w:t xml:space="preserve"> has been published</w:t>
      </w:r>
      <w:r w:rsidR="00971734">
        <w:rPr>
          <w:rFonts w:eastAsiaTheme="majorEastAsia" w:cstheme="minorHAnsi"/>
        </w:rPr>
        <w:t>.</w:t>
      </w:r>
      <w:r w:rsidR="00C111BE">
        <w:rPr>
          <w:rFonts w:eastAsiaTheme="majorEastAsia" w:cstheme="minorHAnsi"/>
        </w:rPr>
        <w:t xml:space="preserve"> An informal network of e-Commerce experts from contracting parties</w:t>
      </w:r>
      <w:r w:rsidR="00D959D5">
        <w:rPr>
          <w:rFonts w:eastAsiaTheme="majorEastAsia" w:cstheme="minorHAnsi"/>
        </w:rPr>
        <w:t xml:space="preserve"> </w:t>
      </w:r>
      <w:r w:rsidR="00102C26">
        <w:rPr>
          <w:rFonts w:eastAsiaTheme="majorEastAsia" w:cstheme="minorHAnsi"/>
        </w:rPr>
        <w:t xml:space="preserve">facilitates information exchange </w:t>
      </w:r>
      <w:r w:rsidR="0014089A">
        <w:rPr>
          <w:rFonts w:eastAsiaTheme="majorEastAsia" w:cstheme="minorHAnsi"/>
        </w:rPr>
        <w:t>and solutions to e-Commerce challenges.</w:t>
      </w:r>
    </w:p>
    <w:p w14:paraId="6AAC8622" w14:textId="3040F0D0" w:rsidR="00BB6C47" w:rsidRPr="00941D92" w:rsidRDefault="00BB6C47" w:rsidP="00BB6C47">
      <w:pPr>
        <w:rPr>
          <w:lang w:val="en-GB"/>
        </w:rPr>
      </w:pPr>
      <w:r w:rsidRPr="00BB6C47">
        <w:rPr>
          <w:rFonts w:eastAsiaTheme="majorEastAsia" w:cstheme="minorHAnsi"/>
          <w:b/>
          <w:bCs/>
        </w:rPr>
        <w:t>Long-term plan:</w:t>
      </w:r>
      <w:r>
        <w:rPr>
          <w:rFonts w:eastAsiaTheme="majorEastAsia" w:cstheme="minorHAnsi"/>
          <w:b/>
          <w:bCs/>
        </w:rPr>
        <w:t xml:space="preserve"> </w:t>
      </w:r>
      <w:r w:rsidRPr="00941D92">
        <w:rPr>
          <w:lang w:val="en-GB"/>
        </w:rPr>
        <w:t xml:space="preserve">The </w:t>
      </w:r>
      <w:r>
        <w:rPr>
          <w:lang w:val="en-GB"/>
        </w:rPr>
        <w:t xml:space="preserve">e-commerce </w:t>
      </w:r>
      <w:r w:rsidRPr="00941D92">
        <w:rPr>
          <w:lang w:val="en-GB"/>
        </w:rPr>
        <w:t>guide will be supported by general awareness raising materials targeting NPPOs and national stakeholders in the e-commerce supply chain. More specific awareness raising materials will be developed in collaboration with the World Customs Association, the Universal Postal Union, International Seed Federation, Global Express Association, and other industry groups, targeting their members. A webinar and/or workshop will also be given to promote the work on e-commerce.</w:t>
      </w:r>
    </w:p>
    <w:p w14:paraId="77A2A3B6" w14:textId="7180A0D8" w:rsidR="00BB6C47" w:rsidRPr="00941D92" w:rsidRDefault="00BB6C47" w:rsidP="00BB6C47">
      <w:pPr>
        <w:rPr>
          <w:lang w:val="en-GB"/>
        </w:rPr>
      </w:pPr>
      <w:r w:rsidRPr="00941D92">
        <w:rPr>
          <w:lang w:val="en-GB"/>
        </w:rPr>
        <w:t xml:space="preserve">Following this work, an </w:t>
      </w:r>
      <w:r w:rsidR="00E23BE6">
        <w:rPr>
          <w:lang w:val="en-GB"/>
        </w:rPr>
        <w:t>IPPC Observatory</w:t>
      </w:r>
      <w:r w:rsidRPr="00941D92">
        <w:rPr>
          <w:lang w:val="en-GB"/>
        </w:rPr>
        <w:t xml:space="preserve"> study to characterize the phytosanitary risks associated with e-commerce trade and assess how these risks have changed since 2012 will be carried out in 2023. This study will also describe the extent to which NPPOs and RPPOs have implemented the CPM recommendation on internet trade in plants and other regulated articles, and it will establish a baseline for measuring key e-commerce outcomes. It is expected that the study will provide recommendations that will lead to a longer-term plan. </w:t>
      </w:r>
    </w:p>
    <w:p w14:paraId="6C8965CA" w14:textId="7E7BAFF1" w:rsidR="00B71242" w:rsidRDefault="00BB6C47" w:rsidP="00F2681C">
      <w:pPr>
        <w:rPr>
          <w:lang w:val="en-GB"/>
        </w:rPr>
      </w:pPr>
      <w:r w:rsidRPr="00941D92">
        <w:rPr>
          <w:lang w:val="en-GB"/>
        </w:rPr>
        <w:t xml:space="preserve">Given the pace at which technologies associated with e-commerce are advancing, a further </w:t>
      </w:r>
      <w:r w:rsidR="00E23BE6">
        <w:rPr>
          <w:lang w:val="en-GB"/>
        </w:rPr>
        <w:t>IPPC Observatory</w:t>
      </w:r>
      <w:r w:rsidRPr="00941D92">
        <w:rPr>
          <w:lang w:val="en-GB"/>
        </w:rPr>
        <w:t xml:space="preserve"> study is planned for 2027 to monitor changes and measure outcomes. As with the </w:t>
      </w:r>
      <w:r w:rsidR="00E23BE6">
        <w:rPr>
          <w:lang w:val="en-GB"/>
        </w:rPr>
        <w:t>IPPC Observatory</w:t>
      </w:r>
      <w:r w:rsidRPr="00941D92">
        <w:rPr>
          <w:lang w:val="en-GB"/>
        </w:rPr>
        <w:t xml:space="preserve"> study in 2023, several recommendations are expected that will lead to further work.</w:t>
      </w:r>
    </w:p>
    <w:p w14:paraId="5FCD796B" w14:textId="71D21EDA" w:rsidR="00B71242" w:rsidRDefault="00B71242" w:rsidP="00F2681C">
      <w:pPr>
        <w:rPr>
          <w:lang w:val="en-GB"/>
        </w:rPr>
      </w:pPr>
      <w:r w:rsidRPr="00B71242">
        <w:rPr>
          <w:noProof/>
        </w:rPr>
        <w:drawing>
          <wp:inline distT="0" distB="0" distL="0" distR="0" wp14:anchorId="3027035A" wp14:editId="088BAF56">
            <wp:extent cx="594360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533650"/>
                    </a:xfrm>
                    <a:prstGeom prst="rect">
                      <a:avLst/>
                    </a:prstGeom>
                  </pic:spPr>
                </pic:pic>
              </a:graphicData>
            </a:graphic>
          </wp:inline>
        </w:drawing>
      </w:r>
    </w:p>
    <w:p w14:paraId="24F67C45" w14:textId="1B813031" w:rsidR="00B71242" w:rsidRPr="00BB6C47" w:rsidRDefault="00B71242" w:rsidP="00F2681C">
      <w:pPr>
        <w:rPr>
          <w:lang w:val="en-GB"/>
        </w:rPr>
      </w:pPr>
      <w:r w:rsidRPr="00B71242">
        <w:rPr>
          <w:b/>
          <w:bCs/>
          <w:lang w:val="en-GB"/>
        </w:rPr>
        <w:t xml:space="preserve">Figure </w:t>
      </w:r>
      <w:r w:rsidR="007B4DA0">
        <w:rPr>
          <w:b/>
          <w:bCs/>
          <w:lang w:val="en-GB"/>
        </w:rPr>
        <w:t>5</w:t>
      </w:r>
      <w:r w:rsidRPr="00B71242">
        <w:rPr>
          <w:b/>
          <w:bCs/>
          <w:lang w:val="en-GB"/>
        </w:rPr>
        <w:t>.</w:t>
      </w:r>
      <w:r>
        <w:rPr>
          <w:lang w:val="en-GB"/>
        </w:rPr>
        <w:t xml:space="preserve"> Timeline of activities for the e-commerce development agenda item.</w:t>
      </w:r>
    </w:p>
    <w:p w14:paraId="5E2A79E6" w14:textId="463B01AC" w:rsidR="0062490D" w:rsidRPr="002C219E" w:rsidRDefault="0062490D" w:rsidP="0062490D">
      <w:pPr>
        <w:rPr>
          <w:lang w:val="en-GB"/>
        </w:rPr>
      </w:pPr>
      <w:r w:rsidRPr="00EC4297">
        <w:rPr>
          <w:b/>
          <w:bCs/>
          <w:lang w:val="en-GB"/>
        </w:rPr>
        <w:t>F</w:t>
      </w:r>
      <w:r>
        <w:rPr>
          <w:b/>
          <w:bCs/>
          <w:lang w:val="en-GB"/>
        </w:rPr>
        <w:t xml:space="preserve">inancial </w:t>
      </w:r>
      <w:r w:rsidR="00DB3C41">
        <w:rPr>
          <w:b/>
          <w:bCs/>
          <w:lang w:val="en-GB"/>
        </w:rPr>
        <w:t>p</w:t>
      </w:r>
      <w:r>
        <w:rPr>
          <w:b/>
          <w:bCs/>
          <w:lang w:val="en-GB"/>
        </w:rPr>
        <w:t xml:space="preserve">lan:  </w:t>
      </w:r>
      <w:r w:rsidRPr="002C219E">
        <w:rPr>
          <w:lang w:val="en-GB"/>
        </w:rPr>
        <w:t>To carry out the activities of the work programme, the following funding will be required:</w:t>
      </w:r>
    </w:p>
    <w:tbl>
      <w:tblPr>
        <w:tblStyle w:val="GridTable4-Accent1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62490D" w14:paraId="6A22EBEB"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1E9353CF" w14:textId="77777777" w:rsidR="0062490D" w:rsidRDefault="0062490D" w:rsidP="004C3CBA">
            <w:pPr>
              <w:rPr>
                <w:lang w:val="en-GB"/>
              </w:rPr>
            </w:pPr>
            <w:r>
              <w:rPr>
                <w:b w:val="0"/>
                <w:bCs w:val="0"/>
                <w:lang w:val="en-GB"/>
              </w:rPr>
              <w:lastRenderedPageBreak/>
              <w:t>2023</w:t>
            </w:r>
          </w:p>
          <w:p w14:paraId="1502EB38" w14:textId="77777777" w:rsidR="0062490D" w:rsidRDefault="0062490D" w:rsidP="004C3CBA">
            <w:pPr>
              <w:rPr>
                <w:b w:val="0"/>
                <w:bCs w:val="0"/>
                <w:lang w:val="en-GB"/>
              </w:rPr>
            </w:pPr>
            <w:r w:rsidRPr="00EC4297">
              <w:rPr>
                <w:b w:val="0"/>
                <w:bCs w:val="0"/>
                <w:lang w:val="en-GB"/>
              </w:rPr>
              <w:t>($’000)</w:t>
            </w:r>
          </w:p>
        </w:tc>
        <w:tc>
          <w:tcPr>
            <w:tcW w:w="556" w:type="pct"/>
          </w:tcPr>
          <w:p w14:paraId="2C066D9B"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0DA797DF"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717A0134"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708D14C2"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F6253D4"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2A36E7E0"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76A3998"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61303F0E"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2EFD6D4"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16113538"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D3373A5"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29E853AA"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0DE689D"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7F60304A"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8297E3F"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5ADCF800"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62490D" w14:paraId="2E9D836D"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vAlign w:val="bottom"/>
          </w:tcPr>
          <w:p w14:paraId="58C180FE" w14:textId="77777777" w:rsidR="0062490D" w:rsidRPr="002C219E" w:rsidRDefault="0062490D" w:rsidP="004C3CBA">
            <w:pPr>
              <w:rPr>
                <w:b w:val="0"/>
                <w:bCs w:val="0"/>
                <w:lang w:val="en-GB"/>
              </w:rPr>
            </w:pPr>
            <w:r w:rsidRPr="002C219E">
              <w:rPr>
                <w:rFonts w:ascii="Calibri" w:eastAsia="Times New Roman" w:hAnsi="Calibri" w:cs="Calibri"/>
                <w:b w:val="0"/>
                <w:bCs w:val="0"/>
                <w:color w:val="000000"/>
                <w:lang w:val="en-NZ" w:eastAsia="en-NZ"/>
              </w:rPr>
              <w:t xml:space="preserve">112 </w:t>
            </w:r>
          </w:p>
        </w:tc>
        <w:tc>
          <w:tcPr>
            <w:tcW w:w="556" w:type="pct"/>
            <w:vAlign w:val="bottom"/>
          </w:tcPr>
          <w:p w14:paraId="127E7C53" w14:textId="77777777" w:rsidR="0062490D" w:rsidRPr="002C219E"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2C219E">
              <w:rPr>
                <w:rFonts w:ascii="Calibri" w:eastAsia="Times New Roman" w:hAnsi="Calibri" w:cs="Calibri"/>
                <w:color w:val="000000"/>
                <w:lang w:val="en-NZ" w:eastAsia="en-NZ"/>
              </w:rPr>
              <w:t xml:space="preserve">147 </w:t>
            </w:r>
          </w:p>
        </w:tc>
        <w:tc>
          <w:tcPr>
            <w:tcW w:w="556" w:type="pct"/>
            <w:vAlign w:val="bottom"/>
          </w:tcPr>
          <w:p w14:paraId="19742CC9"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77 </w:t>
            </w:r>
          </w:p>
        </w:tc>
        <w:tc>
          <w:tcPr>
            <w:tcW w:w="556" w:type="pct"/>
            <w:vAlign w:val="bottom"/>
          </w:tcPr>
          <w:p w14:paraId="18E6CA14"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63 </w:t>
            </w:r>
          </w:p>
        </w:tc>
        <w:tc>
          <w:tcPr>
            <w:tcW w:w="556" w:type="pct"/>
            <w:vAlign w:val="bottom"/>
          </w:tcPr>
          <w:p w14:paraId="68E31770"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53 </w:t>
            </w:r>
          </w:p>
        </w:tc>
        <w:tc>
          <w:tcPr>
            <w:tcW w:w="556" w:type="pct"/>
            <w:vAlign w:val="bottom"/>
          </w:tcPr>
          <w:p w14:paraId="6B070A0A"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 46 </w:t>
            </w:r>
          </w:p>
        </w:tc>
        <w:tc>
          <w:tcPr>
            <w:tcW w:w="556" w:type="pct"/>
            <w:vAlign w:val="bottom"/>
          </w:tcPr>
          <w:p w14:paraId="0819001F"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33 </w:t>
            </w:r>
          </w:p>
        </w:tc>
        <w:tc>
          <w:tcPr>
            <w:tcW w:w="556" w:type="pct"/>
            <w:vAlign w:val="bottom"/>
          </w:tcPr>
          <w:p w14:paraId="42265AB0"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33 </w:t>
            </w:r>
          </w:p>
        </w:tc>
        <w:tc>
          <w:tcPr>
            <w:tcW w:w="556" w:type="pct"/>
            <w:vAlign w:val="bottom"/>
          </w:tcPr>
          <w:p w14:paraId="5471D8F8"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701</w:t>
            </w:r>
          </w:p>
        </w:tc>
      </w:tr>
    </w:tbl>
    <w:p w14:paraId="6BC7C490" w14:textId="77777777" w:rsidR="0062490D" w:rsidRDefault="0062490D" w:rsidP="0062490D">
      <w:pPr>
        <w:spacing w:after="0"/>
        <w:rPr>
          <w:b/>
          <w:bCs/>
          <w:lang w:val="en-GB"/>
        </w:rPr>
      </w:pPr>
    </w:p>
    <w:p w14:paraId="69CCAB97" w14:textId="7681EF26" w:rsidR="0062490D" w:rsidRPr="002C219E" w:rsidRDefault="0062490D" w:rsidP="0062490D">
      <w:pPr>
        <w:rPr>
          <w:lang w:val="en-GB"/>
        </w:rPr>
      </w:pPr>
      <w:r>
        <w:rPr>
          <w:lang w:val="en-GB"/>
        </w:rPr>
        <w:t xml:space="preserve">Resources will be provided by in-kind staff contribution from Canada until April 2023. Further staff resources will be required afterwards, with the level of resource determined by the findings of the </w:t>
      </w:r>
      <w:r w:rsidR="00E23BE6">
        <w:rPr>
          <w:lang w:val="en-GB"/>
        </w:rPr>
        <w:t>IPPC Observatory</w:t>
      </w:r>
      <w:r>
        <w:rPr>
          <w:lang w:val="en-GB"/>
        </w:rPr>
        <w:t xml:space="preserve"> study.  A </w:t>
      </w:r>
      <w:r w:rsidR="00B23365">
        <w:rPr>
          <w:lang w:val="en-GB"/>
        </w:rPr>
        <w:t xml:space="preserve">CPM Focus Group or </w:t>
      </w:r>
      <w:r w:rsidR="00636220">
        <w:rPr>
          <w:lang w:val="en-GB"/>
        </w:rPr>
        <w:t xml:space="preserve">informal network </w:t>
      </w:r>
      <w:r w:rsidR="00B23365">
        <w:rPr>
          <w:lang w:val="en-GB"/>
        </w:rPr>
        <w:t xml:space="preserve">may be required to </w:t>
      </w:r>
      <w:r w:rsidR="00636220">
        <w:rPr>
          <w:lang w:val="en-GB"/>
        </w:rPr>
        <w:t>guide</w:t>
      </w:r>
      <w:r w:rsidR="00B23365">
        <w:rPr>
          <w:lang w:val="en-GB"/>
        </w:rPr>
        <w:t xml:space="preserve"> the work</w:t>
      </w:r>
      <w:r w:rsidR="00636220">
        <w:rPr>
          <w:lang w:val="en-GB"/>
        </w:rPr>
        <w:t>.</w:t>
      </w:r>
    </w:p>
    <w:p w14:paraId="63562E55" w14:textId="77777777" w:rsidR="0062490D" w:rsidRDefault="0062490D" w:rsidP="00F2681C">
      <w:pPr>
        <w:rPr>
          <w:rFonts w:eastAsiaTheme="majorEastAsia" w:cstheme="minorHAnsi"/>
          <w:b/>
          <w:bCs/>
        </w:rPr>
      </w:pPr>
    </w:p>
    <w:p w14:paraId="3D0019E4" w14:textId="4BC56DDC" w:rsidR="00B240BF" w:rsidRDefault="0047581A" w:rsidP="00F2681C">
      <w:pPr>
        <w:rPr>
          <w:rFonts w:eastAsiaTheme="majorEastAsia" w:cstheme="minorHAnsi"/>
        </w:rPr>
      </w:pPr>
      <w:r w:rsidRPr="006471F4">
        <w:rPr>
          <w:rFonts w:eastAsiaTheme="majorEastAsia" w:cstheme="minorHAnsi"/>
          <w:b/>
          <w:bCs/>
        </w:rPr>
        <w:t xml:space="preserve">Sequencing </w:t>
      </w:r>
      <w:r w:rsidR="00DB3C41">
        <w:rPr>
          <w:rFonts w:eastAsiaTheme="majorEastAsia" w:cstheme="minorHAnsi"/>
          <w:b/>
          <w:bCs/>
        </w:rPr>
        <w:t>r</w:t>
      </w:r>
      <w:r w:rsidRPr="006471F4">
        <w:rPr>
          <w:rFonts w:eastAsiaTheme="majorEastAsia" w:cstheme="minorHAnsi"/>
          <w:b/>
          <w:bCs/>
        </w:rPr>
        <w:t>ecommendation:</w:t>
      </w:r>
      <w:r>
        <w:rPr>
          <w:rFonts w:eastAsiaTheme="majorEastAsia" w:cstheme="minorHAnsi"/>
        </w:rPr>
        <w:t xml:space="preserve"> </w:t>
      </w:r>
      <w:r w:rsidR="00F63607" w:rsidRPr="00F63607">
        <w:rPr>
          <w:rFonts w:eastAsiaTheme="majorEastAsia" w:cstheme="minorHAnsi"/>
        </w:rPr>
        <w:t xml:space="preserve">FG SFDAI recommends </w:t>
      </w:r>
      <w:r w:rsidR="00BB6C47">
        <w:rPr>
          <w:rFonts w:eastAsiaTheme="majorEastAsia" w:cstheme="minorHAnsi"/>
        </w:rPr>
        <w:t xml:space="preserve">this should </w:t>
      </w:r>
      <w:r w:rsidR="00F63607" w:rsidRPr="00F63607">
        <w:rPr>
          <w:rFonts w:eastAsiaTheme="majorEastAsia" w:cstheme="minorHAnsi"/>
        </w:rPr>
        <w:t>continue</w:t>
      </w:r>
      <w:r w:rsidR="001D4C58">
        <w:rPr>
          <w:rFonts w:eastAsiaTheme="majorEastAsia" w:cstheme="minorHAnsi"/>
        </w:rPr>
        <w:t xml:space="preserve"> in </w:t>
      </w:r>
      <w:r w:rsidR="00BB6C47">
        <w:rPr>
          <w:rFonts w:eastAsiaTheme="majorEastAsia" w:cstheme="minorHAnsi"/>
        </w:rPr>
        <w:t>D</w:t>
      </w:r>
      <w:r w:rsidR="001D4C58">
        <w:rPr>
          <w:rFonts w:eastAsiaTheme="majorEastAsia" w:cstheme="minorHAnsi"/>
        </w:rPr>
        <w:t>elivery phase</w:t>
      </w:r>
      <w:r w:rsidR="007773A5">
        <w:rPr>
          <w:rFonts w:eastAsiaTheme="majorEastAsia" w:cstheme="minorHAnsi"/>
        </w:rPr>
        <w:t xml:space="preserve"> until </w:t>
      </w:r>
      <w:r w:rsidR="00AC678A">
        <w:rPr>
          <w:rFonts w:eastAsiaTheme="majorEastAsia" w:cstheme="minorHAnsi"/>
        </w:rPr>
        <w:t xml:space="preserve">an </w:t>
      </w:r>
      <w:r w:rsidR="00E23BE6">
        <w:rPr>
          <w:rFonts w:eastAsiaTheme="majorEastAsia" w:cstheme="minorHAnsi"/>
        </w:rPr>
        <w:t>IPPC Observatory</w:t>
      </w:r>
      <w:r w:rsidR="00AC678A">
        <w:rPr>
          <w:rFonts w:eastAsiaTheme="majorEastAsia" w:cstheme="minorHAnsi"/>
        </w:rPr>
        <w:t xml:space="preserve">-type study has been </w:t>
      </w:r>
      <w:r w:rsidR="007E0517">
        <w:rPr>
          <w:rFonts w:eastAsiaTheme="majorEastAsia" w:cstheme="minorHAnsi"/>
        </w:rPr>
        <w:t>completed and findings</w:t>
      </w:r>
      <w:r w:rsidR="00BB6C47">
        <w:rPr>
          <w:rFonts w:eastAsiaTheme="majorEastAsia" w:cstheme="minorHAnsi"/>
        </w:rPr>
        <w:t xml:space="preserve"> have been</w:t>
      </w:r>
      <w:r w:rsidR="007E0517">
        <w:rPr>
          <w:rFonts w:eastAsiaTheme="majorEastAsia" w:cstheme="minorHAnsi"/>
        </w:rPr>
        <w:t xml:space="preserve"> implemented into the programme.</w:t>
      </w:r>
      <w:r w:rsidR="002E60DC">
        <w:rPr>
          <w:rFonts w:eastAsiaTheme="majorEastAsia" w:cstheme="minorHAnsi"/>
        </w:rPr>
        <w:t xml:space="preserve"> Following </w:t>
      </w:r>
      <w:r w:rsidR="008A5C3E">
        <w:rPr>
          <w:rFonts w:eastAsiaTheme="majorEastAsia" w:cstheme="minorHAnsi"/>
        </w:rPr>
        <w:t xml:space="preserve">the </w:t>
      </w:r>
      <w:r w:rsidR="00E23BE6">
        <w:rPr>
          <w:rFonts w:eastAsiaTheme="majorEastAsia" w:cstheme="minorHAnsi"/>
        </w:rPr>
        <w:t>IPPC Observatory</w:t>
      </w:r>
      <w:r w:rsidR="008A5C3E">
        <w:rPr>
          <w:rFonts w:eastAsiaTheme="majorEastAsia" w:cstheme="minorHAnsi"/>
        </w:rPr>
        <w:t xml:space="preserve"> study in 2023</w:t>
      </w:r>
      <w:r w:rsidR="002E60DC">
        <w:rPr>
          <w:rFonts w:eastAsiaTheme="majorEastAsia" w:cstheme="minorHAnsi"/>
        </w:rPr>
        <w:t xml:space="preserve">, </w:t>
      </w:r>
      <w:r w:rsidR="008A5C3E">
        <w:rPr>
          <w:rFonts w:eastAsiaTheme="majorEastAsia" w:cstheme="minorHAnsi"/>
        </w:rPr>
        <w:t>it would also be a good opportunity to</w:t>
      </w:r>
      <w:r w:rsidR="00D13719">
        <w:rPr>
          <w:rFonts w:eastAsiaTheme="majorEastAsia" w:cstheme="minorHAnsi"/>
        </w:rPr>
        <w:t xml:space="preserve"> </w:t>
      </w:r>
      <w:r w:rsidR="008A5C3E">
        <w:rPr>
          <w:rFonts w:eastAsiaTheme="majorEastAsia" w:cstheme="minorHAnsi"/>
        </w:rPr>
        <w:t xml:space="preserve">review the </w:t>
      </w:r>
      <w:r w:rsidR="00600A12">
        <w:rPr>
          <w:rFonts w:eastAsiaTheme="majorEastAsia" w:cstheme="minorHAnsi"/>
        </w:rPr>
        <w:t>informal network</w:t>
      </w:r>
      <w:r w:rsidR="005B27EC">
        <w:rPr>
          <w:rFonts w:eastAsiaTheme="majorEastAsia" w:cstheme="minorHAnsi"/>
        </w:rPr>
        <w:t xml:space="preserve"> of e-Commerce experts, </w:t>
      </w:r>
      <w:r w:rsidR="008A5C3E">
        <w:rPr>
          <w:rFonts w:eastAsiaTheme="majorEastAsia" w:cstheme="minorHAnsi"/>
        </w:rPr>
        <w:t xml:space="preserve">and share information via </w:t>
      </w:r>
      <w:r w:rsidR="005B27EC">
        <w:rPr>
          <w:rFonts w:eastAsiaTheme="majorEastAsia" w:cstheme="minorHAnsi"/>
        </w:rPr>
        <w:t xml:space="preserve">webinars and other </w:t>
      </w:r>
      <w:r w:rsidR="00555061">
        <w:rPr>
          <w:rFonts w:eastAsiaTheme="majorEastAsia" w:cstheme="minorHAnsi"/>
        </w:rPr>
        <w:t>channels.</w:t>
      </w:r>
    </w:p>
    <w:p w14:paraId="3B30842E" w14:textId="77777777" w:rsidR="00137E19" w:rsidRDefault="00137E19" w:rsidP="00137E19">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are anticipated.</w:t>
      </w:r>
    </w:p>
    <w:p w14:paraId="7B806B6C" w14:textId="77B21059" w:rsidR="00682A41"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Completion of communications plan for e-commerce by December 2023</w:t>
      </w:r>
    </w:p>
    <w:p w14:paraId="08A61AF4" w14:textId="584E03A9" w:rsidR="00682A41"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 xml:space="preserve">Completion of </w:t>
      </w:r>
      <w:r w:rsidR="00E23BE6">
        <w:rPr>
          <w:rFonts w:eastAsiaTheme="majorEastAsia" w:cstheme="minorHAnsi"/>
        </w:rPr>
        <w:t>IPPC Observatory</w:t>
      </w:r>
      <w:r w:rsidRPr="00682A41">
        <w:rPr>
          <w:rFonts w:eastAsiaTheme="majorEastAsia" w:cstheme="minorHAnsi"/>
        </w:rPr>
        <w:t xml:space="preserve"> study on e-commerce (phase 1) by December 2023</w:t>
      </w:r>
    </w:p>
    <w:p w14:paraId="6764BAE9" w14:textId="4E5B74FC" w:rsidR="00682A41"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 xml:space="preserve">Long-term planning based on recommendations from the </w:t>
      </w:r>
      <w:r w:rsidR="00E23BE6">
        <w:rPr>
          <w:rFonts w:eastAsiaTheme="majorEastAsia" w:cstheme="minorHAnsi"/>
        </w:rPr>
        <w:t>IPPC Observatory</w:t>
      </w:r>
      <w:r w:rsidRPr="00682A41">
        <w:rPr>
          <w:rFonts w:eastAsiaTheme="majorEastAsia" w:cstheme="minorHAnsi"/>
        </w:rPr>
        <w:t xml:space="preserve"> study by December 2024</w:t>
      </w:r>
    </w:p>
    <w:p w14:paraId="321B4F2D" w14:textId="15FF877C" w:rsidR="00152E1A"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 xml:space="preserve">Completion of </w:t>
      </w:r>
      <w:r w:rsidR="00E23BE6">
        <w:rPr>
          <w:rFonts w:eastAsiaTheme="majorEastAsia" w:cstheme="minorHAnsi"/>
        </w:rPr>
        <w:t>IPPC Observatory</w:t>
      </w:r>
      <w:r w:rsidRPr="00682A41">
        <w:rPr>
          <w:rFonts w:eastAsiaTheme="majorEastAsia" w:cstheme="minorHAnsi"/>
        </w:rPr>
        <w:t xml:space="preserve"> study on e-commerce (phase 2) by December 2027</w:t>
      </w:r>
    </w:p>
    <w:p w14:paraId="5F3A4729" w14:textId="77777777" w:rsidR="00682A41" w:rsidRPr="00A51BD0" w:rsidRDefault="00682A41" w:rsidP="00682A41">
      <w:pPr>
        <w:rPr>
          <w:rFonts w:eastAsiaTheme="majorEastAsia" w:cstheme="minorHAnsi"/>
        </w:rPr>
      </w:pPr>
    </w:p>
    <w:p w14:paraId="07D12462" w14:textId="7DBFC418" w:rsidR="005E6CF4" w:rsidRDefault="005E6CF4" w:rsidP="00CD6B03">
      <w:pPr>
        <w:pStyle w:val="Heading2"/>
      </w:pPr>
      <w:bookmarkStart w:id="14" w:name="_Toc114566374"/>
      <w:r w:rsidRPr="00A51BD0">
        <w:t>Developing guidance on the use of third-party entities</w:t>
      </w:r>
      <w:bookmarkEnd w:id="14"/>
      <w:r w:rsidRPr="00A51BD0">
        <w:t xml:space="preserve"> </w:t>
      </w:r>
    </w:p>
    <w:p w14:paraId="6BC0314D" w14:textId="296FB3AA" w:rsidR="00BA518F" w:rsidRDefault="00555061" w:rsidP="00F2681C">
      <w:r w:rsidRPr="00612BB5">
        <w:rPr>
          <w:b/>
          <w:bCs/>
        </w:rPr>
        <w:t>Status:</w:t>
      </w:r>
      <w:r>
        <w:t xml:space="preserve"> </w:t>
      </w:r>
      <w:r w:rsidR="00922D86">
        <w:t xml:space="preserve">Since the </w:t>
      </w:r>
      <w:r w:rsidR="00FF7697">
        <w:t xml:space="preserve">2021 </w:t>
      </w:r>
      <w:r w:rsidR="00922D86">
        <w:t>adoption of ISPM</w:t>
      </w:r>
      <w:r w:rsidR="00C520F3">
        <w:t xml:space="preserve"> 45</w:t>
      </w:r>
      <w:r w:rsidR="00306F94">
        <w:t xml:space="preserve"> </w:t>
      </w:r>
      <w:r w:rsidR="00306F94" w:rsidRPr="00306F94">
        <w:rPr>
          <w:i/>
          <w:iCs/>
        </w:rPr>
        <w:t>Requirements for national plant protection organizations if authorizing entities to perform phytosanitary actions</w:t>
      </w:r>
      <w:r w:rsidR="004E0E84">
        <w:t>,</w:t>
      </w:r>
      <w:r w:rsidR="00C520F3">
        <w:t xml:space="preserve"> </w:t>
      </w:r>
      <w:r w:rsidR="00FF7697">
        <w:t xml:space="preserve">a webinar has been held to </w:t>
      </w:r>
      <w:r w:rsidR="00C900A8">
        <w:t xml:space="preserve">raise awareness of the </w:t>
      </w:r>
      <w:r w:rsidR="002D7EBA">
        <w:t xml:space="preserve">ISPM among contracting parties. </w:t>
      </w:r>
      <w:r w:rsidR="00B75084">
        <w:t xml:space="preserve">Scoping and planning for an implementation work programme has not yet </w:t>
      </w:r>
      <w:r w:rsidR="00BA518F">
        <w:t>occurred.</w:t>
      </w:r>
      <w:r w:rsidR="00D53237">
        <w:t xml:space="preserve"> </w:t>
      </w:r>
      <w:r w:rsidR="00335344">
        <w:t xml:space="preserve">Contracting parties </w:t>
      </w:r>
      <w:r w:rsidR="007F15CC">
        <w:t>can</w:t>
      </w:r>
      <w:r w:rsidR="00335344">
        <w:t xml:space="preserve"> use ISPM 45 now, but </w:t>
      </w:r>
      <w:r w:rsidR="002F19D0">
        <w:t>t</w:t>
      </w:r>
      <w:r w:rsidR="00B27313">
        <w:t xml:space="preserve">here is an opportunity to </w:t>
      </w:r>
      <w:r w:rsidR="002F19D0">
        <w:t xml:space="preserve">delay an implementation work programme. </w:t>
      </w:r>
    </w:p>
    <w:p w14:paraId="56F4DB4E" w14:textId="590920B3" w:rsidR="004E0E84" w:rsidRDefault="004E0E84" w:rsidP="00F2681C">
      <w:pPr>
        <w:rPr>
          <w:b/>
          <w:bCs/>
        </w:rPr>
      </w:pPr>
      <w:r w:rsidRPr="004E0E84">
        <w:rPr>
          <w:b/>
          <w:bCs/>
        </w:rPr>
        <w:t>Long-term plan:</w:t>
      </w:r>
      <w:r w:rsidR="00F257E0">
        <w:rPr>
          <w:b/>
          <w:bCs/>
        </w:rPr>
        <w:t xml:space="preserve"> </w:t>
      </w:r>
      <w:r w:rsidR="00F257E0" w:rsidRPr="00F257E0">
        <w:rPr>
          <w:b/>
          <w:bCs/>
          <w:highlight w:val="yellow"/>
        </w:rPr>
        <w:t>TBC</w:t>
      </w:r>
    </w:p>
    <w:p w14:paraId="38185C1B" w14:textId="32F8158C" w:rsidR="006575DD" w:rsidRDefault="006575DD" w:rsidP="00F2681C">
      <w:pPr>
        <w:rPr>
          <w:b/>
          <w:bCs/>
        </w:rPr>
      </w:pPr>
      <w:r>
        <w:rPr>
          <w:b/>
          <w:bCs/>
        </w:rPr>
        <w:t>Financial plan:</w:t>
      </w:r>
      <w:r w:rsidR="008E04E3" w:rsidRPr="008E04E3">
        <w:t xml:space="preserve"> To carry out the activities of the work programme, the following funding will be required:</w:t>
      </w:r>
    </w:p>
    <w:tbl>
      <w:tblPr>
        <w:tblStyle w:val="GridTable4-Accent1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6575DD" w14:paraId="578240CD"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3238005C" w14:textId="77777777" w:rsidR="006575DD" w:rsidRDefault="006575DD" w:rsidP="004C3CBA">
            <w:pPr>
              <w:rPr>
                <w:lang w:val="en-GB"/>
              </w:rPr>
            </w:pPr>
            <w:r>
              <w:rPr>
                <w:b w:val="0"/>
                <w:bCs w:val="0"/>
                <w:lang w:val="en-GB"/>
              </w:rPr>
              <w:t>2023</w:t>
            </w:r>
          </w:p>
          <w:p w14:paraId="2972A1FD" w14:textId="77777777" w:rsidR="006575DD" w:rsidRDefault="006575DD" w:rsidP="004C3CBA">
            <w:pPr>
              <w:rPr>
                <w:b w:val="0"/>
                <w:bCs w:val="0"/>
                <w:lang w:val="en-GB"/>
              </w:rPr>
            </w:pPr>
            <w:r w:rsidRPr="00EC4297">
              <w:rPr>
                <w:b w:val="0"/>
                <w:bCs w:val="0"/>
                <w:lang w:val="en-GB"/>
              </w:rPr>
              <w:t>($’000)</w:t>
            </w:r>
          </w:p>
        </w:tc>
        <w:tc>
          <w:tcPr>
            <w:tcW w:w="556" w:type="pct"/>
          </w:tcPr>
          <w:p w14:paraId="2DBD353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4EAF2B5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311E7077"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77CD401F"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821DCA0"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6619A73C"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131A31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684A20E3"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EDC9082"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6EA0D40B"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AF39DE9"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5EFDCD7B"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49C0DFB8"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07536F3D"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26DF1F0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58B5F4EE"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6575DD" w14:paraId="46DC0451"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3AFCD95B" w14:textId="3BD2D8B7" w:rsidR="006575DD" w:rsidRPr="002C219E" w:rsidRDefault="006575DD" w:rsidP="004C3CBA">
            <w:pPr>
              <w:rPr>
                <w:b w:val="0"/>
                <w:bCs w:val="0"/>
                <w:lang w:val="en-GB"/>
              </w:rPr>
            </w:pPr>
          </w:p>
        </w:tc>
        <w:tc>
          <w:tcPr>
            <w:tcW w:w="556" w:type="pct"/>
          </w:tcPr>
          <w:p w14:paraId="112B4C95" w14:textId="13C4B772" w:rsidR="006575DD" w:rsidRPr="002C219E" w:rsidRDefault="006575DD" w:rsidP="004C3CBA">
            <w:pPr>
              <w:cnfStyle w:val="000000100000" w:firstRow="0" w:lastRow="0" w:firstColumn="0" w:lastColumn="0" w:oddVBand="0" w:evenVBand="0" w:oddHBand="1" w:evenHBand="0" w:firstRowFirstColumn="0" w:firstRowLastColumn="0" w:lastRowFirstColumn="0" w:lastRowLastColumn="0"/>
              <w:rPr>
                <w:lang w:val="en-GB"/>
              </w:rPr>
            </w:pPr>
          </w:p>
        </w:tc>
        <w:tc>
          <w:tcPr>
            <w:tcW w:w="556" w:type="pct"/>
          </w:tcPr>
          <w:p w14:paraId="45259F69" w14:textId="57E21503" w:rsidR="006575DD" w:rsidRPr="00EC4297" w:rsidRDefault="006575DD" w:rsidP="004C3CBA">
            <w:pPr>
              <w:cnfStyle w:val="000000100000" w:firstRow="0" w:lastRow="0" w:firstColumn="0" w:lastColumn="0" w:oddVBand="0" w:evenVBand="0" w:oddHBand="1" w:evenHBand="0" w:firstRowFirstColumn="0" w:firstRowLastColumn="0" w:lastRowFirstColumn="0" w:lastRowLastColumn="0"/>
              <w:rPr>
                <w:lang w:val="en-GB"/>
              </w:rPr>
            </w:pPr>
          </w:p>
        </w:tc>
        <w:tc>
          <w:tcPr>
            <w:tcW w:w="556" w:type="pct"/>
          </w:tcPr>
          <w:p w14:paraId="4F614A39" w14:textId="4E564631"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161</w:t>
            </w:r>
            <w:r w:rsidR="006575DD" w:rsidRPr="004F4809">
              <w:t xml:space="preserve"> </w:t>
            </w:r>
          </w:p>
        </w:tc>
        <w:tc>
          <w:tcPr>
            <w:tcW w:w="556" w:type="pct"/>
          </w:tcPr>
          <w:p w14:paraId="626946B2" w14:textId="2845356E"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211</w:t>
            </w:r>
            <w:r w:rsidR="006575DD" w:rsidRPr="004F4809">
              <w:t xml:space="preserve"> </w:t>
            </w:r>
          </w:p>
        </w:tc>
        <w:tc>
          <w:tcPr>
            <w:tcW w:w="556" w:type="pct"/>
          </w:tcPr>
          <w:p w14:paraId="7BC9FA45" w14:textId="36323963"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201</w:t>
            </w:r>
            <w:r w:rsidR="006575DD" w:rsidRPr="004F4809">
              <w:t xml:space="preserve"> </w:t>
            </w:r>
          </w:p>
        </w:tc>
        <w:tc>
          <w:tcPr>
            <w:tcW w:w="556" w:type="pct"/>
          </w:tcPr>
          <w:p w14:paraId="0E932095" w14:textId="509CD5F0"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111</w:t>
            </w:r>
            <w:r w:rsidR="006575DD" w:rsidRPr="004F4809">
              <w:t xml:space="preserve"> </w:t>
            </w:r>
          </w:p>
        </w:tc>
        <w:tc>
          <w:tcPr>
            <w:tcW w:w="556" w:type="pct"/>
          </w:tcPr>
          <w:p w14:paraId="3D559CD1" w14:textId="42420CB6"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151</w:t>
            </w:r>
            <w:r w:rsidR="006575DD" w:rsidRPr="004F4809">
              <w:t xml:space="preserve"> </w:t>
            </w:r>
          </w:p>
        </w:tc>
        <w:tc>
          <w:tcPr>
            <w:tcW w:w="552" w:type="pct"/>
          </w:tcPr>
          <w:p w14:paraId="186DC99B" w14:textId="380F2FF6" w:rsidR="006575DD" w:rsidRPr="00EC4297" w:rsidRDefault="008E04E3"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845</w:t>
            </w:r>
          </w:p>
        </w:tc>
      </w:tr>
    </w:tbl>
    <w:p w14:paraId="57D77179" w14:textId="77777777" w:rsidR="00B25F6F" w:rsidRDefault="00B25F6F" w:rsidP="00B25F6F">
      <w:pPr>
        <w:spacing w:after="0"/>
      </w:pPr>
    </w:p>
    <w:p w14:paraId="1CAD521E" w14:textId="7F9BF88B" w:rsidR="006575DD" w:rsidRPr="00B25F6F" w:rsidRDefault="00B25F6F" w:rsidP="00F2681C">
      <w:r w:rsidRPr="00B25F6F">
        <w:t xml:space="preserve">Resources will include IPPC Secretariat staff and members of the </w:t>
      </w:r>
      <w:r>
        <w:t>IC</w:t>
      </w:r>
      <w:r w:rsidRPr="00B25F6F">
        <w:t>.</w:t>
      </w:r>
    </w:p>
    <w:p w14:paraId="015E8154" w14:textId="7F0D6006" w:rsidR="00152E1A" w:rsidRDefault="00BA518F" w:rsidP="00F2681C">
      <w:r w:rsidRPr="00612BB5">
        <w:rPr>
          <w:b/>
          <w:bCs/>
        </w:rPr>
        <w:t xml:space="preserve">Sequencing </w:t>
      </w:r>
      <w:r w:rsidR="00DB3C41">
        <w:rPr>
          <w:b/>
          <w:bCs/>
        </w:rPr>
        <w:t>r</w:t>
      </w:r>
      <w:r w:rsidRPr="00612BB5">
        <w:rPr>
          <w:b/>
          <w:bCs/>
        </w:rPr>
        <w:t>ecommendation:</w:t>
      </w:r>
      <w:r>
        <w:t xml:space="preserve"> FG SFDAI recommends</w:t>
      </w:r>
      <w:r w:rsidR="00656FFA">
        <w:t xml:space="preserve"> not starting </w:t>
      </w:r>
      <w:r w:rsidR="00E16BDA">
        <w:t xml:space="preserve">the </w:t>
      </w:r>
      <w:r w:rsidR="004E0E84">
        <w:t>S</w:t>
      </w:r>
      <w:r w:rsidR="00E16BDA">
        <w:t xml:space="preserve">cope and </w:t>
      </w:r>
      <w:r w:rsidR="004E0E84">
        <w:t>P</w:t>
      </w:r>
      <w:r w:rsidR="00E16BDA">
        <w:t>lan phase until 2026. At this point</w:t>
      </w:r>
      <w:r w:rsidR="004E0E84">
        <w:t>,</w:t>
      </w:r>
      <w:r w:rsidR="00E16BDA">
        <w:t xml:space="preserve"> </w:t>
      </w:r>
      <w:r w:rsidR="004E0E84">
        <w:t xml:space="preserve">IPPC </w:t>
      </w:r>
      <w:r w:rsidR="00E16BDA">
        <w:t xml:space="preserve">Secretariat resource will need to be assigned </w:t>
      </w:r>
      <w:r w:rsidR="006B6F40">
        <w:t xml:space="preserve">to work with the IC </w:t>
      </w:r>
      <w:r w:rsidR="00670BA4">
        <w:t>to develop a plan.</w:t>
      </w:r>
      <w:r w:rsidR="006C19C3">
        <w:t xml:space="preserve">  </w:t>
      </w:r>
      <w:r w:rsidR="00996820">
        <w:t>The sequencing</w:t>
      </w:r>
      <w:r w:rsidR="006C19C3">
        <w:t xml:space="preserve"> </w:t>
      </w:r>
      <w:r w:rsidR="00A94BC9">
        <w:t xml:space="preserve">of this </w:t>
      </w:r>
      <w:r w:rsidR="004E0E84">
        <w:t>development agenda item</w:t>
      </w:r>
      <w:r w:rsidR="00A94BC9">
        <w:t xml:space="preserve"> </w:t>
      </w:r>
      <w:r w:rsidR="006C19C3">
        <w:t xml:space="preserve">does not reflect on </w:t>
      </w:r>
      <w:r w:rsidR="00A94BC9">
        <w:t xml:space="preserve">its </w:t>
      </w:r>
      <w:r w:rsidR="006C19C3">
        <w:t>importance</w:t>
      </w:r>
      <w:r w:rsidR="00ED54B1">
        <w:t>, but having not started, t</w:t>
      </w:r>
      <w:r w:rsidR="00996820">
        <w:t>here is simply an opportunity to delay starting the work to allow the</w:t>
      </w:r>
      <w:r w:rsidR="004E0E84">
        <w:t xml:space="preserve"> IPPC</w:t>
      </w:r>
      <w:r w:rsidR="00996820">
        <w:t xml:space="preserve"> Secretariat and contracting parties</w:t>
      </w:r>
      <w:r w:rsidR="004E0E84">
        <w:t xml:space="preserve"> time</w:t>
      </w:r>
      <w:r w:rsidR="00996820">
        <w:t xml:space="preserve"> to focus on </w:t>
      </w:r>
      <w:r w:rsidR="004E0E84">
        <w:t xml:space="preserve">development agenda items </w:t>
      </w:r>
      <w:r w:rsidR="00996820">
        <w:t xml:space="preserve">that </w:t>
      </w:r>
      <w:r w:rsidR="004E0E84">
        <w:t xml:space="preserve">are </w:t>
      </w:r>
      <w:r w:rsidR="00996820">
        <w:t>already being progressed.</w:t>
      </w:r>
      <w:r w:rsidR="006C19C3">
        <w:t xml:space="preserve"> </w:t>
      </w:r>
      <w:r w:rsidR="00C17398">
        <w:t>Some high</w:t>
      </w:r>
      <w:r w:rsidR="00612BB5">
        <w:t>-</w:t>
      </w:r>
      <w:r w:rsidR="00C17398">
        <w:t xml:space="preserve">level planning has been completed by the FG SFAI </w:t>
      </w:r>
      <w:r w:rsidR="00612BB5">
        <w:t>to</w:t>
      </w:r>
      <w:r w:rsidR="00C17398">
        <w:t xml:space="preserve"> make budget provision </w:t>
      </w:r>
      <w:r w:rsidR="00DF45F0">
        <w:t>in later years.</w:t>
      </w:r>
    </w:p>
    <w:p w14:paraId="30E3114E" w14:textId="16142D41" w:rsidR="003703BA" w:rsidRDefault="003703BA" w:rsidP="003703BA">
      <w:pPr>
        <w:rPr>
          <w:rFonts w:eastAsiaTheme="majorEastAsia" w:cstheme="minorHAnsi"/>
        </w:rPr>
      </w:pPr>
      <w:r w:rsidRPr="00C1590B">
        <w:rPr>
          <w:rFonts w:eastAsiaTheme="majorEastAsia" w:cstheme="minorHAnsi"/>
          <w:b/>
          <w:bCs/>
        </w:rPr>
        <w:lastRenderedPageBreak/>
        <w:t>Monitoring &amp; Evaluation KPIs:</w:t>
      </w:r>
      <w:r>
        <w:rPr>
          <w:rFonts w:eastAsiaTheme="majorEastAsia" w:cstheme="minorHAnsi"/>
        </w:rPr>
        <w:t xml:space="preserve"> The following KPIs are anticipated.</w:t>
      </w:r>
    </w:p>
    <w:p w14:paraId="2CBFD142" w14:textId="4018D78D" w:rsidR="00E44293" w:rsidRDefault="00E44293" w:rsidP="00E44293">
      <w:pPr>
        <w:pStyle w:val="ListParagraph"/>
        <w:numPr>
          <w:ilvl w:val="0"/>
          <w:numId w:val="26"/>
        </w:numPr>
      </w:pPr>
      <w:r>
        <w:t>Development of training materials by April 2023</w:t>
      </w:r>
    </w:p>
    <w:p w14:paraId="55CB9F33" w14:textId="1AFFA3D7" w:rsidR="00E44293" w:rsidRDefault="00E44293" w:rsidP="00E44293">
      <w:pPr>
        <w:pStyle w:val="ListParagraph"/>
        <w:numPr>
          <w:ilvl w:val="0"/>
          <w:numId w:val="26"/>
        </w:numPr>
      </w:pPr>
      <w:r>
        <w:t>Increase in confidence in the use of third-party entities by April 2024</w:t>
      </w:r>
    </w:p>
    <w:p w14:paraId="7FA759A4" w14:textId="5D42EDD9" w:rsidR="00E44293" w:rsidRDefault="00E44293" w:rsidP="00E44293">
      <w:pPr>
        <w:pStyle w:val="ListParagraph"/>
        <w:numPr>
          <w:ilvl w:val="0"/>
          <w:numId w:val="26"/>
        </w:numPr>
      </w:pPr>
      <w:r>
        <w:t>Scope and plan whether further actions are required by April 2026</w:t>
      </w:r>
    </w:p>
    <w:p w14:paraId="40D2D0AB" w14:textId="25297EF7" w:rsidR="00555061" w:rsidRDefault="00E44293" w:rsidP="00E44293">
      <w:pPr>
        <w:pStyle w:val="ListParagraph"/>
        <w:numPr>
          <w:ilvl w:val="0"/>
          <w:numId w:val="26"/>
        </w:numPr>
      </w:pPr>
      <w:r>
        <w:t>Subject to CPM decision, start delivery of additional actions from 2027</w:t>
      </w:r>
    </w:p>
    <w:p w14:paraId="749833DF" w14:textId="77777777" w:rsidR="00E44293" w:rsidRPr="00555061" w:rsidRDefault="00E44293" w:rsidP="00E44293"/>
    <w:p w14:paraId="7D6D80D1" w14:textId="2D3B96D8" w:rsidR="005E6CF4" w:rsidRDefault="005E6CF4" w:rsidP="00CD6B03">
      <w:pPr>
        <w:pStyle w:val="Heading2"/>
      </w:pPr>
      <w:bookmarkStart w:id="15" w:name="_Toc114566375"/>
      <w:r w:rsidRPr="00A51BD0">
        <w:t xml:space="preserve">Strengthening pest outbreak alert and response systems </w:t>
      </w:r>
      <w:r w:rsidR="00A62F65">
        <w:t>(POARS)</w:t>
      </w:r>
      <w:bookmarkEnd w:id="15"/>
    </w:p>
    <w:p w14:paraId="6AD74303" w14:textId="2EB6D721" w:rsidR="00DF1253" w:rsidRDefault="00005276" w:rsidP="00F2681C">
      <w:r w:rsidRPr="00A45225">
        <w:rPr>
          <w:b/>
          <w:bCs/>
        </w:rPr>
        <w:t>Status:</w:t>
      </w:r>
      <w:r>
        <w:t xml:space="preserve">  A substantial amount of work has been done to </w:t>
      </w:r>
      <w:r w:rsidR="009F3F79">
        <w:t>S</w:t>
      </w:r>
      <w:r w:rsidR="002C347F">
        <w:t xml:space="preserve">cope and </w:t>
      </w:r>
      <w:r w:rsidR="009F3F79">
        <w:t>P</w:t>
      </w:r>
      <w:r w:rsidR="002C347F">
        <w:t>lan</w:t>
      </w:r>
      <w:r>
        <w:t xml:space="preserve"> this </w:t>
      </w:r>
      <w:r w:rsidR="009F3F79">
        <w:t>development agenda item</w:t>
      </w:r>
      <w:r w:rsidR="008F7942">
        <w:t xml:space="preserve">. </w:t>
      </w:r>
      <w:r w:rsidR="005D06FB">
        <w:t>In 2022 CPM 16 considered a draft action plan</w:t>
      </w:r>
      <w:r w:rsidR="002C347F">
        <w:t xml:space="preserve"> and </w:t>
      </w:r>
      <w:r w:rsidR="004B172B">
        <w:t xml:space="preserve">agreed to establish </w:t>
      </w:r>
      <w:r w:rsidR="00A62F65">
        <w:t xml:space="preserve">a POARS Steering Group </w:t>
      </w:r>
      <w:r w:rsidR="00FE7CE5">
        <w:t xml:space="preserve">to further develop the </w:t>
      </w:r>
      <w:r w:rsidR="003531ED">
        <w:t>plan</w:t>
      </w:r>
      <w:r w:rsidR="00FE7CE5">
        <w:t xml:space="preserve"> to implement this</w:t>
      </w:r>
      <w:r w:rsidR="009F3F79">
        <w:t xml:space="preserve"> development agenda item</w:t>
      </w:r>
      <w:r w:rsidR="0026610E">
        <w:t xml:space="preserve">. </w:t>
      </w:r>
      <w:r w:rsidR="00B4183A">
        <w:t xml:space="preserve">Because a plan has not yet been approved this </w:t>
      </w:r>
      <w:r w:rsidR="009F3F79">
        <w:t>development agenda item</w:t>
      </w:r>
      <w:r w:rsidR="00B4183A">
        <w:t xml:space="preserve"> is considered to </w:t>
      </w:r>
      <w:r w:rsidR="00A45225">
        <w:t xml:space="preserve">still be in the </w:t>
      </w:r>
      <w:r w:rsidR="009F3F79">
        <w:t>S</w:t>
      </w:r>
      <w:r w:rsidR="00A45225">
        <w:t xml:space="preserve">cope and </w:t>
      </w:r>
      <w:r w:rsidR="009F3F79">
        <w:t>P</w:t>
      </w:r>
      <w:r w:rsidR="00A45225">
        <w:t>lan phase. However, it is noted that i</w:t>
      </w:r>
      <w:r w:rsidR="003531ED">
        <w:t>n parallel</w:t>
      </w:r>
      <w:r w:rsidR="00D0435D">
        <w:t xml:space="preserve"> </w:t>
      </w:r>
      <w:r w:rsidR="00A45225">
        <w:t xml:space="preserve">with planning, </w:t>
      </w:r>
      <w:r w:rsidR="00D0435D">
        <w:t xml:space="preserve">the </w:t>
      </w:r>
      <w:r w:rsidR="009F3F79">
        <w:t xml:space="preserve">IPPC </w:t>
      </w:r>
      <w:r w:rsidR="00374F8F">
        <w:t xml:space="preserve">Secretariat, supported by </w:t>
      </w:r>
      <w:r w:rsidR="00D8518B">
        <w:t xml:space="preserve">technical </w:t>
      </w:r>
      <w:r w:rsidR="00374F8F">
        <w:t xml:space="preserve">working groups, has been delivering </w:t>
      </w:r>
      <w:r w:rsidR="00D8518B">
        <w:t xml:space="preserve">strong emerging </w:t>
      </w:r>
      <w:r w:rsidR="003370F9">
        <w:t xml:space="preserve">pest programmes for </w:t>
      </w:r>
      <w:r w:rsidR="005B2892" w:rsidRPr="005B2892">
        <w:t>fall armyworm (</w:t>
      </w:r>
      <w:r w:rsidR="005B2892" w:rsidRPr="009F3F79">
        <w:rPr>
          <w:i/>
          <w:iCs/>
        </w:rPr>
        <w:t>Spodoptera frugiperda</w:t>
      </w:r>
      <w:r w:rsidR="005B2892" w:rsidRPr="005B2892">
        <w:t>) and Fusarium banana wilt TR4</w:t>
      </w:r>
      <w:r w:rsidR="00DF1253">
        <w:t>.</w:t>
      </w:r>
    </w:p>
    <w:p w14:paraId="4945ADCD" w14:textId="77777777" w:rsidR="009F3F79" w:rsidRPr="00941D92" w:rsidRDefault="004E0E84" w:rsidP="009F3F79">
      <w:pPr>
        <w:rPr>
          <w:lang w:val="en-GB"/>
        </w:rPr>
      </w:pPr>
      <w:r w:rsidRPr="004E0E84">
        <w:rPr>
          <w:b/>
          <w:bCs/>
        </w:rPr>
        <w:t>Long-term plan:</w:t>
      </w:r>
      <w:r w:rsidR="009F3F79">
        <w:rPr>
          <w:b/>
          <w:bCs/>
        </w:rPr>
        <w:t xml:space="preserve"> </w:t>
      </w:r>
      <w:r w:rsidR="009F3F79" w:rsidRPr="00941D92">
        <w:rPr>
          <w:lang w:val="en-GB"/>
        </w:rPr>
        <w:t xml:space="preserve">Following the establishment of the POARS steering group and the development of a workplan, work will begin across three main areas: </w:t>
      </w:r>
    </w:p>
    <w:p w14:paraId="1129707C" w14:textId="77777777" w:rsidR="009F3F79" w:rsidRPr="00941D92" w:rsidRDefault="009F3F79" w:rsidP="009F3F79">
      <w:pPr>
        <w:numPr>
          <w:ilvl w:val="0"/>
          <w:numId w:val="7"/>
        </w:numPr>
        <w:rPr>
          <w:lang w:val="en-GB"/>
        </w:rPr>
      </w:pPr>
      <w:r w:rsidRPr="00941D92">
        <w:rPr>
          <w:lang w:val="en-GB"/>
        </w:rPr>
        <w:t xml:space="preserve">Evaluating and ranking emerging plant pests. To inform the evaluation and ranking of emerging plant pests, the definition of “emerging pest” will be considered by the Technical Panel of the Glossary. </w:t>
      </w:r>
    </w:p>
    <w:p w14:paraId="7DCD04CF" w14:textId="77777777" w:rsidR="009F3F79" w:rsidRPr="00941D92" w:rsidRDefault="009F3F79" w:rsidP="009F3F79">
      <w:pPr>
        <w:numPr>
          <w:ilvl w:val="0"/>
          <w:numId w:val="7"/>
        </w:numPr>
        <w:rPr>
          <w:lang w:val="en-GB"/>
        </w:rPr>
      </w:pPr>
      <w:r w:rsidRPr="00941D92">
        <w:rPr>
          <w:lang w:val="en-GB"/>
        </w:rPr>
        <w:t xml:space="preserve">Developing surveillance and response tools. This will first involve the collation of existing tools, before developing tools for the gaps that have been identified. </w:t>
      </w:r>
    </w:p>
    <w:p w14:paraId="3D3E6925" w14:textId="1F859A65" w:rsidR="009F3F79" w:rsidRPr="00941D92" w:rsidRDefault="009F3F79" w:rsidP="009F3F79">
      <w:pPr>
        <w:numPr>
          <w:ilvl w:val="0"/>
          <w:numId w:val="7"/>
        </w:numPr>
        <w:rPr>
          <w:lang w:val="en-GB"/>
        </w:rPr>
      </w:pPr>
      <w:r w:rsidRPr="00941D92">
        <w:rPr>
          <w:lang w:val="en-GB"/>
        </w:rPr>
        <w:t xml:space="preserve">Developing national pest reporting. This will include the development of a website on the International </w:t>
      </w:r>
      <w:r>
        <w:rPr>
          <w:lang w:val="en-GB"/>
        </w:rPr>
        <w:t>Phytosanitary</w:t>
      </w:r>
      <w:r w:rsidRPr="00941D92">
        <w:rPr>
          <w:lang w:val="en-GB"/>
        </w:rPr>
        <w:t xml:space="preserve"> Portal to provide access to reporting, the design of a horizon scanning system for collecting information on emerging pests, and establishing a system of communicating alerts on these pests.</w:t>
      </w:r>
    </w:p>
    <w:p w14:paraId="1E54724E" w14:textId="77777777" w:rsidR="009F3F79" w:rsidRPr="00941D92" w:rsidRDefault="009F3F79" w:rsidP="009F3F79">
      <w:pPr>
        <w:rPr>
          <w:lang w:val="en-GB"/>
        </w:rPr>
      </w:pPr>
      <w:r w:rsidRPr="00941D92">
        <w:rPr>
          <w:lang w:val="en-GB"/>
        </w:rPr>
        <w:t>To ensure that NPPOs are well supported when responding to outbreaks of plant pests, an emergency trust fund will be set up with a mechanism allowing for the quick transfer of funds to NPPOs. Further support will be provided by establishing a roster of expertise and resources that NPPOs can access rapidly, including access to diagnostics.</w:t>
      </w:r>
    </w:p>
    <w:p w14:paraId="48922134" w14:textId="2A05E58E" w:rsidR="004E0E84" w:rsidRDefault="009F3F79" w:rsidP="009F3F79">
      <w:pPr>
        <w:rPr>
          <w:lang w:val="en-GB"/>
        </w:rPr>
      </w:pPr>
      <w:r w:rsidRPr="00941D92">
        <w:rPr>
          <w:lang w:val="en-GB"/>
        </w:rPr>
        <w:t>When carrying out the work for POARS, it will be important for the steering group to build an operational network of organisations and stakeholders at global, regional and national levels, and to mutualise activities with the Emergency Animal Health Unit of the FAO.</w:t>
      </w:r>
    </w:p>
    <w:p w14:paraId="3F44386D" w14:textId="16C72C0B" w:rsidR="00B71242" w:rsidRDefault="00B71242" w:rsidP="009F3F79">
      <w:pPr>
        <w:rPr>
          <w:b/>
          <w:bCs/>
        </w:rPr>
      </w:pPr>
      <w:r w:rsidRPr="00B71242">
        <w:rPr>
          <w:b/>
          <w:bCs/>
          <w:noProof/>
        </w:rPr>
        <w:lastRenderedPageBreak/>
        <w:drawing>
          <wp:inline distT="0" distB="0" distL="0" distR="0" wp14:anchorId="3849F8D9" wp14:editId="7D5A9305">
            <wp:extent cx="5943600" cy="2503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03170"/>
                    </a:xfrm>
                    <a:prstGeom prst="rect">
                      <a:avLst/>
                    </a:prstGeom>
                  </pic:spPr>
                </pic:pic>
              </a:graphicData>
            </a:graphic>
          </wp:inline>
        </w:drawing>
      </w:r>
    </w:p>
    <w:p w14:paraId="71F153F8" w14:textId="4E385E2D" w:rsidR="00B71242" w:rsidRDefault="00B71242" w:rsidP="009F3F79">
      <w:r>
        <w:rPr>
          <w:b/>
          <w:bCs/>
        </w:rPr>
        <w:t xml:space="preserve">Figure </w:t>
      </w:r>
      <w:r w:rsidR="007B4DA0">
        <w:rPr>
          <w:b/>
          <w:bCs/>
        </w:rPr>
        <w:t>6</w:t>
      </w:r>
      <w:r>
        <w:rPr>
          <w:b/>
          <w:bCs/>
        </w:rPr>
        <w:t xml:space="preserve">. </w:t>
      </w:r>
      <w:r>
        <w:t>Timeline of activities for the strengthening pest outbreak alert and response system development agenda item.</w:t>
      </w:r>
    </w:p>
    <w:p w14:paraId="6381B472" w14:textId="02BC7AEC" w:rsidR="00F257E0" w:rsidRDefault="00F257E0" w:rsidP="009F3F79">
      <w:r w:rsidRPr="00640E9F">
        <w:rPr>
          <w:b/>
          <w:bCs/>
        </w:rPr>
        <w:t>Financial plan:</w:t>
      </w:r>
      <w:r w:rsidR="008D0C93">
        <w:t xml:space="preserve"> </w:t>
      </w:r>
      <w:r w:rsidR="008D0C93" w:rsidRPr="008D0C93">
        <w:t>To carry out the activities of the work programme, the following funding will be required:</w:t>
      </w:r>
    </w:p>
    <w:tbl>
      <w:tblPr>
        <w:tblStyle w:val="GridTable4-Accent1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8D0C93" w14:paraId="013B34D1"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75E43EB8" w14:textId="77777777" w:rsidR="008D0C93" w:rsidRDefault="008D0C93" w:rsidP="004C3CBA">
            <w:pPr>
              <w:rPr>
                <w:lang w:val="en-GB"/>
              </w:rPr>
            </w:pPr>
            <w:r>
              <w:rPr>
                <w:b w:val="0"/>
                <w:bCs w:val="0"/>
                <w:lang w:val="en-GB"/>
              </w:rPr>
              <w:t>2023</w:t>
            </w:r>
          </w:p>
          <w:p w14:paraId="504703FE" w14:textId="77777777" w:rsidR="008D0C93" w:rsidRDefault="008D0C93" w:rsidP="004C3CBA">
            <w:pPr>
              <w:rPr>
                <w:b w:val="0"/>
                <w:bCs w:val="0"/>
                <w:lang w:val="en-GB"/>
              </w:rPr>
            </w:pPr>
            <w:r w:rsidRPr="00EC4297">
              <w:rPr>
                <w:b w:val="0"/>
                <w:bCs w:val="0"/>
                <w:lang w:val="en-GB"/>
              </w:rPr>
              <w:t>($’000)</w:t>
            </w:r>
          </w:p>
        </w:tc>
        <w:tc>
          <w:tcPr>
            <w:tcW w:w="556" w:type="pct"/>
          </w:tcPr>
          <w:p w14:paraId="4F70F785"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3BD497C3"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65CEE3A3"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4CFFCF36"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CBD3325"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515FD4D4"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474A04E"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6936C1A0"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4AF098A"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7A0DDAFB"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096C619"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333A6AC0"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31E0E08"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130D3CC9"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7DE1AE27"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55E304C7"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8D0C93" w14:paraId="7A62CDDD"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765E654" w14:textId="51B3B4E2" w:rsidR="008D0C93" w:rsidRPr="002C219E" w:rsidRDefault="008D0C93" w:rsidP="004C3CBA">
            <w:pPr>
              <w:rPr>
                <w:b w:val="0"/>
                <w:bCs w:val="0"/>
                <w:lang w:val="en-GB"/>
              </w:rPr>
            </w:pPr>
            <w:r>
              <w:rPr>
                <w:b w:val="0"/>
                <w:bCs w:val="0"/>
                <w:lang w:val="en-GB"/>
              </w:rPr>
              <w:t>265</w:t>
            </w:r>
          </w:p>
        </w:tc>
        <w:tc>
          <w:tcPr>
            <w:tcW w:w="556" w:type="pct"/>
          </w:tcPr>
          <w:p w14:paraId="7B420B64" w14:textId="66BCFD31" w:rsidR="008D0C93" w:rsidRPr="002C219E"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425</w:t>
            </w:r>
          </w:p>
        </w:tc>
        <w:tc>
          <w:tcPr>
            <w:tcW w:w="556" w:type="pct"/>
          </w:tcPr>
          <w:p w14:paraId="2FBBEFB1" w14:textId="3BAE6134"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425</w:t>
            </w:r>
          </w:p>
        </w:tc>
        <w:tc>
          <w:tcPr>
            <w:tcW w:w="556" w:type="pct"/>
          </w:tcPr>
          <w:p w14:paraId="57E73696" w14:textId="45E42062"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5C25F7CD" w14:textId="16FBCDD6"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37A04F1C" w14:textId="43E0683C"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1C07C4A2" w14:textId="120969AB"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710F3E0F" w14:textId="598F826C"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2" w:type="pct"/>
          </w:tcPr>
          <w:p w14:paraId="70CCC307" w14:textId="65B49FD0" w:rsidR="008D0C93" w:rsidRPr="00EC4297" w:rsidRDefault="00640E9F"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3,240</w:t>
            </w:r>
          </w:p>
        </w:tc>
      </w:tr>
    </w:tbl>
    <w:p w14:paraId="19F6043C" w14:textId="77777777" w:rsidR="00640E9F" w:rsidRDefault="00640E9F" w:rsidP="00637045">
      <w:pPr>
        <w:spacing w:after="0"/>
      </w:pPr>
    </w:p>
    <w:p w14:paraId="13C470B3" w14:textId="527A05C9" w:rsidR="008D0C93" w:rsidRPr="00B71242" w:rsidRDefault="007E6304" w:rsidP="009F3F79">
      <w:r>
        <w:t xml:space="preserve">This budget assumes </w:t>
      </w:r>
      <w:r w:rsidR="00DB581F">
        <w:t>funding at the level indicated in paper CPM 2022</w:t>
      </w:r>
      <w:r w:rsidR="00B43A6F">
        <w:t>/36</w:t>
      </w:r>
      <w:r w:rsidR="003C46E2">
        <w:t xml:space="preserve">, paragraphs </w:t>
      </w:r>
      <w:r w:rsidR="00F14AFB">
        <w:t>54-5</w:t>
      </w:r>
      <w:r w:rsidR="007714D6">
        <w:t>5</w:t>
      </w:r>
      <w:r w:rsidR="00B43A6F">
        <w:t xml:space="preserve"> ($325k staff, $100k contracts)</w:t>
      </w:r>
      <w:r w:rsidR="003C46E2">
        <w:t>.</w:t>
      </w:r>
      <w:r w:rsidR="00DB581F">
        <w:t xml:space="preserve"> </w:t>
      </w:r>
      <w:r w:rsidR="00640E9F" w:rsidRPr="00640E9F">
        <w:t>Resources will include IPPC Secretariat staff and members of the IC</w:t>
      </w:r>
      <w:r w:rsidR="00640E9F">
        <w:t>, the POARS Steering Group</w:t>
      </w:r>
      <w:r w:rsidR="00640E9F" w:rsidRPr="00640E9F">
        <w:t>.</w:t>
      </w:r>
    </w:p>
    <w:p w14:paraId="4460B349" w14:textId="4F4BB0AD" w:rsidR="00005276" w:rsidRDefault="00005276" w:rsidP="00F2681C">
      <w:r w:rsidRPr="00597F40">
        <w:rPr>
          <w:b/>
          <w:bCs/>
        </w:rPr>
        <w:t xml:space="preserve">Sequencing </w:t>
      </w:r>
      <w:r w:rsidR="00DB3C41">
        <w:rPr>
          <w:b/>
          <w:bCs/>
        </w:rPr>
        <w:t>r</w:t>
      </w:r>
      <w:r w:rsidRPr="00597F40">
        <w:rPr>
          <w:b/>
          <w:bCs/>
        </w:rPr>
        <w:t>ecommendation:</w:t>
      </w:r>
      <w:r w:rsidR="008D524C">
        <w:t xml:space="preserve"> </w:t>
      </w:r>
      <w:r w:rsidR="004670B8">
        <w:t>FG SFDAI anticipate</w:t>
      </w:r>
      <w:r w:rsidR="00597F40">
        <w:t>s</w:t>
      </w:r>
      <w:r w:rsidR="004670B8">
        <w:t xml:space="preserve"> CPM approval </w:t>
      </w:r>
      <w:r w:rsidR="00CC408C">
        <w:t>of a revised POARS plan at CPM</w:t>
      </w:r>
      <w:r w:rsidR="009F3F79">
        <w:t>-</w:t>
      </w:r>
      <w:r w:rsidR="00CC408C">
        <w:t>17 (2023)</w:t>
      </w:r>
      <w:r w:rsidR="0036140F">
        <w:t xml:space="preserve"> at which point </w:t>
      </w:r>
      <w:r w:rsidR="004828DC">
        <w:t xml:space="preserve">this </w:t>
      </w:r>
      <w:r w:rsidR="009F3F79">
        <w:t>development agenda item</w:t>
      </w:r>
      <w:r w:rsidR="0036140F">
        <w:t xml:space="preserve"> should immediately enter </w:t>
      </w:r>
      <w:r w:rsidR="009F3F79">
        <w:t>D</w:t>
      </w:r>
      <w:r w:rsidR="0036140F">
        <w:t>elivery phase</w:t>
      </w:r>
      <w:r w:rsidR="00597F40">
        <w:t xml:space="preserve">. This is </w:t>
      </w:r>
      <w:r w:rsidR="00A071CA">
        <w:t xml:space="preserve">expected to be a </w:t>
      </w:r>
      <w:r w:rsidR="005F34F2">
        <w:t xml:space="preserve">large and </w:t>
      </w:r>
      <w:r w:rsidR="00597F40">
        <w:t>complex</w:t>
      </w:r>
      <w:r w:rsidR="005F34F2">
        <w:t xml:space="preserve"> programme</w:t>
      </w:r>
      <w:r w:rsidR="00A071CA">
        <w:t xml:space="preserve"> in an area where IPPC has not ventured until recently.</w:t>
      </w:r>
      <w:r w:rsidR="0078145C">
        <w:t xml:space="preserve">  E</w:t>
      </w:r>
      <w:r w:rsidR="005F34F2">
        <w:t>stablish</w:t>
      </w:r>
      <w:r w:rsidR="0078145C">
        <w:t>ing</w:t>
      </w:r>
      <w:r w:rsidR="005F34F2">
        <w:t xml:space="preserve"> </w:t>
      </w:r>
      <w:r w:rsidR="002A71C1">
        <w:t xml:space="preserve">well-functioning, and repeatable mechanisms </w:t>
      </w:r>
      <w:r w:rsidR="0078145C">
        <w:t xml:space="preserve">to deliver an effective POARS system </w:t>
      </w:r>
      <w:r w:rsidR="002A71C1">
        <w:t xml:space="preserve">is expected to take </w:t>
      </w:r>
      <w:r w:rsidR="00EB376D">
        <w:t xml:space="preserve">up to </w:t>
      </w:r>
      <w:r w:rsidR="009F3F79">
        <w:t>four</w:t>
      </w:r>
      <w:r w:rsidR="00A071CA">
        <w:t xml:space="preserve"> years</w:t>
      </w:r>
      <w:r w:rsidR="0091448A">
        <w:t xml:space="preserve">. </w:t>
      </w:r>
      <w:r w:rsidR="00EB376D" w:rsidRPr="00EB376D">
        <w:t xml:space="preserve">With experience of the programme, CPM will be able to determine the right size and structure for the programme. </w:t>
      </w:r>
      <w:r w:rsidR="00D35D8E">
        <w:t xml:space="preserve">When satisfied the </w:t>
      </w:r>
      <w:r w:rsidR="00AD758D">
        <w:t xml:space="preserve">programme is functioning </w:t>
      </w:r>
      <w:r w:rsidR="008844F4">
        <w:t>well it could transition to Ongoing core activity. Considerations during transition will need to include</w:t>
      </w:r>
      <w:r w:rsidR="0035238C">
        <w:t xml:space="preserve"> suitable governance or steering arrangements, whether </w:t>
      </w:r>
      <w:r w:rsidR="00874359">
        <w:t>sustainable funding for the programme is in place</w:t>
      </w:r>
      <w:r w:rsidR="00E60CAD">
        <w:t xml:space="preserve">, and how well the programme is complementing </w:t>
      </w:r>
      <w:r w:rsidR="0057398E">
        <w:t>other bodies involved in pest outbreak alert and response.</w:t>
      </w:r>
      <w:r w:rsidR="0091448A">
        <w:t xml:space="preserve"> </w:t>
      </w:r>
      <w:r w:rsidR="00FF0C59">
        <w:t xml:space="preserve"> </w:t>
      </w:r>
    </w:p>
    <w:p w14:paraId="74FEB59B" w14:textId="77777777" w:rsidR="00137E19" w:rsidRDefault="00137E19" w:rsidP="00137E19">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are anticipated.</w:t>
      </w:r>
    </w:p>
    <w:p w14:paraId="08DB84B5" w14:textId="0601B24A" w:rsidR="00380280" w:rsidRDefault="00380280" w:rsidP="00380280">
      <w:pPr>
        <w:pStyle w:val="ListParagraph"/>
        <w:numPr>
          <w:ilvl w:val="0"/>
          <w:numId w:val="27"/>
        </w:numPr>
      </w:pPr>
      <w:r>
        <w:t>Establishment of POARS steering group and operational working groups by April 2023</w:t>
      </w:r>
    </w:p>
    <w:p w14:paraId="687EC8CD" w14:textId="256B84D0" w:rsidR="00380280" w:rsidRDefault="00380280" w:rsidP="00380280">
      <w:pPr>
        <w:pStyle w:val="ListParagraph"/>
        <w:numPr>
          <w:ilvl w:val="0"/>
          <w:numId w:val="27"/>
        </w:numPr>
      </w:pPr>
      <w:r>
        <w:t>Establishment of POARS information system and toolbox by April 2027</w:t>
      </w:r>
    </w:p>
    <w:p w14:paraId="25C5CB98" w14:textId="32B3BB37" w:rsidR="00137E19" w:rsidRDefault="00380280" w:rsidP="00380280">
      <w:pPr>
        <w:pStyle w:val="ListParagraph"/>
        <w:numPr>
          <w:ilvl w:val="0"/>
          <w:numId w:val="27"/>
        </w:numPr>
      </w:pPr>
      <w:r>
        <w:t>Establishment of POARS emergency response facility by April 2027</w:t>
      </w:r>
    </w:p>
    <w:p w14:paraId="2B30CC03" w14:textId="77777777" w:rsidR="00380280" w:rsidRPr="007B0074" w:rsidRDefault="00380280" w:rsidP="00380280"/>
    <w:p w14:paraId="6CF3BB1F" w14:textId="0525D6A0" w:rsidR="005E6CF4" w:rsidRDefault="005E6CF4" w:rsidP="00CD6B03">
      <w:pPr>
        <w:pStyle w:val="Heading2"/>
      </w:pPr>
      <w:bookmarkStart w:id="16" w:name="_Toc114566376"/>
      <w:r w:rsidRPr="00A51BD0">
        <w:lastRenderedPageBreak/>
        <w:t>Assessment and management of climate change impacts on plant health</w:t>
      </w:r>
      <w:bookmarkEnd w:id="16"/>
    </w:p>
    <w:p w14:paraId="246CF7FB" w14:textId="45F8DF14" w:rsidR="00704D85" w:rsidRDefault="0011650F" w:rsidP="00F2681C">
      <w:r w:rsidRPr="00DA7CCA">
        <w:rPr>
          <w:b/>
          <w:bCs/>
        </w:rPr>
        <w:t>Status</w:t>
      </w:r>
      <w:r w:rsidR="00FB1C15" w:rsidRPr="00DA7CCA">
        <w:rPr>
          <w:b/>
          <w:bCs/>
        </w:rPr>
        <w:t>:</w:t>
      </w:r>
      <w:r w:rsidR="006A681D">
        <w:t xml:space="preserve"> CPM</w:t>
      </w:r>
      <w:r w:rsidR="009F3F79">
        <w:t>-</w:t>
      </w:r>
      <w:r w:rsidR="006A681D">
        <w:t xml:space="preserve">15 (2021) established the </w:t>
      </w:r>
      <w:r w:rsidR="00087885">
        <w:t>Focus Group on Climate Change and Phytosanitary Issues (FG-CCPI)</w:t>
      </w:r>
      <w:r w:rsidR="00704D85">
        <w:t xml:space="preserve">. The FG worked rapidly to propose a </w:t>
      </w:r>
      <w:r w:rsidR="009F3F79">
        <w:t>four</w:t>
      </w:r>
      <w:r w:rsidR="00870B62">
        <w:t xml:space="preserve">-year </w:t>
      </w:r>
      <w:r w:rsidR="00704D85">
        <w:t xml:space="preserve">programme of work </w:t>
      </w:r>
      <w:r w:rsidR="002723DD">
        <w:t>with a suite of actions prioritized for the f</w:t>
      </w:r>
      <w:r w:rsidR="00D1757D">
        <w:t xml:space="preserve">irst two years. This </w:t>
      </w:r>
      <w:r w:rsidR="009F3F79">
        <w:t xml:space="preserve">development agenda item </w:t>
      </w:r>
      <w:r w:rsidR="00D1757D">
        <w:t xml:space="preserve">is now in </w:t>
      </w:r>
      <w:r w:rsidR="009F3F79">
        <w:t>D</w:t>
      </w:r>
      <w:r w:rsidR="00D1757D">
        <w:t>elivery phase</w:t>
      </w:r>
      <w:r w:rsidR="009F3F79">
        <w:t>.</w:t>
      </w:r>
    </w:p>
    <w:p w14:paraId="124BE855" w14:textId="1C0186F2" w:rsidR="009F3F79" w:rsidRDefault="009F3F79" w:rsidP="00F2681C">
      <w:r w:rsidRPr="009F3F79">
        <w:rPr>
          <w:b/>
          <w:bCs/>
        </w:rPr>
        <w:t>Long-term plan:</w:t>
      </w:r>
      <w:r w:rsidR="0074613C">
        <w:rPr>
          <w:b/>
          <w:bCs/>
        </w:rPr>
        <w:t xml:space="preserve"> </w:t>
      </w:r>
      <w:r w:rsidR="0074613C">
        <w:t>Following the agreement of the climate change action plan at CPM-16, the Focus Group on Climate Change and Phytosanitary Issues will begin work across three main areas:</w:t>
      </w:r>
    </w:p>
    <w:p w14:paraId="01A2BE0C" w14:textId="210135AD" w:rsidR="0074613C" w:rsidRPr="0074613C" w:rsidRDefault="0074613C" w:rsidP="0074613C">
      <w:pPr>
        <w:pStyle w:val="ListParagraph"/>
        <w:numPr>
          <w:ilvl w:val="0"/>
          <w:numId w:val="21"/>
        </w:numPr>
      </w:pPr>
      <w:r>
        <w:rPr>
          <w:lang w:val="en-GB"/>
        </w:rPr>
        <w:t>R</w:t>
      </w:r>
      <w:r w:rsidRPr="0074613C">
        <w:rPr>
          <w:lang w:val="en-GB"/>
        </w:rPr>
        <w:t>ais</w:t>
      </w:r>
      <w:r>
        <w:rPr>
          <w:lang w:val="en-GB"/>
        </w:rPr>
        <w:t>ing</w:t>
      </w:r>
      <w:r w:rsidRPr="0074613C">
        <w:rPr>
          <w:lang w:val="en-GB"/>
        </w:rPr>
        <w:t xml:space="preserve"> awareness of the impacts of climate change on plant health</w:t>
      </w:r>
      <w:r>
        <w:rPr>
          <w:lang w:val="en-GB"/>
        </w:rPr>
        <w:t>. This will be achieved through c</w:t>
      </w:r>
      <w:r w:rsidRPr="0074613C">
        <w:rPr>
          <w:lang w:val="en-GB"/>
        </w:rPr>
        <w:t>onvening and participating in meetings and side events related to the impact of climate change on plant health</w:t>
      </w:r>
      <w:r>
        <w:rPr>
          <w:lang w:val="en-GB"/>
        </w:rPr>
        <w:t>; r</w:t>
      </w:r>
      <w:r w:rsidRPr="0074613C">
        <w:rPr>
          <w:lang w:val="en-GB"/>
        </w:rPr>
        <w:t>aising awareness through cultural and social media</w:t>
      </w:r>
      <w:r>
        <w:rPr>
          <w:lang w:val="en-GB"/>
        </w:rPr>
        <w:t xml:space="preserve"> and developing a webpage; f</w:t>
      </w:r>
      <w:r w:rsidRPr="0074613C">
        <w:rPr>
          <w:lang w:val="en-GB"/>
        </w:rPr>
        <w:t>acilitat</w:t>
      </w:r>
      <w:r>
        <w:rPr>
          <w:lang w:val="en-GB"/>
        </w:rPr>
        <w:t>ing</w:t>
      </w:r>
      <w:r w:rsidRPr="0074613C">
        <w:rPr>
          <w:lang w:val="en-GB"/>
        </w:rPr>
        <w:t xml:space="preserve"> discussions within IPPC subsidiary bodies, regional workshops as well as other IPPC technical groups and CPM</w:t>
      </w:r>
      <w:r>
        <w:rPr>
          <w:lang w:val="en-GB"/>
        </w:rPr>
        <w:t>; and a</w:t>
      </w:r>
      <w:r w:rsidRPr="0074613C">
        <w:rPr>
          <w:lang w:val="en-GB"/>
        </w:rPr>
        <w:t>ssisting NPPOs to meet their national reporting obligations (NRO) established by IPPC</w:t>
      </w:r>
      <w:r>
        <w:rPr>
          <w:lang w:val="en-GB"/>
        </w:rPr>
        <w:t>.</w:t>
      </w:r>
    </w:p>
    <w:p w14:paraId="4674F973" w14:textId="77777777" w:rsidR="0074613C" w:rsidRPr="0074613C" w:rsidRDefault="0074613C" w:rsidP="0074613C">
      <w:pPr>
        <w:pStyle w:val="ListParagraph"/>
      </w:pPr>
    </w:p>
    <w:p w14:paraId="1AEE1B17" w14:textId="1092952F" w:rsidR="0074613C" w:rsidRDefault="0074613C" w:rsidP="0074613C">
      <w:pPr>
        <w:pStyle w:val="ListParagraph"/>
        <w:numPr>
          <w:ilvl w:val="0"/>
          <w:numId w:val="21"/>
        </w:numPr>
        <w:rPr>
          <w:lang w:val="en-GB"/>
        </w:rPr>
      </w:pPr>
      <w:r>
        <w:rPr>
          <w:lang w:val="en-GB"/>
        </w:rPr>
        <w:t>E</w:t>
      </w:r>
      <w:r w:rsidRPr="0074613C">
        <w:rPr>
          <w:lang w:val="en-GB"/>
        </w:rPr>
        <w:t>nhanc</w:t>
      </w:r>
      <w:r>
        <w:rPr>
          <w:lang w:val="en-GB"/>
        </w:rPr>
        <w:t>ing</w:t>
      </w:r>
      <w:r w:rsidRPr="0074613C">
        <w:rPr>
          <w:lang w:val="en-GB"/>
        </w:rPr>
        <w:t xml:space="preserve"> the evaluation and management of climate change risks to plant health</w:t>
      </w:r>
      <w:r>
        <w:rPr>
          <w:lang w:val="en-GB"/>
        </w:rPr>
        <w:t>. This will be achieved through s</w:t>
      </w:r>
      <w:r w:rsidRPr="0074613C">
        <w:rPr>
          <w:lang w:val="en-GB"/>
        </w:rPr>
        <w:t>upporting countries to collect, analyse and use climate change impact-related information in decision-making</w:t>
      </w:r>
      <w:r>
        <w:rPr>
          <w:lang w:val="en-GB"/>
        </w:rPr>
        <w:t xml:space="preserve"> and s</w:t>
      </w:r>
      <w:r w:rsidRPr="0074613C">
        <w:rPr>
          <w:lang w:val="en-GB"/>
        </w:rPr>
        <w:t>upporting countries in building capacity on the impacts of climate change on plant health</w:t>
      </w:r>
      <w:r>
        <w:rPr>
          <w:lang w:val="en-GB"/>
        </w:rPr>
        <w:t>.</w:t>
      </w:r>
    </w:p>
    <w:p w14:paraId="6271EED5" w14:textId="77777777" w:rsidR="0074613C" w:rsidRPr="0074613C" w:rsidRDefault="0074613C" w:rsidP="0074613C">
      <w:pPr>
        <w:pStyle w:val="ListParagraph"/>
        <w:rPr>
          <w:lang w:val="en-GB"/>
        </w:rPr>
      </w:pPr>
    </w:p>
    <w:p w14:paraId="53EE52B4" w14:textId="44607E4C" w:rsidR="00B71242" w:rsidRPr="00B71242" w:rsidRDefault="0074613C" w:rsidP="00B71242">
      <w:pPr>
        <w:pStyle w:val="ListParagraph"/>
        <w:numPr>
          <w:ilvl w:val="0"/>
          <w:numId w:val="21"/>
        </w:numPr>
        <w:rPr>
          <w:lang w:val="en-GB"/>
        </w:rPr>
      </w:pPr>
      <w:r>
        <w:rPr>
          <w:lang w:val="en-GB"/>
        </w:rPr>
        <w:t>E</w:t>
      </w:r>
      <w:r w:rsidRPr="0074613C">
        <w:rPr>
          <w:lang w:val="en-GB"/>
        </w:rPr>
        <w:t>nhanc</w:t>
      </w:r>
      <w:r>
        <w:rPr>
          <w:lang w:val="en-GB"/>
        </w:rPr>
        <w:t>ing</w:t>
      </w:r>
      <w:r w:rsidRPr="0074613C">
        <w:rPr>
          <w:lang w:val="en-GB"/>
        </w:rPr>
        <w:t xml:space="preserve"> the recognition of phytosanitary matters in the international climate change debate</w:t>
      </w:r>
      <w:r>
        <w:rPr>
          <w:lang w:val="en-GB"/>
        </w:rPr>
        <w:t>. This will be achieved through s</w:t>
      </w:r>
      <w:r w:rsidRPr="0074613C">
        <w:rPr>
          <w:lang w:val="en-GB"/>
        </w:rPr>
        <w:t>trengthening collaboration with relevant organisations, such as the Intergovernmental Panel on Climate Change (IPCC) and the Secretariat of the Convention of Biological Diversity</w:t>
      </w:r>
      <w:r>
        <w:rPr>
          <w:lang w:val="en-GB"/>
        </w:rPr>
        <w:t>, and f</w:t>
      </w:r>
      <w:r w:rsidRPr="0074613C">
        <w:rPr>
          <w:lang w:val="en-GB"/>
        </w:rPr>
        <w:t>acilitating, promoting and supporting phytosanitary issues-related policy dialogue at the global level through mainstreaming phytosanitary policies into the climate change debate</w:t>
      </w:r>
      <w:r>
        <w:rPr>
          <w:lang w:val="en-GB"/>
        </w:rPr>
        <w:t>.</w:t>
      </w:r>
    </w:p>
    <w:p w14:paraId="7C8C2FE2" w14:textId="4F922AC7" w:rsidR="00B71242" w:rsidRDefault="00B71242" w:rsidP="00B71242">
      <w:pPr>
        <w:rPr>
          <w:lang w:val="en-GB"/>
        </w:rPr>
      </w:pPr>
      <w:r w:rsidRPr="00B71242">
        <w:rPr>
          <w:noProof/>
        </w:rPr>
        <w:drawing>
          <wp:inline distT="0" distB="0" distL="0" distR="0" wp14:anchorId="2D3ED9AB" wp14:editId="080F573B">
            <wp:extent cx="5534025" cy="245247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0565" cy="2455370"/>
                    </a:xfrm>
                    <a:prstGeom prst="rect">
                      <a:avLst/>
                    </a:prstGeom>
                  </pic:spPr>
                </pic:pic>
              </a:graphicData>
            </a:graphic>
          </wp:inline>
        </w:drawing>
      </w:r>
    </w:p>
    <w:p w14:paraId="358004E9" w14:textId="7387C14B" w:rsidR="00B71242" w:rsidRPr="00B71242" w:rsidRDefault="00B71242" w:rsidP="00B71242">
      <w:pPr>
        <w:rPr>
          <w:lang w:val="en-GB"/>
        </w:rPr>
      </w:pPr>
      <w:r w:rsidRPr="00B71242">
        <w:rPr>
          <w:b/>
          <w:bCs/>
          <w:lang w:val="en-GB"/>
        </w:rPr>
        <w:t xml:space="preserve">Figure </w:t>
      </w:r>
      <w:r w:rsidR="007B4DA0">
        <w:rPr>
          <w:b/>
          <w:bCs/>
          <w:lang w:val="en-GB"/>
        </w:rPr>
        <w:t>7</w:t>
      </w:r>
      <w:r w:rsidRPr="00B71242">
        <w:rPr>
          <w:b/>
          <w:bCs/>
          <w:lang w:val="en-GB"/>
        </w:rPr>
        <w:t>.</w:t>
      </w:r>
      <w:r>
        <w:rPr>
          <w:lang w:val="en-GB"/>
        </w:rPr>
        <w:t xml:space="preserve"> Timeline of activities for the climate change development agenda item.</w:t>
      </w:r>
    </w:p>
    <w:p w14:paraId="19533651" w14:textId="77777777" w:rsidR="00484ACF" w:rsidRDefault="00484ACF" w:rsidP="00484ACF">
      <w:r w:rsidRPr="00640E9F">
        <w:rPr>
          <w:b/>
          <w:bCs/>
        </w:rPr>
        <w:t>Financial plan:</w:t>
      </w:r>
      <w:r>
        <w:t xml:space="preserve"> </w:t>
      </w:r>
      <w:r w:rsidRPr="008D0C93">
        <w:t>To carry out the activities of the work programme, the following funding will be required:</w:t>
      </w:r>
    </w:p>
    <w:tbl>
      <w:tblPr>
        <w:tblStyle w:val="GridTable4-Accent1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484ACF" w14:paraId="65FFC6C1"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285792A6" w14:textId="77777777" w:rsidR="00484ACF" w:rsidRDefault="00484ACF" w:rsidP="004C3CBA">
            <w:pPr>
              <w:rPr>
                <w:lang w:val="en-GB"/>
              </w:rPr>
            </w:pPr>
            <w:r>
              <w:rPr>
                <w:b w:val="0"/>
                <w:bCs w:val="0"/>
                <w:lang w:val="en-GB"/>
              </w:rPr>
              <w:t>2023</w:t>
            </w:r>
          </w:p>
          <w:p w14:paraId="42A1C03F" w14:textId="77777777" w:rsidR="00484ACF" w:rsidRDefault="00484ACF" w:rsidP="004C3CBA">
            <w:pPr>
              <w:rPr>
                <w:b w:val="0"/>
                <w:bCs w:val="0"/>
                <w:lang w:val="en-GB"/>
              </w:rPr>
            </w:pPr>
            <w:r w:rsidRPr="00EC4297">
              <w:rPr>
                <w:b w:val="0"/>
                <w:bCs w:val="0"/>
                <w:lang w:val="en-GB"/>
              </w:rPr>
              <w:lastRenderedPageBreak/>
              <w:t>($’000)</w:t>
            </w:r>
          </w:p>
        </w:tc>
        <w:tc>
          <w:tcPr>
            <w:tcW w:w="556" w:type="pct"/>
          </w:tcPr>
          <w:p w14:paraId="525917D6"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2024</w:t>
            </w:r>
          </w:p>
          <w:p w14:paraId="3EF45C9C"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lastRenderedPageBreak/>
              <w:t>($’000)</w:t>
            </w:r>
          </w:p>
        </w:tc>
        <w:tc>
          <w:tcPr>
            <w:tcW w:w="556" w:type="pct"/>
          </w:tcPr>
          <w:p w14:paraId="3F91ADC7"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2025</w:t>
            </w:r>
          </w:p>
          <w:p w14:paraId="52C494B7"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5A8A201F"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2026</w:t>
            </w:r>
          </w:p>
          <w:p w14:paraId="7FFF37D3"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7D0D8F70"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2027</w:t>
            </w:r>
          </w:p>
          <w:p w14:paraId="0C44AA36"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41428A19"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2028</w:t>
            </w:r>
          </w:p>
          <w:p w14:paraId="30B8A891"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37278118"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2029</w:t>
            </w:r>
          </w:p>
          <w:p w14:paraId="019034F6"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144C8089"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2030</w:t>
            </w:r>
          </w:p>
          <w:p w14:paraId="55EBBFF7"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2" w:type="pct"/>
          </w:tcPr>
          <w:p w14:paraId="503054E9"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Total</w:t>
            </w:r>
          </w:p>
          <w:p w14:paraId="69365FA2"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r>
      <w:tr w:rsidR="00484ACF" w14:paraId="3CD5284F"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2078D273" w14:textId="1D274B10" w:rsidR="00484ACF" w:rsidRPr="002C219E" w:rsidRDefault="001E4760" w:rsidP="004C3CBA">
            <w:pPr>
              <w:rPr>
                <w:b w:val="0"/>
                <w:bCs w:val="0"/>
                <w:lang w:val="en-GB"/>
              </w:rPr>
            </w:pPr>
            <w:r>
              <w:rPr>
                <w:b w:val="0"/>
                <w:bCs w:val="0"/>
                <w:lang w:val="en-GB"/>
              </w:rPr>
              <w:lastRenderedPageBreak/>
              <w:t>60</w:t>
            </w:r>
          </w:p>
        </w:tc>
        <w:tc>
          <w:tcPr>
            <w:tcW w:w="556" w:type="pct"/>
          </w:tcPr>
          <w:p w14:paraId="562E54AD" w14:textId="1E6A4F81" w:rsidR="00484ACF" w:rsidRPr="002C219E"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322</w:t>
            </w:r>
          </w:p>
        </w:tc>
        <w:tc>
          <w:tcPr>
            <w:tcW w:w="556" w:type="pct"/>
          </w:tcPr>
          <w:p w14:paraId="4A7354F4" w14:textId="21D31FBE"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322</w:t>
            </w:r>
          </w:p>
        </w:tc>
        <w:tc>
          <w:tcPr>
            <w:tcW w:w="556" w:type="pct"/>
          </w:tcPr>
          <w:p w14:paraId="458EE1E4" w14:textId="5494F384"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157CCC16" w14:textId="5AC2606E"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6FAE1CD0" w14:textId="1A4CE3DF"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059459F1" w14:textId="028F306D"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274B2820" w14:textId="0B6FAE6E"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2" w:type="pct"/>
          </w:tcPr>
          <w:p w14:paraId="094F2899" w14:textId="79A8BB58"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2,6</w:t>
            </w:r>
            <w:r w:rsidR="008B32A4">
              <w:rPr>
                <w:lang w:val="en-GB"/>
              </w:rPr>
              <w:t>26</w:t>
            </w:r>
          </w:p>
        </w:tc>
      </w:tr>
    </w:tbl>
    <w:p w14:paraId="5878376A" w14:textId="77777777" w:rsidR="00484ACF" w:rsidRDefault="00484ACF" w:rsidP="00484ACF">
      <w:pPr>
        <w:spacing w:after="0"/>
      </w:pPr>
    </w:p>
    <w:p w14:paraId="16F2B9BF" w14:textId="2180CAE9" w:rsidR="00484ACF" w:rsidRPr="00B71242" w:rsidRDefault="00484ACF" w:rsidP="00484ACF">
      <w:r w:rsidRPr="00640E9F">
        <w:t xml:space="preserve">Resources will include IPPC Secretariat staff and members of the </w:t>
      </w:r>
      <w:r w:rsidR="00EB1FE2">
        <w:t>FG</w:t>
      </w:r>
      <w:r w:rsidR="009442AE">
        <w:t xml:space="preserve"> on Climate </w:t>
      </w:r>
      <w:r w:rsidR="0013652B">
        <w:t>C</w:t>
      </w:r>
      <w:r w:rsidR="009442AE">
        <w:t>hange</w:t>
      </w:r>
      <w:r w:rsidR="0013652B">
        <w:t xml:space="preserve"> and Phytosanitary Issues</w:t>
      </w:r>
      <w:r w:rsidRPr="00640E9F">
        <w:t>.</w:t>
      </w:r>
    </w:p>
    <w:p w14:paraId="21BF287B" w14:textId="349755C0" w:rsidR="0011650F" w:rsidRDefault="0011650F" w:rsidP="00F2681C">
      <w:r w:rsidRPr="00863D74">
        <w:rPr>
          <w:b/>
          <w:bCs/>
        </w:rPr>
        <w:t>Sequencing Recommendations</w:t>
      </w:r>
      <w:r w:rsidR="00FB1C15" w:rsidRPr="00863D74">
        <w:rPr>
          <w:b/>
          <w:bCs/>
        </w:rPr>
        <w:t>:</w:t>
      </w:r>
      <w:r w:rsidR="00C95BC5">
        <w:t xml:space="preserve"> </w:t>
      </w:r>
      <w:r w:rsidR="0086682C" w:rsidRPr="0086682C">
        <w:t xml:space="preserve">FG SFDAI recommends </w:t>
      </w:r>
      <w:r w:rsidR="009F3F79">
        <w:t xml:space="preserve">this should </w:t>
      </w:r>
      <w:r w:rsidR="0086682C" w:rsidRPr="0086682C">
        <w:t>continue</w:t>
      </w:r>
      <w:r w:rsidR="00C95BC5">
        <w:t xml:space="preserve"> in </w:t>
      </w:r>
      <w:r w:rsidR="009F3F79">
        <w:t>D</w:t>
      </w:r>
      <w:r w:rsidR="00C95BC5">
        <w:t>elivery phase</w:t>
      </w:r>
      <w:r w:rsidR="00401699">
        <w:t>.</w:t>
      </w:r>
      <w:r w:rsidR="00C95BC5">
        <w:t xml:space="preserve"> </w:t>
      </w:r>
      <w:r w:rsidR="00863D74">
        <w:t xml:space="preserve">FG SFDAI anticipates </w:t>
      </w:r>
      <w:r w:rsidR="00344221">
        <w:t>once the 2022-202</w:t>
      </w:r>
      <w:r w:rsidR="00B01A6D">
        <w:t>5</w:t>
      </w:r>
      <w:r w:rsidR="001A2C2E">
        <w:t xml:space="preserve"> action plan has been delivered, CPM will want to build off the work done and will request a new action plan</w:t>
      </w:r>
      <w:r w:rsidR="002C59EE">
        <w:t>. At that point</w:t>
      </w:r>
      <w:r w:rsidR="009F3F79">
        <w:t>,</w:t>
      </w:r>
      <w:r w:rsidR="002C59EE">
        <w:t xml:space="preserve"> the </w:t>
      </w:r>
      <w:r w:rsidR="009F3F79">
        <w:t>development agenda item</w:t>
      </w:r>
      <w:r w:rsidR="002C59EE">
        <w:t xml:space="preserve"> will re-enter the Scope and Plan phase</w:t>
      </w:r>
      <w:r w:rsidR="00C21035">
        <w:t xml:space="preserve"> until a new plan is approved.</w:t>
      </w:r>
    </w:p>
    <w:p w14:paraId="08E0B0D2" w14:textId="77777777" w:rsidR="003703BA" w:rsidRDefault="003703BA" w:rsidP="003703BA">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are anticipated.</w:t>
      </w:r>
    </w:p>
    <w:p w14:paraId="4ECF4629" w14:textId="3D296135" w:rsidR="00380280" w:rsidRDefault="00380280" w:rsidP="00380280">
      <w:pPr>
        <w:pStyle w:val="ListParagraph"/>
        <w:numPr>
          <w:ilvl w:val="0"/>
          <w:numId w:val="28"/>
        </w:numPr>
      </w:pPr>
      <w:r>
        <w:t>Implementation of climate change action plan by December 2025</w:t>
      </w:r>
    </w:p>
    <w:p w14:paraId="00C37F52" w14:textId="6EE1DC6C" w:rsidR="00380280" w:rsidRDefault="00380280" w:rsidP="00380280">
      <w:pPr>
        <w:pStyle w:val="ListParagraph"/>
        <w:numPr>
          <w:ilvl w:val="0"/>
          <w:numId w:val="28"/>
        </w:numPr>
      </w:pPr>
      <w:r>
        <w:t>Scope and plan next steps for CPM proposal by April 2026</w:t>
      </w:r>
    </w:p>
    <w:p w14:paraId="2CC16CBC" w14:textId="1DB4DAFB" w:rsidR="003703BA" w:rsidRDefault="00380280" w:rsidP="00380280">
      <w:pPr>
        <w:pStyle w:val="ListParagraph"/>
        <w:numPr>
          <w:ilvl w:val="0"/>
          <w:numId w:val="28"/>
        </w:numPr>
      </w:pPr>
      <w:r>
        <w:t>Subject to CPM decision, start delivery of deliver second tranche of initiatives to support managing climate change impacts on plant health by 2027</w:t>
      </w:r>
    </w:p>
    <w:p w14:paraId="27D2F906" w14:textId="77777777" w:rsidR="00380280" w:rsidRPr="0057398E" w:rsidRDefault="00380280" w:rsidP="00380280"/>
    <w:p w14:paraId="5D5E955D" w14:textId="2F5FE606" w:rsidR="005E6CF4" w:rsidRDefault="005E6CF4" w:rsidP="00CD6B03">
      <w:pPr>
        <w:pStyle w:val="Heading2"/>
      </w:pPr>
      <w:bookmarkStart w:id="17" w:name="_Toc114566377"/>
      <w:r w:rsidRPr="00A51BD0">
        <w:t>Global phytosanitary research coordination</w:t>
      </w:r>
      <w:bookmarkEnd w:id="17"/>
      <w:r w:rsidRPr="00A51BD0">
        <w:t xml:space="preserve"> </w:t>
      </w:r>
    </w:p>
    <w:p w14:paraId="23F4E24D" w14:textId="7129465F" w:rsidR="00AD3905" w:rsidRDefault="00AD3905" w:rsidP="00F2681C">
      <w:r w:rsidRPr="00DA7CCA">
        <w:rPr>
          <w:b/>
          <w:bCs/>
        </w:rPr>
        <w:t>Status:</w:t>
      </w:r>
      <w:r>
        <w:t xml:space="preserve"> </w:t>
      </w:r>
      <w:r w:rsidR="00BB45BB">
        <w:t xml:space="preserve">No work has been started on </w:t>
      </w:r>
      <w:r w:rsidR="00D87D14">
        <w:t>this SFDAI.</w:t>
      </w:r>
      <w:r w:rsidR="00BB45BB">
        <w:t xml:space="preserve">  </w:t>
      </w:r>
    </w:p>
    <w:p w14:paraId="577DAB3D" w14:textId="30311D1A" w:rsidR="009D087D" w:rsidRDefault="009D087D" w:rsidP="00F2681C">
      <w:pPr>
        <w:rPr>
          <w:b/>
          <w:bCs/>
        </w:rPr>
      </w:pPr>
      <w:r w:rsidRPr="009D087D">
        <w:rPr>
          <w:b/>
          <w:bCs/>
        </w:rPr>
        <w:t xml:space="preserve">Long-term </w:t>
      </w:r>
      <w:r w:rsidR="00DB3C41">
        <w:rPr>
          <w:b/>
          <w:bCs/>
        </w:rPr>
        <w:t>p</w:t>
      </w:r>
      <w:r w:rsidRPr="009D087D">
        <w:rPr>
          <w:b/>
          <w:bCs/>
        </w:rPr>
        <w:t>lan:</w:t>
      </w:r>
      <w:r w:rsidR="000C3F4A">
        <w:rPr>
          <w:b/>
          <w:bCs/>
        </w:rPr>
        <w:t xml:space="preserve"> </w:t>
      </w:r>
      <w:r w:rsidR="000C3F4A" w:rsidRPr="000C3F4A">
        <w:rPr>
          <w:b/>
          <w:bCs/>
          <w:highlight w:val="yellow"/>
        </w:rPr>
        <w:t>TBC</w:t>
      </w:r>
    </w:p>
    <w:p w14:paraId="31065824" w14:textId="77777777" w:rsidR="00733DCC" w:rsidRDefault="00733DCC" w:rsidP="00733DCC">
      <w:r w:rsidRPr="00640E9F">
        <w:rPr>
          <w:b/>
          <w:bCs/>
        </w:rPr>
        <w:t>Financial plan:</w:t>
      </w:r>
      <w:r>
        <w:t xml:space="preserve"> </w:t>
      </w:r>
      <w:r w:rsidRPr="008D0C93">
        <w:t>To carry out the activities of the work programme, the following funding will be required:</w:t>
      </w:r>
    </w:p>
    <w:tbl>
      <w:tblPr>
        <w:tblStyle w:val="GridTable4-Accent1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733DCC" w14:paraId="23AA2EB9"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B702023" w14:textId="77777777" w:rsidR="00733DCC" w:rsidRDefault="00733DCC" w:rsidP="004C3CBA">
            <w:pPr>
              <w:rPr>
                <w:lang w:val="en-GB"/>
              </w:rPr>
            </w:pPr>
            <w:r>
              <w:rPr>
                <w:b w:val="0"/>
                <w:bCs w:val="0"/>
                <w:lang w:val="en-GB"/>
              </w:rPr>
              <w:t>2023</w:t>
            </w:r>
          </w:p>
          <w:p w14:paraId="778DCE5B" w14:textId="77777777" w:rsidR="00733DCC" w:rsidRDefault="00733DCC" w:rsidP="004C3CBA">
            <w:pPr>
              <w:rPr>
                <w:b w:val="0"/>
                <w:bCs w:val="0"/>
                <w:lang w:val="en-GB"/>
              </w:rPr>
            </w:pPr>
            <w:r w:rsidRPr="00EC4297">
              <w:rPr>
                <w:b w:val="0"/>
                <w:bCs w:val="0"/>
                <w:lang w:val="en-GB"/>
              </w:rPr>
              <w:t>($’000)</w:t>
            </w:r>
          </w:p>
        </w:tc>
        <w:tc>
          <w:tcPr>
            <w:tcW w:w="556" w:type="pct"/>
          </w:tcPr>
          <w:p w14:paraId="16326BA0"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2757A8A0"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68ECD13F"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602456E5"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D267671"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779AB26D"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4BBF6AA"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39F27CFF"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6B2270B"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1B9093C2"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4814D40"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3F7D4693"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44094354"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3268C3C2"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782AC5EF"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1BF86793"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733DCC" w14:paraId="5BCDEE27"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2CF2B26" w14:textId="7A88E69F" w:rsidR="00733DCC" w:rsidRPr="002C219E" w:rsidRDefault="00733DCC" w:rsidP="004C3CBA">
            <w:pPr>
              <w:rPr>
                <w:b w:val="0"/>
                <w:bCs w:val="0"/>
                <w:lang w:val="en-GB"/>
              </w:rPr>
            </w:pPr>
          </w:p>
        </w:tc>
        <w:tc>
          <w:tcPr>
            <w:tcW w:w="556" w:type="pct"/>
          </w:tcPr>
          <w:p w14:paraId="70B736A1" w14:textId="508E4F65" w:rsidR="00733DCC" w:rsidRPr="002C219E" w:rsidRDefault="00733DCC" w:rsidP="004C3CBA">
            <w:pPr>
              <w:cnfStyle w:val="000000100000" w:firstRow="0" w:lastRow="0" w:firstColumn="0" w:lastColumn="0" w:oddVBand="0" w:evenVBand="0" w:oddHBand="1" w:evenHBand="0" w:firstRowFirstColumn="0" w:firstRowLastColumn="0" w:lastRowFirstColumn="0" w:lastRowLastColumn="0"/>
              <w:rPr>
                <w:lang w:val="en-GB"/>
              </w:rPr>
            </w:pPr>
          </w:p>
        </w:tc>
        <w:tc>
          <w:tcPr>
            <w:tcW w:w="556" w:type="pct"/>
          </w:tcPr>
          <w:p w14:paraId="3FB7B8EC" w14:textId="7C4B933B"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47</w:t>
            </w:r>
          </w:p>
        </w:tc>
        <w:tc>
          <w:tcPr>
            <w:tcW w:w="556" w:type="pct"/>
          </w:tcPr>
          <w:p w14:paraId="063E0816" w14:textId="47D09BBB"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95</w:t>
            </w:r>
            <w:r w:rsidR="00733DCC" w:rsidRPr="004F4809">
              <w:t xml:space="preserve"> </w:t>
            </w:r>
          </w:p>
        </w:tc>
        <w:tc>
          <w:tcPr>
            <w:tcW w:w="556" w:type="pct"/>
          </w:tcPr>
          <w:p w14:paraId="14C8D902" w14:textId="010C5616"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230</w:t>
            </w:r>
            <w:r w:rsidR="00733DCC" w:rsidRPr="004F4809">
              <w:t xml:space="preserve"> </w:t>
            </w:r>
          </w:p>
        </w:tc>
        <w:tc>
          <w:tcPr>
            <w:tcW w:w="556" w:type="pct"/>
          </w:tcPr>
          <w:p w14:paraId="7839F139" w14:textId="2650E3D0"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230</w:t>
            </w:r>
            <w:r w:rsidR="00733DCC" w:rsidRPr="004F4809">
              <w:t xml:space="preserve"> </w:t>
            </w:r>
          </w:p>
        </w:tc>
        <w:tc>
          <w:tcPr>
            <w:tcW w:w="556" w:type="pct"/>
          </w:tcPr>
          <w:p w14:paraId="61E80D31" w14:textId="1FE7767E"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2</w:t>
            </w:r>
            <w:r w:rsidR="00C91404">
              <w:t>45</w:t>
            </w:r>
            <w:r w:rsidR="00733DCC" w:rsidRPr="004F4809">
              <w:t xml:space="preserve"> </w:t>
            </w:r>
          </w:p>
        </w:tc>
        <w:tc>
          <w:tcPr>
            <w:tcW w:w="556" w:type="pct"/>
          </w:tcPr>
          <w:p w14:paraId="1E4F09D0" w14:textId="4DC64FF2" w:rsidR="00733DCC" w:rsidRPr="00EC4297" w:rsidRDefault="00C91404" w:rsidP="004C3CBA">
            <w:pPr>
              <w:cnfStyle w:val="000000100000" w:firstRow="0" w:lastRow="0" w:firstColumn="0" w:lastColumn="0" w:oddVBand="0" w:evenVBand="0" w:oddHBand="1" w:evenHBand="0" w:firstRowFirstColumn="0" w:firstRowLastColumn="0" w:lastRowFirstColumn="0" w:lastRowLastColumn="0"/>
              <w:rPr>
                <w:lang w:val="en-GB"/>
              </w:rPr>
            </w:pPr>
            <w:r>
              <w:t>230</w:t>
            </w:r>
            <w:r w:rsidR="00733DCC" w:rsidRPr="004F4809">
              <w:t xml:space="preserve"> </w:t>
            </w:r>
          </w:p>
        </w:tc>
        <w:tc>
          <w:tcPr>
            <w:tcW w:w="552" w:type="pct"/>
          </w:tcPr>
          <w:p w14:paraId="59383173" w14:textId="3CCBA8AC" w:rsidR="00733DCC" w:rsidRPr="00EC4297" w:rsidRDefault="00C91404"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1,077</w:t>
            </w:r>
          </w:p>
        </w:tc>
      </w:tr>
    </w:tbl>
    <w:p w14:paraId="06364528" w14:textId="77777777" w:rsidR="00733DCC" w:rsidRDefault="00733DCC" w:rsidP="00733DCC">
      <w:pPr>
        <w:spacing w:after="0"/>
      </w:pPr>
    </w:p>
    <w:p w14:paraId="56936A3C" w14:textId="64F51F83" w:rsidR="002E3D48" w:rsidRDefault="00733DCC" w:rsidP="00733DCC">
      <w:r w:rsidRPr="00640E9F">
        <w:t xml:space="preserve">Resources will include IPPC Secretariat staff and </w:t>
      </w:r>
      <w:r w:rsidR="002E3D48">
        <w:t>a Focus Group yet to be established</w:t>
      </w:r>
      <w:r w:rsidR="00C91404">
        <w:t xml:space="preserve"> to </w:t>
      </w:r>
      <w:r w:rsidR="000F0F44">
        <w:t xml:space="preserve">assess the value of this SFDAI and then </w:t>
      </w:r>
      <w:r w:rsidR="00C91404">
        <w:t>scope and plan</w:t>
      </w:r>
      <w:r w:rsidR="000F0F44">
        <w:t xml:space="preserve"> if CPM agrees to proceed</w:t>
      </w:r>
      <w:r w:rsidR="002E3D48">
        <w:t>.</w:t>
      </w:r>
    </w:p>
    <w:p w14:paraId="0D084AE0" w14:textId="42F89C5D" w:rsidR="00B746DD" w:rsidRPr="00B746DD" w:rsidRDefault="00AD3905" w:rsidP="00733DCC">
      <w:r w:rsidRPr="00863D74">
        <w:rPr>
          <w:b/>
          <w:bCs/>
        </w:rPr>
        <w:t>Sequencing Recommendations:</w:t>
      </w:r>
      <w:r>
        <w:t xml:space="preserve"> </w:t>
      </w:r>
      <w:r w:rsidR="00D87D14">
        <w:t xml:space="preserve">The FG SFDAI recommends not starting </w:t>
      </w:r>
      <w:r>
        <w:t xml:space="preserve">this </w:t>
      </w:r>
      <w:r w:rsidR="009D087D">
        <w:t>development agenda item</w:t>
      </w:r>
      <w:r w:rsidR="000427AE">
        <w:t xml:space="preserve"> until 2025</w:t>
      </w:r>
      <w:r w:rsidR="00D87D14">
        <w:t xml:space="preserve"> at the earliest. </w:t>
      </w:r>
      <w:r w:rsidR="00DA5342">
        <w:t xml:space="preserve">During the </w:t>
      </w:r>
      <w:r w:rsidR="009D087D">
        <w:t>S</w:t>
      </w:r>
      <w:r w:rsidR="00DA5342">
        <w:t xml:space="preserve">cope and </w:t>
      </w:r>
      <w:r w:rsidR="009D087D">
        <w:t>P</w:t>
      </w:r>
      <w:r w:rsidR="00DA5342">
        <w:t xml:space="preserve">lan phase, a study should be conducted to </w:t>
      </w:r>
      <w:r w:rsidR="006E541B">
        <w:t xml:space="preserve">build an understanding of the coordination mechanisms that already exist and </w:t>
      </w:r>
      <w:r w:rsidR="00861287">
        <w:t>what gaps exist that the IPPC could fill.</w:t>
      </w:r>
      <w:r w:rsidR="007F1C72">
        <w:t xml:space="preserve"> A </w:t>
      </w:r>
      <w:r w:rsidR="00215A8A">
        <w:t xml:space="preserve">work programme </w:t>
      </w:r>
      <w:r w:rsidR="007F1C72">
        <w:t xml:space="preserve">proposal should then be developed to </w:t>
      </w:r>
      <w:r w:rsidR="00215A8A">
        <w:t>implement a suitable response to the gaps</w:t>
      </w:r>
      <w:r w:rsidR="009D087D">
        <w:t xml:space="preserve"> or build on existing networks</w:t>
      </w:r>
      <w:r w:rsidR="00C636A8">
        <w:t>.</w:t>
      </w:r>
      <w:r w:rsidR="007F1C72">
        <w:t xml:space="preserve"> </w:t>
      </w:r>
    </w:p>
    <w:p w14:paraId="34EA8921" w14:textId="3DA8035A" w:rsidR="005E6CF4" w:rsidRDefault="005E6CF4" w:rsidP="00CD6B03">
      <w:pPr>
        <w:pStyle w:val="Heading2"/>
      </w:pPr>
      <w:bookmarkStart w:id="18" w:name="_Toc114566378"/>
      <w:r w:rsidRPr="00A51BD0">
        <w:t>Diagnostic laboratory networking</w:t>
      </w:r>
      <w:bookmarkEnd w:id="18"/>
    </w:p>
    <w:p w14:paraId="0D349A1F" w14:textId="3AEC8E99" w:rsidR="00800916" w:rsidRDefault="00800916" w:rsidP="00F2681C">
      <w:r w:rsidRPr="00DA7CCA">
        <w:rPr>
          <w:b/>
          <w:bCs/>
        </w:rPr>
        <w:t>Status:</w:t>
      </w:r>
      <w:r>
        <w:t xml:space="preserve"> </w:t>
      </w:r>
      <w:r w:rsidR="00397BDA">
        <w:t xml:space="preserve">To date a small amount of work has been commissioned </w:t>
      </w:r>
      <w:r w:rsidR="00DC1192">
        <w:t xml:space="preserve">to examine </w:t>
      </w:r>
      <w:r w:rsidR="00747EA1">
        <w:t xml:space="preserve">the current state of diagnostic capability in NPPOs and to confirm </w:t>
      </w:r>
      <w:r w:rsidR="009D087D">
        <w:t>whether there is a</w:t>
      </w:r>
      <w:r w:rsidR="00747EA1">
        <w:t xml:space="preserve"> need for</w:t>
      </w:r>
      <w:r w:rsidR="005671EE">
        <w:t xml:space="preserve"> a diagnostic laboratory network.</w:t>
      </w:r>
      <w:r w:rsidR="0094085D">
        <w:t xml:space="preserve"> No other scoping or planning has been done other than by the FG SFDAI in o</w:t>
      </w:r>
      <w:r w:rsidR="009D087D">
        <w:t>rder</w:t>
      </w:r>
      <w:r w:rsidR="0094085D">
        <w:t xml:space="preserve"> to make an approximate budget provision.</w:t>
      </w:r>
    </w:p>
    <w:p w14:paraId="59E7DC5B" w14:textId="27DDF37F" w:rsidR="009D087D" w:rsidRDefault="009D087D" w:rsidP="00F2681C">
      <w:pPr>
        <w:rPr>
          <w:b/>
          <w:bCs/>
        </w:rPr>
      </w:pPr>
      <w:r w:rsidRPr="009D087D">
        <w:rPr>
          <w:b/>
          <w:bCs/>
        </w:rPr>
        <w:t>Long-term plan:</w:t>
      </w:r>
      <w:r w:rsidR="000C3F4A">
        <w:rPr>
          <w:b/>
          <w:bCs/>
        </w:rPr>
        <w:t xml:space="preserve"> </w:t>
      </w:r>
      <w:r w:rsidR="000C3F4A" w:rsidRPr="000C3F4A">
        <w:rPr>
          <w:b/>
          <w:bCs/>
          <w:highlight w:val="yellow"/>
        </w:rPr>
        <w:t>TBC</w:t>
      </w:r>
    </w:p>
    <w:p w14:paraId="654A7979" w14:textId="77777777" w:rsidR="00202FCB" w:rsidRDefault="00202FCB" w:rsidP="00202FCB">
      <w:r w:rsidRPr="00640E9F">
        <w:rPr>
          <w:b/>
          <w:bCs/>
        </w:rPr>
        <w:t>Financial plan:</w:t>
      </w:r>
      <w:r>
        <w:t xml:space="preserve"> </w:t>
      </w:r>
      <w:r w:rsidRPr="008D0C93">
        <w:t>To carry out the activities of the work programme, the following funding will be required:</w:t>
      </w:r>
    </w:p>
    <w:tbl>
      <w:tblPr>
        <w:tblStyle w:val="GridTable4-Accent1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202FCB" w14:paraId="3E5181C6"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752303AD" w14:textId="77777777" w:rsidR="00202FCB" w:rsidRDefault="00202FCB" w:rsidP="004C3CBA">
            <w:pPr>
              <w:rPr>
                <w:lang w:val="en-GB"/>
              </w:rPr>
            </w:pPr>
            <w:r>
              <w:rPr>
                <w:b w:val="0"/>
                <w:bCs w:val="0"/>
                <w:lang w:val="en-GB"/>
              </w:rPr>
              <w:lastRenderedPageBreak/>
              <w:t>2023</w:t>
            </w:r>
          </w:p>
          <w:p w14:paraId="5B50F331" w14:textId="77777777" w:rsidR="00202FCB" w:rsidRDefault="00202FCB" w:rsidP="004C3CBA">
            <w:pPr>
              <w:rPr>
                <w:b w:val="0"/>
                <w:bCs w:val="0"/>
                <w:lang w:val="en-GB"/>
              </w:rPr>
            </w:pPr>
            <w:r w:rsidRPr="00EC4297">
              <w:rPr>
                <w:b w:val="0"/>
                <w:bCs w:val="0"/>
                <w:lang w:val="en-GB"/>
              </w:rPr>
              <w:t>($’000)</w:t>
            </w:r>
          </w:p>
        </w:tc>
        <w:tc>
          <w:tcPr>
            <w:tcW w:w="556" w:type="pct"/>
          </w:tcPr>
          <w:p w14:paraId="4B8E75A4"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3344026D"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531DCE03"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39752EB1"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F8D21D4"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4457A093"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0B80A15"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5F67A9EF"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6EF1BA7"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3E04A9BD"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3F089DB"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4DE57A5D"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7941986"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07A41E6C"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3E2FC8B6"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4A33BFCA"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202FCB" w14:paraId="7051B92D"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7EC5727" w14:textId="0D8FAA8C" w:rsidR="00202FCB" w:rsidRPr="002C219E" w:rsidRDefault="009310FD" w:rsidP="004C3CBA">
            <w:pPr>
              <w:rPr>
                <w:b w:val="0"/>
                <w:bCs w:val="0"/>
                <w:lang w:val="en-GB"/>
              </w:rPr>
            </w:pPr>
            <w:r>
              <w:rPr>
                <w:b w:val="0"/>
                <w:bCs w:val="0"/>
                <w:lang w:val="en-GB"/>
              </w:rPr>
              <w:t>54</w:t>
            </w:r>
          </w:p>
        </w:tc>
        <w:tc>
          <w:tcPr>
            <w:tcW w:w="556" w:type="pct"/>
          </w:tcPr>
          <w:p w14:paraId="20D86549" w14:textId="01B4EDB6" w:rsidR="00202FCB" w:rsidRPr="002C219E"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54</w:t>
            </w:r>
          </w:p>
        </w:tc>
        <w:tc>
          <w:tcPr>
            <w:tcW w:w="556" w:type="pct"/>
          </w:tcPr>
          <w:p w14:paraId="28B26D80" w14:textId="499DD293"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125</w:t>
            </w:r>
          </w:p>
        </w:tc>
        <w:tc>
          <w:tcPr>
            <w:tcW w:w="556" w:type="pct"/>
          </w:tcPr>
          <w:p w14:paraId="601F8204" w14:textId="1F1FD79A"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t>165</w:t>
            </w:r>
            <w:r w:rsidR="00202FCB" w:rsidRPr="004F4809">
              <w:t xml:space="preserve"> </w:t>
            </w:r>
          </w:p>
        </w:tc>
        <w:tc>
          <w:tcPr>
            <w:tcW w:w="556" w:type="pct"/>
          </w:tcPr>
          <w:p w14:paraId="33CBCE56" w14:textId="0D657459"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t>285</w:t>
            </w:r>
            <w:r w:rsidR="00202FCB" w:rsidRPr="004F4809">
              <w:t xml:space="preserve"> </w:t>
            </w:r>
          </w:p>
        </w:tc>
        <w:tc>
          <w:tcPr>
            <w:tcW w:w="556" w:type="pct"/>
          </w:tcPr>
          <w:p w14:paraId="2CB78EE3" w14:textId="78E2A177"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t>245</w:t>
            </w:r>
            <w:r w:rsidR="00202FCB" w:rsidRPr="004F4809">
              <w:t xml:space="preserve"> </w:t>
            </w:r>
          </w:p>
        </w:tc>
        <w:tc>
          <w:tcPr>
            <w:tcW w:w="556" w:type="pct"/>
          </w:tcPr>
          <w:p w14:paraId="18F1658C" w14:textId="70219400" w:rsidR="00202FCB" w:rsidRPr="00EC4297" w:rsidRDefault="00DE5D81" w:rsidP="004C3CBA">
            <w:pPr>
              <w:cnfStyle w:val="000000100000" w:firstRow="0" w:lastRow="0" w:firstColumn="0" w:lastColumn="0" w:oddVBand="0" w:evenVBand="0" w:oddHBand="1" w:evenHBand="0" w:firstRowFirstColumn="0" w:firstRowLastColumn="0" w:lastRowFirstColumn="0" w:lastRowLastColumn="0"/>
              <w:rPr>
                <w:lang w:val="en-GB"/>
              </w:rPr>
            </w:pPr>
            <w:r>
              <w:t>265</w:t>
            </w:r>
            <w:r w:rsidR="00202FCB" w:rsidRPr="004F4809">
              <w:t xml:space="preserve"> </w:t>
            </w:r>
          </w:p>
        </w:tc>
        <w:tc>
          <w:tcPr>
            <w:tcW w:w="556" w:type="pct"/>
          </w:tcPr>
          <w:p w14:paraId="7FD15F7B" w14:textId="13D10A15" w:rsidR="00202FCB" w:rsidRPr="00EC4297" w:rsidRDefault="00DE5D81" w:rsidP="004C3CBA">
            <w:pPr>
              <w:cnfStyle w:val="000000100000" w:firstRow="0" w:lastRow="0" w:firstColumn="0" w:lastColumn="0" w:oddVBand="0" w:evenVBand="0" w:oddHBand="1" w:evenHBand="0" w:firstRowFirstColumn="0" w:firstRowLastColumn="0" w:lastRowFirstColumn="0" w:lastRowLastColumn="0"/>
              <w:rPr>
                <w:lang w:val="en-GB"/>
              </w:rPr>
            </w:pPr>
            <w:r>
              <w:t>285</w:t>
            </w:r>
            <w:r w:rsidR="00202FCB" w:rsidRPr="004F4809">
              <w:t xml:space="preserve"> </w:t>
            </w:r>
          </w:p>
        </w:tc>
        <w:tc>
          <w:tcPr>
            <w:tcW w:w="552" w:type="pct"/>
          </w:tcPr>
          <w:p w14:paraId="1E48F7A8" w14:textId="57B2C3C4" w:rsidR="00202FCB" w:rsidRPr="00EC4297" w:rsidRDefault="00202FCB"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1,</w:t>
            </w:r>
            <w:r w:rsidR="00DE5D81">
              <w:rPr>
                <w:lang w:val="en-GB"/>
              </w:rPr>
              <w:t>503</w:t>
            </w:r>
          </w:p>
        </w:tc>
      </w:tr>
    </w:tbl>
    <w:p w14:paraId="0BC200AA" w14:textId="6E957837" w:rsidR="210288F6" w:rsidRDefault="210288F6"/>
    <w:p w14:paraId="0A39E8B0" w14:textId="77777777" w:rsidR="00202FCB" w:rsidRDefault="00202FCB" w:rsidP="00202FCB">
      <w:pPr>
        <w:spacing w:after="0"/>
      </w:pPr>
    </w:p>
    <w:p w14:paraId="6AA06CCB" w14:textId="184C552B" w:rsidR="00202FCB" w:rsidRDefault="00202FCB" w:rsidP="00202FCB">
      <w:r w:rsidRPr="00640E9F">
        <w:t xml:space="preserve">Resources will include IPPC Secretariat staff and </w:t>
      </w:r>
      <w:r>
        <w:t xml:space="preserve">a Focus Group yet to be </w:t>
      </w:r>
      <w:r w:rsidR="000C79C4">
        <w:t>established</w:t>
      </w:r>
      <w:r>
        <w:t>.</w:t>
      </w:r>
    </w:p>
    <w:p w14:paraId="719573D3" w14:textId="2EEC1A31" w:rsidR="00800916" w:rsidRDefault="00800916" w:rsidP="00800916">
      <w:r w:rsidRPr="00863D74">
        <w:rPr>
          <w:b/>
          <w:bCs/>
        </w:rPr>
        <w:t xml:space="preserve">Sequencing </w:t>
      </w:r>
      <w:r w:rsidR="00DB3C41">
        <w:rPr>
          <w:b/>
          <w:bCs/>
        </w:rPr>
        <w:t>r</w:t>
      </w:r>
      <w:r w:rsidRPr="00863D74">
        <w:rPr>
          <w:b/>
          <w:bCs/>
        </w:rPr>
        <w:t>ecommendations:</w:t>
      </w:r>
      <w:r>
        <w:t xml:space="preserve"> </w:t>
      </w:r>
      <w:r w:rsidR="00454D2F">
        <w:t xml:space="preserve">Implementation of this </w:t>
      </w:r>
      <w:r w:rsidR="009D087D">
        <w:t>development agenda item</w:t>
      </w:r>
      <w:r w:rsidR="00454D2F">
        <w:t xml:space="preserve"> </w:t>
      </w:r>
      <w:r w:rsidR="00802509">
        <w:t xml:space="preserve">has the potential to be a very large and complex </w:t>
      </w:r>
      <w:r w:rsidR="00454D2F">
        <w:t>programme.</w:t>
      </w:r>
      <w:r w:rsidR="00A47C09">
        <w:t xml:space="preserve"> </w:t>
      </w:r>
      <w:r w:rsidR="00177FA4">
        <w:t>FG SFDAI recommends t</w:t>
      </w:r>
      <w:r w:rsidR="00BF29C9">
        <w:t xml:space="preserve">he </w:t>
      </w:r>
      <w:r w:rsidR="009D087D">
        <w:t>S</w:t>
      </w:r>
      <w:r w:rsidR="00BF29C9">
        <w:t xml:space="preserve">cope and </w:t>
      </w:r>
      <w:r w:rsidR="009D087D">
        <w:t>P</w:t>
      </w:r>
      <w:r w:rsidR="00BF29C9">
        <w:t>lan phase</w:t>
      </w:r>
      <w:r w:rsidR="007842DD">
        <w:t xml:space="preserve"> </w:t>
      </w:r>
      <w:r w:rsidR="00426024">
        <w:t xml:space="preserve">should commence soon </w:t>
      </w:r>
      <w:r w:rsidR="003462EA">
        <w:t xml:space="preserve">(2024) </w:t>
      </w:r>
      <w:r w:rsidR="00426024">
        <w:t xml:space="preserve">with the establishment of a focus group to </w:t>
      </w:r>
      <w:r w:rsidR="003462EA">
        <w:t xml:space="preserve">work with the </w:t>
      </w:r>
      <w:r w:rsidR="009D087D">
        <w:t xml:space="preserve">IPPC </w:t>
      </w:r>
      <w:r w:rsidR="003462EA">
        <w:t>Secretariat.</w:t>
      </w:r>
      <w:r w:rsidR="00740158">
        <w:t xml:space="preserve"> We expect this </w:t>
      </w:r>
      <w:r w:rsidR="009D087D">
        <w:t>to</w:t>
      </w:r>
      <w:r w:rsidR="00740158">
        <w:t xml:space="preserve"> take </w:t>
      </w:r>
      <w:r w:rsidR="009D087D">
        <w:t>two</w:t>
      </w:r>
      <w:r w:rsidR="00740158">
        <w:t xml:space="preserve"> years before a </w:t>
      </w:r>
      <w:r w:rsidR="004C3BF3">
        <w:t xml:space="preserve">viable proposal with enough detail is presented to CPM for approval. As with some other large </w:t>
      </w:r>
      <w:r w:rsidR="009D087D">
        <w:t>development agenda items, the</w:t>
      </w:r>
      <w:r w:rsidR="004C3BF3">
        <w:t xml:space="preserve"> CPM may need more than one year to </w:t>
      </w:r>
      <w:r w:rsidR="007065E6">
        <w:t>make a final decision on how to proceed.</w:t>
      </w:r>
    </w:p>
    <w:p w14:paraId="09D7A509" w14:textId="77777777" w:rsidR="003703BA" w:rsidRDefault="003703BA" w:rsidP="003703BA">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are anticipated.</w:t>
      </w:r>
    </w:p>
    <w:p w14:paraId="618C4BE2" w14:textId="177BF259" w:rsidR="00D0044E" w:rsidRDefault="00D0044E" w:rsidP="00D0044E">
      <w:pPr>
        <w:pStyle w:val="ListParagraph"/>
        <w:numPr>
          <w:ilvl w:val="0"/>
          <w:numId w:val="29"/>
        </w:numPr>
      </w:pPr>
      <w:r>
        <w:t>Investigation of existing networks by December 2025</w:t>
      </w:r>
    </w:p>
    <w:p w14:paraId="5E48070C" w14:textId="3096774E" w:rsidR="00D0044E" w:rsidRDefault="00D0044E" w:rsidP="00D0044E">
      <w:pPr>
        <w:pStyle w:val="ListParagraph"/>
        <w:numPr>
          <w:ilvl w:val="0"/>
          <w:numId w:val="29"/>
        </w:numPr>
      </w:pPr>
      <w:r>
        <w:t>Develop proposal for research coordination by April 2026</w:t>
      </w:r>
    </w:p>
    <w:p w14:paraId="32B5A298" w14:textId="418592B2" w:rsidR="003703BA" w:rsidRDefault="00D0044E" w:rsidP="00D0044E">
      <w:pPr>
        <w:pStyle w:val="ListParagraph"/>
        <w:numPr>
          <w:ilvl w:val="0"/>
          <w:numId w:val="29"/>
        </w:numPr>
      </w:pPr>
      <w:r>
        <w:t>Subject to CPM decision, establish global phytosanitary research coordination by December 2027</w:t>
      </w:r>
    </w:p>
    <w:p w14:paraId="003BB1E8" w14:textId="311177FE" w:rsidR="00D0044E" w:rsidRPr="00800916" w:rsidRDefault="00D0044E" w:rsidP="00D0044E"/>
    <w:p w14:paraId="20D30E03" w14:textId="576B5928" w:rsidR="0095511E" w:rsidRPr="0095511E" w:rsidRDefault="0095511E" w:rsidP="00F331FF">
      <w:pPr>
        <w:pStyle w:val="Heading1"/>
        <w:rPr>
          <w:lang w:val="en-NZ"/>
        </w:rPr>
      </w:pPr>
      <w:bookmarkStart w:id="19" w:name="_Toc114566379"/>
      <w:r w:rsidRPr="0095511E">
        <w:rPr>
          <w:lang w:val="en-NZ"/>
        </w:rPr>
        <w:t>Investment Prospectus</w:t>
      </w:r>
      <w:bookmarkEnd w:id="19"/>
    </w:p>
    <w:p w14:paraId="735D4544" w14:textId="36CE6196" w:rsidR="008762AC" w:rsidRDefault="008762AC" w:rsidP="0095511E">
      <w:pPr>
        <w:rPr>
          <w:lang w:val="en-NZ"/>
        </w:rPr>
      </w:pPr>
      <w:r>
        <w:rPr>
          <w:lang w:val="en-NZ"/>
        </w:rPr>
        <w:t xml:space="preserve">The overarching implementation plan </w:t>
      </w:r>
      <w:r w:rsidR="0052322C">
        <w:rPr>
          <w:lang w:val="en-NZ"/>
        </w:rPr>
        <w:t>could</w:t>
      </w:r>
      <w:r w:rsidR="00DC60B1">
        <w:rPr>
          <w:lang w:val="en-NZ"/>
        </w:rPr>
        <w:t xml:space="preserve"> be</w:t>
      </w:r>
      <w:r>
        <w:rPr>
          <w:lang w:val="en-NZ"/>
        </w:rPr>
        <w:t xml:space="preserve"> accompanied by an investment prospectus. This </w:t>
      </w:r>
      <w:r w:rsidR="0052322C">
        <w:rPr>
          <w:lang w:val="en-NZ"/>
        </w:rPr>
        <w:t>would have</w:t>
      </w:r>
      <w:r>
        <w:rPr>
          <w:lang w:val="en-NZ"/>
        </w:rPr>
        <w:t xml:space="preserve"> two purposes. The first is to raise awareness of the overarching implementation plan to contracting parties, RPPOs and other relevant international bodies, and the second is to be used as information material for donor organisations, including funding decision-makers in contracting parties, to attract funding for the development agenda items. </w:t>
      </w:r>
    </w:p>
    <w:p w14:paraId="268289B1" w14:textId="77777777" w:rsidR="00F40CC2" w:rsidRDefault="00F40CC2" w:rsidP="0095511E">
      <w:pPr>
        <w:rPr>
          <w:lang w:val="en-NZ"/>
        </w:rPr>
      </w:pPr>
    </w:p>
    <w:p w14:paraId="765B1873" w14:textId="1253EBD1" w:rsidR="0095511E" w:rsidRPr="0095511E" w:rsidRDefault="0095511E" w:rsidP="00F331FF">
      <w:pPr>
        <w:pStyle w:val="Heading1"/>
        <w:rPr>
          <w:lang w:val="en-NZ"/>
        </w:rPr>
      </w:pPr>
      <w:bookmarkStart w:id="20" w:name="_Toc114566380"/>
      <w:r w:rsidRPr="0095511E">
        <w:rPr>
          <w:lang w:val="en-NZ"/>
        </w:rPr>
        <w:t>Conclusions</w:t>
      </w:r>
      <w:bookmarkEnd w:id="20"/>
    </w:p>
    <w:p w14:paraId="2501DC8E" w14:textId="1EBC2C70" w:rsidR="00CF7EEF" w:rsidRPr="00CF7EEF" w:rsidRDefault="00CF7EEF" w:rsidP="0095511E">
      <w:pPr>
        <w:rPr>
          <w:color w:val="FF0000"/>
          <w:lang w:val="en-NZ"/>
        </w:rPr>
      </w:pPr>
      <w:r w:rsidRPr="00CF7EEF">
        <w:rPr>
          <w:color w:val="FF0000"/>
          <w:lang w:val="en-NZ"/>
        </w:rPr>
        <w:t>To be completed after SPG</w:t>
      </w:r>
    </w:p>
    <w:p w14:paraId="1FC5E333" w14:textId="5972D27D" w:rsidR="0095511E" w:rsidRPr="0095511E" w:rsidRDefault="0095511E" w:rsidP="0095511E">
      <w:pPr>
        <w:rPr>
          <w:lang w:val="en-NZ"/>
        </w:rPr>
      </w:pPr>
      <w:r w:rsidRPr="0095511E">
        <w:rPr>
          <w:lang w:val="en-NZ"/>
        </w:rPr>
        <w:t xml:space="preserve">Some concluding remarks to wrap the report up.  </w:t>
      </w:r>
    </w:p>
    <w:p w14:paraId="05A9D2E7" w14:textId="77777777" w:rsidR="0095511E" w:rsidRPr="0095511E" w:rsidRDefault="0095511E" w:rsidP="0095511E">
      <w:pPr>
        <w:rPr>
          <w:lang w:val="en-NZ"/>
        </w:rPr>
      </w:pPr>
      <w:r w:rsidRPr="0095511E">
        <w:rPr>
          <w:lang w:val="en-NZ"/>
        </w:rPr>
        <w:t>Highlight key findings</w:t>
      </w:r>
    </w:p>
    <w:p w14:paraId="5F0CA44F" w14:textId="77777777" w:rsidR="0095511E" w:rsidRPr="0095511E" w:rsidRDefault="0095511E" w:rsidP="0095511E">
      <w:pPr>
        <w:rPr>
          <w:lang w:val="en-NZ"/>
        </w:rPr>
      </w:pPr>
      <w:r w:rsidRPr="0095511E">
        <w:rPr>
          <w:lang w:val="en-NZ"/>
        </w:rPr>
        <w:t>Highlight the benefits on an integrated overarching plan</w:t>
      </w:r>
    </w:p>
    <w:p w14:paraId="030853FA" w14:textId="77777777" w:rsidR="0095511E" w:rsidRPr="0095511E" w:rsidRDefault="0095511E" w:rsidP="0095511E">
      <w:pPr>
        <w:rPr>
          <w:lang w:val="en-NZ"/>
        </w:rPr>
      </w:pPr>
      <w:r w:rsidRPr="0095511E">
        <w:rPr>
          <w:lang w:val="en-NZ"/>
        </w:rPr>
        <w:t>Highlight any issues that will need particular attention</w:t>
      </w:r>
    </w:p>
    <w:p w14:paraId="7E952507" w14:textId="74C1B269" w:rsidR="00613693" w:rsidRDefault="0095511E" w:rsidP="000E6062">
      <w:pPr>
        <w:pBdr>
          <w:bottom w:val="single" w:sz="6" w:space="1" w:color="auto"/>
        </w:pBdr>
        <w:rPr>
          <w:lang w:val="en-NZ"/>
        </w:rPr>
      </w:pPr>
      <w:r w:rsidRPr="0095511E">
        <w:rPr>
          <w:lang w:val="en-NZ"/>
        </w:rPr>
        <w:t>Summarise next steps / actions from this point forward.</w:t>
      </w:r>
    </w:p>
    <w:p w14:paraId="2ACBD6E6" w14:textId="710CF151" w:rsidR="00DC60B1" w:rsidRDefault="00DC60B1" w:rsidP="000E6062">
      <w:pPr>
        <w:pBdr>
          <w:bottom w:val="single" w:sz="6" w:space="1" w:color="auto"/>
        </w:pBdr>
        <w:rPr>
          <w:lang w:val="en-NZ"/>
        </w:rPr>
      </w:pPr>
      <w:r>
        <w:rPr>
          <w:lang w:val="en-NZ"/>
        </w:rPr>
        <w:t>Recommendations from the FG</w:t>
      </w:r>
    </w:p>
    <w:p w14:paraId="120823BB" w14:textId="57209AB1" w:rsidR="001911C1" w:rsidRPr="0057083F" w:rsidRDefault="001D6D85" w:rsidP="0057083F">
      <w:pPr>
        <w:pStyle w:val="Heading1"/>
      </w:pPr>
      <w:bookmarkStart w:id="21" w:name="_Toc114566381"/>
      <w:r w:rsidRPr="0057083F">
        <w:lastRenderedPageBreak/>
        <w:t>A</w:t>
      </w:r>
      <w:r w:rsidR="00F14A3C" w:rsidRPr="0057083F">
        <w:t>PPENDIX</w:t>
      </w:r>
      <w:r w:rsidRPr="0057083F">
        <w:t xml:space="preserve"> A</w:t>
      </w:r>
      <w:r w:rsidR="000E00A0" w:rsidRPr="0057083F">
        <w:t xml:space="preserve"> - </w:t>
      </w:r>
      <w:r w:rsidR="001911C1" w:rsidRPr="0057083F">
        <w:t>Agenda Item #1</w:t>
      </w:r>
      <w:r w:rsidR="009B23B5" w:rsidRPr="0057083F">
        <w:t xml:space="preserve"> - </w:t>
      </w:r>
      <w:r w:rsidR="001911C1" w:rsidRPr="0057083F">
        <w:t>Harmonization of electronic data exchange</w:t>
      </w:r>
      <w:bookmarkEnd w:id="21"/>
    </w:p>
    <w:p w14:paraId="5C1CB691" w14:textId="5E5CB9B3" w:rsidR="009B23B5" w:rsidRPr="009B23B5" w:rsidRDefault="001846D9" w:rsidP="009B23B5">
      <w:r w:rsidRPr="001846D9">
        <w:rPr>
          <w:highlight w:val="yellow"/>
        </w:rPr>
        <w:t>TBC</w:t>
      </w:r>
    </w:p>
    <w:p w14:paraId="306A4815" w14:textId="3EC76F1B" w:rsidR="000E00A0" w:rsidRPr="000E6062" w:rsidRDefault="00410086" w:rsidP="00F41E8D">
      <w:pPr>
        <w:rPr>
          <w:rFonts w:cstheme="minorHAnsi"/>
          <w:b/>
          <w:bCs/>
          <w:u w:val="single"/>
        </w:rPr>
      </w:pPr>
      <w:r>
        <w:rPr>
          <w:rFonts w:cstheme="minorHAnsi"/>
          <w:b/>
          <w:bCs/>
          <w:u w:val="single"/>
        </w:rPr>
        <w:t>Benefit statement</w:t>
      </w:r>
    </w:p>
    <w:p w14:paraId="060EBF66" w14:textId="1B26237C" w:rsidR="000E00A0" w:rsidRPr="000E6062" w:rsidRDefault="00410086" w:rsidP="000E00A0">
      <w:pPr>
        <w:rPr>
          <w:rFonts w:cstheme="minorHAnsi"/>
          <w:b/>
          <w:bCs/>
          <w:u w:val="single"/>
        </w:rPr>
      </w:pPr>
      <w:r>
        <w:rPr>
          <w:rFonts w:cstheme="minorHAnsi"/>
          <w:b/>
          <w:bCs/>
          <w:u w:val="single"/>
        </w:rPr>
        <w:t>Delivery</w:t>
      </w:r>
    </w:p>
    <w:p w14:paraId="2F5404EC" w14:textId="789C7D25" w:rsidR="000E00A0" w:rsidRPr="000E6062" w:rsidRDefault="00410086" w:rsidP="000E00A0">
      <w:pPr>
        <w:rPr>
          <w:rFonts w:cstheme="minorHAnsi"/>
          <w:b/>
          <w:bCs/>
          <w:u w:val="single"/>
        </w:rPr>
      </w:pPr>
      <w:r>
        <w:rPr>
          <w:rFonts w:cstheme="minorHAnsi"/>
          <w:b/>
          <w:bCs/>
          <w:u w:val="single"/>
        </w:rPr>
        <w:t>Milestones and activities</w:t>
      </w:r>
    </w:p>
    <w:p w14:paraId="66CEFAFC" w14:textId="1BF767FB" w:rsidR="001E459C" w:rsidRDefault="00410086" w:rsidP="001E459C">
      <w:pPr>
        <w:rPr>
          <w:rFonts w:cstheme="minorHAnsi"/>
          <w:b/>
          <w:bCs/>
          <w:u w:val="single"/>
        </w:rPr>
      </w:pPr>
      <w:r>
        <w:rPr>
          <w:rFonts w:cstheme="minorHAnsi"/>
          <w:b/>
          <w:bCs/>
          <w:u w:val="single"/>
        </w:rPr>
        <w:t>Funding and resources</w:t>
      </w:r>
    </w:p>
    <w:p w14:paraId="7D5CBD4E" w14:textId="6EA95F2B" w:rsidR="005F3CBA" w:rsidRDefault="004D48AD" w:rsidP="001E459C">
      <w:pPr>
        <w:rPr>
          <w:rFonts w:cstheme="minorHAnsi"/>
          <w:b/>
          <w:bCs/>
          <w:u w:val="single"/>
        </w:rPr>
      </w:pPr>
      <w:r w:rsidRPr="004D48AD">
        <w:rPr>
          <w:noProof/>
        </w:rPr>
        <w:drawing>
          <wp:inline distT="0" distB="0" distL="0" distR="0" wp14:anchorId="28B32A48" wp14:editId="394BBC9D">
            <wp:extent cx="5943600" cy="2505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505710"/>
                    </a:xfrm>
                    <a:prstGeom prst="rect">
                      <a:avLst/>
                    </a:prstGeom>
                    <a:noFill/>
                    <a:ln>
                      <a:noFill/>
                    </a:ln>
                  </pic:spPr>
                </pic:pic>
              </a:graphicData>
            </a:graphic>
          </wp:inline>
        </w:drawing>
      </w:r>
    </w:p>
    <w:p w14:paraId="1BC4DB52" w14:textId="7A9FB464" w:rsidR="00410086" w:rsidRDefault="00410086" w:rsidP="001E459C">
      <w:pPr>
        <w:rPr>
          <w:rFonts w:cstheme="minorHAnsi"/>
          <w:b/>
          <w:bCs/>
          <w:u w:val="single"/>
        </w:rPr>
      </w:pPr>
      <w:r>
        <w:rPr>
          <w:rFonts w:cstheme="minorHAnsi"/>
          <w:b/>
          <w:bCs/>
          <w:u w:val="single"/>
        </w:rPr>
        <w:t>Monitoring and evaluation</w:t>
      </w:r>
    </w:p>
    <w:p w14:paraId="5BD85AD6" w14:textId="159BDAE1" w:rsidR="00410086" w:rsidRDefault="00410086" w:rsidP="001E459C">
      <w:pPr>
        <w:rPr>
          <w:rFonts w:cstheme="minorHAnsi"/>
          <w:b/>
          <w:bCs/>
          <w:u w:val="single"/>
        </w:rPr>
      </w:pPr>
      <w:r>
        <w:rPr>
          <w:rFonts w:cstheme="minorHAnsi"/>
          <w:b/>
          <w:bCs/>
          <w:u w:val="single"/>
        </w:rPr>
        <w:t>Communication</w:t>
      </w:r>
    </w:p>
    <w:p w14:paraId="1728A4DC" w14:textId="2CFE58E7" w:rsidR="00410086" w:rsidRDefault="00410086" w:rsidP="001E459C">
      <w:pPr>
        <w:rPr>
          <w:rFonts w:cstheme="minorHAnsi"/>
          <w:b/>
          <w:bCs/>
          <w:u w:val="single"/>
        </w:rPr>
      </w:pPr>
      <w:r>
        <w:rPr>
          <w:rFonts w:cstheme="minorHAnsi"/>
          <w:b/>
          <w:bCs/>
          <w:u w:val="single"/>
        </w:rPr>
        <w:t>Issues and risks</w:t>
      </w:r>
    </w:p>
    <w:p w14:paraId="717FDEEC" w14:textId="77777777" w:rsidR="001E459C" w:rsidRPr="001E459C" w:rsidRDefault="001E459C" w:rsidP="001E459C">
      <w:pPr>
        <w:rPr>
          <w:rFonts w:cstheme="minorHAnsi"/>
          <w:b/>
          <w:bCs/>
          <w:u w:val="single"/>
        </w:rPr>
      </w:pPr>
    </w:p>
    <w:p w14:paraId="40B0640D" w14:textId="2847D54F" w:rsidR="001911C1" w:rsidRPr="0057083F" w:rsidRDefault="001D6D85" w:rsidP="0057083F">
      <w:pPr>
        <w:pStyle w:val="Heading1"/>
      </w:pPr>
      <w:bookmarkStart w:id="22" w:name="_Toc114566382"/>
      <w:r w:rsidRPr="0057083F">
        <w:t>A</w:t>
      </w:r>
      <w:r w:rsidR="00F14A3C" w:rsidRPr="0057083F">
        <w:t xml:space="preserve">PPENDIX </w:t>
      </w:r>
      <w:r w:rsidRPr="0057083F">
        <w:t>B</w:t>
      </w:r>
      <w:r w:rsidR="000E00A0" w:rsidRPr="0057083F">
        <w:t xml:space="preserve"> - </w:t>
      </w:r>
      <w:r w:rsidR="001911C1" w:rsidRPr="0057083F">
        <w:t>Agenda Item #2</w:t>
      </w:r>
      <w:r w:rsidR="009B23B5" w:rsidRPr="0057083F">
        <w:t xml:space="preserve"> - </w:t>
      </w:r>
      <w:r w:rsidR="001911C1" w:rsidRPr="0057083F">
        <w:t>Commodity and pathway specific ISPMs</w:t>
      </w:r>
      <w:bookmarkEnd w:id="22"/>
    </w:p>
    <w:p w14:paraId="66B1FB5B" w14:textId="2048CB2C" w:rsidR="009B23B5" w:rsidRDefault="009B23B5" w:rsidP="009B23B5"/>
    <w:p w14:paraId="6667C55C" w14:textId="77777777" w:rsidR="00941D92" w:rsidRPr="00941D92" w:rsidRDefault="00941D92" w:rsidP="00941D92">
      <w:pPr>
        <w:rPr>
          <w:b/>
          <w:bCs/>
          <w:lang w:val="en-GB"/>
        </w:rPr>
      </w:pPr>
      <w:r w:rsidRPr="00941D92">
        <w:rPr>
          <w:b/>
          <w:bCs/>
          <w:lang w:val="en-GB"/>
        </w:rPr>
        <w:t>Benefit statement</w:t>
      </w:r>
    </w:p>
    <w:p w14:paraId="360B5442" w14:textId="77777777" w:rsidR="00941D92" w:rsidRPr="00941D92" w:rsidRDefault="00941D92" w:rsidP="00941D92">
      <w:pPr>
        <w:rPr>
          <w:lang w:val="en-GB"/>
        </w:rPr>
      </w:pPr>
      <w:r w:rsidRPr="00941D92">
        <w:rPr>
          <w:lang w:val="en-GB"/>
        </w:rPr>
        <w:t>As described in the Strategic Framework, new ISPMs will be adopted and implemented for specific commodities and pathways, with accompanying diagnostic protocols and phytosanitary treatments to support implementation. They will provide NPPOs with harmonized phytosanitary measures, which they may use to support their pest risk analysis activities and import regulatory systems, or to establish export-oriented production systems. This will simplify trade and expedite market access negotiations.</w:t>
      </w:r>
    </w:p>
    <w:p w14:paraId="6BAC28CA" w14:textId="77777777" w:rsidR="00941D92" w:rsidRPr="00941D92" w:rsidRDefault="00941D92" w:rsidP="00941D92">
      <w:pPr>
        <w:rPr>
          <w:b/>
          <w:bCs/>
          <w:lang w:val="en-GB"/>
        </w:rPr>
      </w:pPr>
      <w:r w:rsidRPr="00941D92">
        <w:rPr>
          <w:b/>
          <w:bCs/>
          <w:lang w:val="en-GB"/>
        </w:rPr>
        <w:t xml:space="preserve">Delivery </w:t>
      </w:r>
    </w:p>
    <w:p w14:paraId="46A5ABCB" w14:textId="77777777" w:rsidR="00941D92" w:rsidRPr="00941D92" w:rsidRDefault="00941D92" w:rsidP="00941D92">
      <w:pPr>
        <w:rPr>
          <w:lang w:val="en-GB"/>
        </w:rPr>
      </w:pPr>
      <w:r w:rsidRPr="00941D92">
        <w:rPr>
          <w:lang w:val="en-GB"/>
        </w:rPr>
        <w:lastRenderedPageBreak/>
        <w:t>At CPM-16 in 2022, the ISPM ‘Commodity-specific standards for phytosanitary measures’ was adopted. This is an overarching concept standard and provides guidance on the purpose, use, content, publication, and review of commodity-specific standards. These standards will form annexes under the overarching concept standard.</w:t>
      </w:r>
    </w:p>
    <w:p w14:paraId="5CBC5F7D" w14:textId="77777777" w:rsidR="00941D92" w:rsidRPr="00941D92" w:rsidRDefault="00941D92" w:rsidP="00941D92">
      <w:pPr>
        <w:rPr>
          <w:lang w:val="en-GB"/>
        </w:rPr>
      </w:pPr>
      <w:r w:rsidRPr="00941D92">
        <w:rPr>
          <w:lang w:val="en-GB"/>
        </w:rPr>
        <w:t>Following inclusion in the list of standard topics, the commodity-specific standards will be developed either directly by the Technical Panel on Commodity Standards (TPCS) or by expert drafting groups established by the Standards Committee (SC). The TPCS will also be responsible for reviewing commodity-specific standards, recommending revisions and topics, and developing guidance on aspects related to the standards.</w:t>
      </w:r>
    </w:p>
    <w:p w14:paraId="41A828F5" w14:textId="77777777" w:rsidR="00941D92" w:rsidRPr="00941D92" w:rsidRDefault="00941D92" w:rsidP="00941D92">
      <w:pPr>
        <w:rPr>
          <w:b/>
          <w:bCs/>
          <w:lang w:val="en-GB"/>
        </w:rPr>
      </w:pPr>
      <w:r w:rsidRPr="00941D92">
        <w:rPr>
          <w:b/>
          <w:bCs/>
          <w:lang w:val="en-GB"/>
        </w:rPr>
        <w:t>Milestones and activities</w:t>
      </w:r>
    </w:p>
    <w:p w14:paraId="6B382414" w14:textId="77777777" w:rsidR="00941D92" w:rsidRPr="00941D92" w:rsidRDefault="00941D92" w:rsidP="00941D92">
      <w:pPr>
        <w:rPr>
          <w:lang w:val="en-GB"/>
        </w:rPr>
      </w:pPr>
      <w:r w:rsidRPr="00941D92">
        <w:rPr>
          <w:lang w:val="en-GB"/>
        </w:rPr>
        <w:t>Following the adoption of the concept standard and the establishment of the TPCS, the TPCS will begin to develop the first commodity-specific standard on mango fruit, along with accompanying diagnostic protocols and phytosanitary treatments as appropriate. The aim will be to adopt this standard by 2025. While this standard is being developed, other commodities proposed for a standard will be prioritised, with new standards adopted by 2027 and beyond. To ensure that the TPCS can continue to function and develop commodity-specific standards, a long-term sustainable funding mechanism will be scoped out and adopted.</w:t>
      </w:r>
    </w:p>
    <w:p w14:paraId="63CD14BD" w14:textId="69EB6FA6" w:rsidR="00941D92" w:rsidRDefault="00941D92" w:rsidP="00941D92">
      <w:pPr>
        <w:rPr>
          <w:lang w:val="en-GB"/>
        </w:rPr>
      </w:pPr>
      <w:r w:rsidRPr="00941D92">
        <w:rPr>
          <w:lang w:val="en-GB"/>
        </w:rPr>
        <w:t>To encourage implementation of the commodity-specific standards and to assess their use, communication and advocacy material will be developed for contracting parties and an evaluation of the economic, food security, trade and environmental benefits of implementing the commodity-specific standards, as well as an evaluation of the barriers to implementation, will be carried out. The results of these evaluations will identify where support is needed.</w:t>
      </w:r>
    </w:p>
    <w:p w14:paraId="08271B89" w14:textId="1A9D5596" w:rsidR="00EC4297" w:rsidRDefault="00EC4297" w:rsidP="00941D92">
      <w:pPr>
        <w:rPr>
          <w:b/>
          <w:bCs/>
          <w:lang w:val="en-GB"/>
        </w:rPr>
      </w:pPr>
      <w:r w:rsidRPr="00EC4297">
        <w:rPr>
          <w:b/>
          <w:bCs/>
          <w:lang w:val="en-GB"/>
        </w:rPr>
        <w:t>Funding and resources</w:t>
      </w:r>
    </w:p>
    <w:p w14:paraId="20E9278C" w14:textId="594FD056" w:rsidR="00EC4297" w:rsidRDefault="00EC4297" w:rsidP="00941D92">
      <w:pPr>
        <w:rPr>
          <w:lang w:val="en-GB"/>
        </w:rPr>
      </w:pPr>
      <w:r>
        <w:rPr>
          <w:lang w:val="en-GB"/>
        </w:rPr>
        <w:t>To carry out the activities</w:t>
      </w:r>
      <w:r w:rsidR="002C219E">
        <w:rPr>
          <w:lang w:val="en-GB"/>
        </w:rPr>
        <w:t xml:space="preserve"> of the work programme</w:t>
      </w:r>
      <w:r>
        <w:rPr>
          <w:lang w:val="en-GB"/>
        </w:rPr>
        <w:t>, the following funding will be required:</w:t>
      </w:r>
    </w:p>
    <w:p w14:paraId="65F864C2" w14:textId="706200EC" w:rsidR="0059153E" w:rsidRDefault="00303165" w:rsidP="00941D92">
      <w:pPr>
        <w:rPr>
          <w:lang w:val="en-GB"/>
        </w:rPr>
      </w:pPr>
      <w:r w:rsidRPr="00303165">
        <w:rPr>
          <w:noProof/>
        </w:rPr>
        <w:lastRenderedPageBreak/>
        <w:drawing>
          <wp:inline distT="0" distB="0" distL="0" distR="0" wp14:anchorId="48D7F6C5" wp14:editId="6A60772B">
            <wp:extent cx="5943600" cy="32200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220085"/>
                    </a:xfrm>
                    <a:prstGeom prst="rect">
                      <a:avLst/>
                    </a:prstGeom>
                    <a:noFill/>
                    <a:ln>
                      <a:noFill/>
                    </a:ln>
                  </pic:spPr>
                </pic:pic>
              </a:graphicData>
            </a:graphic>
          </wp:inline>
        </w:drawing>
      </w:r>
    </w:p>
    <w:p w14:paraId="414748D0" w14:textId="66C12515" w:rsidR="0059153E" w:rsidRDefault="0059153E" w:rsidP="00941D92">
      <w:pPr>
        <w:rPr>
          <w:lang w:val="en-GB"/>
        </w:rPr>
      </w:pPr>
    </w:p>
    <w:p w14:paraId="0C458BF8" w14:textId="1E864959" w:rsidR="00EC4297" w:rsidRPr="00EC4297" w:rsidRDefault="00EC4297" w:rsidP="00941D92">
      <w:pPr>
        <w:rPr>
          <w:lang w:val="en-GB"/>
        </w:rPr>
      </w:pPr>
      <w:r>
        <w:rPr>
          <w:lang w:val="en-GB"/>
        </w:rPr>
        <w:t xml:space="preserve">Resources will </w:t>
      </w:r>
      <w:r w:rsidR="002C219E">
        <w:rPr>
          <w:lang w:val="en-GB"/>
        </w:rPr>
        <w:t>include IPPC Secretariat staff and members of the TPCS, SC, SC-7, diagnostic panels and treatment panels.</w:t>
      </w:r>
    </w:p>
    <w:p w14:paraId="4DA19211" w14:textId="77777777" w:rsidR="00941D92" w:rsidRPr="00941D92" w:rsidRDefault="00941D92" w:rsidP="00941D92">
      <w:pPr>
        <w:rPr>
          <w:b/>
          <w:bCs/>
          <w:lang w:val="en-GB"/>
        </w:rPr>
      </w:pPr>
      <w:r w:rsidRPr="00941D92">
        <w:rPr>
          <w:b/>
          <w:bCs/>
          <w:lang w:val="en-GB"/>
        </w:rPr>
        <w:t>Monitoring and evaluation</w:t>
      </w:r>
    </w:p>
    <w:p w14:paraId="4A6D763C" w14:textId="77777777" w:rsidR="00941D92" w:rsidRPr="00941D92" w:rsidRDefault="00941D92" w:rsidP="00941D92">
      <w:pPr>
        <w:rPr>
          <w:lang w:val="en-GB"/>
        </w:rPr>
      </w:pPr>
      <w:r w:rsidRPr="00941D92">
        <w:rPr>
          <w:lang w:val="en-GB"/>
        </w:rPr>
        <w:t>A specific monitoring and evaluation plan will not be developed for this SFDAI, but the SFDAI will be monitored through the general monitoring and evaluation plan outlined in the overarching SF implementation plan.</w:t>
      </w:r>
    </w:p>
    <w:p w14:paraId="645DB064" w14:textId="77777777" w:rsidR="00941D92" w:rsidRPr="00941D92" w:rsidRDefault="00941D92" w:rsidP="00941D92">
      <w:pPr>
        <w:rPr>
          <w:b/>
          <w:bCs/>
          <w:lang w:val="en-GB"/>
        </w:rPr>
      </w:pPr>
      <w:r w:rsidRPr="00941D92">
        <w:rPr>
          <w:b/>
          <w:bCs/>
          <w:lang w:val="en-GB"/>
        </w:rPr>
        <w:t xml:space="preserve">Communication </w:t>
      </w:r>
    </w:p>
    <w:p w14:paraId="7944C8F0" w14:textId="77777777" w:rsidR="00941D92" w:rsidRPr="00941D92" w:rsidRDefault="00941D92" w:rsidP="00941D92">
      <w:pPr>
        <w:rPr>
          <w:lang w:val="en-GB"/>
        </w:rPr>
      </w:pPr>
      <w:r w:rsidRPr="00941D92">
        <w:rPr>
          <w:lang w:val="en-GB"/>
        </w:rPr>
        <w:t xml:space="preserve">A specific communication plan will not be developed for this SFDAI, but the SFDAI will be communicated through the general communication plan developed by the CPM Communications Focus Group. </w:t>
      </w:r>
    </w:p>
    <w:p w14:paraId="5EDD8C82" w14:textId="77777777" w:rsidR="00941D92" w:rsidRPr="00941D92" w:rsidRDefault="00941D92" w:rsidP="00941D92">
      <w:pPr>
        <w:rPr>
          <w:b/>
          <w:bCs/>
          <w:lang w:val="en-GB"/>
        </w:rPr>
      </w:pPr>
      <w:r w:rsidRPr="00941D92">
        <w:rPr>
          <w:b/>
          <w:bCs/>
          <w:lang w:val="en-GB"/>
        </w:rPr>
        <w:t>Issues and risks</w:t>
      </w:r>
    </w:p>
    <w:p w14:paraId="746431AA" w14:textId="77777777" w:rsidR="00941D92" w:rsidRPr="00941D92" w:rsidRDefault="00941D92" w:rsidP="00941D92">
      <w:pPr>
        <w:rPr>
          <w:lang w:val="en-GB"/>
        </w:rPr>
      </w:pPr>
      <w:r w:rsidRPr="00941D92">
        <w:rPr>
          <w:lang w:val="en-GB"/>
        </w:rPr>
        <w:t>One issue is that there is not an existing system for the prioritisation of commodity-specific standards, but this can be addressed by the TPCS in the coming year prior to the next call for topics.</w:t>
      </w:r>
    </w:p>
    <w:p w14:paraId="23A7115B" w14:textId="42D229D0" w:rsidR="00941D92" w:rsidRPr="009B23B5" w:rsidRDefault="00941D92" w:rsidP="00941D92">
      <w:r w:rsidRPr="00941D92">
        <w:rPr>
          <w:lang w:val="en-GB"/>
        </w:rPr>
        <w:t>Future risks include not receiving sufficient topics for commodity-specific standards, a lack of funding to develop standards and support implementation, and limited information on the cost-effectiveness of the commodity-specific standards.</w:t>
      </w:r>
    </w:p>
    <w:p w14:paraId="2338957F" w14:textId="47FCD678" w:rsidR="001911C1" w:rsidRPr="0057083F" w:rsidRDefault="001D6D85" w:rsidP="0057083F">
      <w:pPr>
        <w:pStyle w:val="Heading1"/>
      </w:pPr>
      <w:bookmarkStart w:id="23" w:name="_Toc114566383"/>
      <w:r w:rsidRPr="0057083F">
        <w:t>A</w:t>
      </w:r>
      <w:r w:rsidR="00F14A3C" w:rsidRPr="0057083F">
        <w:t>PPENDIX</w:t>
      </w:r>
      <w:r w:rsidRPr="0057083F">
        <w:t xml:space="preserve"> </w:t>
      </w:r>
      <w:r w:rsidR="000E00A0" w:rsidRPr="0057083F">
        <w:t xml:space="preserve">C - </w:t>
      </w:r>
      <w:r w:rsidR="001911C1" w:rsidRPr="0057083F">
        <w:t>Agenda Item #3</w:t>
      </w:r>
      <w:r w:rsidR="009B23B5" w:rsidRPr="0057083F">
        <w:t xml:space="preserve"> - </w:t>
      </w:r>
      <w:r w:rsidR="001911C1" w:rsidRPr="0057083F">
        <w:t>Management of e-commerce and postal courier pathways</w:t>
      </w:r>
      <w:bookmarkEnd w:id="23"/>
    </w:p>
    <w:p w14:paraId="41D2C435" w14:textId="77777777" w:rsidR="00C523F8" w:rsidRDefault="00C523F8" w:rsidP="00941D92"/>
    <w:p w14:paraId="051C4C9C" w14:textId="471D159B" w:rsidR="00941D92" w:rsidRPr="00941D92" w:rsidRDefault="00941D92" w:rsidP="00941D92">
      <w:pPr>
        <w:rPr>
          <w:b/>
          <w:bCs/>
          <w:lang w:val="en-GB"/>
        </w:rPr>
      </w:pPr>
      <w:r w:rsidRPr="00941D92">
        <w:rPr>
          <w:b/>
          <w:bCs/>
          <w:lang w:val="en-GB"/>
        </w:rPr>
        <w:lastRenderedPageBreak/>
        <w:t>Benefit statement</w:t>
      </w:r>
    </w:p>
    <w:p w14:paraId="29B3B1CC" w14:textId="77777777" w:rsidR="00941D92" w:rsidRPr="00941D92" w:rsidRDefault="00941D92" w:rsidP="00941D92">
      <w:pPr>
        <w:rPr>
          <w:lang w:val="en-GB"/>
        </w:rPr>
      </w:pPr>
      <w:r w:rsidRPr="00941D92">
        <w:rPr>
          <w:lang w:val="en-GB"/>
        </w:rPr>
        <w:t>The desired 2030 outcome in the Strategic Framework has been amended to give the following key outcomes:</w:t>
      </w:r>
    </w:p>
    <w:p w14:paraId="6DB8B0A1" w14:textId="77777777" w:rsidR="00941D92" w:rsidRPr="00941D92" w:rsidRDefault="00941D92" w:rsidP="00941D92">
      <w:pPr>
        <w:numPr>
          <w:ilvl w:val="0"/>
          <w:numId w:val="6"/>
        </w:numPr>
        <w:rPr>
          <w:lang w:val="en-GB"/>
        </w:rPr>
      </w:pPr>
      <w:r w:rsidRPr="00941D92">
        <w:rPr>
          <w:lang w:val="en-GB"/>
        </w:rPr>
        <w:t xml:space="preserve">NPPOs will be aware of the phytosanitary risks posed by business-to-consumer (B2C) and person-to-person (P2P) e-Commerce transactions. </w:t>
      </w:r>
    </w:p>
    <w:p w14:paraId="615D024D" w14:textId="77777777" w:rsidR="00941D92" w:rsidRPr="00941D92" w:rsidRDefault="00941D92" w:rsidP="00941D92">
      <w:pPr>
        <w:numPr>
          <w:ilvl w:val="0"/>
          <w:numId w:val="6"/>
        </w:numPr>
        <w:rPr>
          <w:lang w:val="en-GB"/>
        </w:rPr>
      </w:pPr>
      <w:r w:rsidRPr="00941D92">
        <w:rPr>
          <w:lang w:val="en-GB"/>
        </w:rPr>
        <w:t xml:space="preserve">Contracting Parties will update their legislation and authorities to address e-Commerce challenges, considering digital innovations, available technologies and new business models. </w:t>
      </w:r>
    </w:p>
    <w:p w14:paraId="482E40E1" w14:textId="77777777" w:rsidR="00941D92" w:rsidRPr="00941D92" w:rsidRDefault="00941D92" w:rsidP="00941D92">
      <w:pPr>
        <w:numPr>
          <w:ilvl w:val="0"/>
          <w:numId w:val="6"/>
        </w:numPr>
        <w:rPr>
          <w:lang w:val="en-GB"/>
        </w:rPr>
      </w:pPr>
      <w:r w:rsidRPr="00941D92">
        <w:rPr>
          <w:lang w:val="en-GB"/>
        </w:rPr>
        <w:t xml:space="preserve">NPPOs will comply with ISPM 20 (specifically section 4.1). Lists of regulated articles will be prepared and maintained, and will be available to all relevant e-commerce stakeholders, including other government departments and stakeholders in other countries. </w:t>
      </w:r>
    </w:p>
    <w:p w14:paraId="317BC9B6" w14:textId="77777777" w:rsidR="00941D92" w:rsidRPr="00941D92" w:rsidRDefault="00941D92" w:rsidP="00941D92">
      <w:pPr>
        <w:numPr>
          <w:ilvl w:val="0"/>
          <w:numId w:val="6"/>
        </w:numPr>
        <w:rPr>
          <w:lang w:val="en-GB"/>
        </w:rPr>
      </w:pPr>
      <w:r w:rsidRPr="00941D92">
        <w:rPr>
          <w:lang w:val="en-GB"/>
        </w:rPr>
        <w:t xml:space="preserve">NPPOs will establish public awareness raising, communication, education, and outreach programmes to make consumers, the public and other stakeholders aware of the regulatory requirements, risks and responsibilities associated with cross-border e-commerce. </w:t>
      </w:r>
    </w:p>
    <w:p w14:paraId="74F61A04" w14:textId="77777777" w:rsidR="00941D92" w:rsidRPr="00941D92" w:rsidRDefault="00941D92" w:rsidP="00941D92">
      <w:pPr>
        <w:numPr>
          <w:ilvl w:val="0"/>
          <w:numId w:val="6"/>
        </w:numPr>
        <w:rPr>
          <w:lang w:val="en-GB"/>
        </w:rPr>
      </w:pPr>
      <w:r w:rsidRPr="00941D92">
        <w:rPr>
          <w:lang w:val="en-GB"/>
        </w:rPr>
        <w:t xml:space="preserve">Contracting Parties will apply risk management measures to identify and intercept e-commerce consignments that present a phytosanitary risk, while facilitating legitimate e-commerce trade (e.g., advanced electronic data, screening methods and non-intrusive inspection methods). </w:t>
      </w:r>
    </w:p>
    <w:p w14:paraId="2050EF8F" w14:textId="77777777" w:rsidR="00941D92" w:rsidRPr="00941D92" w:rsidRDefault="00941D92" w:rsidP="00941D92">
      <w:pPr>
        <w:numPr>
          <w:ilvl w:val="0"/>
          <w:numId w:val="6"/>
        </w:numPr>
        <w:rPr>
          <w:lang w:val="en-GB"/>
        </w:rPr>
      </w:pPr>
      <w:r w:rsidRPr="00941D92">
        <w:rPr>
          <w:lang w:val="en-GB"/>
        </w:rPr>
        <w:t xml:space="preserve">NPPOs will share information, cooperate, and collaborate with other national border agencies and national postal operators to address pest risks associated with e-commerce trade. (e.g., Memorandum of Understanding between NPPO and their national customs administration) </w:t>
      </w:r>
    </w:p>
    <w:p w14:paraId="5C030E33" w14:textId="77777777" w:rsidR="00941D92" w:rsidRPr="00941D92" w:rsidRDefault="00941D92" w:rsidP="00941D92">
      <w:pPr>
        <w:numPr>
          <w:ilvl w:val="0"/>
          <w:numId w:val="6"/>
        </w:numPr>
        <w:rPr>
          <w:lang w:val="en-GB"/>
        </w:rPr>
      </w:pPr>
      <w:r w:rsidRPr="00941D92">
        <w:rPr>
          <w:lang w:val="en-GB"/>
        </w:rPr>
        <w:t>NPPOs will gather data and monitor non-compliances, inspections and regulatory activities and will be able to demonstrate a measurable reduction in non-compliances associated with the mail and courier pathways.</w:t>
      </w:r>
    </w:p>
    <w:p w14:paraId="7C449EC7" w14:textId="77777777" w:rsidR="00941D92" w:rsidRPr="00941D92" w:rsidRDefault="00941D92" w:rsidP="00941D92">
      <w:pPr>
        <w:rPr>
          <w:b/>
          <w:bCs/>
          <w:lang w:val="en-GB"/>
        </w:rPr>
      </w:pPr>
      <w:r w:rsidRPr="00941D92">
        <w:rPr>
          <w:b/>
          <w:bCs/>
          <w:lang w:val="en-GB"/>
        </w:rPr>
        <w:t>Delivery</w:t>
      </w:r>
    </w:p>
    <w:p w14:paraId="6F8C39D7" w14:textId="77777777" w:rsidR="00941D92" w:rsidRPr="00941D92" w:rsidRDefault="00941D92" w:rsidP="00941D92">
      <w:pPr>
        <w:rPr>
          <w:lang w:val="en-GB"/>
        </w:rPr>
      </w:pPr>
      <w:r w:rsidRPr="00941D92">
        <w:rPr>
          <w:lang w:val="en-GB"/>
        </w:rPr>
        <w:t>The SFDAI will be led by the Implementation and Facilitation Unit within the IPPC Secretariat and will be delivered by the team on e-commerce, which is composed of four members (IC lead, IC RPPO representative, SC representative and the IPPC Secretariat lead on e-commerce). The IC will provide oversight of this work with input from the SC.</w:t>
      </w:r>
    </w:p>
    <w:p w14:paraId="7193EF8E" w14:textId="77777777" w:rsidR="00941D92" w:rsidRPr="00941D92" w:rsidRDefault="00941D92" w:rsidP="00941D92">
      <w:pPr>
        <w:rPr>
          <w:b/>
          <w:bCs/>
          <w:lang w:val="en-GB"/>
        </w:rPr>
      </w:pPr>
      <w:r w:rsidRPr="00941D92">
        <w:rPr>
          <w:b/>
          <w:bCs/>
          <w:lang w:val="en-GB"/>
        </w:rPr>
        <w:t>Milestones and activities</w:t>
      </w:r>
    </w:p>
    <w:p w14:paraId="5359FD91" w14:textId="77777777" w:rsidR="00941D92" w:rsidRPr="00941D92" w:rsidRDefault="00941D92" w:rsidP="00941D92">
      <w:pPr>
        <w:rPr>
          <w:lang w:val="en-GB"/>
        </w:rPr>
      </w:pPr>
      <w:r w:rsidRPr="00941D92">
        <w:rPr>
          <w:lang w:val="en-GB"/>
        </w:rPr>
        <w:t>In 2022 and 2023, work will be completed on an e-commerce guide on plants, plant products and other regulated articles, and this will be translated from English into the five other FAO languages. The guide will be supported by general awareness raising materials targeting NPPOs and national stakeholders in the e-commerce supply chain. More specific awareness raising materials will be developed in collaboration with the World Customs Association, the Universal Postal Union, International Seed Federation, Global Express Association, and other industry groups, targeting their members. A webinar and/or workshop will also be given to promote the work on e-commerce.</w:t>
      </w:r>
    </w:p>
    <w:p w14:paraId="3E617B91" w14:textId="417F7613" w:rsidR="00941D92" w:rsidRPr="00941D92" w:rsidRDefault="00941D92" w:rsidP="00941D92">
      <w:pPr>
        <w:rPr>
          <w:lang w:val="en-GB"/>
        </w:rPr>
      </w:pPr>
      <w:r w:rsidRPr="00941D92">
        <w:rPr>
          <w:lang w:val="en-GB"/>
        </w:rPr>
        <w:t xml:space="preserve">Following this work, an </w:t>
      </w:r>
      <w:r w:rsidR="00E23BE6">
        <w:rPr>
          <w:lang w:val="en-GB"/>
        </w:rPr>
        <w:t>IPPC Observatory</w:t>
      </w:r>
      <w:r w:rsidRPr="00941D92">
        <w:rPr>
          <w:lang w:val="en-GB"/>
        </w:rPr>
        <w:t xml:space="preserve"> study to characterize the phytosanitary risks associated with e-commerce trade and assess how these risks have changed since 2012 will be carried out in 2023. This </w:t>
      </w:r>
      <w:r w:rsidRPr="00941D92">
        <w:rPr>
          <w:lang w:val="en-GB"/>
        </w:rPr>
        <w:lastRenderedPageBreak/>
        <w:t xml:space="preserve">study will also describe the extent to which NPPOs and RPPOs have implemented the CPM recommendation on internet trade in plants and other regulated articles, and it will establish a baseline for measuring key e-commerce outcomes. It is expected that the study will provide recommendations that will lead to a longer-term plan. </w:t>
      </w:r>
    </w:p>
    <w:p w14:paraId="3CCE45FD" w14:textId="1233BB39" w:rsidR="00941D92" w:rsidRDefault="00941D92" w:rsidP="00941D92">
      <w:pPr>
        <w:rPr>
          <w:lang w:val="en-GB"/>
        </w:rPr>
      </w:pPr>
      <w:r w:rsidRPr="00941D92">
        <w:rPr>
          <w:lang w:val="en-GB"/>
        </w:rPr>
        <w:t xml:space="preserve">Given the pace at which technologies associated with e-commerce are advancing, a further </w:t>
      </w:r>
      <w:r w:rsidR="00E23BE6">
        <w:rPr>
          <w:lang w:val="en-GB"/>
        </w:rPr>
        <w:t>IPPC Observatory</w:t>
      </w:r>
      <w:r w:rsidRPr="00941D92">
        <w:rPr>
          <w:lang w:val="en-GB"/>
        </w:rPr>
        <w:t xml:space="preserve"> study is planned for 2027 to monitor changes and measure outcomes. As with the </w:t>
      </w:r>
      <w:r w:rsidR="00E23BE6">
        <w:rPr>
          <w:lang w:val="en-GB"/>
        </w:rPr>
        <w:t>IPPC Observatory</w:t>
      </w:r>
      <w:r w:rsidRPr="00941D92">
        <w:rPr>
          <w:lang w:val="en-GB"/>
        </w:rPr>
        <w:t xml:space="preserve"> study in 2023, several recommendations are expected that will lead to further work.</w:t>
      </w:r>
    </w:p>
    <w:p w14:paraId="45D5167B" w14:textId="7EEBE86E" w:rsidR="00EC4297" w:rsidRDefault="00EC4297" w:rsidP="00941D92">
      <w:pPr>
        <w:rPr>
          <w:b/>
          <w:bCs/>
          <w:lang w:val="en-GB"/>
        </w:rPr>
      </w:pPr>
      <w:r w:rsidRPr="00EC4297">
        <w:rPr>
          <w:b/>
          <w:bCs/>
          <w:lang w:val="en-GB"/>
        </w:rPr>
        <w:t>Funding and resources</w:t>
      </w:r>
    </w:p>
    <w:p w14:paraId="3B40CC7B" w14:textId="105CC252" w:rsidR="002C219E" w:rsidRDefault="002C219E" w:rsidP="00941D92">
      <w:pPr>
        <w:rPr>
          <w:lang w:val="en-GB"/>
        </w:rPr>
      </w:pPr>
      <w:r w:rsidRPr="002C219E">
        <w:rPr>
          <w:lang w:val="en-GB"/>
        </w:rPr>
        <w:t>To carry out the activities of the work programme, the following funding will be required:</w:t>
      </w:r>
    </w:p>
    <w:p w14:paraId="51978307" w14:textId="7B23B28F" w:rsidR="00732BF8" w:rsidRPr="002C219E" w:rsidRDefault="007E7ACA" w:rsidP="00941D92">
      <w:pPr>
        <w:rPr>
          <w:lang w:val="en-GB"/>
        </w:rPr>
      </w:pPr>
      <w:r w:rsidRPr="007E7ACA">
        <w:rPr>
          <w:noProof/>
        </w:rPr>
        <w:drawing>
          <wp:inline distT="0" distB="0" distL="0" distR="0" wp14:anchorId="464471F9" wp14:editId="573DAC1B">
            <wp:extent cx="5943600" cy="3432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432810"/>
                    </a:xfrm>
                    <a:prstGeom prst="rect">
                      <a:avLst/>
                    </a:prstGeom>
                    <a:noFill/>
                    <a:ln>
                      <a:noFill/>
                    </a:ln>
                  </pic:spPr>
                </pic:pic>
              </a:graphicData>
            </a:graphic>
          </wp:inline>
        </w:drawing>
      </w:r>
    </w:p>
    <w:p w14:paraId="79800D78" w14:textId="3B550689" w:rsidR="00EC4297" w:rsidRDefault="00EC4297" w:rsidP="002C219E">
      <w:pPr>
        <w:spacing w:after="0"/>
        <w:rPr>
          <w:b/>
          <w:bCs/>
          <w:lang w:val="en-GB"/>
        </w:rPr>
      </w:pPr>
    </w:p>
    <w:p w14:paraId="47E88678" w14:textId="1983F78F" w:rsidR="002C219E" w:rsidRPr="002C219E" w:rsidRDefault="002C219E" w:rsidP="00941D92">
      <w:pPr>
        <w:rPr>
          <w:lang w:val="en-GB"/>
        </w:rPr>
      </w:pPr>
      <w:r>
        <w:rPr>
          <w:lang w:val="en-GB"/>
        </w:rPr>
        <w:t xml:space="preserve">Resources will be provided by in-kind staff contribution from Canada until April 2023. Further staff resources will be required afterwards, with the level of resource determined by the findings of the </w:t>
      </w:r>
      <w:r w:rsidR="00E23BE6">
        <w:rPr>
          <w:lang w:val="en-GB"/>
        </w:rPr>
        <w:t>IPPC Observatory</w:t>
      </w:r>
      <w:r>
        <w:rPr>
          <w:lang w:val="en-GB"/>
        </w:rPr>
        <w:t xml:space="preserve"> study.  </w:t>
      </w:r>
    </w:p>
    <w:p w14:paraId="505FCC5B" w14:textId="77777777" w:rsidR="00941D92" w:rsidRPr="00941D92" w:rsidRDefault="00941D92" w:rsidP="00941D92">
      <w:pPr>
        <w:rPr>
          <w:b/>
          <w:bCs/>
          <w:lang w:val="en-GB"/>
        </w:rPr>
      </w:pPr>
      <w:r w:rsidRPr="00941D92">
        <w:rPr>
          <w:b/>
          <w:bCs/>
          <w:lang w:val="en-GB"/>
        </w:rPr>
        <w:t>Monitoring and evaluation</w:t>
      </w:r>
    </w:p>
    <w:p w14:paraId="062FA9E9" w14:textId="493572AE" w:rsidR="00941D92" w:rsidRPr="00941D92" w:rsidRDefault="00941D92" w:rsidP="00941D92">
      <w:pPr>
        <w:rPr>
          <w:lang w:val="en-GB"/>
        </w:rPr>
      </w:pPr>
      <w:r w:rsidRPr="00941D92">
        <w:rPr>
          <w:lang w:val="en-GB"/>
        </w:rPr>
        <w:t xml:space="preserve">Monitoring and evaluation for this activity will principally be achieved using the </w:t>
      </w:r>
      <w:r w:rsidR="00E23BE6">
        <w:rPr>
          <w:lang w:val="en-GB"/>
        </w:rPr>
        <w:t>IPPC Observatory</w:t>
      </w:r>
      <w:r w:rsidRPr="00941D92">
        <w:rPr>
          <w:lang w:val="en-GB"/>
        </w:rPr>
        <w:t xml:space="preserve"> studies described in the milestones and activities section. However, the SFDAI will also be monitored through the general monitoring and evaluation plan outlined in the overarching SF implementation plan.</w:t>
      </w:r>
    </w:p>
    <w:p w14:paraId="6D9603DE" w14:textId="77777777" w:rsidR="00941D92" w:rsidRPr="00941D92" w:rsidRDefault="00941D92" w:rsidP="00941D92">
      <w:pPr>
        <w:rPr>
          <w:b/>
          <w:bCs/>
          <w:lang w:val="en-GB"/>
        </w:rPr>
      </w:pPr>
      <w:r w:rsidRPr="00941D92">
        <w:rPr>
          <w:b/>
          <w:bCs/>
          <w:lang w:val="en-GB"/>
        </w:rPr>
        <w:t>Communication</w:t>
      </w:r>
    </w:p>
    <w:p w14:paraId="2F1F4CA4" w14:textId="77777777" w:rsidR="00941D92" w:rsidRPr="00941D92" w:rsidRDefault="00941D92" w:rsidP="00941D92">
      <w:pPr>
        <w:rPr>
          <w:lang w:val="en-GB"/>
        </w:rPr>
      </w:pPr>
      <w:r w:rsidRPr="00941D92">
        <w:rPr>
          <w:lang w:val="en-GB"/>
        </w:rPr>
        <w:t xml:space="preserve">A communication plan will be developed in 2022 or 2023, depending on securing/allocating funds to hire a communications specialist. </w:t>
      </w:r>
      <w:bookmarkStart w:id="24" w:name="_Hlk104305982"/>
      <w:r w:rsidRPr="00941D92">
        <w:rPr>
          <w:lang w:val="en-GB"/>
        </w:rPr>
        <w:t>The SFDAI will also be communicated through the general communication plan developed by the CPM Communications Focus Group.</w:t>
      </w:r>
    </w:p>
    <w:bookmarkEnd w:id="24"/>
    <w:p w14:paraId="5ECC061E" w14:textId="77777777" w:rsidR="00941D92" w:rsidRPr="00941D92" w:rsidRDefault="00941D92" w:rsidP="00941D92">
      <w:pPr>
        <w:rPr>
          <w:b/>
          <w:bCs/>
          <w:lang w:val="en-GB"/>
        </w:rPr>
      </w:pPr>
      <w:r w:rsidRPr="00941D92">
        <w:rPr>
          <w:b/>
          <w:bCs/>
          <w:lang w:val="en-GB"/>
        </w:rPr>
        <w:lastRenderedPageBreak/>
        <w:t>Issues and risks</w:t>
      </w:r>
    </w:p>
    <w:p w14:paraId="5413A53B" w14:textId="77777777" w:rsidR="00941D92" w:rsidRPr="00941D92" w:rsidRDefault="00941D92" w:rsidP="00941D92">
      <w:pPr>
        <w:rPr>
          <w:lang w:val="en-GB"/>
        </w:rPr>
      </w:pPr>
      <w:r w:rsidRPr="00941D92">
        <w:rPr>
          <w:lang w:val="en-GB"/>
        </w:rPr>
        <w:t xml:space="preserve">A significant issue is that e-commerce is very dynamic; the number of cross-border shipments continue to grow, new players continue to engage in e-commerce as both consumers and vendors, and digital technologies and business models are constantly changing. And unfortunately, the number of phytosanitary experts working on the leading edge of e-commerce globally is not growing at the same pace and the expertise seems to be concentrated in a few regions. Any future calls for resources, experts and case studies may therefore receive a poor response. </w:t>
      </w:r>
    </w:p>
    <w:p w14:paraId="10B6BDB3" w14:textId="77777777" w:rsidR="00941D92" w:rsidRPr="00941D92" w:rsidRDefault="00941D92" w:rsidP="00941D92">
      <w:pPr>
        <w:rPr>
          <w:lang w:val="en-GB"/>
        </w:rPr>
      </w:pPr>
      <w:r w:rsidRPr="00941D92">
        <w:rPr>
          <w:lang w:val="en-GB"/>
        </w:rPr>
        <w:t xml:space="preserve">Participation in the informal e-commerce network is poor. At this point, the network is used as a mechanism for communicating information from the IPPC Secretariat to key industry stakeholders (e.g., announcements, calls, relevant news items). However, the webinar and/or workshop could be used to encourage more active engagement and launch a more dynamic forum for discussions. </w:t>
      </w:r>
    </w:p>
    <w:p w14:paraId="4D9839C5" w14:textId="77777777" w:rsidR="00941D92" w:rsidRPr="00941D92" w:rsidRDefault="00941D92" w:rsidP="00941D92">
      <w:pPr>
        <w:rPr>
          <w:lang w:val="en-GB"/>
        </w:rPr>
      </w:pPr>
      <w:r w:rsidRPr="00941D92">
        <w:rPr>
          <w:lang w:val="en-GB"/>
        </w:rPr>
        <w:t>A risk is that some regions are underrepresented in this work. Organizing a webinar and/or workshop on e-commerce will help to raise the visibility of this topic and hopefully encourage broader engagement.</w:t>
      </w:r>
    </w:p>
    <w:p w14:paraId="63ED07D1" w14:textId="77777777" w:rsidR="00941D92" w:rsidRPr="00941D92" w:rsidRDefault="00941D92" w:rsidP="00941D92">
      <w:pPr>
        <w:rPr>
          <w:lang w:val="en-GB"/>
        </w:rPr>
      </w:pPr>
      <w:r w:rsidRPr="00941D92">
        <w:rPr>
          <w:lang w:val="en-GB"/>
        </w:rPr>
        <w:t xml:space="preserve">A further risk is that funding will not be secured for coordination of e-commerce activities and for the development of a communication plan. </w:t>
      </w:r>
    </w:p>
    <w:p w14:paraId="06407F73" w14:textId="77777777" w:rsidR="00941D92" w:rsidRPr="009B23B5" w:rsidRDefault="00941D92" w:rsidP="009B23B5"/>
    <w:p w14:paraId="4944C65F" w14:textId="0F297EBB" w:rsidR="001911C1" w:rsidRPr="0057083F" w:rsidRDefault="001D6D85" w:rsidP="0057083F">
      <w:pPr>
        <w:pStyle w:val="Heading1"/>
      </w:pPr>
      <w:bookmarkStart w:id="25" w:name="_Toc114566384"/>
      <w:r w:rsidRPr="0057083F">
        <w:t>A</w:t>
      </w:r>
      <w:r w:rsidR="00F14A3C" w:rsidRPr="0057083F">
        <w:t>PPENDIX</w:t>
      </w:r>
      <w:r w:rsidRPr="0057083F">
        <w:t xml:space="preserve"> D</w:t>
      </w:r>
      <w:r w:rsidR="000E00A0" w:rsidRPr="0057083F">
        <w:t xml:space="preserve"> - </w:t>
      </w:r>
      <w:r w:rsidR="001911C1" w:rsidRPr="0057083F">
        <w:t>Agenda Item #4</w:t>
      </w:r>
      <w:r w:rsidR="009B23B5" w:rsidRPr="0057083F">
        <w:t xml:space="preserve"> - </w:t>
      </w:r>
      <w:r w:rsidR="001911C1" w:rsidRPr="0057083F">
        <w:t>Developing guidance on the use of third-party entities</w:t>
      </w:r>
      <w:bookmarkEnd w:id="25"/>
    </w:p>
    <w:p w14:paraId="5CCE6BAE" w14:textId="284D47C2" w:rsidR="009B23B5" w:rsidRPr="009B23B5" w:rsidRDefault="001846D9" w:rsidP="009B23B5">
      <w:r w:rsidRPr="001846D9">
        <w:rPr>
          <w:highlight w:val="yellow"/>
        </w:rPr>
        <w:t>TBC</w:t>
      </w:r>
    </w:p>
    <w:p w14:paraId="3D5686A3" w14:textId="77777777" w:rsidR="004E39F3" w:rsidRPr="000E6062" w:rsidRDefault="004E39F3" w:rsidP="004E39F3">
      <w:pPr>
        <w:rPr>
          <w:rFonts w:cstheme="minorHAnsi"/>
          <w:b/>
          <w:bCs/>
          <w:u w:val="single"/>
        </w:rPr>
      </w:pPr>
      <w:r>
        <w:rPr>
          <w:rFonts w:cstheme="minorHAnsi"/>
          <w:b/>
          <w:bCs/>
          <w:u w:val="single"/>
        </w:rPr>
        <w:t>Benefit statement</w:t>
      </w:r>
    </w:p>
    <w:p w14:paraId="3B77F1C2" w14:textId="77777777" w:rsidR="004E39F3" w:rsidRPr="000E6062" w:rsidRDefault="004E39F3" w:rsidP="004E39F3">
      <w:pPr>
        <w:rPr>
          <w:rFonts w:cstheme="minorHAnsi"/>
          <w:b/>
          <w:bCs/>
          <w:u w:val="single"/>
        </w:rPr>
      </w:pPr>
      <w:r>
        <w:rPr>
          <w:rFonts w:cstheme="minorHAnsi"/>
          <w:b/>
          <w:bCs/>
          <w:u w:val="single"/>
        </w:rPr>
        <w:t>Delivery</w:t>
      </w:r>
    </w:p>
    <w:p w14:paraId="03827174" w14:textId="77777777" w:rsidR="004E39F3" w:rsidRPr="000E6062" w:rsidRDefault="004E39F3" w:rsidP="004E39F3">
      <w:pPr>
        <w:rPr>
          <w:rFonts w:cstheme="minorHAnsi"/>
          <w:b/>
          <w:bCs/>
          <w:u w:val="single"/>
        </w:rPr>
      </w:pPr>
      <w:r>
        <w:rPr>
          <w:rFonts w:cstheme="minorHAnsi"/>
          <w:b/>
          <w:bCs/>
          <w:u w:val="single"/>
        </w:rPr>
        <w:t>Milestones and activities</w:t>
      </w:r>
    </w:p>
    <w:p w14:paraId="3E4717AD" w14:textId="053A5265" w:rsidR="004E39F3" w:rsidRDefault="004E39F3" w:rsidP="004E39F3">
      <w:pPr>
        <w:rPr>
          <w:rFonts w:cstheme="minorHAnsi"/>
          <w:b/>
          <w:bCs/>
          <w:u w:val="single"/>
        </w:rPr>
      </w:pPr>
      <w:r>
        <w:rPr>
          <w:rFonts w:cstheme="minorHAnsi"/>
          <w:b/>
          <w:bCs/>
          <w:u w:val="single"/>
        </w:rPr>
        <w:t>Funding and resources</w:t>
      </w:r>
    </w:p>
    <w:p w14:paraId="2977A497" w14:textId="00873EB4" w:rsidR="00CF1D08" w:rsidRDefault="007E7ACA" w:rsidP="004E39F3">
      <w:pPr>
        <w:rPr>
          <w:rFonts w:cstheme="minorHAnsi"/>
          <w:b/>
          <w:bCs/>
          <w:u w:val="single"/>
        </w:rPr>
      </w:pPr>
      <w:r w:rsidRPr="007E7ACA">
        <w:rPr>
          <w:noProof/>
        </w:rPr>
        <w:drawing>
          <wp:inline distT="0" distB="0" distL="0" distR="0" wp14:anchorId="1574DB86" wp14:editId="1D362434">
            <wp:extent cx="5943600" cy="17653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765300"/>
                    </a:xfrm>
                    <a:prstGeom prst="rect">
                      <a:avLst/>
                    </a:prstGeom>
                    <a:noFill/>
                    <a:ln>
                      <a:noFill/>
                    </a:ln>
                  </pic:spPr>
                </pic:pic>
              </a:graphicData>
            </a:graphic>
          </wp:inline>
        </w:drawing>
      </w:r>
    </w:p>
    <w:p w14:paraId="48642BF4" w14:textId="77777777" w:rsidR="004E39F3" w:rsidRDefault="004E39F3" w:rsidP="004E39F3">
      <w:pPr>
        <w:rPr>
          <w:rFonts w:cstheme="minorHAnsi"/>
          <w:b/>
          <w:bCs/>
          <w:u w:val="single"/>
        </w:rPr>
      </w:pPr>
      <w:r>
        <w:rPr>
          <w:rFonts w:cstheme="minorHAnsi"/>
          <w:b/>
          <w:bCs/>
          <w:u w:val="single"/>
        </w:rPr>
        <w:t>Monitoring and evaluation</w:t>
      </w:r>
    </w:p>
    <w:p w14:paraId="45F6FCE4" w14:textId="77777777" w:rsidR="004E39F3" w:rsidRDefault="004E39F3" w:rsidP="004E39F3">
      <w:pPr>
        <w:rPr>
          <w:rFonts w:cstheme="minorHAnsi"/>
          <w:b/>
          <w:bCs/>
          <w:u w:val="single"/>
        </w:rPr>
      </w:pPr>
      <w:r>
        <w:rPr>
          <w:rFonts w:cstheme="minorHAnsi"/>
          <w:b/>
          <w:bCs/>
          <w:u w:val="single"/>
        </w:rPr>
        <w:t>Communication</w:t>
      </w:r>
    </w:p>
    <w:p w14:paraId="03C611F6" w14:textId="2F509B15" w:rsidR="009B23B5" w:rsidRDefault="004E39F3" w:rsidP="004E39F3">
      <w:pPr>
        <w:rPr>
          <w:rFonts w:cstheme="minorHAnsi"/>
          <w:b/>
          <w:bCs/>
          <w:u w:val="single"/>
        </w:rPr>
      </w:pPr>
      <w:r>
        <w:rPr>
          <w:rFonts w:cstheme="minorHAnsi"/>
          <w:b/>
          <w:bCs/>
          <w:u w:val="single"/>
        </w:rPr>
        <w:t>Issues and risks</w:t>
      </w:r>
    </w:p>
    <w:p w14:paraId="21CA9B5C" w14:textId="77777777" w:rsidR="004E39F3" w:rsidRPr="000E6062" w:rsidRDefault="004E39F3" w:rsidP="009B23B5">
      <w:pPr>
        <w:rPr>
          <w:rFonts w:cstheme="minorHAnsi"/>
          <w:b/>
          <w:bCs/>
          <w:u w:val="single"/>
        </w:rPr>
      </w:pPr>
    </w:p>
    <w:p w14:paraId="18049174" w14:textId="336008CB" w:rsidR="000E6062" w:rsidRDefault="001D6D85" w:rsidP="00941D92">
      <w:pPr>
        <w:pStyle w:val="Heading1"/>
      </w:pPr>
      <w:bookmarkStart w:id="26" w:name="_Toc114566385"/>
      <w:r w:rsidRPr="0057083F">
        <w:t>A</w:t>
      </w:r>
      <w:r w:rsidR="00F14A3C" w:rsidRPr="0057083F">
        <w:t>PPENDIX</w:t>
      </w:r>
      <w:r w:rsidRPr="0057083F">
        <w:t xml:space="preserve"> </w:t>
      </w:r>
      <w:r w:rsidR="000E00A0" w:rsidRPr="0057083F">
        <w:t xml:space="preserve">E - </w:t>
      </w:r>
      <w:r w:rsidR="001911C1" w:rsidRPr="0057083F">
        <w:t>Agenda Item #5</w:t>
      </w:r>
      <w:r w:rsidR="009B23B5" w:rsidRPr="0057083F">
        <w:t xml:space="preserve"> - </w:t>
      </w:r>
      <w:r w:rsidR="001911C1" w:rsidRPr="0057083F">
        <w:t>Strengthening pest outbreak alert and response systems</w:t>
      </w:r>
      <w:bookmarkEnd w:id="26"/>
    </w:p>
    <w:p w14:paraId="3F8A5A88" w14:textId="77777777" w:rsidR="00941D92" w:rsidRPr="00941D92" w:rsidRDefault="00941D92" w:rsidP="00941D92"/>
    <w:p w14:paraId="2B96AB7C" w14:textId="77777777" w:rsidR="00941D92" w:rsidRPr="00941D92" w:rsidRDefault="00941D92" w:rsidP="00941D92">
      <w:pPr>
        <w:rPr>
          <w:b/>
          <w:bCs/>
          <w:lang w:val="en-GB"/>
        </w:rPr>
      </w:pPr>
      <w:r w:rsidRPr="00941D92">
        <w:rPr>
          <w:b/>
          <w:bCs/>
          <w:lang w:val="en-GB"/>
        </w:rPr>
        <w:t>Benefit statement</w:t>
      </w:r>
    </w:p>
    <w:p w14:paraId="4D2D2C6F" w14:textId="4E3D784E" w:rsidR="00941D92" w:rsidRPr="00941D92" w:rsidRDefault="00941D92" w:rsidP="00941D92">
      <w:pPr>
        <w:rPr>
          <w:lang w:val="en-GB"/>
        </w:rPr>
      </w:pPr>
      <w:r w:rsidRPr="00941D92">
        <w:rPr>
          <w:lang w:val="en-GB"/>
        </w:rPr>
        <w:t>As described in the Strategic Framework, a global pest alert system with mechanisms to evaluate and communicate emerging pest risks will be developed, providing regular information to NPPOs on changes in pest status around the world. NPPOs will use this to quickly adapt their phytosanitary systems to reduce the risk of introduction and spread. In the case of outbreaks, strengthened pest outbreak response systems and tools will help countries take much more timely action, especially against new incursions. NPPOs, RPPOs and the FAO will collaborate to develop and roll out a comprehensive but easy to use toolbox to help countries respond quickly and effectively. RPPOs will play an active role in assisting NPPOs and coordinating outbreak responses across their regions.</w:t>
      </w:r>
    </w:p>
    <w:p w14:paraId="590E86B3" w14:textId="77777777" w:rsidR="00941D92" w:rsidRPr="00941D92" w:rsidRDefault="00941D92" w:rsidP="00941D92">
      <w:pPr>
        <w:rPr>
          <w:b/>
          <w:bCs/>
          <w:lang w:val="en-GB"/>
        </w:rPr>
      </w:pPr>
      <w:r w:rsidRPr="00941D92">
        <w:rPr>
          <w:b/>
          <w:bCs/>
          <w:lang w:val="en-GB"/>
        </w:rPr>
        <w:t>Delivery</w:t>
      </w:r>
    </w:p>
    <w:p w14:paraId="1D525BD8" w14:textId="77777777" w:rsidR="00941D92" w:rsidRPr="00941D92" w:rsidRDefault="00941D92" w:rsidP="00941D92">
      <w:pPr>
        <w:rPr>
          <w:lang w:val="en-GB"/>
        </w:rPr>
      </w:pPr>
      <w:r w:rsidRPr="00941D92">
        <w:rPr>
          <w:lang w:val="en-GB"/>
        </w:rPr>
        <w:t>The SFDAI will be led by the Implementation and Facilitation Unit within the IPPC Secretariat and will initially be delivered by the POARS steering group. The steering group will first redefine the focus of the work and establish the POARS capability, before operationalising the POARS.</w:t>
      </w:r>
    </w:p>
    <w:p w14:paraId="7B9A26A3" w14:textId="77777777" w:rsidR="00941D92" w:rsidRPr="00941D92" w:rsidRDefault="00941D92" w:rsidP="00941D92">
      <w:pPr>
        <w:rPr>
          <w:b/>
          <w:bCs/>
          <w:lang w:val="en-GB"/>
        </w:rPr>
      </w:pPr>
      <w:r w:rsidRPr="00941D92">
        <w:rPr>
          <w:b/>
          <w:bCs/>
          <w:lang w:val="en-GB"/>
        </w:rPr>
        <w:t>Milestones and activities</w:t>
      </w:r>
    </w:p>
    <w:p w14:paraId="63C92BC1" w14:textId="77777777" w:rsidR="00941D92" w:rsidRPr="00941D92" w:rsidRDefault="00941D92" w:rsidP="00941D92">
      <w:pPr>
        <w:rPr>
          <w:lang w:val="en-GB"/>
        </w:rPr>
      </w:pPr>
      <w:r w:rsidRPr="00941D92">
        <w:rPr>
          <w:lang w:val="en-GB"/>
        </w:rPr>
        <w:t xml:space="preserve">Following the establishment of the POARS steering group and the development of a workplan, work will begin across three main areas: </w:t>
      </w:r>
    </w:p>
    <w:p w14:paraId="37A084B9" w14:textId="77777777" w:rsidR="00941D92" w:rsidRPr="00941D92" w:rsidRDefault="00941D92" w:rsidP="00941D92">
      <w:pPr>
        <w:numPr>
          <w:ilvl w:val="0"/>
          <w:numId w:val="7"/>
        </w:numPr>
        <w:rPr>
          <w:lang w:val="en-GB"/>
        </w:rPr>
      </w:pPr>
      <w:r w:rsidRPr="00941D92">
        <w:rPr>
          <w:lang w:val="en-GB"/>
        </w:rPr>
        <w:t xml:space="preserve">Evaluating and ranking emerging plant pests. To inform the evaluation and ranking of emerging plant pests, the definition of “emerging pest” will be considered by the Technical Panel of the Glossary. </w:t>
      </w:r>
    </w:p>
    <w:p w14:paraId="24107F7B" w14:textId="77777777" w:rsidR="00941D92" w:rsidRPr="00941D92" w:rsidRDefault="00941D92" w:rsidP="00941D92">
      <w:pPr>
        <w:numPr>
          <w:ilvl w:val="0"/>
          <w:numId w:val="7"/>
        </w:numPr>
        <w:rPr>
          <w:lang w:val="en-GB"/>
        </w:rPr>
      </w:pPr>
      <w:r w:rsidRPr="00941D92">
        <w:rPr>
          <w:lang w:val="en-GB"/>
        </w:rPr>
        <w:t xml:space="preserve">Developing surveillance and response tools. This will first involve the collation of existing tools, before developing tools for the gaps that have been identified. </w:t>
      </w:r>
    </w:p>
    <w:p w14:paraId="27F75618" w14:textId="74B5A54A" w:rsidR="00941D92" w:rsidRPr="00941D92" w:rsidRDefault="00941D92" w:rsidP="00941D92">
      <w:pPr>
        <w:numPr>
          <w:ilvl w:val="0"/>
          <w:numId w:val="7"/>
        </w:numPr>
        <w:rPr>
          <w:lang w:val="en-GB"/>
        </w:rPr>
      </w:pPr>
      <w:r w:rsidRPr="00941D92">
        <w:rPr>
          <w:lang w:val="en-GB"/>
        </w:rPr>
        <w:t>Developing national pest reporting. This will include the development of a website on the International P</w:t>
      </w:r>
      <w:r w:rsidR="009F3F79">
        <w:rPr>
          <w:lang w:val="en-GB"/>
        </w:rPr>
        <w:t>hytosanitary</w:t>
      </w:r>
      <w:r w:rsidRPr="00941D92">
        <w:rPr>
          <w:lang w:val="en-GB"/>
        </w:rPr>
        <w:t xml:space="preserve"> Portal to provide access to reporting, the design of a horizon scanning system for collecting information on emerging pests, and establishing a system of communicating alerts on these pests.</w:t>
      </w:r>
    </w:p>
    <w:p w14:paraId="56AEAA56" w14:textId="77777777" w:rsidR="00941D92" w:rsidRPr="00941D92" w:rsidRDefault="00941D92" w:rsidP="00941D92">
      <w:pPr>
        <w:rPr>
          <w:lang w:val="en-GB"/>
        </w:rPr>
      </w:pPr>
      <w:r w:rsidRPr="00941D92">
        <w:rPr>
          <w:lang w:val="en-GB"/>
        </w:rPr>
        <w:t>To ensure that NPPOs are well supported when responding to outbreaks of plant pests, an emergency trust fund will be set up with a mechanism allowing for the quick transfer of funds to NPPOs. Further support will be provided by establishing a roster of expertise and resources that NPPOs can access rapidly, including access to diagnostics.</w:t>
      </w:r>
    </w:p>
    <w:p w14:paraId="05C99A5C" w14:textId="4091A609" w:rsidR="00941D92" w:rsidRDefault="00941D92" w:rsidP="00941D92">
      <w:pPr>
        <w:rPr>
          <w:lang w:val="en-GB"/>
        </w:rPr>
      </w:pPr>
      <w:r w:rsidRPr="00941D92">
        <w:rPr>
          <w:lang w:val="en-GB"/>
        </w:rPr>
        <w:t>When carrying out the work for POARS, it will be important for the steering group to build an operational network of organisations and stakeholders at global, regional and national levels, and to mutualise activities with the Emergency Animal Health Unit of the FAO.</w:t>
      </w:r>
    </w:p>
    <w:p w14:paraId="2E9B8169" w14:textId="6E2D7ECA" w:rsidR="00EC4297" w:rsidRDefault="00EC4297" w:rsidP="00941D92">
      <w:pPr>
        <w:rPr>
          <w:b/>
          <w:bCs/>
          <w:lang w:val="en-GB"/>
        </w:rPr>
      </w:pPr>
      <w:r w:rsidRPr="00EC4297">
        <w:rPr>
          <w:b/>
          <w:bCs/>
          <w:lang w:val="en-GB"/>
        </w:rPr>
        <w:lastRenderedPageBreak/>
        <w:t>Funding and resources</w:t>
      </w:r>
    </w:p>
    <w:p w14:paraId="6266054A" w14:textId="2A51E03C" w:rsidR="002C219E" w:rsidRPr="002C219E" w:rsidRDefault="002C219E" w:rsidP="00941D92">
      <w:pPr>
        <w:rPr>
          <w:lang w:val="en-GB"/>
        </w:rPr>
      </w:pPr>
      <w:r w:rsidRPr="002C219E">
        <w:rPr>
          <w:lang w:val="en-GB"/>
        </w:rPr>
        <w:t>To carry out the activities of the work programme, the following funding will be required:</w:t>
      </w:r>
    </w:p>
    <w:p w14:paraId="351F4C12" w14:textId="07DC7AC6" w:rsidR="210288F6" w:rsidRDefault="004F08D0">
      <w:r w:rsidRPr="004F08D0">
        <w:rPr>
          <w:noProof/>
        </w:rPr>
        <w:drawing>
          <wp:inline distT="0" distB="0" distL="0" distR="0" wp14:anchorId="08E1E78E" wp14:editId="706CA7AB">
            <wp:extent cx="5943600" cy="715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150100"/>
                    </a:xfrm>
                    <a:prstGeom prst="rect">
                      <a:avLst/>
                    </a:prstGeom>
                    <a:noFill/>
                    <a:ln>
                      <a:noFill/>
                    </a:ln>
                  </pic:spPr>
                </pic:pic>
              </a:graphicData>
            </a:graphic>
          </wp:inline>
        </w:drawing>
      </w:r>
    </w:p>
    <w:p w14:paraId="7885697A" w14:textId="62230080" w:rsidR="002C219E" w:rsidRDefault="002C219E" w:rsidP="002C219E">
      <w:pPr>
        <w:spacing w:after="0"/>
        <w:rPr>
          <w:b/>
          <w:bCs/>
          <w:lang w:val="en-GB"/>
        </w:rPr>
      </w:pPr>
    </w:p>
    <w:p w14:paraId="4A11CDE0" w14:textId="6C14824E" w:rsidR="002C219E" w:rsidRDefault="002C219E" w:rsidP="002C219E">
      <w:pPr>
        <w:spacing w:after="0"/>
        <w:rPr>
          <w:lang w:val="en-GB"/>
        </w:rPr>
      </w:pPr>
      <w:r>
        <w:rPr>
          <w:lang w:val="en-GB"/>
        </w:rPr>
        <w:t>Resources required to establish the POARS:</w:t>
      </w:r>
    </w:p>
    <w:p w14:paraId="162AC41B" w14:textId="5E67AAD6" w:rsidR="002C219E" w:rsidRPr="002C219E" w:rsidRDefault="002C219E" w:rsidP="002C219E">
      <w:pPr>
        <w:pStyle w:val="ListParagraph"/>
        <w:numPr>
          <w:ilvl w:val="0"/>
          <w:numId w:val="22"/>
        </w:numPr>
        <w:spacing w:after="0"/>
        <w:rPr>
          <w:lang w:val="en-GB"/>
        </w:rPr>
      </w:pPr>
      <w:r w:rsidRPr="002C219E">
        <w:rPr>
          <w:lang w:val="en-GB"/>
        </w:rPr>
        <w:lastRenderedPageBreak/>
        <w:t>One manager</w:t>
      </w:r>
    </w:p>
    <w:p w14:paraId="01B1F5D6" w14:textId="77777777" w:rsidR="002C219E" w:rsidRPr="002C219E" w:rsidRDefault="002C219E" w:rsidP="002C219E">
      <w:pPr>
        <w:pStyle w:val="ListParagraph"/>
        <w:numPr>
          <w:ilvl w:val="0"/>
          <w:numId w:val="22"/>
        </w:numPr>
        <w:spacing w:after="0"/>
        <w:rPr>
          <w:lang w:val="en-GB"/>
        </w:rPr>
      </w:pPr>
      <w:r w:rsidRPr="002C219E">
        <w:rPr>
          <w:lang w:val="en-GB"/>
        </w:rPr>
        <w:t>One dedicated IT developer</w:t>
      </w:r>
    </w:p>
    <w:p w14:paraId="2330C4CC" w14:textId="77777777" w:rsidR="002C219E" w:rsidRPr="002C219E" w:rsidRDefault="002C219E" w:rsidP="002C219E">
      <w:pPr>
        <w:pStyle w:val="ListParagraph"/>
        <w:numPr>
          <w:ilvl w:val="0"/>
          <w:numId w:val="22"/>
        </w:numPr>
        <w:spacing w:after="0"/>
        <w:rPr>
          <w:lang w:val="en-GB"/>
        </w:rPr>
      </w:pPr>
      <w:r w:rsidRPr="002C219E">
        <w:rPr>
          <w:lang w:val="en-GB"/>
        </w:rPr>
        <w:t>One part time administrative person</w:t>
      </w:r>
    </w:p>
    <w:p w14:paraId="20FA867A" w14:textId="77777777" w:rsidR="002C219E" w:rsidRPr="002C219E" w:rsidRDefault="002C219E" w:rsidP="002C219E">
      <w:pPr>
        <w:pStyle w:val="ListParagraph"/>
        <w:numPr>
          <w:ilvl w:val="0"/>
          <w:numId w:val="22"/>
        </w:numPr>
        <w:spacing w:after="0"/>
        <w:rPr>
          <w:lang w:val="en-GB"/>
        </w:rPr>
      </w:pPr>
      <w:r w:rsidRPr="002C219E">
        <w:rPr>
          <w:lang w:val="en-GB"/>
        </w:rPr>
        <w:t>Two scientific officers</w:t>
      </w:r>
    </w:p>
    <w:p w14:paraId="4605C1EC" w14:textId="77777777" w:rsidR="002C219E" w:rsidRPr="002C219E" w:rsidRDefault="002C219E" w:rsidP="002C219E">
      <w:pPr>
        <w:pStyle w:val="ListParagraph"/>
        <w:numPr>
          <w:ilvl w:val="0"/>
          <w:numId w:val="22"/>
        </w:numPr>
        <w:spacing w:after="0"/>
        <w:rPr>
          <w:lang w:val="en-GB"/>
        </w:rPr>
      </w:pPr>
      <w:r w:rsidRPr="002C219E">
        <w:rPr>
          <w:lang w:val="en-GB"/>
        </w:rPr>
        <w:t>One human resource for relations with the regions, RPPOs, the One Health Nexus, WHO, and other organisations</w:t>
      </w:r>
    </w:p>
    <w:p w14:paraId="73D71898" w14:textId="15E212DD" w:rsidR="002C219E" w:rsidRDefault="002C219E" w:rsidP="002C219E">
      <w:pPr>
        <w:pStyle w:val="ListParagraph"/>
        <w:numPr>
          <w:ilvl w:val="0"/>
          <w:numId w:val="22"/>
        </w:numPr>
        <w:spacing w:after="0"/>
        <w:rPr>
          <w:lang w:val="en-GB"/>
        </w:rPr>
      </w:pPr>
      <w:r w:rsidRPr="002C219E">
        <w:rPr>
          <w:lang w:val="en-GB"/>
        </w:rPr>
        <w:t>One communications expert</w:t>
      </w:r>
    </w:p>
    <w:p w14:paraId="2389AE7A" w14:textId="57B57E96" w:rsidR="00381D38" w:rsidRDefault="00381D38" w:rsidP="00381D38">
      <w:pPr>
        <w:spacing w:after="0"/>
        <w:rPr>
          <w:lang w:val="en-GB"/>
        </w:rPr>
      </w:pPr>
    </w:p>
    <w:p w14:paraId="68C6341B" w14:textId="5679BFEA" w:rsidR="00381D38" w:rsidRPr="00381D38" w:rsidRDefault="00381D38" w:rsidP="00381D38">
      <w:pPr>
        <w:spacing w:after="0"/>
        <w:rPr>
          <w:lang w:val="en-GB"/>
        </w:rPr>
      </w:pPr>
      <w:r>
        <w:rPr>
          <w:lang w:val="en-GB"/>
        </w:rPr>
        <w:t>Resources will also include IPPC Secretariat staff and members of the POARS steering group.</w:t>
      </w:r>
    </w:p>
    <w:p w14:paraId="2B661878" w14:textId="77777777" w:rsidR="002C219E" w:rsidRPr="00EC4297" w:rsidRDefault="002C219E" w:rsidP="002C219E">
      <w:pPr>
        <w:spacing w:after="0"/>
        <w:rPr>
          <w:b/>
          <w:bCs/>
          <w:lang w:val="en-GB"/>
        </w:rPr>
      </w:pPr>
    </w:p>
    <w:p w14:paraId="22336B3A" w14:textId="77777777" w:rsidR="00941D92" w:rsidRPr="00941D92" w:rsidRDefault="00941D92" w:rsidP="00941D92">
      <w:pPr>
        <w:rPr>
          <w:b/>
          <w:bCs/>
          <w:lang w:val="en-GB"/>
        </w:rPr>
      </w:pPr>
      <w:r w:rsidRPr="00941D92">
        <w:rPr>
          <w:b/>
          <w:bCs/>
          <w:lang w:val="en-GB"/>
        </w:rPr>
        <w:t>Monitoring and evaluation</w:t>
      </w:r>
    </w:p>
    <w:p w14:paraId="29A56591" w14:textId="77777777" w:rsidR="00941D92" w:rsidRPr="00941D92" w:rsidRDefault="00941D92" w:rsidP="00941D92">
      <w:pPr>
        <w:rPr>
          <w:lang w:val="en-GB"/>
        </w:rPr>
      </w:pPr>
      <w:r w:rsidRPr="00941D92">
        <w:rPr>
          <w:lang w:val="en-GB"/>
        </w:rPr>
        <w:t>Upon establishing the POARS steering group, a monitoring and evaluation plan will be developed. The SFDAI will also be monitored through the general monitoring and evaluation plan outlined in the overarching SF implementation plan.</w:t>
      </w:r>
    </w:p>
    <w:p w14:paraId="493628D1" w14:textId="77777777" w:rsidR="00941D92" w:rsidRPr="00941D92" w:rsidRDefault="00941D92" w:rsidP="00941D92">
      <w:pPr>
        <w:rPr>
          <w:b/>
          <w:bCs/>
          <w:lang w:val="en-GB"/>
        </w:rPr>
      </w:pPr>
      <w:r w:rsidRPr="00941D92">
        <w:rPr>
          <w:b/>
          <w:bCs/>
          <w:lang w:val="en-GB"/>
        </w:rPr>
        <w:t>Communication</w:t>
      </w:r>
    </w:p>
    <w:p w14:paraId="3DC8BC28" w14:textId="77777777" w:rsidR="00941D92" w:rsidRPr="00941D92" w:rsidRDefault="00941D92" w:rsidP="00941D92">
      <w:pPr>
        <w:rPr>
          <w:lang w:val="en-GB"/>
        </w:rPr>
      </w:pPr>
      <w:r w:rsidRPr="00941D92">
        <w:rPr>
          <w:lang w:val="en-GB"/>
        </w:rPr>
        <w:t>As with the monitoring and evaluation plan, a communication plan will be developed soon after the establishment of the POARS steering group. This will focus on communication within the POARS networks, as well as communication about POARS to wider stakeholders to ensure awareness and buy-in. The SFDAI will also be communicated through the general communication plan developed by the CPM Communications Focus Group.</w:t>
      </w:r>
    </w:p>
    <w:p w14:paraId="58E72964" w14:textId="77777777" w:rsidR="00941D92" w:rsidRPr="00941D92" w:rsidRDefault="00941D92" w:rsidP="00941D92">
      <w:pPr>
        <w:rPr>
          <w:b/>
          <w:bCs/>
          <w:lang w:val="en-GB"/>
        </w:rPr>
      </w:pPr>
      <w:r w:rsidRPr="00941D92">
        <w:rPr>
          <w:b/>
          <w:bCs/>
          <w:lang w:val="en-GB"/>
        </w:rPr>
        <w:t>Issues and risks</w:t>
      </w:r>
    </w:p>
    <w:p w14:paraId="372BB985" w14:textId="77777777" w:rsidR="00941D92" w:rsidRPr="00941D92" w:rsidRDefault="00941D92" w:rsidP="00941D92">
      <w:pPr>
        <w:rPr>
          <w:lang w:val="en-GB"/>
        </w:rPr>
      </w:pPr>
      <w:r w:rsidRPr="00941D92">
        <w:rPr>
          <w:lang w:val="en-GB"/>
        </w:rPr>
        <w:t xml:space="preserve">There is a risk that the workplan developed by the POARS steering group is not accepted by the CPM, but the steering group will look to redefine the work based on feedback at CPM-16. </w:t>
      </w:r>
    </w:p>
    <w:p w14:paraId="2378F524" w14:textId="77777777" w:rsidR="00941D92" w:rsidRPr="00941D92" w:rsidRDefault="00941D92" w:rsidP="00941D92">
      <w:pPr>
        <w:rPr>
          <w:lang w:val="en-GB"/>
        </w:rPr>
      </w:pPr>
      <w:r w:rsidRPr="00941D92">
        <w:rPr>
          <w:lang w:val="en-GB"/>
        </w:rPr>
        <w:t>On the reporting system itself, there is an ongoing concern that NPPOs will not share data on pest findings. As with other SFDAIs, there is also a concern over having sufficient funding to take forward the work. The steering group will be looking to address these concerns over 2022 and 2023.</w:t>
      </w:r>
    </w:p>
    <w:p w14:paraId="357B0FE7" w14:textId="77777777" w:rsidR="00941D92" w:rsidRPr="000E6062" w:rsidRDefault="00941D92" w:rsidP="000E6062"/>
    <w:p w14:paraId="721CE470" w14:textId="77AC8CF4" w:rsidR="001911C1" w:rsidRPr="0057083F" w:rsidRDefault="001D6D85" w:rsidP="0057083F">
      <w:pPr>
        <w:pStyle w:val="Heading1"/>
      </w:pPr>
      <w:bookmarkStart w:id="27" w:name="_Toc114566386"/>
      <w:r w:rsidRPr="0057083F">
        <w:t>A</w:t>
      </w:r>
      <w:r w:rsidR="00F14A3C" w:rsidRPr="0057083F">
        <w:t>PPENDIX</w:t>
      </w:r>
      <w:r w:rsidRPr="0057083F">
        <w:t xml:space="preserve"> F</w:t>
      </w:r>
      <w:r w:rsidR="000E00A0" w:rsidRPr="0057083F">
        <w:t xml:space="preserve"> - </w:t>
      </w:r>
      <w:r w:rsidR="001911C1" w:rsidRPr="0057083F">
        <w:t>Agenda Item #6</w:t>
      </w:r>
      <w:r w:rsidR="009B23B5" w:rsidRPr="0057083F">
        <w:t xml:space="preserve"> - </w:t>
      </w:r>
      <w:r w:rsidR="001911C1" w:rsidRPr="0057083F">
        <w:t>Assessment and management of climate change impacts on plant health</w:t>
      </w:r>
      <w:bookmarkEnd w:id="27"/>
    </w:p>
    <w:p w14:paraId="2FA8BD53" w14:textId="61D6759B" w:rsidR="009B23B5" w:rsidRDefault="009B23B5" w:rsidP="009B23B5"/>
    <w:p w14:paraId="56A2FC3F" w14:textId="77777777" w:rsidR="00941D92" w:rsidRPr="00941D92" w:rsidRDefault="00941D92" w:rsidP="00941D92">
      <w:pPr>
        <w:rPr>
          <w:b/>
          <w:bCs/>
          <w:lang w:val="en-GB"/>
        </w:rPr>
      </w:pPr>
      <w:r w:rsidRPr="00941D92">
        <w:rPr>
          <w:b/>
          <w:bCs/>
          <w:lang w:val="en-GB"/>
        </w:rPr>
        <w:t>Benefit statement</w:t>
      </w:r>
    </w:p>
    <w:p w14:paraId="45B3E33D" w14:textId="77777777" w:rsidR="00941D92" w:rsidRPr="00941D92" w:rsidRDefault="00941D92" w:rsidP="00941D92">
      <w:pPr>
        <w:rPr>
          <w:lang w:val="en-GB"/>
        </w:rPr>
      </w:pPr>
      <w:r w:rsidRPr="00941D92">
        <w:rPr>
          <w:lang w:val="en-GB"/>
        </w:rPr>
        <w:t xml:space="preserve">The key outcomes include, but are not limited to: </w:t>
      </w:r>
    </w:p>
    <w:p w14:paraId="2121851C" w14:textId="77777777" w:rsidR="00941D92" w:rsidRPr="00941D92" w:rsidRDefault="00941D92" w:rsidP="00941D92">
      <w:pPr>
        <w:numPr>
          <w:ilvl w:val="0"/>
          <w:numId w:val="8"/>
        </w:numPr>
        <w:rPr>
          <w:lang w:val="en-GB"/>
        </w:rPr>
      </w:pPr>
      <w:r w:rsidRPr="00941D92">
        <w:rPr>
          <w:lang w:val="en-GB"/>
        </w:rPr>
        <w:t>Raising awareness of the impacts of climate change on plant health</w:t>
      </w:r>
    </w:p>
    <w:p w14:paraId="1DFC56DF" w14:textId="77777777" w:rsidR="00941D92" w:rsidRPr="00941D92" w:rsidRDefault="00941D92" w:rsidP="00941D92">
      <w:pPr>
        <w:numPr>
          <w:ilvl w:val="0"/>
          <w:numId w:val="8"/>
        </w:numPr>
        <w:rPr>
          <w:lang w:val="en-GB"/>
        </w:rPr>
      </w:pPr>
      <w:r w:rsidRPr="00941D92">
        <w:rPr>
          <w:lang w:val="en-GB"/>
        </w:rPr>
        <w:t>Enhancing the evaluation and management of risks of climate change to plant health</w:t>
      </w:r>
    </w:p>
    <w:p w14:paraId="749D585D" w14:textId="77777777" w:rsidR="00941D92" w:rsidRPr="00941D92" w:rsidRDefault="00941D92" w:rsidP="00941D92">
      <w:pPr>
        <w:numPr>
          <w:ilvl w:val="0"/>
          <w:numId w:val="8"/>
        </w:numPr>
        <w:rPr>
          <w:lang w:val="en-GB"/>
        </w:rPr>
      </w:pPr>
      <w:r w:rsidRPr="00941D92">
        <w:rPr>
          <w:lang w:val="en-GB"/>
        </w:rPr>
        <w:t>Enhancing the recognition of phytosanitary matters in the international climate change debate</w:t>
      </w:r>
    </w:p>
    <w:p w14:paraId="5353E032" w14:textId="77777777" w:rsidR="00941D92" w:rsidRPr="00941D92" w:rsidRDefault="00941D92" w:rsidP="00941D92">
      <w:pPr>
        <w:rPr>
          <w:b/>
          <w:bCs/>
          <w:lang w:val="en-GB"/>
        </w:rPr>
      </w:pPr>
      <w:r w:rsidRPr="00941D92">
        <w:rPr>
          <w:b/>
          <w:bCs/>
          <w:lang w:val="en-GB"/>
        </w:rPr>
        <w:lastRenderedPageBreak/>
        <w:t>Delivery</w:t>
      </w:r>
    </w:p>
    <w:p w14:paraId="53CCB41B" w14:textId="77777777" w:rsidR="00941D92" w:rsidRPr="00941D92" w:rsidRDefault="00941D92" w:rsidP="00941D92">
      <w:pPr>
        <w:rPr>
          <w:lang w:val="en-GB"/>
        </w:rPr>
      </w:pPr>
      <w:r w:rsidRPr="00941D92">
        <w:rPr>
          <w:lang w:val="en-GB"/>
        </w:rPr>
        <w:t>At CPM-16 in 2022, the 2022-2025 action plan for the implementation of the SFDAI was adopted. The action plan will be led by the Integration and Support team within the IPPC Secretariat and will be delivered by the CPM Focus Group on Climate Change and Phytosanitary Issues. To ensure that delivery is effective, NPPOs, RPPOs, relevant international organisations, and major donors are expected to be called, to actively contribute to the resourcing, planning and implementation of the action plan. Coordination and alignment of this work with that of the other relevant international organizations, as well as collaboration with other relevant public and private sector institutions and organizations will also be critical.</w:t>
      </w:r>
    </w:p>
    <w:p w14:paraId="6F2656C2" w14:textId="77777777" w:rsidR="00941D92" w:rsidRPr="00941D92" w:rsidRDefault="00941D92" w:rsidP="00941D92">
      <w:pPr>
        <w:rPr>
          <w:b/>
          <w:bCs/>
          <w:lang w:val="en-GB"/>
        </w:rPr>
      </w:pPr>
      <w:r w:rsidRPr="00941D92">
        <w:rPr>
          <w:b/>
          <w:bCs/>
          <w:lang w:val="en-GB"/>
        </w:rPr>
        <w:t>Milestones and activities</w:t>
      </w:r>
    </w:p>
    <w:p w14:paraId="2CDB4059" w14:textId="77777777" w:rsidR="00941D92" w:rsidRPr="00941D92" w:rsidRDefault="00941D92" w:rsidP="00941D92">
      <w:pPr>
        <w:rPr>
          <w:lang w:val="en-GB"/>
        </w:rPr>
      </w:pPr>
      <w:r w:rsidRPr="00941D92">
        <w:rPr>
          <w:lang w:val="en-GB"/>
        </w:rPr>
        <w:t>To raise awareness of the impacts of climate change on plant health, the following activities will be undertaken:</w:t>
      </w:r>
    </w:p>
    <w:p w14:paraId="72405126" w14:textId="77777777" w:rsidR="00941D92" w:rsidRPr="00941D92" w:rsidRDefault="00941D92" w:rsidP="00941D92">
      <w:pPr>
        <w:numPr>
          <w:ilvl w:val="0"/>
          <w:numId w:val="9"/>
        </w:numPr>
        <w:rPr>
          <w:lang w:val="en-GB"/>
        </w:rPr>
      </w:pPr>
      <w:r w:rsidRPr="00941D92">
        <w:rPr>
          <w:lang w:val="en-GB"/>
        </w:rPr>
        <w:t>Convening and participating in meetings and side events related to the impact of climate change on plant health. This will include holding global and regional webinars and giving presentations at the International Plant Health Conference and UN Climate Change Conference Forums.</w:t>
      </w:r>
    </w:p>
    <w:p w14:paraId="28760F33" w14:textId="77777777" w:rsidR="00941D92" w:rsidRPr="00941D92" w:rsidRDefault="00941D92" w:rsidP="00941D92">
      <w:pPr>
        <w:numPr>
          <w:ilvl w:val="0"/>
          <w:numId w:val="9"/>
        </w:numPr>
        <w:rPr>
          <w:lang w:val="en-GB"/>
        </w:rPr>
      </w:pPr>
      <w:r w:rsidRPr="00941D92">
        <w:rPr>
          <w:lang w:val="en-GB"/>
        </w:rPr>
        <w:t>Raising awareness through cultural and social media (e.g., radio talk shows, social media, poster and flyers, digital platforms, etc.), developing a climate change webpage on the International Plant Portal as a repository of information, and engaging with stakeholders through surveys and by other means to gather information on the topic.</w:t>
      </w:r>
    </w:p>
    <w:p w14:paraId="5431DCAF" w14:textId="6574518E" w:rsidR="00941D92" w:rsidRPr="00941D92" w:rsidRDefault="00941D92" w:rsidP="00941D92">
      <w:pPr>
        <w:numPr>
          <w:ilvl w:val="0"/>
          <w:numId w:val="9"/>
        </w:numPr>
        <w:rPr>
          <w:lang w:val="en-GB"/>
        </w:rPr>
      </w:pPr>
      <w:r w:rsidRPr="00941D92">
        <w:rPr>
          <w:lang w:val="en-GB"/>
        </w:rPr>
        <w:t>Facilitat</w:t>
      </w:r>
      <w:r w:rsidR="0074613C">
        <w:rPr>
          <w:lang w:val="en-GB"/>
        </w:rPr>
        <w:t>ing</w:t>
      </w:r>
      <w:r w:rsidRPr="00941D92">
        <w:rPr>
          <w:lang w:val="en-GB"/>
        </w:rPr>
        <w:t xml:space="preserve"> discussions within IPPC subsidiary bodies, regional workshops as well as other IPPC technical groups and CPM. This will include the IC, SC and Bureau; the fall armyworm and </w:t>
      </w:r>
      <w:r w:rsidRPr="00941D92">
        <w:rPr>
          <w:i/>
          <w:iCs/>
          <w:lang w:val="en-GB"/>
        </w:rPr>
        <w:t>Fusarium</w:t>
      </w:r>
      <w:r w:rsidRPr="00941D92">
        <w:rPr>
          <w:lang w:val="en-GB"/>
        </w:rPr>
        <w:t xml:space="preserve"> tropical race 4 meetings; the communications focus group meetings; RPPO meetings and conferences; and side events of CPM.</w:t>
      </w:r>
    </w:p>
    <w:p w14:paraId="17EC1884" w14:textId="16C95276" w:rsidR="00941D92" w:rsidRPr="00941D92" w:rsidRDefault="00941D92" w:rsidP="00941D92">
      <w:pPr>
        <w:numPr>
          <w:ilvl w:val="0"/>
          <w:numId w:val="9"/>
        </w:numPr>
        <w:rPr>
          <w:lang w:val="en-GB"/>
        </w:rPr>
      </w:pPr>
      <w:r w:rsidRPr="00941D92">
        <w:rPr>
          <w:lang w:val="en-GB"/>
        </w:rPr>
        <w:t>Assist</w:t>
      </w:r>
      <w:r w:rsidR="0074613C">
        <w:rPr>
          <w:lang w:val="en-GB"/>
        </w:rPr>
        <w:t>ing</w:t>
      </w:r>
      <w:r w:rsidRPr="00941D92">
        <w:rPr>
          <w:lang w:val="en-GB"/>
        </w:rPr>
        <w:t xml:space="preserve"> NPPOs to meet their national reporting obligations (NRO) established by IPPC. The national reporting system could be enhanced to further share information on changes to pest distributions, host range, and adaptability of pests and host plants.</w:t>
      </w:r>
    </w:p>
    <w:p w14:paraId="57754BDB" w14:textId="77777777" w:rsidR="00941D92" w:rsidRPr="00941D92" w:rsidRDefault="00941D92" w:rsidP="00941D92">
      <w:pPr>
        <w:rPr>
          <w:lang w:val="en-GB"/>
        </w:rPr>
      </w:pPr>
      <w:r w:rsidRPr="00941D92">
        <w:rPr>
          <w:lang w:val="en-GB"/>
        </w:rPr>
        <w:t>To enhance the evaluation and management of climate change risks to plant health, the following will be carried out:</w:t>
      </w:r>
    </w:p>
    <w:p w14:paraId="49EBEA79" w14:textId="77777777" w:rsidR="00941D92" w:rsidRPr="00941D92" w:rsidRDefault="00941D92" w:rsidP="00941D92">
      <w:pPr>
        <w:numPr>
          <w:ilvl w:val="0"/>
          <w:numId w:val="10"/>
        </w:numPr>
        <w:rPr>
          <w:lang w:val="en-GB"/>
        </w:rPr>
      </w:pPr>
      <w:r w:rsidRPr="00941D92">
        <w:rPr>
          <w:lang w:val="en-GB"/>
        </w:rPr>
        <w:t xml:space="preserve">Supporting countries to collect, analyse and use climate change impact-related information in decision-making. </w:t>
      </w:r>
    </w:p>
    <w:p w14:paraId="7A8EFC98" w14:textId="77777777" w:rsidR="00941D92" w:rsidRPr="00941D92" w:rsidRDefault="00941D92" w:rsidP="00941D92">
      <w:pPr>
        <w:numPr>
          <w:ilvl w:val="1"/>
          <w:numId w:val="10"/>
        </w:numPr>
        <w:rPr>
          <w:lang w:val="en-GB"/>
        </w:rPr>
      </w:pPr>
      <w:r w:rsidRPr="00941D92">
        <w:rPr>
          <w:lang w:val="en-GB"/>
        </w:rPr>
        <w:t xml:space="preserve">Reviewing existing use of climate change assessments in pest risk analysis and surveillance, providing advice on climate change models, providing advice on assessment and tools, and developing guidance on incorporating climate change assessments in pest risk analysis, surveillance and risk management. </w:t>
      </w:r>
    </w:p>
    <w:p w14:paraId="5A7D4ED9" w14:textId="77777777" w:rsidR="00941D92" w:rsidRPr="00941D92" w:rsidRDefault="00941D92" w:rsidP="00941D92">
      <w:pPr>
        <w:numPr>
          <w:ilvl w:val="1"/>
          <w:numId w:val="10"/>
        </w:numPr>
        <w:rPr>
          <w:lang w:val="en-GB"/>
        </w:rPr>
      </w:pPr>
      <w:r w:rsidRPr="00941D92">
        <w:rPr>
          <w:lang w:val="en-GB"/>
        </w:rPr>
        <w:t xml:space="preserve">Creating Regional climate hubs e.g., USDA Climate Hubs that provide science-based information to agricultural and natural resource managers to help address the effects of climate change.  </w:t>
      </w:r>
    </w:p>
    <w:p w14:paraId="1446CFF3" w14:textId="77777777" w:rsidR="00941D92" w:rsidRPr="00941D92" w:rsidRDefault="00941D92" w:rsidP="00941D92">
      <w:pPr>
        <w:numPr>
          <w:ilvl w:val="1"/>
          <w:numId w:val="10"/>
        </w:numPr>
        <w:rPr>
          <w:lang w:val="en-GB"/>
        </w:rPr>
      </w:pPr>
      <w:r w:rsidRPr="00941D92">
        <w:rPr>
          <w:lang w:val="en-GB"/>
        </w:rPr>
        <w:lastRenderedPageBreak/>
        <w:t>Incorporating ‘climate change impacts on plant health’ criteria (similar to the ‘potential implementation issues’ criteria) into the template for draft ‘standard’ specifications, draft guidance material specifications, and into the assessment criteria for the upcoming IPPC Call for topics.</w:t>
      </w:r>
    </w:p>
    <w:p w14:paraId="7BA44D14" w14:textId="77777777" w:rsidR="00941D92" w:rsidRPr="00941D92" w:rsidRDefault="00941D92" w:rsidP="00941D92">
      <w:pPr>
        <w:numPr>
          <w:ilvl w:val="1"/>
          <w:numId w:val="10"/>
        </w:numPr>
        <w:rPr>
          <w:lang w:val="en-GB"/>
        </w:rPr>
      </w:pPr>
      <w:r w:rsidRPr="00941D92">
        <w:rPr>
          <w:lang w:val="en-GB"/>
        </w:rPr>
        <w:t>Reviewing linkages to the safe provision of food aid</w:t>
      </w:r>
    </w:p>
    <w:p w14:paraId="692DF41F" w14:textId="77777777" w:rsidR="00941D92" w:rsidRPr="00941D92" w:rsidRDefault="00941D92" w:rsidP="00941D92">
      <w:pPr>
        <w:numPr>
          <w:ilvl w:val="0"/>
          <w:numId w:val="10"/>
        </w:numPr>
        <w:rPr>
          <w:lang w:val="en-GB"/>
        </w:rPr>
      </w:pPr>
      <w:r w:rsidRPr="00941D92">
        <w:rPr>
          <w:lang w:val="en-GB"/>
        </w:rPr>
        <w:t>Supporting countries in building capacity on the impacts of climate change on plant health</w:t>
      </w:r>
    </w:p>
    <w:p w14:paraId="22FB2CD8" w14:textId="77777777" w:rsidR="00941D92" w:rsidRPr="00941D92" w:rsidRDefault="00941D92" w:rsidP="00941D92">
      <w:pPr>
        <w:numPr>
          <w:ilvl w:val="1"/>
          <w:numId w:val="10"/>
        </w:numPr>
        <w:rPr>
          <w:lang w:val="en-GB"/>
        </w:rPr>
      </w:pPr>
      <w:r w:rsidRPr="00941D92">
        <w:rPr>
          <w:lang w:val="en-GB"/>
        </w:rPr>
        <w:t>Developing, reviewing and promoting tools to enhance the preparedness and response of Agricultural Extension Agents, farmers and other relevant stakeholders on the impacts of climate change on plant health</w:t>
      </w:r>
    </w:p>
    <w:p w14:paraId="18F41D4F" w14:textId="77777777" w:rsidR="00941D92" w:rsidRPr="00941D92" w:rsidRDefault="00941D92" w:rsidP="00941D92">
      <w:pPr>
        <w:numPr>
          <w:ilvl w:val="1"/>
          <w:numId w:val="10"/>
        </w:numPr>
        <w:rPr>
          <w:lang w:val="en-GB"/>
        </w:rPr>
      </w:pPr>
      <w:r w:rsidRPr="00941D92">
        <w:rPr>
          <w:lang w:val="en-GB"/>
        </w:rPr>
        <w:t>Incorporating climate change references and technical resources into IPPC guidance materials</w:t>
      </w:r>
    </w:p>
    <w:p w14:paraId="68151412" w14:textId="77777777" w:rsidR="00941D92" w:rsidRPr="00941D92" w:rsidRDefault="00941D92" w:rsidP="00941D92">
      <w:pPr>
        <w:numPr>
          <w:ilvl w:val="1"/>
          <w:numId w:val="10"/>
        </w:numPr>
        <w:rPr>
          <w:lang w:val="en-GB"/>
        </w:rPr>
      </w:pPr>
      <w:r w:rsidRPr="00941D92">
        <w:rPr>
          <w:lang w:val="en-GB"/>
        </w:rPr>
        <w:t>Developing an IPPC guide to assist in identifying cultural and social impacts of climate change on plant health, including island communities under threat of sea level rise</w:t>
      </w:r>
    </w:p>
    <w:p w14:paraId="0BAFF579" w14:textId="77777777" w:rsidR="00941D92" w:rsidRPr="00941D92" w:rsidRDefault="00941D92" w:rsidP="00941D92">
      <w:pPr>
        <w:rPr>
          <w:lang w:val="en-GB"/>
        </w:rPr>
      </w:pPr>
      <w:r w:rsidRPr="00941D92">
        <w:rPr>
          <w:lang w:val="en-GB"/>
        </w:rPr>
        <w:t>To enhance the recognition of phytosanitary matters in the international climate change debate, the following will be carried out:</w:t>
      </w:r>
    </w:p>
    <w:p w14:paraId="7868CAE4" w14:textId="77777777" w:rsidR="00941D92" w:rsidRPr="00941D92" w:rsidRDefault="00941D92" w:rsidP="00941D92">
      <w:pPr>
        <w:numPr>
          <w:ilvl w:val="0"/>
          <w:numId w:val="11"/>
        </w:numPr>
        <w:rPr>
          <w:lang w:val="en-GB"/>
        </w:rPr>
      </w:pPr>
      <w:r w:rsidRPr="00941D92">
        <w:rPr>
          <w:lang w:val="en-GB"/>
        </w:rPr>
        <w:t>Strengthening collaboration with relevant organisations, such as the Intergovernmental Panel on Climate Change (IPCC) and the Secretariat of the Convention of Biological Diversity.</w:t>
      </w:r>
    </w:p>
    <w:p w14:paraId="673C85E9" w14:textId="289B214E" w:rsidR="00941D92" w:rsidRDefault="00941D92" w:rsidP="00941D92">
      <w:pPr>
        <w:numPr>
          <w:ilvl w:val="0"/>
          <w:numId w:val="11"/>
        </w:numPr>
        <w:rPr>
          <w:lang w:val="en-GB"/>
        </w:rPr>
      </w:pPr>
      <w:r w:rsidRPr="00941D92">
        <w:rPr>
          <w:lang w:val="en-GB"/>
        </w:rPr>
        <w:t>Facilitating, promoting and supporting phytosanitary issues-related policy dialogue at the global level through mainstreaming phytosanitary policies into the climate change debate</w:t>
      </w:r>
    </w:p>
    <w:p w14:paraId="62596502" w14:textId="50CCE9DA" w:rsidR="00EC4297" w:rsidRDefault="00EC4297" w:rsidP="00EC4297">
      <w:pPr>
        <w:rPr>
          <w:b/>
          <w:bCs/>
          <w:lang w:val="en-GB"/>
        </w:rPr>
      </w:pPr>
      <w:r w:rsidRPr="00EC4297">
        <w:rPr>
          <w:b/>
          <w:bCs/>
          <w:lang w:val="en-GB"/>
        </w:rPr>
        <w:t>Funding and resources</w:t>
      </w:r>
    </w:p>
    <w:p w14:paraId="6034204B" w14:textId="51C2B2D3" w:rsidR="00381D38" w:rsidRPr="00381D38" w:rsidRDefault="00381D38" w:rsidP="00EC4297">
      <w:pPr>
        <w:rPr>
          <w:lang w:val="en-GB"/>
        </w:rPr>
      </w:pPr>
      <w:r w:rsidRPr="00381D38">
        <w:rPr>
          <w:lang w:val="en-GB"/>
        </w:rPr>
        <w:t>To carry out the activities of the work programme, the following funding will be required:</w:t>
      </w:r>
    </w:p>
    <w:p w14:paraId="5486C91B" w14:textId="6FFBE864" w:rsidR="00381D38" w:rsidRDefault="00CD4474" w:rsidP="00381D38">
      <w:pPr>
        <w:spacing w:after="0"/>
        <w:rPr>
          <w:lang w:val="en-GB"/>
        </w:rPr>
      </w:pPr>
      <w:r w:rsidRPr="00CD4474">
        <w:rPr>
          <w:noProof/>
        </w:rPr>
        <w:lastRenderedPageBreak/>
        <w:drawing>
          <wp:inline distT="0" distB="0" distL="0" distR="0" wp14:anchorId="005CFB51" wp14:editId="1B19A90B">
            <wp:extent cx="5943600" cy="71805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180580"/>
                    </a:xfrm>
                    <a:prstGeom prst="rect">
                      <a:avLst/>
                    </a:prstGeom>
                    <a:noFill/>
                    <a:ln>
                      <a:noFill/>
                    </a:ln>
                  </pic:spPr>
                </pic:pic>
              </a:graphicData>
            </a:graphic>
          </wp:inline>
        </w:drawing>
      </w:r>
    </w:p>
    <w:p w14:paraId="6A700A34" w14:textId="56B76C02" w:rsidR="004D48AD" w:rsidRDefault="00300C52" w:rsidP="00300C52">
      <w:pPr>
        <w:spacing w:after="0"/>
        <w:jc w:val="right"/>
        <w:rPr>
          <w:lang w:val="en-GB"/>
        </w:rPr>
      </w:pPr>
      <w:r>
        <w:rPr>
          <w:lang w:val="en-GB"/>
        </w:rPr>
        <w:t>Contd…</w:t>
      </w:r>
    </w:p>
    <w:p w14:paraId="6092B855" w14:textId="69ABD11F" w:rsidR="00CD4474" w:rsidRDefault="00215608" w:rsidP="00381D38">
      <w:pPr>
        <w:spacing w:after="0"/>
        <w:rPr>
          <w:lang w:val="en-GB"/>
        </w:rPr>
      </w:pPr>
      <w:r w:rsidRPr="00215608">
        <w:rPr>
          <w:noProof/>
        </w:rPr>
        <w:lastRenderedPageBreak/>
        <w:drawing>
          <wp:inline distT="0" distB="0" distL="0" distR="0" wp14:anchorId="7124BC0D" wp14:editId="17F9EAA7">
            <wp:extent cx="5427345" cy="822960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7345" cy="8229600"/>
                    </a:xfrm>
                    <a:prstGeom prst="rect">
                      <a:avLst/>
                    </a:prstGeom>
                    <a:noFill/>
                    <a:ln>
                      <a:noFill/>
                    </a:ln>
                  </pic:spPr>
                </pic:pic>
              </a:graphicData>
            </a:graphic>
          </wp:inline>
        </w:drawing>
      </w:r>
    </w:p>
    <w:p w14:paraId="4CB6CBB7" w14:textId="0AD01FA4" w:rsidR="00381D38" w:rsidRDefault="00381D38" w:rsidP="00381D38">
      <w:pPr>
        <w:spacing w:after="0"/>
        <w:rPr>
          <w:lang w:val="en-GB"/>
        </w:rPr>
      </w:pPr>
      <w:r>
        <w:rPr>
          <w:lang w:val="en-GB"/>
        </w:rPr>
        <w:lastRenderedPageBreak/>
        <w:t>Resources will be provided by IPPC Secretariat staff and members of the CPM Focus Group on Climate Change and Phytosanitary Issues.</w:t>
      </w:r>
    </w:p>
    <w:p w14:paraId="6D5A9C69" w14:textId="77777777" w:rsidR="00381D38" w:rsidRPr="00941D92" w:rsidRDefault="00381D38" w:rsidP="00381D38">
      <w:pPr>
        <w:spacing w:after="0"/>
        <w:rPr>
          <w:lang w:val="en-GB"/>
        </w:rPr>
      </w:pPr>
    </w:p>
    <w:p w14:paraId="17EA29DE" w14:textId="77777777" w:rsidR="00941D92" w:rsidRPr="00941D92" w:rsidRDefault="00941D92" w:rsidP="00941D92">
      <w:pPr>
        <w:rPr>
          <w:b/>
          <w:bCs/>
          <w:lang w:val="en-GB"/>
        </w:rPr>
      </w:pPr>
      <w:r w:rsidRPr="00941D92">
        <w:rPr>
          <w:b/>
          <w:bCs/>
          <w:lang w:val="en-GB"/>
        </w:rPr>
        <w:t>Monitoring and evaluation</w:t>
      </w:r>
    </w:p>
    <w:p w14:paraId="0D54E48C" w14:textId="77777777" w:rsidR="00941D92" w:rsidRPr="00941D92" w:rsidRDefault="00941D92" w:rsidP="00941D92">
      <w:pPr>
        <w:rPr>
          <w:lang w:val="en-GB"/>
        </w:rPr>
      </w:pPr>
      <w:r w:rsidRPr="00941D92">
        <w:rPr>
          <w:lang w:val="en-GB"/>
        </w:rPr>
        <w:t>A monitoring and evaluation plan has not been developed for this SFDAI yet, but the intention is for it to be monitored against its key performance indicators and deliverables through IPPC monitoring and evaluation processes. The SFDAI will also be monitored through the general monitoring and evaluation plan outlined in the overarching SF implementation plan.</w:t>
      </w:r>
    </w:p>
    <w:p w14:paraId="0CD0797F" w14:textId="77777777" w:rsidR="00941D92" w:rsidRPr="00941D92" w:rsidRDefault="00941D92" w:rsidP="00941D92">
      <w:pPr>
        <w:rPr>
          <w:b/>
          <w:bCs/>
          <w:lang w:val="en-GB"/>
        </w:rPr>
      </w:pPr>
      <w:r w:rsidRPr="00941D92">
        <w:rPr>
          <w:b/>
          <w:bCs/>
          <w:lang w:val="en-GB"/>
        </w:rPr>
        <w:t>Communication</w:t>
      </w:r>
    </w:p>
    <w:p w14:paraId="34D1BE2D" w14:textId="77777777" w:rsidR="00941D92" w:rsidRPr="00941D92" w:rsidRDefault="00941D92" w:rsidP="00941D92">
      <w:pPr>
        <w:rPr>
          <w:lang w:val="en-GB"/>
        </w:rPr>
      </w:pPr>
      <w:r w:rsidRPr="00941D92">
        <w:rPr>
          <w:lang w:val="en-GB"/>
        </w:rPr>
        <w:t>A communication plan will be developed by the Focus Group on Climate Change and Phytosanitary Issues. The SFDAI will also be communicated through the general communication plan developed by the CPM Communications Focus Group.</w:t>
      </w:r>
    </w:p>
    <w:p w14:paraId="6D79914C" w14:textId="77777777" w:rsidR="00941D92" w:rsidRPr="00941D92" w:rsidRDefault="00941D92" w:rsidP="00941D92">
      <w:pPr>
        <w:rPr>
          <w:b/>
          <w:bCs/>
          <w:lang w:val="en-GB"/>
        </w:rPr>
      </w:pPr>
      <w:r w:rsidRPr="00941D92">
        <w:rPr>
          <w:b/>
          <w:bCs/>
          <w:lang w:val="en-GB"/>
        </w:rPr>
        <w:t>Issues and risks</w:t>
      </w:r>
    </w:p>
    <w:p w14:paraId="7B6AB477" w14:textId="64B10CB2" w:rsidR="00941D92" w:rsidRPr="00D11C98" w:rsidRDefault="00941D92" w:rsidP="009B23B5">
      <w:pPr>
        <w:rPr>
          <w:lang w:val="en-GB"/>
        </w:rPr>
      </w:pPr>
      <w:r w:rsidRPr="00941D92">
        <w:rPr>
          <w:lang w:val="en-GB"/>
        </w:rPr>
        <w:t>Funding and resources to support the development of guidance materials, webpages, communication resources, workshop initiatives and other activities need to be mobilised in order to deliver the action plan in its entirety.</w:t>
      </w:r>
    </w:p>
    <w:p w14:paraId="19D911EC" w14:textId="3F2CC783" w:rsidR="001911C1" w:rsidRPr="0057083F" w:rsidRDefault="001D6D85" w:rsidP="0057083F">
      <w:pPr>
        <w:pStyle w:val="Heading1"/>
      </w:pPr>
      <w:bookmarkStart w:id="28" w:name="_Toc114566387"/>
      <w:r w:rsidRPr="0057083F">
        <w:t>A</w:t>
      </w:r>
      <w:r w:rsidR="00F14A3C" w:rsidRPr="0057083F">
        <w:t>PPENDIX</w:t>
      </w:r>
      <w:r w:rsidRPr="0057083F">
        <w:t xml:space="preserve"> </w:t>
      </w:r>
      <w:r w:rsidR="000E00A0" w:rsidRPr="0057083F">
        <w:t xml:space="preserve">G - </w:t>
      </w:r>
      <w:r w:rsidR="001911C1" w:rsidRPr="0057083F">
        <w:t>Agenda Item #7</w:t>
      </w:r>
      <w:r w:rsidR="009B23B5" w:rsidRPr="0057083F">
        <w:t xml:space="preserve"> - </w:t>
      </w:r>
      <w:r w:rsidR="001911C1" w:rsidRPr="0057083F">
        <w:t>Global phytosanitary research coordination</w:t>
      </w:r>
      <w:bookmarkEnd w:id="28"/>
    </w:p>
    <w:p w14:paraId="0F3106D3" w14:textId="548FE91E" w:rsidR="009B23B5" w:rsidRPr="009B23B5" w:rsidRDefault="001846D9" w:rsidP="009B23B5">
      <w:r w:rsidRPr="001846D9">
        <w:rPr>
          <w:highlight w:val="yellow"/>
        </w:rPr>
        <w:t>TBC</w:t>
      </w:r>
    </w:p>
    <w:p w14:paraId="086DAB02" w14:textId="77777777" w:rsidR="00232390" w:rsidRPr="000E6062" w:rsidRDefault="00232390" w:rsidP="00232390">
      <w:pPr>
        <w:rPr>
          <w:rFonts w:cstheme="minorHAnsi"/>
          <w:b/>
          <w:bCs/>
          <w:u w:val="single"/>
        </w:rPr>
      </w:pPr>
      <w:r>
        <w:rPr>
          <w:rFonts w:cstheme="minorHAnsi"/>
          <w:b/>
          <w:bCs/>
          <w:u w:val="single"/>
        </w:rPr>
        <w:t>Benefit statement</w:t>
      </w:r>
    </w:p>
    <w:p w14:paraId="72462F02" w14:textId="77777777" w:rsidR="00232390" w:rsidRPr="000E6062" w:rsidRDefault="00232390" w:rsidP="00232390">
      <w:pPr>
        <w:rPr>
          <w:rFonts w:cstheme="minorHAnsi"/>
          <w:b/>
          <w:bCs/>
          <w:u w:val="single"/>
        </w:rPr>
      </w:pPr>
      <w:r>
        <w:rPr>
          <w:rFonts w:cstheme="minorHAnsi"/>
          <w:b/>
          <w:bCs/>
          <w:u w:val="single"/>
        </w:rPr>
        <w:t>Delivery</w:t>
      </w:r>
    </w:p>
    <w:p w14:paraId="09866447" w14:textId="77777777" w:rsidR="00232390" w:rsidRPr="000E6062" w:rsidRDefault="00232390" w:rsidP="00232390">
      <w:pPr>
        <w:rPr>
          <w:rFonts w:cstheme="minorHAnsi"/>
          <w:b/>
          <w:bCs/>
          <w:u w:val="single"/>
        </w:rPr>
      </w:pPr>
      <w:r>
        <w:rPr>
          <w:rFonts w:cstheme="minorHAnsi"/>
          <w:b/>
          <w:bCs/>
          <w:u w:val="single"/>
        </w:rPr>
        <w:t>Milestones and activities</w:t>
      </w:r>
    </w:p>
    <w:p w14:paraId="03C1B7B6" w14:textId="1ABA1961" w:rsidR="00232390" w:rsidRDefault="00232390" w:rsidP="00232390">
      <w:pPr>
        <w:rPr>
          <w:rFonts w:cstheme="minorHAnsi"/>
          <w:b/>
          <w:bCs/>
          <w:u w:val="single"/>
        </w:rPr>
      </w:pPr>
      <w:r>
        <w:rPr>
          <w:rFonts w:cstheme="minorHAnsi"/>
          <w:b/>
          <w:bCs/>
          <w:u w:val="single"/>
        </w:rPr>
        <w:t>Funding and resources</w:t>
      </w:r>
    </w:p>
    <w:p w14:paraId="706C5B14" w14:textId="40CD652D" w:rsidR="00CE3314" w:rsidRDefault="00CE3314" w:rsidP="00232390">
      <w:pPr>
        <w:rPr>
          <w:rFonts w:cstheme="minorHAnsi"/>
          <w:b/>
          <w:bCs/>
          <w:u w:val="single"/>
        </w:rPr>
      </w:pPr>
      <w:r w:rsidRPr="00CE3314">
        <w:rPr>
          <w:noProof/>
        </w:rPr>
        <w:drawing>
          <wp:inline distT="0" distB="0" distL="0" distR="0" wp14:anchorId="5180E2C8" wp14:editId="643D9FD5">
            <wp:extent cx="5943600" cy="2468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468245"/>
                    </a:xfrm>
                    <a:prstGeom prst="rect">
                      <a:avLst/>
                    </a:prstGeom>
                    <a:noFill/>
                    <a:ln>
                      <a:noFill/>
                    </a:ln>
                  </pic:spPr>
                </pic:pic>
              </a:graphicData>
            </a:graphic>
          </wp:inline>
        </w:drawing>
      </w:r>
    </w:p>
    <w:p w14:paraId="39B17245" w14:textId="77777777" w:rsidR="00232390" w:rsidRDefault="00232390" w:rsidP="00232390">
      <w:pPr>
        <w:rPr>
          <w:rFonts w:cstheme="minorHAnsi"/>
          <w:b/>
          <w:bCs/>
          <w:u w:val="single"/>
        </w:rPr>
      </w:pPr>
      <w:r>
        <w:rPr>
          <w:rFonts w:cstheme="minorHAnsi"/>
          <w:b/>
          <w:bCs/>
          <w:u w:val="single"/>
        </w:rPr>
        <w:lastRenderedPageBreak/>
        <w:t>Monitoring and evaluation</w:t>
      </w:r>
    </w:p>
    <w:p w14:paraId="6779A0E6" w14:textId="77777777" w:rsidR="00232390" w:rsidRDefault="00232390" w:rsidP="00232390">
      <w:pPr>
        <w:rPr>
          <w:rFonts w:cstheme="minorHAnsi"/>
          <w:b/>
          <w:bCs/>
          <w:u w:val="single"/>
        </w:rPr>
      </w:pPr>
      <w:r>
        <w:rPr>
          <w:rFonts w:cstheme="minorHAnsi"/>
          <w:b/>
          <w:bCs/>
          <w:u w:val="single"/>
        </w:rPr>
        <w:t>Communication</w:t>
      </w:r>
    </w:p>
    <w:p w14:paraId="64A54BC5" w14:textId="6CC58C48" w:rsidR="00232390" w:rsidRDefault="00232390" w:rsidP="00232390">
      <w:pPr>
        <w:rPr>
          <w:rFonts w:cstheme="minorHAnsi"/>
          <w:b/>
          <w:bCs/>
          <w:u w:val="single"/>
        </w:rPr>
      </w:pPr>
      <w:r>
        <w:rPr>
          <w:rFonts w:cstheme="minorHAnsi"/>
          <w:b/>
          <w:bCs/>
          <w:u w:val="single"/>
        </w:rPr>
        <w:t>Issues and risks</w:t>
      </w:r>
    </w:p>
    <w:p w14:paraId="71A3925A" w14:textId="77777777" w:rsidR="00232390" w:rsidRPr="000E6062" w:rsidRDefault="00232390" w:rsidP="00232390">
      <w:pPr>
        <w:rPr>
          <w:rFonts w:cstheme="minorHAnsi"/>
          <w:i/>
          <w:iCs/>
          <w:u w:val="single"/>
        </w:rPr>
      </w:pPr>
    </w:p>
    <w:p w14:paraId="1D662818" w14:textId="4F94ADFA" w:rsidR="001911C1" w:rsidRPr="0057083F" w:rsidRDefault="001D6D85" w:rsidP="0057083F">
      <w:pPr>
        <w:pStyle w:val="Heading1"/>
      </w:pPr>
      <w:bookmarkStart w:id="29" w:name="_Toc114566388"/>
      <w:r w:rsidRPr="0057083F">
        <w:t>A</w:t>
      </w:r>
      <w:r w:rsidR="00F14A3C" w:rsidRPr="0057083F">
        <w:t>PPENDIX</w:t>
      </w:r>
      <w:r w:rsidRPr="0057083F">
        <w:t xml:space="preserve"> H</w:t>
      </w:r>
      <w:r w:rsidR="000E00A0" w:rsidRPr="0057083F">
        <w:t xml:space="preserve"> - </w:t>
      </w:r>
      <w:r w:rsidR="001911C1" w:rsidRPr="0057083F">
        <w:t>Agenda Item #8</w:t>
      </w:r>
      <w:r w:rsidR="009B23B5" w:rsidRPr="0057083F">
        <w:t xml:space="preserve"> - </w:t>
      </w:r>
      <w:r w:rsidR="001911C1" w:rsidRPr="0057083F">
        <w:t>Diagnostic laboratory networking</w:t>
      </w:r>
      <w:bookmarkEnd w:id="29"/>
    </w:p>
    <w:p w14:paraId="07A22477" w14:textId="0E24B2DE" w:rsidR="009B23B5" w:rsidRPr="009B23B5" w:rsidRDefault="001846D9" w:rsidP="009B23B5">
      <w:r w:rsidRPr="001846D9">
        <w:rPr>
          <w:highlight w:val="yellow"/>
        </w:rPr>
        <w:t>TBC</w:t>
      </w:r>
    </w:p>
    <w:p w14:paraId="6171BE1D" w14:textId="77777777" w:rsidR="00232390" w:rsidRPr="000E6062" w:rsidRDefault="00232390" w:rsidP="00232390">
      <w:pPr>
        <w:rPr>
          <w:rFonts w:cstheme="minorHAnsi"/>
          <w:b/>
          <w:bCs/>
          <w:u w:val="single"/>
        </w:rPr>
      </w:pPr>
      <w:r>
        <w:rPr>
          <w:rFonts w:cstheme="minorHAnsi"/>
          <w:b/>
          <w:bCs/>
          <w:u w:val="single"/>
        </w:rPr>
        <w:t>Benefit statement</w:t>
      </w:r>
    </w:p>
    <w:p w14:paraId="639738D2" w14:textId="77777777" w:rsidR="00232390" w:rsidRPr="000E6062" w:rsidRDefault="00232390" w:rsidP="00232390">
      <w:pPr>
        <w:rPr>
          <w:rFonts w:cstheme="minorHAnsi"/>
          <w:b/>
          <w:bCs/>
          <w:u w:val="single"/>
        </w:rPr>
      </w:pPr>
      <w:r>
        <w:rPr>
          <w:rFonts w:cstheme="minorHAnsi"/>
          <w:b/>
          <w:bCs/>
          <w:u w:val="single"/>
        </w:rPr>
        <w:t>Delivery</w:t>
      </w:r>
    </w:p>
    <w:p w14:paraId="3B6BCBC6" w14:textId="77777777" w:rsidR="00232390" w:rsidRPr="000E6062" w:rsidRDefault="00232390" w:rsidP="00232390">
      <w:pPr>
        <w:rPr>
          <w:rFonts w:cstheme="minorHAnsi"/>
          <w:b/>
          <w:bCs/>
          <w:u w:val="single"/>
        </w:rPr>
      </w:pPr>
      <w:r>
        <w:rPr>
          <w:rFonts w:cstheme="minorHAnsi"/>
          <w:b/>
          <w:bCs/>
          <w:u w:val="single"/>
        </w:rPr>
        <w:t>Milestones and activities</w:t>
      </w:r>
    </w:p>
    <w:p w14:paraId="31752B98" w14:textId="28F55AB6" w:rsidR="00232390" w:rsidRDefault="00232390" w:rsidP="00232390">
      <w:pPr>
        <w:rPr>
          <w:rFonts w:cstheme="minorHAnsi"/>
          <w:b/>
          <w:bCs/>
          <w:u w:val="single"/>
        </w:rPr>
      </w:pPr>
      <w:r>
        <w:rPr>
          <w:rFonts w:cstheme="minorHAnsi"/>
          <w:b/>
          <w:bCs/>
          <w:u w:val="single"/>
        </w:rPr>
        <w:t>Funding and resources</w:t>
      </w:r>
    </w:p>
    <w:p w14:paraId="67A5B781" w14:textId="299E2ECB" w:rsidR="00FE13C9" w:rsidRDefault="00AE10AB" w:rsidP="00232390">
      <w:pPr>
        <w:rPr>
          <w:rFonts w:cstheme="minorHAnsi"/>
          <w:b/>
          <w:bCs/>
          <w:u w:val="single"/>
        </w:rPr>
      </w:pPr>
      <w:r w:rsidRPr="00AE10AB">
        <w:rPr>
          <w:noProof/>
        </w:rPr>
        <w:lastRenderedPageBreak/>
        <w:drawing>
          <wp:inline distT="0" distB="0" distL="0" distR="0" wp14:anchorId="2F6FBD86" wp14:editId="1910172D">
            <wp:extent cx="5943600" cy="5895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895975"/>
                    </a:xfrm>
                    <a:prstGeom prst="rect">
                      <a:avLst/>
                    </a:prstGeom>
                    <a:noFill/>
                    <a:ln>
                      <a:noFill/>
                    </a:ln>
                  </pic:spPr>
                </pic:pic>
              </a:graphicData>
            </a:graphic>
          </wp:inline>
        </w:drawing>
      </w:r>
    </w:p>
    <w:p w14:paraId="771636B0" w14:textId="77777777" w:rsidR="00232390" w:rsidRDefault="00232390" w:rsidP="00232390">
      <w:pPr>
        <w:rPr>
          <w:rFonts w:cstheme="minorHAnsi"/>
          <w:b/>
          <w:bCs/>
          <w:u w:val="single"/>
        </w:rPr>
      </w:pPr>
      <w:r>
        <w:rPr>
          <w:rFonts w:cstheme="minorHAnsi"/>
          <w:b/>
          <w:bCs/>
          <w:u w:val="single"/>
        </w:rPr>
        <w:t>Monitoring and evaluation</w:t>
      </w:r>
    </w:p>
    <w:p w14:paraId="2A3D014A" w14:textId="77777777" w:rsidR="00232390" w:rsidRDefault="00232390" w:rsidP="00232390">
      <w:pPr>
        <w:rPr>
          <w:rFonts w:cstheme="minorHAnsi"/>
          <w:b/>
          <w:bCs/>
          <w:u w:val="single"/>
        </w:rPr>
      </w:pPr>
      <w:r>
        <w:rPr>
          <w:rFonts w:cstheme="minorHAnsi"/>
          <w:b/>
          <w:bCs/>
          <w:u w:val="single"/>
        </w:rPr>
        <w:t>Communication</w:t>
      </w:r>
    </w:p>
    <w:p w14:paraId="7A62FCF6" w14:textId="01673766" w:rsidR="00F76958" w:rsidRDefault="00232390" w:rsidP="00232390">
      <w:pPr>
        <w:rPr>
          <w:rFonts w:cstheme="minorHAnsi"/>
          <w:b/>
          <w:bCs/>
          <w:u w:val="single"/>
        </w:rPr>
      </w:pPr>
      <w:r>
        <w:rPr>
          <w:rFonts w:cstheme="minorHAnsi"/>
          <w:b/>
          <w:bCs/>
          <w:u w:val="single"/>
        </w:rPr>
        <w:t>Issues and risks</w:t>
      </w:r>
    </w:p>
    <w:p w14:paraId="4857A660" w14:textId="0B944691" w:rsidR="00232390" w:rsidRDefault="00232390" w:rsidP="00F41E8D">
      <w:pPr>
        <w:rPr>
          <w:rFonts w:cstheme="minorHAnsi"/>
          <w:b/>
          <w:bCs/>
          <w:u w:val="single"/>
        </w:rPr>
      </w:pPr>
    </w:p>
    <w:p w14:paraId="5263F028" w14:textId="2EDBA680" w:rsidR="00C849A9" w:rsidRDefault="00C849A9" w:rsidP="00F41E8D">
      <w:pPr>
        <w:rPr>
          <w:rFonts w:cstheme="minorHAnsi"/>
          <w:b/>
          <w:bCs/>
          <w:u w:val="single"/>
        </w:rPr>
      </w:pPr>
    </w:p>
    <w:p w14:paraId="3B8F5B0F" w14:textId="08EAA014" w:rsidR="00C849A9" w:rsidRDefault="00C849A9" w:rsidP="00F41E8D">
      <w:pPr>
        <w:rPr>
          <w:rFonts w:cstheme="minorHAnsi"/>
          <w:b/>
          <w:bCs/>
          <w:u w:val="single"/>
        </w:rPr>
      </w:pPr>
    </w:p>
    <w:p w14:paraId="2C0BCCF9" w14:textId="77777777" w:rsidR="00C849A9" w:rsidRPr="00A94E09" w:rsidRDefault="00C849A9" w:rsidP="00F41E8D">
      <w:pPr>
        <w:rPr>
          <w:rFonts w:cstheme="minorHAnsi"/>
          <w:b/>
          <w:bCs/>
          <w:u w:val="single"/>
        </w:rPr>
      </w:pPr>
    </w:p>
    <w:p w14:paraId="1592A674" w14:textId="0E757843" w:rsidR="00E17121" w:rsidRDefault="00593C9E" w:rsidP="00E17121">
      <w:pPr>
        <w:pStyle w:val="Heading1"/>
      </w:pPr>
      <w:bookmarkStart w:id="30" w:name="_Toc114566389"/>
      <w:r>
        <w:lastRenderedPageBreak/>
        <w:t>APPENDIX I – SFDAI reporting template</w:t>
      </w:r>
      <w:bookmarkEnd w:id="30"/>
    </w:p>
    <w:p w14:paraId="20A5EE31" w14:textId="30BF0D8F" w:rsidR="003A75CD" w:rsidRDefault="003A75CD" w:rsidP="003A75CD"/>
    <w:tbl>
      <w:tblPr>
        <w:tblStyle w:val="TableGridLight1"/>
        <w:tblW w:w="9350" w:type="dxa"/>
        <w:tblLook w:val="04A0" w:firstRow="1" w:lastRow="0" w:firstColumn="1" w:lastColumn="0" w:noHBand="0" w:noVBand="1"/>
      </w:tblPr>
      <w:tblGrid>
        <w:gridCol w:w="2405"/>
        <w:gridCol w:w="6945"/>
      </w:tblGrid>
      <w:tr w:rsidR="00E62A67" w:rsidRPr="003A75CD" w14:paraId="5393FBB9" w14:textId="18E9A0A8" w:rsidTr="00E62A67">
        <w:tc>
          <w:tcPr>
            <w:tcW w:w="9350" w:type="dxa"/>
            <w:gridSpan w:val="2"/>
            <w:shd w:val="clear" w:color="auto" w:fill="BFBFBF" w:themeFill="background1" w:themeFillShade="BF"/>
            <w:hideMark/>
          </w:tcPr>
          <w:p w14:paraId="55C4FAF6" w14:textId="60AD0F82" w:rsidR="00E62A67" w:rsidRPr="003A75CD" w:rsidRDefault="00E62A67" w:rsidP="003A75CD">
            <w:pPr>
              <w:rPr>
                <w:b/>
                <w:bCs/>
                <w:sz w:val="32"/>
                <w:szCs w:val="32"/>
                <w:lang w:val="en-GB"/>
              </w:rPr>
            </w:pPr>
            <w:r w:rsidRPr="003A75CD">
              <w:rPr>
                <w:b/>
                <w:bCs/>
                <w:sz w:val="32"/>
                <w:szCs w:val="32"/>
                <w:lang w:val="en-GB"/>
              </w:rPr>
              <w:t>SFDAI Reporting template</w:t>
            </w:r>
          </w:p>
        </w:tc>
      </w:tr>
      <w:tr w:rsidR="003A75CD" w:rsidRPr="003A75CD" w14:paraId="2616D5C3" w14:textId="7A829F22" w:rsidTr="00E62A67">
        <w:tc>
          <w:tcPr>
            <w:tcW w:w="2405" w:type="dxa"/>
            <w:shd w:val="clear" w:color="auto" w:fill="F2F2F2" w:themeFill="background1" w:themeFillShade="F2"/>
            <w:hideMark/>
          </w:tcPr>
          <w:p w14:paraId="6F2CD5E6" w14:textId="523A2F06" w:rsidR="003A75CD" w:rsidRPr="003A75CD" w:rsidRDefault="003A75CD" w:rsidP="003A75CD">
            <w:pPr>
              <w:spacing w:after="160" w:line="259" w:lineRule="auto"/>
              <w:rPr>
                <w:b/>
                <w:bCs/>
                <w:lang w:val="en-GB"/>
              </w:rPr>
            </w:pPr>
            <w:r w:rsidRPr="00E62A67">
              <w:rPr>
                <w:b/>
                <w:bCs/>
                <w:lang w:val="en-GB"/>
              </w:rPr>
              <w:t>SFDAI</w:t>
            </w:r>
          </w:p>
        </w:tc>
        <w:tc>
          <w:tcPr>
            <w:tcW w:w="6945" w:type="dxa"/>
            <w:shd w:val="clear" w:color="auto" w:fill="F2F2F2" w:themeFill="background1" w:themeFillShade="F2"/>
          </w:tcPr>
          <w:p w14:paraId="001FD108" w14:textId="77777777" w:rsidR="003A75CD" w:rsidRDefault="003A75CD" w:rsidP="003A75CD">
            <w:pPr>
              <w:rPr>
                <w:lang w:val="en-GB"/>
              </w:rPr>
            </w:pPr>
          </w:p>
        </w:tc>
      </w:tr>
      <w:tr w:rsidR="003A75CD" w:rsidRPr="003A75CD" w14:paraId="638C4B70" w14:textId="6E651E1B" w:rsidTr="00E62A67">
        <w:tc>
          <w:tcPr>
            <w:tcW w:w="2405" w:type="dxa"/>
            <w:shd w:val="clear" w:color="auto" w:fill="F2F2F2" w:themeFill="background1" w:themeFillShade="F2"/>
            <w:hideMark/>
          </w:tcPr>
          <w:p w14:paraId="55136165" w14:textId="100ACBB0" w:rsidR="003A75CD" w:rsidRPr="003A75CD" w:rsidRDefault="003A75CD" w:rsidP="003A75CD">
            <w:pPr>
              <w:spacing w:after="160" w:line="259" w:lineRule="auto"/>
              <w:rPr>
                <w:b/>
                <w:bCs/>
                <w:lang w:val="en-GB"/>
              </w:rPr>
            </w:pPr>
            <w:r w:rsidRPr="00E62A67">
              <w:rPr>
                <w:b/>
                <w:bCs/>
                <w:lang w:val="en-GB"/>
              </w:rPr>
              <w:t>Implementation group</w:t>
            </w:r>
          </w:p>
        </w:tc>
        <w:tc>
          <w:tcPr>
            <w:tcW w:w="6945" w:type="dxa"/>
            <w:shd w:val="clear" w:color="auto" w:fill="F2F2F2" w:themeFill="background1" w:themeFillShade="F2"/>
          </w:tcPr>
          <w:p w14:paraId="3840DBC3" w14:textId="77777777" w:rsidR="003A75CD" w:rsidRDefault="003A75CD" w:rsidP="003A75CD">
            <w:pPr>
              <w:rPr>
                <w:lang w:val="en-GB"/>
              </w:rPr>
            </w:pPr>
          </w:p>
        </w:tc>
      </w:tr>
      <w:tr w:rsidR="003A75CD" w:rsidRPr="003A75CD" w14:paraId="0D9BFC87" w14:textId="222BA7C3" w:rsidTr="00E62A67">
        <w:tc>
          <w:tcPr>
            <w:tcW w:w="2405" w:type="dxa"/>
            <w:shd w:val="clear" w:color="auto" w:fill="F2F2F2" w:themeFill="background1" w:themeFillShade="F2"/>
            <w:hideMark/>
          </w:tcPr>
          <w:p w14:paraId="1836E92C" w14:textId="4C8146C5" w:rsidR="003A75CD" w:rsidRPr="003A75CD" w:rsidRDefault="003A75CD" w:rsidP="003A75CD">
            <w:pPr>
              <w:spacing w:after="160" w:line="259" w:lineRule="auto"/>
              <w:rPr>
                <w:b/>
                <w:bCs/>
                <w:lang w:val="en-GB"/>
              </w:rPr>
            </w:pPr>
            <w:r w:rsidRPr="00E62A67">
              <w:rPr>
                <w:b/>
                <w:bCs/>
                <w:lang w:val="en-GB"/>
              </w:rPr>
              <w:t>Report writer</w:t>
            </w:r>
          </w:p>
        </w:tc>
        <w:tc>
          <w:tcPr>
            <w:tcW w:w="6945" w:type="dxa"/>
            <w:shd w:val="clear" w:color="auto" w:fill="F2F2F2" w:themeFill="background1" w:themeFillShade="F2"/>
          </w:tcPr>
          <w:p w14:paraId="7FCFBA01" w14:textId="77777777" w:rsidR="003A75CD" w:rsidRDefault="003A75CD" w:rsidP="003A75CD">
            <w:pPr>
              <w:rPr>
                <w:lang w:val="en-GB"/>
              </w:rPr>
            </w:pPr>
          </w:p>
        </w:tc>
      </w:tr>
      <w:tr w:rsidR="003A75CD" w:rsidRPr="003A75CD" w14:paraId="361E0FEC" w14:textId="7E3D65EE" w:rsidTr="00E62A67">
        <w:tc>
          <w:tcPr>
            <w:tcW w:w="2405" w:type="dxa"/>
            <w:shd w:val="clear" w:color="auto" w:fill="F2F2F2" w:themeFill="background1" w:themeFillShade="F2"/>
            <w:hideMark/>
          </w:tcPr>
          <w:p w14:paraId="34337BB8" w14:textId="02EADC60" w:rsidR="003A75CD" w:rsidRPr="003A75CD" w:rsidRDefault="003A75CD" w:rsidP="003A75CD">
            <w:pPr>
              <w:spacing w:after="160" w:line="259" w:lineRule="auto"/>
              <w:rPr>
                <w:b/>
                <w:bCs/>
                <w:lang w:val="en-GB"/>
              </w:rPr>
            </w:pPr>
            <w:r w:rsidRPr="00E62A67">
              <w:rPr>
                <w:b/>
                <w:bCs/>
                <w:lang w:val="en-GB"/>
              </w:rPr>
              <w:t>Date</w:t>
            </w:r>
          </w:p>
        </w:tc>
        <w:tc>
          <w:tcPr>
            <w:tcW w:w="6945" w:type="dxa"/>
            <w:shd w:val="clear" w:color="auto" w:fill="F2F2F2" w:themeFill="background1" w:themeFillShade="F2"/>
          </w:tcPr>
          <w:p w14:paraId="147C5C91" w14:textId="77777777" w:rsidR="003A75CD" w:rsidRDefault="003A75CD" w:rsidP="003A75CD">
            <w:pPr>
              <w:rPr>
                <w:lang w:val="en-GB"/>
              </w:rPr>
            </w:pPr>
          </w:p>
        </w:tc>
      </w:tr>
      <w:tr w:rsidR="00E62A67" w:rsidRPr="003A75CD" w14:paraId="7F4A8B70" w14:textId="7F30023E" w:rsidTr="00E62A67">
        <w:tc>
          <w:tcPr>
            <w:tcW w:w="9350" w:type="dxa"/>
            <w:gridSpan w:val="2"/>
            <w:shd w:val="clear" w:color="auto" w:fill="F2F2F2" w:themeFill="background1" w:themeFillShade="F2"/>
            <w:hideMark/>
          </w:tcPr>
          <w:p w14:paraId="4C21E735" w14:textId="77777777" w:rsidR="00E62A67" w:rsidRPr="00E62A67" w:rsidRDefault="00E62A67" w:rsidP="003A75CD">
            <w:pPr>
              <w:rPr>
                <w:b/>
                <w:bCs/>
                <w:lang w:val="en-GB"/>
              </w:rPr>
            </w:pPr>
            <w:r w:rsidRPr="00E62A67">
              <w:rPr>
                <w:b/>
                <w:bCs/>
                <w:lang w:val="en-GB"/>
              </w:rPr>
              <w:t>Summary of progress</w:t>
            </w:r>
          </w:p>
          <w:p w14:paraId="2CBB8578" w14:textId="77777777" w:rsidR="00E62A67" w:rsidRPr="00E62A67" w:rsidRDefault="00E62A67" w:rsidP="003A75CD">
            <w:pPr>
              <w:rPr>
                <w:lang w:val="en-GB"/>
              </w:rPr>
            </w:pPr>
          </w:p>
          <w:p w14:paraId="530DD0FF" w14:textId="77777777" w:rsidR="00E62A67" w:rsidRPr="00E62A67" w:rsidRDefault="00E62A67" w:rsidP="003A75CD">
            <w:pPr>
              <w:rPr>
                <w:lang w:val="en-GB"/>
              </w:rPr>
            </w:pPr>
          </w:p>
          <w:p w14:paraId="2C095C40" w14:textId="77777777" w:rsidR="00E62A67" w:rsidRPr="00E62A67" w:rsidRDefault="00E62A67" w:rsidP="003A75CD">
            <w:pPr>
              <w:rPr>
                <w:lang w:val="en-GB"/>
              </w:rPr>
            </w:pPr>
          </w:p>
          <w:p w14:paraId="6320BC9E" w14:textId="77777777" w:rsidR="00E62A67" w:rsidRPr="00E62A67" w:rsidRDefault="00E62A67" w:rsidP="003A75CD">
            <w:pPr>
              <w:rPr>
                <w:lang w:val="en-GB"/>
              </w:rPr>
            </w:pPr>
          </w:p>
          <w:p w14:paraId="6FD30A1E" w14:textId="7E24C183" w:rsidR="00E62A67" w:rsidRPr="00E62A67" w:rsidRDefault="00E62A67" w:rsidP="003A75CD">
            <w:pPr>
              <w:rPr>
                <w:lang w:val="en-GB"/>
              </w:rPr>
            </w:pPr>
          </w:p>
        </w:tc>
      </w:tr>
      <w:tr w:rsidR="00E62A67" w:rsidRPr="003A75CD" w14:paraId="10C83CB7" w14:textId="5A0B7B98" w:rsidTr="00E62A67">
        <w:tc>
          <w:tcPr>
            <w:tcW w:w="9350" w:type="dxa"/>
            <w:gridSpan w:val="2"/>
            <w:shd w:val="clear" w:color="auto" w:fill="F2F2F2" w:themeFill="background1" w:themeFillShade="F2"/>
            <w:hideMark/>
          </w:tcPr>
          <w:p w14:paraId="50D883FF" w14:textId="77777777" w:rsidR="00E62A67" w:rsidRPr="00E62A67" w:rsidRDefault="00E62A67" w:rsidP="003A75CD">
            <w:pPr>
              <w:rPr>
                <w:b/>
                <w:bCs/>
                <w:lang w:val="en-GB"/>
              </w:rPr>
            </w:pPr>
            <w:r w:rsidRPr="00E62A67">
              <w:rPr>
                <w:b/>
                <w:bCs/>
                <w:lang w:val="en-GB"/>
              </w:rPr>
              <w:t>Next steps</w:t>
            </w:r>
          </w:p>
          <w:p w14:paraId="21DE5831" w14:textId="77777777" w:rsidR="00E62A67" w:rsidRDefault="00E62A67" w:rsidP="003A75CD">
            <w:pPr>
              <w:rPr>
                <w:lang w:val="en-GB"/>
              </w:rPr>
            </w:pPr>
          </w:p>
          <w:p w14:paraId="5394D50E" w14:textId="77777777" w:rsidR="00E62A67" w:rsidRDefault="00E62A67" w:rsidP="003A75CD">
            <w:pPr>
              <w:rPr>
                <w:lang w:val="en-GB"/>
              </w:rPr>
            </w:pPr>
          </w:p>
          <w:p w14:paraId="16C878B1" w14:textId="77777777" w:rsidR="00E62A67" w:rsidRDefault="00E62A67" w:rsidP="003A75CD">
            <w:pPr>
              <w:rPr>
                <w:lang w:val="en-GB"/>
              </w:rPr>
            </w:pPr>
          </w:p>
          <w:p w14:paraId="36F86FCD" w14:textId="77777777" w:rsidR="00E62A67" w:rsidRDefault="00E62A67" w:rsidP="003A75CD">
            <w:pPr>
              <w:rPr>
                <w:lang w:val="en-GB"/>
              </w:rPr>
            </w:pPr>
          </w:p>
          <w:p w14:paraId="05914D37" w14:textId="23CAD274" w:rsidR="00E62A67" w:rsidRPr="003A75CD" w:rsidRDefault="00E62A67" w:rsidP="003A75CD">
            <w:pPr>
              <w:rPr>
                <w:lang w:val="en-GB"/>
              </w:rPr>
            </w:pPr>
          </w:p>
        </w:tc>
      </w:tr>
      <w:tr w:rsidR="00E62A67" w:rsidRPr="003A75CD" w14:paraId="6E22B71C" w14:textId="2B989C31" w:rsidTr="00E62A67">
        <w:tc>
          <w:tcPr>
            <w:tcW w:w="9350" w:type="dxa"/>
            <w:gridSpan w:val="2"/>
            <w:shd w:val="clear" w:color="auto" w:fill="F2F2F2" w:themeFill="background1" w:themeFillShade="F2"/>
            <w:hideMark/>
          </w:tcPr>
          <w:p w14:paraId="188A547A" w14:textId="77777777" w:rsidR="00E62A67" w:rsidRPr="00E62A67" w:rsidRDefault="00E62A67" w:rsidP="003A75CD">
            <w:pPr>
              <w:rPr>
                <w:b/>
                <w:bCs/>
                <w:lang w:val="en-GB"/>
              </w:rPr>
            </w:pPr>
            <w:r w:rsidRPr="00E62A67">
              <w:rPr>
                <w:b/>
                <w:bCs/>
                <w:lang w:val="en-GB"/>
              </w:rPr>
              <w:t>Assessment against M&amp;E targets</w:t>
            </w:r>
          </w:p>
          <w:p w14:paraId="1F0C69C2" w14:textId="77777777" w:rsidR="00E62A67" w:rsidRDefault="00E62A67" w:rsidP="003A75CD">
            <w:pPr>
              <w:rPr>
                <w:lang w:val="en-GB"/>
              </w:rPr>
            </w:pPr>
          </w:p>
          <w:p w14:paraId="1082E5ED" w14:textId="77777777" w:rsidR="00E62A67" w:rsidRDefault="00E62A67" w:rsidP="003A75CD">
            <w:pPr>
              <w:rPr>
                <w:lang w:val="en-GB"/>
              </w:rPr>
            </w:pPr>
          </w:p>
          <w:p w14:paraId="172F1205" w14:textId="77777777" w:rsidR="00E62A67" w:rsidRDefault="00E62A67" w:rsidP="003A75CD">
            <w:pPr>
              <w:rPr>
                <w:lang w:val="en-GB"/>
              </w:rPr>
            </w:pPr>
          </w:p>
          <w:p w14:paraId="50A513E8" w14:textId="77777777" w:rsidR="00E62A67" w:rsidRDefault="00E62A67" w:rsidP="003A75CD">
            <w:pPr>
              <w:rPr>
                <w:lang w:val="en-GB"/>
              </w:rPr>
            </w:pPr>
          </w:p>
          <w:p w14:paraId="18ACBBED" w14:textId="03D2FF9E" w:rsidR="00E62A67" w:rsidRPr="003A75CD" w:rsidRDefault="00E62A67" w:rsidP="003A75CD">
            <w:pPr>
              <w:rPr>
                <w:lang w:val="en-GB"/>
              </w:rPr>
            </w:pPr>
            <w:r w:rsidRPr="003A75CD">
              <w:rPr>
                <w:lang w:val="en-GB"/>
              </w:rPr>
              <w:t> </w:t>
            </w:r>
          </w:p>
        </w:tc>
      </w:tr>
      <w:tr w:rsidR="00E62A67" w:rsidRPr="003A75CD" w14:paraId="200F3D02" w14:textId="70BCB48E" w:rsidTr="00E62A67">
        <w:tc>
          <w:tcPr>
            <w:tcW w:w="9350" w:type="dxa"/>
            <w:gridSpan w:val="2"/>
            <w:shd w:val="clear" w:color="auto" w:fill="F2F2F2" w:themeFill="background1" w:themeFillShade="F2"/>
            <w:hideMark/>
          </w:tcPr>
          <w:p w14:paraId="1A47F0FF" w14:textId="77777777" w:rsidR="00E62A67" w:rsidRPr="00E62A67" w:rsidRDefault="00E62A67" w:rsidP="003A75CD">
            <w:pPr>
              <w:rPr>
                <w:b/>
                <w:bCs/>
                <w:lang w:val="en-GB"/>
              </w:rPr>
            </w:pPr>
            <w:r w:rsidRPr="00E62A67">
              <w:rPr>
                <w:b/>
                <w:bCs/>
                <w:lang w:val="en-GB"/>
              </w:rPr>
              <w:t>Issues and risks</w:t>
            </w:r>
          </w:p>
          <w:p w14:paraId="5998C079" w14:textId="77777777" w:rsidR="00E62A67" w:rsidRDefault="00E62A67" w:rsidP="003A75CD">
            <w:pPr>
              <w:rPr>
                <w:lang w:val="en-GB"/>
              </w:rPr>
            </w:pPr>
          </w:p>
          <w:p w14:paraId="706E0F79" w14:textId="77777777" w:rsidR="00E62A67" w:rsidRDefault="00E62A67" w:rsidP="003A75CD">
            <w:pPr>
              <w:rPr>
                <w:lang w:val="en-GB"/>
              </w:rPr>
            </w:pPr>
          </w:p>
          <w:p w14:paraId="4AF9CE17" w14:textId="77777777" w:rsidR="00E62A67" w:rsidRDefault="00E62A67" w:rsidP="003A75CD">
            <w:pPr>
              <w:rPr>
                <w:lang w:val="en-GB"/>
              </w:rPr>
            </w:pPr>
          </w:p>
          <w:p w14:paraId="5821CE1A" w14:textId="77777777" w:rsidR="00E62A67" w:rsidRDefault="00E62A67" w:rsidP="003A75CD">
            <w:pPr>
              <w:rPr>
                <w:lang w:val="en-GB"/>
              </w:rPr>
            </w:pPr>
          </w:p>
          <w:p w14:paraId="1267A98B" w14:textId="6C641FB8" w:rsidR="00E62A67" w:rsidRPr="003A75CD" w:rsidRDefault="00E62A67" w:rsidP="003A75CD">
            <w:pPr>
              <w:rPr>
                <w:lang w:val="en-GB"/>
              </w:rPr>
            </w:pPr>
            <w:r w:rsidRPr="003A75CD">
              <w:rPr>
                <w:lang w:val="en-GB"/>
              </w:rPr>
              <w:t> </w:t>
            </w:r>
          </w:p>
        </w:tc>
      </w:tr>
      <w:tr w:rsidR="00E62A67" w:rsidRPr="003A75CD" w14:paraId="2374BAD4" w14:textId="132A570A" w:rsidTr="00E62A67">
        <w:tc>
          <w:tcPr>
            <w:tcW w:w="9350" w:type="dxa"/>
            <w:gridSpan w:val="2"/>
            <w:shd w:val="clear" w:color="auto" w:fill="F2F2F2" w:themeFill="background1" w:themeFillShade="F2"/>
            <w:hideMark/>
          </w:tcPr>
          <w:p w14:paraId="042D74FE" w14:textId="538FFFA9" w:rsidR="00E62A67" w:rsidRPr="003A75CD" w:rsidRDefault="00E62A67" w:rsidP="00E62A67">
            <w:pPr>
              <w:spacing w:line="259" w:lineRule="auto"/>
              <w:rPr>
                <w:b/>
                <w:bCs/>
                <w:lang w:val="en-GB"/>
              </w:rPr>
            </w:pPr>
            <w:r w:rsidRPr="003A75CD">
              <w:rPr>
                <w:b/>
                <w:bCs/>
                <w:lang w:val="en-GB"/>
              </w:rPr>
              <w:t>Support required</w:t>
            </w:r>
          </w:p>
          <w:p w14:paraId="1D082A70" w14:textId="77777777" w:rsidR="00E62A67" w:rsidRDefault="00E62A67" w:rsidP="003A75CD">
            <w:pPr>
              <w:rPr>
                <w:lang w:val="en-GB"/>
              </w:rPr>
            </w:pPr>
            <w:r w:rsidRPr="003A75CD">
              <w:rPr>
                <w:lang w:val="en-GB"/>
              </w:rPr>
              <w:t> </w:t>
            </w:r>
          </w:p>
          <w:p w14:paraId="7F56CF03" w14:textId="77777777" w:rsidR="00E62A67" w:rsidRDefault="00E62A67" w:rsidP="003A75CD">
            <w:pPr>
              <w:rPr>
                <w:lang w:val="en-GB"/>
              </w:rPr>
            </w:pPr>
          </w:p>
          <w:p w14:paraId="6DD801B8" w14:textId="77777777" w:rsidR="00E62A67" w:rsidRDefault="00E62A67" w:rsidP="003A75CD">
            <w:pPr>
              <w:rPr>
                <w:lang w:val="en-GB"/>
              </w:rPr>
            </w:pPr>
          </w:p>
          <w:p w14:paraId="73198384" w14:textId="77777777" w:rsidR="00E62A67" w:rsidRDefault="00E62A67" w:rsidP="003A75CD">
            <w:pPr>
              <w:rPr>
                <w:lang w:val="en-GB"/>
              </w:rPr>
            </w:pPr>
          </w:p>
          <w:p w14:paraId="5A59C38B" w14:textId="12C6E3B0" w:rsidR="00E62A67" w:rsidRPr="003A75CD" w:rsidRDefault="00E62A67" w:rsidP="003A75CD">
            <w:pPr>
              <w:rPr>
                <w:lang w:val="en-GB"/>
              </w:rPr>
            </w:pPr>
          </w:p>
        </w:tc>
      </w:tr>
    </w:tbl>
    <w:p w14:paraId="2C77FFAA" w14:textId="77777777" w:rsidR="003A75CD" w:rsidRPr="003A75CD" w:rsidRDefault="003A75CD" w:rsidP="003A75CD"/>
    <w:p w14:paraId="7FA97FC3" w14:textId="34D76214" w:rsidR="00E17121" w:rsidRDefault="00E17121" w:rsidP="00E17121"/>
    <w:p w14:paraId="45DA6E4F" w14:textId="77777777" w:rsidR="00E62A67" w:rsidRDefault="00E62A67" w:rsidP="00E17121"/>
    <w:p w14:paraId="086481E2" w14:textId="7FB6D0FB" w:rsidR="00E17121" w:rsidRDefault="00E17121" w:rsidP="00E17121">
      <w:pPr>
        <w:pStyle w:val="Heading1"/>
      </w:pPr>
      <w:bookmarkStart w:id="31" w:name="_Toc114566390"/>
      <w:r>
        <w:lastRenderedPageBreak/>
        <w:t>A</w:t>
      </w:r>
      <w:r w:rsidR="00C523F8">
        <w:t>PPENDIX</w:t>
      </w:r>
      <w:r>
        <w:t xml:space="preserve"> J – CPM Focus Group membership</w:t>
      </w:r>
      <w:bookmarkEnd w:id="31"/>
    </w:p>
    <w:p w14:paraId="653B6390" w14:textId="77777777" w:rsidR="00E17121" w:rsidRPr="00E17121" w:rsidRDefault="00E17121" w:rsidP="00E17121"/>
    <w:p w14:paraId="40C15C99" w14:textId="2C20FAA7" w:rsidR="00E17121" w:rsidRDefault="00E17121" w:rsidP="00E17121">
      <w:r w:rsidRPr="00E17121">
        <w:rPr>
          <w:b/>
          <w:bCs/>
        </w:rPr>
        <w:t>Table 2.</w:t>
      </w:r>
      <w:r>
        <w:t xml:space="preserve"> CPM Focus Group membership.</w:t>
      </w:r>
    </w:p>
    <w:tbl>
      <w:tblPr>
        <w:tblStyle w:val="GridTable1Light1"/>
        <w:tblW w:w="0" w:type="auto"/>
        <w:tblLook w:val="04A0" w:firstRow="1" w:lastRow="0" w:firstColumn="1" w:lastColumn="0" w:noHBand="0" w:noVBand="1"/>
      </w:tblPr>
      <w:tblGrid>
        <w:gridCol w:w="4675"/>
        <w:gridCol w:w="4675"/>
      </w:tblGrid>
      <w:tr w:rsidR="00E17121" w:rsidRPr="00E17121" w14:paraId="444F156D" w14:textId="77777777" w:rsidTr="00BB1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100586" w14:textId="77777777" w:rsidR="00E17121" w:rsidRPr="00E17121" w:rsidRDefault="00E17121" w:rsidP="00E17121">
            <w:pPr>
              <w:spacing w:after="160" w:line="259" w:lineRule="auto"/>
              <w:rPr>
                <w:lang w:val="en-NZ"/>
              </w:rPr>
            </w:pPr>
            <w:r w:rsidRPr="00E17121">
              <w:rPr>
                <w:lang w:val="en-NZ"/>
              </w:rPr>
              <w:t>Region/body represented</w:t>
            </w:r>
          </w:p>
        </w:tc>
        <w:tc>
          <w:tcPr>
            <w:tcW w:w="4675" w:type="dxa"/>
          </w:tcPr>
          <w:p w14:paraId="65B0A24B" w14:textId="77777777" w:rsidR="00E17121" w:rsidRPr="00E17121" w:rsidRDefault="00E17121" w:rsidP="00E17121">
            <w:pPr>
              <w:spacing w:after="160" w:line="259" w:lineRule="auto"/>
              <w:cnfStyle w:val="100000000000" w:firstRow="1" w:lastRow="0" w:firstColumn="0" w:lastColumn="0" w:oddVBand="0" w:evenVBand="0" w:oddHBand="0" w:evenHBand="0" w:firstRowFirstColumn="0" w:firstRowLastColumn="0" w:lastRowFirstColumn="0" w:lastRowLastColumn="0"/>
              <w:rPr>
                <w:lang w:val="en-NZ"/>
              </w:rPr>
            </w:pPr>
            <w:r w:rsidRPr="00E17121">
              <w:rPr>
                <w:lang w:val="en-NZ"/>
              </w:rPr>
              <w:t>Name and organization</w:t>
            </w:r>
          </w:p>
        </w:tc>
      </w:tr>
      <w:tr w:rsidR="00E17121" w:rsidRPr="00E17121" w14:paraId="743F01B2"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28F5CBF1" w14:textId="77777777" w:rsidR="00E17121" w:rsidRPr="00E17121" w:rsidRDefault="00E17121" w:rsidP="00E17121">
            <w:pPr>
              <w:spacing w:after="160" w:line="259" w:lineRule="auto"/>
              <w:rPr>
                <w:lang w:val="en-NZ"/>
              </w:rPr>
            </w:pPr>
            <w:r w:rsidRPr="00E17121">
              <w:rPr>
                <w:lang w:val="en-NZ"/>
              </w:rPr>
              <w:t>Africa</w:t>
            </w:r>
          </w:p>
        </w:tc>
        <w:tc>
          <w:tcPr>
            <w:tcW w:w="4675" w:type="dxa"/>
          </w:tcPr>
          <w:p w14:paraId="54C7135F" w14:textId="6677953B" w:rsidR="00E17121" w:rsidRPr="00BA5E63" w:rsidRDefault="00BA5E63"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BA5E63">
              <w:rPr>
                <w:lang w:val="en-NZ"/>
              </w:rPr>
              <w:t>Vacant</w:t>
            </w:r>
          </w:p>
        </w:tc>
      </w:tr>
      <w:tr w:rsidR="00E17121" w:rsidRPr="00E17121" w14:paraId="28612694"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030EFDE" w14:textId="77777777" w:rsidR="00E17121" w:rsidRPr="00E17121" w:rsidRDefault="00E17121" w:rsidP="00E17121">
            <w:pPr>
              <w:spacing w:after="160" w:line="259" w:lineRule="auto"/>
              <w:rPr>
                <w:lang w:val="en-NZ"/>
              </w:rPr>
            </w:pPr>
            <w:r w:rsidRPr="00E17121">
              <w:rPr>
                <w:lang w:val="en-NZ"/>
              </w:rPr>
              <w:t>Asia</w:t>
            </w:r>
          </w:p>
        </w:tc>
        <w:tc>
          <w:tcPr>
            <w:tcW w:w="4675" w:type="dxa"/>
          </w:tcPr>
          <w:p w14:paraId="606EE832"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 xml:space="preserve">Teppei Shigemi </w:t>
            </w:r>
          </w:p>
          <w:p w14:paraId="19CEAA1F"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Ministry of Agriculture, Forestry and Fisheries (MAFF), Japan</w:t>
            </w:r>
          </w:p>
        </w:tc>
      </w:tr>
      <w:tr w:rsidR="00E17121" w:rsidRPr="00E17121" w14:paraId="2EC21A73"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211C1E6" w14:textId="77777777" w:rsidR="00E17121" w:rsidRPr="00E17121" w:rsidRDefault="00E17121" w:rsidP="00E17121">
            <w:pPr>
              <w:spacing w:after="160" w:line="259" w:lineRule="auto"/>
              <w:rPr>
                <w:lang w:val="en-NZ"/>
              </w:rPr>
            </w:pPr>
            <w:r w:rsidRPr="00E17121">
              <w:rPr>
                <w:lang w:val="en-NZ"/>
              </w:rPr>
              <w:t>Europe</w:t>
            </w:r>
          </w:p>
        </w:tc>
        <w:tc>
          <w:tcPr>
            <w:tcW w:w="4675" w:type="dxa"/>
          </w:tcPr>
          <w:p w14:paraId="6E486EFE"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 xml:space="preserve">Matthew Everatt </w:t>
            </w:r>
          </w:p>
          <w:p w14:paraId="6BD6E954" w14:textId="172837AB"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Department for Environment, Food and Rural Affairs (Defra</w:t>
            </w:r>
            <w:r w:rsidRPr="2768421C">
              <w:rPr>
                <w:lang w:val="en-NZ"/>
              </w:rPr>
              <w:t>)</w:t>
            </w:r>
            <w:r w:rsidR="396B49A6" w:rsidRPr="2768421C">
              <w:rPr>
                <w:lang w:val="en-NZ"/>
              </w:rPr>
              <w:t>, UK</w:t>
            </w:r>
          </w:p>
        </w:tc>
      </w:tr>
      <w:tr w:rsidR="00E17121" w:rsidRPr="00E17121" w14:paraId="0A44E04A"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677D8D02" w14:textId="77777777" w:rsidR="00E17121" w:rsidRPr="00E17121" w:rsidRDefault="00E17121" w:rsidP="00E17121">
            <w:pPr>
              <w:spacing w:after="160" w:line="259" w:lineRule="auto"/>
              <w:rPr>
                <w:lang w:val="en-NZ"/>
              </w:rPr>
            </w:pPr>
            <w:r w:rsidRPr="00E17121">
              <w:rPr>
                <w:lang w:val="en-NZ"/>
              </w:rPr>
              <w:t>North America</w:t>
            </w:r>
          </w:p>
        </w:tc>
        <w:tc>
          <w:tcPr>
            <w:tcW w:w="4675" w:type="dxa"/>
          </w:tcPr>
          <w:p w14:paraId="569780C2"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 xml:space="preserve">Katherine Hough </w:t>
            </w:r>
          </w:p>
          <w:p w14:paraId="0D33760F"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United States Department of Agriculture-Animal Plant Health Inspection Service-Plant Protection and Quarantine (USDA-APHIS)</w:t>
            </w:r>
          </w:p>
        </w:tc>
      </w:tr>
      <w:tr w:rsidR="00E17121" w:rsidRPr="00E17121" w14:paraId="4D7EB1D4"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0F5D2B43" w14:textId="77777777" w:rsidR="00E17121" w:rsidRPr="00E17121" w:rsidRDefault="00E17121" w:rsidP="00E17121">
            <w:pPr>
              <w:spacing w:after="160" w:line="259" w:lineRule="auto"/>
              <w:rPr>
                <w:lang w:val="en-NZ"/>
              </w:rPr>
            </w:pPr>
            <w:r w:rsidRPr="00E17121">
              <w:rPr>
                <w:lang w:val="en-NZ"/>
              </w:rPr>
              <w:t xml:space="preserve">Latin America and Caribbean </w:t>
            </w:r>
          </w:p>
        </w:tc>
        <w:tc>
          <w:tcPr>
            <w:tcW w:w="4675" w:type="dxa"/>
          </w:tcPr>
          <w:p w14:paraId="04515B8C"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Diego Quiroga</w:t>
            </w:r>
          </w:p>
          <w:p w14:paraId="4031B1CC"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SENASA, Argentina</w:t>
            </w:r>
          </w:p>
        </w:tc>
      </w:tr>
      <w:tr w:rsidR="00E17121" w:rsidRPr="00E17121" w14:paraId="4B632608"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1079003D" w14:textId="77777777" w:rsidR="00E17121" w:rsidRPr="00E17121" w:rsidRDefault="00E17121" w:rsidP="00E17121">
            <w:pPr>
              <w:spacing w:after="160" w:line="259" w:lineRule="auto"/>
              <w:rPr>
                <w:lang w:val="en-NZ"/>
              </w:rPr>
            </w:pPr>
            <w:r w:rsidRPr="00E17121">
              <w:rPr>
                <w:lang w:val="en-NZ"/>
              </w:rPr>
              <w:t>South-West Pacific</w:t>
            </w:r>
          </w:p>
        </w:tc>
        <w:tc>
          <w:tcPr>
            <w:tcW w:w="4675" w:type="dxa"/>
          </w:tcPr>
          <w:p w14:paraId="0D0ADF0F"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Glenn Dulla</w:t>
            </w:r>
          </w:p>
          <w:p w14:paraId="751BED15"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Guam Department of Agriculture, Biosecurity Division</w:t>
            </w:r>
          </w:p>
        </w:tc>
      </w:tr>
      <w:tr w:rsidR="00794908" w:rsidRPr="00E17121" w14:paraId="52889715"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5B54155A" w14:textId="794A7475" w:rsidR="00794908" w:rsidRPr="00E17121" w:rsidRDefault="00794908" w:rsidP="00E17121">
            <w:pPr>
              <w:rPr>
                <w:lang w:val="en-NZ"/>
              </w:rPr>
            </w:pPr>
            <w:r>
              <w:rPr>
                <w:lang w:val="en-NZ"/>
              </w:rPr>
              <w:t>Near</w:t>
            </w:r>
            <w:r w:rsidR="00EE7049">
              <w:rPr>
                <w:lang w:val="en-NZ"/>
              </w:rPr>
              <w:t xml:space="preserve"> </w:t>
            </w:r>
            <w:r>
              <w:rPr>
                <w:lang w:val="en-NZ"/>
              </w:rPr>
              <w:t>East</w:t>
            </w:r>
          </w:p>
        </w:tc>
        <w:tc>
          <w:tcPr>
            <w:tcW w:w="4675" w:type="dxa"/>
          </w:tcPr>
          <w:p w14:paraId="43C4088B" w14:textId="5397FB8E" w:rsidR="00794908" w:rsidRPr="00EE7049" w:rsidRDefault="00794908" w:rsidP="00E17121">
            <w:pPr>
              <w:cnfStyle w:val="000000000000" w:firstRow="0" w:lastRow="0" w:firstColumn="0" w:lastColumn="0" w:oddVBand="0" w:evenVBand="0" w:oddHBand="0" w:evenHBand="0" w:firstRowFirstColumn="0" w:firstRowLastColumn="0" w:lastRowFirstColumn="0" w:lastRowLastColumn="0"/>
              <w:rPr>
                <w:lang w:val="en-NZ"/>
              </w:rPr>
            </w:pPr>
            <w:r w:rsidRPr="00EE7049">
              <w:rPr>
                <w:lang w:val="en-NZ"/>
              </w:rPr>
              <w:t>Vacant</w:t>
            </w:r>
          </w:p>
        </w:tc>
      </w:tr>
      <w:tr w:rsidR="00E17121" w:rsidRPr="00E17121" w14:paraId="45CBD674"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5B6CDDC" w14:textId="77777777" w:rsidR="00E17121" w:rsidRPr="00E17121" w:rsidRDefault="00E17121" w:rsidP="00E17121">
            <w:pPr>
              <w:spacing w:after="160" w:line="259" w:lineRule="auto"/>
              <w:rPr>
                <w:lang w:val="en-NZ"/>
              </w:rPr>
            </w:pPr>
            <w:r w:rsidRPr="00E17121">
              <w:rPr>
                <w:lang w:val="en-NZ"/>
              </w:rPr>
              <w:t>IC</w:t>
            </w:r>
          </w:p>
        </w:tc>
        <w:tc>
          <w:tcPr>
            <w:tcW w:w="4675" w:type="dxa"/>
          </w:tcPr>
          <w:p w14:paraId="4104394E"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Kyu-Ock Yim</w:t>
            </w:r>
          </w:p>
          <w:p w14:paraId="5A172AA5"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Animal and Quarantine Agency, Republic of Korea</w:t>
            </w:r>
          </w:p>
        </w:tc>
      </w:tr>
      <w:tr w:rsidR="00E17121" w:rsidRPr="00E17121" w14:paraId="3768E14D"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7EF0A2A" w14:textId="77777777" w:rsidR="00E17121" w:rsidRPr="00E17121" w:rsidRDefault="00E17121" w:rsidP="00E17121">
            <w:pPr>
              <w:spacing w:after="160" w:line="259" w:lineRule="auto"/>
              <w:rPr>
                <w:lang w:val="en-NZ"/>
              </w:rPr>
            </w:pPr>
            <w:r w:rsidRPr="00E17121">
              <w:rPr>
                <w:lang w:val="en-NZ"/>
              </w:rPr>
              <w:t>CPM Bureau</w:t>
            </w:r>
          </w:p>
        </w:tc>
        <w:tc>
          <w:tcPr>
            <w:tcW w:w="4675" w:type="dxa"/>
          </w:tcPr>
          <w:p w14:paraId="6865C7EB"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Peter Thomson</w:t>
            </w:r>
          </w:p>
          <w:p w14:paraId="23B37A55"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Biosecurity New Zealand, Ministry for Primary Industries</w:t>
            </w:r>
          </w:p>
        </w:tc>
      </w:tr>
      <w:tr w:rsidR="00E17121" w:rsidRPr="00E17121" w14:paraId="35690B63"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4D981951" w14:textId="77777777" w:rsidR="00E17121" w:rsidRPr="00E17121" w:rsidRDefault="00E17121" w:rsidP="00E17121">
            <w:pPr>
              <w:spacing w:after="160" w:line="259" w:lineRule="auto"/>
              <w:rPr>
                <w:lang w:val="en-NZ"/>
              </w:rPr>
            </w:pPr>
            <w:r w:rsidRPr="00E17121">
              <w:rPr>
                <w:lang w:val="en-NZ"/>
              </w:rPr>
              <w:t>SC</w:t>
            </w:r>
          </w:p>
        </w:tc>
        <w:tc>
          <w:tcPr>
            <w:tcW w:w="4675" w:type="dxa"/>
          </w:tcPr>
          <w:p w14:paraId="5F102A2A" w14:textId="77777777" w:rsidR="00E17121" w:rsidRPr="00A166D7"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it-IT"/>
              </w:rPr>
            </w:pPr>
            <w:r w:rsidRPr="00A166D7">
              <w:rPr>
                <w:b/>
                <w:bCs/>
                <w:lang w:val="it-IT"/>
              </w:rPr>
              <w:t>André Felipe C. P. da Silva</w:t>
            </w:r>
          </w:p>
          <w:p w14:paraId="0A2E8320"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Quarantine Division Ministry of Agriculture, Livestock and Food Supply, Brazil</w:t>
            </w:r>
          </w:p>
        </w:tc>
      </w:tr>
      <w:tr w:rsidR="00E17121" w:rsidRPr="00E17121" w14:paraId="0F6B8229"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19E6A79D" w14:textId="77777777" w:rsidR="00E17121" w:rsidRPr="00E17121" w:rsidRDefault="00E17121" w:rsidP="00E17121">
            <w:pPr>
              <w:spacing w:after="160" w:line="259" w:lineRule="auto"/>
              <w:rPr>
                <w:lang w:val="en-NZ"/>
              </w:rPr>
            </w:pPr>
            <w:r w:rsidRPr="00E17121">
              <w:rPr>
                <w:lang w:val="en-NZ"/>
              </w:rPr>
              <w:t>RPPO</w:t>
            </w:r>
          </w:p>
        </w:tc>
        <w:tc>
          <w:tcPr>
            <w:tcW w:w="4675" w:type="dxa"/>
          </w:tcPr>
          <w:p w14:paraId="40B8F2EC"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Nico Horn</w:t>
            </w:r>
          </w:p>
          <w:p w14:paraId="124C2D1E"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lastRenderedPageBreak/>
              <w:t>Director-General/Directeur Général European and Mediterranean Plant Protection Organization</w:t>
            </w:r>
          </w:p>
        </w:tc>
      </w:tr>
    </w:tbl>
    <w:p w14:paraId="6D49DA7B" w14:textId="1621CCBC" w:rsidR="00E17121" w:rsidRPr="00E17121" w:rsidRDefault="00E17121" w:rsidP="00E17121"/>
    <w:sectPr w:rsidR="00E17121" w:rsidRPr="00E17121" w:rsidSect="00F41E8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8DA6" w14:textId="77777777" w:rsidR="00EB7221" w:rsidRDefault="00EB7221" w:rsidP="00872F6E">
      <w:pPr>
        <w:spacing w:after="0" w:line="240" w:lineRule="auto"/>
      </w:pPr>
      <w:r>
        <w:separator/>
      </w:r>
    </w:p>
  </w:endnote>
  <w:endnote w:type="continuationSeparator" w:id="0">
    <w:p w14:paraId="1928E789" w14:textId="77777777" w:rsidR="00EB7221" w:rsidRDefault="00EB7221" w:rsidP="00872F6E">
      <w:pPr>
        <w:spacing w:after="0" w:line="240" w:lineRule="auto"/>
      </w:pPr>
      <w:r>
        <w:continuationSeparator/>
      </w:r>
    </w:p>
  </w:endnote>
  <w:endnote w:type="continuationNotice" w:id="1">
    <w:p w14:paraId="33002023" w14:textId="77777777" w:rsidR="00EB7221" w:rsidRDefault="00EB7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6E40" w14:textId="77777777" w:rsidR="00A166D7" w:rsidRDefault="00A16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16096"/>
      <w:docPartObj>
        <w:docPartGallery w:val="Page Numbers (Bottom of Page)"/>
        <w:docPartUnique/>
      </w:docPartObj>
    </w:sdtPr>
    <w:sdtEndPr>
      <w:rPr>
        <w:noProof/>
      </w:rPr>
    </w:sdtEndPr>
    <w:sdtContent>
      <w:p w14:paraId="3A0477D8" w14:textId="271297D6" w:rsidR="007932B6" w:rsidRDefault="007932B6">
        <w:pPr>
          <w:pStyle w:val="Footer"/>
          <w:jc w:val="center"/>
        </w:pPr>
        <w:r>
          <w:fldChar w:fldCharType="begin"/>
        </w:r>
        <w:r>
          <w:instrText xml:space="preserve"> PAGE   \* MERGEFORMAT </w:instrText>
        </w:r>
        <w:r>
          <w:fldChar w:fldCharType="separate"/>
        </w:r>
        <w:r w:rsidR="00252353">
          <w:rPr>
            <w:noProof/>
          </w:rPr>
          <w:t>1</w:t>
        </w:r>
        <w:r>
          <w:rPr>
            <w:noProof/>
          </w:rPr>
          <w:fldChar w:fldCharType="end"/>
        </w:r>
      </w:p>
    </w:sdtContent>
  </w:sdt>
  <w:p w14:paraId="4BF97660" w14:textId="77777777" w:rsidR="007932B6" w:rsidRDefault="00793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C4A5" w14:textId="77777777" w:rsidR="00A166D7" w:rsidRDefault="00A1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23F64" w14:textId="77777777" w:rsidR="00EB7221" w:rsidRDefault="00EB7221" w:rsidP="00872F6E">
      <w:pPr>
        <w:spacing w:after="0" w:line="240" w:lineRule="auto"/>
      </w:pPr>
      <w:r>
        <w:separator/>
      </w:r>
    </w:p>
  </w:footnote>
  <w:footnote w:type="continuationSeparator" w:id="0">
    <w:p w14:paraId="09A913B7" w14:textId="77777777" w:rsidR="00EB7221" w:rsidRDefault="00EB7221" w:rsidP="00872F6E">
      <w:pPr>
        <w:spacing w:after="0" w:line="240" w:lineRule="auto"/>
      </w:pPr>
      <w:r>
        <w:continuationSeparator/>
      </w:r>
    </w:p>
  </w:footnote>
  <w:footnote w:type="continuationNotice" w:id="1">
    <w:p w14:paraId="01C70675" w14:textId="77777777" w:rsidR="00EB7221" w:rsidRDefault="00EB7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0FD9" w14:textId="77777777" w:rsidR="00A166D7" w:rsidRDefault="00A1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DD36" w14:textId="77777777" w:rsidR="00A166D7" w:rsidRDefault="00A16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605F" w14:textId="775EBD28" w:rsidR="00A166D7" w:rsidRPr="00FE6905" w:rsidRDefault="00A166D7" w:rsidP="00A166D7">
    <w:pPr>
      <w:pStyle w:val="IPPHeader"/>
      <w:tabs>
        <w:tab w:val="clear" w:pos="9072"/>
        <w:tab w:val="right" w:pos="9360"/>
      </w:tabs>
      <w:spacing w:after="0"/>
    </w:pPr>
    <w:r>
      <w:rPr>
        <w:noProof/>
      </w:rPr>
      <w:drawing>
        <wp:anchor distT="0" distB="0" distL="114300" distR="114300" simplePos="0" relativeHeight="251661824" behindDoc="0" locked="0" layoutInCell="1" allowOverlap="1" wp14:anchorId="52E3EA71" wp14:editId="0CA5E006">
          <wp:simplePos x="0" y="0"/>
          <wp:positionH relativeFrom="margin">
            <wp:posOffset>-3810</wp:posOffset>
          </wp:positionH>
          <wp:positionV relativeFrom="margin">
            <wp:posOffset>-629285</wp:posOffset>
          </wp:positionV>
          <wp:extent cx="647065" cy="333375"/>
          <wp:effectExtent l="0" t="0" r="0" b="0"/>
          <wp:wrapNone/>
          <wp:docPr id="7"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528FFA07" wp14:editId="7877D30E">
          <wp:simplePos x="0" y="0"/>
          <wp:positionH relativeFrom="column">
            <wp:posOffset>-941070</wp:posOffset>
          </wp:positionH>
          <wp:positionV relativeFrom="paragraph">
            <wp:posOffset>-647700</wp:posOffset>
          </wp:positionV>
          <wp:extent cx="8206740" cy="52324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06_SPG_2021_Oct</w:t>
    </w:r>
  </w:p>
  <w:p w14:paraId="5490D262" w14:textId="41CDCB2C" w:rsidR="00A166D7" w:rsidRPr="00A61947" w:rsidRDefault="00A166D7" w:rsidP="00A166D7">
    <w:pPr>
      <w:pStyle w:val="IPPHeader"/>
      <w:tabs>
        <w:tab w:val="clear" w:pos="9072"/>
        <w:tab w:val="right" w:pos="9360"/>
      </w:tabs>
      <w:rPr>
        <w:i/>
      </w:rPr>
    </w:pPr>
    <w:r w:rsidRPr="00606019">
      <w:tab/>
    </w:r>
    <w:r w:rsidR="00A92454">
      <w:rPr>
        <w:i/>
      </w:rPr>
      <w:t>DRAFT REPORT – IPPC SFDA</w:t>
    </w:r>
    <w:r w:rsidR="00F8702A">
      <w:rPr>
        <w:i/>
      </w:rPr>
      <w:t>Is</w:t>
    </w:r>
    <w:r w:rsidR="00A92454">
      <w:rPr>
        <w:i/>
      </w:rPr>
      <w:t xml:space="preserve"> 2020-2030</w:t>
    </w:r>
    <w:r w:rsidRPr="00606019">
      <w:rPr>
        <w:i/>
      </w:rPr>
      <w:tab/>
    </w:r>
    <w:r>
      <w:rPr>
        <w:i/>
      </w:rPr>
      <w:t>Agenda item: 05.1</w:t>
    </w:r>
  </w:p>
  <w:p w14:paraId="73B8CFF9" w14:textId="77777777" w:rsidR="00A166D7" w:rsidRDefault="00A1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C70"/>
    <w:multiLevelType w:val="hybridMultilevel"/>
    <w:tmpl w:val="6E5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3E50"/>
    <w:multiLevelType w:val="hybridMultilevel"/>
    <w:tmpl w:val="37D0B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92F28"/>
    <w:multiLevelType w:val="hybridMultilevel"/>
    <w:tmpl w:val="AE56B6B2"/>
    <w:lvl w:ilvl="0" w:tplc="FEA8F82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E03F24"/>
    <w:multiLevelType w:val="hybridMultilevel"/>
    <w:tmpl w:val="C3DEC4DA"/>
    <w:lvl w:ilvl="0" w:tplc="9802F12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46181"/>
    <w:multiLevelType w:val="hybridMultilevel"/>
    <w:tmpl w:val="CCE61922"/>
    <w:lvl w:ilvl="0" w:tplc="FEA8F828">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A941971"/>
    <w:multiLevelType w:val="hybridMultilevel"/>
    <w:tmpl w:val="7D0EE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67CBE"/>
    <w:multiLevelType w:val="hybridMultilevel"/>
    <w:tmpl w:val="A8EA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6227D"/>
    <w:multiLevelType w:val="hybridMultilevel"/>
    <w:tmpl w:val="9CCA59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5A1EAF"/>
    <w:multiLevelType w:val="hybridMultilevel"/>
    <w:tmpl w:val="C11CE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13E0"/>
    <w:multiLevelType w:val="hybridMultilevel"/>
    <w:tmpl w:val="3DBA5F0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7A73A7"/>
    <w:multiLevelType w:val="hybridMultilevel"/>
    <w:tmpl w:val="25942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AA23F2"/>
    <w:multiLevelType w:val="hybridMultilevel"/>
    <w:tmpl w:val="8DE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B7073"/>
    <w:multiLevelType w:val="hybridMultilevel"/>
    <w:tmpl w:val="F55A2966"/>
    <w:lvl w:ilvl="0" w:tplc="FE3C12A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59506D"/>
    <w:multiLevelType w:val="hybridMultilevel"/>
    <w:tmpl w:val="7A884B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E417665"/>
    <w:multiLevelType w:val="hybridMultilevel"/>
    <w:tmpl w:val="7F2C3A3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D406B0"/>
    <w:multiLevelType w:val="hybridMultilevel"/>
    <w:tmpl w:val="3A1E0BDE"/>
    <w:lvl w:ilvl="0" w:tplc="902664C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412AC"/>
    <w:multiLevelType w:val="hybridMultilevel"/>
    <w:tmpl w:val="66E0318E"/>
    <w:lvl w:ilvl="0" w:tplc="FEA8F82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F830F5"/>
    <w:multiLevelType w:val="hybridMultilevel"/>
    <w:tmpl w:val="E07CAC2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40F3D58"/>
    <w:multiLevelType w:val="hybridMultilevel"/>
    <w:tmpl w:val="420C1808"/>
    <w:lvl w:ilvl="0" w:tplc="52862E9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B4D0D"/>
    <w:multiLevelType w:val="hybridMultilevel"/>
    <w:tmpl w:val="5774979A"/>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721D00"/>
    <w:multiLevelType w:val="hybridMultilevel"/>
    <w:tmpl w:val="659EB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57FD7"/>
    <w:multiLevelType w:val="hybridMultilevel"/>
    <w:tmpl w:val="6E6A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40C1F"/>
    <w:multiLevelType w:val="hybridMultilevel"/>
    <w:tmpl w:val="70A62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352BED"/>
    <w:multiLevelType w:val="hybridMultilevel"/>
    <w:tmpl w:val="DC1A57C4"/>
    <w:lvl w:ilvl="0" w:tplc="7B7A8B1C">
      <w:start w:val="1"/>
      <w:numFmt w:val="bullet"/>
      <w:lvlText w:val="●"/>
      <w:lvlJc w:val="left"/>
      <w:pPr>
        <w:tabs>
          <w:tab w:val="num" w:pos="720"/>
        </w:tabs>
        <w:ind w:left="720" w:hanging="360"/>
      </w:pPr>
      <w:rPr>
        <w:rFonts w:ascii="Arial" w:hAnsi="Arial" w:hint="default"/>
      </w:rPr>
    </w:lvl>
    <w:lvl w:ilvl="1" w:tplc="1BD4D722">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3CFCE500" w:tentative="1">
      <w:start w:val="1"/>
      <w:numFmt w:val="bullet"/>
      <w:lvlText w:val="●"/>
      <w:lvlJc w:val="left"/>
      <w:pPr>
        <w:tabs>
          <w:tab w:val="num" w:pos="3600"/>
        </w:tabs>
        <w:ind w:left="3600" w:hanging="360"/>
      </w:pPr>
      <w:rPr>
        <w:rFonts w:ascii="Arial" w:hAnsi="Arial" w:hint="default"/>
      </w:rPr>
    </w:lvl>
    <w:lvl w:ilvl="5" w:tplc="C25E2756" w:tentative="1">
      <w:start w:val="1"/>
      <w:numFmt w:val="bullet"/>
      <w:lvlText w:val="●"/>
      <w:lvlJc w:val="left"/>
      <w:pPr>
        <w:tabs>
          <w:tab w:val="num" w:pos="4320"/>
        </w:tabs>
        <w:ind w:left="4320" w:hanging="360"/>
      </w:pPr>
      <w:rPr>
        <w:rFonts w:ascii="Arial" w:hAnsi="Arial" w:hint="default"/>
      </w:rPr>
    </w:lvl>
    <w:lvl w:ilvl="6" w:tplc="7282853C" w:tentative="1">
      <w:start w:val="1"/>
      <w:numFmt w:val="bullet"/>
      <w:lvlText w:val="●"/>
      <w:lvlJc w:val="left"/>
      <w:pPr>
        <w:tabs>
          <w:tab w:val="num" w:pos="5040"/>
        </w:tabs>
        <w:ind w:left="5040" w:hanging="360"/>
      </w:pPr>
      <w:rPr>
        <w:rFonts w:ascii="Arial" w:hAnsi="Arial" w:hint="default"/>
      </w:rPr>
    </w:lvl>
    <w:lvl w:ilvl="7" w:tplc="BA864194" w:tentative="1">
      <w:start w:val="1"/>
      <w:numFmt w:val="bullet"/>
      <w:lvlText w:val="●"/>
      <w:lvlJc w:val="left"/>
      <w:pPr>
        <w:tabs>
          <w:tab w:val="num" w:pos="5760"/>
        </w:tabs>
        <w:ind w:left="5760" w:hanging="360"/>
      </w:pPr>
      <w:rPr>
        <w:rFonts w:ascii="Arial" w:hAnsi="Arial" w:hint="default"/>
      </w:rPr>
    </w:lvl>
    <w:lvl w:ilvl="8" w:tplc="5FE092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C4E71"/>
    <w:multiLevelType w:val="hybridMultilevel"/>
    <w:tmpl w:val="31783980"/>
    <w:lvl w:ilvl="0" w:tplc="FEA8F82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D71B33"/>
    <w:multiLevelType w:val="hybridMultilevel"/>
    <w:tmpl w:val="4E0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66900"/>
    <w:multiLevelType w:val="hybridMultilevel"/>
    <w:tmpl w:val="DF86B17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2C23B8C"/>
    <w:multiLevelType w:val="hybridMultilevel"/>
    <w:tmpl w:val="73B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F4CEF"/>
    <w:multiLevelType w:val="hybridMultilevel"/>
    <w:tmpl w:val="841809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6"/>
  </w:num>
  <w:num w:numId="3">
    <w:abstractNumId w:val="2"/>
  </w:num>
  <w:num w:numId="4">
    <w:abstractNumId w:val="12"/>
  </w:num>
  <w:num w:numId="5">
    <w:abstractNumId w:val="24"/>
  </w:num>
  <w:num w:numId="6">
    <w:abstractNumId w:val="27"/>
  </w:num>
  <w:num w:numId="7">
    <w:abstractNumId w:val="8"/>
  </w:num>
  <w:num w:numId="8">
    <w:abstractNumId w:val="0"/>
  </w:num>
  <w:num w:numId="9">
    <w:abstractNumId w:val="11"/>
  </w:num>
  <w:num w:numId="10">
    <w:abstractNumId w:val="20"/>
  </w:num>
  <w:num w:numId="11">
    <w:abstractNumId w:val="21"/>
  </w:num>
  <w:num w:numId="12">
    <w:abstractNumId w:val="18"/>
  </w:num>
  <w:num w:numId="13">
    <w:abstractNumId w:val="3"/>
  </w:num>
  <w:num w:numId="14">
    <w:abstractNumId w:val="10"/>
  </w:num>
  <w:num w:numId="15">
    <w:abstractNumId w:val="22"/>
  </w:num>
  <w:num w:numId="16">
    <w:abstractNumId w:val="15"/>
  </w:num>
  <w:num w:numId="17">
    <w:abstractNumId w:val="4"/>
  </w:num>
  <w:num w:numId="18">
    <w:abstractNumId w:val="19"/>
  </w:num>
  <w:num w:numId="19">
    <w:abstractNumId w:val="16"/>
  </w:num>
  <w:num w:numId="20">
    <w:abstractNumId w:val="5"/>
  </w:num>
  <w:num w:numId="21">
    <w:abstractNumId w:val="1"/>
  </w:num>
  <w:num w:numId="22">
    <w:abstractNumId w:val="25"/>
  </w:num>
  <w:num w:numId="23">
    <w:abstractNumId w:val="28"/>
  </w:num>
  <w:num w:numId="24">
    <w:abstractNumId w:val="26"/>
  </w:num>
  <w:num w:numId="25">
    <w:abstractNumId w:val="7"/>
  </w:num>
  <w:num w:numId="26">
    <w:abstractNumId w:val="17"/>
  </w:num>
  <w:num w:numId="27">
    <w:abstractNumId w:val="9"/>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93"/>
    <w:rsid w:val="00000448"/>
    <w:rsid w:val="000004EA"/>
    <w:rsid w:val="000018D4"/>
    <w:rsid w:val="00001DA7"/>
    <w:rsid w:val="00003063"/>
    <w:rsid w:val="00003FDB"/>
    <w:rsid w:val="00004C54"/>
    <w:rsid w:val="00005276"/>
    <w:rsid w:val="00006723"/>
    <w:rsid w:val="000069E8"/>
    <w:rsid w:val="000101E9"/>
    <w:rsid w:val="00010225"/>
    <w:rsid w:val="00010E37"/>
    <w:rsid w:val="00011282"/>
    <w:rsid w:val="00011A67"/>
    <w:rsid w:val="000126C7"/>
    <w:rsid w:val="00013727"/>
    <w:rsid w:val="00014D7B"/>
    <w:rsid w:val="00015E94"/>
    <w:rsid w:val="000169CB"/>
    <w:rsid w:val="00016BD0"/>
    <w:rsid w:val="000174D8"/>
    <w:rsid w:val="00021361"/>
    <w:rsid w:val="00022AF6"/>
    <w:rsid w:val="000234CD"/>
    <w:rsid w:val="00024F52"/>
    <w:rsid w:val="000255CE"/>
    <w:rsid w:val="000258C2"/>
    <w:rsid w:val="00025BDD"/>
    <w:rsid w:val="0002781E"/>
    <w:rsid w:val="00027D8B"/>
    <w:rsid w:val="00031DB9"/>
    <w:rsid w:val="00032888"/>
    <w:rsid w:val="00033EFE"/>
    <w:rsid w:val="000340CF"/>
    <w:rsid w:val="0003473E"/>
    <w:rsid w:val="00036278"/>
    <w:rsid w:val="00037C81"/>
    <w:rsid w:val="00037D66"/>
    <w:rsid w:val="0004043A"/>
    <w:rsid w:val="00040509"/>
    <w:rsid w:val="000407CE"/>
    <w:rsid w:val="000416C4"/>
    <w:rsid w:val="000427AE"/>
    <w:rsid w:val="000476CC"/>
    <w:rsid w:val="00050667"/>
    <w:rsid w:val="00052727"/>
    <w:rsid w:val="00052B69"/>
    <w:rsid w:val="00052F9B"/>
    <w:rsid w:val="00053957"/>
    <w:rsid w:val="00055920"/>
    <w:rsid w:val="00055A4B"/>
    <w:rsid w:val="00060E2F"/>
    <w:rsid w:val="00061653"/>
    <w:rsid w:val="000636BD"/>
    <w:rsid w:val="00063BEA"/>
    <w:rsid w:val="000642F1"/>
    <w:rsid w:val="00065540"/>
    <w:rsid w:val="000658ED"/>
    <w:rsid w:val="00066210"/>
    <w:rsid w:val="00066A95"/>
    <w:rsid w:val="00066AF0"/>
    <w:rsid w:val="00066DFE"/>
    <w:rsid w:val="00067D17"/>
    <w:rsid w:val="00070B30"/>
    <w:rsid w:val="00070C43"/>
    <w:rsid w:val="00070DD1"/>
    <w:rsid w:val="00072F53"/>
    <w:rsid w:val="00073408"/>
    <w:rsid w:val="00073D68"/>
    <w:rsid w:val="00074D6E"/>
    <w:rsid w:val="000752BA"/>
    <w:rsid w:val="0007753D"/>
    <w:rsid w:val="00077BA9"/>
    <w:rsid w:val="0008057F"/>
    <w:rsid w:val="00080E7C"/>
    <w:rsid w:val="000811E7"/>
    <w:rsid w:val="0008201B"/>
    <w:rsid w:val="000832E8"/>
    <w:rsid w:val="0008354E"/>
    <w:rsid w:val="000849C1"/>
    <w:rsid w:val="00086283"/>
    <w:rsid w:val="00086541"/>
    <w:rsid w:val="0008666C"/>
    <w:rsid w:val="00086FBB"/>
    <w:rsid w:val="00087885"/>
    <w:rsid w:val="00090DC3"/>
    <w:rsid w:val="00092C85"/>
    <w:rsid w:val="00094CB2"/>
    <w:rsid w:val="00095C9A"/>
    <w:rsid w:val="00095E36"/>
    <w:rsid w:val="00097D10"/>
    <w:rsid w:val="000A0984"/>
    <w:rsid w:val="000A6E8E"/>
    <w:rsid w:val="000A7066"/>
    <w:rsid w:val="000A74C6"/>
    <w:rsid w:val="000B0C8C"/>
    <w:rsid w:val="000B40B9"/>
    <w:rsid w:val="000B4567"/>
    <w:rsid w:val="000B77AF"/>
    <w:rsid w:val="000C0BA5"/>
    <w:rsid w:val="000C2E54"/>
    <w:rsid w:val="000C3F4A"/>
    <w:rsid w:val="000C4646"/>
    <w:rsid w:val="000C4C92"/>
    <w:rsid w:val="000C4F6A"/>
    <w:rsid w:val="000C5B9C"/>
    <w:rsid w:val="000C79C4"/>
    <w:rsid w:val="000D1B07"/>
    <w:rsid w:val="000D1DDC"/>
    <w:rsid w:val="000D2A88"/>
    <w:rsid w:val="000D2E9D"/>
    <w:rsid w:val="000D3457"/>
    <w:rsid w:val="000D557D"/>
    <w:rsid w:val="000D5EED"/>
    <w:rsid w:val="000D6854"/>
    <w:rsid w:val="000D6E66"/>
    <w:rsid w:val="000D7940"/>
    <w:rsid w:val="000D7C50"/>
    <w:rsid w:val="000E00A0"/>
    <w:rsid w:val="000E02CB"/>
    <w:rsid w:val="000E08AF"/>
    <w:rsid w:val="000E12C9"/>
    <w:rsid w:val="000E16CC"/>
    <w:rsid w:val="000E20A3"/>
    <w:rsid w:val="000E2888"/>
    <w:rsid w:val="000E3087"/>
    <w:rsid w:val="000E3307"/>
    <w:rsid w:val="000E4C82"/>
    <w:rsid w:val="000E52BC"/>
    <w:rsid w:val="000E6062"/>
    <w:rsid w:val="000E69C4"/>
    <w:rsid w:val="000E7A3F"/>
    <w:rsid w:val="000F0F44"/>
    <w:rsid w:val="000F2935"/>
    <w:rsid w:val="000F297A"/>
    <w:rsid w:val="000F30F0"/>
    <w:rsid w:val="000F33CA"/>
    <w:rsid w:val="000F38FF"/>
    <w:rsid w:val="000F7503"/>
    <w:rsid w:val="000F77DE"/>
    <w:rsid w:val="000F78FF"/>
    <w:rsid w:val="0010003B"/>
    <w:rsid w:val="0010010A"/>
    <w:rsid w:val="00100A6A"/>
    <w:rsid w:val="00101232"/>
    <w:rsid w:val="0010231C"/>
    <w:rsid w:val="00102C26"/>
    <w:rsid w:val="001032B8"/>
    <w:rsid w:val="0010372D"/>
    <w:rsid w:val="00104173"/>
    <w:rsid w:val="00104198"/>
    <w:rsid w:val="0010443A"/>
    <w:rsid w:val="00104972"/>
    <w:rsid w:val="00104BFA"/>
    <w:rsid w:val="001057A6"/>
    <w:rsid w:val="001057C4"/>
    <w:rsid w:val="001059CD"/>
    <w:rsid w:val="00107EC4"/>
    <w:rsid w:val="00110814"/>
    <w:rsid w:val="00112966"/>
    <w:rsid w:val="00113FE5"/>
    <w:rsid w:val="0011510B"/>
    <w:rsid w:val="00115A17"/>
    <w:rsid w:val="0011650F"/>
    <w:rsid w:val="001216CA"/>
    <w:rsid w:val="00123EE2"/>
    <w:rsid w:val="00124B7C"/>
    <w:rsid w:val="001263D5"/>
    <w:rsid w:val="001301A4"/>
    <w:rsid w:val="0013132B"/>
    <w:rsid w:val="00131D33"/>
    <w:rsid w:val="00131E8E"/>
    <w:rsid w:val="001339A2"/>
    <w:rsid w:val="00134428"/>
    <w:rsid w:val="00134693"/>
    <w:rsid w:val="00134B64"/>
    <w:rsid w:val="00135A1C"/>
    <w:rsid w:val="0013652B"/>
    <w:rsid w:val="00137A6A"/>
    <w:rsid w:val="00137E19"/>
    <w:rsid w:val="00140524"/>
    <w:rsid w:val="0014089A"/>
    <w:rsid w:val="00140E8A"/>
    <w:rsid w:val="00141D03"/>
    <w:rsid w:val="00142087"/>
    <w:rsid w:val="001420DB"/>
    <w:rsid w:val="0014304D"/>
    <w:rsid w:val="00144C8A"/>
    <w:rsid w:val="00144CD7"/>
    <w:rsid w:val="00146217"/>
    <w:rsid w:val="0014799A"/>
    <w:rsid w:val="0015078F"/>
    <w:rsid w:val="001510AF"/>
    <w:rsid w:val="00152735"/>
    <w:rsid w:val="00152E1A"/>
    <w:rsid w:val="00152FC6"/>
    <w:rsid w:val="00153BB9"/>
    <w:rsid w:val="0015492C"/>
    <w:rsid w:val="001607DE"/>
    <w:rsid w:val="00162A33"/>
    <w:rsid w:val="00162D7B"/>
    <w:rsid w:val="00162DE6"/>
    <w:rsid w:val="001654E9"/>
    <w:rsid w:val="00167EFE"/>
    <w:rsid w:val="001722AF"/>
    <w:rsid w:val="0017501A"/>
    <w:rsid w:val="00176852"/>
    <w:rsid w:val="001769B6"/>
    <w:rsid w:val="001777A9"/>
    <w:rsid w:val="00177AF0"/>
    <w:rsid w:val="00177FA4"/>
    <w:rsid w:val="00180148"/>
    <w:rsid w:val="001807D1"/>
    <w:rsid w:val="00181981"/>
    <w:rsid w:val="001832D3"/>
    <w:rsid w:val="001846D9"/>
    <w:rsid w:val="001846DE"/>
    <w:rsid w:val="0018639F"/>
    <w:rsid w:val="001865EE"/>
    <w:rsid w:val="001870D6"/>
    <w:rsid w:val="00190B33"/>
    <w:rsid w:val="00190B58"/>
    <w:rsid w:val="001911C1"/>
    <w:rsid w:val="001925C1"/>
    <w:rsid w:val="001925CD"/>
    <w:rsid w:val="00193B92"/>
    <w:rsid w:val="00196D92"/>
    <w:rsid w:val="00196FB3"/>
    <w:rsid w:val="001A257F"/>
    <w:rsid w:val="001A2C2E"/>
    <w:rsid w:val="001A2C7D"/>
    <w:rsid w:val="001A35A4"/>
    <w:rsid w:val="001A4D5D"/>
    <w:rsid w:val="001A6898"/>
    <w:rsid w:val="001B03C7"/>
    <w:rsid w:val="001B307D"/>
    <w:rsid w:val="001B3AEA"/>
    <w:rsid w:val="001B446D"/>
    <w:rsid w:val="001B4E05"/>
    <w:rsid w:val="001B5569"/>
    <w:rsid w:val="001B5994"/>
    <w:rsid w:val="001B607B"/>
    <w:rsid w:val="001B7535"/>
    <w:rsid w:val="001B7986"/>
    <w:rsid w:val="001B7A55"/>
    <w:rsid w:val="001C1F6F"/>
    <w:rsid w:val="001C2654"/>
    <w:rsid w:val="001C2E72"/>
    <w:rsid w:val="001C2F32"/>
    <w:rsid w:val="001C45A2"/>
    <w:rsid w:val="001C4956"/>
    <w:rsid w:val="001C5D84"/>
    <w:rsid w:val="001D030C"/>
    <w:rsid w:val="001D0B6F"/>
    <w:rsid w:val="001D0BE1"/>
    <w:rsid w:val="001D0D2D"/>
    <w:rsid w:val="001D1611"/>
    <w:rsid w:val="001D4C58"/>
    <w:rsid w:val="001D5965"/>
    <w:rsid w:val="001D634B"/>
    <w:rsid w:val="001D6D85"/>
    <w:rsid w:val="001D78E0"/>
    <w:rsid w:val="001D7DD8"/>
    <w:rsid w:val="001E04ED"/>
    <w:rsid w:val="001E0926"/>
    <w:rsid w:val="001E0AC6"/>
    <w:rsid w:val="001E0CBA"/>
    <w:rsid w:val="001E18D6"/>
    <w:rsid w:val="001E2872"/>
    <w:rsid w:val="001E2B1B"/>
    <w:rsid w:val="001E3888"/>
    <w:rsid w:val="001E452B"/>
    <w:rsid w:val="001E459C"/>
    <w:rsid w:val="001E46A0"/>
    <w:rsid w:val="001E4760"/>
    <w:rsid w:val="001E4C9A"/>
    <w:rsid w:val="001E51B7"/>
    <w:rsid w:val="001E626D"/>
    <w:rsid w:val="001E6D19"/>
    <w:rsid w:val="001E7555"/>
    <w:rsid w:val="001E7FFC"/>
    <w:rsid w:val="001F13AD"/>
    <w:rsid w:val="001F421A"/>
    <w:rsid w:val="001F4923"/>
    <w:rsid w:val="001F4AC8"/>
    <w:rsid w:val="00200C59"/>
    <w:rsid w:val="0020278B"/>
    <w:rsid w:val="00202FCB"/>
    <w:rsid w:val="00204307"/>
    <w:rsid w:val="0020620F"/>
    <w:rsid w:val="00211006"/>
    <w:rsid w:val="00211300"/>
    <w:rsid w:val="0021148A"/>
    <w:rsid w:val="00211772"/>
    <w:rsid w:val="00212E8E"/>
    <w:rsid w:val="002131A2"/>
    <w:rsid w:val="002143E1"/>
    <w:rsid w:val="002149AE"/>
    <w:rsid w:val="00214E7C"/>
    <w:rsid w:val="00215536"/>
    <w:rsid w:val="00215608"/>
    <w:rsid w:val="00215877"/>
    <w:rsid w:val="00215A8A"/>
    <w:rsid w:val="00215CD0"/>
    <w:rsid w:val="00216BF2"/>
    <w:rsid w:val="002175E5"/>
    <w:rsid w:val="00220B63"/>
    <w:rsid w:val="00220FA6"/>
    <w:rsid w:val="00221121"/>
    <w:rsid w:val="00222CE7"/>
    <w:rsid w:val="002237FE"/>
    <w:rsid w:val="00223ABF"/>
    <w:rsid w:val="002254A0"/>
    <w:rsid w:val="002302F5"/>
    <w:rsid w:val="00230FDE"/>
    <w:rsid w:val="00231D5C"/>
    <w:rsid w:val="00232390"/>
    <w:rsid w:val="00232653"/>
    <w:rsid w:val="0023388C"/>
    <w:rsid w:val="00233AC6"/>
    <w:rsid w:val="00234C35"/>
    <w:rsid w:val="00235CA2"/>
    <w:rsid w:val="00235FAF"/>
    <w:rsid w:val="00240A8B"/>
    <w:rsid w:val="002415B7"/>
    <w:rsid w:val="00241CA3"/>
    <w:rsid w:val="002432D2"/>
    <w:rsid w:val="00244961"/>
    <w:rsid w:val="002469EF"/>
    <w:rsid w:val="00246A8C"/>
    <w:rsid w:val="00246B8D"/>
    <w:rsid w:val="00247239"/>
    <w:rsid w:val="00247BAE"/>
    <w:rsid w:val="002501B2"/>
    <w:rsid w:val="00252353"/>
    <w:rsid w:val="002552D2"/>
    <w:rsid w:val="00255625"/>
    <w:rsid w:val="00256D3C"/>
    <w:rsid w:val="0026263A"/>
    <w:rsid w:val="0026314B"/>
    <w:rsid w:val="00264559"/>
    <w:rsid w:val="0026610E"/>
    <w:rsid w:val="002663FD"/>
    <w:rsid w:val="00266587"/>
    <w:rsid w:val="00267931"/>
    <w:rsid w:val="00270A2F"/>
    <w:rsid w:val="002723DD"/>
    <w:rsid w:val="00272B89"/>
    <w:rsid w:val="00273DBA"/>
    <w:rsid w:val="0027795B"/>
    <w:rsid w:val="00277F45"/>
    <w:rsid w:val="00280699"/>
    <w:rsid w:val="00280B3A"/>
    <w:rsid w:val="00285F2D"/>
    <w:rsid w:val="0028630A"/>
    <w:rsid w:val="00290353"/>
    <w:rsid w:val="002903F2"/>
    <w:rsid w:val="00290D08"/>
    <w:rsid w:val="00290EB2"/>
    <w:rsid w:val="00290F33"/>
    <w:rsid w:val="002919AB"/>
    <w:rsid w:val="0029295B"/>
    <w:rsid w:val="00293D0D"/>
    <w:rsid w:val="0029414D"/>
    <w:rsid w:val="00294A42"/>
    <w:rsid w:val="00294D45"/>
    <w:rsid w:val="00294E64"/>
    <w:rsid w:val="002967A3"/>
    <w:rsid w:val="002A0DFE"/>
    <w:rsid w:val="002A1221"/>
    <w:rsid w:val="002A1A7C"/>
    <w:rsid w:val="002A29AD"/>
    <w:rsid w:val="002A2A4A"/>
    <w:rsid w:val="002A3691"/>
    <w:rsid w:val="002A3902"/>
    <w:rsid w:val="002A3A90"/>
    <w:rsid w:val="002A3D92"/>
    <w:rsid w:val="002A5A3E"/>
    <w:rsid w:val="002A5CA7"/>
    <w:rsid w:val="002A6C93"/>
    <w:rsid w:val="002A71C1"/>
    <w:rsid w:val="002B04DC"/>
    <w:rsid w:val="002B0DE6"/>
    <w:rsid w:val="002B2B34"/>
    <w:rsid w:val="002B366F"/>
    <w:rsid w:val="002B590E"/>
    <w:rsid w:val="002B5A1C"/>
    <w:rsid w:val="002B687B"/>
    <w:rsid w:val="002B7FBE"/>
    <w:rsid w:val="002C0723"/>
    <w:rsid w:val="002C080B"/>
    <w:rsid w:val="002C0F5C"/>
    <w:rsid w:val="002C219E"/>
    <w:rsid w:val="002C2EEC"/>
    <w:rsid w:val="002C347F"/>
    <w:rsid w:val="002C59EE"/>
    <w:rsid w:val="002C5BA5"/>
    <w:rsid w:val="002C5BCB"/>
    <w:rsid w:val="002C5CA0"/>
    <w:rsid w:val="002C641E"/>
    <w:rsid w:val="002C6C8C"/>
    <w:rsid w:val="002D1E43"/>
    <w:rsid w:val="002D35E3"/>
    <w:rsid w:val="002D66E1"/>
    <w:rsid w:val="002D7727"/>
    <w:rsid w:val="002D78E7"/>
    <w:rsid w:val="002D798F"/>
    <w:rsid w:val="002D7EBA"/>
    <w:rsid w:val="002E27CD"/>
    <w:rsid w:val="002E2937"/>
    <w:rsid w:val="002E3D48"/>
    <w:rsid w:val="002E4832"/>
    <w:rsid w:val="002E5D75"/>
    <w:rsid w:val="002E5E3D"/>
    <w:rsid w:val="002E60DC"/>
    <w:rsid w:val="002E66CD"/>
    <w:rsid w:val="002E6C16"/>
    <w:rsid w:val="002E7873"/>
    <w:rsid w:val="002F0302"/>
    <w:rsid w:val="002F19D0"/>
    <w:rsid w:val="002F50F3"/>
    <w:rsid w:val="002F5C57"/>
    <w:rsid w:val="002F5C64"/>
    <w:rsid w:val="002F6CDE"/>
    <w:rsid w:val="00300C52"/>
    <w:rsid w:val="00301F1C"/>
    <w:rsid w:val="00303165"/>
    <w:rsid w:val="00303720"/>
    <w:rsid w:val="0030504E"/>
    <w:rsid w:val="00305102"/>
    <w:rsid w:val="00305BA2"/>
    <w:rsid w:val="00306E2F"/>
    <w:rsid w:val="00306F31"/>
    <w:rsid w:val="00306F94"/>
    <w:rsid w:val="00307418"/>
    <w:rsid w:val="00310380"/>
    <w:rsid w:val="00310BC5"/>
    <w:rsid w:val="003117F6"/>
    <w:rsid w:val="00314DDE"/>
    <w:rsid w:val="00315253"/>
    <w:rsid w:val="0032173A"/>
    <w:rsid w:val="00322179"/>
    <w:rsid w:val="003225E1"/>
    <w:rsid w:val="00323545"/>
    <w:rsid w:val="00323AD1"/>
    <w:rsid w:val="00324198"/>
    <w:rsid w:val="0033201F"/>
    <w:rsid w:val="00332DCA"/>
    <w:rsid w:val="003346BD"/>
    <w:rsid w:val="00334E12"/>
    <w:rsid w:val="00335344"/>
    <w:rsid w:val="003354E2"/>
    <w:rsid w:val="00335F42"/>
    <w:rsid w:val="00336480"/>
    <w:rsid w:val="003370F9"/>
    <w:rsid w:val="003376E4"/>
    <w:rsid w:val="003401B4"/>
    <w:rsid w:val="00340455"/>
    <w:rsid w:val="00343268"/>
    <w:rsid w:val="00343A74"/>
    <w:rsid w:val="00344221"/>
    <w:rsid w:val="003462EA"/>
    <w:rsid w:val="00346530"/>
    <w:rsid w:val="00347F3A"/>
    <w:rsid w:val="003508E7"/>
    <w:rsid w:val="003513A9"/>
    <w:rsid w:val="0035238C"/>
    <w:rsid w:val="003531ED"/>
    <w:rsid w:val="00353A7B"/>
    <w:rsid w:val="00354253"/>
    <w:rsid w:val="00354576"/>
    <w:rsid w:val="003568B0"/>
    <w:rsid w:val="003574EF"/>
    <w:rsid w:val="0036140F"/>
    <w:rsid w:val="003629F4"/>
    <w:rsid w:val="00364341"/>
    <w:rsid w:val="00364787"/>
    <w:rsid w:val="00365FFA"/>
    <w:rsid w:val="00366F94"/>
    <w:rsid w:val="003672D4"/>
    <w:rsid w:val="0036780E"/>
    <w:rsid w:val="00367CFD"/>
    <w:rsid w:val="003703BA"/>
    <w:rsid w:val="00370E93"/>
    <w:rsid w:val="00372516"/>
    <w:rsid w:val="00373331"/>
    <w:rsid w:val="003739B8"/>
    <w:rsid w:val="00373AD4"/>
    <w:rsid w:val="00373CB0"/>
    <w:rsid w:val="00374F8F"/>
    <w:rsid w:val="003751F1"/>
    <w:rsid w:val="0037650F"/>
    <w:rsid w:val="00376BF8"/>
    <w:rsid w:val="003773E2"/>
    <w:rsid w:val="00380280"/>
    <w:rsid w:val="0038035B"/>
    <w:rsid w:val="0038117B"/>
    <w:rsid w:val="00381C69"/>
    <w:rsid w:val="00381D38"/>
    <w:rsid w:val="003827B0"/>
    <w:rsid w:val="00382E8B"/>
    <w:rsid w:val="00383D05"/>
    <w:rsid w:val="00384136"/>
    <w:rsid w:val="003864CE"/>
    <w:rsid w:val="00386BCA"/>
    <w:rsid w:val="00387EEA"/>
    <w:rsid w:val="00390902"/>
    <w:rsid w:val="00391769"/>
    <w:rsid w:val="00391B4C"/>
    <w:rsid w:val="00391E5C"/>
    <w:rsid w:val="00392C0F"/>
    <w:rsid w:val="00394BB4"/>
    <w:rsid w:val="00395D79"/>
    <w:rsid w:val="00397BDA"/>
    <w:rsid w:val="003A0F2F"/>
    <w:rsid w:val="003A102D"/>
    <w:rsid w:val="003A13BD"/>
    <w:rsid w:val="003A30C5"/>
    <w:rsid w:val="003A42D9"/>
    <w:rsid w:val="003A43DB"/>
    <w:rsid w:val="003A4417"/>
    <w:rsid w:val="003A5521"/>
    <w:rsid w:val="003A75CD"/>
    <w:rsid w:val="003B025D"/>
    <w:rsid w:val="003B02F5"/>
    <w:rsid w:val="003B2ED4"/>
    <w:rsid w:val="003B4557"/>
    <w:rsid w:val="003B4A77"/>
    <w:rsid w:val="003B6313"/>
    <w:rsid w:val="003B71B9"/>
    <w:rsid w:val="003B7861"/>
    <w:rsid w:val="003C0FB4"/>
    <w:rsid w:val="003C1D4F"/>
    <w:rsid w:val="003C3720"/>
    <w:rsid w:val="003C3C12"/>
    <w:rsid w:val="003C46E2"/>
    <w:rsid w:val="003C4F3B"/>
    <w:rsid w:val="003C55CE"/>
    <w:rsid w:val="003C652E"/>
    <w:rsid w:val="003C7A02"/>
    <w:rsid w:val="003D0AC1"/>
    <w:rsid w:val="003D4506"/>
    <w:rsid w:val="003D4697"/>
    <w:rsid w:val="003D4B67"/>
    <w:rsid w:val="003D540B"/>
    <w:rsid w:val="003E015C"/>
    <w:rsid w:val="003E1018"/>
    <w:rsid w:val="003E28D1"/>
    <w:rsid w:val="003E2B4E"/>
    <w:rsid w:val="003E512C"/>
    <w:rsid w:val="003E52BE"/>
    <w:rsid w:val="003E6DBE"/>
    <w:rsid w:val="003E749B"/>
    <w:rsid w:val="003E7A8C"/>
    <w:rsid w:val="003E7D95"/>
    <w:rsid w:val="003F1C21"/>
    <w:rsid w:val="003F31FE"/>
    <w:rsid w:val="003F3205"/>
    <w:rsid w:val="003F3F46"/>
    <w:rsid w:val="003F453A"/>
    <w:rsid w:val="003F4DF0"/>
    <w:rsid w:val="003F5CE1"/>
    <w:rsid w:val="003F6AD4"/>
    <w:rsid w:val="004008EA"/>
    <w:rsid w:val="00401615"/>
    <w:rsid w:val="00401699"/>
    <w:rsid w:val="0040240B"/>
    <w:rsid w:val="004030D6"/>
    <w:rsid w:val="00403C85"/>
    <w:rsid w:val="004056B0"/>
    <w:rsid w:val="00406A7A"/>
    <w:rsid w:val="00407665"/>
    <w:rsid w:val="00410086"/>
    <w:rsid w:val="00413B83"/>
    <w:rsid w:val="00413D34"/>
    <w:rsid w:val="004154E9"/>
    <w:rsid w:val="00415689"/>
    <w:rsid w:val="00415F7E"/>
    <w:rsid w:val="00417386"/>
    <w:rsid w:val="00417D9F"/>
    <w:rsid w:val="00417E78"/>
    <w:rsid w:val="00417E88"/>
    <w:rsid w:val="004207F4"/>
    <w:rsid w:val="004212B8"/>
    <w:rsid w:val="00421351"/>
    <w:rsid w:val="00422E38"/>
    <w:rsid w:val="004238AA"/>
    <w:rsid w:val="004243CA"/>
    <w:rsid w:val="00424C0E"/>
    <w:rsid w:val="0042575B"/>
    <w:rsid w:val="00426024"/>
    <w:rsid w:val="004266E9"/>
    <w:rsid w:val="00426803"/>
    <w:rsid w:val="00431682"/>
    <w:rsid w:val="004320C4"/>
    <w:rsid w:val="0043216C"/>
    <w:rsid w:val="00432B58"/>
    <w:rsid w:val="00436CD8"/>
    <w:rsid w:val="0043766D"/>
    <w:rsid w:val="004377BC"/>
    <w:rsid w:val="00437DE4"/>
    <w:rsid w:val="004403E4"/>
    <w:rsid w:val="00443DBC"/>
    <w:rsid w:val="00444163"/>
    <w:rsid w:val="00444765"/>
    <w:rsid w:val="0044535D"/>
    <w:rsid w:val="00446831"/>
    <w:rsid w:val="004504FF"/>
    <w:rsid w:val="0045055B"/>
    <w:rsid w:val="00451FFD"/>
    <w:rsid w:val="00452B34"/>
    <w:rsid w:val="00453E8E"/>
    <w:rsid w:val="00454CC4"/>
    <w:rsid w:val="00454D2F"/>
    <w:rsid w:val="004573E3"/>
    <w:rsid w:val="0045749C"/>
    <w:rsid w:val="00457EC1"/>
    <w:rsid w:val="004604F7"/>
    <w:rsid w:val="00462479"/>
    <w:rsid w:val="00465FF6"/>
    <w:rsid w:val="0046692A"/>
    <w:rsid w:val="004670B8"/>
    <w:rsid w:val="00467C59"/>
    <w:rsid w:val="004700E7"/>
    <w:rsid w:val="00470115"/>
    <w:rsid w:val="0047015E"/>
    <w:rsid w:val="0047168A"/>
    <w:rsid w:val="00471F22"/>
    <w:rsid w:val="004726D1"/>
    <w:rsid w:val="00474F97"/>
    <w:rsid w:val="0047581A"/>
    <w:rsid w:val="004758A7"/>
    <w:rsid w:val="00475C13"/>
    <w:rsid w:val="0048011C"/>
    <w:rsid w:val="00481884"/>
    <w:rsid w:val="004821A6"/>
    <w:rsid w:val="00482373"/>
    <w:rsid w:val="004828DC"/>
    <w:rsid w:val="00483519"/>
    <w:rsid w:val="004846A8"/>
    <w:rsid w:val="00484796"/>
    <w:rsid w:val="00484ACF"/>
    <w:rsid w:val="004850E6"/>
    <w:rsid w:val="00485DD3"/>
    <w:rsid w:val="004877EC"/>
    <w:rsid w:val="00490E7A"/>
    <w:rsid w:val="00493E72"/>
    <w:rsid w:val="00494268"/>
    <w:rsid w:val="00495847"/>
    <w:rsid w:val="004979D7"/>
    <w:rsid w:val="004A011A"/>
    <w:rsid w:val="004A0E39"/>
    <w:rsid w:val="004A1164"/>
    <w:rsid w:val="004A23FA"/>
    <w:rsid w:val="004A407B"/>
    <w:rsid w:val="004A4FBC"/>
    <w:rsid w:val="004A5B1C"/>
    <w:rsid w:val="004A5BD4"/>
    <w:rsid w:val="004A645B"/>
    <w:rsid w:val="004B01EF"/>
    <w:rsid w:val="004B0DB4"/>
    <w:rsid w:val="004B172B"/>
    <w:rsid w:val="004B1B9D"/>
    <w:rsid w:val="004B2D8C"/>
    <w:rsid w:val="004B3603"/>
    <w:rsid w:val="004B368B"/>
    <w:rsid w:val="004B3EE2"/>
    <w:rsid w:val="004B55E3"/>
    <w:rsid w:val="004B5941"/>
    <w:rsid w:val="004B5AC4"/>
    <w:rsid w:val="004B6550"/>
    <w:rsid w:val="004B6576"/>
    <w:rsid w:val="004C0D36"/>
    <w:rsid w:val="004C0FD2"/>
    <w:rsid w:val="004C1D97"/>
    <w:rsid w:val="004C3BB2"/>
    <w:rsid w:val="004C3BF3"/>
    <w:rsid w:val="004C502D"/>
    <w:rsid w:val="004C5097"/>
    <w:rsid w:val="004C6B96"/>
    <w:rsid w:val="004C7CF6"/>
    <w:rsid w:val="004D01A4"/>
    <w:rsid w:val="004D074A"/>
    <w:rsid w:val="004D0FD2"/>
    <w:rsid w:val="004D10C9"/>
    <w:rsid w:val="004D1554"/>
    <w:rsid w:val="004D1846"/>
    <w:rsid w:val="004D1A87"/>
    <w:rsid w:val="004D2858"/>
    <w:rsid w:val="004D30CD"/>
    <w:rsid w:val="004D3A18"/>
    <w:rsid w:val="004D48AD"/>
    <w:rsid w:val="004D5EE3"/>
    <w:rsid w:val="004D7512"/>
    <w:rsid w:val="004E0E84"/>
    <w:rsid w:val="004E203A"/>
    <w:rsid w:val="004E2E74"/>
    <w:rsid w:val="004E39F3"/>
    <w:rsid w:val="004E490C"/>
    <w:rsid w:val="004E55E5"/>
    <w:rsid w:val="004E7060"/>
    <w:rsid w:val="004E7CAD"/>
    <w:rsid w:val="004F01E1"/>
    <w:rsid w:val="004F06FD"/>
    <w:rsid w:val="004F08D0"/>
    <w:rsid w:val="004F0CC8"/>
    <w:rsid w:val="004F1375"/>
    <w:rsid w:val="004F2C5D"/>
    <w:rsid w:val="004F40DA"/>
    <w:rsid w:val="004F5CA2"/>
    <w:rsid w:val="004F7FE3"/>
    <w:rsid w:val="00500C72"/>
    <w:rsid w:val="00502772"/>
    <w:rsid w:val="005027EB"/>
    <w:rsid w:val="00505366"/>
    <w:rsid w:val="00505A59"/>
    <w:rsid w:val="00510010"/>
    <w:rsid w:val="0051102D"/>
    <w:rsid w:val="00511569"/>
    <w:rsid w:val="005150EC"/>
    <w:rsid w:val="00517A95"/>
    <w:rsid w:val="00517D87"/>
    <w:rsid w:val="00520A70"/>
    <w:rsid w:val="00521F33"/>
    <w:rsid w:val="0052208A"/>
    <w:rsid w:val="0052322C"/>
    <w:rsid w:val="0052399F"/>
    <w:rsid w:val="005241D4"/>
    <w:rsid w:val="0052468B"/>
    <w:rsid w:val="00524918"/>
    <w:rsid w:val="00525930"/>
    <w:rsid w:val="005301B3"/>
    <w:rsid w:val="005304FE"/>
    <w:rsid w:val="00530996"/>
    <w:rsid w:val="00533911"/>
    <w:rsid w:val="0053455F"/>
    <w:rsid w:val="00534C2A"/>
    <w:rsid w:val="0053646E"/>
    <w:rsid w:val="0053754A"/>
    <w:rsid w:val="00540C24"/>
    <w:rsid w:val="00547134"/>
    <w:rsid w:val="00550006"/>
    <w:rsid w:val="00550EB8"/>
    <w:rsid w:val="00552610"/>
    <w:rsid w:val="005528A7"/>
    <w:rsid w:val="005528E8"/>
    <w:rsid w:val="005537ED"/>
    <w:rsid w:val="00554FA6"/>
    <w:rsid w:val="00555061"/>
    <w:rsid w:val="00555579"/>
    <w:rsid w:val="00555F1C"/>
    <w:rsid w:val="005567F7"/>
    <w:rsid w:val="00557E16"/>
    <w:rsid w:val="00557ED1"/>
    <w:rsid w:val="00560E6E"/>
    <w:rsid w:val="00560F99"/>
    <w:rsid w:val="00562DE0"/>
    <w:rsid w:val="00562F3D"/>
    <w:rsid w:val="0056335A"/>
    <w:rsid w:val="00563876"/>
    <w:rsid w:val="00563CB8"/>
    <w:rsid w:val="00564140"/>
    <w:rsid w:val="00564992"/>
    <w:rsid w:val="005654CB"/>
    <w:rsid w:val="005666F1"/>
    <w:rsid w:val="005671EE"/>
    <w:rsid w:val="00567E9E"/>
    <w:rsid w:val="0057011D"/>
    <w:rsid w:val="005701C5"/>
    <w:rsid w:val="005707A8"/>
    <w:rsid w:val="0057083F"/>
    <w:rsid w:val="00571D3D"/>
    <w:rsid w:val="00572572"/>
    <w:rsid w:val="00572E04"/>
    <w:rsid w:val="0057351F"/>
    <w:rsid w:val="00573595"/>
    <w:rsid w:val="0057398E"/>
    <w:rsid w:val="00573DB9"/>
    <w:rsid w:val="00575D1A"/>
    <w:rsid w:val="005802B0"/>
    <w:rsid w:val="00581CB7"/>
    <w:rsid w:val="0058286D"/>
    <w:rsid w:val="00584518"/>
    <w:rsid w:val="00584573"/>
    <w:rsid w:val="00584A70"/>
    <w:rsid w:val="0058555A"/>
    <w:rsid w:val="00585A87"/>
    <w:rsid w:val="00585DF6"/>
    <w:rsid w:val="00585F38"/>
    <w:rsid w:val="005866E1"/>
    <w:rsid w:val="00587736"/>
    <w:rsid w:val="00590CD0"/>
    <w:rsid w:val="0059153E"/>
    <w:rsid w:val="00591AD1"/>
    <w:rsid w:val="005925DA"/>
    <w:rsid w:val="005930D8"/>
    <w:rsid w:val="00593C9E"/>
    <w:rsid w:val="005942A2"/>
    <w:rsid w:val="0059782D"/>
    <w:rsid w:val="00597F40"/>
    <w:rsid w:val="005A136B"/>
    <w:rsid w:val="005A3A4B"/>
    <w:rsid w:val="005A471A"/>
    <w:rsid w:val="005A5808"/>
    <w:rsid w:val="005A5DE6"/>
    <w:rsid w:val="005A7039"/>
    <w:rsid w:val="005B0083"/>
    <w:rsid w:val="005B0F7F"/>
    <w:rsid w:val="005B1BD1"/>
    <w:rsid w:val="005B27EC"/>
    <w:rsid w:val="005B2892"/>
    <w:rsid w:val="005B6DE6"/>
    <w:rsid w:val="005B7400"/>
    <w:rsid w:val="005C0283"/>
    <w:rsid w:val="005C25F7"/>
    <w:rsid w:val="005C33DC"/>
    <w:rsid w:val="005C56F0"/>
    <w:rsid w:val="005C5B6F"/>
    <w:rsid w:val="005C6F9C"/>
    <w:rsid w:val="005C706A"/>
    <w:rsid w:val="005C7AC3"/>
    <w:rsid w:val="005D03B9"/>
    <w:rsid w:val="005D06FB"/>
    <w:rsid w:val="005D1336"/>
    <w:rsid w:val="005D153E"/>
    <w:rsid w:val="005D28CC"/>
    <w:rsid w:val="005D325F"/>
    <w:rsid w:val="005D3394"/>
    <w:rsid w:val="005D5568"/>
    <w:rsid w:val="005D5DE0"/>
    <w:rsid w:val="005D649B"/>
    <w:rsid w:val="005D6C5D"/>
    <w:rsid w:val="005D6F85"/>
    <w:rsid w:val="005D71A1"/>
    <w:rsid w:val="005D729F"/>
    <w:rsid w:val="005D74E8"/>
    <w:rsid w:val="005E06DA"/>
    <w:rsid w:val="005E0D59"/>
    <w:rsid w:val="005E280A"/>
    <w:rsid w:val="005E292C"/>
    <w:rsid w:val="005E462F"/>
    <w:rsid w:val="005E5FAE"/>
    <w:rsid w:val="005E5FC0"/>
    <w:rsid w:val="005E6CF4"/>
    <w:rsid w:val="005E7069"/>
    <w:rsid w:val="005F003D"/>
    <w:rsid w:val="005F153B"/>
    <w:rsid w:val="005F2700"/>
    <w:rsid w:val="005F34F2"/>
    <w:rsid w:val="005F3CBA"/>
    <w:rsid w:val="005F4A3A"/>
    <w:rsid w:val="005F5276"/>
    <w:rsid w:val="005F5808"/>
    <w:rsid w:val="005F5F09"/>
    <w:rsid w:val="005F6C75"/>
    <w:rsid w:val="00600A12"/>
    <w:rsid w:val="006014E1"/>
    <w:rsid w:val="006034D6"/>
    <w:rsid w:val="006037BE"/>
    <w:rsid w:val="006037FA"/>
    <w:rsid w:val="00603C59"/>
    <w:rsid w:val="00605027"/>
    <w:rsid w:val="0060597B"/>
    <w:rsid w:val="00606D3D"/>
    <w:rsid w:val="00606FAC"/>
    <w:rsid w:val="00607B55"/>
    <w:rsid w:val="00610E04"/>
    <w:rsid w:val="006110C3"/>
    <w:rsid w:val="00611C2F"/>
    <w:rsid w:val="00611FE9"/>
    <w:rsid w:val="00612BB5"/>
    <w:rsid w:val="00613693"/>
    <w:rsid w:val="00613D6D"/>
    <w:rsid w:val="0061483B"/>
    <w:rsid w:val="00615964"/>
    <w:rsid w:val="00620344"/>
    <w:rsid w:val="00623E6A"/>
    <w:rsid w:val="0062489D"/>
    <w:rsid w:val="0062490D"/>
    <w:rsid w:val="00625FF3"/>
    <w:rsid w:val="00627608"/>
    <w:rsid w:val="00627D77"/>
    <w:rsid w:val="0063351C"/>
    <w:rsid w:val="00633A26"/>
    <w:rsid w:val="00634653"/>
    <w:rsid w:val="006352BE"/>
    <w:rsid w:val="0063593F"/>
    <w:rsid w:val="00636220"/>
    <w:rsid w:val="00636A2F"/>
    <w:rsid w:val="00637045"/>
    <w:rsid w:val="006402BF"/>
    <w:rsid w:val="00640BF5"/>
    <w:rsid w:val="00640E9F"/>
    <w:rsid w:val="0064183F"/>
    <w:rsid w:val="0064217A"/>
    <w:rsid w:val="00644551"/>
    <w:rsid w:val="00644637"/>
    <w:rsid w:val="0064516F"/>
    <w:rsid w:val="00645500"/>
    <w:rsid w:val="0064553E"/>
    <w:rsid w:val="0064554B"/>
    <w:rsid w:val="006460ED"/>
    <w:rsid w:val="00646C84"/>
    <w:rsid w:val="006471F4"/>
    <w:rsid w:val="006500C4"/>
    <w:rsid w:val="006505A1"/>
    <w:rsid w:val="006522C2"/>
    <w:rsid w:val="0065329A"/>
    <w:rsid w:val="00654CC1"/>
    <w:rsid w:val="00655EC0"/>
    <w:rsid w:val="0065633C"/>
    <w:rsid w:val="006564AB"/>
    <w:rsid w:val="00656556"/>
    <w:rsid w:val="00656C6F"/>
    <w:rsid w:val="00656D89"/>
    <w:rsid w:val="00656FFA"/>
    <w:rsid w:val="006575DD"/>
    <w:rsid w:val="006579E0"/>
    <w:rsid w:val="0066004B"/>
    <w:rsid w:val="00660E8E"/>
    <w:rsid w:val="00660FDC"/>
    <w:rsid w:val="006616EB"/>
    <w:rsid w:val="0066223C"/>
    <w:rsid w:val="0066523F"/>
    <w:rsid w:val="00666476"/>
    <w:rsid w:val="00666AF3"/>
    <w:rsid w:val="00666E4E"/>
    <w:rsid w:val="00670BA4"/>
    <w:rsid w:val="00671E56"/>
    <w:rsid w:val="00672E28"/>
    <w:rsid w:val="006756D4"/>
    <w:rsid w:val="00675BD1"/>
    <w:rsid w:val="00676D31"/>
    <w:rsid w:val="00680A9F"/>
    <w:rsid w:val="00680AB1"/>
    <w:rsid w:val="00682083"/>
    <w:rsid w:val="00682A41"/>
    <w:rsid w:val="00682D1F"/>
    <w:rsid w:val="006836AF"/>
    <w:rsid w:val="00684544"/>
    <w:rsid w:val="006853C5"/>
    <w:rsid w:val="00686FAB"/>
    <w:rsid w:val="00687A0D"/>
    <w:rsid w:val="00687AF7"/>
    <w:rsid w:val="00687B2A"/>
    <w:rsid w:val="00693836"/>
    <w:rsid w:val="006941BD"/>
    <w:rsid w:val="00694CCC"/>
    <w:rsid w:val="006A107F"/>
    <w:rsid w:val="006A1617"/>
    <w:rsid w:val="006A1A59"/>
    <w:rsid w:val="006A2FFE"/>
    <w:rsid w:val="006A30D2"/>
    <w:rsid w:val="006A3C3E"/>
    <w:rsid w:val="006A45FF"/>
    <w:rsid w:val="006A4B41"/>
    <w:rsid w:val="006A681D"/>
    <w:rsid w:val="006B1F88"/>
    <w:rsid w:val="006B29AC"/>
    <w:rsid w:val="006B3A34"/>
    <w:rsid w:val="006B3B46"/>
    <w:rsid w:val="006B6DC2"/>
    <w:rsid w:val="006B6F40"/>
    <w:rsid w:val="006B6FF0"/>
    <w:rsid w:val="006B7175"/>
    <w:rsid w:val="006B7789"/>
    <w:rsid w:val="006C0230"/>
    <w:rsid w:val="006C07AB"/>
    <w:rsid w:val="006C14BE"/>
    <w:rsid w:val="006C19C2"/>
    <w:rsid w:val="006C19C3"/>
    <w:rsid w:val="006C2169"/>
    <w:rsid w:val="006C31E3"/>
    <w:rsid w:val="006C327F"/>
    <w:rsid w:val="006C3522"/>
    <w:rsid w:val="006C7CB7"/>
    <w:rsid w:val="006C7E76"/>
    <w:rsid w:val="006D1D89"/>
    <w:rsid w:val="006D22D8"/>
    <w:rsid w:val="006D4F9B"/>
    <w:rsid w:val="006D5D3C"/>
    <w:rsid w:val="006E00A4"/>
    <w:rsid w:val="006E04C4"/>
    <w:rsid w:val="006E0A10"/>
    <w:rsid w:val="006E1E80"/>
    <w:rsid w:val="006E2EA7"/>
    <w:rsid w:val="006E35B2"/>
    <w:rsid w:val="006E4BA4"/>
    <w:rsid w:val="006E541B"/>
    <w:rsid w:val="006E5ABC"/>
    <w:rsid w:val="006E6252"/>
    <w:rsid w:val="006F0749"/>
    <w:rsid w:val="006F1241"/>
    <w:rsid w:val="006F1DC4"/>
    <w:rsid w:val="006F2758"/>
    <w:rsid w:val="006F3ADB"/>
    <w:rsid w:val="006F4071"/>
    <w:rsid w:val="006F4507"/>
    <w:rsid w:val="006F4AD3"/>
    <w:rsid w:val="006F52A9"/>
    <w:rsid w:val="006F56FB"/>
    <w:rsid w:val="006F7165"/>
    <w:rsid w:val="00701942"/>
    <w:rsid w:val="007019E2"/>
    <w:rsid w:val="007024FC"/>
    <w:rsid w:val="00702A26"/>
    <w:rsid w:val="00703890"/>
    <w:rsid w:val="007045FA"/>
    <w:rsid w:val="00704701"/>
    <w:rsid w:val="00704D85"/>
    <w:rsid w:val="007056F5"/>
    <w:rsid w:val="007057B6"/>
    <w:rsid w:val="007060A5"/>
    <w:rsid w:val="007065E6"/>
    <w:rsid w:val="00710FF1"/>
    <w:rsid w:val="00712830"/>
    <w:rsid w:val="0071395F"/>
    <w:rsid w:val="00717280"/>
    <w:rsid w:val="0072034E"/>
    <w:rsid w:val="00720A70"/>
    <w:rsid w:val="00721E56"/>
    <w:rsid w:val="007228C7"/>
    <w:rsid w:val="00722A6A"/>
    <w:rsid w:val="0072352F"/>
    <w:rsid w:val="00725508"/>
    <w:rsid w:val="007260D1"/>
    <w:rsid w:val="007260D6"/>
    <w:rsid w:val="00730984"/>
    <w:rsid w:val="00730FFE"/>
    <w:rsid w:val="007311C6"/>
    <w:rsid w:val="00732820"/>
    <w:rsid w:val="00732BF8"/>
    <w:rsid w:val="00733DB8"/>
    <w:rsid w:val="00733DCC"/>
    <w:rsid w:val="00733E1A"/>
    <w:rsid w:val="0073470A"/>
    <w:rsid w:val="00734AB5"/>
    <w:rsid w:val="00734B9F"/>
    <w:rsid w:val="007364AC"/>
    <w:rsid w:val="00736E74"/>
    <w:rsid w:val="00737A68"/>
    <w:rsid w:val="00740158"/>
    <w:rsid w:val="00740786"/>
    <w:rsid w:val="00740834"/>
    <w:rsid w:val="00740873"/>
    <w:rsid w:val="00740D78"/>
    <w:rsid w:val="007429AB"/>
    <w:rsid w:val="00744A77"/>
    <w:rsid w:val="00744CE7"/>
    <w:rsid w:val="00744E8C"/>
    <w:rsid w:val="007453EE"/>
    <w:rsid w:val="0074613C"/>
    <w:rsid w:val="00746795"/>
    <w:rsid w:val="00747EA1"/>
    <w:rsid w:val="00750189"/>
    <w:rsid w:val="00750B1B"/>
    <w:rsid w:val="00752587"/>
    <w:rsid w:val="00754050"/>
    <w:rsid w:val="00755AEA"/>
    <w:rsid w:val="00755CD4"/>
    <w:rsid w:val="00757458"/>
    <w:rsid w:val="00757E63"/>
    <w:rsid w:val="0076109A"/>
    <w:rsid w:val="0076358C"/>
    <w:rsid w:val="007635E1"/>
    <w:rsid w:val="00765295"/>
    <w:rsid w:val="0076538D"/>
    <w:rsid w:val="00765822"/>
    <w:rsid w:val="007679E5"/>
    <w:rsid w:val="00767ED1"/>
    <w:rsid w:val="00770145"/>
    <w:rsid w:val="007705CF"/>
    <w:rsid w:val="00770E07"/>
    <w:rsid w:val="00771159"/>
    <w:rsid w:val="007714D6"/>
    <w:rsid w:val="00772943"/>
    <w:rsid w:val="00772BAE"/>
    <w:rsid w:val="00772FB4"/>
    <w:rsid w:val="0077417E"/>
    <w:rsid w:val="007741CA"/>
    <w:rsid w:val="007754D8"/>
    <w:rsid w:val="00776476"/>
    <w:rsid w:val="00776EA1"/>
    <w:rsid w:val="0077706D"/>
    <w:rsid w:val="007773A5"/>
    <w:rsid w:val="0077755D"/>
    <w:rsid w:val="00780950"/>
    <w:rsid w:val="0078145C"/>
    <w:rsid w:val="00781B90"/>
    <w:rsid w:val="00781EED"/>
    <w:rsid w:val="00784127"/>
    <w:rsid w:val="007842DD"/>
    <w:rsid w:val="007845A5"/>
    <w:rsid w:val="0078666F"/>
    <w:rsid w:val="00787294"/>
    <w:rsid w:val="00787347"/>
    <w:rsid w:val="00790DDB"/>
    <w:rsid w:val="00790E6D"/>
    <w:rsid w:val="00791A15"/>
    <w:rsid w:val="00792EB8"/>
    <w:rsid w:val="007932B6"/>
    <w:rsid w:val="007945DF"/>
    <w:rsid w:val="00794908"/>
    <w:rsid w:val="00794C10"/>
    <w:rsid w:val="007955A7"/>
    <w:rsid w:val="00795D7E"/>
    <w:rsid w:val="00796BCC"/>
    <w:rsid w:val="00796FBF"/>
    <w:rsid w:val="00797030"/>
    <w:rsid w:val="00797904"/>
    <w:rsid w:val="007A05D6"/>
    <w:rsid w:val="007A0F4E"/>
    <w:rsid w:val="007A17A5"/>
    <w:rsid w:val="007A2863"/>
    <w:rsid w:val="007A6875"/>
    <w:rsid w:val="007A6ACB"/>
    <w:rsid w:val="007A71CC"/>
    <w:rsid w:val="007B0074"/>
    <w:rsid w:val="007B174A"/>
    <w:rsid w:val="007B1F6F"/>
    <w:rsid w:val="007B39E0"/>
    <w:rsid w:val="007B4A58"/>
    <w:rsid w:val="007B4DA0"/>
    <w:rsid w:val="007B5266"/>
    <w:rsid w:val="007B52F5"/>
    <w:rsid w:val="007B56FB"/>
    <w:rsid w:val="007B6373"/>
    <w:rsid w:val="007B67B3"/>
    <w:rsid w:val="007C06AB"/>
    <w:rsid w:val="007C27D0"/>
    <w:rsid w:val="007C3245"/>
    <w:rsid w:val="007C40B9"/>
    <w:rsid w:val="007C58E1"/>
    <w:rsid w:val="007C69B4"/>
    <w:rsid w:val="007D0577"/>
    <w:rsid w:val="007D09BF"/>
    <w:rsid w:val="007D0D86"/>
    <w:rsid w:val="007D3D0D"/>
    <w:rsid w:val="007D4064"/>
    <w:rsid w:val="007D4B18"/>
    <w:rsid w:val="007D524F"/>
    <w:rsid w:val="007D59BD"/>
    <w:rsid w:val="007D5BCD"/>
    <w:rsid w:val="007D7CCB"/>
    <w:rsid w:val="007E0517"/>
    <w:rsid w:val="007E07F5"/>
    <w:rsid w:val="007E14C9"/>
    <w:rsid w:val="007E2CA5"/>
    <w:rsid w:val="007E4A15"/>
    <w:rsid w:val="007E6027"/>
    <w:rsid w:val="007E6304"/>
    <w:rsid w:val="007E6DC1"/>
    <w:rsid w:val="007E7ACA"/>
    <w:rsid w:val="007F15CC"/>
    <w:rsid w:val="007F1C72"/>
    <w:rsid w:val="007F2CCF"/>
    <w:rsid w:val="007F357B"/>
    <w:rsid w:val="007F3744"/>
    <w:rsid w:val="007F7325"/>
    <w:rsid w:val="007F7D2D"/>
    <w:rsid w:val="00800674"/>
    <w:rsid w:val="00800916"/>
    <w:rsid w:val="008019AC"/>
    <w:rsid w:val="00801D87"/>
    <w:rsid w:val="00802509"/>
    <w:rsid w:val="00803217"/>
    <w:rsid w:val="00804804"/>
    <w:rsid w:val="00804DAD"/>
    <w:rsid w:val="00806651"/>
    <w:rsid w:val="008074F8"/>
    <w:rsid w:val="00807CEB"/>
    <w:rsid w:val="00810C14"/>
    <w:rsid w:val="00811D8D"/>
    <w:rsid w:val="0081419C"/>
    <w:rsid w:val="0081492A"/>
    <w:rsid w:val="00816D62"/>
    <w:rsid w:val="00820472"/>
    <w:rsid w:val="00820CCD"/>
    <w:rsid w:val="00821505"/>
    <w:rsid w:val="00824D7F"/>
    <w:rsid w:val="0082527A"/>
    <w:rsid w:val="008304D6"/>
    <w:rsid w:val="008308AC"/>
    <w:rsid w:val="00830C33"/>
    <w:rsid w:val="00831B85"/>
    <w:rsid w:val="00831BDF"/>
    <w:rsid w:val="0083395D"/>
    <w:rsid w:val="00833E21"/>
    <w:rsid w:val="00834490"/>
    <w:rsid w:val="00834BC7"/>
    <w:rsid w:val="00836807"/>
    <w:rsid w:val="0084061D"/>
    <w:rsid w:val="00840ACD"/>
    <w:rsid w:val="0084137F"/>
    <w:rsid w:val="00841EA3"/>
    <w:rsid w:val="00843372"/>
    <w:rsid w:val="00843F8F"/>
    <w:rsid w:val="00844DB4"/>
    <w:rsid w:val="0084554B"/>
    <w:rsid w:val="00846002"/>
    <w:rsid w:val="0084646C"/>
    <w:rsid w:val="0085009A"/>
    <w:rsid w:val="00852B50"/>
    <w:rsid w:val="008534B8"/>
    <w:rsid w:val="00853FB7"/>
    <w:rsid w:val="008555A6"/>
    <w:rsid w:val="008563CA"/>
    <w:rsid w:val="008564CC"/>
    <w:rsid w:val="00857478"/>
    <w:rsid w:val="00857CAB"/>
    <w:rsid w:val="00860011"/>
    <w:rsid w:val="00860E08"/>
    <w:rsid w:val="00861287"/>
    <w:rsid w:val="008635B9"/>
    <w:rsid w:val="0086381E"/>
    <w:rsid w:val="00863BDC"/>
    <w:rsid w:val="00863D74"/>
    <w:rsid w:val="00864851"/>
    <w:rsid w:val="00864951"/>
    <w:rsid w:val="00864F6F"/>
    <w:rsid w:val="0086514A"/>
    <w:rsid w:val="0086682C"/>
    <w:rsid w:val="00866911"/>
    <w:rsid w:val="00866E8A"/>
    <w:rsid w:val="00870B62"/>
    <w:rsid w:val="008717F9"/>
    <w:rsid w:val="00872F6E"/>
    <w:rsid w:val="00874359"/>
    <w:rsid w:val="008744B9"/>
    <w:rsid w:val="008750A9"/>
    <w:rsid w:val="008754B8"/>
    <w:rsid w:val="008756D0"/>
    <w:rsid w:val="00875CBB"/>
    <w:rsid w:val="00876160"/>
    <w:rsid w:val="008762AC"/>
    <w:rsid w:val="00876470"/>
    <w:rsid w:val="0087699A"/>
    <w:rsid w:val="00880C5D"/>
    <w:rsid w:val="00880D8B"/>
    <w:rsid w:val="008812D8"/>
    <w:rsid w:val="008819AD"/>
    <w:rsid w:val="00881B11"/>
    <w:rsid w:val="0088413E"/>
    <w:rsid w:val="008842BF"/>
    <w:rsid w:val="008844F4"/>
    <w:rsid w:val="008858BD"/>
    <w:rsid w:val="0088603A"/>
    <w:rsid w:val="00886542"/>
    <w:rsid w:val="00887CFC"/>
    <w:rsid w:val="0089316A"/>
    <w:rsid w:val="0089436C"/>
    <w:rsid w:val="0089561E"/>
    <w:rsid w:val="00895BA3"/>
    <w:rsid w:val="00896B68"/>
    <w:rsid w:val="00897356"/>
    <w:rsid w:val="00897AAD"/>
    <w:rsid w:val="008A0B53"/>
    <w:rsid w:val="008A185C"/>
    <w:rsid w:val="008A24A7"/>
    <w:rsid w:val="008A2BB0"/>
    <w:rsid w:val="008A3714"/>
    <w:rsid w:val="008A3C34"/>
    <w:rsid w:val="008A5493"/>
    <w:rsid w:val="008A5881"/>
    <w:rsid w:val="008A5C3E"/>
    <w:rsid w:val="008A5F89"/>
    <w:rsid w:val="008A5FCD"/>
    <w:rsid w:val="008A7122"/>
    <w:rsid w:val="008A7A72"/>
    <w:rsid w:val="008B19E8"/>
    <w:rsid w:val="008B20FD"/>
    <w:rsid w:val="008B2CE3"/>
    <w:rsid w:val="008B32A4"/>
    <w:rsid w:val="008B441E"/>
    <w:rsid w:val="008B515E"/>
    <w:rsid w:val="008B5864"/>
    <w:rsid w:val="008B6649"/>
    <w:rsid w:val="008B6BB3"/>
    <w:rsid w:val="008B6E45"/>
    <w:rsid w:val="008C0056"/>
    <w:rsid w:val="008C1814"/>
    <w:rsid w:val="008C2A1A"/>
    <w:rsid w:val="008C34C4"/>
    <w:rsid w:val="008C3D1E"/>
    <w:rsid w:val="008C4AF5"/>
    <w:rsid w:val="008C4C5D"/>
    <w:rsid w:val="008C576C"/>
    <w:rsid w:val="008C6D7B"/>
    <w:rsid w:val="008C7199"/>
    <w:rsid w:val="008D0C93"/>
    <w:rsid w:val="008D14DD"/>
    <w:rsid w:val="008D2821"/>
    <w:rsid w:val="008D293D"/>
    <w:rsid w:val="008D406F"/>
    <w:rsid w:val="008D4E64"/>
    <w:rsid w:val="008D524C"/>
    <w:rsid w:val="008D5CE1"/>
    <w:rsid w:val="008D6CF8"/>
    <w:rsid w:val="008D7979"/>
    <w:rsid w:val="008D7A1A"/>
    <w:rsid w:val="008E04E3"/>
    <w:rsid w:val="008E0737"/>
    <w:rsid w:val="008E0FF5"/>
    <w:rsid w:val="008E148C"/>
    <w:rsid w:val="008E1ABD"/>
    <w:rsid w:val="008E1DF2"/>
    <w:rsid w:val="008E24FD"/>
    <w:rsid w:val="008E3722"/>
    <w:rsid w:val="008E3849"/>
    <w:rsid w:val="008E3F7D"/>
    <w:rsid w:val="008E462B"/>
    <w:rsid w:val="008E4691"/>
    <w:rsid w:val="008E498A"/>
    <w:rsid w:val="008E5261"/>
    <w:rsid w:val="008E580B"/>
    <w:rsid w:val="008E683E"/>
    <w:rsid w:val="008F1E11"/>
    <w:rsid w:val="008F30D9"/>
    <w:rsid w:val="008F34E8"/>
    <w:rsid w:val="008F3BC3"/>
    <w:rsid w:val="008F43A6"/>
    <w:rsid w:val="008F743E"/>
    <w:rsid w:val="008F7633"/>
    <w:rsid w:val="008F7942"/>
    <w:rsid w:val="00900791"/>
    <w:rsid w:val="00900B72"/>
    <w:rsid w:val="00900ED2"/>
    <w:rsid w:val="00901D97"/>
    <w:rsid w:val="00902D7F"/>
    <w:rsid w:val="00904246"/>
    <w:rsid w:val="0090675B"/>
    <w:rsid w:val="00910546"/>
    <w:rsid w:val="0091072E"/>
    <w:rsid w:val="009113FC"/>
    <w:rsid w:val="0091155C"/>
    <w:rsid w:val="00911C24"/>
    <w:rsid w:val="00911EA0"/>
    <w:rsid w:val="009121C0"/>
    <w:rsid w:val="009140C1"/>
    <w:rsid w:val="0091425E"/>
    <w:rsid w:val="0091448A"/>
    <w:rsid w:val="00915A23"/>
    <w:rsid w:val="00917501"/>
    <w:rsid w:val="00922C22"/>
    <w:rsid w:val="00922D86"/>
    <w:rsid w:val="00922EB2"/>
    <w:rsid w:val="00922F91"/>
    <w:rsid w:val="00923FD9"/>
    <w:rsid w:val="00924DC6"/>
    <w:rsid w:val="009269BA"/>
    <w:rsid w:val="00927303"/>
    <w:rsid w:val="00927F0A"/>
    <w:rsid w:val="0093003A"/>
    <w:rsid w:val="00930123"/>
    <w:rsid w:val="009305CC"/>
    <w:rsid w:val="00930737"/>
    <w:rsid w:val="00930E3A"/>
    <w:rsid w:val="009310FD"/>
    <w:rsid w:val="0093149E"/>
    <w:rsid w:val="00932723"/>
    <w:rsid w:val="009329E5"/>
    <w:rsid w:val="00933A03"/>
    <w:rsid w:val="00935791"/>
    <w:rsid w:val="00935E16"/>
    <w:rsid w:val="00936DA1"/>
    <w:rsid w:val="00937FDA"/>
    <w:rsid w:val="0094085D"/>
    <w:rsid w:val="00940A0F"/>
    <w:rsid w:val="00941187"/>
    <w:rsid w:val="00941D92"/>
    <w:rsid w:val="00942309"/>
    <w:rsid w:val="0094332A"/>
    <w:rsid w:val="009442AE"/>
    <w:rsid w:val="00945554"/>
    <w:rsid w:val="00947191"/>
    <w:rsid w:val="0095034B"/>
    <w:rsid w:val="0095189C"/>
    <w:rsid w:val="00953389"/>
    <w:rsid w:val="009540C6"/>
    <w:rsid w:val="00954420"/>
    <w:rsid w:val="0095511E"/>
    <w:rsid w:val="0095532E"/>
    <w:rsid w:val="0095635C"/>
    <w:rsid w:val="0095673E"/>
    <w:rsid w:val="00956804"/>
    <w:rsid w:val="009573E7"/>
    <w:rsid w:val="009576ED"/>
    <w:rsid w:val="00960E24"/>
    <w:rsid w:val="009610C6"/>
    <w:rsid w:val="009614B2"/>
    <w:rsid w:val="00964672"/>
    <w:rsid w:val="00970BDD"/>
    <w:rsid w:val="00971734"/>
    <w:rsid w:val="009730FC"/>
    <w:rsid w:val="00973E0D"/>
    <w:rsid w:val="00973F15"/>
    <w:rsid w:val="009755BA"/>
    <w:rsid w:val="0097571F"/>
    <w:rsid w:val="00975A67"/>
    <w:rsid w:val="00977953"/>
    <w:rsid w:val="0098023D"/>
    <w:rsid w:val="00980BE7"/>
    <w:rsid w:val="009846C3"/>
    <w:rsid w:val="00984E90"/>
    <w:rsid w:val="00984EEE"/>
    <w:rsid w:val="009874D1"/>
    <w:rsid w:val="00990290"/>
    <w:rsid w:val="00990DFE"/>
    <w:rsid w:val="009922DC"/>
    <w:rsid w:val="009932F9"/>
    <w:rsid w:val="009933F8"/>
    <w:rsid w:val="0099411C"/>
    <w:rsid w:val="009947D6"/>
    <w:rsid w:val="009960E3"/>
    <w:rsid w:val="00996820"/>
    <w:rsid w:val="00996C7B"/>
    <w:rsid w:val="00996C97"/>
    <w:rsid w:val="00997124"/>
    <w:rsid w:val="00997656"/>
    <w:rsid w:val="009A004D"/>
    <w:rsid w:val="009A13CC"/>
    <w:rsid w:val="009A13F9"/>
    <w:rsid w:val="009A2087"/>
    <w:rsid w:val="009A22BC"/>
    <w:rsid w:val="009A284D"/>
    <w:rsid w:val="009A3AEF"/>
    <w:rsid w:val="009A3C38"/>
    <w:rsid w:val="009A4137"/>
    <w:rsid w:val="009A445A"/>
    <w:rsid w:val="009A4E1A"/>
    <w:rsid w:val="009A6900"/>
    <w:rsid w:val="009B17FF"/>
    <w:rsid w:val="009B19E5"/>
    <w:rsid w:val="009B23B5"/>
    <w:rsid w:val="009B27F2"/>
    <w:rsid w:val="009B3BD8"/>
    <w:rsid w:val="009B5B87"/>
    <w:rsid w:val="009B63EE"/>
    <w:rsid w:val="009C00AE"/>
    <w:rsid w:val="009C0841"/>
    <w:rsid w:val="009C1484"/>
    <w:rsid w:val="009C20DD"/>
    <w:rsid w:val="009C2387"/>
    <w:rsid w:val="009C294E"/>
    <w:rsid w:val="009C296A"/>
    <w:rsid w:val="009C3006"/>
    <w:rsid w:val="009C4589"/>
    <w:rsid w:val="009C46B1"/>
    <w:rsid w:val="009C483A"/>
    <w:rsid w:val="009C5964"/>
    <w:rsid w:val="009C685C"/>
    <w:rsid w:val="009C7416"/>
    <w:rsid w:val="009D087D"/>
    <w:rsid w:val="009D0A4D"/>
    <w:rsid w:val="009D0D40"/>
    <w:rsid w:val="009D0F63"/>
    <w:rsid w:val="009D1A54"/>
    <w:rsid w:val="009D2A3C"/>
    <w:rsid w:val="009D2E36"/>
    <w:rsid w:val="009D3023"/>
    <w:rsid w:val="009D419E"/>
    <w:rsid w:val="009D4D71"/>
    <w:rsid w:val="009D4E2A"/>
    <w:rsid w:val="009D53DB"/>
    <w:rsid w:val="009D681B"/>
    <w:rsid w:val="009D7528"/>
    <w:rsid w:val="009E0097"/>
    <w:rsid w:val="009E0B92"/>
    <w:rsid w:val="009E27F7"/>
    <w:rsid w:val="009E2E90"/>
    <w:rsid w:val="009E2FD5"/>
    <w:rsid w:val="009E446D"/>
    <w:rsid w:val="009E4480"/>
    <w:rsid w:val="009E450D"/>
    <w:rsid w:val="009E5DEA"/>
    <w:rsid w:val="009E7B4A"/>
    <w:rsid w:val="009E7BA4"/>
    <w:rsid w:val="009F08BD"/>
    <w:rsid w:val="009F107E"/>
    <w:rsid w:val="009F26F2"/>
    <w:rsid w:val="009F2BFE"/>
    <w:rsid w:val="009F336B"/>
    <w:rsid w:val="009F374C"/>
    <w:rsid w:val="009F3F79"/>
    <w:rsid w:val="009F4469"/>
    <w:rsid w:val="009F6013"/>
    <w:rsid w:val="009F673B"/>
    <w:rsid w:val="009F6A2A"/>
    <w:rsid w:val="009F6E2D"/>
    <w:rsid w:val="009F746F"/>
    <w:rsid w:val="009F7754"/>
    <w:rsid w:val="00A006F9"/>
    <w:rsid w:val="00A00889"/>
    <w:rsid w:val="00A009CD"/>
    <w:rsid w:val="00A035D7"/>
    <w:rsid w:val="00A03894"/>
    <w:rsid w:val="00A06C8B"/>
    <w:rsid w:val="00A071CA"/>
    <w:rsid w:val="00A07A3C"/>
    <w:rsid w:val="00A105CD"/>
    <w:rsid w:val="00A137AE"/>
    <w:rsid w:val="00A14136"/>
    <w:rsid w:val="00A152A4"/>
    <w:rsid w:val="00A1566D"/>
    <w:rsid w:val="00A166D7"/>
    <w:rsid w:val="00A170DF"/>
    <w:rsid w:val="00A20141"/>
    <w:rsid w:val="00A2119B"/>
    <w:rsid w:val="00A213AD"/>
    <w:rsid w:val="00A237FE"/>
    <w:rsid w:val="00A24032"/>
    <w:rsid w:val="00A302CA"/>
    <w:rsid w:val="00A3144D"/>
    <w:rsid w:val="00A31DFA"/>
    <w:rsid w:val="00A32B74"/>
    <w:rsid w:val="00A35D2A"/>
    <w:rsid w:val="00A363D6"/>
    <w:rsid w:val="00A36C80"/>
    <w:rsid w:val="00A3717D"/>
    <w:rsid w:val="00A37F39"/>
    <w:rsid w:val="00A4187F"/>
    <w:rsid w:val="00A45225"/>
    <w:rsid w:val="00A45AC5"/>
    <w:rsid w:val="00A45E09"/>
    <w:rsid w:val="00A4604C"/>
    <w:rsid w:val="00A474F0"/>
    <w:rsid w:val="00A47881"/>
    <w:rsid w:val="00A47C09"/>
    <w:rsid w:val="00A47FFD"/>
    <w:rsid w:val="00A51BD0"/>
    <w:rsid w:val="00A520E1"/>
    <w:rsid w:val="00A53001"/>
    <w:rsid w:val="00A54217"/>
    <w:rsid w:val="00A54EDA"/>
    <w:rsid w:val="00A56889"/>
    <w:rsid w:val="00A57B06"/>
    <w:rsid w:val="00A61836"/>
    <w:rsid w:val="00A62983"/>
    <w:rsid w:val="00A62F3B"/>
    <w:rsid w:val="00A62F65"/>
    <w:rsid w:val="00A631A0"/>
    <w:rsid w:val="00A63893"/>
    <w:rsid w:val="00A65454"/>
    <w:rsid w:val="00A65567"/>
    <w:rsid w:val="00A660FC"/>
    <w:rsid w:val="00A70CC8"/>
    <w:rsid w:val="00A710D8"/>
    <w:rsid w:val="00A7193E"/>
    <w:rsid w:val="00A72120"/>
    <w:rsid w:val="00A74FE7"/>
    <w:rsid w:val="00A752AA"/>
    <w:rsid w:val="00A75A3A"/>
    <w:rsid w:val="00A766A3"/>
    <w:rsid w:val="00A805E0"/>
    <w:rsid w:val="00A814C4"/>
    <w:rsid w:val="00A81C20"/>
    <w:rsid w:val="00A81F1E"/>
    <w:rsid w:val="00A82769"/>
    <w:rsid w:val="00A83187"/>
    <w:rsid w:val="00A839FC"/>
    <w:rsid w:val="00A84545"/>
    <w:rsid w:val="00A84C5B"/>
    <w:rsid w:val="00A84F18"/>
    <w:rsid w:val="00A8532F"/>
    <w:rsid w:val="00A86600"/>
    <w:rsid w:val="00A8797A"/>
    <w:rsid w:val="00A91634"/>
    <w:rsid w:val="00A92454"/>
    <w:rsid w:val="00A92AC2"/>
    <w:rsid w:val="00A94023"/>
    <w:rsid w:val="00A94BC9"/>
    <w:rsid w:val="00A94E09"/>
    <w:rsid w:val="00A950FB"/>
    <w:rsid w:val="00A978BD"/>
    <w:rsid w:val="00AA02AA"/>
    <w:rsid w:val="00AA29F0"/>
    <w:rsid w:val="00AA2C0C"/>
    <w:rsid w:val="00AA3767"/>
    <w:rsid w:val="00AA3780"/>
    <w:rsid w:val="00AA3973"/>
    <w:rsid w:val="00AA4EB7"/>
    <w:rsid w:val="00AA5AEA"/>
    <w:rsid w:val="00AA5F6A"/>
    <w:rsid w:val="00AA6048"/>
    <w:rsid w:val="00AA7331"/>
    <w:rsid w:val="00AB1CB3"/>
    <w:rsid w:val="00AB2086"/>
    <w:rsid w:val="00AB3692"/>
    <w:rsid w:val="00AB36D5"/>
    <w:rsid w:val="00AB421A"/>
    <w:rsid w:val="00AB4D61"/>
    <w:rsid w:val="00AB574B"/>
    <w:rsid w:val="00AB5C40"/>
    <w:rsid w:val="00AB67AF"/>
    <w:rsid w:val="00AB7396"/>
    <w:rsid w:val="00AB7FB5"/>
    <w:rsid w:val="00AC3C46"/>
    <w:rsid w:val="00AC4EC3"/>
    <w:rsid w:val="00AC5151"/>
    <w:rsid w:val="00AC596D"/>
    <w:rsid w:val="00AC678A"/>
    <w:rsid w:val="00AC6D80"/>
    <w:rsid w:val="00AC70D0"/>
    <w:rsid w:val="00AD288D"/>
    <w:rsid w:val="00AD3296"/>
    <w:rsid w:val="00AD3905"/>
    <w:rsid w:val="00AD4442"/>
    <w:rsid w:val="00AD4F38"/>
    <w:rsid w:val="00AD532D"/>
    <w:rsid w:val="00AD62BA"/>
    <w:rsid w:val="00AD758D"/>
    <w:rsid w:val="00AD78BB"/>
    <w:rsid w:val="00AE10AB"/>
    <w:rsid w:val="00AE14CF"/>
    <w:rsid w:val="00AE24B5"/>
    <w:rsid w:val="00AE27F6"/>
    <w:rsid w:val="00AE35FE"/>
    <w:rsid w:val="00AE5721"/>
    <w:rsid w:val="00AE586C"/>
    <w:rsid w:val="00AE6471"/>
    <w:rsid w:val="00AE6BEC"/>
    <w:rsid w:val="00AF0812"/>
    <w:rsid w:val="00AF1834"/>
    <w:rsid w:val="00AF26B6"/>
    <w:rsid w:val="00AF5384"/>
    <w:rsid w:val="00AF584A"/>
    <w:rsid w:val="00AF5DF7"/>
    <w:rsid w:val="00B01A6D"/>
    <w:rsid w:val="00B0266B"/>
    <w:rsid w:val="00B038AE"/>
    <w:rsid w:val="00B0487E"/>
    <w:rsid w:val="00B0500F"/>
    <w:rsid w:val="00B06246"/>
    <w:rsid w:val="00B07F56"/>
    <w:rsid w:val="00B10125"/>
    <w:rsid w:val="00B10A6F"/>
    <w:rsid w:val="00B13C8A"/>
    <w:rsid w:val="00B14755"/>
    <w:rsid w:val="00B14C7F"/>
    <w:rsid w:val="00B14EA0"/>
    <w:rsid w:val="00B15C80"/>
    <w:rsid w:val="00B15F79"/>
    <w:rsid w:val="00B16064"/>
    <w:rsid w:val="00B200FF"/>
    <w:rsid w:val="00B21F6E"/>
    <w:rsid w:val="00B23365"/>
    <w:rsid w:val="00B240BF"/>
    <w:rsid w:val="00B24861"/>
    <w:rsid w:val="00B24A1F"/>
    <w:rsid w:val="00B25F6F"/>
    <w:rsid w:val="00B265FA"/>
    <w:rsid w:val="00B27313"/>
    <w:rsid w:val="00B32E7D"/>
    <w:rsid w:val="00B3420F"/>
    <w:rsid w:val="00B349C9"/>
    <w:rsid w:val="00B34FD6"/>
    <w:rsid w:val="00B35F96"/>
    <w:rsid w:val="00B36023"/>
    <w:rsid w:val="00B3721E"/>
    <w:rsid w:val="00B4183A"/>
    <w:rsid w:val="00B423FD"/>
    <w:rsid w:val="00B43898"/>
    <w:rsid w:val="00B43A6F"/>
    <w:rsid w:val="00B44C6C"/>
    <w:rsid w:val="00B46030"/>
    <w:rsid w:val="00B46EB0"/>
    <w:rsid w:val="00B46EE9"/>
    <w:rsid w:val="00B477AC"/>
    <w:rsid w:val="00B47A47"/>
    <w:rsid w:val="00B51693"/>
    <w:rsid w:val="00B51922"/>
    <w:rsid w:val="00B536B7"/>
    <w:rsid w:val="00B53941"/>
    <w:rsid w:val="00B53FA5"/>
    <w:rsid w:val="00B54FEB"/>
    <w:rsid w:val="00B56CAC"/>
    <w:rsid w:val="00B618A3"/>
    <w:rsid w:val="00B63247"/>
    <w:rsid w:val="00B645E4"/>
    <w:rsid w:val="00B70343"/>
    <w:rsid w:val="00B71242"/>
    <w:rsid w:val="00B715FA"/>
    <w:rsid w:val="00B71EBB"/>
    <w:rsid w:val="00B72863"/>
    <w:rsid w:val="00B730D6"/>
    <w:rsid w:val="00B746DD"/>
    <w:rsid w:val="00B74C52"/>
    <w:rsid w:val="00B75084"/>
    <w:rsid w:val="00B7614B"/>
    <w:rsid w:val="00B77B9D"/>
    <w:rsid w:val="00B80B61"/>
    <w:rsid w:val="00B81E28"/>
    <w:rsid w:val="00B82B57"/>
    <w:rsid w:val="00B83546"/>
    <w:rsid w:val="00B864F7"/>
    <w:rsid w:val="00B8790C"/>
    <w:rsid w:val="00B90630"/>
    <w:rsid w:val="00B90AF6"/>
    <w:rsid w:val="00B914B4"/>
    <w:rsid w:val="00B91D19"/>
    <w:rsid w:val="00B93569"/>
    <w:rsid w:val="00B93C1C"/>
    <w:rsid w:val="00B971F8"/>
    <w:rsid w:val="00B97D54"/>
    <w:rsid w:val="00BA331C"/>
    <w:rsid w:val="00BA3AC8"/>
    <w:rsid w:val="00BA457A"/>
    <w:rsid w:val="00BA518F"/>
    <w:rsid w:val="00BA5E63"/>
    <w:rsid w:val="00BA6A92"/>
    <w:rsid w:val="00BA7C47"/>
    <w:rsid w:val="00BB1866"/>
    <w:rsid w:val="00BB1890"/>
    <w:rsid w:val="00BB1FA6"/>
    <w:rsid w:val="00BB37D0"/>
    <w:rsid w:val="00BB3B5B"/>
    <w:rsid w:val="00BB45BB"/>
    <w:rsid w:val="00BB51B4"/>
    <w:rsid w:val="00BB5E7D"/>
    <w:rsid w:val="00BB6C47"/>
    <w:rsid w:val="00BB6E5E"/>
    <w:rsid w:val="00BB7218"/>
    <w:rsid w:val="00BB7265"/>
    <w:rsid w:val="00BB76F4"/>
    <w:rsid w:val="00BB7A93"/>
    <w:rsid w:val="00BC12C1"/>
    <w:rsid w:val="00BC1993"/>
    <w:rsid w:val="00BC22F3"/>
    <w:rsid w:val="00BC2AEB"/>
    <w:rsid w:val="00BC50A2"/>
    <w:rsid w:val="00BC52BA"/>
    <w:rsid w:val="00BC562B"/>
    <w:rsid w:val="00BC5BC4"/>
    <w:rsid w:val="00BC7ED5"/>
    <w:rsid w:val="00BD1F1E"/>
    <w:rsid w:val="00BD294E"/>
    <w:rsid w:val="00BD3D2B"/>
    <w:rsid w:val="00BD3FD3"/>
    <w:rsid w:val="00BD430E"/>
    <w:rsid w:val="00BD6729"/>
    <w:rsid w:val="00BD68B4"/>
    <w:rsid w:val="00BD71BC"/>
    <w:rsid w:val="00BE0ED7"/>
    <w:rsid w:val="00BE1B8F"/>
    <w:rsid w:val="00BE5D1E"/>
    <w:rsid w:val="00BF0941"/>
    <w:rsid w:val="00BF0EBB"/>
    <w:rsid w:val="00BF1490"/>
    <w:rsid w:val="00BF1DD7"/>
    <w:rsid w:val="00BF29C9"/>
    <w:rsid w:val="00BF3103"/>
    <w:rsid w:val="00BF4754"/>
    <w:rsid w:val="00BF4DB1"/>
    <w:rsid w:val="00BF6921"/>
    <w:rsid w:val="00BF6C45"/>
    <w:rsid w:val="00C0019B"/>
    <w:rsid w:val="00C01831"/>
    <w:rsid w:val="00C01FB4"/>
    <w:rsid w:val="00C02F99"/>
    <w:rsid w:val="00C03393"/>
    <w:rsid w:val="00C04C63"/>
    <w:rsid w:val="00C053B8"/>
    <w:rsid w:val="00C055EE"/>
    <w:rsid w:val="00C06CB3"/>
    <w:rsid w:val="00C07578"/>
    <w:rsid w:val="00C078E3"/>
    <w:rsid w:val="00C111BE"/>
    <w:rsid w:val="00C11A55"/>
    <w:rsid w:val="00C1590B"/>
    <w:rsid w:val="00C15B70"/>
    <w:rsid w:val="00C1609C"/>
    <w:rsid w:val="00C17398"/>
    <w:rsid w:val="00C20971"/>
    <w:rsid w:val="00C21035"/>
    <w:rsid w:val="00C24621"/>
    <w:rsid w:val="00C25FDE"/>
    <w:rsid w:val="00C264DA"/>
    <w:rsid w:val="00C3061D"/>
    <w:rsid w:val="00C30A3D"/>
    <w:rsid w:val="00C320BD"/>
    <w:rsid w:val="00C320DC"/>
    <w:rsid w:val="00C35F80"/>
    <w:rsid w:val="00C36982"/>
    <w:rsid w:val="00C37067"/>
    <w:rsid w:val="00C41421"/>
    <w:rsid w:val="00C424FC"/>
    <w:rsid w:val="00C42996"/>
    <w:rsid w:val="00C4370C"/>
    <w:rsid w:val="00C471ED"/>
    <w:rsid w:val="00C50115"/>
    <w:rsid w:val="00C520F3"/>
    <w:rsid w:val="00C523F8"/>
    <w:rsid w:val="00C544E0"/>
    <w:rsid w:val="00C54E8C"/>
    <w:rsid w:val="00C55654"/>
    <w:rsid w:val="00C576F9"/>
    <w:rsid w:val="00C60835"/>
    <w:rsid w:val="00C62D22"/>
    <w:rsid w:val="00C636A8"/>
    <w:rsid w:val="00C64161"/>
    <w:rsid w:val="00C661C6"/>
    <w:rsid w:val="00C673A4"/>
    <w:rsid w:val="00C73B92"/>
    <w:rsid w:val="00C73D76"/>
    <w:rsid w:val="00C766E2"/>
    <w:rsid w:val="00C77DA1"/>
    <w:rsid w:val="00C80812"/>
    <w:rsid w:val="00C82A5A"/>
    <w:rsid w:val="00C83A64"/>
    <w:rsid w:val="00C84784"/>
    <w:rsid w:val="00C849A9"/>
    <w:rsid w:val="00C84D1C"/>
    <w:rsid w:val="00C8518A"/>
    <w:rsid w:val="00C85568"/>
    <w:rsid w:val="00C85749"/>
    <w:rsid w:val="00C85770"/>
    <w:rsid w:val="00C85998"/>
    <w:rsid w:val="00C8607A"/>
    <w:rsid w:val="00C86AB3"/>
    <w:rsid w:val="00C86B40"/>
    <w:rsid w:val="00C87045"/>
    <w:rsid w:val="00C877C7"/>
    <w:rsid w:val="00C87B6B"/>
    <w:rsid w:val="00C900A8"/>
    <w:rsid w:val="00C90108"/>
    <w:rsid w:val="00C91404"/>
    <w:rsid w:val="00C93652"/>
    <w:rsid w:val="00C95680"/>
    <w:rsid w:val="00C956A3"/>
    <w:rsid w:val="00C95BC5"/>
    <w:rsid w:val="00C95F66"/>
    <w:rsid w:val="00C96877"/>
    <w:rsid w:val="00C96D12"/>
    <w:rsid w:val="00CA0BBD"/>
    <w:rsid w:val="00CA154C"/>
    <w:rsid w:val="00CA414A"/>
    <w:rsid w:val="00CA4CAD"/>
    <w:rsid w:val="00CA6916"/>
    <w:rsid w:val="00CB2349"/>
    <w:rsid w:val="00CB3B78"/>
    <w:rsid w:val="00CB493B"/>
    <w:rsid w:val="00CB4BBE"/>
    <w:rsid w:val="00CB5EED"/>
    <w:rsid w:val="00CB7166"/>
    <w:rsid w:val="00CC275E"/>
    <w:rsid w:val="00CC408C"/>
    <w:rsid w:val="00CC4684"/>
    <w:rsid w:val="00CC5A5D"/>
    <w:rsid w:val="00CC5D4A"/>
    <w:rsid w:val="00CC73F5"/>
    <w:rsid w:val="00CD11F9"/>
    <w:rsid w:val="00CD178B"/>
    <w:rsid w:val="00CD1C37"/>
    <w:rsid w:val="00CD1DD9"/>
    <w:rsid w:val="00CD29A6"/>
    <w:rsid w:val="00CD31AE"/>
    <w:rsid w:val="00CD4474"/>
    <w:rsid w:val="00CD5DC4"/>
    <w:rsid w:val="00CD5FB2"/>
    <w:rsid w:val="00CD6B03"/>
    <w:rsid w:val="00CD7486"/>
    <w:rsid w:val="00CE0D26"/>
    <w:rsid w:val="00CE23AE"/>
    <w:rsid w:val="00CE24A4"/>
    <w:rsid w:val="00CE3314"/>
    <w:rsid w:val="00CE409F"/>
    <w:rsid w:val="00CE4702"/>
    <w:rsid w:val="00CE4E2D"/>
    <w:rsid w:val="00CE773E"/>
    <w:rsid w:val="00CE79CB"/>
    <w:rsid w:val="00CF09D5"/>
    <w:rsid w:val="00CF1D08"/>
    <w:rsid w:val="00CF305D"/>
    <w:rsid w:val="00CF3A4B"/>
    <w:rsid w:val="00CF476F"/>
    <w:rsid w:val="00CF4AB2"/>
    <w:rsid w:val="00CF61EA"/>
    <w:rsid w:val="00CF6958"/>
    <w:rsid w:val="00CF7EA5"/>
    <w:rsid w:val="00CF7EB4"/>
    <w:rsid w:val="00CF7EEF"/>
    <w:rsid w:val="00D0044E"/>
    <w:rsid w:val="00D00EB3"/>
    <w:rsid w:val="00D01D35"/>
    <w:rsid w:val="00D01EDF"/>
    <w:rsid w:val="00D0201C"/>
    <w:rsid w:val="00D0211B"/>
    <w:rsid w:val="00D0435D"/>
    <w:rsid w:val="00D05637"/>
    <w:rsid w:val="00D05F30"/>
    <w:rsid w:val="00D06B70"/>
    <w:rsid w:val="00D104CC"/>
    <w:rsid w:val="00D11A97"/>
    <w:rsid w:val="00D11C98"/>
    <w:rsid w:val="00D12E2F"/>
    <w:rsid w:val="00D13677"/>
    <w:rsid w:val="00D13719"/>
    <w:rsid w:val="00D1410C"/>
    <w:rsid w:val="00D16B95"/>
    <w:rsid w:val="00D1757D"/>
    <w:rsid w:val="00D176FA"/>
    <w:rsid w:val="00D21333"/>
    <w:rsid w:val="00D214DB"/>
    <w:rsid w:val="00D214F4"/>
    <w:rsid w:val="00D233DE"/>
    <w:rsid w:val="00D23D46"/>
    <w:rsid w:val="00D25F56"/>
    <w:rsid w:val="00D26509"/>
    <w:rsid w:val="00D265A4"/>
    <w:rsid w:val="00D26922"/>
    <w:rsid w:val="00D26B08"/>
    <w:rsid w:val="00D317FE"/>
    <w:rsid w:val="00D31CF4"/>
    <w:rsid w:val="00D31DE5"/>
    <w:rsid w:val="00D3285A"/>
    <w:rsid w:val="00D350DE"/>
    <w:rsid w:val="00D358C0"/>
    <w:rsid w:val="00D35D8E"/>
    <w:rsid w:val="00D361BF"/>
    <w:rsid w:val="00D3705C"/>
    <w:rsid w:val="00D4225B"/>
    <w:rsid w:val="00D436C1"/>
    <w:rsid w:val="00D469AD"/>
    <w:rsid w:val="00D47607"/>
    <w:rsid w:val="00D47B62"/>
    <w:rsid w:val="00D50691"/>
    <w:rsid w:val="00D51693"/>
    <w:rsid w:val="00D52315"/>
    <w:rsid w:val="00D524EF"/>
    <w:rsid w:val="00D52989"/>
    <w:rsid w:val="00D53237"/>
    <w:rsid w:val="00D540E2"/>
    <w:rsid w:val="00D553FF"/>
    <w:rsid w:val="00D55E00"/>
    <w:rsid w:val="00D56EB1"/>
    <w:rsid w:val="00D57207"/>
    <w:rsid w:val="00D60112"/>
    <w:rsid w:val="00D60BA4"/>
    <w:rsid w:val="00D60FF8"/>
    <w:rsid w:val="00D61141"/>
    <w:rsid w:val="00D6248A"/>
    <w:rsid w:val="00D62783"/>
    <w:rsid w:val="00D650D3"/>
    <w:rsid w:val="00D652AC"/>
    <w:rsid w:val="00D6560C"/>
    <w:rsid w:val="00D70013"/>
    <w:rsid w:val="00D7065C"/>
    <w:rsid w:val="00D71D02"/>
    <w:rsid w:val="00D73805"/>
    <w:rsid w:val="00D76123"/>
    <w:rsid w:val="00D777A5"/>
    <w:rsid w:val="00D77C34"/>
    <w:rsid w:val="00D8476E"/>
    <w:rsid w:val="00D8518B"/>
    <w:rsid w:val="00D86DB2"/>
    <w:rsid w:val="00D87370"/>
    <w:rsid w:val="00D8764B"/>
    <w:rsid w:val="00D87D14"/>
    <w:rsid w:val="00D87E6F"/>
    <w:rsid w:val="00D87EC4"/>
    <w:rsid w:val="00D900D6"/>
    <w:rsid w:val="00D909BD"/>
    <w:rsid w:val="00D91869"/>
    <w:rsid w:val="00D95154"/>
    <w:rsid w:val="00D959D5"/>
    <w:rsid w:val="00D96487"/>
    <w:rsid w:val="00D96D88"/>
    <w:rsid w:val="00DA0DF7"/>
    <w:rsid w:val="00DA177B"/>
    <w:rsid w:val="00DA37B1"/>
    <w:rsid w:val="00DA398A"/>
    <w:rsid w:val="00DA5342"/>
    <w:rsid w:val="00DA5F34"/>
    <w:rsid w:val="00DA7CCA"/>
    <w:rsid w:val="00DB1590"/>
    <w:rsid w:val="00DB35DA"/>
    <w:rsid w:val="00DB3C41"/>
    <w:rsid w:val="00DB3DA3"/>
    <w:rsid w:val="00DB44F8"/>
    <w:rsid w:val="00DB56A4"/>
    <w:rsid w:val="00DB581F"/>
    <w:rsid w:val="00DB6CA4"/>
    <w:rsid w:val="00DB7580"/>
    <w:rsid w:val="00DB7EA1"/>
    <w:rsid w:val="00DB7F24"/>
    <w:rsid w:val="00DC1192"/>
    <w:rsid w:val="00DC1325"/>
    <w:rsid w:val="00DC277F"/>
    <w:rsid w:val="00DC3398"/>
    <w:rsid w:val="00DC414C"/>
    <w:rsid w:val="00DC56E6"/>
    <w:rsid w:val="00DC587E"/>
    <w:rsid w:val="00DC6095"/>
    <w:rsid w:val="00DC60B1"/>
    <w:rsid w:val="00DC6C4B"/>
    <w:rsid w:val="00DC7351"/>
    <w:rsid w:val="00DC73FD"/>
    <w:rsid w:val="00DD02FC"/>
    <w:rsid w:val="00DD075D"/>
    <w:rsid w:val="00DD0B01"/>
    <w:rsid w:val="00DD0E45"/>
    <w:rsid w:val="00DD2853"/>
    <w:rsid w:val="00DD2AB4"/>
    <w:rsid w:val="00DD443C"/>
    <w:rsid w:val="00DD4580"/>
    <w:rsid w:val="00DD5F56"/>
    <w:rsid w:val="00DD795E"/>
    <w:rsid w:val="00DE1773"/>
    <w:rsid w:val="00DE5C65"/>
    <w:rsid w:val="00DE5D81"/>
    <w:rsid w:val="00DE6992"/>
    <w:rsid w:val="00DF1253"/>
    <w:rsid w:val="00DF1712"/>
    <w:rsid w:val="00DF1BF9"/>
    <w:rsid w:val="00DF1CED"/>
    <w:rsid w:val="00DF1CF4"/>
    <w:rsid w:val="00DF3E90"/>
    <w:rsid w:val="00DF45F0"/>
    <w:rsid w:val="00DF5138"/>
    <w:rsid w:val="00DF5139"/>
    <w:rsid w:val="00DF596D"/>
    <w:rsid w:val="00E00776"/>
    <w:rsid w:val="00E00F48"/>
    <w:rsid w:val="00E0180E"/>
    <w:rsid w:val="00E0216E"/>
    <w:rsid w:val="00E023C1"/>
    <w:rsid w:val="00E02DBF"/>
    <w:rsid w:val="00E03484"/>
    <w:rsid w:val="00E03B2D"/>
    <w:rsid w:val="00E05C85"/>
    <w:rsid w:val="00E07A0E"/>
    <w:rsid w:val="00E13214"/>
    <w:rsid w:val="00E14818"/>
    <w:rsid w:val="00E158F7"/>
    <w:rsid w:val="00E160D2"/>
    <w:rsid w:val="00E16BDA"/>
    <w:rsid w:val="00E16CEE"/>
    <w:rsid w:val="00E17121"/>
    <w:rsid w:val="00E2080F"/>
    <w:rsid w:val="00E20923"/>
    <w:rsid w:val="00E21FA6"/>
    <w:rsid w:val="00E22B42"/>
    <w:rsid w:val="00E23BE6"/>
    <w:rsid w:val="00E249DD"/>
    <w:rsid w:val="00E24C2E"/>
    <w:rsid w:val="00E250C0"/>
    <w:rsid w:val="00E26A07"/>
    <w:rsid w:val="00E32089"/>
    <w:rsid w:val="00E32EC3"/>
    <w:rsid w:val="00E33AF6"/>
    <w:rsid w:val="00E34651"/>
    <w:rsid w:val="00E35ED9"/>
    <w:rsid w:val="00E406E3"/>
    <w:rsid w:val="00E44293"/>
    <w:rsid w:val="00E44C8B"/>
    <w:rsid w:val="00E44CA7"/>
    <w:rsid w:val="00E452B7"/>
    <w:rsid w:val="00E45D3C"/>
    <w:rsid w:val="00E46FF5"/>
    <w:rsid w:val="00E475E0"/>
    <w:rsid w:val="00E52991"/>
    <w:rsid w:val="00E52C44"/>
    <w:rsid w:val="00E53D86"/>
    <w:rsid w:val="00E54207"/>
    <w:rsid w:val="00E5422C"/>
    <w:rsid w:val="00E57C81"/>
    <w:rsid w:val="00E60CAD"/>
    <w:rsid w:val="00E62134"/>
    <w:rsid w:val="00E62A67"/>
    <w:rsid w:val="00E62EBA"/>
    <w:rsid w:val="00E635C0"/>
    <w:rsid w:val="00E65EE8"/>
    <w:rsid w:val="00E6666F"/>
    <w:rsid w:val="00E71BB1"/>
    <w:rsid w:val="00E71E19"/>
    <w:rsid w:val="00E730CA"/>
    <w:rsid w:val="00E73E96"/>
    <w:rsid w:val="00E75973"/>
    <w:rsid w:val="00E77EB4"/>
    <w:rsid w:val="00E8129D"/>
    <w:rsid w:val="00E81CF8"/>
    <w:rsid w:val="00E825BE"/>
    <w:rsid w:val="00E82CC8"/>
    <w:rsid w:val="00E85284"/>
    <w:rsid w:val="00E856A4"/>
    <w:rsid w:val="00E878E1"/>
    <w:rsid w:val="00E87A4C"/>
    <w:rsid w:val="00E910A8"/>
    <w:rsid w:val="00E957CB"/>
    <w:rsid w:val="00E96247"/>
    <w:rsid w:val="00E96776"/>
    <w:rsid w:val="00E97A2D"/>
    <w:rsid w:val="00E97D5D"/>
    <w:rsid w:val="00E97E8A"/>
    <w:rsid w:val="00EA0FF1"/>
    <w:rsid w:val="00EA1107"/>
    <w:rsid w:val="00EA1F56"/>
    <w:rsid w:val="00EA3003"/>
    <w:rsid w:val="00EB04B0"/>
    <w:rsid w:val="00EB077A"/>
    <w:rsid w:val="00EB090D"/>
    <w:rsid w:val="00EB1FE2"/>
    <w:rsid w:val="00EB23A0"/>
    <w:rsid w:val="00EB33BF"/>
    <w:rsid w:val="00EB36CA"/>
    <w:rsid w:val="00EB376D"/>
    <w:rsid w:val="00EB3827"/>
    <w:rsid w:val="00EB3C1C"/>
    <w:rsid w:val="00EB4CF2"/>
    <w:rsid w:val="00EB5564"/>
    <w:rsid w:val="00EB5D09"/>
    <w:rsid w:val="00EB63ED"/>
    <w:rsid w:val="00EB7221"/>
    <w:rsid w:val="00EB7CD6"/>
    <w:rsid w:val="00EC0A24"/>
    <w:rsid w:val="00EC1631"/>
    <w:rsid w:val="00EC1F4A"/>
    <w:rsid w:val="00EC387C"/>
    <w:rsid w:val="00EC3A14"/>
    <w:rsid w:val="00EC4297"/>
    <w:rsid w:val="00EC4B6C"/>
    <w:rsid w:val="00EC7911"/>
    <w:rsid w:val="00ED0245"/>
    <w:rsid w:val="00ED0F75"/>
    <w:rsid w:val="00ED217C"/>
    <w:rsid w:val="00ED2FF1"/>
    <w:rsid w:val="00ED3958"/>
    <w:rsid w:val="00ED3A18"/>
    <w:rsid w:val="00ED3D2A"/>
    <w:rsid w:val="00ED4434"/>
    <w:rsid w:val="00ED4D67"/>
    <w:rsid w:val="00ED54B1"/>
    <w:rsid w:val="00ED5D69"/>
    <w:rsid w:val="00ED7C70"/>
    <w:rsid w:val="00EE0001"/>
    <w:rsid w:val="00EE0EE7"/>
    <w:rsid w:val="00EE1826"/>
    <w:rsid w:val="00EE23D7"/>
    <w:rsid w:val="00EE38C4"/>
    <w:rsid w:val="00EE4C72"/>
    <w:rsid w:val="00EE5E92"/>
    <w:rsid w:val="00EE6E28"/>
    <w:rsid w:val="00EE7049"/>
    <w:rsid w:val="00EE78FA"/>
    <w:rsid w:val="00EF1020"/>
    <w:rsid w:val="00EF4D14"/>
    <w:rsid w:val="00EF6944"/>
    <w:rsid w:val="00EF69F8"/>
    <w:rsid w:val="00EF7492"/>
    <w:rsid w:val="00F0003E"/>
    <w:rsid w:val="00F00550"/>
    <w:rsid w:val="00F03015"/>
    <w:rsid w:val="00F035EF"/>
    <w:rsid w:val="00F03C47"/>
    <w:rsid w:val="00F04A69"/>
    <w:rsid w:val="00F04C64"/>
    <w:rsid w:val="00F04D5D"/>
    <w:rsid w:val="00F0553A"/>
    <w:rsid w:val="00F05D69"/>
    <w:rsid w:val="00F05ED7"/>
    <w:rsid w:val="00F06057"/>
    <w:rsid w:val="00F072B8"/>
    <w:rsid w:val="00F100ED"/>
    <w:rsid w:val="00F101AE"/>
    <w:rsid w:val="00F10D80"/>
    <w:rsid w:val="00F124C4"/>
    <w:rsid w:val="00F13B6E"/>
    <w:rsid w:val="00F14A3C"/>
    <w:rsid w:val="00F14AFB"/>
    <w:rsid w:val="00F15C2F"/>
    <w:rsid w:val="00F17D2A"/>
    <w:rsid w:val="00F22642"/>
    <w:rsid w:val="00F25563"/>
    <w:rsid w:val="00F257E0"/>
    <w:rsid w:val="00F2681C"/>
    <w:rsid w:val="00F271B2"/>
    <w:rsid w:val="00F27287"/>
    <w:rsid w:val="00F32756"/>
    <w:rsid w:val="00F331FF"/>
    <w:rsid w:val="00F34244"/>
    <w:rsid w:val="00F34D57"/>
    <w:rsid w:val="00F352BD"/>
    <w:rsid w:val="00F35458"/>
    <w:rsid w:val="00F36BAF"/>
    <w:rsid w:val="00F37650"/>
    <w:rsid w:val="00F40CC2"/>
    <w:rsid w:val="00F4113C"/>
    <w:rsid w:val="00F419E7"/>
    <w:rsid w:val="00F419FA"/>
    <w:rsid w:val="00F41E8D"/>
    <w:rsid w:val="00F41EF4"/>
    <w:rsid w:val="00F428C4"/>
    <w:rsid w:val="00F43310"/>
    <w:rsid w:val="00F43CDE"/>
    <w:rsid w:val="00F44742"/>
    <w:rsid w:val="00F44F6C"/>
    <w:rsid w:val="00F45101"/>
    <w:rsid w:val="00F4665B"/>
    <w:rsid w:val="00F46BDE"/>
    <w:rsid w:val="00F4749B"/>
    <w:rsid w:val="00F52EEB"/>
    <w:rsid w:val="00F531D9"/>
    <w:rsid w:val="00F55BAF"/>
    <w:rsid w:val="00F611A4"/>
    <w:rsid w:val="00F61BF6"/>
    <w:rsid w:val="00F62364"/>
    <w:rsid w:val="00F63607"/>
    <w:rsid w:val="00F637EB"/>
    <w:rsid w:val="00F64065"/>
    <w:rsid w:val="00F65487"/>
    <w:rsid w:val="00F6570A"/>
    <w:rsid w:val="00F66F23"/>
    <w:rsid w:val="00F70DB0"/>
    <w:rsid w:val="00F721DA"/>
    <w:rsid w:val="00F722D2"/>
    <w:rsid w:val="00F72534"/>
    <w:rsid w:val="00F75147"/>
    <w:rsid w:val="00F76958"/>
    <w:rsid w:val="00F77117"/>
    <w:rsid w:val="00F77BE5"/>
    <w:rsid w:val="00F80D03"/>
    <w:rsid w:val="00F81164"/>
    <w:rsid w:val="00F827FD"/>
    <w:rsid w:val="00F82A1E"/>
    <w:rsid w:val="00F830EC"/>
    <w:rsid w:val="00F8360F"/>
    <w:rsid w:val="00F848DE"/>
    <w:rsid w:val="00F86230"/>
    <w:rsid w:val="00F8692A"/>
    <w:rsid w:val="00F8702A"/>
    <w:rsid w:val="00F9157A"/>
    <w:rsid w:val="00F920EB"/>
    <w:rsid w:val="00F9289F"/>
    <w:rsid w:val="00F9366E"/>
    <w:rsid w:val="00F9377D"/>
    <w:rsid w:val="00F93BAB"/>
    <w:rsid w:val="00F9463D"/>
    <w:rsid w:val="00F97784"/>
    <w:rsid w:val="00FA1D56"/>
    <w:rsid w:val="00FA2500"/>
    <w:rsid w:val="00FA2F12"/>
    <w:rsid w:val="00FA41F6"/>
    <w:rsid w:val="00FA4B02"/>
    <w:rsid w:val="00FA5B43"/>
    <w:rsid w:val="00FA6C59"/>
    <w:rsid w:val="00FB00EA"/>
    <w:rsid w:val="00FB0DF6"/>
    <w:rsid w:val="00FB1B84"/>
    <w:rsid w:val="00FB1C15"/>
    <w:rsid w:val="00FB2198"/>
    <w:rsid w:val="00FB234C"/>
    <w:rsid w:val="00FB27E9"/>
    <w:rsid w:val="00FB2D58"/>
    <w:rsid w:val="00FB691B"/>
    <w:rsid w:val="00FB6F36"/>
    <w:rsid w:val="00FC0C00"/>
    <w:rsid w:val="00FC0F09"/>
    <w:rsid w:val="00FC1AC7"/>
    <w:rsid w:val="00FC2CC8"/>
    <w:rsid w:val="00FC2D7D"/>
    <w:rsid w:val="00FC2DE8"/>
    <w:rsid w:val="00FC4837"/>
    <w:rsid w:val="00FC56C4"/>
    <w:rsid w:val="00FC66F1"/>
    <w:rsid w:val="00FC6DB4"/>
    <w:rsid w:val="00FC7530"/>
    <w:rsid w:val="00FD1624"/>
    <w:rsid w:val="00FD1F3E"/>
    <w:rsid w:val="00FD2715"/>
    <w:rsid w:val="00FD3B04"/>
    <w:rsid w:val="00FD439B"/>
    <w:rsid w:val="00FD6322"/>
    <w:rsid w:val="00FD667E"/>
    <w:rsid w:val="00FD6DBA"/>
    <w:rsid w:val="00FD7ECF"/>
    <w:rsid w:val="00FE0DC8"/>
    <w:rsid w:val="00FE13C9"/>
    <w:rsid w:val="00FE3D09"/>
    <w:rsid w:val="00FE4B5E"/>
    <w:rsid w:val="00FE56DC"/>
    <w:rsid w:val="00FE72C8"/>
    <w:rsid w:val="00FE7CE5"/>
    <w:rsid w:val="00FF043B"/>
    <w:rsid w:val="00FF0711"/>
    <w:rsid w:val="00FF0C59"/>
    <w:rsid w:val="00FF1850"/>
    <w:rsid w:val="00FF2589"/>
    <w:rsid w:val="00FF2C37"/>
    <w:rsid w:val="00FF43F9"/>
    <w:rsid w:val="00FF52BE"/>
    <w:rsid w:val="00FF55A1"/>
    <w:rsid w:val="00FF5775"/>
    <w:rsid w:val="00FF63AB"/>
    <w:rsid w:val="00FF6AE0"/>
    <w:rsid w:val="00FF75DA"/>
    <w:rsid w:val="00FF7697"/>
    <w:rsid w:val="03B2DE14"/>
    <w:rsid w:val="2067B5C7"/>
    <w:rsid w:val="210288F6"/>
    <w:rsid w:val="24D65EAF"/>
    <w:rsid w:val="2768421C"/>
    <w:rsid w:val="2CAA28B8"/>
    <w:rsid w:val="368D9D2E"/>
    <w:rsid w:val="3768B322"/>
    <w:rsid w:val="386288DA"/>
    <w:rsid w:val="396B49A6"/>
    <w:rsid w:val="4030DA8D"/>
    <w:rsid w:val="5283517D"/>
    <w:rsid w:val="53A62607"/>
    <w:rsid w:val="5BC9FB30"/>
    <w:rsid w:val="62DF1F85"/>
    <w:rsid w:val="63581565"/>
    <w:rsid w:val="736AC78C"/>
    <w:rsid w:val="73E90642"/>
    <w:rsid w:val="782F629A"/>
    <w:rsid w:val="7D74C0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4F81"/>
  <w15:docId w15:val="{0D1B943B-EF68-44E8-8A33-8BEF68B6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0D"/>
  </w:style>
  <w:style w:type="paragraph" w:styleId="Heading1">
    <w:name w:val="heading 1"/>
    <w:basedOn w:val="Normal"/>
    <w:next w:val="Normal"/>
    <w:link w:val="Heading1Char"/>
    <w:uiPriority w:val="9"/>
    <w:qFormat/>
    <w:rsid w:val="00872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A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1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B7A93"/>
  </w:style>
  <w:style w:type="paragraph" w:customStyle="1" w:styleId="paragraph">
    <w:name w:val="paragraph"/>
    <w:basedOn w:val="Normal"/>
    <w:rsid w:val="00F72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72534"/>
  </w:style>
  <w:style w:type="paragraph" w:styleId="NoSpacing">
    <w:name w:val="No Spacing"/>
    <w:link w:val="NoSpacingChar"/>
    <w:uiPriority w:val="1"/>
    <w:qFormat/>
    <w:rsid w:val="00F41E8D"/>
    <w:pPr>
      <w:spacing w:after="0" w:line="240" w:lineRule="auto"/>
    </w:pPr>
    <w:rPr>
      <w:rFonts w:eastAsiaTheme="minorEastAsia"/>
    </w:rPr>
  </w:style>
  <w:style w:type="character" w:customStyle="1" w:styleId="NoSpacingChar">
    <w:name w:val="No Spacing Char"/>
    <w:basedOn w:val="DefaultParagraphFont"/>
    <w:link w:val="NoSpacing"/>
    <w:uiPriority w:val="1"/>
    <w:rsid w:val="00F41E8D"/>
    <w:rPr>
      <w:rFonts w:eastAsiaTheme="minorEastAsia"/>
    </w:rPr>
  </w:style>
  <w:style w:type="character" w:styleId="CommentReference">
    <w:name w:val="annotation reference"/>
    <w:basedOn w:val="DefaultParagraphFont"/>
    <w:uiPriority w:val="99"/>
    <w:semiHidden/>
    <w:unhideWhenUsed/>
    <w:rsid w:val="00BD1F1E"/>
    <w:rPr>
      <w:sz w:val="16"/>
      <w:szCs w:val="16"/>
    </w:rPr>
  </w:style>
  <w:style w:type="paragraph" w:styleId="CommentText">
    <w:name w:val="annotation text"/>
    <w:basedOn w:val="Normal"/>
    <w:link w:val="CommentTextChar"/>
    <w:uiPriority w:val="99"/>
    <w:semiHidden/>
    <w:unhideWhenUsed/>
    <w:rsid w:val="00BD1F1E"/>
    <w:pPr>
      <w:spacing w:line="240" w:lineRule="auto"/>
    </w:pPr>
    <w:rPr>
      <w:sz w:val="20"/>
      <w:szCs w:val="20"/>
    </w:rPr>
  </w:style>
  <w:style w:type="character" w:customStyle="1" w:styleId="CommentTextChar">
    <w:name w:val="Comment Text Char"/>
    <w:basedOn w:val="DefaultParagraphFont"/>
    <w:link w:val="CommentText"/>
    <w:uiPriority w:val="99"/>
    <w:semiHidden/>
    <w:rsid w:val="00BD1F1E"/>
    <w:rPr>
      <w:sz w:val="20"/>
      <w:szCs w:val="20"/>
    </w:rPr>
  </w:style>
  <w:style w:type="paragraph" w:styleId="CommentSubject">
    <w:name w:val="annotation subject"/>
    <w:basedOn w:val="CommentText"/>
    <w:next w:val="CommentText"/>
    <w:link w:val="CommentSubjectChar"/>
    <w:uiPriority w:val="99"/>
    <w:semiHidden/>
    <w:unhideWhenUsed/>
    <w:rsid w:val="00BD1F1E"/>
    <w:rPr>
      <w:b/>
      <w:bCs/>
    </w:rPr>
  </w:style>
  <w:style w:type="character" w:customStyle="1" w:styleId="CommentSubjectChar">
    <w:name w:val="Comment Subject Char"/>
    <w:basedOn w:val="CommentTextChar"/>
    <w:link w:val="CommentSubject"/>
    <w:uiPriority w:val="99"/>
    <w:semiHidden/>
    <w:rsid w:val="00BD1F1E"/>
    <w:rPr>
      <w:b/>
      <w:bCs/>
      <w:sz w:val="20"/>
      <w:szCs w:val="20"/>
    </w:rPr>
  </w:style>
  <w:style w:type="paragraph" w:styleId="ListParagraph">
    <w:name w:val="List Paragraph"/>
    <w:basedOn w:val="Normal"/>
    <w:uiPriority w:val="34"/>
    <w:qFormat/>
    <w:rsid w:val="003C652E"/>
    <w:pPr>
      <w:ind w:left="720"/>
      <w:contextualSpacing/>
    </w:pPr>
  </w:style>
  <w:style w:type="character" w:customStyle="1" w:styleId="Heading1Char">
    <w:name w:val="Heading 1 Char"/>
    <w:basedOn w:val="DefaultParagraphFont"/>
    <w:link w:val="Heading1"/>
    <w:uiPriority w:val="9"/>
    <w:rsid w:val="00872F6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2F6E"/>
    <w:pPr>
      <w:outlineLvl w:val="9"/>
    </w:pPr>
  </w:style>
  <w:style w:type="paragraph" w:styleId="TOC1">
    <w:name w:val="toc 1"/>
    <w:basedOn w:val="Normal"/>
    <w:next w:val="Normal"/>
    <w:autoRedefine/>
    <w:uiPriority w:val="39"/>
    <w:unhideWhenUsed/>
    <w:rsid w:val="009B23B5"/>
    <w:pPr>
      <w:spacing w:after="100"/>
    </w:pPr>
  </w:style>
  <w:style w:type="character" w:styleId="Hyperlink">
    <w:name w:val="Hyperlink"/>
    <w:basedOn w:val="DefaultParagraphFont"/>
    <w:uiPriority w:val="99"/>
    <w:unhideWhenUsed/>
    <w:rsid w:val="009B23B5"/>
    <w:rPr>
      <w:color w:val="0563C1" w:themeColor="hyperlink"/>
      <w:u w:val="single"/>
    </w:rPr>
  </w:style>
  <w:style w:type="character" w:customStyle="1" w:styleId="Heading2Char">
    <w:name w:val="Heading 2 Char"/>
    <w:basedOn w:val="DefaultParagraphFont"/>
    <w:link w:val="Heading2"/>
    <w:uiPriority w:val="9"/>
    <w:rsid w:val="00F14A3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14A3C"/>
    <w:pPr>
      <w:spacing w:after="100"/>
      <w:ind w:left="220"/>
    </w:pPr>
  </w:style>
  <w:style w:type="paragraph" w:styleId="Header">
    <w:name w:val="header"/>
    <w:basedOn w:val="Normal"/>
    <w:link w:val="HeaderChar"/>
    <w:uiPriority w:val="99"/>
    <w:unhideWhenUsed/>
    <w:rsid w:val="009A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00"/>
  </w:style>
  <w:style w:type="paragraph" w:styleId="Footer">
    <w:name w:val="footer"/>
    <w:basedOn w:val="Normal"/>
    <w:link w:val="FooterChar"/>
    <w:uiPriority w:val="99"/>
    <w:unhideWhenUsed/>
    <w:rsid w:val="009A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00"/>
  </w:style>
  <w:style w:type="paragraph" w:styleId="TOC3">
    <w:name w:val="toc 3"/>
    <w:basedOn w:val="Normal"/>
    <w:next w:val="Normal"/>
    <w:autoRedefine/>
    <w:uiPriority w:val="39"/>
    <w:unhideWhenUsed/>
    <w:rsid w:val="000E12C9"/>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941D9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B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B3C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3A75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C42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rsid w:val="00EC429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EC42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IPPHeader">
    <w:name w:val="IPP Header"/>
    <w:basedOn w:val="Normal"/>
    <w:qFormat/>
    <w:rsid w:val="00A166D7"/>
    <w:pPr>
      <w:pBdr>
        <w:bottom w:val="single" w:sz="4" w:space="4" w:color="auto"/>
      </w:pBdr>
      <w:tabs>
        <w:tab w:val="left" w:pos="1134"/>
        <w:tab w:val="right" w:pos="9072"/>
      </w:tabs>
      <w:spacing w:after="120" w:line="240" w:lineRule="auto"/>
    </w:pPr>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3C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68942">
      <w:bodyDiv w:val="1"/>
      <w:marLeft w:val="0"/>
      <w:marRight w:val="0"/>
      <w:marTop w:val="0"/>
      <w:marBottom w:val="0"/>
      <w:divBdr>
        <w:top w:val="none" w:sz="0" w:space="0" w:color="auto"/>
        <w:left w:val="none" w:sz="0" w:space="0" w:color="auto"/>
        <w:bottom w:val="none" w:sz="0" w:space="0" w:color="auto"/>
        <w:right w:val="none" w:sz="0" w:space="0" w:color="auto"/>
      </w:divBdr>
    </w:div>
    <w:div w:id="1240404065">
      <w:bodyDiv w:val="1"/>
      <w:marLeft w:val="0"/>
      <w:marRight w:val="0"/>
      <w:marTop w:val="0"/>
      <w:marBottom w:val="0"/>
      <w:divBdr>
        <w:top w:val="none" w:sz="0" w:space="0" w:color="auto"/>
        <w:left w:val="none" w:sz="0" w:space="0" w:color="auto"/>
        <w:bottom w:val="none" w:sz="0" w:space="0" w:color="auto"/>
        <w:right w:val="none" w:sz="0" w:space="0" w:color="auto"/>
      </w:divBdr>
    </w:div>
    <w:div w:id="1785417985">
      <w:bodyDiv w:val="1"/>
      <w:marLeft w:val="0"/>
      <w:marRight w:val="0"/>
      <w:marTop w:val="0"/>
      <w:marBottom w:val="0"/>
      <w:divBdr>
        <w:top w:val="none" w:sz="0" w:space="0" w:color="auto"/>
        <w:left w:val="none" w:sz="0" w:space="0" w:color="auto"/>
        <w:bottom w:val="none" w:sz="0" w:space="0" w:color="auto"/>
        <w:right w:val="none" w:sz="0" w:space="0" w:color="auto"/>
      </w:divBdr>
    </w:div>
    <w:div w:id="1929581109">
      <w:bodyDiv w:val="1"/>
      <w:marLeft w:val="0"/>
      <w:marRight w:val="0"/>
      <w:marTop w:val="0"/>
      <w:marBottom w:val="0"/>
      <w:divBdr>
        <w:top w:val="none" w:sz="0" w:space="0" w:color="auto"/>
        <w:left w:val="none" w:sz="0" w:space="0" w:color="auto"/>
        <w:bottom w:val="none" w:sz="0" w:space="0" w:color="auto"/>
        <w:right w:val="none" w:sz="0" w:space="0" w:color="auto"/>
      </w:divBdr>
      <w:divsChild>
        <w:div w:id="117114927">
          <w:marLeft w:val="0"/>
          <w:marRight w:val="0"/>
          <w:marTop w:val="0"/>
          <w:marBottom w:val="0"/>
          <w:divBdr>
            <w:top w:val="none" w:sz="0" w:space="0" w:color="auto"/>
            <w:left w:val="none" w:sz="0" w:space="0" w:color="auto"/>
            <w:bottom w:val="none" w:sz="0" w:space="0" w:color="auto"/>
            <w:right w:val="none" w:sz="0" w:space="0" w:color="auto"/>
          </w:divBdr>
          <w:divsChild>
            <w:div w:id="1225604007">
              <w:marLeft w:val="0"/>
              <w:marRight w:val="0"/>
              <w:marTop w:val="0"/>
              <w:marBottom w:val="0"/>
              <w:divBdr>
                <w:top w:val="none" w:sz="0" w:space="0" w:color="auto"/>
                <w:left w:val="none" w:sz="0" w:space="0" w:color="auto"/>
                <w:bottom w:val="none" w:sz="0" w:space="0" w:color="auto"/>
                <w:right w:val="none" w:sz="0" w:space="0" w:color="auto"/>
              </w:divBdr>
            </w:div>
            <w:div w:id="1237864112">
              <w:marLeft w:val="0"/>
              <w:marRight w:val="0"/>
              <w:marTop w:val="0"/>
              <w:marBottom w:val="0"/>
              <w:divBdr>
                <w:top w:val="none" w:sz="0" w:space="0" w:color="auto"/>
                <w:left w:val="none" w:sz="0" w:space="0" w:color="auto"/>
                <w:bottom w:val="none" w:sz="0" w:space="0" w:color="auto"/>
                <w:right w:val="none" w:sz="0" w:space="0" w:color="auto"/>
              </w:divBdr>
            </w:div>
          </w:divsChild>
        </w:div>
        <w:div w:id="211425643">
          <w:marLeft w:val="0"/>
          <w:marRight w:val="0"/>
          <w:marTop w:val="0"/>
          <w:marBottom w:val="0"/>
          <w:divBdr>
            <w:top w:val="none" w:sz="0" w:space="0" w:color="auto"/>
            <w:left w:val="none" w:sz="0" w:space="0" w:color="auto"/>
            <w:bottom w:val="none" w:sz="0" w:space="0" w:color="auto"/>
            <w:right w:val="none" w:sz="0" w:space="0" w:color="auto"/>
          </w:divBdr>
          <w:divsChild>
            <w:div w:id="2072729917">
              <w:marLeft w:val="0"/>
              <w:marRight w:val="0"/>
              <w:marTop w:val="0"/>
              <w:marBottom w:val="0"/>
              <w:divBdr>
                <w:top w:val="none" w:sz="0" w:space="0" w:color="auto"/>
                <w:left w:val="none" w:sz="0" w:space="0" w:color="auto"/>
                <w:bottom w:val="none" w:sz="0" w:space="0" w:color="auto"/>
                <w:right w:val="none" w:sz="0" w:space="0" w:color="auto"/>
              </w:divBdr>
            </w:div>
          </w:divsChild>
        </w:div>
        <w:div w:id="290480208">
          <w:marLeft w:val="0"/>
          <w:marRight w:val="0"/>
          <w:marTop w:val="0"/>
          <w:marBottom w:val="0"/>
          <w:divBdr>
            <w:top w:val="none" w:sz="0" w:space="0" w:color="auto"/>
            <w:left w:val="none" w:sz="0" w:space="0" w:color="auto"/>
            <w:bottom w:val="none" w:sz="0" w:space="0" w:color="auto"/>
            <w:right w:val="none" w:sz="0" w:space="0" w:color="auto"/>
          </w:divBdr>
          <w:divsChild>
            <w:div w:id="442068106">
              <w:marLeft w:val="0"/>
              <w:marRight w:val="0"/>
              <w:marTop w:val="0"/>
              <w:marBottom w:val="0"/>
              <w:divBdr>
                <w:top w:val="none" w:sz="0" w:space="0" w:color="auto"/>
                <w:left w:val="none" w:sz="0" w:space="0" w:color="auto"/>
                <w:bottom w:val="none" w:sz="0" w:space="0" w:color="auto"/>
                <w:right w:val="none" w:sz="0" w:space="0" w:color="auto"/>
              </w:divBdr>
            </w:div>
          </w:divsChild>
        </w:div>
        <w:div w:id="317812075">
          <w:marLeft w:val="0"/>
          <w:marRight w:val="0"/>
          <w:marTop w:val="0"/>
          <w:marBottom w:val="0"/>
          <w:divBdr>
            <w:top w:val="none" w:sz="0" w:space="0" w:color="auto"/>
            <w:left w:val="none" w:sz="0" w:space="0" w:color="auto"/>
            <w:bottom w:val="none" w:sz="0" w:space="0" w:color="auto"/>
            <w:right w:val="none" w:sz="0" w:space="0" w:color="auto"/>
          </w:divBdr>
          <w:divsChild>
            <w:div w:id="1053432846">
              <w:marLeft w:val="0"/>
              <w:marRight w:val="0"/>
              <w:marTop w:val="0"/>
              <w:marBottom w:val="0"/>
              <w:divBdr>
                <w:top w:val="none" w:sz="0" w:space="0" w:color="auto"/>
                <w:left w:val="none" w:sz="0" w:space="0" w:color="auto"/>
                <w:bottom w:val="none" w:sz="0" w:space="0" w:color="auto"/>
                <w:right w:val="none" w:sz="0" w:space="0" w:color="auto"/>
              </w:divBdr>
            </w:div>
            <w:div w:id="1585872608">
              <w:marLeft w:val="0"/>
              <w:marRight w:val="0"/>
              <w:marTop w:val="0"/>
              <w:marBottom w:val="0"/>
              <w:divBdr>
                <w:top w:val="none" w:sz="0" w:space="0" w:color="auto"/>
                <w:left w:val="none" w:sz="0" w:space="0" w:color="auto"/>
                <w:bottom w:val="none" w:sz="0" w:space="0" w:color="auto"/>
                <w:right w:val="none" w:sz="0" w:space="0" w:color="auto"/>
              </w:divBdr>
            </w:div>
          </w:divsChild>
        </w:div>
        <w:div w:id="596794064">
          <w:marLeft w:val="0"/>
          <w:marRight w:val="0"/>
          <w:marTop w:val="0"/>
          <w:marBottom w:val="0"/>
          <w:divBdr>
            <w:top w:val="none" w:sz="0" w:space="0" w:color="auto"/>
            <w:left w:val="none" w:sz="0" w:space="0" w:color="auto"/>
            <w:bottom w:val="none" w:sz="0" w:space="0" w:color="auto"/>
            <w:right w:val="none" w:sz="0" w:space="0" w:color="auto"/>
          </w:divBdr>
          <w:divsChild>
            <w:div w:id="301422846">
              <w:marLeft w:val="0"/>
              <w:marRight w:val="0"/>
              <w:marTop w:val="0"/>
              <w:marBottom w:val="0"/>
              <w:divBdr>
                <w:top w:val="none" w:sz="0" w:space="0" w:color="auto"/>
                <w:left w:val="none" w:sz="0" w:space="0" w:color="auto"/>
                <w:bottom w:val="none" w:sz="0" w:space="0" w:color="auto"/>
                <w:right w:val="none" w:sz="0" w:space="0" w:color="auto"/>
              </w:divBdr>
            </w:div>
          </w:divsChild>
        </w:div>
        <w:div w:id="769081032">
          <w:marLeft w:val="0"/>
          <w:marRight w:val="0"/>
          <w:marTop w:val="0"/>
          <w:marBottom w:val="0"/>
          <w:divBdr>
            <w:top w:val="none" w:sz="0" w:space="0" w:color="auto"/>
            <w:left w:val="none" w:sz="0" w:space="0" w:color="auto"/>
            <w:bottom w:val="none" w:sz="0" w:space="0" w:color="auto"/>
            <w:right w:val="none" w:sz="0" w:space="0" w:color="auto"/>
          </w:divBdr>
          <w:divsChild>
            <w:div w:id="433791677">
              <w:marLeft w:val="0"/>
              <w:marRight w:val="0"/>
              <w:marTop w:val="0"/>
              <w:marBottom w:val="0"/>
              <w:divBdr>
                <w:top w:val="none" w:sz="0" w:space="0" w:color="auto"/>
                <w:left w:val="none" w:sz="0" w:space="0" w:color="auto"/>
                <w:bottom w:val="none" w:sz="0" w:space="0" w:color="auto"/>
                <w:right w:val="none" w:sz="0" w:space="0" w:color="auto"/>
              </w:divBdr>
            </w:div>
          </w:divsChild>
        </w:div>
        <w:div w:id="784235365">
          <w:marLeft w:val="0"/>
          <w:marRight w:val="0"/>
          <w:marTop w:val="0"/>
          <w:marBottom w:val="0"/>
          <w:divBdr>
            <w:top w:val="none" w:sz="0" w:space="0" w:color="auto"/>
            <w:left w:val="none" w:sz="0" w:space="0" w:color="auto"/>
            <w:bottom w:val="none" w:sz="0" w:space="0" w:color="auto"/>
            <w:right w:val="none" w:sz="0" w:space="0" w:color="auto"/>
          </w:divBdr>
          <w:divsChild>
            <w:div w:id="458260196">
              <w:marLeft w:val="0"/>
              <w:marRight w:val="0"/>
              <w:marTop w:val="0"/>
              <w:marBottom w:val="0"/>
              <w:divBdr>
                <w:top w:val="none" w:sz="0" w:space="0" w:color="auto"/>
                <w:left w:val="none" w:sz="0" w:space="0" w:color="auto"/>
                <w:bottom w:val="none" w:sz="0" w:space="0" w:color="auto"/>
                <w:right w:val="none" w:sz="0" w:space="0" w:color="auto"/>
              </w:divBdr>
            </w:div>
          </w:divsChild>
        </w:div>
        <w:div w:id="1069425002">
          <w:marLeft w:val="0"/>
          <w:marRight w:val="0"/>
          <w:marTop w:val="0"/>
          <w:marBottom w:val="0"/>
          <w:divBdr>
            <w:top w:val="none" w:sz="0" w:space="0" w:color="auto"/>
            <w:left w:val="none" w:sz="0" w:space="0" w:color="auto"/>
            <w:bottom w:val="none" w:sz="0" w:space="0" w:color="auto"/>
            <w:right w:val="none" w:sz="0" w:space="0" w:color="auto"/>
          </w:divBdr>
          <w:divsChild>
            <w:div w:id="1245335213">
              <w:marLeft w:val="0"/>
              <w:marRight w:val="0"/>
              <w:marTop w:val="0"/>
              <w:marBottom w:val="0"/>
              <w:divBdr>
                <w:top w:val="none" w:sz="0" w:space="0" w:color="auto"/>
                <w:left w:val="none" w:sz="0" w:space="0" w:color="auto"/>
                <w:bottom w:val="none" w:sz="0" w:space="0" w:color="auto"/>
                <w:right w:val="none" w:sz="0" w:space="0" w:color="auto"/>
              </w:divBdr>
            </w:div>
            <w:div w:id="1417480478">
              <w:marLeft w:val="0"/>
              <w:marRight w:val="0"/>
              <w:marTop w:val="0"/>
              <w:marBottom w:val="0"/>
              <w:divBdr>
                <w:top w:val="none" w:sz="0" w:space="0" w:color="auto"/>
                <w:left w:val="none" w:sz="0" w:space="0" w:color="auto"/>
                <w:bottom w:val="none" w:sz="0" w:space="0" w:color="auto"/>
                <w:right w:val="none" w:sz="0" w:space="0" w:color="auto"/>
              </w:divBdr>
            </w:div>
          </w:divsChild>
        </w:div>
        <w:div w:id="1364406327">
          <w:marLeft w:val="0"/>
          <w:marRight w:val="0"/>
          <w:marTop w:val="0"/>
          <w:marBottom w:val="0"/>
          <w:divBdr>
            <w:top w:val="none" w:sz="0" w:space="0" w:color="auto"/>
            <w:left w:val="none" w:sz="0" w:space="0" w:color="auto"/>
            <w:bottom w:val="none" w:sz="0" w:space="0" w:color="auto"/>
            <w:right w:val="none" w:sz="0" w:space="0" w:color="auto"/>
          </w:divBdr>
          <w:divsChild>
            <w:div w:id="1322851916">
              <w:marLeft w:val="0"/>
              <w:marRight w:val="0"/>
              <w:marTop w:val="0"/>
              <w:marBottom w:val="0"/>
              <w:divBdr>
                <w:top w:val="none" w:sz="0" w:space="0" w:color="auto"/>
                <w:left w:val="none" w:sz="0" w:space="0" w:color="auto"/>
                <w:bottom w:val="none" w:sz="0" w:space="0" w:color="auto"/>
                <w:right w:val="none" w:sz="0" w:space="0" w:color="auto"/>
              </w:divBdr>
            </w:div>
          </w:divsChild>
        </w:div>
        <w:div w:id="1443459047">
          <w:marLeft w:val="0"/>
          <w:marRight w:val="0"/>
          <w:marTop w:val="0"/>
          <w:marBottom w:val="0"/>
          <w:divBdr>
            <w:top w:val="none" w:sz="0" w:space="0" w:color="auto"/>
            <w:left w:val="none" w:sz="0" w:space="0" w:color="auto"/>
            <w:bottom w:val="none" w:sz="0" w:space="0" w:color="auto"/>
            <w:right w:val="none" w:sz="0" w:space="0" w:color="auto"/>
          </w:divBdr>
          <w:divsChild>
            <w:div w:id="27489005">
              <w:marLeft w:val="0"/>
              <w:marRight w:val="0"/>
              <w:marTop w:val="0"/>
              <w:marBottom w:val="0"/>
              <w:divBdr>
                <w:top w:val="none" w:sz="0" w:space="0" w:color="auto"/>
                <w:left w:val="none" w:sz="0" w:space="0" w:color="auto"/>
                <w:bottom w:val="none" w:sz="0" w:space="0" w:color="auto"/>
                <w:right w:val="none" w:sz="0" w:space="0" w:color="auto"/>
              </w:divBdr>
            </w:div>
            <w:div w:id="632752067">
              <w:marLeft w:val="0"/>
              <w:marRight w:val="0"/>
              <w:marTop w:val="0"/>
              <w:marBottom w:val="0"/>
              <w:divBdr>
                <w:top w:val="none" w:sz="0" w:space="0" w:color="auto"/>
                <w:left w:val="none" w:sz="0" w:space="0" w:color="auto"/>
                <w:bottom w:val="none" w:sz="0" w:space="0" w:color="auto"/>
                <w:right w:val="none" w:sz="0" w:space="0" w:color="auto"/>
              </w:divBdr>
            </w:div>
          </w:divsChild>
        </w:div>
        <w:div w:id="1814254126">
          <w:marLeft w:val="0"/>
          <w:marRight w:val="0"/>
          <w:marTop w:val="0"/>
          <w:marBottom w:val="0"/>
          <w:divBdr>
            <w:top w:val="none" w:sz="0" w:space="0" w:color="auto"/>
            <w:left w:val="none" w:sz="0" w:space="0" w:color="auto"/>
            <w:bottom w:val="none" w:sz="0" w:space="0" w:color="auto"/>
            <w:right w:val="none" w:sz="0" w:space="0" w:color="auto"/>
          </w:divBdr>
          <w:divsChild>
            <w:div w:id="411779843">
              <w:marLeft w:val="0"/>
              <w:marRight w:val="0"/>
              <w:marTop w:val="0"/>
              <w:marBottom w:val="0"/>
              <w:divBdr>
                <w:top w:val="none" w:sz="0" w:space="0" w:color="auto"/>
                <w:left w:val="none" w:sz="0" w:space="0" w:color="auto"/>
                <w:bottom w:val="none" w:sz="0" w:space="0" w:color="auto"/>
                <w:right w:val="none" w:sz="0" w:space="0" w:color="auto"/>
              </w:divBdr>
            </w:div>
            <w:div w:id="1344943145">
              <w:marLeft w:val="0"/>
              <w:marRight w:val="0"/>
              <w:marTop w:val="0"/>
              <w:marBottom w:val="0"/>
              <w:divBdr>
                <w:top w:val="none" w:sz="0" w:space="0" w:color="auto"/>
                <w:left w:val="none" w:sz="0" w:space="0" w:color="auto"/>
                <w:bottom w:val="none" w:sz="0" w:space="0" w:color="auto"/>
                <w:right w:val="none" w:sz="0" w:space="0" w:color="auto"/>
              </w:divBdr>
            </w:div>
          </w:divsChild>
        </w:div>
        <w:div w:id="2006199387">
          <w:marLeft w:val="0"/>
          <w:marRight w:val="0"/>
          <w:marTop w:val="0"/>
          <w:marBottom w:val="0"/>
          <w:divBdr>
            <w:top w:val="none" w:sz="0" w:space="0" w:color="auto"/>
            <w:left w:val="none" w:sz="0" w:space="0" w:color="auto"/>
            <w:bottom w:val="none" w:sz="0" w:space="0" w:color="auto"/>
            <w:right w:val="none" w:sz="0" w:space="0" w:color="auto"/>
          </w:divBdr>
          <w:divsChild>
            <w:div w:id="1735930109">
              <w:marLeft w:val="0"/>
              <w:marRight w:val="0"/>
              <w:marTop w:val="0"/>
              <w:marBottom w:val="0"/>
              <w:divBdr>
                <w:top w:val="none" w:sz="0" w:space="0" w:color="auto"/>
                <w:left w:val="none" w:sz="0" w:space="0" w:color="auto"/>
                <w:bottom w:val="none" w:sz="0" w:space="0" w:color="auto"/>
                <w:right w:val="none" w:sz="0" w:space="0" w:color="auto"/>
              </w:divBdr>
            </w:div>
            <w:div w:id="2057384833">
              <w:marLeft w:val="0"/>
              <w:marRight w:val="0"/>
              <w:marTop w:val="0"/>
              <w:marBottom w:val="0"/>
              <w:divBdr>
                <w:top w:val="none" w:sz="0" w:space="0" w:color="auto"/>
                <w:left w:val="none" w:sz="0" w:space="0" w:color="auto"/>
                <w:bottom w:val="none" w:sz="0" w:space="0" w:color="auto"/>
                <w:right w:val="none" w:sz="0" w:space="0" w:color="auto"/>
              </w:divBdr>
            </w:div>
          </w:divsChild>
        </w:div>
        <w:div w:id="2068800920">
          <w:marLeft w:val="0"/>
          <w:marRight w:val="0"/>
          <w:marTop w:val="0"/>
          <w:marBottom w:val="0"/>
          <w:divBdr>
            <w:top w:val="none" w:sz="0" w:space="0" w:color="auto"/>
            <w:left w:val="none" w:sz="0" w:space="0" w:color="auto"/>
            <w:bottom w:val="none" w:sz="0" w:space="0" w:color="auto"/>
            <w:right w:val="none" w:sz="0" w:space="0" w:color="auto"/>
          </w:divBdr>
          <w:divsChild>
            <w:div w:id="35739123">
              <w:marLeft w:val="0"/>
              <w:marRight w:val="0"/>
              <w:marTop w:val="0"/>
              <w:marBottom w:val="0"/>
              <w:divBdr>
                <w:top w:val="none" w:sz="0" w:space="0" w:color="auto"/>
                <w:left w:val="none" w:sz="0" w:space="0" w:color="auto"/>
                <w:bottom w:val="none" w:sz="0" w:space="0" w:color="auto"/>
                <w:right w:val="none" w:sz="0" w:space="0" w:color="auto"/>
              </w:divBdr>
            </w:div>
            <w:div w:id="553851025">
              <w:marLeft w:val="0"/>
              <w:marRight w:val="0"/>
              <w:marTop w:val="0"/>
              <w:marBottom w:val="0"/>
              <w:divBdr>
                <w:top w:val="none" w:sz="0" w:space="0" w:color="auto"/>
                <w:left w:val="none" w:sz="0" w:space="0" w:color="auto"/>
                <w:bottom w:val="none" w:sz="0" w:space="0" w:color="auto"/>
                <w:right w:val="none" w:sz="0" w:space="0" w:color="auto"/>
              </w:divBdr>
            </w:div>
          </w:divsChild>
        </w:div>
        <w:div w:id="2076468890">
          <w:marLeft w:val="0"/>
          <w:marRight w:val="0"/>
          <w:marTop w:val="0"/>
          <w:marBottom w:val="0"/>
          <w:divBdr>
            <w:top w:val="none" w:sz="0" w:space="0" w:color="auto"/>
            <w:left w:val="none" w:sz="0" w:space="0" w:color="auto"/>
            <w:bottom w:val="none" w:sz="0" w:space="0" w:color="auto"/>
            <w:right w:val="none" w:sz="0" w:space="0" w:color="auto"/>
          </w:divBdr>
          <w:divsChild>
            <w:div w:id="174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Recommendations for the CPM for implementation timeline, budgetary considerations, and monitoring of the eight development agenda items of the strategic framework.</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B6092-8ACB-441E-86F1-03377AF06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D85A0-9572-43BE-8F48-1BEC50921253}">
  <ds:schemaRefs>
    <ds:schemaRef ds:uri="http://schemas.microsoft.com/sharepoint/v3/contenttype/forms"/>
  </ds:schemaRefs>
</ds:datastoreItem>
</file>

<file path=customXml/itemProps4.xml><?xml version="1.0" encoding="utf-8"?>
<ds:datastoreItem xmlns:ds="http://schemas.openxmlformats.org/officeDocument/2006/customXml" ds:itemID="{A2D22D10-BA88-44A6-B1D7-CD706107ADE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C8B133-7139-4938-A583-C8D0E9F1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11008</Words>
  <Characters>62747</Characters>
  <Application>Microsoft Office Word</Application>
  <DocSecurity>0</DocSecurity>
  <Lines>522</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IPPC Strategic Framework 2020-2030 Developmental agenda Items Implementation plan</vt:lpstr>
      <vt:lpstr>IPPC Strategic Framework 2020-2030 Developmental agenda Items Implementation plan</vt:lpstr>
    </vt:vector>
  </TitlesOfParts>
  <Company/>
  <LinksUpToDate>false</LinksUpToDate>
  <CharactersWithSpaces>73608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Strategic Framework 2020-2030 Developmental agenda Items Implementation plan</dc:title>
  <dc:subject>August 2022</dc:subject>
  <dc:creator>Hough, Katherine P- APHIS</dc:creator>
  <cp:lastModifiedBy>Nicora, Natalie (NSP)</cp:lastModifiedBy>
  <cp:revision>2</cp:revision>
  <dcterms:created xsi:type="dcterms:W3CDTF">2022-10-25T07:24:00Z</dcterms:created>
  <dcterms:modified xsi:type="dcterms:W3CDTF">2022-10-25T07:24:00Z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