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intelligence.xml" ContentType="application/vnd.ms-office.intelligenc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2023 Consultation: Draft Specification for Guide to phytosanitary audits (2021-009). Document title: 2021-009_Draft Specification_Audit Guide_en.docx]</w:t>
      </w:r>
    </w:p>
    <w:p w14:paraId="7B449207" w14:textId="54073832">
      <w:pPr>
        <w:pStyle w:val="IPPHeadSection"/>
        <w:rPr>
          <w:lang w:eastAsia="ja-JP"/>
        </w:rPr>
      </w:pPr>
      <w:r>
        <w:rPr>
          <w:rStyle w:val="PleaseReviewParagraphId"/>
          <w:b w:val="off"/>
          <w:i w:val="off"/>
        </w:rPr>
        <w:t>[1]</w:t>
      </w:r>
      <w:r>
        <w:rPr>
          <w:lang w:eastAsia="ja-JP"/>
        </w:rPr>
        <w:t xml:space="preserve">Draft Specification: </w:t>
      </w:r>
      <w:r>
        <w:t xml:space="preserve">Guide to phytosanitary </w:t>
      </w:r>
      <w:r>
        <w:rPr>
          <w:lang w:eastAsia="ja-JP"/>
        </w:rPr>
        <w:t>audits (2021-009)</w:t>
      </w:r>
    </w:p>
    <w:p w14:paraId="10A308D0" w14:textId="77777777">
      <w:pPr>
        <w:spacing w:before="60" w:after="60" w:line="276" w:lineRule="auto"/>
        <w:rPr>
          <w:rFonts w:eastAsia="Times" w:asciiTheme="majorBidi" w:hAnsiTheme="majorBidi" w:cstheme="majorBidi"/>
          <w:b/>
          <w:bCs/>
          <w:lang w:eastAsia="ja-JP"/>
        </w:rPr>
      </w:pPr>
      <w:r>
        <w:rPr>
          <w:rStyle w:val="PleaseReviewParagraphId"/>
          <w:b w:val="off"/>
          <w:i w:val="off"/>
        </w:rPr>
        <w:t>[2]</w:t>
      </w:r>
    </w:p>
    <w:p w14:paraId="5995C730" w14:textId="77777777">
      <w:pPr>
        <w:spacing w:before="60" w:after="60" w:line="276" w:lineRule="auto"/>
        <w:rPr>
          <w:rFonts w:eastAsia="Times" w:asciiTheme="majorBidi" w:hAnsiTheme="majorBidi" w:cstheme="majorBidi"/>
          <w:b/>
          <w:bCs/>
          <w:lang w:eastAsia="ja-JP"/>
        </w:rPr>
      </w:pPr>
      <w:r>
        <w:rPr>
          <w:rStyle w:val="PleaseReviewParagraphId"/>
          <w:b w:val="off"/>
          <w:i w:val="off"/>
        </w:rPr>
        <w:t>[3]</w:t>
      </w:r>
      <w:r>
        <w:rPr>
          <w:rFonts w:eastAsia="Times" w:asciiTheme="majorBidi" w:hAnsiTheme="majorBidi" w:cstheme="majorBidi"/>
          <w:b/>
          <w:bCs/>
          <w:lang w:eastAsia="ja-JP"/>
        </w:rPr>
        <w:t>Status box</w:t>
      </w:r>
    </w:p>
    <w:tbl>
      <w:tblPr>
        <w:tblpPr w:leftFromText="180" w:rightFromText="180" w:vertAnchor="text" w:horzAnchor="margin" w:tblpXSpec="center" w:tblpY="128"/>
        <w:tblW w:w="0" w:type="auto"/>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0"/>
        <w:gridCol w:w="6751"/>
      </w:tblGrid>
      <w:tr w14:paraId="4F630982" w14:textId="77777777">
        <w:trPr>
          <w:trHeight w:val="421"/>
        </w:trPr>
        <w:tc>
          <w:tcPr>
            <w:tcW w:w="9021" w:type="dxa"/>
            <w:gridSpan w:val="2"/>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hideMark/>
          </w:tcPr>
          <w:p w14:paraId="62075C0B" w14:textId="77777777">
            <w:pPr>
              <w:spacing w:before="60" w:after="60"/>
              <w:rPr>
                <w:rFonts w:eastAsia="Times"/>
                <w:color w:val="FF0000"/>
              </w:rPr>
            </w:pPr>
            <w:r>
              <w:rPr>
                <w:rStyle w:val="PleaseReviewParagraphId"/>
                <w:b w:val="off"/>
                <w:i w:val="off"/>
              </w:rPr>
              <w:t>[4]</w:t>
            </w:r>
            <w:r>
              <w:rPr>
                <w:rFonts w:eastAsia="Times"/>
              </w:rPr>
              <w:t>This status box is not an official part of the Guide and will be modified by the IPPC Secretariat.</w:t>
            </w:r>
          </w:p>
        </w:tc>
      </w:tr>
      <w:tr w14:paraId="2EC91714" w14:textId="77777777">
        <w:trPr>
          <w:trHeight w:val="286"/>
        </w:trPr>
        <w:tc>
          <w:tcPr>
            <w:tcW w:w="2270"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tcPr>
          <w:p w14:paraId="25708F34" w14:textId="77777777">
            <w:pPr>
              <w:spacing w:before="60" w:after="60"/>
              <w:rPr>
                <w:rFonts w:eastAsia="Times"/>
                <w:b/>
                <w:bCs/>
              </w:rPr>
            </w:pPr>
            <w:r>
              <w:rPr>
                <w:rStyle w:val="PleaseReviewParagraphId"/>
                <w:b w:val="off"/>
                <w:i w:val="off"/>
              </w:rPr>
              <w:t>[5]</w:t>
            </w:r>
            <w:r>
              <w:rPr>
                <w:rFonts w:eastAsia="Times"/>
                <w:b/>
                <w:bCs/>
              </w:rPr>
              <w:t>Topic number</w:t>
            </w:r>
          </w:p>
        </w:tc>
        <w:tc>
          <w:tcPr>
            <w:tcW w:w="6751"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tcPr>
          <w:p w14:paraId="6A328299" w14:textId="096EF80F">
            <w:pPr>
              <w:spacing w:before="60" w:after="60"/>
              <w:rPr>
                <w:rFonts w:eastAsia="Times"/>
              </w:rPr>
            </w:pPr>
            <w:r>
              <w:rPr>
                <w:rStyle w:val="PleaseReviewParagraphId"/>
                <w:b w:val="off"/>
                <w:i w:val="off"/>
              </w:rPr>
              <w:t>[6]</w:t>
            </w:r>
            <w:r>
              <w:rPr>
                <w:rFonts w:eastAsia="Times"/>
              </w:rPr>
              <w:t>2021-009</w:t>
            </w:r>
          </w:p>
        </w:tc>
      </w:tr>
      <w:tr w14:paraId="3E612D76" w14:textId="77777777">
        <w:trPr>
          <w:trHeight w:val="286"/>
        </w:trPr>
        <w:tc>
          <w:tcPr>
            <w:tcW w:w="2270"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tcPr>
          <w:p w14:paraId="73871887" w14:textId="77777777">
            <w:pPr>
              <w:spacing w:before="60" w:after="60"/>
              <w:rPr>
                <w:rFonts w:eastAsia="Times"/>
                <w:b/>
                <w:bCs/>
              </w:rPr>
            </w:pPr>
            <w:r>
              <w:rPr>
                <w:rStyle w:val="PleaseReviewParagraphId"/>
                <w:b w:val="off"/>
                <w:i w:val="off"/>
              </w:rPr>
              <w:t>[7]</w:t>
            </w:r>
            <w:r>
              <w:rPr>
                <w:rFonts w:eastAsia="Times"/>
                <w:b/>
                <w:bCs/>
              </w:rPr>
              <w:t>Title</w:t>
            </w:r>
          </w:p>
        </w:tc>
        <w:tc>
          <w:tcPr>
            <w:tcW w:w="6751"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tcPr>
          <w:p w14:paraId="20C4F113" w14:textId="30EB5A93">
            <w:pPr>
              <w:spacing w:before="60" w:after="60"/>
              <w:rPr>
                <w:rFonts w:eastAsia="Times"/>
              </w:rPr>
            </w:pPr>
            <w:r>
              <w:rPr>
                <w:rStyle w:val="PleaseReviewParagraphId"/>
                <w:b w:val="off"/>
                <w:i w:val="off"/>
              </w:rPr>
              <w:t>[8]</w:t>
            </w:r>
            <w:r>
              <w:t>Guide to Phytosanitary Audits</w:t>
            </w:r>
          </w:p>
        </w:tc>
      </w:tr>
      <w:tr w14:paraId="54BD78D6" w14:textId="77777777">
        <w:trPr>
          <w:trHeight w:val="286"/>
        </w:trPr>
        <w:tc>
          <w:tcPr>
            <w:tcW w:w="2270"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hideMark/>
          </w:tcPr>
          <w:p w14:paraId="3119CD41" w14:textId="77777777">
            <w:pPr>
              <w:spacing w:before="60" w:after="60"/>
              <w:rPr>
                <w:rFonts w:eastAsia="Times"/>
                <w:b/>
                <w:bCs/>
              </w:rPr>
            </w:pPr>
            <w:r>
              <w:rPr>
                <w:rStyle w:val="PleaseReviewParagraphId"/>
                <w:b w:val="off"/>
                <w:i w:val="off"/>
              </w:rPr>
              <w:t>[9]</w:t>
            </w:r>
            <w:r>
              <w:rPr>
                <w:rFonts w:eastAsia="Times"/>
                <w:b/>
                <w:bCs/>
              </w:rPr>
              <w:t>Document category</w:t>
            </w:r>
          </w:p>
        </w:tc>
        <w:tc>
          <w:tcPr>
            <w:tcW w:w="6751"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hideMark/>
          </w:tcPr>
          <w:p w14:paraId="45E3F1BB" w14:textId="65A58451">
            <w:pPr>
              <w:spacing w:before="60" w:after="60"/>
              <w:rPr>
                <w:rFonts w:eastAsia="Times"/>
                <w:color w:val="0070C0"/>
              </w:rPr>
            </w:pPr>
            <w:r>
              <w:rPr>
                <w:rStyle w:val="PleaseReviewParagraphId"/>
                <w:b w:val="off"/>
                <w:i w:val="off"/>
              </w:rPr>
              <w:t>[10]</w:t>
            </w:r>
            <w:r>
              <w:rPr>
                <w:rFonts w:eastAsia="Times"/>
              </w:rPr>
              <w:t>New IPPC Guide</w:t>
            </w:r>
          </w:p>
        </w:tc>
      </w:tr>
      <w:tr w14:paraId="7D0B7C1C" w14:textId="77777777">
        <w:trPr>
          <w:trHeight w:val="299"/>
        </w:trPr>
        <w:tc>
          <w:tcPr>
            <w:tcW w:w="2270" w:type="dxa"/>
          </w:tcPr>
          <w:p w14:paraId="03D184C9" w14:textId="77777777">
            <w:pPr>
              <w:spacing w:before="60" w:after="60"/>
              <w:rPr>
                <w:rFonts w:eastAsia="Times"/>
                <w:b/>
                <w:bCs/>
              </w:rPr>
            </w:pPr>
            <w:r>
              <w:rPr>
                <w:rStyle w:val="PleaseReviewParagraphId"/>
                <w:b w:val="off"/>
                <w:i w:val="off"/>
              </w:rPr>
              <w:t>[11]</w:t>
            </w:r>
            <w:r>
              <w:rPr>
                <w:rFonts w:eastAsia="Times"/>
                <w:b/>
                <w:bCs/>
              </w:rPr>
              <w:t>Date of this document</w:t>
            </w:r>
          </w:p>
        </w:tc>
        <w:tc>
          <w:tcPr>
            <w:tcW w:w="6751"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tcPr>
          <w:p w14:paraId="17DFBABC" w14:textId="022E91D4">
            <w:pPr>
              <w:spacing w:before="60" w:after="60"/>
              <w:rPr>
                <w:rFonts w:eastAsia="Times"/>
              </w:rPr>
            </w:pPr>
            <w:r>
              <w:rPr>
                <w:rStyle w:val="PleaseReviewParagraphId"/>
                <w:b w:val="off"/>
                <w:i w:val="off"/>
              </w:rPr>
              <w:t>[12]</w:t>
            </w:r>
            <w:r>
              <w:rPr>
                <w:rFonts w:eastAsia="Times"/>
              </w:rPr>
              <w:t>2023-06-12</w:t>
            </w:r>
          </w:p>
        </w:tc>
      </w:tr>
      <w:tr w14:paraId="0FE6F445" w14:textId="77777777">
        <w:trPr>
          <w:trHeight w:val="299"/>
        </w:trPr>
        <w:tc>
          <w:tcPr>
            <w:tcW w:w="2270" w:type="dxa"/>
            <w:hideMark/>
          </w:tcPr>
          <w:p w14:paraId="3CA538C1" w14:textId="77777777">
            <w:pPr>
              <w:spacing w:before="60" w:after="60"/>
              <w:rPr>
                <w:rFonts w:eastAsia="Times"/>
                <w:b/>
                <w:bCs/>
              </w:rPr>
            </w:pPr>
            <w:r>
              <w:rPr>
                <w:rStyle w:val="PleaseReviewParagraphId"/>
                <w:b w:val="off"/>
                <w:i w:val="off"/>
              </w:rPr>
              <w:t>[13]</w:t>
            </w:r>
            <w:r>
              <w:rPr>
                <w:rFonts w:eastAsia="Times"/>
                <w:b/>
                <w:bCs/>
              </w:rPr>
              <w:t>Current document stage</w:t>
            </w:r>
          </w:p>
        </w:tc>
        <w:tc>
          <w:tcPr>
            <w:tcW w:w="6751"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hideMark/>
          </w:tcPr>
          <w:p w14:paraId="0D9E6074" w14:textId="484A20D6">
            <w:pPr>
              <w:spacing w:before="60" w:after="60"/>
              <w:rPr>
                <w:rFonts w:eastAsia="Times"/>
                <w:highlight w:val="yellow"/>
              </w:rPr>
            </w:pPr>
            <w:r>
              <w:rPr>
                <w:rStyle w:val="PleaseReviewParagraphId"/>
                <w:b w:val="off"/>
                <w:i w:val="off"/>
              </w:rPr>
              <w:t>[14]</w:t>
            </w:r>
            <w:r>
              <w:t>Draft Specification to go for consultation in 2023 (IC_2023_May)</w:t>
            </w:r>
          </w:p>
        </w:tc>
      </w:tr>
      <w:tr w14:paraId="64264232" w14:textId="77777777">
        <w:trPr>
          <w:trHeight w:val="491"/>
        </w:trPr>
        <w:tc>
          <w:tcPr>
            <w:tcW w:w="2270"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hideMark/>
          </w:tcPr>
          <w:p w14:paraId="2A35C266" w14:textId="77777777">
            <w:pPr>
              <w:spacing w:before="60" w:after="60"/>
              <w:rPr>
                <w:rFonts w:eastAsia="Times"/>
                <w:b/>
                <w:bCs/>
              </w:rPr>
            </w:pPr>
            <w:r>
              <w:rPr>
                <w:rStyle w:val="PleaseReviewParagraphId"/>
                <w:b w:val="off"/>
                <w:i w:val="off"/>
              </w:rPr>
              <w:t>[15]</w:t>
            </w:r>
            <w:r>
              <w:rPr>
                <w:rFonts w:eastAsia="Times"/>
                <w:b/>
                <w:bCs/>
              </w:rPr>
              <w:t>Major stages completed</w:t>
            </w:r>
          </w:p>
        </w:tc>
        <w:tc>
          <w:tcPr>
            <w:tcW w:w="6751"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hideMark/>
          </w:tcPr>
          <w:p w14:paraId="7A293F29" w14:textId="743F7455">
            <w:pPr>
              <w:spacing w:before="60" w:after="60"/>
              <w:rPr>
                <w:rFonts w:eastAsia="Times"/>
                <w:b/>
                <w:bCs/>
              </w:rPr>
            </w:pPr>
            <w:r>
              <w:rPr>
                <w:rStyle w:val="PleaseReviewParagraphId"/>
                <w:b w:val="off"/>
                <w:i w:val="off"/>
              </w:rPr>
              <w:t>[16]</w:t>
            </w:r>
            <w:r>
              <w:rPr>
                <w:rFonts w:eastAsia="Times"/>
                <w:b/>
                <w:bCs/>
              </w:rPr>
              <w:t xml:space="preserve">2022-03: </w:t>
            </w:r>
            <w:r>
              <w:t xml:space="preserve">  CPM-16 (2022) added this topic to the List of Implementation and Capacity Development Topics; priority 1</w:t>
            </w:r>
          </w:p>
          <w:p w14:paraId="71DA1CC0" w14:textId="78E208BA">
            <w:pPr>
              <w:spacing w:before="60" w:after="60"/>
              <w:rPr>
                <w:rFonts w:eastAsia="Times"/>
              </w:rPr>
            </w:pPr>
            <w:r>
              <w:rPr>
                <w:rStyle w:val="PleaseReviewParagraphId"/>
                <w:b w:val="off"/>
                <w:i w:val="off"/>
              </w:rPr>
              <w:t>[17]</w:t>
            </w:r>
            <w:r>
              <w:rPr>
                <w:rFonts w:eastAsia="Times"/>
                <w:b/>
                <w:bCs/>
              </w:rPr>
              <w:t>2022-11:</w:t>
            </w:r>
            <w:r>
              <w:rPr>
                <w:rFonts w:eastAsia="Times"/>
              </w:rPr>
              <w:t xml:space="preserve"> IC agreed that the draft specification should be prepared for consultation in 2023</w:t>
            </w:r>
          </w:p>
          <w:p w14:paraId="336FD40A" w14:textId="70622B25">
            <w:pPr>
              <w:spacing w:before="60" w:after="60"/>
              <w:rPr>
                <w:rFonts w:eastAsia="Times New Roman"/>
              </w:rPr>
            </w:pPr>
            <w:r>
              <w:rPr>
                <w:rStyle w:val="PleaseReviewParagraphId"/>
                <w:b w:val="off"/>
                <w:i w:val="off"/>
              </w:rPr>
              <w:t>[18]</w:t>
            </w:r>
            <w:r>
              <w:rPr>
                <w:rFonts w:eastAsia="Times New Roman"/>
                <w:b/>
                <w:bCs/>
                <w:szCs w:val="22"/>
              </w:rPr>
              <w:t xml:space="preserve">2023-05: </w:t>
            </w:r>
            <w:r>
              <w:rPr>
                <w:rFonts w:eastAsia="Times New Roman"/>
                <w:szCs w:val="22"/>
              </w:rPr>
              <w:t xml:space="preserve">IC reviewed the draft specification and approved it for consultation in 2023 with minor revisions, including changing the title (original title: </w:t>
            </w:r>
            <w:r>
              <w:rPr>
                <w:rFonts w:eastAsia="Times New Roman"/>
                <w:i/>
                <w:iCs/>
                <w:szCs w:val="22"/>
              </w:rPr>
              <w:t>Performing audits in the phytosanitary context)</w:t>
            </w:r>
            <w:r>
              <w:rPr>
                <w:rFonts w:eastAsia="Times New Roman"/>
                <w:szCs w:val="22"/>
              </w:rPr>
              <w:t>.</w:t>
            </w:r>
          </w:p>
        </w:tc>
      </w:tr>
      <w:tr w14:paraId="2A30132C" w14:textId="77777777">
        <w:trPr>
          <w:trHeight w:val="491"/>
        </w:trPr>
        <w:tc>
          <w:tcPr>
            <w:tcW w:w="2270"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tcPr>
          <w:p w14:paraId="2AC66BB5" w14:textId="77777777">
            <w:pPr>
              <w:spacing w:before="60" w:after="60"/>
              <w:rPr>
                <w:rFonts w:eastAsia="Times"/>
                <w:b/>
                <w:bCs/>
              </w:rPr>
            </w:pPr>
            <w:r>
              <w:rPr>
                <w:rStyle w:val="PleaseReviewParagraphId"/>
                <w:b w:val="off"/>
                <w:i w:val="off"/>
              </w:rPr>
              <w:t>[19]</w:t>
            </w:r>
            <w:r>
              <w:rPr>
                <w:rFonts w:eastAsia="Times"/>
                <w:b/>
                <w:bCs/>
              </w:rPr>
              <w:t>Implementation and Capacity Development Committee (IC) lead</w:t>
            </w:r>
          </w:p>
        </w:tc>
        <w:tc>
          <w:tcPr>
            <w:tcW w:w="6751"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tcPr>
          <w:p w14:paraId="4A2C8D28" w14:textId="5862A44F">
            <w:pPr>
              <w:spacing w:before="60" w:after="60"/>
              <w:rPr>
                <w:rFonts w:eastAsia="Times"/>
                <w:highlight w:val="yellow"/>
              </w:rPr>
            </w:pPr>
            <w:r>
              <w:rPr>
                <w:rStyle w:val="PleaseReviewParagraphId"/>
                <w:b w:val="off"/>
                <w:i w:val="off"/>
              </w:rPr>
              <w:t>[20]</w:t>
            </w:r>
            <w:r>
              <w:rPr>
                <w:rFonts w:eastAsia="Times"/>
                <w:b/>
                <w:bCs/>
              </w:rPr>
              <w:t>2022-04:</w:t>
            </w:r>
            <w:r>
              <w:rPr>
                <w:rFonts w:eastAsia="Times"/>
              </w:rPr>
              <w:t xml:space="preserve"> Dominique PELLETIER, Canada</w:t>
            </w:r>
          </w:p>
        </w:tc>
      </w:tr>
      <w:tr w14:paraId="4B244F52" w14:textId="77777777">
        <w:trPr>
          <w:trHeight w:val="491"/>
        </w:trPr>
        <w:tc>
          <w:tcPr>
            <w:tcW w:w="2270"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tcPr>
          <w:p w14:paraId="115C3815" w14:textId="77777777">
            <w:pPr>
              <w:spacing w:before="60" w:after="60"/>
              <w:rPr>
                <w:rFonts w:eastAsia="Times"/>
                <w:b/>
                <w:bCs/>
              </w:rPr>
            </w:pPr>
            <w:r>
              <w:rPr>
                <w:rStyle w:val="PleaseReviewParagraphId"/>
                <w:b w:val="off"/>
                <w:i w:val="off"/>
              </w:rPr>
              <w:t>[21]</w:t>
            </w:r>
            <w:r>
              <w:rPr>
                <w:rFonts w:eastAsia="Times"/>
                <w:b/>
                <w:bCs/>
              </w:rPr>
              <w:t>IPPC Secretariat lead</w:t>
            </w:r>
          </w:p>
        </w:tc>
        <w:tc>
          <w:tcPr>
            <w:tcW w:w="6751"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shd w:val="clear" w:color="auto" w:fill="auto"/>
          </w:tcPr>
          <w:p w14:paraId="19E040D8" w14:textId="5112CF5E">
            <w:pPr>
              <w:spacing w:before="60" w:after="60"/>
              <w:rPr>
                <w:rFonts w:eastAsia="Times"/>
                <w:color w:val="0070C0"/>
              </w:rPr>
            </w:pPr>
            <w:r>
              <w:rPr>
                <w:rStyle w:val="PleaseReviewParagraphId"/>
                <w:b w:val="off"/>
                <w:i w:val="off"/>
              </w:rPr>
              <w:t>[22]</w:t>
            </w:r>
            <w:r>
              <w:rPr>
                <w:rFonts w:eastAsia="Times"/>
                <w:b/>
                <w:bCs/>
              </w:rPr>
              <w:t>2022-11</w:t>
            </w:r>
            <w:r>
              <w:rPr>
                <w:rFonts w:eastAsia="Times"/>
              </w:rPr>
              <w:t xml:space="preserve">: Juan RULL </w:t>
            </w:r>
          </w:p>
        </w:tc>
      </w:tr>
      <w:tr w14:paraId="1536216E" w14:textId="77777777">
        <w:trPr>
          <w:trHeight w:val="491"/>
        </w:trPr>
        <w:tc>
          <w:tcPr>
            <w:tcW w:w="2270"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hideMark/>
          </w:tcPr>
          <w:p w14:paraId="4B03E71D" w14:textId="77777777">
            <w:pPr>
              <w:spacing w:before="60" w:after="60"/>
              <w:rPr>
                <w:rFonts w:eastAsia="Times"/>
                <w:b/>
                <w:bCs/>
              </w:rPr>
            </w:pPr>
            <w:r>
              <w:rPr>
                <w:rStyle w:val="PleaseReviewParagraphId"/>
                <w:b w:val="off"/>
                <w:i w:val="off"/>
              </w:rPr>
              <w:t>[23]</w:t>
            </w:r>
            <w:r>
              <w:rPr>
                <w:rFonts w:eastAsia="Times"/>
                <w:b/>
                <w:bCs/>
              </w:rPr>
              <w:t>Working Group experts</w:t>
            </w:r>
          </w:p>
        </w:tc>
        <w:tc>
          <w:tcPr>
            <w:tcW w:w="6751"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hideMark/>
          </w:tcPr>
          <w:p w14:paraId="1CEEEE3B" w14:textId="512497A5">
            <w:pPr>
              <w:spacing w:before="60" w:after="60"/>
              <w:rPr>
                <w:rFonts w:eastAsia="Times"/>
              </w:rPr>
            </w:pPr>
            <w:r>
              <w:rPr>
                <w:rStyle w:val="PleaseReviewParagraphId"/>
                <w:b w:val="off"/>
                <w:i w:val="off"/>
              </w:rPr>
              <w:t>[24]</w:t>
            </w:r>
            <w:r>
              <w:rPr>
                <w:rFonts w:eastAsia="Times"/>
              </w:rPr>
              <w:t xml:space="preserve"> </w:t>
            </w:r>
          </w:p>
        </w:tc>
      </w:tr>
      <w:tr w14:paraId="345C4027" w14:textId="77777777">
        <w:trPr>
          <w:trHeight w:val="637"/>
        </w:trPr>
        <w:tc>
          <w:tcPr>
            <w:tcW w:w="2270"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hideMark/>
          </w:tcPr>
          <w:p w14:paraId="58AD4430" w14:textId="77777777">
            <w:pPr>
              <w:spacing w:before="60" w:after="60"/>
              <w:rPr>
                <w:rFonts w:eastAsia="Times"/>
                <w:b/>
                <w:bCs/>
              </w:rPr>
            </w:pPr>
            <w:r>
              <w:rPr>
                <w:rStyle w:val="PleaseReviewParagraphId"/>
                <w:b w:val="off"/>
                <w:i w:val="off"/>
              </w:rPr>
              <w:t>[25]</w:t>
            </w:r>
            <w:r>
              <w:rPr>
                <w:rFonts w:eastAsia="Times"/>
                <w:b/>
                <w:bCs/>
              </w:rPr>
              <w:t>Notes</w:t>
            </w:r>
          </w:p>
        </w:tc>
        <w:tc>
          <w:tcPr>
            <w:tcW w:w="6751"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hideMark/>
          </w:tcPr>
          <w:p w14:paraId="0A1DCD5E" w14:textId="4477B1DE">
            <w:pPr>
              <w:rPr>
                <w:rFonts w:eastAsia="Times"/>
              </w:rPr>
            </w:pPr>
            <w:r>
              <w:rPr>
                <w:rStyle w:val="PleaseReviewParagraphId"/>
                <w:b w:val="off"/>
                <w:i w:val="off"/>
              </w:rPr>
              <w:t>[26]</w:t>
            </w:r>
            <w:r>
              <w:rPr>
                <w:rFonts w:eastAsia="Times"/>
              </w:rPr>
              <w:t xml:space="preserve">Development to be coordinated with the Guide on </w:t>
            </w:r>
            <w:r>
              <w:rPr>
                <w:rFonts w:eastAsia="Times"/>
                <w:i/>
              </w:rPr>
              <w:t>Authorization of entities to perform phytosanitary actions</w:t>
            </w:r>
            <w:r>
              <w:rPr>
                <w:rFonts w:eastAsia="Times"/>
              </w:rPr>
              <w:t xml:space="preserve"> (2018-040) (IC_2022_Nov) to ensure complementarity of both guides and reduce overlap of contents.</w:t>
            </w:r>
          </w:p>
        </w:tc>
      </w:tr>
    </w:tbl>
    <w:p w14:paraId="5215EA10" w14:textId="77777777">
      <w:pPr>
        <w:rPr>
          <w:lang w:eastAsia="ja-JP"/>
        </w:rPr>
      </w:pPr>
      <w:r>
        <w:rPr>
          <w:rStyle w:val="PleaseReviewParagraphId"/>
          <w:b w:val="off"/>
          <w:i w:val="off"/>
        </w:rPr>
        <w:t>[27]</w:t>
      </w:r>
    </w:p>
    <w:p w14:paraId="2DC1561C" w14:textId="77777777">
      <w:pPr>
        <w:rPr>
          <w:rFonts w:eastAsia="Times"/>
          <w:b/>
          <w:bCs/>
          <w:caps/>
          <w:lang w:eastAsia="ja-JP"/>
        </w:rPr>
      </w:pPr>
      <w:r>
        <w:rPr>
          <w:rStyle w:val="PleaseReviewParagraphId"/>
          <w:b w:val="off"/>
          <w:i w:val="off"/>
        </w:rPr>
        <w:t>[28]</w:t>
      </w:r>
      <w:r>
        <w:rPr>
          <w:rFonts w:eastAsia="Times"/>
          <w:b/>
          <w:bCs/>
          <w:caps/>
          <w:lang w:eastAsia="ja-JP"/>
        </w:rPr>
        <w:br w:type="page"/>
      </w:r>
    </w:p>
    <w:p w14:paraId="4978D50A" w14:textId="5A0A39CA">
      <w:pPr>
        <w:pStyle w:val="IPPHeadSection"/>
      </w:pPr>
      <w:r>
        <w:rPr>
          <w:rStyle w:val="PleaseReviewParagraphId"/>
          <w:b w:val="off"/>
          <w:i w:val="off"/>
        </w:rPr>
        <w:t>[29]</w:t>
      </w:r>
      <w:r>
        <w:lastRenderedPageBreak/>
        <w:t>Draft Specification: Guide to Phytosanitary Audits (2021-009)</w:t>
      </w:r>
    </w:p>
    <w:p w14:paraId="47B95025" w14:textId="59D13205">
      <w:pPr>
        <w:pStyle w:val="IPPHeading1"/>
        <w:rPr>
          <w:lang w:val="en-US"/>
        </w:rPr>
      </w:pPr>
      <w:r>
        <w:rPr>
          <w:rStyle w:val="PleaseReviewParagraphId"/>
          <w:b w:val="off"/>
          <w:i w:val="off"/>
        </w:rPr>
        <w:t>[30]</w:t>
      </w:r>
      <w:r>
        <w:rPr>
          <w:lang w:val="en-US"/>
        </w:rPr>
        <w:t>1. Title</w:t>
      </w:r>
    </w:p>
    <w:p w14:paraId="3566713C" w14:textId="0AE798F2">
      <w:pPr>
        <w:pStyle w:val="IPPParagraphnumbering"/>
        <w:numPr>
          <w:ilvl w:val="0"/>
          <w:numId w:val="0"/>
        </w:numPr>
      </w:pPr>
      <w:r>
        <w:rPr>
          <w:rStyle w:val="PleaseReviewParagraphId"/>
          <w:b w:val="off"/>
          <w:i w:val="off"/>
        </w:rPr>
        <w:t>[31]</w:t>
      </w:r>
      <w:r>
        <w:t>Guide to phytosanitary audits (2021-009)</w:t>
      </w:r>
    </w:p>
    <w:p w14:paraId="7E708483" w14:textId="5B67BA64">
      <w:pPr>
        <w:pStyle w:val="IPPHeading1"/>
        <w:rPr>
          <w:lang w:val="en-US"/>
        </w:rPr>
      </w:pPr>
      <w:r>
        <w:rPr>
          <w:rStyle w:val="PleaseReviewParagraphId"/>
          <w:b w:val="off"/>
          <w:i w:val="off"/>
        </w:rPr>
        <w:t>[32]</w:t>
      </w:r>
      <w:r>
        <w:rPr>
          <w:lang w:val="en-US"/>
        </w:rPr>
        <w:t>2. Type of implementation resource</w:t>
      </w:r>
    </w:p>
    <w:p w14:paraId="3D988DDA" w14:textId="27ABFEED">
      <w:pPr>
        <w:pStyle w:val="IPPParagraphnumbering"/>
        <w:numPr>
          <w:ilvl w:val="0"/>
          <w:numId w:val="0"/>
        </w:numPr>
      </w:pPr>
      <w:r>
        <w:rPr>
          <w:rStyle w:val="PleaseReviewParagraphId"/>
          <w:b w:val="off"/>
          <w:i w:val="off"/>
        </w:rPr>
        <w:t>[33]</w:t>
      </w:r>
      <w:r>
        <w:t>New implementation resource, Guide</w:t>
      </w:r>
    </w:p>
    <w:p w14:paraId="2086AC34" w14:textId="565B8702">
      <w:pPr>
        <w:pStyle w:val="IPPHeading1"/>
        <w:rPr>
          <w:lang w:val="en-US"/>
        </w:rPr>
      </w:pPr>
      <w:r>
        <w:rPr>
          <w:rStyle w:val="PleaseReviewParagraphId"/>
          <w:b w:val="off"/>
          <w:i w:val="off"/>
        </w:rPr>
        <w:t>[34]</w:t>
      </w:r>
      <w:r>
        <w:rPr>
          <w:lang w:val="en-US"/>
        </w:rPr>
        <w:t>3. Convention articles, ISPMs and CPM recommendations to be addressed by the proposed implementation resource</w:t>
      </w:r>
    </w:p>
    <w:p w14:paraId="0DD3E66A" w14:textId="02928BEA">
      <w:pPr>
        <w:pStyle w:val="IPPParagraphnumbering"/>
        <w:numPr>
          <w:ilvl w:val="0"/>
          <w:numId w:val="0"/>
        </w:numPr>
      </w:pPr>
      <w:r>
        <w:rPr>
          <w:rStyle w:val="PleaseReviewParagraphId"/>
          <w:b w:val="off"/>
          <w:i w:val="off"/>
        </w:rPr>
        <w:t>[35]</w:t>
      </w:r>
      <w:r>
        <w:t>International Plant Protection Convention (Article IV.2)</w:t>
      </w:r>
    </w:p>
    <w:p w14:paraId="4FF8B530" w14:textId="63F14EA3">
      <w:pPr>
        <w:pStyle w:val="IPPParagraphnumbering"/>
        <w:numPr>
          <w:ilvl w:val="0"/>
          <w:numId w:val="0"/>
        </w:numPr>
      </w:pPr>
      <w:r>
        <w:rPr>
          <w:rStyle w:val="PleaseReviewParagraphId"/>
          <w:b w:val="off"/>
          <w:i w:val="off"/>
        </w:rPr>
        <w:t>[36]</w:t>
      </w:r>
      <w:r>
        <w:t xml:space="preserve">ISPM 47: Audit in the Phytosanitary Context </w:t>
      </w:r>
    </w:p>
    <w:p w14:paraId="58E2D939" w14:textId="5C804D5B">
      <w:pPr>
        <w:pStyle w:val="IPPHeading1"/>
        <w:rPr>
          <w:lang w:val="en-US"/>
        </w:rPr>
      </w:pPr>
      <w:r>
        <w:rPr>
          <w:rStyle w:val="PleaseReviewParagraphId"/>
          <w:b w:val="off"/>
          <w:i w:val="off"/>
        </w:rPr>
        <w:t>[37]</w:t>
      </w:r>
      <w:r>
        <w:rPr>
          <w:lang w:val="en-US"/>
        </w:rPr>
        <w:t xml:space="preserve">4. Scope </w:t>
      </w:r>
    </w:p>
    <w:p w14:paraId="7E65B235" w14:textId="088B75E8">
      <w:pPr>
        <w:pStyle w:val="IPPParagraphnumbering"/>
        <w:numPr>
          <w:ilvl w:val="0"/>
          <w:numId w:val="0"/>
        </w:numPr>
      </w:pPr>
      <w:r>
        <w:rPr>
          <w:rStyle w:val="PleaseReviewParagraphId"/>
          <w:b w:val="off"/>
          <w:i w:val="off"/>
        </w:rPr>
        <w:t>[38]</w:t>
      </w:r>
      <w:r>
        <w:t>This IPPC guide will provide information to assist National Plant Protection Organizations (NPPOs) wishing to establish or enhance their national procedures for phytosanitary audit activities. It will provide practical guidance to assist NPPOs in conducting audits in their own territory, or in the territory of another NPPO. The guide will focus on the phytosanitary aspects of audits, as laid out in ISPM 47 (Audit in the Phytosanitary Context) and will include practical tools, examples and case studies that NPPOs may adapt for use in their particular context.</w:t>
      </w:r>
    </w:p>
    <w:p w14:paraId="4CC5425D" w14:textId="3EE8B9F1">
      <w:pPr>
        <w:pStyle w:val="IPPHeading1"/>
        <w:rPr>
          <w:lang w:val="en-US"/>
        </w:rPr>
      </w:pPr>
      <w:r>
        <w:rPr>
          <w:rStyle w:val="PleaseReviewParagraphId"/>
          <w:b w:val="off"/>
          <w:i w:val="off"/>
        </w:rPr>
        <w:t>[39]</w:t>
      </w:r>
      <w:r>
        <w:rPr>
          <w:lang w:val="en-US"/>
        </w:rPr>
        <w:t xml:space="preserve">5. Purpose </w:t>
      </w:r>
    </w:p>
    <w:p w14:paraId="137DDF5B" w14:textId="5AE5E849">
      <w:pPr>
        <w:pStyle w:val="IPPParagraphnumbering"/>
        <w:numPr>
          <w:ilvl w:val="0"/>
          <w:numId w:val="0"/>
        </w:numPr>
      </w:pPr>
      <w:r>
        <w:rPr>
          <w:rStyle w:val="PleaseReviewParagraphId"/>
          <w:b w:val="off"/>
          <w:i w:val="off"/>
        </w:rPr>
        <w:t>[40]</w:t>
      </w:r>
      <w:r>
        <w:t xml:space="preserve">National plant protection organizations have a number of responsibilities under the IPPC for activities in their territory such as surveillance, inspection, the conduct of pest risk analyses, the establishment of phytosanitary import requirements, phytosanitary certification, the conduct or supervision of treatments as phytosanitary measures and the training of staff. To help them fulfil these responsibilities effectively, NPPOs are increasingly using audits to provide confidence that phytosanitary systems and procedures achieve their objectives. An audit in the phytosanitary context is a documented, systematic review of a phytosanitary system or procedure to evaluate whether it conforms with the requirements set by the NPPO, and whether the system or procedure is achieving the expected phytosanitary objectives. Unlike supervision, an audit does not involve continuous observation and direction of activities but instead provides an evaluation of a specific phytosanitary system, procedure, or particular elements of a system or procedure, at the time of the audit. Objective evidence is collected on whether the outcomes of the phytosanitary system or procedure conform with the relevant requirements of the auditing NPPO and whether these requirements are implemented effectively to achieve the phytosanitary objectives. The purpose of this guide is to provide  NPPOs with practical guidance and best practices for carrying out systems audits and focused audits in their own territory, or in the territory of another NPPO and to support the harmonized implementation of ISPM 47 (Audit in the Phytosanitary Context) and other ISPMs that reference audits, including ISPM 14 (Use of integrated measures in a systems approach for pest risk management) and ISPM 45 (Requirements for national plant protection organizations if authorizing entities to perform phytosanitary actions). </w:t>
      </w:r>
    </w:p>
    <w:p w14:paraId="14E33C34" w14:textId="22C5873A">
      <w:pPr>
        <w:pStyle w:val="IPPHeading1"/>
        <w:rPr>
          <w:lang w:val="en-US"/>
        </w:rPr>
      </w:pPr>
      <w:r>
        <w:rPr>
          <w:rStyle w:val="PleaseReviewParagraphId"/>
          <w:b w:val="off"/>
          <w:i w:val="off"/>
        </w:rPr>
        <w:t>[41]</w:t>
      </w:r>
      <w:r>
        <w:rPr>
          <w:lang w:val="en-US"/>
        </w:rPr>
        <w:t>6. Content of the proposed implementation resource</w:t>
      </w:r>
    </w:p>
    <w:p w14:paraId="4CAA6A3B" w14:textId="3423D136">
      <w:pPr>
        <w:pStyle w:val="IPPParagraphnumbering"/>
        <w:numPr>
          <w:ilvl w:val="0"/>
          <w:numId w:val="0"/>
        </w:numPr>
      </w:pPr>
      <w:r>
        <w:rPr>
          <w:rStyle w:val="PleaseReviewParagraphId"/>
          <w:b w:val="off"/>
          <w:i w:val="off"/>
        </w:rPr>
        <w:t>[42]</w:t>
      </w:r>
      <w:r>
        <w:t xml:space="preserve">The working group should develop content for the guide based on the outcomes of the following tasks: </w:t>
      </w:r>
    </w:p>
    <w:p w14:paraId="40BA306D" w14:textId="77777777">
      <w:pPr>
        <w:pStyle w:val="IPPBullet1"/>
      </w:pPr>
      <w:r>
        <w:rPr>
          <w:rStyle w:val="PleaseReviewParagraphId"/>
          <w:b w:val="off"/>
          <w:i w:val="off"/>
        </w:rPr>
        <w:t>[43]</w:t>
      </w:r>
      <w:r>
        <w:t>Explain the purpose of audits, their benefits and their use within the context of national phytosanitary systems.</w:t>
      </w:r>
    </w:p>
    <w:p w14:paraId="41E09B04" w14:textId="2C80B996">
      <w:pPr>
        <w:pStyle w:val="IPPBullet1"/>
      </w:pPr>
      <w:r>
        <w:rPr>
          <w:rStyle w:val="PleaseReviewParagraphId"/>
          <w:b w:val="off"/>
          <w:i w:val="off"/>
        </w:rPr>
        <w:t>[44]</w:t>
      </w:r>
      <w:r>
        <w:lastRenderedPageBreak/>
        <w:t xml:space="preserve">Describe the circumstances that may trigger a phytosanitary audit and the differences and similarities between audits carried out within the NPPO´s territory and audits carried out by the NPPO of an importing country in the territory of an exporting country. </w:t>
      </w:r>
    </w:p>
    <w:p w14:paraId="09CBB33D" w14:textId="769BC8CB">
      <w:pPr>
        <w:pStyle w:val="IPPBullet1"/>
      </w:pPr>
      <w:r>
        <w:rPr>
          <w:rStyle w:val="PleaseReviewParagraphId"/>
          <w:b w:val="off"/>
          <w:i w:val="off"/>
        </w:rPr>
        <w:t>[45]</w:t>
      </w:r>
      <w:r>
        <w:t>Consider the scope, purpose and procedures used for internal audits, audits of authorized entities, and remote audits, describing similarities and differences.</w:t>
      </w:r>
    </w:p>
    <w:p w14:paraId="6C23BBFB" w14:textId="255846A0">
      <w:pPr>
        <w:pStyle w:val="IPPBullet1"/>
      </w:pPr>
      <w:r>
        <w:rPr>
          <w:rStyle w:val="PleaseReviewParagraphId"/>
          <w:b w:val="off"/>
          <w:i w:val="off"/>
        </w:rPr>
        <w:t>[46]</w:t>
      </w:r>
      <w:r>
        <w:t>Discuss the similarities and differences between system audits and focused audits and their scope, purpose and use.</w:t>
      </w:r>
    </w:p>
    <w:p w14:paraId="1F3D0444" w14:textId="57376DF2">
      <w:pPr>
        <w:pStyle w:val="IPPBullet1"/>
      </w:pPr>
      <w:r>
        <w:rPr>
          <w:rStyle w:val="PleaseReviewParagraphId"/>
          <w:b w:val="off"/>
          <w:i w:val="off"/>
        </w:rPr>
        <w:t>[47]</w:t>
      </w:r>
      <w:r>
        <w:t>Discuss the roles and responsibilities of the NPPO, the auditor and the auditee.</w:t>
      </w:r>
    </w:p>
    <w:p w14:paraId="02D95CD4" w14:textId="114378D8">
      <w:pPr>
        <w:pStyle w:val="IPPBullet1"/>
      </w:pPr>
      <w:r>
        <w:rPr>
          <w:rStyle w:val="PleaseReviewParagraphId"/>
          <w:b w:val="off"/>
          <w:i w:val="off"/>
        </w:rPr>
        <w:t>[48]</w:t>
      </w:r>
      <w:r>
        <w:t xml:space="preserve">Discuss the roles and responsibilities of the NPPO in providing oversight of entities that are authorized to carry out phytosanitary audits on behalf of the NPPO. Consider the information provided in chapter 6 of the </w:t>
      </w:r>
      <w:r>
        <w:rPr>
          <w:i/>
          <w:iCs/>
        </w:rPr>
        <w:t>Guide to regulation of wood packaging material</w:t>
      </w:r>
      <w:r>
        <w:t xml:space="preserve"> (IPPC, 2023). </w:t>
      </w:r>
    </w:p>
    <w:p w14:paraId="67CAE65D" w14:textId="4C820FDA">
      <w:pPr>
        <w:pStyle w:val="IPPBullet1"/>
      </w:pPr>
      <w:r>
        <w:rPr>
          <w:rStyle w:val="PleaseReviewParagraphId"/>
          <w:b w:val="off"/>
          <w:i w:val="off"/>
        </w:rPr>
        <w:t>[49]</w:t>
      </w:r>
      <w:r>
        <w:t>Discuss the steps and procedures for planning, preparing, undertaking and reporting the outcome of an audit.</w:t>
      </w:r>
    </w:p>
    <w:p w14:paraId="53B56812" w14:textId="33EAE3B5">
      <w:pPr>
        <w:pStyle w:val="IPPBullet1"/>
      </w:pPr>
      <w:r>
        <w:rPr>
          <w:rStyle w:val="PleaseReviewParagraphId"/>
          <w:b w:val="off"/>
          <w:i w:val="off"/>
        </w:rPr>
        <w:t>[50]</w:t>
      </w:r>
      <w:r>
        <w:t>Provide guidance on selecting auditors when assembling an audit team, establishing the audit frequency, settling disputes over audit findings, and agreeing financial arrangements between the parties involved.</w:t>
      </w:r>
    </w:p>
    <w:p w14:paraId="71666F80" w14:textId="77777777">
      <w:pPr>
        <w:pStyle w:val="IPPBullet1"/>
      </w:pPr>
      <w:r>
        <w:rPr>
          <w:rStyle w:val="PleaseReviewParagraphId"/>
          <w:b w:val="off"/>
          <w:i w:val="off"/>
        </w:rPr>
        <w:t>[51]</w:t>
      </w:r>
      <w:r>
        <w:t>Describe the roles and responsibilities of the different members of an audit team and describe the minimum skills, expertise and training required by each.</w:t>
      </w:r>
    </w:p>
    <w:p w14:paraId="01D07019" w14:textId="2AE053C0">
      <w:pPr>
        <w:pStyle w:val="IPPBullet1"/>
      </w:pPr>
      <w:r>
        <w:rPr>
          <w:rStyle w:val="PleaseReviewParagraphId"/>
          <w:b w:val="off"/>
          <w:i w:val="off"/>
        </w:rPr>
        <w:t>[52]</w:t>
      </w:r>
      <w:r>
        <w:t>Describe the essential elements of an audit checklist and provide an example that may be used as a template.</w:t>
      </w:r>
    </w:p>
    <w:p w14:paraId="65C9B631" w14:textId="77777777">
      <w:pPr>
        <w:pStyle w:val="IPPBullet1"/>
      </w:pPr>
      <w:r>
        <w:rPr>
          <w:rStyle w:val="PleaseReviewParagraphId"/>
          <w:b w:val="off"/>
          <w:i w:val="off"/>
        </w:rPr>
        <w:t>[53]</w:t>
      </w:r>
      <w:r>
        <w:t>Describe different types of non-conformities and suggest appropriate follow-up activities depending on the type of non-conformity.</w:t>
      </w:r>
    </w:p>
    <w:p w14:paraId="34692674" w14:textId="6E4339C2">
      <w:pPr>
        <w:pStyle w:val="IPPBullet1"/>
      </w:pPr>
      <w:r>
        <w:rPr>
          <w:rStyle w:val="PleaseReviewParagraphId"/>
          <w:b w:val="off"/>
          <w:i w:val="off"/>
        </w:rPr>
        <w:t>[54]</w:t>
      </w:r>
      <w:r>
        <w:t>Discuss auditing best practices, including the importance of independence, objectivity and the benefits of rotating auditors.</w:t>
      </w:r>
    </w:p>
    <w:p w14:paraId="326BC1AA" w14:textId="77777777">
      <w:pPr>
        <w:pStyle w:val="IPPBullet1"/>
      </w:pPr>
      <w:r>
        <w:rPr>
          <w:rStyle w:val="PleaseReviewParagraphId"/>
          <w:b w:val="off"/>
          <w:i w:val="off"/>
        </w:rPr>
        <w:t>[55]</w:t>
      </w:r>
      <w:r>
        <w:t xml:space="preserve">Review the documents listed in the references section related to phytosanitary audits. </w:t>
      </w:r>
    </w:p>
    <w:p w14:paraId="6AF1747E" w14:textId="77777777">
      <w:pPr>
        <w:pStyle w:val="IPPBullet1"/>
      </w:pPr>
      <w:r>
        <w:rPr>
          <w:rStyle w:val="PleaseReviewParagraphId"/>
          <w:b w:val="off"/>
          <w:i w:val="off"/>
        </w:rPr>
        <w:t>[56]</w:t>
      </w:r>
      <w:r>
        <w:t>Recommend supplemental national or regional resources that might be shared with the IPPC community to enhance the implementation of ISPM 47. </w:t>
      </w:r>
    </w:p>
    <w:p w14:paraId="0F9543BD" w14:textId="5979ED74">
      <w:pPr>
        <w:pStyle w:val="IPPBullet1"/>
      </w:pPr>
      <w:r>
        <w:rPr>
          <w:rStyle w:val="PleaseReviewParagraphId"/>
          <w:b w:val="off"/>
          <w:i w:val="off"/>
        </w:rPr>
        <w:t>[57]</w:t>
      </w:r>
      <w:r>
        <w:t>Review the implementation issues identified by the EWG that was tasked with developing ISPM 47 (</w:t>
      </w:r>
      <w:r>
        <w:rPr>
          <w:i/>
          <w:iCs/>
        </w:rPr>
        <w:t>Audit in the phytosanitary context</w:t>
      </w:r>
      <w:r>
        <w:t xml:space="preserve">), as described in its report (June 2019). </w:t>
      </w:r>
    </w:p>
    <w:p w14:paraId="4F8DCA11" w14:textId="2A019F91">
      <w:pPr>
        <w:pStyle w:val="IPPBullet1"/>
      </w:pPr>
      <w:r>
        <w:rPr>
          <w:rStyle w:val="PleaseReviewParagraphId"/>
          <w:b w:val="off"/>
          <w:i w:val="off"/>
        </w:rPr>
        <w:t>[58]</w:t>
      </w:r>
      <w:r>
        <w:t>Consider the content of ISPM 47 and avoid unnecessary repetition of information that is included in the standard.</w:t>
      </w:r>
    </w:p>
    <w:p w14:paraId="0D8DBCC7" w14:textId="00975DBB">
      <w:pPr>
        <w:pStyle w:val="IPPBullet1"/>
      </w:pPr>
      <w:r>
        <w:rPr>
          <w:rStyle w:val="PleaseReviewParagraphId"/>
          <w:b w:val="off"/>
          <w:i w:val="off"/>
        </w:rPr>
        <w:t>[59]</w:t>
      </w:r>
      <w:r>
        <w:t xml:space="preserve">Consider the scope of the guide, </w:t>
      </w:r>
      <w:r>
        <w:rPr>
          <w:i/>
          <w:iCs/>
        </w:rPr>
        <w:t>Authorization of entities to perform phytosanitary actions</w:t>
      </w:r>
      <w:r>
        <w:t xml:space="preserve"> (2018- 040), as described in the Specification and ensure the two guides are complementary without unnecessary overlap. </w:t>
      </w:r>
    </w:p>
    <w:p w14:paraId="49F385EE" w14:textId="6BDC73EE">
      <w:pPr>
        <w:pStyle w:val="IPPBullet1Last"/>
      </w:pPr>
      <w:r>
        <w:rPr>
          <w:rStyle w:val="PleaseReviewParagraphId"/>
          <w:b w:val="off"/>
          <w:i w:val="off"/>
        </w:rPr>
        <w:t>[60]</w:t>
      </w:r>
      <w:r>
        <w:t>Identify case studies that highlight how countries have approached some of the challenges associated with performing audits in the phytosanitary context.  </w:t>
      </w:r>
    </w:p>
    <w:p w14:paraId="322B9032" w14:textId="77777777">
      <w:pPr>
        <w:pStyle w:val="IPPHeading1"/>
        <w:rPr>
          <w:lang w:val="en-US"/>
        </w:rPr>
      </w:pPr>
      <w:r>
        <w:rPr>
          <w:rStyle w:val="PleaseReviewParagraphId"/>
          <w:b w:val="off"/>
          <w:i w:val="off"/>
        </w:rPr>
        <w:t>[61]</w:t>
      </w:r>
      <w:r>
        <w:rPr>
          <w:lang w:val="en-US"/>
        </w:rPr>
        <w:t xml:space="preserve">7. Financial and in-kind contributions </w:t>
      </w:r>
    </w:p>
    <w:p w14:paraId="2ADB4EFE" w14:textId="0EE94382">
      <w:pPr>
        <w:pStyle w:val="IPPParagraphnumbering"/>
        <w:numPr>
          <w:ilvl w:val="0"/>
          <w:numId w:val="0"/>
        </w:numPr>
        <w:rPr>
          <w:lang w:val="en-GB" w:eastAsia="ja-JP"/>
        </w:rPr>
      </w:pPr>
      <w:r>
        <w:rPr>
          <w:rStyle w:val="PleaseReviewParagraphId"/>
          <w:b w:val="off"/>
          <w:i w:val="off"/>
        </w:rPr>
        <w:t>[62]</w:t>
      </w:r>
      <w:r>
        <w:t>The development of this guide will be partially supported through a contribution to the IPPC Multi-donor Trust Fund by Canada.</w:t>
      </w:r>
    </w:p>
    <w:p w14:paraId="7061A9EF" w14:textId="6E0E04CE">
      <w:pPr>
        <w:pStyle w:val="IPPHeading1"/>
        <w:rPr>
          <w:i/>
          <w:iCs/>
          <w:lang w:val="en-US"/>
        </w:rPr>
      </w:pPr>
      <w:r>
        <w:rPr>
          <w:rStyle w:val="PleaseReviewParagraphId"/>
          <w:b w:val="off"/>
          <w:i w:val="off"/>
        </w:rPr>
        <w:t>[63]</w:t>
      </w:r>
      <w:r>
        <w:rPr>
          <w:lang w:val="en-US"/>
        </w:rPr>
        <w:t xml:space="preserve">8. Selection criteria for working group experts </w:t>
      </w:r>
    </w:p>
    <w:p w14:paraId="2F605290" w14:textId="77777777">
      <w:pPr>
        <w:pStyle w:val="IPPParagraphnumbering"/>
        <w:numPr>
          <w:ilvl w:val="0"/>
          <w:numId w:val="0"/>
        </w:numPr>
      </w:pPr>
      <w:r>
        <w:rPr>
          <w:rStyle w:val="PleaseReviewParagraphId"/>
          <w:b w:val="off"/>
          <w:i w:val="off"/>
        </w:rPr>
        <w:t>[64]</w:t>
      </w:r>
      <w:r>
        <w:t xml:space="preserve">The IPPC Secretariat and the Implementation and Capacity Development Committee support equity, diversity, and inclusiveness and encourage all interested experts to submit their candidature to participate in the working group that will be tasked with developing this IPPC Guide or training material. The members of the working group will be selected based on their technical and practical expertise in the subject matter. </w:t>
        <w:lastRenderedPageBreak/>
        <w:t>Geographical representation from both developing and developed countries will also be considered to ensure that the material developed is globally applicable and reflects best practices from all over the world.</w:t>
      </w:r>
    </w:p>
    <w:p w14:paraId="6DC12E15" w14:textId="4497C5D1">
      <w:pPr>
        <w:pStyle w:val="IPPParagraphnumbering"/>
        <w:numPr>
          <w:ilvl w:val="0"/>
          <w:numId w:val="0"/>
        </w:numPr>
      </w:pPr>
      <w:r>
        <w:rPr>
          <w:rStyle w:val="PleaseReviewParagraphId"/>
          <w:b w:val="off"/>
          <w:i w:val="off"/>
        </w:rPr>
        <w:t>[65]</w:t>
      </w:r>
      <w:r>
        <w:t>The following criteria should be used for selecting working group members:</w:t>
      </w:r>
    </w:p>
    <w:p w14:paraId="2711CA00" w14:textId="77777777">
      <w:pPr>
        <w:pStyle w:val="IPPParagraphnumbering"/>
        <w:numPr>
          <w:ilvl w:val="0"/>
          <w:numId w:val="0"/>
        </w:numPr>
      </w:pPr>
      <w:r>
        <w:rPr>
          <w:rStyle w:val="PleaseReviewParagraphId"/>
          <w:b w:val="off"/>
          <w:i w:val="off"/>
        </w:rPr>
        <w:t>[66]</w:t>
      </w:r>
      <w:r>
        <w:t>Practical expertise and knowledge in one or more of the following areas:</w:t>
      </w:r>
    </w:p>
    <w:p w14:paraId="5E03F87C" w14:textId="79A8FD49">
      <w:pPr>
        <w:pStyle w:val="IPPBullet1"/>
      </w:pPr>
      <w:r>
        <w:rPr>
          <w:rStyle w:val="PleaseReviewParagraphId"/>
          <w:b w:val="off"/>
          <w:i w:val="off"/>
        </w:rPr>
        <w:t>[67]</w:t>
      </w:r>
      <w:r>
        <w:t>audits in the phytosanitary context, including audits of entities in the exporting country conducted by the NPPO of the exporting country, audits of the phytosanitary certification system carried out by the NPPO of the importing country in the exporting country, and audits of entities other than NPPOs who are authorized to perform phytosanitary actions.</w:t>
      </w:r>
    </w:p>
    <w:p w14:paraId="3CC77788" w14:textId="77E044CA">
      <w:pPr>
        <w:pStyle w:val="IPPBullet1"/>
      </w:pPr>
      <w:r>
        <w:rPr>
          <w:rStyle w:val="PleaseReviewParagraphId"/>
          <w:b w:val="off"/>
          <w:i w:val="off"/>
        </w:rPr>
        <w:t>[68]</w:t>
      </w:r>
      <w:r>
        <w:t>development of training materials, delivery of training, workshops, or courses on auditing principles, participating in phytosanitary audits or leading phytosanitary audit teams.</w:t>
      </w:r>
    </w:p>
    <w:p w14:paraId="71658490" w14:textId="17F60D83">
      <w:pPr>
        <w:pStyle w:val="IPPBullet1"/>
      </w:pPr>
      <w:r>
        <w:rPr>
          <w:rStyle w:val="PleaseReviewParagraphId"/>
          <w:b w:val="off"/>
          <w:i w:val="off"/>
        </w:rPr>
        <w:t>[69]</w:t>
      </w:r>
      <w:r>
        <w:rPr>
          <w:rFonts w:eastAsia="Times New Roman"/>
          <w:color w:val="000000" w:themeColor="text1"/>
          <w:lang w:val="en-GB"/>
        </w:rPr>
        <w:t>strong working knowledge of English and ability to formulate ideas and write clearly in English.</w:t>
      </w:r>
    </w:p>
    <w:p w14:paraId="6C3F90F9" w14:textId="77777777">
      <w:pPr>
        <w:pStyle w:val="IPPHeading1"/>
        <w:rPr>
          <w:lang w:eastAsia="ja-JP"/>
        </w:rPr>
      </w:pPr>
      <w:r>
        <w:rPr>
          <w:rStyle w:val="PleaseReviewParagraphId"/>
          <w:b w:val="off"/>
          <w:i w:val="off"/>
        </w:rPr>
        <w:t>[70]</w:t>
      </w:r>
      <w:r>
        <w:rPr>
          <w:lang w:eastAsia="ja-JP"/>
        </w:rPr>
        <w:t>9. References and supporting materials</w:t>
      </w:r>
    </w:p>
    <w:p w14:paraId="1B08AAA9" w14:textId="46E8F3B7">
      <w:pPr>
        <w:pStyle w:val="IPPReferences"/>
      </w:pPr>
      <w:r>
        <w:rPr>
          <w:rStyle w:val="PleaseReviewParagraphId"/>
          <w:b w:val="off"/>
          <w:i w:val="off"/>
        </w:rPr>
        <w:t>[71]</w:t>
      </w:r>
      <w:r>
        <w:rPr>
          <w:rStyle w:val="normaltextrun"/>
          <w:b/>
          <w:bCs/>
          <w:szCs w:val="22"/>
        </w:rPr>
        <w:t>ISPM 5.</w:t>
      </w:r>
      <w:r>
        <w:rPr>
          <w:rStyle w:val="normaltextrun"/>
          <w:szCs w:val="22"/>
        </w:rPr>
        <w:t> </w:t>
      </w:r>
      <w:r>
        <w:rPr>
          <w:rStyle w:val="normaltextrun"/>
          <w:i/>
          <w:iCs/>
          <w:szCs w:val="22"/>
        </w:rPr>
        <w:t>Glossary of phytosanitary terms. </w:t>
      </w:r>
      <w:r>
        <w:rPr>
          <w:rStyle w:val="normaltextrun"/>
          <w:szCs w:val="22"/>
        </w:rPr>
        <w:t xml:space="preserve">Rome, IPPC Secretariat, FAO </w:t>
      </w:r>
      <w:r>
        <w:rPr>
          <w:rFonts w:eastAsia="MS Mincho"/>
          <w:lang w:eastAsia="ja-JP"/>
        </w:rPr>
        <w:t xml:space="preserve">[online]. </w:t>
      </w:r>
      <w:hyperlink r:id="rId11">
        <w:r>
          <w:rPr>
            <w:rStyle w:val="Hyperlink"/>
            <w:szCs w:val="22"/>
          </w:rPr>
          <w:t>https://www.ippc.int/en/publications/622/   </w:t>
        </w:r>
      </w:hyperlink>
    </w:p>
    <w:p w14:paraId="553F5CC9" w14:textId="411721EB">
      <w:pPr>
        <w:pStyle w:val="IPPReferences"/>
        <w:rPr>
          <w:rFonts w:eastAsia="MS Mincho"/>
          <w:lang w:eastAsia="ja-JP"/>
        </w:rPr>
      </w:pPr>
      <w:r>
        <w:rPr>
          <w:rStyle w:val="PleaseReviewParagraphId"/>
          <w:b w:val="off"/>
          <w:i w:val="off"/>
        </w:rPr>
        <w:t>[72]</w:t>
      </w:r>
      <w:r>
        <w:rPr>
          <w:rStyle w:val="eop"/>
          <w:b/>
          <w:bCs/>
          <w:szCs w:val="22"/>
        </w:rPr>
        <w:t xml:space="preserve">ISPM 14. 2021. </w:t>
      </w:r>
      <w:r>
        <w:rPr>
          <w:rStyle w:val="eop"/>
          <w:i/>
          <w:iCs/>
          <w:szCs w:val="22"/>
        </w:rPr>
        <w:t>The use of integrated measures in a systems approach for pest risk management.  </w:t>
      </w:r>
      <w:r>
        <w:rPr>
          <w:rStyle w:val="normaltextrun"/>
          <w:szCs w:val="22"/>
        </w:rPr>
        <w:t>Rome, IPPC Secretariat, FAO</w:t>
      </w:r>
      <w:r>
        <w:rPr>
          <w:rFonts w:eastAsia="MS Mincho"/>
          <w:lang w:eastAsia="ja-JP"/>
        </w:rPr>
        <w:t xml:space="preserve">. </w:t>
      </w:r>
      <w:hyperlink r:id="rId12">
        <w:r>
          <w:rPr>
            <w:rStyle w:val="Hyperlink"/>
            <w:rFonts w:eastAsia="MS Mincho"/>
            <w:szCs w:val="22"/>
            <w:lang w:eastAsia="ja-JP"/>
          </w:rPr>
          <w:t>https://www.ippc.int/en/publications/607/</w:t>
        </w:r>
      </w:hyperlink>
    </w:p>
    <w:p w14:paraId="13FDABCE" w14:textId="048FF79A">
      <w:pPr>
        <w:pStyle w:val="IPPReferences"/>
      </w:pPr>
      <w:r>
        <w:rPr>
          <w:rStyle w:val="PleaseReviewParagraphId"/>
          <w:b w:val="off"/>
          <w:i w:val="off"/>
        </w:rPr>
        <w:t>[73]</w:t>
      </w:r>
      <w:r>
        <w:rPr>
          <w:b/>
          <w:bCs/>
        </w:rPr>
        <w:t>ISPM 45. 2022.</w:t>
      </w:r>
      <w:r>
        <w:t xml:space="preserve"> </w:t>
      </w:r>
      <w:r>
        <w:rPr>
          <w:i/>
          <w:iCs/>
        </w:rPr>
        <w:t>Requirements for national plant protection organizations if authorizing entities to perform phytosanitary actions</w:t>
      </w:r>
      <w:r>
        <w:t xml:space="preserve">. Rome, IPPC Secretariat, FAO. </w:t>
      </w:r>
      <w:hyperlink r:id="rId13">
        <w:r>
          <w:rPr>
            <w:rStyle w:val="Hyperlink"/>
            <w:szCs w:val="22"/>
          </w:rPr>
          <w:t>https://www.ippc.int/en/publications/89734/</w:t>
        </w:r>
      </w:hyperlink>
      <w:r>
        <w:t xml:space="preserve">  </w:t>
      </w:r>
    </w:p>
    <w:p w14:paraId="16BA3EE1" w14:textId="5B877305">
      <w:pPr>
        <w:pStyle w:val="IPPReferences"/>
      </w:pPr>
      <w:r>
        <w:rPr>
          <w:rStyle w:val="PleaseReviewParagraphId"/>
          <w:b w:val="off"/>
          <w:i w:val="off"/>
        </w:rPr>
        <w:t>[74]</w:t>
      </w:r>
      <w:r>
        <w:rPr>
          <w:b/>
          <w:bCs/>
        </w:rPr>
        <w:t>ISPM 47. 2023.</w:t>
      </w:r>
      <w:r>
        <w:t xml:space="preserve"> </w:t>
      </w:r>
      <w:r>
        <w:rPr>
          <w:i/>
          <w:iCs/>
        </w:rPr>
        <w:t>Audit in the phytosanitary context</w:t>
      </w:r>
      <w:r>
        <w:t xml:space="preserve">. Rome, IPPC Secretariat, FAO. </w:t>
      </w:r>
      <w:hyperlink r:id="rId14">
        <w:r>
          <w:rPr>
            <w:rStyle w:val="Hyperlink"/>
            <w:szCs w:val="22"/>
          </w:rPr>
          <w:t>https://www.ippc.int/en/publications/91185/</w:t>
        </w:r>
      </w:hyperlink>
      <w:r>
        <w:t xml:space="preserve"> </w:t>
      </w:r>
    </w:p>
    <w:p w14:paraId="02E59F20" w14:textId="3D5DE431">
      <w:pPr>
        <w:pStyle w:val="IPPReferences"/>
      </w:pPr>
      <w:r>
        <w:rPr>
          <w:rStyle w:val="PleaseReviewParagraphId"/>
          <w:b w:val="off"/>
          <w:i w:val="off"/>
        </w:rPr>
        <w:t>[75]</w:t>
      </w:r>
      <w:r>
        <w:rPr>
          <w:b/>
        </w:rPr>
        <w:t>IPPC Secretariat. 2015.</w:t>
      </w:r>
      <w:r>
        <w:t xml:space="preserve"> </w:t>
      </w:r>
      <w:r>
        <w:rPr>
          <w:i/>
        </w:rPr>
        <w:t>Operation of a national plant protection organization: A guide to understanding the principal requirements for operating an organization to protect national plant resources from pests</w:t>
      </w:r>
      <w:r>
        <w:t xml:space="preserve">. Rome, IPPC Secretariat, FAO. </w:t>
      </w:r>
      <w:hyperlink w:history="1" r:id="rId15">
        <w:r>
          <w:rPr>
            <w:rStyle w:val="Hyperlink"/>
          </w:rPr>
          <w:t>https://www.ippc.int/en/publications/90633/</w:t>
        </w:r>
      </w:hyperlink>
      <w:r>
        <w:t xml:space="preserve"> </w:t>
      </w:r>
    </w:p>
    <w:p w14:paraId="35097AEA" w14:textId="77777777">
      <w:pPr>
        <w:pStyle w:val="IPPReferences"/>
        <w:rPr>
          <w:rStyle w:val="Hyperlink"/>
          <w:rFonts w:eastAsia="Times New Roman"/>
          <w:szCs w:val="22"/>
        </w:rPr>
      </w:pPr>
      <w:r>
        <w:rPr>
          <w:rStyle w:val="PleaseReviewParagraphId"/>
          <w:b w:val="off"/>
          <w:i w:val="off"/>
        </w:rPr>
        <w:t>[76]</w:t>
      </w:r>
      <w:r>
        <w:rPr>
          <w:rStyle w:val="eop"/>
          <w:rFonts w:eastAsia="Times New Roman"/>
          <w:b/>
          <w:bCs/>
          <w:szCs w:val="22"/>
          <w:lang w:eastAsia="en-CA"/>
        </w:rPr>
        <w:t>IPPC Secretariat. 2019.</w:t>
      </w:r>
      <w:r>
        <w:t xml:space="preserve"> </w:t>
      </w:r>
      <w:r>
        <w:rPr>
          <w:rFonts w:eastAsia="Times New Roman"/>
        </w:rPr>
        <w:t xml:space="preserve">Report of the Expert Working Group on Audit in the phytosanitary context (2015-014) </w:t>
      </w:r>
      <w:hyperlink r:id="rId16">
        <w:r>
          <w:rPr>
            <w:rStyle w:val="Hyperlink"/>
            <w:rFonts w:eastAsia="Times New Roman"/>
            <w:szCs w:val="22"/>
          </w:rPr>
          <w:t>https://www.ippc.int/es/publications/87497/</w:t>
        </w:r>
      </w:hyperlink>
    </w:p>
    <w:p w14:paraId="7FE82997" w14:textId="227F4EB4">
      <w:pPr>
        <w:pStyle w:val="IPPReferences"/>
        <w:rPr>
          <w:rFonts w:eastAsia="Times New Roman"/>
        </w:rPr>
      </w:pPr>
      <w:r>
        <w:rPr>
          <w:rStyle w:val="PleaseReviewParagraphId"/>
          <w:b w:val="off"/>
          <w:i w:val="off"/>
        </w:rPr>
        <w:t>[77]</w:t>
      </w:r>
      <w:r>
        <w:rPr>
          <w:rFonts w:eastAsia="Times New Roman"/>
          <w:b/>
          <w:bCs/>
          <w:color w:val="545454"/>
        </w:rPr>
        <w:t>IPPC Secretariat. 2023.</w:t>
      </w:r>
      <w:r>
        <w:rPr>
          <w:rFonts w:eastAsia="Times New Roman"/>
          <w:color w:val="545454"/>
        </w:rPr>
        <w:t xml:space="preserve"> </w:t>
      </w:r>
      <w:r>
        <w:rPr>
          <w:rFonts w:eastAsia="Times New Roman"/>
          <w:i/>
          <w:iCs/>
          <w:color w:val="545454"/>
        </w:rPr>
        <w:t>Guide to regulation of wood packaging material – Understanding the phytosanitary requirements for the movement of wood packaging material in international trade.</w:t>
      </w:r>
      <w:r>
        <w:rPr>
          <w:rFonts w:eastAsia="Times New Roman"/>
          <w:color w:val="545454"/>
        </w:rPr>
        <w:t xml:space="preserve"> Rome, FAO on behalf of the Secretariat of the International Plant Protection Convention. </w:t>
      </w:r>
      <w:hyperlink r:id="rId17">
        <w:r>
          <w:rPr>
            <w:rStyle w:val="Hyperlink"/>
            <w:rFonts w:eastAsia="Times New Roman"/>
          </w:rPr>
          <w:t>https://www.fao.org/documents/card/en/c/cc5059en</w:t>
        </w:r>
      </w:hyperlink>
    </w:p>
    <w:p w14:paraId="1897451A" w14:textId="69F35269">
      <w:pPr>
        <w:pStyle w:val="IPPReferences"/>
        <w:rPr>
          <w:rFonts w:eastAsia="Times New Roman"/>
          <w:i/>
          <w:iCs/>
        </w:rPr>
      </w:pPr>
      <w:r>
        <w:rPr>
          <w:rStyle w:val="PleaseReviewParagraphId"/>
          <w:b w:val="off"/>
          <w:i w:val="off"/>
        </w:rPr>
        <w:t>[78]</w:t>
      </w:r>
      <w:r>
        <w:rPr>
          <w:rFonts w:eastAsia="Times New Roman"/>
          <w:b/>
          <w:bCs/>
        </w:rPr>
        <w:t xml:space="preserve">NAPPO 2021. </w:t>
      </w:r>
      <w:r>
        <w:rPr>
          <w:rFonts w:eastAsia="Times New Roman"/>
        </w:rPr>
        <w:t xml:space="preserve">Regional Standards for Phytosanitary Measures (RSPM) 9: </w:t>
      </w:r>
      <w:r>
        <w:rPr>
          <w:rFonts w:eastAsia="Times New Roman"/>
          <w:i/>
          <w:iCs/>
        </w:rPr>
        <w:t xml:space="preserve">Authorization of Laboratories for Phytosanitary Testing. </w:t>
      </w:r>
      <w:r>
        <w:rPr>
          <w:rFonts w:eastAsia="Times New Roman"/>
        </w:rPr>
        <w:t>https://nappo.org/application/files/9216/1676/6222/20210319_RSPM9-e.pdf</w:t>
      </w:r>
    </w:p>
    <w:sectPr>
      <w:pgSz w:w="12240" w:h="15840"/>
      <w:pgMar w:top="1440" w:right="1440" w:bottom="1440" w:left="1440" w:header="720" w:footer="720" w:gutter="0"/>
      <w:cols w:space="720"/>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E0BC9" w14:textId="77777777">
      <w:r>
        <w:rPr>
          <w:rStyle w:val="PleaseReviewParagraphId"/>
          <w:b w:val="off"/>
          <w:i w:val="off"/>
        </w:rPr>
        <w:t>[]</w:t>
      </w:r>
      <w:r>
        <w:separator/>
      </w:r>
    </w:p>
  </w:endnote>
  <w:endnote w:type="continuationSeparator" w:id="0">
    <w:p w14:paraId="5E90423C" w14:textId="77777777">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8C261" w14:textId="77777777">
      <w:r>
        <w:rPr>
          <w:rStyle w:val="PleaseReviewParagraphId"/>
          <w:b w:val="off"/>
          <w:i w:val="off"/>
        </w:rPr>
        <w:t>[]</w:t>
      </w:r>
      <w:r>
        <w:separator/>
      </w:r>
    </w:p>
  </w:footnote>
  <w:footnote w:type="continuationSeparator" w:id="0">
    <w:p w14:paraId="116FAB33" w14:textId="77777777">
      <w:r>
        <w:rPr>
          <w:rStyle w:val="PleaseReviewParagraphId"/>
          <w:b w:val="off"/>
          <w:i w:val="off"/>
        </w:rPr>
        <w:t>[]</w:t>
      </w:r>
      <w:r>
        <w:continuationSeparator/>
      </w:r>
    </w:p>
  </w:footnote>
</w:footnotes>
</file>

<file path=word/intelligence.xml><?xml version="1.0" encoding="utf-8"?>
<int:Intelligence xmlns:int="http://schemas.microsoft.com/office/intelligence/2019/intelligence">
  <int:IntelligenceSettings/>
  <int:Manifest>
    <int:WordHash hashCode="fEkrY0I5lN3uz1" id="GD8/0s4+"/>
  </int:Manifest>
  <int:Observations>
    <int:Content id="GD8/0s4+">
      <int:Rejection type="LegacyProofing"/>
    </int:Content>
  </int:Observations>
</int:Intelligence>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23500"/>
    <w:multiLevelType w:val="multilevel"/>
    <w:tmpl w:val="1A50DC8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C751786"/>
    <w:multiLevelType w:val="hybridMultilevel"/>
    <w:tmpl w:val="7C1A4FC2"/>
    <w:lvl w:ilvl="0" w:tplc="E55A6314">
      <w:start w:val="1"/>
      <w:numFmt w:val="decimal"/>
      <w:lvlText w:val="(%1)"/>
      <w:lvlJc w:val="left"/>
      <w:pPr>
        <w:ind w:left="927" w:hanging="360"/>
      </w:pPr>
      <w:rPr>
        <w:rFonts w:hint="default"/>
        <w:b w:val="0"/>
        <w:i w:val="0"/>
        <w:color w:val="auto"/>
        <w:sz w:val="22"/>
        <w:lang w:val="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84DCE"/>
    <w:multiLevelType w:val="hybridMultilevel"/>
    <w:tmpl w:val="0630C84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6311C45"/>
    <w:multiLevelType w:val="hybridMultilevel"/>
    <w:tmpl w:val="70D8679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9516C76"/>
    <w:multiLevelType w:val="hybridMultilevel"/>
    <w:tmpl w:val="7CA09158"/>
    <w:lvl w:ilvl="0" w:tplc="664E137E">
      <w:start w:val="3"/>
      <w:numFmt w:val="bullet"/>
      <w:lvlText w:val="-"/>
      <w:lvlJc w:val="center"/>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AA159F8"/>
    <w:multiLevelType w:val="hybridMultilevel"/>
    <w:tmpl w:val="D176451E"/>
    <w:lvl w:ilvl="0" w:tplc="FFFFFFF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21EE61FD"/>
    <w:multiLevelType w:val="multilevel"/>
    <w:tmpl w:val="CD826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821D4C"/>
    <w:multiLevelType w:val="hybridMultilevel"/>
    <w:tmpl w:val="A726C5EE"/>
    <w:lvl w:ilvl="0" w:tplc="04090003">
      <w:start w:val="1"/>
      <w:numFmt w:val="bullet"/>
      <w:lvlText w:val="o"/>
      <w:lvlJc w:val="left"/>
      <w:pPr>
        <w:ind w:left="2136" w:hanging="360"/>
      </w:pPr>
      <w:rPr>
        <w:rFonts w:ascii="Courier New" w:hAnsi="Courier New" w:cs="Courier New" w:hint="default"/>
      </w:rPr>
    </w:lvl>
    <w:lvl w:ilvl="1" w:tplc="10090003" w:tentative="1">
      <w:start w:val="1"/>
      <w:numFmt w:val="bullet"/>
      <w:lvlText w:val="o"/>
      <w:lvlJc w:val="left"/>
      <w:pPr>
        <w:ind w:left="2856" w:hanging="360"/>
      </w:pPr>
      <w:rPr>
        <w:rFonts w:ascii="Courier New" w:hAnsi="Courier New" w:cs="Courier New" w:hint="default"/>
      </w:rPr>
    </w:lvl>
    <w:lvl w:ilvl="2" w:tplc="10090005" w:tentative="1">
      <w:start w:val="1"/>
      <w:numFmt w:val="bullet"/>
      <w:lvlText w:val=""/>
      <w:lvlJc w:val="left"/>
      <w:pPr>
        <w:ind w:left="3576" w:hanging="360"/>
      </w:pPr>
      <w:rPr>
        <w:rFonts w:ascii="Wingdings" w:hAnsi="Wingdings" w:hint="default"/>
      </w:rPr>
    </w:lvl>
    <w:lvl w:ilvl="3" w:tplc="10090001" w:tentative="1">
      <w:start w:val="1"/>
      <w:numFmt w:val="bullet"/>
      <w:lvlText w:val=""/>
      <w:lvlJc w:val="left"/>
      <w:pPr>
        <w:ind w:left="4296" w:hanging="360"/>
      </w:pPr>
      <w:rPr>
        <w:rFonts w:ascii="Symbol" w:hAnsi="Symbol" w:hint="default"/>
      </w:rPr>
    </w:lvl>
    <w:lvl w:ilvl="4" w:tplc="10090003" w:tentative="1">
      <w:start w:val="1"/>
      <w:numFmt w:val="bullet"/>
      <w:lvlText w:val="o"/>
      <w:lvlJc w:val="left"/>
      <w:pPr>
        <w:ind w:left="5016" w:hanging="360"/>
      </w:pPr>
      <w:rPr>
        <w:rFonts w:ascii="Courier New" w:hAnsi="Courier New" w:cs="Courier New" w:hint="default"/>
      </w:rPr>
    </w:lvl>
    <w:lvl w:ilvl="5" w:tplc="10090005" w:tentative="1">
      <w:start w:val="1"/>
      <w:numFmt w:val="bullet"/>
      <w:lvlText w:val=""/>
      <w:lvlJc w:val="left"/>
      <w:pPr>
        <w:ind w:left="5736" w:hanging="360"/>
      </w:pPr>
      <w:rPr>
        <w:rFonts w:ascii="Wingdings" w:hAnsi="Wingdings" w:hint="default"/>
      </w:rPr>
    </w:lvl>
    <w:lvl w:ilvl="6" w:tplc="10090001" w:tentative="1">
      <w:start w:val="1"/>
      <w:numFmt w:val="bullet"/>
      <w:lvlText w:val=""/>
      <w:lvlJc w:val="left"/>
      <w:pPr>
        <w:ind w:left="6456" w:hanging="360"/>
      </w:pPr>
      <w:rPr>
        <w:rFonts w:ascii="Symbol" w:hAnsi="Symbol" w:hint="default"/>
      </w:rPr>
    </w:lvl>
    <w:lvl w:ilvl="7" w:tplc="10090003" w:tentative="1">
      <w:start w:val="1"/>
      <w:numFmt w:val="bullet"/>
      <w:lvlText w:val="o"/>
      <w:lvlJc w:val="left"/>
      <w:pPr>
        <w:ind w:left="7176" w:hanging="360"/>
      </w:pPr>
      <w:rPr>
        <w:rFonts w:ascii="Courier New" w:hAnsi="Courier New" w:cs="Courier New" w:hint="default"/>
      </w:rPr>
    </w:lvl>
    <w:lvl w:ilvl="8" w:tplc="10090005" w:tentative="1">
      <w:start w:val="1"/>
      <w:numFmt w:val="bullet"/>
      <w:lvlText w:val=""/>
      <w:lvlJc w:val="left"/>
      <w:pPr>
        <w:ind w:left="7896" w:hanging="360"/>
      </w:pPr>
      <w:rPr>
        <w:rFonts w:ascii="Wingdings" w:hAnsi="Wingdings" w:hint="default"/>
      </w:rPr>
    </w:lvl>
  </w:abstractNum>
  <w:abstractNum w:abstractNumId="12"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3" w15:restartNumberingAfterBreak="0">
    <w:nsid w:val="335B633A"/>
    <w:multiLevelType w:val="hybridMultilevel"/>
    <w:tmpl w:val="321A5D84"/>
    <w:lvl w:ilvl="0" w:tplc="1009000F">
      <w:start w:val="1"/>
      <w:numFmt w:val="decimal"/>
      <w:lvlText w:val="%1."/>
      <w:lvlJc w:val="left"/>
      <w:pPr>
        <w:ind w:left="720" w:hanging="360"/>
      </w:pPr>
      <w:rPr>
        <w:rFonts w:hint="default"/>
        <w:b w:val="0"/>
        <w:i w:val="0"/>
        <w:color w:val="auto"/>
        <w:sz w:val="22"/>
        <w:lang w:val="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3C41F4D"/>
    <w:multiLevelType w:val="hybridMultilevel"/>
    <w:tmpl w:val="1A767A18"/>
    <w:lvl w:ilvl="0" w:tplc="0419001B">
      <w:start w:val="1"/>
      <w:numFmt w:val="low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35EE3310"/>
    <w:multiLevelType w:val="hybridMultilevel"/>
    <w:tmpl w:val="BC5CC0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0C234B"/>
    <w:multiLevelType w:val="multilevel"/>
    <w:tmpl w:val="615A3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40A6394"/>
    <w:multiLevelType w:val="multilevel"/>
    <w:tmpl w:val="E910D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2A16B6"/>
    <w:multiLevelType w:val="multilevel"/>
    <w:tmpl w:val="B73282F0"/>
    <w:lvl w:ilvl="0">
      <w:start w:val="1"/>
      <w:numFmt w:val="decimal"/>
      <w:lvlText w:val="%1."/>
      <w:lvlJc w:val="left"/>
      <w:pPr>
        <w:ind w:left="720" w:hanging="360"/>
      </w:pPr>
      <w:rPr>
        <w:rFonts w:hint="default"/>
      </w:rPr>
    </w:lvl>
    <w:lvl w:ilvl="1">
      <w:start w:val="2"/>
      <w:numFmt w:val="decimal"/>
      <w:isLgl/>
      <w:lvlText w:val="%1.%2"/>
      <w:lvlJc w:val="left"/>
      <w:pPr>
        <w:ind w:left="1422" w:hanging="855"/>
      </w:pPr>
      <w:rPr>
        <w:rFonts w:hint="default"/>
      </w:rPr>
    </w:lvl>
    <w:lvl w:ilvl="2">
      <w:start w:val="1"/>
      <w:numFmt w:val="decimal"/>
      <w:isLgl/>
      <w:lvlText w:val="%1.%2.%3"/>
      <w:lvlJc w:val="left"/>
      <w:pPr>
        <w:ind w:left="1629" w:hanging="855"/>
      </w:pPr>
      <w:rPr>
        <w:rFonts w:hint="default"/>
      </w:rPr>
    </w:lvl>
    <w:lvl w:ilvl="3">
      <w:start w:val="1"/>
      <w:numFmt w:val="decimal"/>
      <w:isLgl/>
      <w:lvlText w:val="%1.%2.%3.%4"/>
      <w:lvlJc w:val="left"/>
      <w:pPr>
        <w:ind w:left="1836" w:hanging="85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0" w15:restartNumberingAfterBreak="0">
    <w:nsid w:val="45B62AFC"/>
    <w:multiLevelType w:val="multilevel"/>
    <w:tmpl w:val="9F2A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C372953"/>
    <w:multiLevelType w:val="multilevel"/>
    <w:tmpl w:val="2028E0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15:restartNumberingAfterBreak="0">
    <w:nsid w:val="542A1E82"/>
    <w:multiLevelType w:val="hybridMultilevel"/>
    <w:tmpl w:val="1804C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AA2DEA"/>
    <w:multiLevelType w:val="hybridMultilevel"/>
    <w:tmpl w:val="22BE17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3A5892"/>
    <w:multiLevelType w:val="hybridMultilevel"/>
    <w:tmpl w:val="70D8679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20B63D7"/>
    <w:multiLevelType w:val="hybridMultilevel"/>
    <w:tmpl w:val="2758ACF6"/>
    <w:lvl w:ilvl="0" w:tplc="9C32ABD2">
      <w:start w:val="8"/>
      <w:numFmt w:val="bullet"/>
      <w:lvlText w:val="-"/>
      <w:lvlJc w:val="left"/>
      <w:pPr>
        <w:ind w:left="1069" w:hanging="360"/>
      </w:pPr>
      <w:rPr>
        <w:rFonts w:ascii="Times New Roman" w:eastAsia="Times"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19"/>
  </w:num>
  <w:num w:numId="3">
    <w:abstractNumId w:val="0"/>
  </w:num>
  <w:num w:numId="4">
    <w:abstractNumId w:val="11"/>
  </w:num>
  <w:num w:numId="5">
    <w:abstractNumId w:val="5"/>
  </w:num>
  <w:num w:numId="6">
    <w:abstractNumId w:val="4"/>
  </w:num>
  <w:num w:numId="7">
    <w:abstractNumId w:val="29"/>
  </w:num>
  <w:num w:numId="8">
    <w:abstractNumId w:val="8"/>
  </w:num>
  <w:num w:numId="9">
    <w:abstractNumId w:val="10"/>
  </w:num>
  <w:num w:numId="10">
    <w:abstractNumId w:val="1"/>
  </w:num>
  <w:num w:numId="11">
    <w:abstractNumId w:val="20"/>
  </w:num>
  <w:num w:numId="12">
    <w:abstractNumId w:val="18"/>
  </w:num>
  <w:num w:numId="13">
    <w:abstractNumId w:val="16"/>
  </w:num>
  <w:num w:numId="14">
    <w:abstractNumId w:val="7"/>
  </w:num>
  <w:num w:numId="15">
    <w:abstractNumId w:val="25"/>
  </w:num>
  <w:num w:numId="16">
    <w:abstractNumId w:val="6"/>
  </w:num>
  <w:num w:numId="17">
    <w:abstractNumId w:val="28"/>
  </w:num>
  <w:num w:numId="18">
    <w:abstractNumId w:val="14"/>
  </w:num>
  <w:num w:numId="19">
    <w:abstractNumId w:val="24"/>
  </w:num>
  <w:num w:numId="20">
    <w:abstractNumId w:val="15"/>
  </w:num>
  <w:num w:numId="21">
    <w:abstractNumId w:val="13"/>
  </w:num>
  <w:num w:numId="22">
    <w:abstractNumId w:val="26"/>
  </w:num>
  <w:num w:numId="23">
    <w:abstractNumId w:val="3"/>
  </w:num>
  <w:num w:numId="24">
    <w:abstractNumId w:val="2"/>
  </w:num>
  <w:num w:numId="25">
    <w:abstractNumId w:val="12"/>
  </w:num>
  <w:num w:numId="26">
    <w:abstractNumId w:val="30"/>
  </w:num>
  <w:num w:numId="27">
    <w:abstractNumId w:val="23"/>
  </w:num>
  <w:num w:numId="28">
    <w:abstractNumId w:val="17"/>
  </w:num>
  <w:num w:numId="29">
    <w:abstractNumId w:val="31"/>
  </w:num>
  <w:num w:numId="30">
    <w:abstractNumId w:val="9"/>
  </w:num>
  <w:num w:numId="3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3">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7">
    <w:abstractNumId w:val="21"/>
  </w:num>
  <w:num w:numId="38">
    <w:abstractNumId w:val="27"/>
  </w:num>
  <w:num w:numId="39">
    <w:abstractNumId w:val="2"/>
  </w:num>
  <w:num w:numId="40">
    <w:abstractNumId w:val="2"/>
  </w:num>
  <w:num w:numId="41">
    <w:abstractNumId w:val="2"/>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linkStyl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E2"/>
    <w:rsid w:val="00002658"/>
    <w:rsid w:val="00023950"/>
    <w:rsid w:val="00023CE0"/>
    <w:rsid w:val="00033240"/>
    <w:rsid w:val="000338CF"/>
    <w:rsid w:val="0003446F"/>
    <w:rsid w:val="00062972"/>
    <w:rsid w:val="00066187"/>
    <w:rsid w:val="000B06DD"/>
    <w:rsid w:val="000C578A"/>
    <w:rsid w:val="000E1A88"/>
    <w:rsid w:val="000E3AB9"/>
    <w:rsid w:val="001358B0"/>
    <w:rsid w:val="00142950"/>
    <w:rsid w:val="00152F0A"/>
    <w:rsid w:val="001B7F38"/>
    <w:rsid w:val="001D1817"/>
    <w:rsid w:val="001E0A21"/>
    <w:rsid w:val="001E3C0D"/>
    <w:rsid w:val="00227D3C"/>
    <w:rsid w:val="00242A8F"/>
    <w:rsid w:val="00255CEF"/>
    <w:rsid w:val="002811CE"/>
    <w:rsid w:val="002931DA"/>
    <w:rsid w:val="002D0DCB"/>
    <w:rsid w:val="003034C0"/>
    <w:rsid w:val="00340648"/>
    <w:rsid w:val="003605DF"/>
    <w:rsid w:val="003B453F"/>
    <w:rsid w:val="00406857"/>
    <w:rsid w:val="00437121"/>
    <w:rsid w:val="00444BFA"/>
    <w:rsid w:val="00451136"/>
    <w:rsid w:val="00475B98"/>
    <w:rsid w:val="00485D88"/>
    <w:rsid w:val="00490789"/>
    <w:rsid w:val="004F0B34"/>
    <w:rsid w:val="004F67E1"/>
    <w:rsid w:val="005267F5"/>
    <w:rsid w:val="00530B96"/>
    <w:rsid w:val="0054100F"/>
    <w:rsid w:val="0054524C"/>
    <w:rsid w:val="00570C4C"/>
    <w:rsid w:val="00583FFF"/>
    <w:rsid w:val="005C31BF"/>
    <w:rsid w:val="005E557E"/>
    <w:rsid w:val="00613EBE"/>
    <w:rsid w:val="0065540A"/>
    <w:rsid w:val="0066315B"/>
    <w:rsid w:val="00691FF4"/>
    <w:rsid w:val="006B2295"/>
    <w:rsid w:val="006B4F38"/>
    <w:rsid w:val="007007C3"/>
    <w:rsid w:val="007041A0"/>
    <w:rsid w:val="00732D21"/>
    <w:rsid w:val="00732DC5"/>
    <w:rsid w:val="00740D31"/>
    <w:rsid w:val="0074719F"/>
    <w:rsid w:val="0076448F"/>
    <w:rsid w:val="00775B12"/>
    <w:rsid w:val="00777A5A"/>
    <w:rsid w:val="007814CA"/>
    <w:rsid w:val="007830AC"/>
    <w:rsid w:val="007A57EA"/>
    <w:rsid w:val="007A5FB9"/>
    <w:rsid w:val="007B123A"/>
    <w:rsid w:val="007D17DA"/>
    <w:rsid w:val="00847E47"/>
    <w:rsid w:val="00896DA4"/>
    <w:rsid w:val="008C51AB"/>
    <w:rsid w:val="008F0788"/>
    <w:rsid w:val="00907FAE"/>
    <w:rsid w:val="00947C61"/>
    <w:rsid w:val="0097183F"/>
    <w:rsid w:val="009B65C3"/>
    <w:rsid w:val="009C7BB7"/>
    <w:rsid w:val="009D13D7"/>
    <w:rsid w:val="009E5E20"/>
    <w:rsid w:val="009F28C5"/>
    <w:rsid w:val="009F5751"/>
    <w:rsid w:val="00A172E2"/>
    <w:rsid w:val="00A173C3"/>
    <w:rsid w:val="00A454CC"/>
    <w:rsid w:val="00A553A8"/>
    <w:rsid w:val="00AA2BFB"/>
    <w:rsid w:val="00AD5DAA"/>
    <w:rsid w:val="00AF42D6"/>
    <w:rsid w:val="00B040EA"/>
    <w:rsid w:val="00B06FE2"/>
    <w:rsid w:val="00B44759"/>
    <w:rsid w:val="00B86F57"/>
    <w:rsid w:val="00B92CF6"/>
    <w:rsid w:val="00BA23FB"/>
    <w:rsid w:val="00BD4735"/>
    <w:rsid w:val="00BD7C67"/>
    <w:rsid w:val="00BF487D"/>
    <w:rsid w:val="00BF674D"/>
    <w:rsid w:val="00C04924"/>
    <w:rsid w:val="00C24059"/>
    <w:rsid w:val="00C35EF0"/>
    <w:rsid w:val="00C42D13"/>
    <w:rsid w:val="00C45A01"/>
    <w:rsid w:val="00C54E97"/>
    <w:rsid w:val="00C6066C"/>
    <w:rsid w:val="00C736AA"/>
    <w:rsid w:val="00C83FF3"/>
    <w:rsid w:val="00CE27AB"/>
    <w:rsid w:val="00D12277"/>
    <w:rsid w:val="00D30502"/>
    <w:rsid w:val="00DEE304"/>
    <w:rsid w:val="00E0366A"/>
    <w:rsid w:val="00E04908"/>
    <w:rsid w:val="00E219FF"/>
    <w:rsid w:val="00E34607"/>
    <w:rsid w:val="00E3B75B"/>
    <w:rsid w:val="00E41EF0"/>
    <w:rsid w:val="00E4686D"/>
    <w:rsid w:val="00E52C5F"/>
    <w:rsid w:val="00E565F7"/>
    <w:rsid w:val="00E5722C"/>
    <w:rsid w:val="00E96847"/>
    <w:rsid w:val="00E97C5E"/>
    <w:rsid w:val="00EC2849"/>
    <w:rsid w:val="00EC4ED0"/>
    <w:rsid w:val="00EC6F5D"/>
    <w:rsid w:val="00ED73C3"/>
    <w:rsid w:val="00F105D9"/>
    <w:rsid w:val="00F34A6C"/>
    <w:rsid w:val="00FB5E92"/>
    <w:rsid w:val="00FC480C"/>
    <w:rsid w:val="01202720"/>
    <w:rsid w:val="01D81C4B"/>
    <w:rsid w:val="020371B6"/>
    <w:rsid w:val="027AB365"/>
    <w:rsid w:val="030C0C85"/>
    <w:rsid w:val="03573B4E"/>
    <w:rsid w:val="039A2B9F"/>
    <w:rsid w:val="041386BA"/>
    <w:rsid w:val="0457C7E2"/>
    <w:rsid w:val="04D9DE65"/>
    <w:rsid w:val="0534DA60"/>
    <w:rsid w:val="053E7B45"/>
    <w:rsid w:val="059567FB"/>
    <w:rsid w:val="05AB8F2C"/>
    <w:rsid w:val="05C6005E"/>
    <w:rsid w:val="06160319"/>
    <w:rsid w:val="063C16ED"/>
    <w:rsid w:val="06787A6C"/>
    <w:rsid w:val="068822FB"/>
    <w:rsid w:val="07BCFEA5"/>
    <w:rsid w:val="07D7E74E"/>
    <w:rsid w:val="08248BF7"/>
    <w:rsid w:val="084FE1C0"/>
    <w:rsid w:val="08610905"/>
    <w:rsid w:val="089D6D3A"/>
    <w:rsid w:val="08ADCFDF"/>
    <w:rsid w:val="08AE00F7"/>
    <w:rsid w:val="08C45ECB"/>
    <w:rsid w:val="08E6F7DD"/>
    <w:rsid w:val="0924F641"/>
    <w:rsid w:val="092B700C"/>
    <w:rsid w:val="09957B9A"/>
    <w:rsid w:val="09B01B2E"/>
    <w:rsid w:val="09B6838F"/>
    <w:rsid w:val="0A16DC9C"/>
    <w:rsid w:val="0A8F550A"/>
    <w:rsid w:val="0AC74431"/>
    <w:rsid w:val="0AE9743C"/>
    <w:rsid w:val="0B0F8810"/>
    <w:rsid w:val="0B491FE9"/>
    <w:rsid w:val="0B522858"/>
    <w:rsid w:val="0C34F556"/>
    <w:rsid w:val="0C6FFCFB"/>
    <w:rsid w:val="0C70FDE9"/>
    <w:rsid w:val="0C7A28E8"/>
    <w:rsid w:val="0CAB5871"/>
    <w:rsid w:val="0CD57EAA"/>
    <w:rsid w:val="0DBC3979"/>
    <w:rsid w:val="0DC13703"/>
    <w:rsid w:val="0E0E91E5"/>
    <w:rsid w:val="0E20D951"/>
    <w:rsid w:val="0E80C0AB"/>
    <w:rsid w:val="0E906539"/>
    <w:rsid w:val="0EB40505"/>
    <w:rsid w:val="0F239300"/>
    <w:rsid w:val="0F3F1ED6"/>
    <w:rsid w:val="0F52D321"/>
    <w:rsid w:val="0F5545F1"/>
    <w:rsid w:val="0F5C9B04"/>
    <w:rsid w:val="0F64C11E"/>
    <w:rsid w:val="107365DB"/>
    <w:rsid w:val="11357C87"/>
    <w:rsid w:val="1150450C"/>
    <w:rsid w:val="11587A13"/>
    <w:rsid w:val="1190A513"/>
    <w:rsid w:val="11946E6A"/>
    <w:rsid w:val="11B8616D"/>
    <w:rsid w:val="11BFCBE2"/>
    <w:rsid w:val="120F1F18"/>
    <w:rsid w:val="127E94C6"/>
    <w:rsid w:val="12A5FDD2"/>
    <w:rsid w:val="13102B6A"/>
    <w:rsid w:val="13440984"/>
    <w:rsid w:val="1356002D"/>
    <w:rsid w:val="1366AC68"/>
    <w:rsid w:val="13B40D9A"/>
    <w:rsid w:val="13B4525E"/>
    <w:rsid w:val="14221A13"/>
    <w:rsid w:val="145357BB"/>
    <w:rsid w:val="146EBDEF"/>
    <w:rsid w:val="14C6562D"/>
    <w:rsid w:val="14DAA81A"/>
    <w:rsid w:val="15087096"/>
    <w:rsid w:val="151069E3"/>
    <w:rsid w:val="15952839"/>
    <w:rsid w:val="15AD5E80"/>
    <w:rsid w:val="15CA2D54"/>
    <w:rsid w:val="15CBDC88"/>
    <w:rsid w:val="15FE82EC"/>
    <w:rsid w:val="16482923"/>
    <w:rsid w:val="16567674"/>
    <w:rsid w:val="16961A33"/>
    <w:rsid w:val="16D51FA7"/>
    <w:rsid w:val="173CD252"/>
    <w:rsid w:val="175E8832"/>
    <w:rsid w:val="181272C2"/>
    <w:rsid w:val="18DDF826"/>
    <w:rsid w:val="19624DD0"/>
    <w:rsid w:val="197513D2"/>
    <w:rsid w:val="1A047E55"/>
    <w:rsid w:val="1A052B5B"/>
    <w:rsid w:val="1A7DEF2D"/>
    <w:rsid w:val="1AFE1E31"/>
    <w:rsid w:val="1B080173"/>
    <w:rsid w:val="1B109A0F"/>
    <w:rsid w:val="1B942DC3"/>
    <w:rsid w:val="1BE02DE5"/>
    <w:rsid w:val="1C28D4F9"/>
    <w:rsid w:val="1C4ECEED"/>
    <w:rsid w:val="1D0A2ACB"/>
    <w:rsid w:val="1D217445"/>
    <w:rsid w:val="1D9C16D1"/>
    <w:rsid w:val="1D9E3251"/>
    <w:rsid w:val="1DF9A37F"/>
    <w:rsid w:val="1E24807F"/>
    <w:rsid w:val="1E361CE2"/>
    <w:rsid w:val="1E4CD075"/>
    <w:rsid w:val="1E9E2082"/>
    <w:rsid w:val="1EAAD226"/>
    <w:rsid w:val="1F69E0D3"/>
    <w:rsid w:val="1F8D25AC"/>
    <w:rsid w:val="20432FD2"/>
    <w:rsid w:val="2092D566"/>
    <w:rsid w:val="20A17DFC"/>
    <w:rsid w:val="20CF975B"/>
    <w:rsid w:val="20F6F2B5"/>
    <w:rsid w:val="210D4F6C"/>
    <w:rsid w:val="21E272E8"/>
    <w:rsid w:val="22025222"/>
    <w:rsid w:val="226F87F4"/>
    <w:rsid w:val="23734544"/>
    <w:rsid w:val="238CE3D2"/>
    <w:rsid w:val="23A8BFC8"/>
    <w:rsid w:val="23B20C70"/>
    <w:rsid w:val="23BEA6B1"/>
    <w:rsid w:val="244F7091"/>
    <w:rsid w:val="24F8A18C"/>
    <w:rsid w:val="254712D6"/>
    <w:rsid w:val="2573074E"/>
    <w:rsid w:val="2580D935"/>
    <w:rsid w:val="258114E2"/>
    <w:rsid w:val="25E01BE1"/>
    <w:rsid w:val="2601E64A"/>
    <w:rsid w:val="26A0ADEE"/>
    <w:rsid w:val="26FA7A6D"/>
    <w:rsid w:val="2758E861"/>
    <w:rsid w:val="27663439"/>
    <w:rsid w:val="2776C2C5"/>
    <w:rsid w:val="2785BE39"/>
    <w:rsid w:val="27C721F4"/>
    <w:rsid w:val="27D2CD24"/>
    <w:rsid w:val="2821C13E"/>
    <w:rsid w:val="29186151"/>
    <w:rsid w:val="2991AA3E"/>
    <w:rsid w:val="29CC12AF"/>
    <w:rsid w:val="29ECE697"/>
    <w:rsid w:val="29F19C82"/>
    <w:rsid w:val="2AA5E3B4"/>
    <w:rsid w:val="2AC57E54"/>
    <w:rsid w:val="2AD99DCA"/>
    <w:rsid w:val="2AF2D068"/>
    <w:rsid w:val="2B413096"/>
    <w:rsid w:val="2B77AEB8"/>
    <w:rsid w:val="2C5EAA50"/>
    <w:rsid w:val="2D03B371"/>
    <w:rsid w:val="2E1EFF0D"/>
    <w:rsid w:val="2E255D55"/>
    <w:rsid w:val="2E290E6B"/>
    <w:rsid w:val="2F52527C"/>
    <w:rsid w:val="2FF5DEDB"/>
    <w:rsid w:val="307CA58B"/>
    <w:rsid w:val="307FBBFD"/>
    <w:rsid w:val="3160AF2D"/>
    <w:rsid w:val="31637AFD"/>
    <w:rsid w:val="31834577"/>
    <w:rsid w:val="31B8903A"/>
    <w:rsid w:val="3216A5DF"/>
    <w:rsid w:val="324E55B3"/>
    <w:rsid w:val="3302B343"/>
    <w:rsid w:val="331F6427"/>
    <w:rsid w:val="337CDF5C"/>
    <w:rsid w:val="33E7A642"/>
    <w:rsid w:val="344FA1D3"/>
    <w:rsid w:val="34533EFE"/>
    <w:rsid w:val="3463017E"/>
    <w:rsid w:val="3497351C"/>
    <w:rsid w:val="34BAE639"/>
    <w:rsid w:val="351A4A68"/>
    <w:rsid w:val="35224EE3"/>
    <w:rsid w:val="356F3ADF"/>
    <w:rsid w:val="35788862"/>
    <w:rsid w:val="35C44784"/>
    <w:rsid w:val="35E022F9"/>
    <w:rsid w:val="35E4EAE1"/>
    <w:rsid w:val="35EF0F5F"/>
    <w:rsid w:val="3665AD7F"/>
    <w:rsid w:val="3691CB8B"/>
    <w:rsid w:val="376017E5"/>
    <w:rsid w:val="376334F1"/>
    <w:rsid w:val="378ADFC0"/>
    <w:rsid w:val="37A21934"/>
    <w:rsid w:val="37B7588B"/>
    <w:rsid w:val="386B7782"/>
    <w:rsid w:val="389184AB"/>
    <w:rsid w:val="38C17F52"/>
    <w:rsid w:val="38E51785"/>
    <w:rsid w:val="38FBE846"/>
    <w:rsid w:val="397B7A63"/>
    <w:rsid w:val="3987092E"/>
    <w:rsid w:val="398B858D"/>
    <w:rsid w:val="39F3C7C5"/>
    <w:rsid w:val="3A0BEB57"/>
    <w:rsid w:val="3A1FB96A"/>
    <w:rsid w:val="3A8C5CED"/>
    <w:rsid w:val="3B018295"/>
    <w:rsid w:val="3B751557"/>
    <w:rsid w:val="3C034C01"/>
    <w:rsid w:val="3C41BB2A"/>
    <w:rsid w:val="3D3AC4A2"/>
    <w:rsid w:val="3D4C09B7"/>
    <w:rsid w:val="3D575A2C"/>
    <w:rsid w:val="3D8F8FF0"/>
    <w:rsid w:val="3DB9BB11"/>
    <w:rsid w:val="3E248478"/>
    <w:rsid w:val="3E2A58B5"/>
    <w:rsid w:val="3E371669"/>
    <w:rsid w:val="3E478457"/>
    <w:rsid w:val="3E60A16F"/>
    <w:rsid w:val="3E745D13"/>
    <w:rsid w:val="3EE3AA49"/>
    <w:rsid w:val="3EE5BE1D"/>
    <w:rsid w:val="3EF7F0C7"/>
    <w:rsid w:val="3EF81B0F"/>
    <w:rsid w:val="3F0CAA75"/>
    <w:rsid w:val="3F138CA3"/>
    <w:rsid w:val="3F138CA6"/>
    <w:rsid w:val="3F5149DA"/>
    <w:rsid w:val="3F9C85DF"/>
    <w:rsid w:val="3FB291F1"/>
    <w:rsid w:val="3FFECF36"/>
    <w:rsid w:val="40596583"/>
    <w:rsid w:val="40FA5FE8"/>
    <w:rsid w:val="4119F676"/>
    <w:rsid w:val="411C176C"/>
    <w:rsid w:val="41896114"/>
    <w:rsid w:val="4197CDDD"/>
    <w:rsid w:val="41BFB902"/>
    <w:rsid w:val="42138CE8"/>
    <w:rsid w:val="428A9F49"/>
    <w:rsid w:val="42B393D8"/>
    <w:rsid w:val="4370234C"/>
    <w:rsid w:val="43C69BB0"/>
    <w:rsid w:val="445B211A"/>
    <w:rsid w:val="45626C11"/>
    <w:rsid w:val="46111505"/>
    <w:rsid w:val="4620579E"/>
    <w:rsid w:val="4640D50E"/>
    <w:rsid w:val="4661E3D6"/>
    <w:rsid w:val="4662A8EC"/>
    <w:rsid w:val="468FF52E"/>
    <w:rsid w:val="46F0D002"/>
    <w:rsid w:val="46FE3C72"/>
    <w:rsid w:val="47590F43"/>
    <w:rsid w:val="47747D6B"/>
    <w:rsid w:val="477BB9FF"/>
    <w:rsid w:val="47AB00F5"/>
    <w:rsid w:val="47DCA56F"/>
    <w:rsid w:val="489A0CD3"/>
    <w:rsid w:val="489D3AE6"/>
    <w:rsid w:val="48F0EC90"/>
    <w:rsid w:val="493321C1"/>
    <w:rsid w:val="4957F860"/>
    <w:rsid w:val="49B45D17"/>
    <w:rsid w:val="49BCD034"/>
    <w:rsid w:val="49BF4652"/>
    <w:rsid w:val="49D88302"/>
    <w:rsid w:val="4A010BC6"/>
    <w:rsid w:val="4A35DD34"/>
    <w:rsid w:val="4A392EF5"/>
    <w:rsid w:val="4B48875C"/>
    <w:rsid w:val="4BD1AD95"/>
    <w:rsid w:val="4BE384C7"/>
    <w:rsid w:val="4BFAA9C0"/>
    <w:rsid w:val="4C953B7D"/>
    <w:rsid w:val="4C9BF811"/>
    <w:rsid w:val="4CFD71E6"/>
    <w:rsid w:val="4D91C4B8"/>
    <w:rsid w:val="4DC931FC"/>
    <w:rsid w:val="4E33F53F"/>
    <w:rsid w:val="4EA3D754"/>
    <w:rsid w:val="4EB68DD8"/>
    <w:rsid w:val="4F094E57"/>
    <w:rsid w:val="4F169E7D"/>
    <w:rsid w:val="4F516AC4"/>
    <w:rsid w:val="5036107E"/>
    <w:rsid w:val="505F33EA"/>
    <w:rsid w:val="50967285"/>
    <w:rsid w:val="50D190A9"/>
    <w:rsid w:val="50ED213E"/>
    <w:rsid w:val="50EEA58F"/>
    <w:rsid w:val="5172539C"/>
    <w:rsid w:val="5177CBC8"/>
    <w:rsid w:val="51800AC7"/>
    <w:rsid w:val="51F7EE54"/>
    <w:rsid w:val="528312C5"/>
    <w:rsid w:val="52AB0D85"/>
    <w:rsid w:val="53871295"/>
    <w:rsid w:val="53CE1347"/>
    <w:rsid w:val="546A6FB8"/>
    <w:rsid w:val="54B75A10"/>
    <w:rsid w:val="5516F3B0"/>
    <w:rsid w:val="55487998"/>
    <w:rsid w:val="5573B857"/>
    <w:rsid w:val="558B0963"/>
    <w:rsid w:val="55CAEDA6"/>
    <w:rsid w:val="56A61DCC"/>
    <w:rsid w:val="56B63D66"/>
    <w:rsid w:val="56EB8F63"/>
    <w:rsid w:val="56F5BFB3"/>
    <w:rsid w:val="573A96D5"/>
    <w:rsid w:val="5782DD57"/>
    <w:rsid w:val="5896B859"/>
    <w:rsid w:val="58E6B7FC"/>
    <w:rsid w:val="58E9A929"/>
    <w:rsid w:val="5908B959"/>
    <w:rsid w:val="595D7DCA"/>
    <w:rsid w:val="5975DC23"/>
    <w:rsid w:val="59902564"/>
    <w:rsid w:val="5A2F06CD"/>
    <w:rsid w:val="5A3912F4"/>
    <w:rsid w:val="5A63055E"/>
    <w:rsid w:val="5A8DB982"/>
    <w:rsid w:val="5AB6465B"/>
    <w:rsid w:val="5AF2323C"/>
    <w:rsid w:val="5B160EB4"/>
    <w:rsid w:val="5B2BF5C5"/>
    <w:rsid w:val="5BDAF38B"/>
    <w:rsid w:val="5C1508ED"/>
    <w:rsid w:val="5C3945BC"/>
    <w:rsid w:val="5C9F131E"/>
    <w:rsid w:val="5D4FFE18"/>
    <w:rsid w:val="5D650137"/>
    <w:rsid w:val="5D76C3EC"/>
    <w:rsid w:val="5D8561A3"/>
    <w:rsid w:val="5DD5161D"/>
    <w:rsid w:val="5E50CFE6"/>
    <w:rsid w:val="5F00D198"/>
    <w:rsid w:val="5F12944D"/>
    <w:rsid w:val="5F2AE1EB"/>
    <w:rsid w:val="5F612AA5"/>
    <w:rsid w:val="6022E71C"/>
    <w:rsid w:val="602C8A5B"/>
    <w:rsid w:val="60A4C155"/>
    <w:rsid w:val="60E08D13"/>
    <w:rsid w:val="610C6890"/>
    <w:rsid w:val="617BBEBD"/>
    <w:rsid w:val="618870A8"/>
    <w:rsid w:val="6189FC8B"/>
    <w:rsid w:val="61EF5FA8"/>
    <w:rsid w:val="624E0C0F"/>
    <w:rsid w:val="62636106"/>
    <w:rsid w:val="628B725A"/>
    <w:rsid w:val="62E8278E"/>
    <w:rsid w:val="630150C9"/>
    <w:rsid w:val="63673B42"/>
    <w:rsid w:val="63E3590D"/>
    <w:rsid w:val="640E3205"/>
    <w:rsid w:val="64874CF8"/>
    <w:rsid w:val="649D212A"/>
    <w:rsid w:val="64A979BB"/>
    <w:rsid w:val="64AC1032"/>
    <w:rsid w:val="659A5518"/>
    <w:rsid w:val="66454A1C"/>
    <w:rsid w:val="6656A35B"/>
    <w:rsid w:val="665AB21E"/>
    <w:rsid w:val="66D376EF"/>
    <w:rsid w:val="6741E25A"/>
    <w:rsid w:val="6831908D"/>
    <w:rsid w:val="68DBBBCE"/>
    <w:rsid w:val="69595E97"/>
    <w:rsid w:val="69F677C4"/>
    <w:rsid w:val="6A0665B5"/>
    <w:rsid w:val="6A448A89"/>
    <w:rsid w:val="6A842510"/>
    <w:rsid w:val="6B2D9E76"/>
    <w:rsid w:val="6B2EB354"/>
    <w:rsid w:val="6B6FE74C"/>
    <w:rsid w:val="6BA7E618"/>
    <w:rsid w:val="6BEAF692"/>
    <w:rsid w:val="6C135C90"/>
    <w:rsid w:val="6C4D7FD3"/>
    <w:rsid w:val="6CDB36EF"/>
    <w:rsid w:val="6D097860"/>
    <w:rsid w:val="6D6381C9"/>
    <w:rsid w:val="6DC3DCAC"/>
    <w:rsid w:val="6DDC1856"/>
    <w:rsid w:val="6DE95034"/>
    <w:rsid w:val="6E2CBE24"/>
    <w:rsid w:val="6E55BF97"/>
    <w:rsid w:val="6E6EB388"/>
    <w:rsid w:val="6EAC9BD9"/>
    <w:rsid w:val="6F1DC46D"/>
    <w:rsid w:val="6FD4F1C9"/>
    <w:rsid w:val="6FF33650"/>
    <w:rsid w:val="6FF5D36C"/>
    <w:rsid w:val="706A5020"/>
    <w:rsid w:val="709B6086"/>
    <w:rsid w:val="70BFE279"/>
    <w:rsid w:val="70F68704"/>
    <w:rsid w:val="710215CF"/>
    <w:rsid w:val="710CC151"/>
    <w:rsid w:val="7114B752"/>
    <w:rsid w:val="71185AE2"/>
    <w:rsid w:val="7129B0A3"/>
    <w:rsid w:val="713D7649"/>
    <w:rsid w:val="716530A0"/>
    <w:rsid w:val="71A79874"/>
    <w:rsid w:val="721B89A1"/>
    <w:rsid w:val="72A46343"/>
    <w:rsid w:val="732930BA"/>
    <w:rsid w:val="737801F7"/>
    <w:rsid w:val="73FC834C"/>
    <w:rsid w:val="7439B691"/>
    <w:rsid w:val="744033A4"/>
    <w:rsid w:val="74561111"/>
    <w:rsid w:val="745C2167"/>
    <w:rsid w:val="749CD162"/>
    <w:rsid w:val="74EA1720"/>
    <w:rsid w:val="7534C7B2"/>
    <w:rsid w:val="7598CC94"/>
    <w:rsid w:val="75D586F2"/>
    <w:rsid w:val="761E33F1"/>
    <w:rsid w:val="7638A1C3"/>
    <w:rsid w:val="7684222D"/>
    <w:rsid w:val="76FC6A6B"/>
    <w:rsid w:val="771403AE"/>
    <w:rsid w:val="775366F8"/>
    <w:rsid w:val="77715753"/>
    <w:rsid w:val="786CB6C3"/>
    <w:rsid w:val="78C3C5DA"/>
    <w:rsid w:val="78C7F31C"/>
    <w:rsid w:val="78FD3402"/>
    <w:rsid w:val="794980B4"/>
    <w:rsid w:val="79783241"/>
    <w:rsid w:val="79F8CB4B"/>
    <w:rsid w:val="7A1B52CA"/>
    <w:rsid w:val="7A674A38"/>
    <w:rsid w:val="7AAE6E5B"/>
    <w:rsid w:val="7AE6A05B"/>
    <w:rsid w:val="7B3C5B3A"/>
    <w:rsid w:val="7B9CBB08"/>
    <w:rsid w:val="7BD03EE6"/>
    <w:rsid w:val="7C37553A"/>
    <w:rsid w:val="7CD6472D"/>
    <w:rsid w:val="7CEBB24A"/>
    <w:rsid w:val="7CF0A4E9"/>
    <w:rsid w:val="7D5AF63F"/>
    <w:rsid w:val="7D9B643F"/>
    <w:rsid w:val="7D9D0040"/>
    <w:rsid w:val="7DA74241"/>
    <w:rsid w:val="7E6D6886"/>
    <w:rsid w:val="7E72178E"/>
    <w:rsid w:val="7E73FBFC"/>
    <w:rsid w:val="7F055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F2694"/>
  <w15:chartTrackingRefBased/>
  <w15:docId w15:val="{7FD0C01A-A0F7-4BF1-8ECD-5A8897E52AEA}"/>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en-CA"/>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CA"/>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n-GB"/>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IPPContentsHead">
    <w:name w:val="IPP ContentsHead"/>
    <w:basedOn w:val="IPPSubhead"/>
    <w:next w:val="IPPNormal"/>
    <w:qFormat/>
    <w:pPr>
      <w:spacing w:after="240"/>
    </w:pPr>
    <w:rPr>
      <w:sz w:val="24"/>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customStyle="1" w:styleId="IPPArialTable">
    <w:name w:val="IPP Arial Table"/>
    <w:basedOn w:val="IPPArial"/>
    <w:qFormat/>
    <w:pPr>
      <w:spacing w:before="60" w:after="60"/>
      <w:jc w:val="left"/>
    </w:p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cs="Times New Roman"/>
      <w:sz w:val="20"/>
      <w:szCs w:val="24"/>
      <w:lang w:val="en-GB"/>
    </w:rPr>
  </w:style>
  <w:style w:type="character" w:styleId="FootnoteReference">
    <w:name w:val="footnote reference"/>
    <w:aliases w:val="16 Point,Superscript 6 Point,Ref,de nota al pie,Footnote Reference1,Ref1,de nota al pie1,註腳內容,de nota al pie + (Asian) MS Mincho,11 pt"/>
    <w:basedOn w:val="DefaultParagraphFont"/>
    <w:rPr>
      <w:vertAlign w:val="superscript"/>
    </w:rPr>
  </w:style>
  <w:style w:type="paragraph" w:customStyle="1" w:styleId="IPPNormal">
    <w:name w:val="IPP Normal"/>
    <w:basedOn w:val="Normal"/>
    <w:link w:val="IPPNormalChar"/>
    <w:qFormat/>
    <w:pPr>
      <w:spacing w:after="180"/>
    </w:pPr>
    <w:rPr>
      <w:rFonts w:eastAsia="Times"/>
    </w:rPr>
  </w:style>
  <w:style w:type="character" w:customStyle="1" w:styleId="IPPNormalChar">
    <w:name w:val="IPP Normal Char"/>
    <w:link w:val="IPPNormal"/>
    <w:rPr>
      <w:rFonts w:ascii="Times New Roman" w:eastAsia="Times" w:hAnsi="Times New Roman" w:cs="Times New Roman"/>
      <w:szCs w:val="24"/>
      <w:lang w:val="en-GB"/>
    </w:rPr>
  </w:style>
  <w:style w:type="paragraph" w:customStyle="1" w:styleId="IPPNumberedList">
    <w:name w:val="IPP NumberedList"/>
    <w:basedOn w:val="IPPBullet1"/>
    <w:qFormat/>
    <w:pPr>
      <w:numPr>
        <w:numId w:val="3"/>
      </w:numPr>
    </w:pPr>
  </w:style>
  <w:style w:type="paragraph" w:customStyle="1" w:styleId="paragraph">
    <w:name w:val="paragraph"/>
    <w:basedOn w:val="Normal"/>
    <w:pPr>
      <w:spacing w:before="100" w:beforeAutospacing="1" w:after="100" w:afterAutospacing="1"/>
    </w:pPr>
    <w:rPr>
      <w:rFonts w:eastAsia="Times New Roman"/>
      <w:sz w:val="24"/>
      <w:lang w:eastAsia="en-CA"/>
    </w:rPr>
  </w:style>
  <w:style w:type="character" w:customStyle="1" w:styleId="normaltextrun">
    <w:name w:val="normaltextrun"/>
    <w:basedOn w:val="DefaultParagraphFont"/>
  </w:style>
  <w:style w:type="character" w:customStyle="1" w:styleId="eop">
    <w:name w:val="eop"/>
    <w:basedOn w:val="DefaultParagraphFont"/>
  </w:style>
  <w:style w:type="table" w:styleId="TableGrid">
    <w:name w:val="Table Grid"/>
    <w:basedOn w:val="TableNormal"/>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rPr>
      <w:rFonts w:ascii="Times New Roman" w:eastAsia="MS Mincho" w:hAnsi="Times New Roman" w:cs="Times New Roman"/>
      <w:b/>
      <w:bCs/>
      <w:szCs w:val="24"/>
      <w:lang w:val="en-GB"/>
    </w:rPr>
  </w:style>
  <w:style w:type="paragraph" w:styleId="Revision">
    <w:name w:val="Revision"/>
    <w:hidden/>
    <w:uiPriority w:val="99"/>
    <w:semiHidden/>
    <w:pPr>
      <w:spacing w:after="0" w:line="240" w:lineRule="auto"/>
    </w:pPr>
    <w:rPr>
      <w:lang w:val="en-CA"/>
    </w:rPr>
  </w:style>
  <w:style w:type="character" w:customStyle="1" w:styleId="Mention">
    <w:name w:val="Mention"/>
    <w:basedOn w:val="DefaultParagraphFont"/>
    <w:uiPriority w:val="99"/>
    <w:unhideWhenUsed/>
    <w:rPr>
      <w:color w:val="2B579A"/>
      <w:shd w:val="clear" w:color="auto" w:fill="E6E6E6"/>
    </w:rPr>
  </w:style>
  <w:style w:type="character" w:customStyle="1" w:styleId="Heading2Char">
    <w:name w:val="Heading 2 Char"/>
    <w:basedOn w:val="DefaultParagraphFont"/>
    <w:link w:val="Heading2"/>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Pr>
      <w:rFonts w:ascii="Calibri" w:eastAsia="MS Mincho" w:hAnsi="Calibri" w:cs="Times New Roman"/>
      <w:b/>
      <w:bCs/>
      <w:sz w:val="26"/>
      <w:szCs w:val="26"/>
      <w:lang w:val="en-GB"/>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cs="Times New Roman"/>
      <w:szCs w:val="24"/>
      <w:lang w:val="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Bullet2">
    <w:name w:val="IPP Bullet2"/>
    <w:basedOn w:val="IPPNormal"/>
    <w:next w:val="IPPBullet1"/>
    <w:qFormat/>
    <w:pPr>
      <w:numPr>
        <w:numId w:val="26"/>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cs="Times New Roman"/>
      <w:b/>
      <w:sz w:val="22"/>
      <w:szCs w:val="21"/>
      <w:lang w:val="en-AU"/>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paragraph" w:customStyle="1" w:styleId="IPPBullet1">
    <w:name w:val="IPP Bullet1"/>
    <w:basedOn w:val="IPPBullet1Last"/>
    <w:qFormat/>
    <w:pPr>
      <w:numPr>
        <w:numId w:val="38"/>
      </w:numPr>
      <w:spacing w:after="60"/>
      <w:ind w:left="567" w:hanging="567"/>
    </w:pPr>
    <w:rPr>
      <w:lang w:val="en-US"/>
    </w:rPr>
  </w:style>
  <w:style w:type="paragraph" w:customStyle="1" w:styleId="IPPBullet1Last">
    <w:name w:val="IPP Bullet1Last"/>
    <w:basedOn w:val="IPPNormal"/>
    <w:next w:val="IPPNormal"/>
    <w:autoRedefine/>
    <w:qFormat/>
    <w:pPr>
      <w:numPr>
        <w:numId w:val="27"/>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25"/>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cs="Times New Roman"/>
      <w:sz w:val="21"/>
      <w:szCs w:val="21"/>
      <w:lang w:val="en-AU"/>
    </w:rPr>
  </w:style>
  <w:style w:type="paragraph" w:customStyle="1" w:styleId="IPPLetterList">
    <w:name w:val="IPP LetterList"/>
    <w:basedOn w:val="IPPBullet2"/>
    <w:qFormat/>
    <w:pPr>
      <w:numPr>
        <w:numId w:val="22"/>
      </w:numPr>
      <w:jc w:val="left"/>
    </w:pPr>
  </w:style>
  <w:style w:type="paragraph" w:customStyle="1" w:styleId="IPPLetterListIndent">
    <w:name w:val="IPP LetterList Indent"/>
    <w:basedOn w:val="IPPLetterList"/>
    <w:qFormat/>
    <w:pPr>
      <w:numPr>
        <w:numId w:val="23"/>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28"/>
      </w:numPr>
    </w:pPr>
  </w:style>
  <w:style w:type="paragraph" w:customStyle="1" w:styleId="IPPHdg2Num">
    <w:name w:val="IPP Hdg2Num"/>
    <w:basedOn w:val="IPPHeading2"/>
    <w:next w:val="IPPNormal"/>
    <w:qFormat/>
    <w:pPr>
      <w:numPr>
        <w:ilvl w:val="1" numString="1.1. "/>
        <w:numId w:val="29"/>
      </w:numPr>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imes New Roman"/>
      <w:szCs w:val="24"/>
      <w:lang w:val="en-GB"/>
    </w:rPr>
  </w:style>
  <w:style w:type="character" w:styleId="Strong">
    <w:name w:val="Strong"/>
    <w:basedOn w:val="DefaultParagraphFont"/>
    <w:qFormat/>
    <w:rPr>
      <w:b/>
      <w:bCs/>
    </w:rPr>
  </w:style>
  <w:style w:type="paragraph" w:customStyle="1" w:styleId="IPPParagraphnumbering">
    <w:name w:val="IPP Paragraph numbering"/>
    <w:basedOn w:val="IPPNormal"/>
    <w:qFormat/>
    <w:pPr>
      <w:numPr>
        <w:numId w:val="31"/>
      </w:numPr>
    </w:pPr>
    <w:rPr>
      <w:lang w:val="en-US"/>
    </w:r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300886338">
      <w:bodyDiv w:val="1"/>
      <w:marLeft w:val="0"/>
      <w:marRight w:val="0"/>
      <w:marTop w:val="0"/>
      <w:marBottom w:val="0"/>
      <w:divBdr>
        <w:top w:val="none" w:sz="0" w:space="0" w:color="auto"/>
        <w:left w:val="none" w:sz="0" w:space="0" w:color="auto"/>
        <w:bottom w:val="none" w:sz="0" w:space="0" w:color="auto"/>
        <w:right w:val="none" w:sz="0" w:space="0" w:color="auto"/>
      </w:divBdr>
      <w:divsChild>
        <w:div w:id="1121000415">
          <w:marLeft w:val="0"/>
          <w:marRight w:val="0"/>
          <w:marTop w:val="0"/>
          <w:marBottom w:val="0"/>
          <w:divBdr>
            <w:top w:val="none" w:sz="0" w:space="0" w:color="auto"/>
            <w:left w:val="none" w:sz="0" w:space="0" w:color="auto"/>
            <w:bottom w:val="none" w:sz="0" w:space="0" w:color="auto"/>
            <w:right w:val="none" w:sz="0" w:space="0" w:color="auto"/>
          </w:divBdr>
        </w:div>
        <w:div w:id="1005326267">
          <w:marLeft w:val="0"/>
          <w:marRight w:val="0"/>
          <w:marTop w:val="0"/>
          <w:marBottom w:val="0"/>
          <w:divBdr>
            <w:top w:val="none" w:sz="0" w:space="0" w:color="auto"/>
            <w:left w:val="none" w:sz="0" w:space="0" w:color="auto"/>
            <w:bottom w:val="none" w:sz="0" w:space="0" w:color="auto"/>
            <w:right w:val="none" w:sz="0" w:space="0" w:color="auto"/>
          </w:divBdr>
        </w:div>
      </w:divsChild>
    </w:div>
    <w:div w:id="697506768">
      <w:bodyDiv w:val="1"/>
      <w:marLeft w:val="0"/>
      <w:marRight w:val="0"/>
      <w:marTop w:val="0"/>
      <w:marBottom w:val="0"/>
      <w:divBdr>
        <w:top w:val="none" w:sz="0" w:space="0" w:color="auto"/>
        <w:left w:val="none" w:sz="0" w:space="0" w:color="auto"/>
        <w:bottom w:val="none" w:sz="0" w:space="0" w:color="auto"/>
        <w:right w:val="none" w:sz="0" w:space="0" w:color="auto"/>
      </w:divBdr>
    </w:div>
    <w:div w:id="1327829862">
      <w:bodyDiv w:val="1"/>
      <w:marLeft w:val="0"/>
      <w:marRight w:val="0"/>
      <w:marTop w:val="0"/>
      <w:marBottom w:val="0"/>
      <w:divBdr>
        <w:top w:val="none" w:sz="0" w:space="0" w:color="auto"/>
        <w:left w:val="none" w:sz="0" w:space="0" w:color="auto"/>
        <w:bottom w:val="none" w:sz="0" w:space="0" w:color="auto"/>
        <w:right w:val="none" w:sz="0" w:space="0" w:color="auto"/>
      </w:divBdr>
      <w:divsChild>
        <w:div w:id="554395750">
          <w:marLeft w:val="0"/>
          <w:marRight w:val="0"/>
          <w:marTop w:val="0"/>
          <w:marBottom w:val="0"/>
          <w:divBdr>
            <w:top w:val="none" w:sz="0" w:space="0" w:color="auto"/>
            <w:left w:val="none" w:sz="0" w:space="0" w:color="auto"/>
            <w:bottom w:val="none" w:sz="0" w:space="0" w:color="auto"/>
            <w:right w:val="none" w:sz="0" w:space="0" w:color="auto"/>
          </w:divBdr>
        </w:div>
        <w:div w:id="853155610">
          <w:marLeft w:val="0"/>
          <w:marRight w:val="0"/>
          <w:marTop w:val="0"/>
          <w:marBottom w:val="0"/>
          <w:divBdr>
            <w:top w:val="none" w:sz="0" w:space="0" w:color="auto"/>
            <w:left w:val="none" w:sz="0" w:space="0" w:color="auto"/>
            <w:bottom w:val="none" w:sz="0" w:space="0" w:color="auto"/>
            <w:right w:val="none" w:sz="0" w:space="0" w:color="auto"/>
          </w:divBdr>
        </w:div>
        <w:div w:id="1757675645">
          <w:marLeft w:val="0"/>
          <w:marRight w:val="0"/>
          <w:marTop w:val="0"/>
          <w:marBottom w:val="0"/>
          <w:divBdr>
            <w:top w:val="none" w:sz="0" w:space="0" w:color="auto"/>
            <w:left w:val="none" w:sz="0" w:space="0" w:color="auto"/>
            <w:bottom w:val="none" w:sz="0" w:space="0" w:color="auto"/>
            <w:right w:val="none" w:sz="0" w:space="0" w:color="auto"/>
          </w:divBdr>
        </w:div>
      </w:divsChild>
    </w:div>
    <w:div w:id="1698851656">
      <w:bodyDiv w:val="1"/>
      <w:marLeft w:val="0"/>
      <w:marRight w:val="0"/>
      <w:marTop w:val="0"/>
      <w:marBottom w:val="0"/>
      <w:divBdr>
        <w:top w:val="none" w:sz="0" w:space="0" w:color="auto"/>
        <w:left w:val="none" w:sz="0" w:space="0" w:color="auto"/>
        <w:bottom w:val="none" w:sz="0" w:space="0" w:color="auto"/>
        <w:right w:val="none" w:sz="0" w:space="0" w:color="auto"/>
      </w:divBdr>
      <w:divsChild>
        <w:div w:id="268121984">
          <w:marLeft w:val="0"/>
          <w:marRight w:val="0"/>
          <w:marTop w:val="0"/>
          <w:marBottom w:val="0"/>
          <w:divBdr>
            <w:top w:val="none" w:sz="0" w:space="0" w:color="auto"/>
            <w:left w:val="none" w:sz="0" w:space="0" w:color="auto"/>
            <w:bottom w:val="none" w:sz="0" w:space="0" w:color="auto"/>
            <w:right w:val="none" w:sz="0" w:space="0" w:color="auto"/>
          </w:divBdr>
        </w:div>
        <w:div w:id="1308825820">
          <w:marLeft w:val="0"/>
          <w:marRight w:val="0"/>
          <w:marTop w:val="0"/>
          <w:marBottom w:val="0"/>
          <w:divBdr>
            <w:top w:val="none" w:sz="0" w:space="0" w:color="auto"/>
            <w:left w:val="none" w:sz="0" w:space="0" w:color="auto"/>
            <w:bottom w:val="none" w:sz="0" w:space="0" w:color="auto"/>
            <w:right w:val="none" w:sz="0" w:space="0" w:color="auto"/>
          </w:divBdr>
        </w:div>
        <w:div w:id="1301379193">
          <w:marLeft w:val="0"/>
          <w:marRight w:val="0"/>
          <w:marTop w:val="0"/>
          <w:marBottom w:val="0"/>
          <w:divBdr>
            <w:top w:val="none" w:sz="0" w:space="0" w:color="auto"/>
            <w:left w:val="none" w:sz="0" w:space="0" w:color="auto"/>
            <w:bottom w:val="none" w:sz="0" w:space="0" w:color="auto"/>
            <w:right w:val="none" w:sz="0" w:space="0" w:color="auto"/>
          </w:divBdr>
        </w:div>
      </w:divsChild>
    </w:div>
    <w:div w:id="1883439270">
      <w:bodyDiv w:val="1"/>
      <w:marLeft w:val="0"/>
      <w:marRight w:val="0"/>
      <w:marTop w:val="0"/>
      <w:marBottom w:val="0"/>
      <w:divBdr>
        <w:top w:val="none" w:sz="0" w:space="0" w:color="auto"/>
        <w:left w:val="none" w:sz="0" w:space="0" w:color="auto"/>
        <w:bottom w:val="none" w:sz="0" w:space="0" w:color="auto"/>
        <w:right w:val="none" w:sz="0" w:space="0" w:color="auto"/>
      </w:divBdr>
      <w:divsChild>
        <w:div w:id="8485312">
          <w:marLeft w:val="0"/>
          <w:marRight w:val="0"/>
          <w:marTop w:val="0"/>
          <w:marBottom w:val="0"/>
          <w:divBdr>
            <w:top w:val="none" w:sz="0" w:space="0" w:color="auto"/>
            <w:left w:val="none" w:sz="0" w:space="0" w:color="auto"/>
            <w:bottom w:val="none" w:sz="0" w:space="0" w:color="auto"/>
            <w:right w:val="none" w:sz="0" w:space="0" w:color="auto"/>
          </w:divBdr>
        </w:div>
        <w:div w:id="1715421915">
          <w:marLeft w:val="0"/>
          <w:marRight w:val="0"/>
          <w:marTop w:val="0"/>
          <w:marBottom w:val="0"/>
          <w:divBdr>
            <w:top w:val="none" w:sz="0" w:space="0" w:color="auto"/>
            <w:left w:val="none" w:sz="0" w:space="0" w:color="auto"/>
            <w:bottom w:val="none" w:sz="0" w:space="0" w:color="auto"/>
            <w:right w:val="none" w:sz="0" w:space="0" w:color="auto"/>
          </w:divBdr>
        </w:div>
      </w:divsChild>
    </w:div>
    <w:div w:id="1925604754">
      <w:bodyDiv w:val="1"/>
      <w:marLeft w:val="0"/>
      <w:marRight w:val="0"/>
      <w:marTop w:val="0"/>
      <w:marBottom w:val="0"/>
      <w:divBdr>
        <w:top w:val="none" w:sz="0" w:space="0" w:color="auto"/>
        <w:left w:val="none" w:sz="0" w:space="0" w:color="auto"/>
        <w:bottom w:val="none" w:sz="0" w:space="0" w:color="auto"/>
        <w:right w:val="none" w:sz="0" w:space="0" w:color="auto"/>
      </w:divBdr>
      <w:divsChild>
        <w:div w:id="470681265">
          <w:marLeft w:val="0"/>
          <w:marRight w:val="0"/>
          <w:marTop w:val="0"/>
          <w:marBottom w:val="0"/>
          <w:divBdr>
            <w:top w:val="none" w:sz="0" w:space="0" w:color="auto"/>
            <w:left w:val="none" w:sz="0" w:space="0" w:color="auto"/>
            <w:bottom w:val="none" w:sz="0" w:space="0" w:color="auto"/>
            <w:right w:val="none" w:sz="0" w:space="0" w:color="auto"/>
          </w:divBdr>
        </w:div>
        <w:div w:id="908542720">
          <w:marLeft w:val="0"/>
          <w:marRight w:val="0"/>
          <w:marTop w:val="0"/>
          <w:marBottom w:val="0"/>
          <w:divBdr>
            <w:top w:val="none" w:sz="0" w:space="0" w:color="auto"/>
            <w:left w:val="none" w:sz="0" w:space="0" w:color="auto"/>
            <w:bottom w:val="none" w:sz="0" w:space="0" w:color="auto"/>
            <w:right w:val="none" w:sz="0" w:space="0" w:color="auto"/>
          </w:divBdr>
        </w:div>
      </w:divsChild>
    </w:div>
    <w:div w:id="1994016851">
      <w:bodyDiv w:val="1"/>
      <w:marLeft w:val="0"/>
      <w:marRight w:val="0"/>
      <w:marTop w:val="0"/>
      <w:marBottom w:val="0"/>
      <w:divBdr>
        <w:top w:val="none" w:sz="0" w:space="0" w:color="auto"/>
        <w:left w:val="none" w:sz="0" w:space="0" w:color="auto"/>
        <w:bottom w:val="none" w:sz="0" w:space="0" w:color="auto"/>
        <w:right w:val="none" w:sz="0" w:space="0" w:color="auto"/>
      </w:divBdr>
      <w:divsChild>
        <w:div w:id="1270771520">
          <w:marLeft w:val="0"/>
          <w:marRight w:val="0"/>
          <w:marTop w:val="0"/>
          <w:marBottom w:val="0"/>
          <w:divBdr>
            <w:top w:val="none" w:sz="0" w:space="0" w:color="auto"/>
            <w:left w:val="none" w:sz="0" w:space="0" w:color="auto"/>
            <w:bottom w:val="none" w:sz="0" w:space="0" w:color="auto"/>
            <w:right w:val="none" w:sz="0" w:space="0" w:color="auto"/>
          </w:divBdr>
        </w:div>
        <w:div w:id="429935247">
          <w:marLeft w:val="0"/>
          <w:marRight w:val="0"/>
          <w:marTop w:val="0"/>
          <w:marBottom w:val="0"/>
          <w:divBdr>
            <w:top w:val="none" w:sz="0" w:space="0" w:color="auto"/>
            <w:left w:val="none" w:sz="0" w:space="0" w:color="auto"/>
            <w:bottom w:val="none" w:sz="0" w:space="0" w:color="auto"/>
            <w:right w:val="none" w:sz="0" w:space="0" w:color="auto"/>
          </w:divBdr>
        </w:div>
        <w:div w:id="1909222464">
          <w:marLeft w:val="0"/>
          <w:marRight w:val="0"/>
          <w:marTop w:val="0"/>
          <w:marBottom w:val="0"/>
          <w:divBdr>
            <w:top w:val="none" w:sz="0" w:space="0" w:color="auto"/>
            <w:left w:val="none" w:sz="0" w:space="0" w:color="auto"/>
            <w:bottom w:val="none" w:sz="0" w:space="0" w:color="auto"/>
            <w:right w:val="none" w:sz="0" w:space="0" w:color="auto"/>
          </w:divBdr>
        </w:div>
        <w:div w:id="2012944691">
          <w:marLeft w:val="0"/>
          <w:marRight w:val="0"/>
          <w:marTop w:val="0"/>
          <w:marBottom w:val="0"/>
          <w:divBdr>
            <w:top w:val="none" w:sz="0" w:space="0" w:color="auto"/>
            <w:left w:val="none" w:sz="0" w:space="0" w:color="auto"/>
            <w:bottom w:val="none" w:sz="0" w:space="0" w:color="auto"/>
            <w:right w:val="none" w:sz="0" w:space="0" w:color="auto"/>
          </w:divBdr>
        </w:div>
        <w:div w:id="1186410634">
          <w:marLeft w:val="0"/>
          <w:marRight w:val="0"/>
          <w:marTop w:val="0"/>
          <w:marBottom w:val="0"/>
          <w:divBdr>
            <w:top w:val="none" w:sz="0" w:space="0" w:color="auto"/>
            <w:left w:val="none" w:sz="0" w:space="0" w:color="auto"/>
            <w:bottom w:val="none" w:sz="0" w:space="0" w:color="auto"/>
            <w:right w:val="none" w:sz="0" w:space="0" w:color="auto"/>
          </w:divBdr>
        </w:div>
        <w:div w:id="1130199696">
          <w:marLeft w:val="0"/>
          <w:marRight w:val="0"/>
          <w:marTop w:val="0"/>
          <w:marBottom w:val="0"/>
          <w:divBdr>
            <w:top w:val="none" w:sz="0" w:space="0" w:color="auto"/>
            <w:left w:val="none" w:sz="0" w:space="0" w:color="auto"/>
            <w:bottom w:val="none" w:sz="0" w:space="0" w:color="auto"/>
            <w:right w:val="none" w:sz="0" w:space="0" w:color="auto"/>
          </w:divBdr>
        </w:div>
        <w:div w:id="59325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ippc.int/en/publications/89734/"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microsoft.com/office/2019/09/relationships/intelligence" Target="intelligence.xml" Id="R6cd035318c6f475c" /><Relationship Type="http://schemas.openxmlformats.org/officeDocument/2006/relationships/settings" Target="settings.xml" Id="rId7" /><Relationship Type="http://schemas.openxmlformats.org/officeDocument/2006/relationships/hyperlink" Target="https://www.ippc.int/en/publications/607/" TargetMode="External" Id="rId12" /><Relationship Type="http://schemas.openxmlformats.org/officeDocument/2006/relationships/hyperlink" Target="https://www.fao.org/documents/card/en/c/cc5059en" TargetMode="External" Id="rId17" /><Relationship Type="http://schemas.openxmlformats.org/officeDocument/2006/relationships/customXml" Target="../customXml/item2.xml" Id="rId2" /><Relationship Type="http://schemas.openxmlformats.org/officeDocument/2006/relationships/hyperlink" Target="https://www.ippc.int/es/publications/87497/"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ippc.int/en/publications/622/&#160;&#160;&#160;" TargetMode="External" Id="rId11" /><Relationship Type="http://schemas.openxmlformats.org/officeDocument/2006/relationships/numbering" Target="numbering.xml" Id="rId5" /><Relationship Type="http://schemas.openxmlformats.org/officeDocument/2006/relationships/hyperlink" Target="https://www.ippc.int/en/publications/90633/"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ippc.int/en/publications/91185/" TargetMode="External" Id="rId14" /></Relationships>
</file>

<file path=word/_rels/settings.xml.rels>&#65279;<?xml version="1.0" encoding="utf-8"?><Relationships xmlns="http://schemas.openxmlformats.org/package/2006/relationships"><Relationship Type="http://schemas.openxmlformats.org/officeDocument/2006/relationships/attachedTemplate" Target="file:///C:\Users\Tiscioni\AppData\Roaming\Microsoft\Templates\IPPC1.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a6feb38-a85a-45e8-92e9-814486bbe375" xsi:nil="true"/>
    <TaxCatchAll xmlns="a05d7f75-f42e-4288-8809-604fd4d9691f" xsi:nil="true"/>
    <lcf76f155ced4ddcb4097134ff3c332f xmlns="ea6feb38-a85a-45e8-92e9-814486bbe37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6F00453A-8A91-4A8C-A1D5-94D887113152}">
  <ds:schemaRefs>
    <ds:schemaRef ds:uri="http://schemas.microsoft.com/sharepoint/v3/contenttype/forms"/>
  </ds:schemaRefs>
</ds:datastoreItem>
</file>

<file path=customXml/itemProps2.xml><?xml version="1.0" encoding="utf-8"?>
<ds:datastoreItem xmlns:ds="http://schemas.openxmlformats.org/officeDocument/2006/customXml" ds:itemID="{84BC497B-48AA-4D89-88B6-433C6184AFD2}">
  <ds:schemaRefs>
    <ds:schemaRef ds:uri="http://schemas.microsoft.com/office/2006/metadata/properties"/>
    <ds:schemaRef ds:uri="http://schemas.microsoft.com/office/infopath/2007/PartnerControls"/>
    <ds:schemaRef ds:uri="ea6feb38-a85a-45e8-92e9-814486bbe375"/>
    <ds:schemaRef ds:uri="a05d7f75-f42e-4288-8809-604fd4d9691f"/>
  </ds:schemaRefs>
</ds:datastoreItem>
</file>

<file path=customXml/itemProps3.xml><?xml version="1.0" encoding="utf-8"?>
<ds:datastoreItem xmlns:ds="http://schemas.openxmlformats.org/officeDocument/2006/customXml" ds:itemID="{BEE3F591-F3E6-4D98-9F66-5AD1B2068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475D7D-E6E1-485A-9554-DC2BD9B5D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IPPC1.dotx</Template>
  <TotalTime>32</TotalTime>
  <Pages>4</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Barbara</dc:creator>
  <cp:keywords/>
  <dc:description/>
  <cp:lastModifiedBy>Krah, Emmanuel (NSPD)</cp:lastModifiedBy>
  <cp:revision>17</cp:revision>
  <dcterms:created xsi:type="dcterms:W3CDTF">2023-04-23T12:29:00Z</dcterms:created>
  <dcterms:modified xsi:type="dcterms:W3CDTF">2023-06-30T10:03:00Z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MediaServiceImageTags">
    <vt:lpwstr/>
  </property>
</Properties>
</file>